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FBC48EB" w14:textId="70C4B528" w:rsidR="00485335" w:rsidRDefault="00485335" w:rsidP="00485335">
      <w:pPr>
        <w:spacing w:after="0" w:line="240" w:lineRule="auto"/>
        <w:ind w:left="7100" w:right="0" w:firstLine="0"/>
        <w:rPr>
          <w:rFonts w:ascii="Times New Roman" w:hAnsi="Times New Roman" w:cs="Times New Roman"/>
          <w:sz w:val="24"/>
        </w:rPr>
      </w:pPr>
      <w:r>
        <w:rPr>
          <w:rFonts w:ascii="Times New Roman" w:hAnsi="Times New Roman" w:cs="Times New Roman"/>
          <w:sz w:val="24"/>
        </w:rPr>
        <w:t xml:space="preserve">           </w:t>
      </w:r>
    </w:p>
    <w:p w14:paraId="679920A3" w14:textId="77777777" w:rsidR="00485335" w:rsidRDefault="00485335" w:rsidP="005142C4">
      <w:pPr>
        <w:spacing w:after="0" w:line="240" w:lineRule="auto"/>
        <w:ind w:left="0" w:right="0" w:firstLine="709"/>
        <w:rPr>
          <w:rFonts w:ascii="Times New Roman" w:hAnsi="Times New Roman" w:cs="Times New Roman"/>
          <w:sz w:val="24"/>
        </w:rPr>
      </w:pPr>
    </w:p>
    <w:p w14:paraId="5709F21D" w14:textId="43532401" w:rsidR="00E40AC8" w:rsidRPr="005142C4" w:rsidRDefault="00900184"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Na temelju članka</w:t>
      </w:r>
      <w:r w:rsidR="00E40AC8" w:rsidRPr="005142C4">
        <w:rPr>
          <w:rFonts w:ascii="Times New Roman" w:hAnsi="Times New Roman" w:cs="Times New Roman"/>
          <w:sz w:val="24"/>
        </w:rPr>
        <w:t xml:space="preserve"> </w:t>
      </w:r>
      <w:r w:rsidRPr="005142C4">
        <w:rPr>
          <w:rFonts w:ascii="Times New Roman" w:hAnsi="Times New Roman" w:cs="Times New Roman"/>
          <w:sz w:val="24"/>
        </w:rPr>
        <w:t>17. stavka 1. alineje 2.</w:t>
      </w:r>
      <w:r w:rsidR="00E40AC8" w:rsidRPr="005142C4">
        <w:rPr>
          <w:rFonts w:ascii="Times New Roman" w:hAnsi="Times New Roman" w:cs="Times New Roman"/>
          <w:sz w:val="24"/>
        </w:rPr>
        <w:t xml:space="preserve"> </w:t>
      </w:r>
      <w:r w:rsidRPr="005142C4">
        <w:rPr>
          <w:rFonts w:ascii="Times New Roman" w:hAnsi="Times New Roman" w:cs="Times New Roman"/>
          <w:sz w:val="24"/>
        </w:rPr>
        <w:t>Zakona o sustavu civilne zaštite (Narodne novine 82/15</w:t>
      </w:r>
      <w:r w:rsidR="004201AC">
        <w:rPr>
          <w:rFonts w:ascii="Times New Roman" w:hAnsi="Times New Roman" w:cs="Times New Roman"/>
          <w:sz w:val="24"/>
        </w:rPr>
        <w:t xml:space="preserve">, </w:t>
      </w:r>
      <w:r w:rsidRPr="005142C4">
        <w:rPr>
          <w:rFonts w:ascii="Times New Roman" w:hAnsi="Times New Roman" w:cs="Times New Roman"/>
          <w:sz w:val="24"/>
        </w:rPr>
        <w:t>118/18</w:t>
      </w:r>
      <w:r w:rsidR="004201AC">
        <w:rPr>
          <w:rFonts w:ascii="Times New Roman" w:hAnsi="Times New Roman" w:cs="Times New Roman"/>
          <w:sz w:val="24"/>
        </w:rPr>
        <w:t>, 31/20 i 20/21</w:t>
      </w:r>
      <w:r w:rsidRPr="005142C4">
        <w:rPr>
          <w:rFonts w:ascii="Times New Roman" w:hAnsi="Times New Roman" w:cs="Times New Roman"/>
          <w:sz w:val="24"/>
        </w:rPr>
        <w:t>) i članka 41. točke 33. Statuta Grada Zagreba (</w:t>
      </w:r>
      <w:r w:rsidR="00166FEB" w:rsidRPr="00166FEB">
        <w:rPr>
          <w:rFonts w:ascii="Times New Roman" w:hAnsi="Times New Roman" w:cs="Times New Roman"/>
          <w:sz w:val="24"/>
        </w:rPr>
        <w:t>Službeni glasnik Grada Zagreba 2</w:t>
      </w:r>
      <w:r w:rsidR="0089425F">
        <w:rPr>
          <w:rFonts w:ascii="Times New Roman" w:hAnsi="Times New Roman" w:cs="Times New Roman"/>
          <w:sz w:val="24"/>
        </w:rPr>
        <w:t xml:space="preserve">3/16, 2/18, 23/18, 3/20, 3/21, </w:t>
      </w:r>
      <w:r w:rsidR="00166FEB" w:rsidRPr="00166FEB">
        <w:rPr>
          <w:rFonts w:ascii="Times New Roman" w:hAnsi="Times New Roman" w:cs="Times New Roman"/>
          <w:sz w:val="24"/>
        </w:rPr>
        <w:t>11/21 - pročišćeni tekst</w:t>
      </w:r>
      <w:r w:rsidR="0089425F">
        <w:rPr>
          <w:rFonts w:ascii="Times New Roman" w:hAnsi="Times New Roman" w:cs="Times New Roman"/>
          <w:sz w:val="24"/>
        </w:rPr>
        <w:t xml:space="preserve"> i 16/22</w:t>
      </w:r>
      <w:r w:rsidRPr="005142C4">
        <w:rPr>
          <w:rFonts w:ascii="Times New Roman" w:hAnsi="Times New Roman" w:cs="Times New Roman"/>
          <w:sz w:val="24"/>
        </w:rPr>
        <w:t>), Gradska skupština Grada Zagreba, na</w:t>
      </w:r>
      <w:r w:rsidR="00EE6A22" w:rsidRPr="005142C4">
        <w:rPr>
          <w:rFonts w:ascii="Times New Roman" w:hAnsi="Times New Roman" w:cs="Times New Roman"/>
          <w:sz w:val="24"/>
        </w:rPr>
        <w:t xml:space="preserve"> </w:t>
      </w:r>
      <w:r w:rsidR="0089425F">
        <w:rPr>
          <w:rFonts w:ascii="Times New Roman" w:hAnsi="Times New Roman" w:cs="Times New Roman"/>
          <w:sz w:val="24"/>
        </w:rPr>
        <w:t>_______</w:t>
      </w:r>
      <w:r w:rsidR="00EE6A22" w:rsidRPr="005142C4">
        <w:rPr>
          <w:rFonts w:ascii="Times New Roman" w:hAnsi="Times New Roman" w:cs="Times New Roman"/>
          <w:sz w:val="24"/>
        </w:rPr>
        <w:t xml:space="preserve"> </w:t>
      </w:r>
      <w:r w:rsidRPr="005142C4">
        <w:rPr>
          <w:rFonts w:ascii="Times New Roman" w:hAnsi="Times New Roman" w:cs="Times New Roman"/>
          <w:sz w:val="24"/>
        </w:rPr>
        <w:t>sjednici</w:t>
      </w:r>
      <w:r w:rsidR="00EE6A22" w:rsidRPr="005142C4">
        <w:rPr>
          <w:rFonts w:ascii="Times New Roman" w:hAnsi="Times New Roman" w:cs="Times New Roman"/>
          <w:sz w:val="24"/>
        </w:rPr>
        <w:t xml:space="preserve">, </w:t>
      </w:r>
      <w:r w:rsidR="0089425F">
        <w:rPr>
          <w:rFonts w:ascii="Times New Roman" w:hAnsi="Times New Roman" w:cs="Times New Roman"/>
          <w:sz w:val="24"/>
        </w:rPr>
        <w:t>__________</w:t>
      </w:r>
      <w:r w:rsidR="00EE6A22" w:rsidRPr="004201AC">
        <w:rPr>
          <w:rFonts w:ascii="Times New Roman" w:hAnsi="Times New Roman" w:cs="Times New Roman"/>
          <w:color w:val="FF0000"/>
          <w:sz w:val="24"/>
        </w:rPr>
        <w:t xml:space="preserve"> </w:t>
      </w:r>
      <w:r w:rsidRPr="005142C4">
        <w:rPr>
          <w:rFonts w:ascii="Times New Roman" w:hAnsi="Times New Roman" w:cs="Times New Roman"/>
          <w:sz w:val="24"/>
        </w:rPr>
        <w:t>20</w:t>
      </w:r>
      <w:r w:rsidR="004201AC">
        <w:rPr>
          <w:rFonts w:ascii="Times New Roman" w:hAnsi="Times New Roman" w:cs="Times New Roman"/>
          <w:sz w:val="24"/>
        </w:rPr>
        <w:t>22</w:t>
      </w:r>
      <w:r w:rsidRPr="005142C4">
        <w:rPr>
          <w:rFonts w:ascii="Times New Roman" w:hAnsi="Times New Roman" w:cs="Times New Roman"/>
          <w:sz w:val="24"/>
        </w:rPr>
        <w:t>., donijela je</w:t>
      </w:r>
    </w:p>
    <w:p w14:paraId="339A212C" w14:textId="77777777" w:rsidR="00EF2CCB" w:rsidRPr="005142C4" w:rsidRDefault="00EF2CCB" w:rsidP="005142C4">
      <w:pPr>
        <w:spacing w:after="0" w:line="240" w:lineRule="auto"/>
        <w:ind w:left="0" w:right="0" w:firstLine="0"/>
        <w:rPr>
          <w:rFonts w:ascii="Times New Roman" w:hAnsi="Times New Roman" w:cs="Times New Roman"/>
          <w:sz w:val="24"/>
        </w:rPr>
      </w:pPr>
    </w:p>
    <w:p w14:paraId="3AF75845" w14:textId="77777777" w:rsidR="00E40AC8" w:rsidRPr="005142C4" w:rsidRDefault="00900184" w:rsidP="005142C4">
      <w:pPr>
        <w:spacing w:after="0" w:line="240" w:lineRule="auto"/>
        <w:ind w:left="0" w:right="0" w:firstLine="0"/>
        <w:jc w:val="center"/>
        <w:rPr>
          <w:rFonts w:ascii="Times New Roman" w:hAnsi="Times New Roman" w:cs="Times New Roman"/>
          <w:b/>
          <w:sz w:val="24"/>
        </w:rPr>
      </w:pPr>
      <w:r w:rsidRPr="005142C4">
        <w:rPr>
          <w:rFonts w:ascii="Times New Roman" w:hAnsi="Times New Roman" w:cs="Times New Roman"/>
          <w:b/>
          <w:sz w:val="24"/>
        </w:rPr>
        <w:t>PROCJENU</w:t>
      </w:r>
    </w:p>
    <w:p w14:paraId="3E022D40" w14:textId="77777777" w:rsidR="00E40AC8" w:rsidRPr="005142C4" w:rsidRDefault="00900184" w:rsidP="005142C4">
      <w:pPr>
        <w:spacing w:after="0" w:line="240" w:lineRule="auto"/>
        <w:ind w:left="0" w:right="0" w:firstLine="0"/>
        <w:jc w:val="center"/>
        <w:rPr>
          <w:rFonts w:ascii="Times New Roman" w:hAnsi="Times New Roman" w:cs="Times New Roman"/>
          <w:b/>
          <w:sz w:val="24"/>
        </w:rPr>
      </w:pPr>
      <w:r w:rsidRPr="005142C4">
        <w:rPr>
          <w:rFonts w:ascii="Times New Roman" w:hAnsi="Times New Roman" w:cs="Times New Roman"/>
          <w:b/>
          <w:sz w:val="24"/>
        </w:rPr>
        <w:t>rizika od velikih nesreća za područje Grada Zagreba</w:t>
      </w:r>
    </w:p>
    <w:p w14:paraId="748ED673" w14:textId="77777777" w:rsidR="00EF2CCB" w:rsidRPr="005142C4" w:rsidRDefault="00EF2CCB" w:rsidP="005142C4">
      <w:pPr>
        <w:spacing w:after="0" w:line="240" w:lineRule="auto"/>
        <w:ind w:left="0" w:right="0" w:firstLine="0"/>
        <w:rPr>
          <w:rFonts w:ascii="Times New Roman" w:hAnsi="Times New Roman" w:cs="Times New Roman"/>
          <w:sz w:val="24"/>
        </w:rPr>
      </w:pPr>
    </w:p>
    <w:p w14:paraId="26C5F0B1" w14:textId="77777777" w:rsidR="00E40AC8" w:rsidRPr="007A104F" w:rsidRDefault="00900184" w:rsidP="005142C4">
      <w:pPr>
        <w:spacing w:after="0" w:line="240" w:lineRule="auto"/>
        <w:ind w:left="0" w:right="0" w:firstLine="0"/>
        <w:rPr>
          <w:rFonts w:ascii="Times New Roman" w:hAnsi="Times New Roman" w:cs="Times New Roman"/>
          <w:b/>
          <w:sz w:val="28"/>
        </w:rPr>
      </w:pPr>
      <w:bookmarkStart w:id="0" w:name="_Toc2938523"/>
      <w:r w:rsidRPr="007A104F">
        <w:rPr>
          <w:rFonts w:ascii="Times New Roman" w:hAnsi="Times New Roman" w:cs="Times New Roman"/>
          <w:b/>
          <w:sz w:val="28"/>
        </w:rPr>
        <w:t xml:space="preserve">1. </w:t>
      </w:r>
      <w:r w:rsidR="00BE770E" w:rsidRPr="007A104F">
        <w:rPr>
          <w:rFonts w:ascii="Times New Roman" w:hAnsi="Times New Roman" w:cs="Times New Roman"/>
          <w:b/>
          <w:sz w:val="28"/>
        </w:rPr>
        <w:t>Uvod</w:t>
      </w:r>
      <w:bookmarkEnd w:id="0"/>
    </w:p>
    <w:p w14:paraId="12AF73F8" w14:textId="77777777" w:rsidR="00EF2CCB" w:rsidRPr="005142C4" w:rsidRDefault="00EF2CCB" w:rsidP="005142C4">
      <w:pPr>
        <w:spacing w:after="0" w:line="240" w:lineRule="auto"/>
        <w:ind w:left="0" w:right="0" w:firstLine="0"/>
        <w:rPr>
          <w:rFonts w:ascii="Times New Roman" w:hAnsi="Times New Roman" w:cs="Times New Roman"/>
          <w:sz w:val="24"/>
        </w:rPr>
      </w:pPr>
    </w:p>
    <w:p w14:paraId="7000B760" w14:textId="77777777" w:rsidR="00E40AC8" w:rsidRPr="005142C4" w:rsidRDefault="00900184" w:rsidP="005142C4">
      <w:pPr>
        <w:spacing w:after="0" w:line="240" w:lineRule="auto"/>
        <w:ind w:left="0" w:right="0" w:firstLine="0"/>
        <w:rPr>
          <w:rFonts w:ascii="Times New Roman" w:hAnsi="Times New Roman" w:cs="Times New Roman"/>
          <w:b/>
          <w:sz w:val="24"/>
        </w:rPr>
      </w:pPr>
      <w:bookmarkStart w:id="1" w:name="_Toc2938524"/>
      <w:r w:rsidRPr="005142C4">
        <w:rPr>
          <w:rFonts w:ascii="Times New Roman" w:hAnsi="Times New Roman" w:cs="Times New Roman"/>
          <w:b/>
          <w:sz w:val="24"/>
        </w:rPr>
        <w:t>1.1</w:t>
      </w:r>
      <w:r w:rsidR="005142C4" w:rsidRPr="005142C4">
        <w:rPr>
          <w:rFonts w:ascii="Times New Roman" w:hAnsi="Times New Roman" w:cs="Times New Roman"/>
          <w:b/>
          <w:sz w:val="24"/>
        </w:rPr>
        <w:t>.</w:t>
      </w:r>
      <w:r w:rsidRPr="005142C4">
        <w:rPr>
          <w:rFonts w:ascii="Times New Roman" w:hAnsi="Times New Roman" w:cs="Times New Roman"/>
          <w:b/>
          <w:sz w:val="24"/>
        </w:rPr>
        <w:t xml:space="preserve"> Temelj za izradu procjene rizika</w:t>
      </w:r>
      <w:bookmarkEnd w:id="1"/>
    </w:p>
    <w:p w14:paraId="6687C640" w14:textId="77777777" w:rsidR="00EF2CCB" w:rsidRPr="005142C4" w:rsidRDefault="00EF2CCB" w:rsidP="005142C4">
      <w:pPr>
        <w:spacing w:after="0" w:line="240" w:lineRule="auto"/>
        <w:ind w:left="0" w:right="0" w:firstLine="0"/>
        <w:rPr>
          <w:rFonts w:ascii="Times New Roman" w:hAnsi="Times New Roman" w:cs="Times New Roman"/>
          <w:sz w:val="24"/>
        </w:rPr>
      </w:pPr>
    </w:p>
    <w:p w14:paraId="01CD6024" w14:textId="2902C402" w:rsidR="00E40AC8" w:rsidRPr="005142C4" w:rsidRDefault="00900184"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Temeljem članka 17. stavka 1. alineje 2. Zakona o sustavu civilne zaštite (Narodne novine</w:t>
      </w:r>
      <w:r w:rsidR="004201AC">
        <w:rPr>
          <w:rFonts w:ascii="Times New Roman" w:hAnsi="Times New Roman" w:cs="Times New Roman"/>
          <w:sz w:val="24"/>
        </w:rPr>
        <w:t xml:space="preserve"> </w:t>
      </w:r>
      <w:r w:rsidR="004201AC" w:rsidRPr="004201AC">
        <w:rPr>
          <w:rFonts w:ascii="Times New Roman" w:hAnsi="Times New Roman" w:cs="Times New Roman"/>
          <w:sz w:val="24"/>
        </w:rPr>
        <w:t>82/15, 118/18, 31/20 i 20/21</w:t>
      </w:r>
      <w:r w:rsidRPr="005142C4">
        <w:rPr>
          <w:rFonts w:ascii="Times New Roman" w:hAnsi="Times New Roman" w:cs="Times New Roman"/>
          <w:sz w:val="24"/>
        </w:rPr>
        <w:t>) predstavničko tijelo, na prijedlog izvršnog tijela jedinice lokalne i područne (regionalne) samouprave</w:t>
      </w:r>
      <w:r w:rsidR="00DD738E">
        <w:rPr>
          <w:rFonts w:ascii="Times New Roman" w:hAnsi="Times New Roman" w:cs="Times New Roman"/>
          <w:sz w:val="24"/>
        </w:rPr>
        <w:t xml:space="preserve">, </w:t>
      </w:r>
      <w:r w:rsidR="0035046F">
        <w:rPr>
          <w:rFonts w:ascii="Times New Roman" w:hAnsi="Times New Roman" w:cs="Times New Roman"/>
          <w:sz w:val="24"/>
        </w:rPr>
        <w:t xml:space="preserve">između ostalog, </w:t>
      </w:r>
      <w:r w:rsidR="00DD738E">
        <w:rPr>
          <w:rFonts w:ascii="Times New Roman" w:hAnsi="Times New Roman" w:cs="Times New Roman"/>
          <w:sz w:val="24"/>
        </w:rPr>
        <w:t>donosi p</w:t>
      </w:r>
      <w:r w:rsidRPr="005142C4">
        <w:rPr>
          <w:rFonts w:ascii="Times New Roman" w:hAnsi="Times New Roman" w:cs="Times New Roman"/>
          <w:sz w:val="24"/>
        </w:rPr>
        <w:t>rocjenu rizika od velikih nesreća.</w:t>
      </w:r>
    </w:p>
    <w:p w14:paraId="3EEE0538" w14:textId="77777777" w:rsidR="00E40AC8" w:rsidRPr="005142C4" w:rsidRDefault="00900184"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Procjena rizika od velikih nesreća za područje Grada Zagreba (u daljnjem tekstu: Procjena rizika) izrađena je sukladno:</w:t>
      </w:r>
    </w:p>
    <w:p w14:paraId="0A6A167B" w14:textId="77777777" w:rsidR="00DD738E" w:rsidRDefault="00E40AC8"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color="000000"/>
        </w:rPr>
        <w:t>1.</w:t>
      </w:r>
      <w:r w:rsidR="00B43203" w:rsidRPr="005142C4">
        <w:rPr>
          <w:rFonts w:ascii="Times New Roman" w:hAnsi="Times New Roman" w:cs="Times New Roman"/>
          <w:sz w:val="24"/>
          <w:u w:color="000000"/>
        </w:rPr>
        <w:t xml:space="preserve"> </w:t>
      </w:r>
      <w:r w:rsidR="00900184" w:rsidRPr="005142C4">
        <w:rPr>
          <w:rFonts w:ascii="Times New Roman" w:hAnsi="Times New Roman" w:cs="Times New Roman"/>
          <w:sz w:val="24"/>
        </w:rPr>
        <w:t xml:space="preserve">Zakonu o sustavu civilne zaštite </w:t>
      </w:r>
    </w:p>
    <w:p w14:paraId="739B88E3" w14:textId="4AE69189" w:rsidR="00E40AC8" w:rsidRPr="005142C4" w:rsidRDefault="00E40AC8"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2.</w:t>
      </w:r>
      <w:r w:rsidR="00B43203" w:rsidRPr="005142C4">
        <w:rPr>
          <w:rFonts w:ascii="Times New Roman" w:hAnsi="Times New Roman" w:cs="Times New Roman"/>
          <w:sz w:val="24"/>
        </w:rPr>
        <w:t xml:space="preserve"> </w:t>
      </w:r>
      <w:r w:rsidR="00900184" w:rsidRPr="005142C4">
        <w:rPr>
          <w:rFonts w:ascii="Times New Roman" w:hAnsi="Times New Roman" w:cs="Times New Roman"/>
          <w:sz w:val="24"/>
        </w:rPr>
        <w:t>Pravilniku o smjernicama za izradu procjena rizika od katastrofa i velikih nesreća za područje Republike Hrvatske i jedinica lokalne i područne (regionalne) samouprave (Narodne novine 65/16)</w:t>
      </w:r>
    </w:p>
    <w:p w14:paraId="30DF70F0" w14:textId="77777777" w:rsidR="00E40AC8" w:rsidRPr="005142C4" w:rsidRDefault="00E40AC8"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3.</w:t>
      </w:r>
      <w:r w:rsidR="00B43203" w:rsidRPr="005142C4">
        <w:rPr>
          <w:rFonts w:ascii="Times New Roman" w:hAnsi="Times New Roman" w:cs="Times New Roman"/>
          <w:sz w:val="24"/>
        </w:rPr>
        <w:t xml:space="preserve"> </w:t>
      </w:r>
      <w:r w:rsidR="00900184" w:rsidRPr="005142C4">
        <w:rPr>
          <w:rFonts w:ascii="Times New Roman" w:hAnsi="Times New Roman" w:cs="Times New Roman"/>
          <w:sz w:val="24"/>
        </w:rPr>
        <w:t>Procjeni rizika od katastrofa za Republiku Hrvatsku</w:t>
      </w:r>
    </w:p>
    <w:p w14:paraId="06FC866D" w14:textId="058A96DB" w:rsidR="00E40AC8" w:rsidRPr="005142C4" w:rsidRDefault="00E40AC8"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4.</w:t>
      </w:r>
      <w:r w:rsidR="00B43203" w:rsidRPr="005142C4">
        <w:rPr>
          <w:rFonts w:ascii="Times New Roman" w:hAnsi="Times New Roman" w:cs="Times New Roman"/>
          <w:sz w:val="24"/>
        </w:rPr>
        <w:t xml:space="preserve"> </w:t>
      </w:r>
      <w:r w:rsidR="00900184" w:rsidRPr="005142C4">
        <w:rPr>
          <w:rFonts w:ascii="Times New Roman" w:hAnsi="Times New Roman" w:cs="Times New Roman"/>
          <w:sz w:val="24"/>
        </w:rPr>
        <w:t>Smjernicama za izradu Procjene rizika od velikih nesreća na području Grada Zagreba</w:t>
      </w:r>
      <w:r w:rsidRPr="005142C4">
        <w:rPr>
          <w:rFonts w:ascii="Times New Roman" w:hAnsi="Times New Roman" w:cs="Times New Roman"/>
          <w:sz w:val="24"/>
        </w:rPr>
        <w:t xml:space="preserve"> </w:t>
      </w:r>
      <w:r w:rsidR="0035046F">
        <w:rPr>
          <w:rFonts w:ascii="Times New Roman" w:hAnsi="Times New Roman" w:cs="Times New Roman"/>
          <w:sz w:val="24"/>
        </w:rPr>
        <w:t xml:space="preserve">Klasa: 804-03/16-008/2 od </w:t>
      </w:r>
      <w:r w:rsidR="00900184" w:rsidRPr="005142C4">
        <w:rPr>
          <w:rFonts w:ascii="Times New Roman" w:hAnsi="Times New Roman" w:cs="Times New Roman"/>
          <w:sz w:val="24"/>
        </w:rPr>
        <w:t>28.</w:t>
      </w:r>
      <w:r w:rsidR="0035046F">
        <w:rPr>
          <w:rFonts w:ascii="Times New Roman" w:hAnsi="Times New Roman" w:cs="Times New Roman"/>
          <w:sz w:val="24"/>
        </w:rPr>
        <w:t>12.</w:t>
      </w:r>
      <w:r w:rsidR="00900184" w:rsidRPr="005142C4">
        <w:rPr>
          <w:rFonts w:ascii="Times New Roman" w:hAnsi="Times New Roman" w:cs="Times New Roman"/>
          <w:sz w:val="24"/>
        </w:rPr>
        <w:t>2016. (u daljnjem tekstu: Smjernice).</w:t>
      </w:r>
    </w:p>
    <w:p w14:paraId="20BDB1E8" w14:textId="7FA68E58" w:rsidR="00E40AC8" w:rsidRPr="005142C4" w:rsidRDefault="00DD738E" w:rsidP="005142C4">
      <w:pPr>
        <w:spacing w:after="0" w:line="240" w:lineRule="auto"/>
        <w:ind w:left="0" w:right="0" w:firstLine="709"/>
        <w:rPr>
          <w:rFonts w:ascii="Times New Roman" w:hAnsi="Times New Roman" w:cs="Times New Roman"/>
          <w:sz w:val="24"/>
        </w:rPr>
      </w:pPr>
      <w:r>
        <w:rPr>
          <w:rFonts w:ascii="Times New Roman" w:hAnsi="Times New Roman" w:cs="Times New Roman"/>
          <w:sz w:val="24"/>
        </w:rPr>
        <w:t>Za potrebe izrade P</w:t>
      </w:r>
      <w:r w:rsidR="00900184" w:rsidRPr="005142C4">
        <w:rPr>
          <w:rFonts w:ascii="Times New Roman" w:hAnsi="Times New Roman" w:cs="Times New Roman"/>
          <w:sz w:val="24"/>
        </w:rPr>
        <w:t>rocjene rizika korištena je i Procjena ugroženosti stanovništva, materijalnih i kulturnih dobara i okoliša od katastrofa i velikih nesreća za područje Grada Zagreba</w:t>
      </w:r>
      <w:r w:rsidR="0035046F">
        <w:rPr>
          <w:rFonts w:ascii="Times New Roman" w:hAnsi="Times New Roman" w:cs="Times New Roman"/>
          <w:sz w:val="24"/>
        </w:rPr>
        <w:t xml:space="preserve"> (Službeni glasnik Grada Zagreba 4/16)</w:t>
      </w:r>
      <w:r w:rsidR="00900184" w:rsidRPr="005142C4">
        <w:rPr>
          <w:rFonts w:ascii="Times New Roman" w:hAnsi="Times New Roman" w:cs="Times New Roman"/>
          <w:sz w:val="24"/>
        </w:rPr>
        <w:t>.</w:t>
      </w:r>
    </w:p>
    <w:p w14:paraId="285ECE80" w14:textId="5A5C6454" w:rsidR="00E40AC8" w:rsidRPr="005142C4" w:rsidRDefault="00900184"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Potreba izrade </w:t>
      </w:r>
      <w:r w:rsidR="00DD738E">
        <w:rPr>
          <w:rFonts w:ascii="Times New Roman" w:hAnsi="Times New Roman" w:cs="Times New Roman"/>
          <w:sz w:val="24"/>
        </w:rPr>
        <w:t>P</w:t>
      </w:r>
      <w:r w:rsidRPr="005142C4">
        <w:rPr>
          <w:rFonts w:ascii="Times New Roman" w:hAnsi="Times New Roman" w:cs="Times New Roman"/>
          <w:sz w:val="24"/>
        </w:rPr>
        <w:t>rocjene rizika temelji se na praktičnim, društvenim i ekonomskim razlozima koji uključuju:</w:t>
      </w:r>
    </w:p>
    <w:p w14:paraId="5824C756" w14:textId="13394E0D" w:rsidR="00E40AC8" w:rsidRPr="005142C4" w:rsidRDefault="00EE6A22" w:rsidP="005142C4">
      <w:pPr>
        <w:spacing w:after="0" w:line="240" w:lineRule="auto"/>
        <w:ind w:left="879" w:right="0" w:hanging="170"/>
        <w:rPr>
          <w:rFonts w:ascii="Times New Roman" w:hAnsi="Times New Roman" w:cs="Times New Roman"/>
          <w:sz w:val="24"/>
        </w:rPr>
      </w:pPr>
      <w:r w:rsidRPr="005142C4">
        <w:rPr>
          <w:rFonts w:ascii="Times New Roman" w:hAnsi="Times New Roman" w:cs="Times New Roman"/>
          <w:sz w:val="24"/>
        </w:rPr>
        <w:t>-</w:t>
      </w:r>
      <w:r w:rsidR="00E40AC8" w:rsidRPr="005142C4">
        <w:rPr>
          <w:rFonts w:ascii="Times New Roman" w:hAnsi="Times New Roman" w:cs="Times New Roman"/>
          <w:sz w:val="24"/>
        </w:rPr>
        <w:tab/>
      </w:r>
      <w:r w:rsidR="00DD738E">
        <w:rPr>
          <w:rFonts w:ascii="Times New Roman" w:hAnsi="Times New Roman" w:cs="Times New Roman"/>
          <w:sz w:val="24"/>
        </w:rPr>
        <w:t>unapr</w:t>
      </w:r>
      <w:r w:rsidR="00900184" w:rsidRPr="005142C4">
        <w:rPr>
          <w:rFonts w:ascii="Times New Roman" w:hAnsi="Times New Roman" w:cs="Times New Roman"/>
          <w:sz w:val="24"/>
        </w:rPr>
        <w:t>eđenje shvaćanja rizika za praktično korištenj</w:t>
      </w:r>
      <w:r w:rsidR="00B918FA">
        <w:rPr>
          <w:rFonts w:ascii="Times New Roman" w:hAnsi="Times New Roman" w:cs="Times New Roman"/>
          <w:sz w:val="24"/>
        </w:rPr>
        <w:t>e</w:t>
      </w:r>
      <w:r w:rsidR="00900184" w:rsidRPr="005142C4">
        <w:rPr>
          <w:rFonts w:ascii="Times New Roman" w:hAnsi="Times New Roman" w:cs="Times New Roman"/>
          <w:sz w:val="24"/>
        </w:rPr>
        <w:t xml:space="preserve"> u postupcima planiranja, investiranja, osiguranja te sličnim aktivnostima</w:t>
      </w:r>
      <w:r w:rsidR="00DD738E">
        <w:rPr>
          <w:rFonts w:ascii="Times New Roman" w:hAnsi="Times New Roman" w:cs="Times New Roman"/>
          <w:sz w:val="24"/>
        </w:rPr>
        <w:t>;</w:t>
      </w:r>
    </w:p>
    <w:p w14:paraId="160008FC" w14:textId="07C5F069" w:rsidR="00EE6A22" w:rsidRPr="005142C4" w:rsidRDefault="00EE6A22" w:rsidP="005142C4">
      <w:pPr>
        <w:spacing w:after="0" w:line="240" w:lineRule="auto"/>
        <w:ind w:left="879" w:right="0" w:hanging="170"/>
        <w:rPr>
          <w:rFonts w:ascii="Times New Roman" w:hAnsi="Times New Roman" w:cs="Times New Roman"/>
          <w:sz w:val="24"/>
        </w:rPr>
      </w:pPr>
      <w:r w:rsidRPr="005142C4">
        <w:rPr>
          <w:rFonts w:ascii="Times New Roman" w:hAnsi="Times New Roman" w:cs="Times New Roman"/>
          <w:sz w:val="24"/>
        </w:rPr>
        <w:t>-</w:t>
      </w:r>
      <w:r w:rsidR="00E40AC8" w:rsidRPr="005142C4">
        <w:rPr>
          <w:rFonts w:ascii="Times New Roman" w:hAnsi="Times New Roman" w:cs="Times New Roman"/>
          <w:sz w:val="24"/>
        </w:rPr>
        <w:tab/>
      </w:r>
      <w:r w:rsidR="00900184" w:rsidRPr="005142C4">
        <w:rPr>
          <w:rFonts w:ascii="Times New Roman" w:hAnsi="Times New Roman" w:cs="Times New Roman"/>
          <w:sz w:val="24"/>
        </w:rPr>
        <w:t>standardiziranje procjenjivanja rizika na svim razinama i od svih sektora</w:t>
      </w:r>
      <w:r w:rsidR="00DD738E">
        <w:rPr>
          <w:rFonts w:ascii="Times New Roman" w:hAnsi="Times New Roman" w:cs="Times New Roman"/>
          <w:sz w:val="24"/>
        </w:rPr>
        <w:t>;</w:t>
      </w:r>
    </w:p>
    <w:p w14:paraId="1A655DC0" w14:textId="7B4B38AE" w:rsidR="00EE6A22" w:rsidRPr="005142C4" w:rsidRDefault="00EE6A22" w:rsidP="005142C4">
      <w:pPr>
        <w:spacing w:after="0" w:line="240" w:lineRule="auto"/>
        <w:ind w:left="879" w:right="0" w:hanging="170"/>
        <w:rPr>
          <w:rFonts w:ascii="Times New Roman" w:hAnsi="Times New Roman" w:cs="Times New Roman"/>
          <w:sz w:val="24"/>
        </w:rPr>
      </w:pPr>
      <w:r w:rsidRPr="005142C4">
        <w:rPr>
          <w:rFonts w:ascii="Times New Roman" w:hAnsi="Times New Roman" w:cs="Times New Roman"/>
          <w:sz w:val="24"/>
        </w:rPr>
        <w:t>-</w:t>
      </w:r>
      <w:r w:rsidR="00900184" w:rsidRPr="005142C4">
        <w:rPr>
          <w:rFonts w:ascii="Times New Roman" w:hAnsi="Times New Roman" w:cs="Times New Roman"/>
          <w:sz w:val="24"/>
        </w:rPr>
        <w:tab/>
        <w:t>pojednostavnjenje procesa u svrhu lakšeg nadzora i razumijevanja izlaznih rezultata</w:t>
      </w:r>
      <w:r w:rsidR="00DD738E">
        <w:rPr>
          <w:rFonts w:ascii="Times New Roman" w:hAnsi="Times New Roman" w:cs="Times New Roman"/>
          <w:sz w:val="24"/>
        </w:rPr>
        <w:t xml:space="preserve"> i</w:t>
      </w:r>
    </w:p>
    <w:p w14:paraId="3DCA5D0D" w14:textId="77777777" w:rsidR="00E40AC8" w:rsidRPr="005142C4" w:rsidRDefault="00EE6A22" w:rsidP="005142C4">
      <w:pPr>
        <w:spacing w:after="0" w:line="240" w:lineRule="auto"/>
        <w:ind w:left="879" w:right="0" w:hanging="170"/>
        <w:rPr>
          <w:rFonts w:ascii="Times New Roman" w:hAnsi="Times New Roman" w:cs="Times New Roman"/>
          <w:sz w:val="24"/>
        </w:rPr>
      </w:pPr>
      <w:r w:rsidRPr="005142C4">
        <w:rPr>
          <w:rFonts w:ascii="Times New Roman" w:hAnsi="Times New Roman" w:cs="Times New Roman"/>
          <w:sz w:val="24"/>
        </w:rPr>
        <w:t>-</w:t>
      </w:r>
      <w:r w:rsidR="00900184" w:rsidRPr="005142C4">
        <w:rPr>
          <w:rFonts w:ascii="Times New Roman" w:hAnsi="Times New Roman" w:cs="Times New Roman"/>
          <w:sz w:val="24"/>
        </w:rPr>
        <w:tab/>
        <w:t>jačanje dosljednosti radi lakše usporedbe rezultata različitih područja i/ili prijetnji.</w:t>
      </w:r>
    </w:p>
    <w:p w14:paraId="17608E72" w14:textId="61607A6C" w:rsidR="00E40AC8" w:rsidRPr="005142C4" w:rsidRDefault="00900184"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Procjena rizika izrađuje se u svrhu smanjenja rizika i posljedica velikih nesreća odnosno prepoznavanja i učinkovitijeg upravljanja rizicima.</w:t>
      </w:r>
    </w:p>
    <w:p w14:paraId="6E457345" w14:textId="77777777" w:rsidR="00E40AC8" w:rsidRDefault="00900184"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Procesi i metodologije analiziranja i procjenjivanja rizika kontinuirano se razvijaju i modificiraju sukladno promjenama u okolišu te tehničko</w:t>
      </w:r>
      <w:r w:rsidR="00EE6A22" w:rsidRPr="005142C4">
        <w:rPr>
          <w:rFonts w:ascii="Times New Roman" w:hAnsi="Times New Roman" w:cs="Times New Roman"/>
          <w:sz w:val="24"/>
        </w:rPr>
        <w:t>-</w:t>
      </w:r>
      <w:r w:rsidRPr="005142C4">
        <w:rPr>
          <w:rFonts w:ascii="Times New Roman" w:hAnsi="Times New Roman" w:cs="Times New Roman"/>
          <w:sz w:val="24"/>
        </w:rPr>
        <w:t>tehnološkim procesima. Stoga izrađena Procjena rizika za Grad Zagreb prikazuje situaciju na području Grada s danom donošenja dokumenta.</w:t>
      </w:r>
    </w:p>
    <w:p w14:paraId="31C86F79" w14:textId="2F39913B" w:rsidR="00D208F0" w:rsidRDefault="00D208F0" w:rsidP="00512B43">
      <w:pPr>
        <w:spacing w:after="0" w:line="240" w:lineRule="auto"/>
        <w:ind w:left="0" w:right="0" w:firstLine="709"/>
        <w:rPr>
          <w:rFonts w:ascii="Times New Roman" w:hAnsi="Times New Roman" w:cs="Times New Roman"/>
          <w:sz w:val="24"/>
        </w:rPr>
      </w:pPr>
      <w:r>
        <w:rPr>
          <w:rFonts w:ascii="Times New Roman" w:hAnsi="Times New Roman" w:cs="Times New Roman"/>
          <w:sz w:val="24"/>
        </w:rPr>
        <w:t>Gradska skupština Grada Zagreba je, 21. ožujka 2019., donijela Procjenu rizika od velikih nesreća za područje Grada Zagreba (Službeni glasnik Grada Zagreba 6/19).</w:t>
      </w:r>
    </w:p>
    <w:p w14:paraId="76DD46B7" w14:textId="3A3E3524" w:rsidR="00D208F0" w:rsidRDefault="00D208F0" w:rsidP="00D208F0">
      <w:pPr>
        <w:spacing w:after="0" w:line="240" w:lineRule="auto"/>
        <w:ind w:left="0" w:right="0" w:firstLine="709"/>
        <w:rPr>
          <w:rFonts w:ascii="Times New Roman" w:hAnsi="Times New Roman" w:cs="Times New Roman"/>
          <w:sz w:val="24"/>
        </w:rPr>
      </w:pPr>
      <w:r>
        <w:rPr>
          <w:rFonts w:ascii="Times New Roman" w:hAnsi="Times New Roman" w:cs="Times New Roman"/>
          <w:sz w:val="24"/>
        </w:rPr>
        <w:t xml:space="preserve">Člankom </w:t>
      </w:r>
      <w:r w:rsidRPr="00512B43">
        <w:rPr>
          <w:rFonts w:ascii="Times New Roman" w:hAnsi="Times New Roman" w:cs="Times New Roman"/>
          <w:sz w:val="24"/>
        </w:rPr>
        <w:t>8. stav</w:t>
      </w:r>
      <w:r>
        <w:rPr>
          <w:rFonts w:ascii="Times New Roman" w:hAnsi="Times New Roman" w:cs="Times New Roman"/>
          <w:sz w:val="24"/>
        </w:rPr>
        <w:t>kom</w:t>
      </w:r>
      <w:r w:rsidRPr="00512B43">
        <w:rPr>
          <w:rFonts w:ascii="Times New Roman" w:hAnsi="Times New Roman" w:cs="Times New Roman"/>
          <w:sz w:val="24"/>
        </w:rPr>
        <w:t xml:space="preserve"> 2. Pravilnika o smjernicama za izradu procjena rizika od katastrofa i velikih nesreća za područje Republike Hrvatske i jedinica lokalne i područne (regionalne) samouprave </w:t>
      </w:r>
      <w:r>
        <w:rPr>
          <w:rFonts w:ascii="Times New Roman" w:hAnsi="Times New Roman" w:cs="Times New Roman"/>
          <w:sz w:val="24"/>
        </w:rPr>
        <w:t>propisano je da se procjene rizika od velikih nesreća za područja jedinica lokalne samouprave izrađuju najmanje jednom u tri godine.</w:t>
      </w:r>
    </w:p>
    <w:p w14:paraId="26190ADC" w14:textId="3906BE07" w:rsidR="006379F4" w:rsidRPr="005142C4" w:rsidRDefault="002164B2" w:rsidP="00251342">
      <w:pPr>
        <w:spacing w:after="0" w:line="240" w:lineRule="auto"/>
        <w:ind w:left="0" w:right="0" w:firstLine="709"/>
        <w:rPr>
          <w:rFonts w:ascii="Times New Roman" w:hAnsi="Times New Roman" w:cs="Times New Roman"/>
          <w:sz w:val="24"/>
        </w:rPr>
      </w:pPr>
      <w:r>
        <w:rPr>
          <w:rFonts w:ascii="Times New Roman" w:hAnsi="Times New Roman" w:cs="Times New Roman"/>
          <w:sz w:val="24"/>
        </w:rPr>
        <w:lastRenderedPageBreak/>
        <w:t xml:space="preserve">Članovi radne skupine izradili su </w:t>
      </w:r>
      <w:r w:rsidR="00485335">
        <w:rPr>
          <w:rFonts w:ascii="Times New Roman" w:hAnsi="Times New Roman" w:cs="Times New Roman"/>
          <w:sz w:val="24"/>
        </w:rPr>
        <w:t>Prijedlog nove</w:t>
      </w:r>
      <w:r>
        <w:rPr>
          <w:rFonts w:ascii="Times New Roman" w:hAnsi="Times New Roman" w:cs="Times New Roman"/>
          <w:sz w:val="24"/>
        </w:rPr>
        <w:t xml:space="preserve"> Procjene rizika </w:t>
      </w:r>
      <w:r w:rsidR="00900184" w:rsidRPr="005142C4">
        <w:rPr>
          <w:rFonts w:ascii="Times New Roman" w:hAnsi="Times New Roman" w:cs="Times New Roman"/>
          <w:sz w:val="24"/>
        </w:rPr>
        <w:t xml:space="preserve">u </w:t>
      </w:r>
      <w:r>
        <w:rPr>
          <w:rFonts w:ascii="Times New Roman" w:hAnsi="Times New Roman" w:cs="Times New Roman"/>
          <w:sz w:val="24"/>
        </w:rPr>
        <w:t>kojoj je izvršeno ažuriranje</w:t>
      </w:r>
      <w:r w:rsidR="00251342">
        <w:rPr>
          <w:rFonts w:ascii="Times New Roman" w:hAnsi="Times New Roman" w:cs="Times New Roman"/>
          <w:sz w:val="24"/>
        </w:rPr>
        <w:t xml:space="preserve"> statističkih </w:t>
      </w:r>
      <w:r w:rsidR="00251342" w:rsidRPr="00251342">
        <w:rPr>
          <w:rFonts w:ascii="Times New Roman" w:hAnsi="Times New Roman" w:cs="Times New Roman"/>
          <w:sz w:val="24"/>
        </w:rPr>
        <w:t>podataka</w:t>
      </w:r>
      <w:r w:rsidR="00251342">
        <w:rPr>
          <w:rFonts w:ascii="Times New Roman" w:hAnsi="Times New Roman" w:cs="Times New Roman"/>
          <w:sz w:val="24"/>
        </w:rPr>
        <w:t xml:space="preserve">, </w:t>
      </w:r>
      <w:r w:rsidR="00251342" w:rsidRPr="00251342">
        <w:rPr>
          <w:rFonts w:ascii="Times New Roman" w:hAnsi="Times New Roman" w:cs="Times New Roman"/>
          <w:sz w:val="24"/>
        </w:rPr>
        <w:t xml:space="preserve">kriterija (u tablicama) sukladno novom popisu stanovništva i </w:t>
      </w:r>
      <w:r w:rsidR="00251342">
        <w:rPr>
          <w:rFonts w:ascii="Times New Roman" w:hAnsi="Times New Roman" w:cs="Times New Roman"/>
          <w:sz w:val="24"/>
        </w:rPr>
        <w:t xml:space="preserve">iznosu </w:t>
      </w:r>
      <w:r w:rsidR="00251342" w:rsidRPr="00251342">
        <w:rPr>
          <w:rFonts w:ascii="Times New Roman" w:hAnsi="Times New Roman" w:cs="Times New Roman"/>
          <w:sz w:val="24"/>
        </w:rPr>
        <w:t>proračun</w:t>
      </w:r>
      <w:r w:rsidR="00251342">
        <w:rPr>
          <w:rFonts w:ascii="Times New Roman" w:hAnsi="Times New Roman" w:cs="Times New Roman"/>
          <w:sz w:val="24"/>
        </w:rPr>
        <w:t xml:space="preserve">a </w:t>
      </w:r>
      <w:r w:rsidR="00251342" w:rsidRPr="00251342">
        <w:rPr>
          <w:rFonts w:ascii="Times New Roman" w:hAnsi="Times New Roman" w:cs="Times New Roman"/>
          <w:sz w:val="24"/>
        </w:rPr>
        <w:t>Grada Zagreba</w:t>
      </w:r>
      <w:r w:rsidR="00251342">
        <w:rPr>
          <w:rFonts w:ascii="Times New Roman" w:hAnsi="Times New Roman" w:cs="Times New Roman"/>
          <w:sz w:val="24"/>
        </w:rPr>
        <w:t xml:space="preserve"> te su obrađena tri nova rizika: </w:t>
      </w:r>
      <w:r w:rsidR="00251342" w:rsidRPr="00AC32CB">
        <w:rPr>
          <w:rFonts w:ascii="Times New Roman" w:hAnsi="Times New Roman" w:cs="Times New Roman"/>
          <w:b/>
          <w:sz w:val="24"/>
        </w:rPr>
        <w:t>nuklearna nesreća, klizišta i nesreće na odlagalištima otpada</w:t>
      </w:r>
      <w:r w:rsidR="00251342">
        <w:rPr>
          <w:rFonts w:ascii="Times New Roman" w:hAnsi="Times New Roman" w:cs="Times New Roman"/>
          <w:sz w:val="24"/>
        </w:rPr>
        <w:t>.</w:t>
      </w:r>
    </w:p>
    <w:p w14:paraId="29C25EEF" w14:textId="0EEDC61B" w:rsidR="00E40AC8" w:rsidRPr="00AC32CB" w:rsidRDefault="00900184" w:rsidP="00FE07AC">
      <w:pPr>
        <w:spacing w:after="0" w:line="240" w:lineRule="auto"/>
        <w:ind w:left="0" w:right="0" w:firstLine="709"/>
        <w:rPr>
          <w:rFonts w:ascii="Times New Roman" w:hAnsi="Times New Roman" w:cs="Times New Roman"/>
          <w:color w:val="0070C0"/>
          <w:sz w:val="24"/>
          <w:szCs w:val="24"/>
        </w:rPr>
      </w:pPr>
      <w:r w:rsidRPr="00BF66E4">
        <w:rPr>
          <w:rFonts w:ascii="Times New Roman" w:hAnsi="Times New Roman" w:cs="Times New Roman"/>
          <w:sz w:val="24"/>
          <w:szCs w:val="24"/>
        </w:rPr>
        <w:t>Procjena rizika ne provodi se za antropogene prijetnje poput ratova i terorističkih djelovanja te ostalih zlonamjernih aktivnosti pojedinaca koje mogu ugroziti stanovništvo, materijalna i kulturna dobra te okoliš na području Grada Zagreba</w:t>
      </w:r>
      <w:r w:rsidR="00FE07AC">
        <w:rPr>
          <w:rFonts w:ascii="Times New Roman" w:hAnsi="Times New Roman" w:cs="Times New Roman"/>
          <w:sz w:val="24"/>
          <w:szCs w:val="24"/>
        </w:rPr>
        <w:t xml:space="preserve">, </w:t>
      </w:r>
      <w:r w:rsidR="00FE07AC" w:rsidRPr="00AC32CB">
        <w:rPr>
          <w:rFonts w:ascii="Times New Roman" w:hAnsi="Times New Roman" w:cs="Times New Roman"/>
          <w:color w:val="auto"/>
          <w:sz w:val="24"/>
          <w:szCs w:val="24"/>
        </w:rPr>
        <w:t>u skladu s uputom navedenom u Smjernicama za izradu Procjene rizika od katastrofa u Republici Hrvatskoj.</w:t>
      </w:r>
    </w:p>
    <w:p w14:paraId="20C0B577" w14:textId="77777777" w:rsidR="00E40AC8" w:rsidRPr="00E26D7F" w:rsidRDefault="00900184"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Kao temelj za izradu Procjene rizika korištene su </w:t>
      </w:r>
      <w:r w:rsidRPr="00E26D7F">
        <w:rPr>
          <w:rFonts w:ascii="Times New Roman" w:hAnsi="Times New Roman" w:cs="Times New Roman"/>
          <w:sz w:val="24"/>
        </w:rPr>
        <w:t>Smjernice.</w:t>
      </w:r>
    </w:p>
    <w:p w14:paraId="1BFE6A61" w14:textId="6C6320AD" w:rsidR="00E40AC8" w:rsidRPr="005142C4" w:rsidRDefault="00900184"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Svrha Smjernica je urediti integriran, sveobuhvatan i objektivan pristup svih dionika tijekom procesa procjenjivanja rizika. Smjernicama na temelju kojih je Procjena rizika izrađena primarno </w:t>
      </w:r>
      <w:r w:rsidR="00B918FA">
        <w:rPr>
          <w:rFonts w:ascii="Times New Roman" w:hAnsi="Times New Roman" w:cs="Times New Roman"/>
          <w:sz w:val="24"/>
        </w:rPr>
        <w:t xml:space="preserve">se </w:t>
      </w:r>
      <w:r w:rsidRPr="005142C4">
        <w:rPr>
          <w:rFonts w:ascii="Times New Roman" w:hAnsi="Times New Roman" w:cs="Times New Roman"/>
          <w:sz w:val="24"/>
        </w:rPr>
        <w:t xml:space="preserve">utvrđuje metodologija za procjenjivanje rizika te prikazivanje </w:t>
      </w:r>
      <w:r w:rsidR="00BA02DF">
        <w:rPr>
          <w:rFonts w:ascii="Times New Roman" w:hAnsi="Times New Roman" w:cs="Times New Roman"/>
          <w:sz w:val="24"/>
        </w:rPr>
        <w:t>p</w:t>
      </w:r>
      <w:r w:rsidRPr="005142C4">
        <w:rPr>
          <w:rFonts w:ascii="Times New Roman" w:hAnsi="Times New Roman" w:cs="Times New Roman"/>
          <w:sz w:val="24"/>
        </w:rPr>
        <w:t>rocjene rizika u propisanom formatu scenarija dok će se izlazni rezultati postupka iz integrirane i verificirane Procjene rizika koristiti za definiranj</w:t>
      </w:r>
      <w:r w:rsidR="009F35CF">
        <w:rPr>
          <w:rFonts w:ascii="Times New Roman" w:hAnsi="Times New Roman" w:cs="Times New Roman"/>
          <w:sz w:val="24"/>
        </w:rPr>
        <w:t>e</w:t>
      </w:r>
      <w:r w:rsidRPr="005142C4">
        <w:rPr>
          <w:rFonts w:ascii="Times New Roman" w:hAnsi="Times New Roman" w:cs="Times New Roman"/>
          <w:sz w:val="24"/>
        </w:rPr>
        <w:t xml:space="preserve"> politika u područjima upravljanja rizicima ili za ublažavanje njihovih posljedica po zdravlje i živote ljudi, materijalna dobra i okoliš.</w:t>
      </w:r>
    </w:p>
    <w:p w14:paraId="0A43BE0B" w14:textId="623363D0" w:rsidR="00E40AC8" w:rsidRPr="005142C4" w:rsidRDefault="00900184"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Rizik obuhvaća kombinaciju vjerojatnosti nekog događaja i njegovih negativnih posljedica. Postupak izrade Procjene rizika usklađen je s normom HRN EN ISO 31000:2012 </w:t>
      </w:r>
      <w:r w:rsidR="00EE6A22" w:rsidRPr="005142C4">
        <w:rPr>
          <w:rFonts w:ascii="Times New Roman" w:hAnsi="Times New Roman" w:cs="Times New Roman"/>
          <w:sz w:val="24"/>
        </w:rPr>
        <w:t>-</w:t>
      </w:r>
      <w:r w:rsidRPr="005142C4">
        <w:rPr>
          <w:rFonts w:ascii="Times New Roman" w:hAnsi="Times New Roman" w:cs="Times New Roman"/>
          <w:sz w:val="24"/>
        </w:rPr>
        <w:t xml:space="preserve"> Upravljanje rizicima </w:t>
      </w:r>
      <w:r w:rsidR="00EE6A22" w:rsidRPr="005142C4">
        <w:rPr>
          <w:rFonts w:ascii="Times New Roman" w:hAnsi="Times New Roman" w:cs="Times New Roman"/>
          <w:sz w:val="24"/>
        </w:rPr>
        <w:t>-</w:t>
      </w:r>
      <w:r w:rsidRPr="005142C4">
        <w:rPr>
          <w:rFonts w:ascii="Times New Roman" w:hAnsi="Times New Roman" w:cs="Times New Roman"/>
          <w:sz w:val="24"/>
        </w:rPr>
        <w:t xml:space="preserve"> Načela i</w:t>
      </w:r>
      <w:r w:rsidR="00E26D7F">
        <w:rPr>
          <w:rFonts w:ascii="Times New Roman" w:hAnsi="Times New Roman" w:cs="Times New Roman"/>
          <w:sz w:val="24"/>
        </w:rPr>
        <w:t xml:space="preserve"> smjernice, koja služi za unapr</w:t>
      </w:r>
      <w:r w:rsidRPr="005142C4">
        <w:rPr>
          <w:rFonts w:ascii="Times New Roman" w:hAnsi="Times New Roman" w:cs="Times New Roman"/>
          <w:sz w:val="24"/>
        </w:rPr>
        <w:t>eđenj</w:t>
      </w:r>
      <w:r w:rsidR="009F35CF">
        <w:rPr>
          <w:rFonts w:ascii="Times New Roman" w:hAnsi="Times New Roman" w:cs="Times New Roman"/>
          <w:sz w:val="24"/>
        </w:rPr>
        <w:t>e</w:t>
      </w:r>
      <w:r w:rsidRPr="005142C4">
        <w:rPr>
          <w:rFonts w:ascii="Times New Roman" w:hAnsi="Times New Roman" w:cs="Times New Roman"/>
          <w:sz w:val="24"/>
        </w:rPr>
        <w:t xml:space="preserve"> razumijevanja rizika na svim razinama, osobito u smislu povećanja efikasnosti dosad uspostavljenih mjera za smanjenje rizika od velikih nesreća i definiranje novih mjera.</w:t>
      </w:r>
    </w:p>
    <w:p w14:paraId="3D75D152" w14:textId="77777777" w:rsidR="00CB7C89" w:rsidRDefault="00CB7C89" w:rsidP="005142C4">
      <w:pPr>
        <w:spacing w:after="0" w:line="240" w:lineRule="auto"/>
        <w:ind w:left="0" w:right="0" w:firstLine="709"/>
        <w:rPr>
          <w:rFonts w:ascii="Times New Roman" w:hAnsi="Times New Roman" w:cs="Times New Roman"/>
          <w:sz w:val="24"/>
        </w:rPr>
      </w:pPr>
    </w:p>
    <w:p w14:paraId="63DE6550" w14:textId="258A15DF" w:rsidR="00E40AC8" w:rsidRPr="005142C4" w:rsidRDefault="00900184"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Procjena rizika obuhvaća:</w:t>
      </w:r>
    </w:p>
    <w:p w14:paraId="65E1AC8A" w14:textId="77777777" w:rsidR="00E40AC8" w:rsidRPr="005142C4" w:rsidRDefault="00E40AC8" w:rsidP="005142C4">
      <w:pPr>
        <w:spacing w:after="0" w:line="240" w:lineRule="auto"/>
        <w:ind w:left="993" w:right="0" w:hanging="284"/>
        <w:rPr>
          <w:rFonts w:ascii="Times New Roman" w:hAnsi="Times New Roman" w:cs="Times New Roman"/>
          <w:sz w:val="24"/>
        </w:rPr>
      </w:pPr>
      <w:r w:rsidRPr="005142C4">
        <w:rPr>
          <w:rFonts w:ascii="Times New Roman" w:hAnsi="Times New Roman" w:cs="Times New Roman"/>
          <w:sz w:val="24"/>
          <w:u w:color="000000"/>
        </w:rPr>
        <w:t>a)</w:t>
      </w:r>
      <w:r w:rsidRPr="005142C4">
        <w:rPr>
          <w:rFonts w:ascii="Times New Roman" w:hAnsi="Times New Roman" w:cs="Times New Roman"/>
          <w:sz w:val="24"/>
          <w:u w:color="000000"/>
        </w:rPr>
        <w:tab/>
      </w:r>
      <w:r w:rsidR="00900184" w:rsidRPr="005142C4">
        <w:rPr>
          <w:rFonts w:ascii="Times New Roman" w:hAnsi="Times New Roman" w:cs="Times New Roman"/>
          <w:sz w:val="24"/>
        </w:rPr>
        <w:t xml:space="preserve">identifikaciju rizika </w:t>
      </w:r>
      <w:r w:rsidR="00EE6A22" w:rsidRPr="005142C4">
        <w:rPr>
          <w:rFonts w:ascii="Times New Roman" w:hAnsi="Times New Roman" w:cs="Times New Roman"/>
          <w:sz w:val="24"/>
        </w:rPr>
        <w:t>-</w:t>
      </w:r>
      <w:r w:rsidR="00900184" w:rsidRPr="005142C4">
        <w:rPr>
          <w:rFonts w:ascii="Times New Roman" w:hAnsi="Times New Roman" w:cs="Times New Roman"/>
          <w:sz w:val="24"/>
        </w:rPr>
        <w:t xml:space="preserve"> proces pronalaženja, prepoznavanja i opisivanja rizika</w:t>
      </w:r>
    </w:p>
    <w:p w14:paraId="1DA51B5A" w14:textId="77777777" w:rsidR="00E40AC8" w:rsidRPr="005142C4" w:rsidRDefault="00E40AC8" w:rsidP="005142C4">
      <w:pPr>
        <w:spacing w:after="0" w:line="240" w:lineRule="auto"/>
        <w:ind w:left="993" w:right="0" w:hanging="284"/>
        <w:rPr>
          <w:rFonts w:ascii="Times New Roman" w:hAnsi="Times New Roman" w:cs="Times New Roman"/>
          <w:sz w:val="24"/>
        </w:rPr>
      </w:pPr>
      <w:r w:rsidRPr="005142C4">
        <w:rPr>
          <w:rFonts w:ascii="Times New Roman" w:hAnsi="Times New Roman" w:cs="Times New Roman"/>
          <w:sz w:val="24"/>
          <w:u w:color="000000"/>
        </w:rPr>
        <w:t>b)</w:t>
      </w:r>
      <w:r w:rsidRPr="005142C4">
        <w:rPr>
          <w:rFonts w:ascii="Times New Roman" w:hAnsi="Times New Roman" w:cs="Times New Roman"/>
          <w:sz w:val="24"/>
          <w:u w:color="000000"/>
        </w:rPr>
        <w:tab/>
      </w:r>
      <w:r w:rsidR="00900184" w:rsidRPr="005142C4">
        <w:rPr>
          <w:rFonts w:ascii="Times New Roman" w:hAnsi="Times New Roman" w:cs="Times New Roman"/>
          <w:sz w:val="24"/>
        </w:rPr>
        <w:t xml:space="preserve">analizu rizika </w:t>
      </w:r>
      <w:r w:rsidR="00EE6A22" w:rsidRPr="005142C4">
        <w:rPr>
          <w:rFonts w:ascii="Times New Roman" w:hAnsi="Times New Roman" w:cs="Times New Roman"/>
          <w:sz w:val="24"/>
        </w:rPr>
        <w:t>-</w:t>
      </w:r>
      <w:r w:rsidR="00900184" w:rsidRPr="005142C4">
        <w:rPr>
          <w:rFonts w:ascii="Times New Roman" w:hAnsi="Times New Roman" w:cs="Times New Roman"/>
          <w:sz w:val="24"/>
        </w:rPr>
        <w:t xml:space="preserve"> obuhvaća pregled tehničkih karakteristika prijetnji kao što su lokacija, intenzitet, učestalost i vjerojatnost</w:t>
      </w:r>
      <w:r w:rsidR="00B918FA">
        <w:rPr>
          <w:rFonts w:ascii="Times New Roman" w:hAnsi="Times New Roman" w:cs="Times New Roman"/>
          <w:sz w:val="24"/>
        </w:rPr>
        <w:t>,</w:t>
      </w:r>
      <w:r w:rsidR="00900184" w:rsidRPr="005142C4">
        <w:rPr>
          <w:rFonts w:ascii="Times New Roman" w:hAnsi="Times New Roman" w:cs="Times New Roman"/>
          <w:sz w:val="24"/>
        </w:rPr>
        <w:t xml:space="preserve"> analizu izloženosti i ranjivosti te procjenu učinkovitosti prevladavajućih i alternativnih kapaciteta za suočavanja u pogledu vjerojatnih rizičnih scenarija</w:t>
      </w:r>
    </w:p>
    <w:p w14:paraId="621710C7" w14:textId="62C62FE4" w:rsidR="00E40AC8" w:rsidRPr="005142C4" w:rsidRDefault="00E40AC8" w:rsidP="005142C4">
      <w:pPr>
        <w:spacing w:after="0" w:line="240" w:lineRule="auto"/>
        <w:ind w:left="993" w:right="0" w:hanging="284"/>
        <w:rPr>
          <w:rFonts w:ascii="Times New Roman" w:hAnsi="Times New Roman" w:cs="Times New Roman"/>
          <w:sz w:val="24"/>
        </w:rPr>
      </w:pPr>
      <w:r w:rsidRPr="005142C4">
        <w:rPr>
          <w:rFonts w:ascii="Times New Roman" w:hAnsi="Times New Roman" w:cs="Times New Roman"/>
          <w:sz w:val="24"/>
          <w:u w:color="000000"/>
        </w:rPr>
        <w:t>c)</w:t>
      </w:r>
      <w:r w:rsidRPr="005142C4">
        <w:rPr>
          <w:rFonts w:ascii="Times New Roman" w:hAnsi="Times New Roman" w:cs="Times New Roman"/>
          <w:sz w:val="24"/>
          <w:u w:color="000000"/>
        </w:rPr>
        <w:tab/>
      </w:r>
      <w:r w:rsidR="00900184" w:rsidRPr="005142C4">
        <w:rPr>
          <w:rFonts w:ascii="Times New Roman" w:hAnsi="Times New Roman" w:cs="Times New Roman"/>
          <w:sz w:val="24"/>
        </w:rPr>
        <w:t>vrednovanj</w:t>
      </w:r>
      <w:r w:rsidR="00CB7C89">
        <w:rPr>
          <w:rFonts w:ascii="Times New Roman" w:hAnsi="Times New Roman" w:cs="Times New Roman"/>
          <w:sz w:val="24"/>
        </w:rPr>
        <w:t>e</w:t>
      </w:r>
      <w:r w:rsidR="00900184" w:rsidRPr="005142C4">
        <w:rPr>
          <w:rFonts w:ascii="Times New Roman" w:hAnsi="Times New Roman" w:cs="Times New Roman"/>
          <w:sz w:val="24"/>
        </w:rPr>
        <w:t xml:space="preserve"> (evaluacij</w:t>
      </w:r>
      <w:r w:rsidR="00CB7C89">
        <w:rPr>
          <w:rFonts w:ascii="Times New Roman" w:hAnsi="Times New Roman" w:cs="Times New Roman"/>
          <w:sz w:val="24"/>
        </w:rPr>
        <w:t>u</w:t>
      </w:r>
      <w:r w:rsidR="00900184" w:rsidRPr="005142C4">
        <w:rPr>
          <w:rFonts w:ascii="Times New Roman" w:hAnsi="Times New Roman" w:cs="Times New Roman"/>
          <w:sz w:val="24"/>
        </w:rPr>
        <w:t xml:space="preserve">) rizika </w:t>
      </w:r>
      <w:r w:rsidR="00EE6A22" w:rsidRPr="005142C4">
        <w:rPr>
          <w:rFonts w:ascii="Times New Roman" w:hAnsi="Times New Roman" w:cs="Times New Roman"/>
          <w:sz w:val="24"/>
        </w:rPr>
        <w:t>-</w:t>
      </w:r>
      <w:r w:rsidR="00900184" w:rsidRPr="005142C4">
        <w:rPr>
          <w:rFonts w:ascii="Times New Roman" w:hAnsi="Times New Roman" w:cs="Times New Roman"/>
          <w:sz w:val="24"/>
        </w:rPr>
        <w:t xml:space="preserve"> postupak usporedbe rezultata analize rizika s kriterijima prihvatljivosti rizika</w:t>
      </w:r>
    </w:p>
    <w:p w14:paraId="67BB2095" w14:textId="7207C89E" w:rsidR="002164B2" w:rsidRDefault="002164B2" w:rsidP="005142C4">
      <w:pPr>
        <w:spacing w:after="0" w:line="240" w:lineRule="auto"/>
        <w:ind w:left="0" w:firstLine="0"/>
        <w:jc w:val="center"/>
        <w:rPr>
          <w:rFonts w:ascii="Times New Roman" w:hAnsi="Times New Roman" w:cs="Times New Roman"/>
          <w:b/>
          <w:sz w:val="24"/>
          <w:szCs w:val="20"/>
        </w:rPr>
      </w:pPr>
      <w:bookmarkStart w:id="2" w:name="_Toc2938525"/>
    </w:p>
    <w:p w14:paraId="2FA84D5C" w14:textId="77777777" w:rsidR="002164B2" w:rsidRDefault="002164B2" w:rsidP="005142C4">
      <w:pPr>
        <w:spacing w:after="0" w:line="240" w:lineRule="auto"/>
        <w:ind w:left="0" w:firstLine="0"/>
        <w:jc w:val="center"/>
        <w:rPr>
          <w:rFonts w:ascii="Times New Roman" w:hAnsi="Times New Roman" w:cs="Times New Roman"/>
          <w:b/>
          <w:sz w:val="24"/>
          <w:szCs w:val="20"/>
        </w:rPr>
      </w:pPr>
    </w:p>
    <w:p w14:paraId="4CBD96BA" w14:textId="028E63F9" w:rsidR="00E40AC8" w:rsidRDefault="00900184" w:rsidP="009D5EFE">
      <w:pPr>
        <w:spacing w:line="240" w:lineRule="auto"/>
        <w:ind w:left="0" w:firstLine="0"/>
        <w:jc w:val="center"/>
        <w:rPr>
          <w:rFonts w:ascii="Times New Roman" w:hAnsi="Times New Roman" w:cs="Times New Roman"/>
          <w:b/>
          <w:sz w:val="24"/>
          <w:szCs w:val="20"/>
        </w:rPr>
      </w:pPr>
      <w:r w:rsidRPr="005142C4">
        <w:rPr>
          <w:rFonts w:ascii="Times New Roman" w:hAnsi="Times New Roman" w:cs="Times New Roman"/>
          <w:b/>
          <w:sz w:val="24"/>
          <w:szCs w:val="20"/>
        </w:rPr>
        <w:t>Slika 1. Prikaz procesa upravljanja rizikom</w:t>
      </w:r>
      <w:bookmarkEnd w:id="2"/>
    </w:p>
    <w:p w14:paraId="204C371D" w14:textId="77777777" w:rsidR="00E40AC8" w:rsidRPr="005142C4" w:rsidRDefault="00900184" w:rsidP="005142C4">
      <w:pPr>
        <w:spacing w:after="0" w:line="240" w:lineRule="auto"/>
        <w:ind w:left="0" w:right="0" w:firstLine="0"/>
        <w:jc w:val="center"/>
        <w:rPr>
          <w:rFonts w:ascii="Times New Roman" w:hAnsi="Times New Roman" w:cs="Times New Roman"/>
          <w:sz w:val="24"/>
        </w:rPr>
      </w:pPr>
      <w:r w:rsidRPr="005142C4">
        <w:rPr>
          <w:rFonts w:ascii="Times New Roman" w:hAnsi="Times New Roman" w:cs="Times New Roman"/>
          <w:noProof/>
          <w:sz w:val="24"/>
        </w:rPr>
        <w:drawing>
          <wp:inline distT="0" distB="0" distL="0" distR="0" wp14:anchorId="4457438E" wp14:editId="331B976F">
            <wp:extent cx="3515360" cy="2590800"/>
            <wp:effectExtent l="0" t="0" r="8890" b="0"/>
            <wp:docPr id="286" name="Picture 286"/>
            <wp:cNvGraphicFramePr/>
            <a:graphic xmlns:a="http://schemas.openxmlformats.org/drawingml/2006/main">
              <a:graphicData uri="http://schemas.openxmlformats.org/drawingml/2006/picture">
                <pic:pic xmlns:pic="http://schemas.openxmlformats.org/drawingml/2006/picture">
                  <pic:nvPicPr>
                    <pic:cNvPr id="286" name="Picture 286"/>
                    <pic:cNvPicPr/>
                  </pic:nvPicPr>
                  <pic:blipFill>
                    <a:blip r:embed="rId8"/>
                    <a:stretch>
                      <a:fillRect/>
                    </a:stretch>
                  </pic:blipFill>
                  <pic:spPr>
                    <a:xfrm>
                      <a:off x="0" y="0"/>
                      <a:ext cx="3515360" cy="2590800"/>
                    </a:xfrm>
                    <a:prstGeom prst="rect">
                      <a:avLst/>
                    </a:prstGeom>
                  </pic:spPr>
                </pic:pic>
              </a:graphicData>
            </a:graphic>
          </wp:inline>
        </w:drawing>
      </w:r>
    </w:p>
    <w:p w14:paraId="26EB0956" w14:textId="77777777" w:rsidR="00E40AC8" w:rsidRPr="005142C4" w:rsidRDefault="00900184" w:rsidP="005142C4">
      <w:pPr>
        <w:spacing w:after="0" w:line="240" w:lineRule="auto"/>
        <w:ind w:left="0" w:right="0" w:firstLine="0"/>
        <w:jc w:val="center"/>
        <w:rPr>
          <w:rFonts w:ascii="Times New Roman" w:eastAsia="Calibri" w:hAnsi="Times New Roman" w:cs="Times New Roman"/>
          <w:i/>
          <w:sz w:val="20"/>
          <w:szCs w:val="20"/>
        </w:rPr>
      </w:pPr>
      <w:r w:rsidRPr="005142C4">
        <w:rPr>
          <w:rFonts w:ascii="Times New Roman" w:eastAsia="Calibri" w:hAnsi="Times New Roman" w:cs="Times New Roman"/>
          <w:i/>
          <w:sz w:val="20"/>
          <w:szCs w:val="20"/>
        </w:rPr>
        <w:lastRenderedPageBreak/>
        <w:t xml:space="preserve">Izvor: HRN ISO 31000, Upravljanje rizikom </w:t>
      </w:r>
      <w:r w:rsidR="00EE6A22" w:rsidRPr="005142C4">
        <w:rPr>
          <w:rFonts w:ascii="Times New Roman" w:eastAsia="Calibri" w:hAnsi="Times New Roman" w:cs="Times New Roman"/>
          <w:i/>
          <w:sz w:val="20"/>
          <w:szCs w:val="20"/>
        </w:rPr>
        <w:t>-</w:t>
      </w:r>
      <w:r w:rsidRPr="005142C4">
        <w:rPr>
          <w:rFonts w:ascii="Times New Roman" w:eastAsia="Calibri" w:hAnsi="Times New Roman" w:cs="Times New Roman"/>
          <w:i/>
          <w:sz w:val="20"/>
          <w:szCs w:val="20"/>
        </w:rPr>
        <w:t xml:space="preserve"> Načela i upute</w:t>
      </w:r>
    </w:p>
    <w:p w14:paraId="21D1EBC1" w14:textId="77777777" w:rsidR="00E40AC8" w:rsidRPr="005142C4" w:rsidRDefault="00E40AC8" w:rsidP="005142C4">
      <w:pPr>
        <w:spacing w:after="0" w:line="240" w:lineRule="auto"/>
        <w:ind w:left="0" w:right="0" w:firstLine="0"/>
        <w:jc w:val="left"/>
        <w:rPr>
          <w:rFonts w:ascii="Times New Roman" w:eastAsia="Calibri" w:hAnsi="Times New Roman" w:cs="Times New Roman"/>
          <w:sz w:val="24"/>
        </w:rPr>
      </w:pPr>
    </w:p>
    <w:p w14:paraId="29944055" w14:textId="77777777" w:rsidR="00E26D7F" w:rsidRDefault="00E26D7F" w:rsidP="005142C4">
      <w:pPr>
        <w:spacing w:after="0" w:line="240" w:lineRule="auto"/>
        <w:ind w:left="0" w:firstLine="0"/>
        <w:rPr>
          <w:rFonts w:ascii="Times New Roman" w:hAnsi="Times New Roman" w:cs="Times New Roman"/>
          <w:b/>
          <w:sz w:val="24"/>
        </w:rPr>
      </w:pPr>
      <w:bookmarkStart w:id="3" w:name="_Toc2938526"/>
    </w:p>
    <w:p w14:paraId="0D4E17D8" w14:textId="0E6A92F4" w:rsidR="00E40AC8" w:rsidRPr="005142C4" w:rsidRDefault="00900184" w:rsidP="005142C4">
      <w:pPr>
        <w:spacing w:after="0" w:line="240" w:lineRule="auto"/>
        <w:ind w:left="0" w:firstLine="0"/>
        <w:rPr>
          <w:rFonts w:ascii="Times New Roman" w:hAnsi="Times New Roman" w:cs="Times New Roman"/>
          <w:b/>
          <w:sz w:val="24"/>
        </w:rPr>
      </w:pPr>
      <w:r w:rsidRPr="005142C4">
        <w:rPr>
          <w:rFonts w:ascii="Times New Roman" w:hAnsi="Times New Roman" w:cs="Times New Roman"/>
          <w:b/>
          <w:sz w:val="24"/>
        </w:rPr>
        <w:t>1.2</w:t>
      </w:r>
      <w:r w:rsidR="005142C4">
        <w:rPr>
          <w:rFonts w:ascii="Times New Roman" w:hAnsi="Times New Roman" w:cs="Times New Roman"/>
          <w:b/>
          <w:sz w:val="24"/>
        </w:rPr>
        <w:t>.</w:t>
      </w:r>
      <w:r w:rsidRPr="005142C4">
        <w:rPr>
          <w:rFonts w:ascii="Times New Roman" w:hAnsi="Times New Roman" w:cs="Times New Roman"/>
          <w:b/>
          <w:sz w:val="24"/>
        </w:rPr>
        <w:t xml:space="preserve"> Identifikacija prijetnji i registar rizika</w:t>
      </w:r>
      <w:bookmarkEnd w:id="3"/>
    </w:p>
    <w:p w14:paraId="07F56CF3" w14:textId="77777777" w:rsidR="00B43203" w:rsidRPr="005142C4" w:rsidRDefault="00B43203" w:rsidP="005142C4">
      <w:pPr>
        <w:spacing w:after="0" w:line="240" w:lineRule="auto"/>
        <w:ind w:left="0" w:right="0" w:firstLine="0"/>
        <w:rPr>
          <w:rFonts w:ascii="Times New Roman" w:hAnsi="Times New Roman" w:cs="Times New Roman"/>
          <w:sz w:val="24"/>
        </w:rPr>
      </w:pPr>
    </w:p>
    <w:p w14:paraId="6D615195" w14:textId="77777777" w:rsidR="00E40AC8" w:rsidRPr="005142C4" w:rsidRDefault="00900184"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Na temelju Procjene rizika od katastrofa za Republiku Hrvatsku, Grad Zagreb donio je Smjernice. Smjernice definiraju da se za potrebe prve procjene rizika od velikih nesreća za područje Grada Zagreba obradi pet rizika.</w:t>
      </w:r>
    </w:p>
    <w:p w14:paraId="3FCC2CD0" w14:textId="77777777" w:rsidR="00CB7C89" w:rsidRDefault="00CB7C89" w:rsidP="005142C4">
      <w:pPr>
        <w:spacing w:after="0" w:line="240" w:lineRule="auto"/>
        <w:ind w:left="0" w:right="0" w:firstLine="709"/>
        <w:rPr>
          <w:rFonts w:ascii="Times New Roman" w:hAnsi="Times New Roman" w:cs="Times New Roman"/>
          <w:sz w:val="24"/>
        </w:rPr>
      </w:pPr>
    </w:p>
    <w:p w14:paraId="4983C0E2" w14:textId="5694AF36" w:rsidR="00B43203" w:rsidRPr="005142C4" w:rsidRDefault="00900184"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U </w:t>
      </w:r>
      <w:r w:rsidR="00327986">
        <w:rPr>
          <w:rFonts w:ascii="Times New Roman" w:hAnsi="Times New Roman" w:cs="Times New Roman"/>
          <w:sz w:val="24"/>
        </w:rPr>
        <w:t xml:space="preserve">ovoj </w:t>
      </w:r>
      <w:r w:rsidR="00E26D7F">
        <w:rPr>
          <w:rFonts w:ascii="Times New Roman" w:hAnsi="Times New Roman" w:cs="Times New Roman"/>
          <w:sz w:val="24"/>
        </w:rPr>
        <w:t>Procjeni</w:t>
      </w:r>
      <w:r w:rsidR="00327986">
        <w:rPr>
          <w:rFonts w:ascii="Times New Roman" w:hAnsi="Times New Roman" w:cs="Times New Roman"/>
          <w:sz w:val="24"/>
        </w:rPr>
        <w:t xml:space="preserve"> rizika</w:t>
      </w:r>
      <w:r w:rsidRPr="005142C4">
        <w:rPr>
          <w:rFonts w:ascii="Times New Roman" w:hAnsi="Times New Roman" w:cs="Times New Roman"/>
          <w:sz w:val="24"/>
        </w:rPr>
        <w:t xml:space="preserve"> obrađeno je </w:t>
      </w:r>
      <w:r w:rsidR="00327986">
        <w:rPr>
          <w:rFonts w:ascii="Times New Roman" w:hAnsi="Times New Roman" w:cs="Times New Roman"/>
          <w:sz w:val="24"/>
        </w:rPr>
        <w:t>8</w:t>
      </w:r>
      <w:r w:rsidRPr="005142C4">
        <w:rPr>
          <w:rFonts w:ascii="Times New Roman" w:hAnsi="Times New Roman" w:cs="Times New Roman"/>
          <w:sz w:val="24"/>
        </w:rPr>
        <w:t xml:space="preserve"> rizika:</w:t>
      </w:r>
    </w:p>
    <w:p w14:paraId="5E8B6C66" w14:textId="77777777" w:rsidR="00B43203" w:rsidRPr="005142C4" w:rsidRDefault="00E40AC8"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color="000000"/>
        </w:rPr>
        <w:t>1</w:t>
      </w:r>
      <w:r w:rsidR="00B43203" w:rsidRPr="005142C4">
        <w:rPr>
          <w:rFonts w:ascii="Times New Roman" w:hAnsi="Times New Roman" w:cs="Times New Roman"/>
          <w:sz w:val="24"/>
          <w:u w:color="000000"/>
        </w:rPr>
        <w:t xml:space="preserve">. </w:t>
      </w:r>
      <w:r w:rsidR="00900184" w:rsidRPr="00AC32CB">
        <w:rPr>
          <w:rFonts w:ascii="Times New Roman" w:hAnsi="Times New Roman" w:cs="Times New Roman"/>
          <w:b/>
          <w:sz w:val="24"/>
        </w:rPr>
        <w:t>Potres</w:t>
      </w:r>
      <w:r w:rsidR="00327986">
        <w:rPr>
          <w:rFonts w:ascii="Times New Roman" w:hAnsi="Times New Roman" w:cs="Times New Roman"/>
          <w:sz w:val="24"/>
        </w:rPr>
        <w:t xml:space="preserve"> (nadopuna novim recentnim podacima)</w:t>
      </w:r>
    </w:p>
    <w:p w14:paraId="25CA7E24" w14:textId="77777777" w:rsidR="00B43203" w:rsidRPr="005142C4" w:rsidRDefault="00E40AC8"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color="000000"/>
        </w:rPr>
        <w:t>2</w:t>
      </w:r>
      <w:r w:rsidR="00B43203" w:rsidRPr="005142C4">
        <w:rPr>
          <w:rFonts w:ascii="Times New Roman" w:hAnsi="Times New Roman" w:cs="Times New Roman"/>
          <w:sz w:val="24"/>
          <w:u w:color="000000"/>
        </w:rPr>
        <w:t xml:space="preserve">. </w:t>
      </w:r>
      <w:r w:rsidR="00900184" w:rsidRPr="00AC32CB">
        <w:rPr>
          <w:rFonts w:ascii="Times New Roman" w:hAnsi="Times New Roman" w:cs="Times New Roman"/>
          <w:b/>
          <w:sz w:val="24"/>
        </w:rPr>
        <w:t>Poplava</w:t>
      </w:r>
      <w:r w:rsidR="00327986">
        <w:rPr>
          <w:rFonts w:ascii="Times New Roman" w:hAnsi="Times New Roman" w:cs="Times New Roman"/>
          <w:sz w:val="24"/>
        </w:rPr>
        <w:t xml:space="preserve"> (ažuriranje kriterija </w:t>
      </w:r>
      <w:r w:rsidR="00327986" w:rsidRPr="00327986">
        <w:rPr>
          <w:rFonts w:ascii="Times New Roman" w:hAnsi="Times New Roman" w:cs="Times New Roman"/>
          <w:sz w:val="24"/>
        </w:rPr>
        <w:t>sukladno novom popisu stanovništva i iznosu proračuna Grada Zagreba</w:t>
      </w:r>
      <w:r w:rsidR="00327986">
        <w:rPr>
          <w:rFonts w:ascii="Times New Roman" w:hAnsi="Times New Roman" w:cs="Times New Roman"/>
          <w:sz w:val="24"/>
        </w:rPr>
        <w:t>)</w:t>
      </w:r>
    </w:p>
    <w:p w14:paraId="6455F2EF" w14:textId="77777777" w:rsidR="00B43203" w:rsidRPr="005142C4" w:rsidRDefault="00E40AC8"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color="000000"/>
        </w:rPr>
        <w:t>3</w:t>
      </w:r>
      <w:r w:rsidR="00B43203" w:rsidRPr="005142C4">
        <w:rPr>
          <w:rFonts w:ascii="Times New Roman" w:hAnsi="Times New Roman" w:cs="Times New Roman"/>
          <w:sz w:val="24"/>
          <w:u w:color="000000"/>
        </w:rPr>
        <w:t xml:space="preserve">. </w:t>
      </w:r>
      <w:r w:rsidR="00900184" w:rsidRPr="00AC32CB">
        <w:rPr>
          <w:rFonts w:ascii="Times New Roman" w:hAnsi="Times New Roman" w:cs="Times New Roman"/>
          <w:b/>
          <w:sz w:val="24"/>
        </w:rPr>
        <w:t>Industrijske nesreće</w:t>
      </w:r>
      <w:r w:rsidR="00327986">
        <w:rPr>
          <w:rFonts w:ascii="Times New Roman" w:hAnsi="Times New Roman" w:cs="Times New Roman"/>
          <w:sz w:val="24"/>
        </w:rPr>
        <w:t xml:space="preserve"> (</w:t>
      </w:r>
      <w:r w:rsidR="00327986" w:rsidRPr="00327986">
        <w:rPr>
          <w:rFonts w:ascii="Times New Roman" w:hAnsi="Times New Roman" w:cs="Times New Roman"/>
          <w:sz w:val="24"/>
        </w:rPr>
        <w:t>ažuriranje kriterija sukladno novom popisu stanovništva i iznosu proračuna Grada Zagreba</w:t>
      </w:r>
      <w:r w:rsidR="00327986">
        <w:rPr>
          <w:rFonts w:ascii="Times New Roman" w:hAnsi="Times New Roman" w:cs="Times New Roman"/>
          <w:sz w:val="24"/>
        </w:rPr>
        <w:t>)</w:t>
      </w:r>
    </w:p>
    <w:p w14:paraId="50559C15" w14:textId="77777777" w:rsidR="00B43203" w:rsidRPr="005142C4" w:rsidRDefault="00E40AC8"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color="000000"/>
        </w:rPr>
        <w:t>4</w:t>
      </w:r>
      <w:r w:rsidR="00B43203" w:rsidRPr="005142C4">
        <w:rPr>
          <w:rFonts w:ascii="Times New Roman" w:hAnsi="Times New Roman" w:cs="Times New Roman"/>
          <w:sz w:val="24"/>
          <w:u w:color="000000"/>
        </w:rPr>
        <w:t xml:space="preserve">. </w:t>
      </w:r>
      <w:r w:rsidR="00900184" w:rsidRPr="00AC32CB">
        <w:rPr>
          <w:rFonts w:ascii="Times New Roman" w:hAnsi="Times New Roman" w:cs="Times New Roman"/>
          <w:b/>
          <w:sz w:val="24"/>
        </w:rPr>
        <w:t>Ekstremne temperature</w:t>
      </w:r>
      <w:r w:rsidR="00327986">
        <w:rPr>
          <w:rFonts w:ascii="Times New Roman" w:hAnsi="Times New Roman" w:cs="Times New Roman"/>
          <w:sz w:val="24"/>
        </w:rPr>
        <w:t xml:space="preserve"> </w:t>
      </w:r>
      <w:r w:rsidR="00327986" w:rsidRPr="00327986">
        <w:rPr>
          <w:rFonts w:ascii="Times New Roman" w:hAnsi="Times New Roman" w:cs="Times New Roman"/>
          <w:sz w:val="24"/>
        </w:rPr>
        <w:t>(ažuriranje kriterija sukladno novom popisu stanovništva i iznosu proračuna Grada Zagreba)</w:t>
      </w:r>
    </w:p>
    <w:p w14:paraId="7F51A29F" w14:textId="77777777" w:rsidR="00E40AC8" w:rsidRDefault="00900184"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5</w:t>
      </w:r>
      <w:r w:rsidR="00B43203" w:rsidRPr="005142C4">
        <w:rPr>
          <w:rFonts w:ascii="Times New Roman" w:hAnsi="Times New Roman" w:cs="Times New Roman"/>
          <w:sz w:val="24"/>
        </w:rPr>
        <w:t>.</w:t>
      </w:r>
      <w:r w:rsidRPr="005142C4">
        <w:rPr>
          <w:rFonts w:ascii="Times New Roman" w:hAnsi="Times New Roman" w:cs="Times New Roman"/>
          <w:sz w:val="24"/>
        </w:rPr>
        <w:t xml:space="preserve"> </w:t>
      </w:r>
      <w:r w:rsidRPr="00AC32CB">
        <w:rPr>
          <w:rFonts w:ascii="Times New Roman" w:hAnsi="Times New Roman" w:cs="Times New Roman"/>
          <w:b/>
          <w:sz w:val="24"/>
        </w:rPr>
        <w:t>Epidemije i pandemije</w:t>
      </w:r>
      <w:r w:rsidR="00327986">
        <w:rPr>
          <w:rFonts w:ascii="Times New Roman" w:hAnsi="Times New Roman" w:cs="Times New Roman"/>
          <w:sz w:val="24"/>
        </w:rPr>
        <w:t xml:space="preserve"> </w:t>
      </w:r>
      <w:r w:rsidR="00327986" w:rsidRPr="00327986">
        <w:rPr>
          <w:rFonts w:ascii="Times New Roman" w:hAnsi="Times New Roman" w:cs="Times New Roman"/>
          <w:sz w:val="24"/>
        </w:rPr>
        <w:t>(nadopuna novim recentnim podacima)</w:t>
      </w:r>
    </w:p>
    <w:p w14:paraId="79D8BB86" w14:textId="77777777" w:rsidR="00327986" w:rsidRDefault="00327986" w:rsidP="00327986">
      <w:pPr>
        <w:spacing w:after="0" w:line="240" w:lineRule="auto"/>
        <w:ind w:left="0" w:right="0" w:firstLine="709"/>
        <w:rPr>
          <w:rFonts w:ascii="Times New Roman" w:hAnsi="Times New Roman" w:cs="Times New Roman"/>
          <w:sz w:val="24"/>
        </w:rPr>
      </w:pPr>
      <w:r>
        <w:rPr>
          <w:rFonts w:ascii="Times New Roman" w:hAnsi="Times New Roman" w:cs="Times New Roman"/>
          <w:sz w:val="24"/>
        </w:rPr>
        <w:t xml:space="preserve">6. </w:t>
      </w:r>
      <w:r w:rsidRPr="00AC32CB">
        <w:rPr>
          <w:rFonts w:ascii="Times New Roman" w:hAnsi="Times New Roman" w:cs="Times New Roman"/>
          <w:b/>
          <w:sz w:val="24"/>
        </w:rPr>
        <w:t>Nuklearna nesreća</w:t>
      </w:r>
      <w:r>
        <w:rPr>
          <w:rFonts w:ascii="Times New Roman" w:hAnsi="Times New Roman" w:cs="Times New Roman"/>
          <w:sz w:val="24"/>
        </w:rPr>
        <w:t xml:space="preserve"> (izrada scenarija)</w:t>
      </w:r>
    </w:p>
    <w:p w14:paraId="0A9EF6FF" w14:textId="77777777" w:rsidR="00327986" w:rsidRDefault="00327986" w:rsidP="00327986">
      <w:pPr>
        <w:spacing w:after="0" w:line="240" w:lineRule="auto"/>
        <w:ind w:left="0" w:right="0" w:firstLine="709"/>
        <w:rPr>
          <w:rFonts w:ascii="Times New Roman" w:hAnsi="Times New Roman" w:cs="Times New Roman"/>
          <w:sz w:val="24"/>
        </w:rPr>
      </w:pPr>
      <w:r>
        <w:rPr>
          <w:rFonts w:ascii="Times New Roman" w:hAnsi="Times New Roman" w:cs="Times New Roman"/>
          <w:sz w:val="24"/>
        </w:rPr>
        <w:t xml:space="preserve">7. </w:t>
      </w:r>
      <w:r w:rsidRPr="00AC32CB">
        <w:rPr>
          <w:rFonts w:ascii="Times New Roman" w:hAnsi="Times New Roman" w:cs="Times New Roman"/>
          <w:b/>
          <w:sz w:val="24"/>
        </w:rPr>
        <w:t>Klizišta</w:t>
      </w:r>
      <w:r>
        <w:rPr>
          <w:rFonts w:ascii="Times New Roman" w:hAnsi="Times New Roman" w:cs="Times New Roman"/>
          <w:sz w:val="24"/>
        </w:rPr>
        <w:t xml:space="preserve"> (izrada scenarija)</w:t>
      </w:r>
    </w:p>
    <w:p w14:paraId="0F765D18" w14:textId="77777777" w:rsidR="00327986" w:rsidRPr="005142C4" w:rsidRDefault="00327986" w:rsidP="00327986">
      <w:pPr>
        <w:spacing w:after="0" w:line="240" w:lineRule="auto"/>
        <w:ind w:left="0" w:right="0" w:firstLine="709"/>
        <w:rPr>
          <w:rFonts w:ascii="Times New Roman" w:hAnsi="Times New Roman" w:cs="Times New Roman"/>
          <w:sz w:val="24"/>
        </w:rPr>
      </w:pPr>
      <w:r>
        <w:rPr>
          <w:rFonts w:ascii="Times New Roman" w:hAnsi="Times New Roman" w:cs="Times New Roman"/>
          <w:sz w:val="24"/>
        </w:rPr>
        <w:t xml:space="preserve">8. </w:t>
      </w:r>
      <w:r w:rsidRPr="00AC32CB">
        <w:rPr>
          <w:rFonts w:ascii="Times New Roman" w:hAnsi="Times New Roman" w:cs="Times New Roman"/>
          <w:b/>
          <w:sz w:val="24"/>
        </w:rPr>
        <w:t>Nesreće na odlagalištima otpada</w:t>
      </w:r>
      <w:r>
        <w:rPr>
          <w:rFonts w:ascii="Times New Roman" w:hAnsi="Times New Roman" w:cs="Times New Roman"/>
          <w:sz w:val="24"/>
        </w:rPr>
        <w:t xml:space="preserve"> (izrada scenarija)</w:t>
      </w:r>
    </w:p>
    <w:p w14:paraId="4ADE2DFF" w14:textId="77777777" w:rsidR="00E40AC8" w:rsidRPr="005142C4" w:rsidRDefault="00E40AC8" w:rsidP="005142C4">
      <w:pPr>
        <w:spacing w:after="0" w:line="240" w:lineRule="auto"/>
        <w:ind w:left="0" w:right="0" w:firstLine="0"/>
        <w:jc w:val="left"/>
        <w:rPr>
          <w:rFonts w:ascii="Times New Roman" w:eastAsia="Calibri" w:hAnsi="Times New Roman" w:cs="Times New Roman"/>
          <w:sz w:val="24"/>
        </w:rPr>
      </w:pPr>
    </w:p>
    <w:p w14:paraId="48976607" w14:textId="77777777" w:rsidR="00E40AC8" w:rsidRPr="005142C4" w:rsidRDefault="00900184" w:rsidP="005142C4">
      <w:pPr>
        <w:spacing w:after="0" w:line="240" w:lineRule="auto"/>
        <w:ind w:left="0" w:firstLine="0"/>
        <w:rPr>
          <w:rFonts w:ascii="Times New Roman" w:hAnsi="Times New Roman" w:cs="Times New Roman"/>
          <w:b/>
          <w:sz w:val="24"/>
        </w:rPr>
      </w:pPr>
      <w:bookmarkStart w:id="4" w:name="_Toc2938527"/>
      <w:r w:rsidRPr="005142C4">
        <w:rPr>
          <w:rFonts w:ascii="Times New Roman" w:hAnsi="Times New Roman" w:cs="Times New Roman"/>
          <w:b/>
          <w:sz w:val="24"/>
        </w:rPr>
        <w:t>1.3</w:t>
      </w:r>
      <w:r w:rsidR="005142C4">
        <w:rPr>
          <w:rFonts w:ascii="Times New Roman" w:hAnsi="Times New Roman" w:cs="Times New Roman"/>
          <w:b/>
          <w:sz w:val="24"/>
        </w:rPr>
        <w:t>.</w:t>
      </w:r>
      <w:r w:rsidRPr="005142C4">
        <w:rPr>
          <w:rFonts w:ascii="Times New Roman" w:hAnsi="Times New Roman" w:cs="Times New Roman"/>
          <w:b/>
          <w:sz w:val="24"/>
        </w:rPr>
        <w:t xml:space="preserve"> Scenariji i matrice rizika</w:t>
      </w:r>
      <w:bookmarkEnd w:id="4"/>
    </w:p>
    <w:p w14:paraId="733204F0" w14:textId="77777777" w:rsidR="00B43203" w:rsidRPr="005142C4" w:rsidRDefault="00B43203" w:rsidP="005142C4">
      <w:pPr>
        <w:spacing w:after="0" w:line="240" w:lineRule="auto"/>
        <w:ind w:left="0" w:firstLine="0"/>
        <w:rPr>
          <w:rFonts w:ascii="Times New Roman" w:hAnsi="Times New Roman" w:cs="Times New Roman"/>
          <w:sz w:val="24"/>
        </w:rPr>
      </w:pPr>
      <w:bookmarkStart w:id="5" w:name="_Toc2938528"/>
    </w:p>
    <w:p w14:paraId="60F468B1" w14:textId="77777777" w:rsidR="00E40AC8" w:rsidRPr="005142C4" w:rsidRDefault="00900184" w:rsidP="006C49C3">
      <w:pPr>
        <w:spacing w:after="0" w:line="240" w:lineRule="auto"/>
        <w:ind w:left="0" w:firstLine="709"/>
        <w:rPr>
          <w:rFonts w:ascii="Times New Roman" w:hAnsi="Times New Roman" w:cs="Times New Roman"/>
          <w:b/>
          <w:sz w:val="24"/>
        </w:rPr>
      </w:pPr>
      <w:r w:rsidRPr="005142C4">
        <w:rPr>
          <w:rFonts w:ascii="Times New Roman" w:hAnsi="Times New Roman" w:cs="Times New Roman"/>
          <w:b/>
          <w:sz w:val="24"/>
        </w:rPr>
        <w:t>Scenariji</w:t>
      </w:r>
      <w:bookmarkEnd w:id="5"/>
    </w:p>
    <w:p w14:paraId="1B6131BC" w14:textId="77777777" w:rsidR="00E40AC8" w:rsidRPr="005142C4" w:rsidRDefault="00900184"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Procjena rizika temelji se na scenarijima za svaki pojedini rizik. Scenarijem je opisana svaka odabrana prijetnja te nje</w:t>
      </w:r>
      <w:r w:rsidR="00B918FA">
        <w:rPr>
          <w:rFonts w:ascii="Times New Roman" w:hAnsi="Times New Roman" w:cs="Times New Roman"/>
          <w:sz w:val="24"/>
        </w:rPr>
        <w:t>zi</w:t>
      </w:r>
      <w:r w:rsidRPr="005142C4">
        <w:rPr>
          <w:rFonts w:ascii="Times New Roman" w:hAnsi="Times New Roman" w:cs="Times New Roman"/>
          <w:sz w:val="24"/>
        </w:rPr>
        <w:t>n nastanak i posljedice kako bi se po tom primjeru mogle planirati preventivne mjere, educirati stanovništvo odnosno pripremati eventualni odgovor na veliku nesreću.</w:t>
      </w:r>
    </w:p>
    <w:p w14:paraId="7ABDAE31" w14:textId="77777777" w:rsidR="00B43203" w:rsidRPr="005142C4" w:rsidRDefault="00900184"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Scenarij je opis:</w:t>
      </w:r>
    </w:p>
    <w:p w14:paraId="59D09725" w14:textId="31E98AA7" w:rsidR="00E40AC8" w:rsidRPr="005142C4" w:rsidRDefault="00EE6A22" w:rsidP="005142C4">
      <w:pPr>
        <w:spacing w:after="0" w:line="240" w:lineRule="auto"/>
        <w:ind w:left="879" w:right="0" w:hanging="170"/>
        <w:rPr>
          <w:rFonts w:ascii="Times New Roman" w:hAnsi="Times New Roman" w:cs="Times New Roman"/>
          <w:sz w:val="24"/>
        </w:rPr>
      </w:pPr>
      <w:r w:rsidRPr="005142C4">
        <w:rPr>
          <w:rFonts w:ascii="Times New Roman" w:eastAsia="Calibri" w:hAnsi="Times New Roman" w:cs="Times New Roman"/>
          <w:sz w:val="24"/>
          <w:u w:color="000000"/>
        </w:rPr>
        <w:t>-</w:t>
      </w:r>
      <w:r w:rsidR="00E40AC8" w:rsidRPr="005142C4">
        <w:rPr>
          <w:rFonts w:ascii="Times New Roman" w:eastAsia="Calibri" w:hAnsi="Times New Roman" w:cs="Times New Roman"/>
          <w:sz w:val="24"/>
          <w:u w:color="000000"/>
        </w:rPr>
        <w:tab/>
      </w:r>
      <w:r w:rsidR="00900184" w:rsidRPr="005142C4">
        <w:rPr>
          <w:rFonts w:ascii="Times New Roman" w:hAnsi="Times New Roman" w:cs="Times New Roman"/>
          <w:sz w:val="24"/>
        </w:rPr>
        <w:t>neželjenih događaja (jednog ili više povezanih događaja) za svaki obrađivani rizik, koji ima posljedice na život i zdravlje ljudi, gospodarstvo, društvenu stabilnost i politiku</w:t>
      </w:r>
    </w:p>
    <w:p w14:paraId="32433E55" w14:textId="7ACFA92B" w:rsidR="00E40AC8" w:rsidRPr="005142C4" w:rsidRDefault="00EE6A22" w:rsidP="005142C4">
      <w:pPr>
        <w:spacing w:after="0" w:line="240" w:lineRule="auto"/>
        <w:ind w:left="879" w:right="0" w:hanging="170"/>
        <w:rPr>
          <w:rFonts w:ascii="Times New Roman" w:hAnsi="Times New Roman" w:cs="Times New Roman"/>
          <w:sz w:val="24"/>
        </w:rPr>
      </w:pPr>
      <w:r w:rsidRPr="005142C4">
        <w:rPr>
          <w:rFonts w:ascii="Times New Roman" w:eastAsia="Calibri" w:hAnsi="Times New Roman" w:cs="Times New Roman"/>
          <w:sz w:val="24"/>
          <w:u w:color="000000"/>
        </w:rPr>
        <w:t>-</w:t>
      </w:r>
      <w:r w:rsidR="00E40AC8" w:rsidRPr="005142C4">
        <w:rPr>
          <w:rFonts w:ascii="Times New Roman" w:eastAsia="Calibri" w:hAnsi="Times New Roman" w:cs="Times New Roman"/>
          <w:sz w:val="24"/>
          <w:u w:color="000000"/>
        </w:rPr>
        <w:tab/>
      </w:r>
      <w:r w:rsidR="00900184" w:rsidRPr="005142C4">
        <w:rPr>
          <w:rFonts w:ascii="Times New Roman" w:hAnsi="Times New Roman" w:cs="Times New Roman"/>
          <w:sz w:val="24"/>
        </w:rPr>
        <w:t xml:space="preserve">svega što vodi k nastajanju, odnosno uzrokuje opisane neželjene događaje, a sastoji se od svih radnji i zbivanja prije velike nesreće i </w:t>
      </w:r>
      <w:r w:rsidRPr="005142C4">
        <w:rPr>
          <w:rFonts w:ascii="Times New Roman" w:hAnsi="Times New Roman" w:cs="Times New Roman"/>
          <w:sz w:val="24"/>
        </w:rPr>
        <w:t>"</w:t>
      </w:r>
      <w:r w:rsidR="00900184" w:rsidRPr="005142C4">
        <w:rPr>
          <w:rFonts w:ascii="Times New Roman" w:hAnsi="Times New Roman" w:cs="Times New Roman"/>
          <w:sz w:val="24"/>
        </w:rPr>
        <w:t>okidača</w:t>
      </w:r>
      <w:r w:rsidRPr="005142C4">
        <w:rPr>
          <w:rFonts w:ascii="Times New Roman" w:hAnsi="Times New Roman" w:cs="Times New Roman"/>
          <w:sz w:val="24"/>
        </w:rPr>
        <w:t>"</w:t>
      </w:r>
      <w:r w:rsidR="00900184" w:rsidRPr="005142C4">
        <w:rPr>
          <w:rFonts w:ascii="Times New Roman" w:hAnsi="Times New Roman" w:cs="Times New Roman"/>
          <w:sz w:val="24"/>
        </w:rPr>
        <w:t xml:space="preserve"> velike nesreće</w:t>
      </w:r>
      <w:r w:rsidR="004D7262">
        <w:rPr>
          <w:rFonts w:ascii="Times New Roman" w:hAnsi="Times New Roman" w:cs="Times New Roman"/>
          <w:sz w:val="24"/>
        </w:rPr>
        <w:t>,</w:t>
      </w:r>
    </w:p>
    <w:p w14:paraId="58BB1F30" w14:textId="28628842" w:rsidR="00B43203" w:rsidRPr="005142C4" w:rsidRDefault="00EE6A22" w:rsidP="005142C4">
      <w:pPr>
        <w:spacing w:after="0" w:line="240" w:lineRule="auto"/>
        <w:ind w:left="879" w:right="0" w:hanging="170"/>
        <w:rPr>
          <w:rFonts w:ascii="Times New Roman" w:hAnsi="Times New Roman" w:cs="Times New Roman"/>
          <w:sz w:val="24"/>
        </w:rPr>
      </w:pPr>
      <w:r w:rsidRPr="005142C4">
        <w:rPr>
          <w:rFonts w:ascii="Times New Roman" w:eastAsia="Calibri" w:hAnsi="Times New Roman" w:cs="Times New Roman"/>
          <w:sz w:val="24"/>
          <w:u w:color="000000"/>
        </w:rPr>
        <w:t>-</w:t>
      </w:r>
      <w:r w:rsidR="00E40AC8" w:rsidRPr="005142C4">
        <w:rPr>
          <w:rFonts w:ascii="Times New Roman" w:eastAsia="Calibri" w:hAnsi="Times New Roman" w:cs="Times New Roman"/>
          <w:sz w:val="24"/>
          <w:u w:color="000000"/>
        </w:rPr>
        <w:tab/>
      </w:r>
      <w:r w:rsidR="00900184" w:rsidRPr="005142C4">
        <w:rPr>
          <w:rFonts w:ascii="Times New Roman" w:hAnsi="Times New Roman" w:cs="Times New Roman"/>
          <w:sz w:val="24"/>
        </w:rPr>
        <w:t>okolnosti u kojima neželjeni događaji/prijetnje nastaju te stupnja ranjivosti i otpornosti stanovništva, građevina i drugih sadržaja u prostoru ili društva u razmjerima relevantnim za razmatranje implikacija događaja na život i zdravlje ljudi te okoliš, imovinu, gospodarstvo, društvenu stabilnost i politiku</w:t>
      </w:r>
    </w:p>
    <w:p w14:paraId="1DA86C40" w14:textId="77777777" w:rsidR="00E40AC8" w:rsidRPr="005142C4" w:rsidRDefault="00EE6A22" w:rsidP="005142C4">
      <w:pPr>
        <w:spacing w:after="0" w:line="240" w:lineRule="auto"/>
        <w:ind w:left="879" w:right="0" w:hanging="170"/>
        <w:rPr>
          <w:rFonts w:ascii="Times New Roman" w:hAnsi="Times New Roman" w:cs="Times New Roman"/>
          <w:sz w:val="24"/>
        </w:rPr>
      </w:pPr>
      <w:r w:rsidRPr="005142C4">
        <w:rPr>
          <w:rFonts w:ascii="Times New Roman" w:eastAsia="Calibri" w:hAnsi="Times New Roman" w:cs="Times New Roman"/>
          <w:sz w:val="24"/>
          <w:u w:color="000000"/>
        </w:rPr>
        <w:t>-</w:t>
      </w:r>
      <w:r w:rsidR="00E40AC8" w:rsidRPr="005142C4">
        <w:rPr>
          <w:rFonts w:ascii="Times New Roman" w:eastAsia="Calibri" w:hAnsi="Times New Roman" w:cs="Times New Roman"/>
          <w:sz w:val="24"/>
          <w:u w:color="000000"/>
        </w:rPr>
        <w:tab/>
      </w:r>
      <w:r w:rsidR="00900184" w:rsidRPr="005142C4">
        <w:rPr>
          <w:rFonts w:ascii="Times New Roman" w:hAnsi="Times New Roman" w:cs="Times New Roman"/>
          <w:sz w:val="24"/>
        </w:rPr>
        <w:t>posljedica neželjenog događaja s detaljnim opisom svake posljedice po svaku kategoriju društvenih vrijednosti.</w:t>
      </w:r>
    </w:p>
    <w:p w14:paraId="614D97BC" w14:textId="77777777" w:rsidR="00E40AC8" w:rsidRPr="005142C4" w:rsidRDefault="00E40AC8" w:rsidP="005142C4">
      <w:pPr>
        <w:spacing w:after="0" w:line="240" w:lineRule="auto"/>
        <w:ind w:left="0" w:right="0" w:firstLine="0"/>
        <w:jc w:val="left"/>
        <w:rPr>
          <w:rFonts w:ascii="Times New Roman" w:hAnsi="Times New Roman" w:cs="Times New Roman"/>
          <w:sz w:val="24"/>
        </w:rPr>
      </w:pPr>
    </w:p>
    <w:p w14:paraId="78C2E1E2" w14:textId="77777777" w:rsidR="00E40AC8" w:rsidRPr="005142C4" w:rsidRDefault="00900184" w:rsidP="006C49C3">
      <w:pPr>
        <w:spacing w:after="0" w:line="240" w:lineRule="auto"/>
        <w:ind w:left="0" w:firstLine="709"/>
        <w:rPr>
          <w:rFonts w:ascii="Times New Roman" w:hAnsi="Times New Roman" w:cs="Times New Roman"/>
          <w:b/>
          <w:sz w:val="24"/>
        </w:rPr>
      </w:pPr>
      <w:bookmarkStart w:id="6" w:name="_Toc2938529"/>
      <w:r w:rsidRPr="005142C4">
        <w:rPr>
          <w:rFonts w:ascii="Times New Roman" w:hAnsi="Times New Roman" w:cs="Times New Roman"/>
          <w:b/>
          <w:sz w:val="24"/>
        </w:rPr>
        <w:t>Matrice rizika</w:t>
      </w:r>
      <w:bookmarkEnd w:id="6"/>
    </w:p>
    <w:p w14:paraId="519D8C27" w14:textId="56D1A7BC" w:rsidR="000629EB" w:rsidRDefault="00900184" w:rsidP="005938FB">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U skladu sa Smjernicama Europske komisije (2010.), scenariji obrađeni u Procjeni rizika predstavljeni su u matrici kako bi se različiti rizici lakše (grafički) prikazali i usporedili.</w:t>
      </w:r>
    </w:p>
    <w:p w14:paraId="24168D56" w14:textId="77777777" w:rsidR="000629EB" w:rsidRPr="005142C4" w:rsidRDefault="000629EB" w:rsidP="005142C4">
      <w:pPr>
        <w:spacing w:after="0" w:line="240" w:lineRule="auto"/>
        <w:ind w:left="0" w:right="0" w:firstLine="0"/>
        <w:jc w:val="left"/>
        <w:rPr>
          <w:rFonts w:ascii="Times New Roman" w:hAnsi="Times New Roman" w:cs="Times New Roman"/>
          <w:sz w:val="24"/>
        </w:rPr>
      </w:pPr>
    </w:p>
    <w:p w14:paraId="3236F22B" w14:textId="77777777" w:rsidR="002164B2" w:rsidRDefault="002164B2" w:rsidP="0032412D">
      <w:pPr>
        <w:spacing w:after="0" w:line="240" w:lineRule="auto"/>
        <w:ind w:left="0" w:firstLine="0"/>
        <w:jc w:val="center"/>
        <w:rPr>
          <w:rFonts w:ascii="Times New Roman" w:hAnsi="Times New Roman" w:cs="Times New Roman"/>
          <w:b/>
          <w:sz w:val="24"/>
          <w:szCs w:val="20"/>
        </w:rPr>
      </w:pPr>
    </w:p>
    <w:p w14:paraId="75431FDA" w14:textId="77777777" w:rsidR="002164B2" w:rsidRDefault="002164B2" w:rsidP="0032412D">
      <w:pPr>
        <w:spacing w:after="0" w:line="240" w:lineRule="auto"/>
        <w:ind w:left="0" w:firstLine="0"/>
        <w:jc w:val="center"/>
        <w:rPr>
          <w:rFonts w:ascii="Times New Roman" w:hAnsi="Times New Roman" w:cs="Times New Roman"/>
          <w:b/>
          <w:sz w:val="24"/>
          <w:szCs w:val="20"/>
        </w:rPr>
      </w:pPr>
    </w:p>
    <w:p w14:paraId="77BE7DCA" w14:textId="77777777" w:rsidR="002164B2" w:rsidRDefault="002164B2" w:rsidP="0032412D">
      <w:pPr>
        <w:spacing w:after="0" w:line="240" w:lineRule="auto"/>
        <w:ind w:left="0" w:firstLine="0"/>
        <w:jc w:val="center"/>
        <w:rPr>
          <w:rFonts w:ascii="Times New Roman" w:hAnsi="Times New Roman" w:cs="Times New Roman"/>
          <w:b/>
          <w:sz w:val="24"/>
          <w:szCs w:val="20"/>
        </w:rPr>
      </w:pPr>
    </w:p>
    <w:p w14:paraId="6C787900" w14:textId="77777777" w:rsidR="002164B2" w:rsidRDefault="002164B2" w:rsidP="0032412D">
      <w:pPr>
        <w:spacing w:after="0" w:line="240" w:lineRule="auto"/>
        <w:ind w:left="0" w:firstLine="0"/>
        <w:jc w:val="center"/>
        <w:rPr>
          <w:rFonts w:ascii="Times New Roman" w:hAnsi="Times New Roman" w:cs="Times New Roman"/>
          <w:b/>
          <w:sz w:val="24"/>
          <w:szCs w:val="20"/>
        </w:rPr>
      </w:pPr>
    </w:p>
    <w:p w14:paraId="684C0A5A" w14:textId="77777777" w:rsidR="002164B2" w:rsidRDefault="002164B2" w:rsidP="0032412D">
      <w:pPr>
        <w:spacing w:after="0" w:line="240" w:lineRule="auto"/>
        <w:ind w:left="0" w:firstLine="0"/>
        <w:jc w:val="center"/>
        <w:rPr>
          <w:rFonts w:ascii="Times New Roman" w:hAnsi="Times New Roman" w:cs="Times New Roman"/>
          <w:b/>
          <w:sz w:val="24"/>
          <w:szCs w:val="20"/>
        </w:rPr>
      </w:pPr>
    </w:p>
    <w:p w14:paraId="48EDC67C" w14:textId="77777777" w:rsidR="002164B2" w:rsidRDefault="002164B2" w:rsidP="0032412D">
      <w:pPr>
        <w:spacing w:after="0" w:line="240" w:lineRule="auto"/>
        <w:ind w:left="0" w:firstLine="0"/>
        <w:jc w:val="center"/>
        <w:rPr>
          <w:rFonts w:ascii="Times New Roman" w:hAnsi="Times New Roman" w:cs="Times New Roman"/>
          <w:b/>
          <w:sz w:val="24"/>
          <w:szCs w:val="20"/>
        </w:rPr>
      </w:pPr>
    </w:p>
    <w:p w14:paraId="1038D591" w14:textId="555C1711" w:rsidR="006C49C3" w:rsidRPr="0032412D" w:rsidRDefault="00900184" w:rsidP="0032412D">
      <w:pPr>
        <w:spacing w:after="0" w:line="240" w:lineRule="auto"/>
        <w:ind w:left="0" w:firstLine="0"/>
        <w:jc w:val="center"/>
        <w:rPr>
          <w:rFonts w:ascii="Times New Roman" w:hAnsi="Times New Roman" w:cs="Times New Roman"/>
          <w:b/>
          <w:sz w:val="24"/>
          <w:szCs w:val="20"/>
        </w:rPr>
      </w:pPr>
      <w:r w:rsidRPr="005142C4">
        <w:rPr>
          <w:rFonts w:ascii="Times New Roman" w:hAnsi="Times New Roman" w:cs="Times New Roman"/>
          <w:b/>
          <w:sz w:val="24"/>
          <w:szCs w:val="20"/>
        </w:rPr>
        <w:t xml:space="preserve">Slika </w:t>
      </w:r>
      <w:r w:rsidR="005E1F63">
        <w:rPr>
          <w:rFonts w:ascii="Times New Roman" w:hAnsi="Times New Roman" w:cs="Times New Roman"/>
          <w:b/>
          <w:sz w:val="24"/>
          <w:szCs w:val="20"/>
        </w:rPr>
        <w:t>2</w:t>
      </w:r>
      <w:r w:rsidRPr="005142C4">
        <w:rPr>
          <w:rFonts w:ascii="Times New Roman" w:hAnsi="Times New Roman" w:cs="Times New Roman"/>
          <w:b/>
          <w:sz w:val="24"/>
          <w:szCs w:val="20"/>
        </w:rPr>
        <w:t>. Matrica rizika</w:t>
      </w:r>
    </w:p>
    <w:p w14:paraId="6F65CD6D" w14:textId="77777777" w:rsidR="00E40AC8" w:rsidRPr="006C49C3" w:rsidRDefault="00900184" w:rsidP="005142C4">
      <w:pPr>
        <w:spacing w:after="0" w:line="240" w:lineRule="auto"/>
        <w:ind w:left="0" w:right="0" w:firstLine="0"/>
        <w:jc w:val="center"/>
        <w:rPr>
          <w:rFonts w:ascii="Times New Roman" w:hAnsi="Times New Roman" w:cs="Times New Roman"/>
          <w:sz w:val="24"/>
          <w:szCs w:val="24"/>
        </w:rPr>
      </w:pPr>
      <w:r w:rsidRPr="006C49C3">
        <w:rPr>
          <w:rFonts w:ascii="Times New Roman" w:hAnsi="Times New Roman" w:cs="Times New Roman"/>
          <w:noProof/>
          <w:sz w:val="24"/>
          <w:szCs w:val="24"/>
        </w:rPr>
        <w:drawing>
          <wp:inline distT="0" distB="0" distL="0" distR="0" wp14:anchorId="1BDC22D2" wp14:editId="48DE6740">
            <wp:extent cx="4845050" cy="3552825"/>
            <wp:effectExtent l="0" t="0" r="0" b="9525"/>
            <wp:docPr id="442" name="Picture 442"/>
            <wp:cNvGraphicFramePr/>
            <a:graphic xmlns:a="http://schemas.openxmlformats.org/drawingml/2006/main">
              <a:graphicData uri="http://schemas.openxmlformats.org/drawingml/2006/picture">
                <pic:pic xmlns:pic="http://schemas.openxmlformats.org/drawingml/2006/picture">
                  <pic:nvPicPr>
                    <pic:cNvPr id="442" name="Picture 442"/>
                    <pic:cNvPicPr/>
                  </pic:nvPicPr>
                  <pic:blipFill>
                    <a:blip r:embed="rId9"/>
                    <a:stretch>
                      <a:fillRect/>
                    </a:stretch>
                  </pic:blipFill>
                  <pic:spPr>
                    <a:xfrm>
                      <a:off x="0" y="0"/>
                      <a:ext cx="4845050" cy="3552825"/>
                    </a:xfrm>
                    <a:prstGeom prst="rect">
                      <a:avLst/>
                    </a:prstGeom>
                  </pic:spPr>
                </pic:pic>
              </a:graphicData>
            </a:graphic>
          </wp:inline>
        </w:drawing>
      </w:r>
    </w:p>
    <w:p w14:paraId="2F86BFD1" w14:textId="7A24329F" w:rsidR="00E40AC8" w:rsidRPr="000629EB" w:rsidRDefault="00900184" w:rsidP="000629EB">
      <w:pPr>
        <w:spacing w:after="160" w:line="259" w:lineRule="auto"/>
        <w:ind w:left="0" w:right="0" w:firstLine="709"/>
        <w:rPr>
          <w:rFonts w:ascii="Times New Roman" w:hAnsi="Times New Roman" w:cs="Times New Roman"/>
          <w:sz w:val="24"/>
        </w:rPr>
      </w:pPr>
      <w:r w:rsidRPr="005142C4">
        <w:rPr>
          <w:rFonts w:ascii="Times New Roman" w:hAnsi="Times New Roman" w:cs="Times New Roman"/>
          <w:sz w:val="24"/>
        </w:rPr>
        <w:t xml:space="preserve">Rizik se izračunava tako da se u matricu rizika, uz pomoć osi </w:t>
      </w:r>
      <w:r w:rsidR="009F35CF" w:rsidRPr="005142C4">
        <w:rPr>
          <w:rFonts w:ascii="Times New Roman" w:hAnsi="Times New Roman" w:cs="Times New Roman"/>
          <w:sz w:val="24"/>
        </w:rPr>
        <w:t xml:space="preserve">vjerojatnost </w:t>
      </w:r>
      <w:r w:rsidRPr="005142C4">
        <w:rPr>
          <w:rFonts w:ascii="Times New Roman" w:hAnsi="Times New Roman" w:cs="Times New Roman"/>
          <w:sz w:val="24"/>
        </w:rPr>
        <w:t xml:space="preserve">i </w:t>
      </w:r>
      <w:r w:rsidR="009F35CF" w:rsidRPr="005142C4">
        <w:rPr>
          <w:rFonts w:ascii="Times New Roman" w:hAnsi="Times New Roman" w:cs="Times New Roman"/>
          <w:sz w:val="24"/>
        </w:rPr>
        <w:t>posljedic</w:t>
      </w:r>
      <w:r w:rsidR="009F35CF">
        <w:rPr>
          <w:rFonts w:ascii="Times New Roman" w:hAnsi="Times New Roman" w:cs="Times New Roman"/>
          <w:sz w:val="24"/>
        </w:rPr>
        <w:t>e</w:t>
      </w:r>
      <w:r w:rsidRPr="005142C4">
        <w:rPr>
          <w:rFonts w:ascii="Times New Roman" w:hAnsi="Times New Roman" w:cs="Times New Roman"/>
          <w:sz w:val="24"/>
        </w:rPr>
        <w:t>, unose vrijednosti za definirane kriterije utjecaja na tri društvene vrijednosti. Izrađene/izračunate su matrice rizika za svaku društvenu vrijednost zasebno</w:t>
      </w:r>
      <w:r w:rsidR="0017137F">
        <w:rPr>
          <w:rFonts w:ascii="Times New Roman" w:hAnsi="Times New Roman" w:cs="Times New Roman"/>
          <w:sz w:val="24"/>
        </w:rPr>
        <w:t>,</w:t>
      </w:r>
      <w:r w:rsidRPr="005142C4">
        <w:rPr>
          <w:rFonts w:ascii="Times New Roman" w:hAnsi="Times New Roman" w:cs="Times New Roman"/>
          <w:sz w:val="24"/>
        </w:rPr>
        <w:t xml:space="preserve"> te potom kombinacijom izračunate</w:t>
      </w:r>
      <w:r w:rsidR="0017137F">
        <w:rPr>
          <w:rFonts w:ascii="Times New Roman" w:hAnsi="Times New Roman" w:cs="Times New Roman"/>
          <w:sz w:val="24"/>
        </w:rPr>
        <w:t xml:space="preserve"> </w:t>
      </w:r>
      <w:r w:rsidR="00F85151">
        <w:rPr>
          <w:rFonts w:ascii="Times New Roman" w:hAnsi="Times New Roman" w:cs="Times New Roman"/>
          <w:sz w:val="24"/>
        </w:rPr>
        <w:t xml:space="preserve">su </w:t>
      </w:r>
      <w:r w:rsidRPr="005142C4">
        <w:rPr>
          <w:rFonts w:ascii="Times New Roman" w:hAnsi="Times New Roman" w:cs="Times New Roman"/>
          <w:sz w:val="24"/>
        </w:rPr>
        <w:t>tri vrijednosti izrađene/izračunate zasebne matrice za svaki rizik.</w:t>
      </w:r>
    </w:p>
    <w:p w14:paraId="5F797A15" w14:textId="77777777" w:rsidR="00E40AC8" w:rsidRPr="005142C4" w:rsidRDefault="00900184"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Procjenjivanje rizika sastoji se od identifikacije, analize i vrednovanja rizika. Kada se utvrdi vjerojatnost/frekvencija te moguće posljedice, moći će se odrediti razina rizika. Razina rizika prikazuje se u matrici rizika za svaki identificirani rizik zasebno. Matrice rizika imaju svrhu jasnijeg i istaknutijeg prikazivanja povezanosti vjerojatnosti/frekvencije i posljedica odnosno razina rizika. Matrice rizika prikazuju se za sve tri društvene vrijednosti</w:t>
      </w:r>
      <w:r w:rsidR="00E40AC8" w:rsidRPr="005142C4">
        <w:rPr>
          <w:rFonts w:ascii="Times New Roman" w:hAnsi="Times New Roman" w:cs="Times New Roman"/>
          <w:sz w:val="24"/>
        </w:rPr>
        <w:t xml:space="preserve"> </w:t>
      </w:r>
      <w:r w:rsidRPr="005142C4">
        <w:rPr>
          <w:rFonts w:ascii="Times New Roman" w:hAnsi="Times New Roman" w:cs="Times New Roman"/>
          <w:sz w:val="24"/>
        </w:rPr>
        <w:t>te za ukupni rizik. Ukupni rizik se dobiva zbrajanjem rizika društvenih vrijednosti (život i zdravlje ljudi, gospodarstvo i društvena stabilnost i politika).</w:t>
      </w:r>
    </w:p>
    <w:p w14:paraId="524D6A91" w14:textId="77777777" w:rsidR="00E40AC8" w:rsidRPr="005142C4" w:rsidRDefault="00E40AC8" w:rsidP="005142C4">
      <w:pPr>
        <w:spacing w:after="0" w:line="240" w:lineRule="auto"/>
        <w:ind w:left="0" w:right="0" w:firstLine="0"/>
        <w:jc w:val="left"/>
        <w:rPr>
          <w:rFonts w:ascii="Times New Roman" w:hAnsi="Times New Roman" w:cs="Times New Roman"/>
          <w:sz w:val="24"/>
        </w:rPr>
      </w:pPr>
    </w:p>
    <w:p w14:paraId="7EFE2EF0" w14:textId="77777777" w:rsidR="00E40AC8" w:rsidRPr="005142C4" w:rsidRDefault="00900184" w:rsidP="005142C4">
      <w:pPr>
        <w:spacing w:after="0" w:line="240" w:lineRule="auto"/>
        <w:ind w:left="0" w:right="0" w:firstLine="0"/>
        <w:jc w:val="center"/>
        <w:rPr>
          <w:rFonts w:ascii="Times New Roman" w:eastAsia="Calibri" w:hAnsi="Times New Roman" w:cs="Times New Roman"/>
          <w:sz w:val="24"/>
        </w:rPr>
      </w:pPr>
      <w:r w:rsidRPr="005142C4">
        <w:rPr>
          <w:rFonts w:ascii="Times New Roman" w:hAnsi="Times New Roman" w:cs="Times New Roman"/>
          <w:noProof/>
          <w:sz w:val="24"/>
        </w:rPr>
        <w:drawing>
          <wp:inline distT="0" distB="0" distL="0" distR="0" wp14:anchorId="4D93AA56" wp14:editId="34FA8FDE">
            <wp:extent cx="5448300" cy="352425"/>
            <wp:effectExtent l="0" t="0" r="0" b="0"/>
            <wp:docPr id="468" name="Picture 468"/>
            <wp:cNvGraphicFramePr/>
            <a:graphic xmlns:a="http://schemas.openxmlformats.org/drawingml/2006/main">
              <a:graphicData uri="http://schemas.openxmlformats.org/drawingml/2006/picture">
                <pic:pic xmlns:pic="http://schemas.openxmlformats.org/drawingml/2006/picture">
                  <pic:nvPicPr>
                    <pic:cNvPr id="468" name="Picture 468"/>
                    <pic:cNvPicPr/>
                  </pic:nvPicPr>
                  <pic:blipFill>
                    <a:blip r:embed="rId10"/>
                    <a:stretch>
                      <a:fillRect/>
                    </a:stretch>
                  </pic:blipFill>
                  <pic:spPr>
                    <a:xfrm>
                      <a:off x="0" y="0"/>
                      <a:ext cx="5448300" cy="352425"/>
                    </a:xfrm>
                    <a:prstGeom prst="rect">
                      <a:avLst/>
                    </a:prstGeom>
                  </pic:spPr>
                </pic:pic>
              </a:graphicData>
            </a:graphic>
          </wp:inline>
        </w:drawing>
      </w:r>
    </w:p>
    <w:p w14:paraId="785BAD76" w14:textId="77777777" w:rsidR="00E40AC8" w:rsidRPr="005142C4" w:rsidRDefault="00E40AC8" w:rsidP="005142C4">
      <w:pPr>
        <w:spacing w:after="0" w:line="240" w:lineRule="auto"/>
        <w:ind w:left="0" w:right="0" w:firstLine="0"/>
        <w:jc w:val="left"/>
        <w:rPr>
          <w:rFonts w:ascii="Times New Roman" w:eastAsia="Calibri" w:hAnsi="Times New Roman" w:cs="Times New Roman"/>
          <w:sz w:val="24"/>
        </w:rPr>
      </w:pPr>
    </w:p>
    <w:p w14:paraId="44B4EE5B" w14:textId="441CC238" w:rsidR="005142C4" w:rsidRPr="005142C4" w:rsidRDefault="00900184" w:rsidP="005938FB">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Rizik je određen kao rizik</w:t>
      </w:r>
      <w:r w:rsidR="0051440D">
        <w:rPr>
          <w:rFonts w:ascii="Times New Roman" w:hAnsi="Times New Roman" w:cs="Times New Roman"/>
          <w:sz w:val="24"/>
        </w:rPr>
        <w:t xml:space="preserve"> </w:t>
      </w:r>
      <w:r w:rsidRPr="005142C4">
        <w:rPr>
          <w:rFonts w:ascii="Times New Roman" w:hAnsi="Times New Roman" w:cs="Times New Roman"/>
          <w:sz w:val="24"/>
        </w:rPr>
        <w:t>=</w:t>
      </w:r>
      <w:r w:rsidR="0051440D">
        <w:rPr>
          <w:rFonts w:ascii="Times New Roman" w:hAnsi="Times New Roman" w:cs="Times New Roman"/>
          <w:sz w:val="24"/>
        </w:rPr>
        <w:t xml:space="preserve"> </w:t>
      </w:r>
      <w:r w:rsidRPr="005142C4">
        <w:rPr>
          <w:rFonts w:ascii="Times New Roman" w:hAnsi="Times New Roman" w:cs="Times New Roman"/>
          <w:sz w:val="24"/>
        </w:rPr>
        <w:t>vjerojatnost * posljedica, svaka s pet vrijednosti, što u konačnici daje matricu od 25 polja (vertikalna</w:t>
      </w:r>
      <w:r w:rsidR="0051440D">
        <w:rPr>
          <w:rFonts w:ascii="Times New Roman" w:hAnsi="Times New Roman" w:cs="Times New Roman"/>
          <w:sz w:val="24"/>
        </w:rPr>
        <w:t xml:space="preserve"> </w:t>
      </w:r>
      <w:r w:rsidR="00EE6A22" w:rsidRPr="005142C4">
        <w:rPr>
          <w:rFonts w:ascii="Times New Roman" w:hAnsi="Times New Roman" w:cs="Times New Roman"/>
          <w:sz w:val="24"/>
        </w:rPr>
        <w:t>-</w:t>
      </w:r>
      <w:r w:rsidR="0051440D">
        <w:rPr>
          <w:rFonts w:ascii="Times New Roman" w:hAnsi="Times New Roman" w:cs="Times New Roman"/>
          <w:sz w:val="24"/>
        </w:rPr>
        <w:t xml:space="preserve"> </w:t>
      </w:r>
      <w:r w:rsidRPr="005142C4">
        <w:rPr>
          <w:rFonts w:ascii="Times New Roman" w:hAnsi="Times New Roman" w:cs="Times New Roman"/>
          <w:sz w:val="24"/>
        </w:rPr>
        <w:t>posljedica, horizontalna</w:t>
      </w:r>
      <w:r w:rsidR="0051440D">
        <w:rPr>
          <w:rFonts w:ascii="Times New Roman" w:hAnsi="Times New Roman" w:cs="Times New Roman"/>
          <w:sz w:val="24"/>
        </w:rPr>
        <w:t xml:space="preserve"> </w:t>
      </w:r>
      <w:r w:rsidR="00EE6A22" w:rsidRPr="005142C4">
        <w:rPr>
          <w:rFonts w:ascii="Times New Roman" w:hAnsi="Times New Roman" w:cs="Times New Roman"/>
          <w:sz w:val="24"/>
        </w:rPr>
        <w:t>-</w:t>
      </w:r>
      <w:r w:rsidR="0051440D">
        <w:rPr>
          <w:rFonts w:ascii="Times New Roman" w:hAnsi="Times New Roman" w:cs="Times New Roman"/>
          <w:sz w:val="24"/>
        </w:rPr>
        <w:t xml:space="preserve"> </w:t>
      </w:r>
      <w:r w:rsidRPr="005142C4">
        <w:rPr>
          <w:rFonts w:ascii="Times New Roman" w:hAnsi="Times New Roman" w:cs="Times New Roman"/>
          <w:sz w:val="24"/>
        </w:rPr>
        <w:t>vjerojatnost).</w:t>
      </w:r>
    </w:p>
    <w:p w14:paraId="313969F7" w14:textId="77777777" w:rsidR="00E26D7F" w:rsidRDefault="00E26D7F" w:rsidP="005142C4">
      <w:pPr>
        <w:spacing w:after="0" w:line="240" w:lineRule="auto"/>
        <w:ind w:left="0" w:firstLine="0"/>
        <w:rPr>
          <w:rFonts w:ascii="Times New Roman" w:hAnsi="Times New Roman" w:cs="Times New Roman"/>
          <w:b/>
          <w:sz w:val="28"/>
        </w:rPr>
      </w:pPr>
      <w:bookmarkStart w:id="7" w:name="_Toc2938530"/>
    </w:p>
    <w:p w14:paraId="6C28EEB3" w14:textId="65DED90B" w:rsidR="00E40AC8" w:rsidRPr="007A104F" w:rsidRDefault="00900184" w:rsidP="005142C4">
      <w:pPr>
        <w:spacing w:after="0" w:line="240" w:lineRule="auto"/>
        <w:ind w:left="0" w:firstLine="0"/>
        <w:rPr>
          <w:rFonts w:ascii="Times New Roman" w:hAnsi="Times New Roman" w:cs="Times New Roman"/>
          <w:b/>
          <w:sz w:val="28"/>
        </w:rPr>
      </w:pPr>
      <w:r w:rsidRPr="007A104F">
        <w:rPr>
          <w:rFonts w:ascii="Times New Roman" w:hAnsi="Times New Roman" w:cs="Times New Roman"/>
          <w:b/>
          <w:sz w:val="28"/>
        </w:rPr>
        <w:t>2. Osnovne karakteristike područja Grada Zagreba</w:t>
      </w:r>
      <w:bookmarkEnd w:id="7"/>
    </w:p>
    <w:p w14:paraId="795A3A77" w14:textId="77777777" w:rsidR="005142C4" w:rsidRPr="005142C4" w:rsidRDefault="005142C4" w:rsidP="005142C4">
      <w:pPr>
        <w:spacing w:after="0" w:line="240" w:lineRule="auto"/>
        <w:ind w:left="0" w:firstLine="0"/>
        <w:rPr>
          <w:rFonts w:ascii="Times New Roman" w:hAnsi="Times New Roman" w:cs="Times New Roman"/>
          <w:sz w:val="24"/>
        </w:rPr>
      </w:pPr>
      <w:bookmarkStart w:id="8" w:name="_Toc2938531"/>
    </w:p>
    <w:p w14:paraId="1581E7BC" w14:textId="77777777" w:rsidR="00E40AC8" w:rsidRPr="005142C4" w:rsidRDefault="00900184" w:rsidP="005142C4">
      <w:pPr>
        <w:spacing w:after="0" w:line="240" w:lineRule="auto"/>
        <w:ind w:left="0" w:firstLine="0"/>
        <w:rPr>
          <w:rFonts w:ascii="Times New Roman" w:hAnsi="Times New Roman" w:cs="Times New Roman"/>
          <w:b/>
          <w:sz w:val="24"/>
        </w:rPr>
      </w:pPr>
      <w:r w:rsidRPr="005142C4">
        <w:rPr>
          <w:rFonts w:ascii="Times New Roman" w:hAnsi="Times New Roman" w:cs="Times New Roman"/>
          <w:b/>
          <w:sz w:val="24"/>
        </w:rPr>
        <w:t>2.1. Geografski pokazatelji</w:t>
      </w:r>
      <w:bookmarkEnd w:id="8"/>
    </w:p>
    <w:p w14:paraId="33A3DE8E" w14:textId="77777777" w:rsidR="005142C4" w:rsidRPr="005142C4" w:rsidRDefault="005142C4" w:rsidP="005142C4">
      <w:pPr>
        <w:spacing w:after="0" w:line="240" w:lineRule="auto"/>
        <w:ind w:left="0" w:firstLine="0"/>
        <w:rPr>
          <w:rFonts w:ascii="Times New Roman" w:hAnsi="Times New Roman" w:cs="Times New Roman"/>
          <w:sz w:val="24"/>
        </w:rPr>
      </w:pPr>
      <w:bookmarkStart w:id="9" w:name="_Toc2938532"/>
    </w:p>
    <w:p w14:paraId="309DBD76" w14:textId="5562871E" w:rsidR="00E40AC8" w:rsidRDefault="008B78CE" w:rsidP="008B78CE">
      <w:pPr>
        <w:spacing w:after="0" w:line="240" w:lineRule="auto"/>
        <w:ind w:left="0" w:firstLine="0"/>
        <w:rPr>
          <w:rFonts w:ascii="Times New Roman" w:hAnsi="Times New Roman" w:cs="Times New Roman"/>
          <w:b/>
          <w:sz w:val="24"/>
        </w:rPr>
      </w:pPr>
      <w:r>
        <w:rPr>
          <w:rFonts w:ascii="Times New Roman" w:hAnsi="Times New Roman" w:cs="Times New Roman"/>
          <w:b/>
          <w:sz w:val="24"/>
        </w:rPr>
        <w:t xml:space="preserve">            </w:t>
      </w:r>
      <w:r w:rsidR="00900184" w:rsidRPr="005142C4">
        <w:rPr>
          <w:rFonts w:ascii="Times New Roman" w:hAnsi="Times New Roman" w:cs="Times New Roman"/>
          <w:b/>
          <w:sz w:val="24"/>
        </w:rPr>
        <w:t>2.1.1</w:t>
      </w:r>
      <w:r w:rsidR="005142C4">
        <w:rPr>
          <w:rFonts w:ascii="Times New Roman" w:hAnsi="Times New Roman" w:cs="Times New Roman"/>
          <w:b/>
          <w:sz w:val="24"/>
        </w:rPr>
        <w:t>.</w:t>
      </w:r>
      <w:r w:rsidR="00900184" w:rsidRPr="005142C4">
        <w:rPr>
          <w:rFonts w:ascii="Times New Roman" w:hAnsi="Times New Roman" w:cs="Times New Roman"/>
          <w:b/>
          <w:sz w:val="24"/>
        </w:rPr>
        <w:t xml:space="preserve"> Geografski položaj</w:t>
      </w:r>
      <w:bookmarkEnd w:id="9"/>
    </w:p>
    <w:p w14:paraId="2E7A2379" w14:textId="7A8FECD1" w:rsidR="00E40AC8" w:rsidRPr="00F642FA" w:rsidRDefault="00900184" w:rsidP="005142C4">
      <w:pPr>
        <w:spacing w:after="0" w:line="240" w:lineRule="auto"/>
        <w:ind w:left="0" w:right="0" w:firstLine="709"/>
        <w:rPr>
          <w:rFonts w:ascii="Times New Roman" w:hAnsi="Times New Roman" w:cs="Times New Roman"/>
          <w:color w:val="FF0000"/>
          <w:sz w:val="24"/>
        </w:rPr>
      </w:pPr>
      <w:r w:rsidRPr="005142C4">
        <w:rPr>
          <w:rFonts w:ascii="Times New Roman" w:hAnsi="Times New Roman" w:cs="Times New Roman"/>
          <w:sz w:val="24"/>
        </w:rPr>
        <w:t>Grad Zagreb je samostalna, jedinstvena teritorijalno</w:t>
      </w:r>
      <w:r w:rsidR="00EE6A22" w:rsidRPr="005142C4">
        <w:rPr>
          <w:rFonts w:ascii="Times New Roman" w:hAnsi="Times New Roman" w:cs="Times New Roman"/>
          <w:sz w:val="24"/>
        </w:rPr>
        <w:t>-</w:t>
      </w:r>
      <w:r w:rsidRPr="005142C4">
        <w:rPr>
          <w:rFonts w:ascii="Times New Roman" w:hAnsi="Times New Roman" w:cs="Times New Roman"/>
          <w:sz w:val="24"/>
        </w:rPr>
        <w:t>upravna jedinica sa statusom županije. Grad Zagreb graniči s dvije županije: Zagrebačkom i Krapinsko</w:t>
      </w:r>
      <w:r w:rsidR="00EE6A22" w:rsidRPr="005142C4">
        <w:rPr>
          <w:rFonts w:ascii="Times New Roman" w:hAnsi="Times New Roman" w:cs="Times New Roman"/>
          <w:sz w:val="24"/>
        </w:rPr>
        <w:t>-</w:t>
      </w:r>
      <w:r w:rsidRPr="005142C4">
        <w:rPr>
          <w:rFonts w:ascii="Times New Roman" w:hAnsi="Times New Roman" w:cs="Times New Roman"/>
          <w:sz w:val="24"/>
        </w:rPr>
        <w:t xml:space="preserve">zagorskom. Na granicu sa Zagrebačkom </w:t>
      </w:r>
      <w:r w:rsidR="005D5775">
        <w:rPr>
          <w:rFonts w:ascii="Times New Roman" w:hAnsi="Times New Roman" w:cs="Times New Roman"/>
          <w:sz w:val="24"/>
        </w:rPr>
        <w:t xml:space="preserve">županijom </w:t>
      </w:r>
      <w:r w:rsidRPr="005142C4">
        <w:rPr>
          <w:rFonts w:ascii="Times New Roman" w:hAnsi="Times New Roman" w:cs="Times New Roman"/>
          <w:sz w:val="24"/>
        </w:rPr>
        <w:t>otpada oko sedam osmina, a s Krapinsko</w:t>
      </w:r>
      <w:r w:rsidR="00EE6A22" w:rsidRPr="005142C4">
        <w:rPr>
          <w:rFonts w:ascii="Times New Roman" w:hAnsi="Times New Roman" w:cs="Times New Roman"/>
          <w:sz w:val="24"/>
        </w:rPr>
        <w:t>-</w:t>
      </w:r>
      <w:r w:rsidRPr="005142C4">
        <w:rPr>
          <w:rFonts w:ascii="Times New Roman" w:hAnsi="Times New Roman" w:cs="Times New Roman"/>
          <w:sz w:val="24"/>
        </w:rPr>
        <w:t xml:space="preserve">zagorskom </w:t>
      </w:r>
      <w:r w:rsidRPr="005142C4">
        <w:rPr>
          <w:rFonts w:ascii="Times New Roman" w:hAnsi="Times New Roman" w:cs="Times New Roman"/>
          <w:sz w:val="24"/>
        </w:rPr>
        <w:lastRenderedPageBreak/>
        <w:t>županijom oko jedne osmine administrativne granice. Crta razgraničenja Krapinsko</w:t>
      </w:r>
      <w:r w:rsidR="00EE6A22" w:rsidRPr="005142C4">
        <w:rPr>
          <w:rFonts w:ascii="Times New Roman" w:hAnsi="Times New Roman" w:cs="Times New Roman"/>
          <w:sz w:val="24"/>
        </w:rPr>
        <w:t>-</w:t>
      </w:r>
      <w:r w:rsidRPr="005142C4">
        <w:rPr>
          <w:rFonts w:ascii="Times New Roman" w:hAnsi="Times New Roman" w:cs="Times New Roman"/>
          <w:sz w:val="24"/>
        </w:rPr>
        <w:t xml:space="preserve">zagorske županije i Grada Zagreba proteže se hrptom Medvednice na sjevernom rubu područja Grada, dok Zagrebačka županija okružuje Grad Zagreb s istočne, južne i zapadne strane. Grad Zagreb smješten je u kontaktnoj zoni aluvijalne nizine rijeke Save i brdskog masiva Zagrebačke gore (Medvednice). Središte grada Zagreba nalazi se na 45°49' sjeverne geografske širine i 15°59' istočne geografske dužine. </w:t>
      </w:r>
      <w:r w:rsidRPr="004C1833">
        <w:rPr>
          <w:rFonts w:ascii="Times New Roman" w:hAnsi="Times New Roman" w:cs="Times New Roman"/>
          <w:color w:val="auto"/>
          <w:sz w:val="24"/>
        </w:rPr>
        <w:t>Površina Grada iznosi 641,</w:t>
      </w:r>
      <w:r w:rsidR="00BD5C25" w:rsidRPr="004C1833">
        <w:rPr>
          <w:rFonts w:ascii="Times New Roman" w:hAnsi="Times New Roman" w:cs="Times New Roman"/>
          <w:color w:val="auto"/>
          <w:sz w:val="24"/>
        </w:rPr>
        <w:t>24</w:t>
      </w:r>
      <w:r w:rsidRPr="004C1833">
        <w:rPr>
          <w:rFonts w:ascii="Times New Roman" w:hAnsi="Times New Roman" w:cs="Times New Roman"/>
          <w:color w:val="auto"/>
          <w:sz w:val="24"/>
        </w:rPr>
        <w:t xml:space="preserve"> km</w:t>
      </w:r>
      <w:r w:rsidRPr="004C1833">
        <w:rPr>
          <w:rFonts w:ascii="Times New Roman" w:hAnsi="Times New Roman" w:cs="Times New Roman"/>
          <w:color w:val="auto"/>
          <w:sz w:val="24"/>
          <w:vertAlign w:val="superscript"/>
        </w:rPr>
        <w:t xml:space="preserve">2 </w:t>
      </w:r>
      <w:r w:rsidRPr="004C1833">
        <w:rPr>
          <w:rFonts w:ascii="Times New Roman" w:hAnsi="Times New Roman" w:cs="Times New Roman"/>
          <w:color w:val="auto"/>
          <w:sz w:val="24"/>
        </w:rPr>
        <w:t xml:space="preserve">što </w:t>
      </w:r>
      <w:r w:rsidR="0051440D" w:rsidRPr="004C1833">
        <w:rPr>
          <w:rFonts w:ascii="Times New Roman" w:hAnsi="Times New Roman" w:cs="Times New Roman"/>
          <w:color w:val="auto"/>
          <w:sz w:val="24"/>
        </w:rPr>
        <w:t>je</w:t>
      </w:r>
      <w:r w:rsidRPr="004C1833">
        <w:rPr>
          <w:rFonts w:ascii="Times New Roman" w:hAnsi="Times New Roman" w:cs="Times New Roman"/>
          <w:color w:val="auto"/>
          <w:sz w:val="24"/>
        </w:rPr>
        <w:t xml:space="preserve"> 1,13</w:t>
      </w:r>
      <w:r w:rsidR="00E05F09" w:rsidRPr="004C1833">
        <w:rPr>
          <w:rFonts w:ascii="Times New Roman" w:hAnsi="Times New Roman" w:cs="Times New Roman"/>
          <w:color w:val="auto"/>
          <w:sz w:val="24"/>
        </w:rPr>
        <w:t> %</w:t>
      </w:r>
      <w:r w:rsidRPr="004C1833">
        <w:rPr>
          <w:rFonts w:ascii="Times New Roman" w:hAnsi="Times New Roman" w:cs="Times New Roman"/>
          <w:color w:val="auto"/>
          <w:sz w:val="24"/>
        </w:rPr>
        <w:t xml:space="preserve"> površine Republike Hrvatske.</w:t>
      </w:r>
    </w:p>
    <w:p w14:paraId="1EAF9700" w14:textId="33682DC5" w:rsidR="00E40AC8" w:rsidRPr="005142C4" w:rsidRDefault="00900184"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Područje Grada reljefno je raznoliko. Od sjevera prema jugu</w:t>
      </w:r>
      <w:r w:rsidR="00B05705">
        <w:rPr>
          <w:rFonts w:ascii="Times New Roman" w:hAnsi="Times New Roman" w:cs="Times New Roman"/>
          <w:sz w:val="24"/>
        </w:rPr>
        <w:t>,</w:t>
      </w:r>
      <w:r w:rsidRPr="005142C4">
        <w:rPr>
          <w:rFonts w:ascii="Times New Roman" w:hAnsi="Times New Roman" w:cs="Times New Roman"/>
          <w:sz w:val="24"/>
        </w:rPr>
        <w:t xml:space="preserve"> masiv Medvednice razmjerno se brzo spušta u savsku dolinu, koja se proteže sve do pobrđa Vukomeričkih gorica na krajnjem jugu područja Grada. Posavečka šuma nalazi se na 100 m</w:t>
      </w:r>
      <w:r w:rsidR="0051440D">
        <w:rPr>
          <w:rFonts w:ascii="Times New Roman" w:hAnsi="Times New Roman" w:cs="Times New Roman"/>
          <w:sz w:val="24"/>
        </w:rPr>
        <w:t xml:space="preserve"> </w:t>
      </w:r>
      <w:r w:rsidRPr="005142C4">
        <w:rPr>
          <w:rFonts w:ascii="Times New Roman" w:hAnsi="Times New Roman" w:cs="Times New Roman"/>
          <w:sz w:val="24"/>
        </w:rPr>
        <w:t>n</w:t>
      </w:r>
      <w:r w:rsidR="009F35CF">
        <w:rPr>
          <w:rFonts w:ascii="Times New Roman" w:hAnsi="Times New Roman" w:cs="Times New Roman"/>
          <w:sz w:val="24"/>
        </w:rPr>
        <w:t>/v</w:t>
      </w:r>
      <w:r w:rsidRPr="005142C4">
        <w:rPr>
          <w:rFonts w:ascii="Times New Roman" w:hAnsi="Times New Roman" w:cs="Times New Roman"/>
          <w:sz w:val="24"/>
        </w:rPr>
        <w:t>, središnji dio grada Zagreba (Zrinjevac) nalazi se na 122 m n</w:t>
      </w:r>
      <w:r w:rsidR="009F35CF">
        <w:rPr>
          <w:rFonts w:ascii="Times New Roman" w:hAnsi="Times New Roman" w:cs="Times New Roman"/>
          <w:sz w:val="24"/>
        </w:rPr>
        <w:t>/</w:t>
      </w:r>
      <w:r w:rsidRPr="005142C4">
        <w:rPr>
          <w:rFonts w:ascii="Times New Roman" w:hAnsi="Times New Roman" w:cs="Times New Roman"/>
          <w:sz w:val="24"/>
        </w:rPr>
        <w:t>v, Grič (Trg sv. Marka) na 158 m n</w:t>
      </w:r>
      <w:r w:rsidR="009F35CF">
        <w:rPr>
          <w:rFonts w:ascii="Times New Roman" w:hAnsi="Times New Roman" w:cs="Times New Roman"/>
          <w:sz w:val="24"/>
        </w:rPr>
        <w:t>/v</w:t>
      </w:r>
      <w:r w:rsidRPr="005142C4">
        <w:rPr>
          <w:rFonts w:ascii="Times New Roman" w:hAnsi="Times New Roman" w:cs="Times New Roman"/>
          <w:sz w:val="24"/>
        </w:rPr>
        <w:t>, dok visina Sljemena, najvišeg vrha Medvednice iznosi 1.035 m n</w:t>
      </w:r>
      <w:r w:rsidR="009F35CF">
        <w:rPr>
          <w:rFonts w:ascii="Times New Roman" w:hAnsi="Times New Roman" w:cs="Times New Roman"/>
          <w:sz w:val="24"/>
        </w:rPr>
        <w:t>/v</w:t>
      </w:r>
      <w:r w:rsidRPr="005142C4">
        <w:rPr>
          <w:rFonts w:ascii="Times New Roman" w:hAnsi="Times New Roman" w:cs="Times New Roman"/>
          <w:sz w:val="24"/>
        </w:rPr>
        <w:t>. Duljina Grada Zagreba iznosi cca 32 km, širina iznosi cca 39 km.</w:t>
      </w:r>
    </w:p>
    <w:p w14:paraId="51409DC3" w14:textId="47227583" w:rsidR="00E40AC8" w:rsidRPr="005142C4" w:rsidRDefault="00B05705" w:rsidP="005142C4">
      <w:pPr>
        <w:spacing w:after="0" w:line="240" w:lineRule="auto"/>
        <w:ind w:left="0" w:right="0" w:firstLine="709"/>
        <w:rPr>
          <w:rFonts w:ascii="Times New Roman" w:hAnsi="Times New Roman" w:cs="Times New Roman"/>
          <w:sz w:val="24"/>
        </w:rPr>
      </w:pPr>
      <w:r>
        <w:rPr>
          <w:rFonts w:ascii="Times New Roman" w:hAnsi="Times New Roman" w:cs="Times New Roman"/>
          <w:sz w:val="24"/>
        </w:rPr>
        <w:t>U prostoru se izdvajaju</w:t>
      </w:r>
      <w:r w:rsidR="00900184" w:rsidRPr="005142C4">
        <w:rPr>
          <w:rFonts w:ascii="Times New Roman" w:hAnsi="Times New Roman" w:cs="Times New Roman"/>
          <w:sz w:val="24"/>
        </w:rPr>
        <w:t xml:space="preserve"> prostrane vrijedne prirodne cjeline</w:t>
      </w:r>
      <w:r w:rsidR="005142C4">
        <w:rPr>
          <w:rFonts w:ascii="Times New Roman" w:hAnsi="Times New Roman" w:cs="Times New Roman"/>
          <w:sz w:val="24"/>
        </w:rPr>
        <w:t xml:space="preserve"> </w:t>
      </w:r>
      <w:r w:rsidR="00EE6A22" w:rsidRPr="005142C4">
        <w:rPr>
          <w:rFonts w:ascii="Times New Roman" w:hAnsi="Times New Roman" w:cs="Times New Roman"/>
          <w:sz w:val="24"/>
        </w:rPr>
        <w:t>-</w:t>
      </w:r>
      <w:r w:rsidR="00E26D7F">
        <w:rPr>
          <w:rFonts w:ascii="Times New Roman" w:hAnsi="Times New Roman" w:cs="Times New Roman"/>
          <w:sz w:val="24"/>
        </w:rPr>
        <w:t xml:space="preserve"> P</w:t>
      </w:r>
      <w:r w:rsidR="00900184" w:rsidRPr="005142C4">
        <w:rPr>
          <w:rFonts w:ascii="Times New Roman" w:hAnsi="Times New Roman" w:cs="Times New Roman"/>
          <w:sz w:val="24"/>
        </w:rPr>
        <w:t xml:space="preserve">ark prirode Medvednica, južni obronci Medvednice, </w:t>
      </w:r>
      <w:r w:rsidR="00816C35">
        <w:rPr>
          <w:rFonts w:ascii="Times New Roman" w:hAnsi="Times New Roman" w:cs="Times New Roman"/>
          <w:sz w:val="24"/>
        </w:rPr>
        <w:t>S</w:t>
      </w:r>
      <w:r w:rsidR="00900184" w:rsidRPr="005142C4">
        <w:rPr>
          <w:rFonts w:ascii="Times New Roman" w:hAnsi="Times New Roman" w:cs="Times New Roman"/>
          <w:sz w:val="24"/>
        </w:rPr>
        <w:t>avska aluvijalna ravnica, brežuljci</w:t>
      </w:r>
      <w:r w:rsidR="005142C4">
        <w:rPr>
          <w:rFonts w:ascii="Times New Roman" w:hAnsi="Times New Roman" w:cs="Times New Roman"/>
          <w:sz w:val="24"/>
        </w:rPr>
        <w:t xml:space="preserve"> </w:t>
      </w:r>
      <w:r w:rsidR="00900184" w:rsidRPr="005142C4">
        <w:rPr>
          <w:rFonts w:ascii="Times New Roman" w:hAnsi="Times New Roman" w:cs="Times New Roman"/>
          <w:sz w:val="24"/>
        </w:rPr>
        <w:t xml:space="preserve">Vukomeričkih gorica. Šumovita i brdovita Medvednica u zaleđu osigurala </w:t>
      </w:r>
      <w:r w:rsidR="0051440D">
        <w:rPr>
          <w:rFonts w:ascii="Times New Roman" w:hAnsi="Times New Roman" w:cs="Times New Roman"/>
          <w:sz w:val="24"/>
        </w:rPr>
        <w:t xml:space="preserve">je </w:t>
      </w:r>
      <w:r w:rsidR="00900184" w:rsidRPr="005142C4">
        <w:rPr>
          <w:rFonts w:ascii="Times New Roman" w:hAnsi="Times New Roman" w:cs="Times New Roman"/>
          <w:sz w:val="24"/>
        </w:rPr>
        <w:t>prostor za oblikovanje fortifikacija, a zatim i razvoj urbanih naselja.</w:t>
      </w:r>
    </w:p>
    <w:p w14:paraId="36F1159C" w14:textId="0A03D934" w:rsidR="00E40AC8" w:rsidRPr="005142C4" w:rsidRDefault="00900184"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Osnovni čimbenik vodnog sustava Grada Zagreba je rijeka Sava. </w:t>
      </w:r>
      <w:r w:rsidR="00E26D7F">
        <w:rPr>
          <w:rFonts w:ascii="Times New Roman" w:hAnsi="Times New Roman" w:cs="Times New Roman"/>
          <w:sz w:val="24"/>
        </w:rPr>
        <w:t xml:space="preserve">Rijeka </w:t>
      </w:r>
      <w:r w:rsidRPr="005142C4">
        <w:rPr>
          <w:rFonts w:ascii="Times New Roman" w:hAnsi="Times New Roman" w:cs="Times New Roman"/>
          <w:sz w:val="24"/>
        </w:rPr>
        <w:t xml:space="preserve">Sava čitavom duljinom svog toka, od oko 30 km, protječe kroz središnje naselje </w:t>
      </w:r>
      <w:r w:rsidR="00EE6A22" w:rsidRPr="005142C4">
        <w:rPr>
          <w:rFonts w:ascii="Times New Roman" w:hAnsi="Times New Roman" w:cs="Times New Roman"/>
          <w:sz w:val="24"/>
        </w:rPr>
        <w:t>-</w:t>
      </w:r>
      <w:r w:rsidRPr="005142C4">
        <w:rPr>
          <w:rFonts w:ascii="Times New Roman" w:hAnsi="Times New Roman" w:cs="Times New Roman"/>
          <w:sz w:val="24"/>
        </w:rPr>
        <w:t xml:space="preserve"> Grad Zagreb. U nju se na zapadnom rubu Zagreba ulijeva rijeka Krapina, a daljnjom duljinom toka i 69 potoka koji se spuštaju južnim padinama Medvednice. Potoci u južnom dijelu Grada pripadaju slivu rijeke Odre. Na području Grada nalazi se 10 pojedinačnih </w:t>
      </w:r>
      <w:r w:rsidR="00EE48BB">
        <w:rPr>
          <w:rFonts w:ascii="Times New Roman" w:hAnsi="Times New Roman" w:cs="Times New Roman"/>
          <w:sz w:val="24"/>
        </w:rPr>
        <w:t xml:space="preserve">jezera </w:t>
      </w:r>
      <w:r w:rsidRPr="005142C4">
        <w:rPr>
          <w:rFonts w:ascii="Times New Roman" w:hAnsi="Times New Roman" w:cs="Times New Roman"/>
          <w:sz w:val="24"/>
        </w:rPr>
        <w:t xml:space="preserve">i 3 </w:t>
      </w:r>
      <w:r w:rsidR="00EE48BB">
        <w:rPr>
          <w:rFonts w:ascii="Times New Roman" w:hAnsi="Times New Roman" w:cs="Times New Roman"/>
          <w:sz w:val="24"/>
        </w:rPr>
        <w:t xml:space="preserve">njihove </w:t>
      </w:r>
      <w:r w:rsidRPr="005142C4">
        <w:rPr>
          <w:rFonts w:ascii="Times New Roman" w:hAnsi="Times New Roman" w:cs="Times New Roman"/>
          <w:sz w:val="24"/>
        </w:rPr>
        <w:t xml:space="preserve">skupine. Dio jezera nastao je umjetno. U tu kategoriju spadaju, u prvom redu, jezera uz Savu </w:t>
      </w:r>
      <w:r w:rsidR="00EE6A22" w:rsidRPr="005142C4">
        <w:rPr>
          <w:rFonts w:ascii="Times New Roman" w:hAnsi="Times New Roman" w:cs="Times New Roman"/>
          <w:sz w:val="24"/>
        </w:rPr>
        <w:t>-</w:t>
      </w:r>
      <w:r w:rsidRPr="005142C4">
        <w:rPr>
          <w:rFonts w:ascii="Times New Roman" w:hAnsi="Times New Roman" w:cs="Times New Roman"/>
          <w:sz w:val="24"/>
        </w:rPr>
        <w:t xml:space="preserve"> Jarun, Bundek i skupina jezera Savica, koji danas služe kao prostori za odmor i rekreaciju.</w:t>
      </w:r>
    </w:p>
    <w:p w14:paraId="59D6DE5B" w14:textId="77777777" w:rsidR="00E40AC8" w:rsidRPr="005142C4" w:rsidRDefault="00900184"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Grad je smješten u kontinentalnom klimatskom pojasu koj</w:t>
      </w:r>
      <w:r w:rsidR="0051440D">
        <w:rPr>
          <w:rFonts w:ascii="Times New Roman" w:hAnsi="Times New Roman" w:cs="Times New Roman"/>
          <w:sz w:val="24"/>
        </w:rPr>
        <w:t>i</w:t>
      </w:r>
      <w:r w:rsidRPr="005142C4">
        <w:rPr>
          <w:rFonts w:ascii="Times New Roman" w:hAnsi="Times New Roman" w:cs="Times New Roman"/>
          <w:sz w:val="24"/>
        </w:rPr>
        <w:t xml:space="preserve"> karakteriziraju vrlo toplo ljeto i razmjerno hladna zima. Prosječne temperature zraka kreću se između 21,8°C u srpnju i 0,4°C u siječnju, dok višegodišnji prosjek temperaturnih ekstrema iznosi 37,6 odnosno </w:t>
      </w:r>
      <w:r w:rsidR="00EE6A22" w:rsidRPr="005142C4">
        <w:rPr>
          <w:rFonts w:ascii="Times New Roman" w:hAnsi="Times New Roman" w:cs="Times New Roman"/>
          <w:sz w:val="24"/>
        </w:rPr>
        <w:t>-</w:t>
      </w:r>
      <w:r w:rsidRPr="005142C4">
        <w:rPr>
          <w:rFonts w:ascii="Times New Roman" w:hAnsi="Times New Roman" w:cs="Times New Roman"/>
          <w:sz w:val="24"/>
        </w:rPr>
        <w:t xml:space="preserve"> 5,8°C. Srednja vrijednost tlaka zraka je 997,9 hPa. Godišnji prosjek sunčanih sati iznosi 2119,5 h (~ 5,8 h/dan), a ukupne količine oborina 520,8 mm. Godišnji hod pokazuje dva maksimuma, jedan u rano ljeto (kontinentalni utjecaj), a drugi u jesen (maritimni utjecaj).</w:t>
      </w:r>
    </w:p>
    <w:p w14:paraId="231D3D59" w14:textId="77777777" w:rsidR="00E40AC8" w:rsidRPr="005142C4" w:rsidRDefault="00900184"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Općenito, količina oborina opada od zapada prema istoku, a najmanja količina oborina zabilježena je u veljači. Gradsko područje Zagreba ima manje od 40 dana sa snježnim pokrivačem, a prostori južno od grada više od 40 dana. Maksimalna visina snijega u gradu i nizinskim predjelima je 50 </w:t>
      </w:r>
      <w:r w:rsidR="00EE6A22" w:rsidRPr="005142C4">
        <w:rPr>
          <w:rFonts w:ascii="Times New Roman" w:hAnsi="Times New Roman" w:cs="Times New Roman"/>
          <w:sz w:val="24"/>
        </w:rPr>
        <w:t>-</w:t>
      </w:r>
      <w:r w:rsidRPr="005142C4">
        <w:rPr>
          <w:rFonts w:ascii="Times New Roman" w:hAnsi="Times New Roman" w:cs="Times New Roman"/>
          <w:sz w:val="24"/>
        </w:rPr>
        <w:t xml:space="preserve"> 80 cm, a na Medvednici više od 100 cm (90 dana sa snijegom).</w:t>
      </w:r>
    </w:p>
    <w:p w14:paraId="33C75593" w14:textId="77777777" w:rsidR="00E40AC8" w:rsidRPr="005142C4" w:rsidRDefault="00900184"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Vlaga zraka na gradskom području Zagreba kreće se, u prosjeku, od 60 </w:t>
      </w:r>
      <w:r w:rsidR="0051440D">
        <w:rPr>
          <w:rFonts w:ascii="Times New Roman" w:hAnsi="Times New Roman" w:cs="Times New Roman"/>
          <w:sz w:val="24"/>
        </w:rPr>
        <w:t>do</w:t>
      </w:r>
      <w:r w:rsidRPr="005142C4">
        <w:rPr>
          <w:rFonts w:ascii="Times New Roman" w:hAnsi="Times New Roman" w:cs="Times New Roman"/>
          <w:sz w:val="24"/>
        </w:rPr>
        <w:t xml:space="preserve"> 70</w:t>
      </w:r>
      <w:r w:rsidR="00E05F09">
        <w:rPr>
          <w:rFonts w:ascii="Times New Roman" w:hAnsi="Times New Roman" w:cs="Times New Roman"/>
          <w:sz w:val="24"/>
        </w:rPr>
        <w:t> %</w:t>
      </w:r>
      <w:r w:rsidRPr="005142C4">
        <w:rPr>
          <w:rFonts w:ascii="Times New Roman" w:hAnsi="Times New Roman" w:cs="Times New Roman"/>
          <w:sz w:val="24"/>
        </w:rPr>
        <w:t>. Dominantna strujanja zraka na zagrebačkom području su iz smjerova SI i ZSZ. Prosječno godišnje trajanje sijanja sunca kreće se u vrijednostima do 1 808 sati (stanica Zagreb</w:t>
      </w:r>
      <w:r w:rsidR="00EE6A22" w:rsidRPr="005142C4">
        <w:rPr>
          <w:rFonts w:ascii="Times New Roman" w:hAnsi="Times New Roman" w:cs="Times New Roman"/>
          <w:sz w:val="24"/>
        </w:rPr>
        <w:t>-</w:t>
      </w:r>
      <w:r w:rsidRPr="005142C4">
        <w:rPr>
          <w:rFonts w:ascii="Times New Roman" w:hAnsi="Times New Roman" w:cs="Times New Roman"/>
          <w:sz w:val="24"/>
        </w:rPr>
        <w:t>Maksimir). Maksimum naoblake u prosincu povezan je s najvećom ciklonalnom aktivnošću, a minimum je u kolovozu.</w:t>
      </w:r>
    </w:p>
    <w:p w14:paraId="012AC4DE" w14:textId="77777777" w:rsidR="00E40AC8" w:rsidRPr="005142C4" w:rsidRDefault="00900184"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Za područje Grada karakteristična je vegetacija kontinentalnog pojasa. U šumskom pokrovu prevladavaju bjelogorične šume hrasta kitnjaka, graba, javora, jasena, pitomog kestena, tise i lipe, a na višem brdskom području bukve, koje s porastom nadmorske visine prelaze u mješovite šume bukve i četinara (smreke i jele). Na neobrađenim aluvijalnim površinama prevladava travnati pokrov.</w:t>
      </w:r>
    </w:p>
    <w:p w14:paraId="60CF31AB" w14:textId="6D9020F0" w:rsidR="00E40AC8" w:rsidRDefault="00900184"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Na području Grada šest je osnovnih tipova krajobraza (Karta 1). Prostor </w:t>
      </w:r>
      <w:r w:rsidR="0051440D" w:rsidRPr="005142C4">
        <w:rPr>
          <w:rFonts w:ascii="Times New Roman" w:hAnsi="Times New Roman" w:cs="Times New Roman"/>
          <w:sz w:val="24"/>
        </w:rPr>
        <w:t xml:space="preserve">Grada </w:t>
      </w:r>
      <w:r w:rsidRPr="005142C4">
        <w:rPr>
          <w:rFonts w:ascii="Times New Roman" w:hAnsi="Times New Roman" w:cs="Times New Roman"/>
          <w:sz w:val="24"/>
        </w:rPr>
        <w:t>karakterizira razmjerno visok udio vrijednih urbanih i suburbanih krajobraznih cjelina.</w:t>
      </w:r>
    </w:p>
    <w:p w14:paraId="4D4C88C7" w14:textId="28867607" w:rsidR="002164B2" w:rsidRDefault="002164B2" w:rsidP="005142C4">
      <w:pPr>
        <w:spacing w:after="0" w:line="240" w:lineRule="auto"/>
        <w:ind w:left="0" w:right="0" w:firstLine="709"/>
        <w:rPr>
          <w:rFonts w:ascii="Times New Roman" w:hAnsi="Times New Roman" w:cs="Times New Roman"/>
          <w:sz w:val="24"/>
        </w:rPr>
      </w:pPr>
    </w:p>
    <w:p w14:paraId="496AB146" w14:textId="7C2B1696" w:rsidR="002164B2" w:rsidRDefault="002164B2" w:rsidP="005142C4">
      <w:pPr>
        <w:spacing w:after="0" w:line="240" w:lineRule="auto"/>
        <w:ind w:left="0" w:right="0" w:firstLine="709"/>
        <w:rPr>
          <w:rFonts w:ascii="Times New Roman" w:hAnsi="Times New Roman" w:cs="Times New Roman"/>
          <w:sz w:val="24"/>
        </w:rPr>
      </w:pPr>
    </w:p>
    <w:p w14:paraId="1C0E6E6F" w14:textId="41EC64B7" w:rsidR="002164B2" w:rsidRDefault="002164B2" w:rsidP="005142C4">
      <w:pPr>
        <w:spacing w:after="0" w:line="240" w:lineRule="auto"/>
        <w:ind w:left="0" w:right="0" w:firstLine="709"/>
        <w:rPr>
          <w:rFonts w:ascii="Times New Roman" w:hAnsi="Times New Roman" w:cs="Times New Roman"/>
          <w:sz w:val="24"/>
        </w:rPr>
      </w:pPr>
    </w:p>
    <w:p w14:paraId="24E0A077" w14:textId="0A41C866" w:rsidR="002164B2" w:rsidRDefault="002164B2" w:rsidP="005142C4">
      <w:pPr>
        <w:spacing w:after="0" w:line="240" w:lineRule="auto"/>
        <w:ind w:left="0" w:right="0" w:firstLine="709"/>
        <w:rPr>
          <w:rFonts w:ascii="Times New Roman" w:hAnsi="Times New Roman" w:cs="Times New Roman"/>
          <w:sz w:val="24"/>
        </w:rPr>
      </w:pPr>
    </w:p>
    <w:p w14:paraId="18B1AD26" w14:textId="77777777" w:rsidR="002164B2" w:rsidRPr="005142C4" w:rsidRDefault="002164B2" w:rsidP="005142C4">
      <w:pPr>
        <w:spacing w:after="0" w:line="240" w:lineRule="auto"/>
        <w:ind w:left="0" w:right="0" w:firstLine="709"/>
        <w:rPr>
          <w:rFonts w:ascii="Times New Roman" w:hAnsi="Times New Roman" w:cs="Times New Roman"/>
          <w:sz w:val="24"/>
        </w:rPr>
      </w:pPr>
    </w:p>
    <w:p w14:paraId="07B14FBB" w14:textId="77777777" w:rsidR="00E40AC8" w:rsidRPr="005142C4" w:rsidRDefault="00E40AC8" w:rsidP="005142C4">
      <w:pPr>
        <w:spacing w:after="0" w:line="240" w:lineRule="auto"/>
        <w:ind w:left="0" w:right="0" w:firstLine="0"/>
        <w:jc w:val="left"/>
        <w:rPr>
          <w:rFonts w:ascii="Times New Roman" w:hAnsi="Times New Roman" w:cs="Times New Roman"/>
          <w:sz w:val="24"/>
        </w:rPr>
      </w:pPr>
    </w:p>
    <w:p w14:paraId="257A94BB" w14:textId="77777777" w:rsidR="00E40AC8" w:rsidRPr="005142C4" w:rsidRDefault="00900184" w:rsidP="009D5EFE">
      <w:pPr>
        <w:spacing w:line="240" w:lineRule="auto"/>
        <w:ind w:left="0" w:firstLine="0"/>
        <w:jc w:val="center"/>
        <w:rPr>
          <w:rFonts w:ascii="Times New Roman" w:hAnsi="Times New Roman" w:cs="Times New Roman"/>
          <w:b/>
          <w:sz w:val="24"/>
          <w:szCs w:val="20"/>
        </w:rPr>
      </w:pPr>
      <w:r w:rsidRPr="005142C4">
        <w:rPr>
          <w:rFonts w:ascii="Times New Roman" w:hAnsi="Times New Roman" w:cs="Times New Roman"/>
          <w:b/>
          <w:sz w:val="24"/>
          <w:szCs w:val="20"/>
        </w:rPr>
        <w:t>Karta 1. Tipovi krajobraza Grada Zagreba</w:t>
      </w:r>
    </w:p>
    <w:p w14:paraId="6AA89A54" w14:textId="77777777" w:rsidR="00E40AC8" w:rsidRPr="005142C4" w:rsidRDefault="00900184" w:rsidP="005142C4">
      <w:pPr>
        <w:spacing w:after="0" w:line="240" w:lineRule="auto"/>
        <w:ind w:left="0" w:right="0" w:firstLine="0"/>
        <w:jc w:val="center"/>
        <w:rPr>
          <w:rFonts w:ascii="Times New Roman" w:hAnsi="Times New Roman" w:cs="Times New Roman"/>
          <w:sz w:val="24"/>
        </w:rPr>
      </w:pPr>
      <w:r w:rsidRPr="005142C4">
        <w:rPr>
          <w:rFonts w:ascii="Times New Roman" w:hAnsi="Times New Roman" w:cs="Times New Roman"/>
          <w:noProof/>
          <w:sz w:val="24"/>
        </w:rPr>
        <w:drawing>
          <wp:inline distT="0" distB="0" distL="0" distR="0" wp14:anchorId="0B6DFD56" wp14:editId="159C7CE0">
            <wp:extent cx="4562475" cy="4524375"/>
            <wp:effectExtent l="0" t="0" r="9525" b="9525"/>
            <wp:docPr id="688" name="Picture 688"/>
            <wp:cNvGraphicFramePr/>
            <a:graphic xmlns:a="http://schemas.openxmlformats.org/drawingml/2006/main">
              <a:graphicData uri="http://schemas.openxmlformats.org/drawingml/2006/picture">
                <pic:pic xmlns:pic="http://schemas.openxmlformats.org/drawingml/2006/picture">
                  <pic:nvPicPr>
                    <pic:cNvPr id="688" name="Picture 688"/>
                    <pic:cNvPicPr/>
                  </pic:nvPicPr>
                  <pic:blipFill>
                    <a:blip r:embed="rId11"/>
                    <a:stretch>
                      <a:fillRect/>
                    </a:stretch>
                  </pic:blipFill>
                  <pic:spPr>
                    <a:xfrm>
                      <a:off x="0" y="0"/>
                      <a:ext cx="4562475" cy="4524375"/>
                    </a:xfrm>
                    <a:prstGeom prst="rect">
                      <a:avLst/>
                    </a:prstGeom>
                  </pic:spPr>
                </pic:pic>
              </a:graphicData>
            </a:graphic>
          </wp:inline>
        </w:drawing>
      </w:r>
    </w:p>
    <w:p w14:paraId="613584E5" w14:textId="77777777" w:rsidR="00E40AC8" w:rsidRPr="005142C4" w:rsidRDefault="00900184" w:rsidP="005142C4">
      <w:pPr>
        <w:spacing w:after="0" w:line="240" w:lineRule="auto"/>
        <w:ind w:left="0" w:right="0" w:firstLine="0"/>
        <w:jc w:val="center"/>
        <w:rPr>
          <w:rFonts w:ascii="Times New Roman" w:eastAsia="Calibri" w:hAnsi="Times New Roman" w:cs="Times New Roman"/>
          <w:i/>
          <w:sz w:val="20"/>
        </w:rPr>
      </w:pPr>
      <w:r w:rsidRPr="005142C4">
        <w:rPr>
          <w:rFonts w:ascii="Times New Roman" w:eastAsia="Calibri" w:hAnsi="Times New Roman" w:cs="Times New Roman"/>
          <w:i/>
          <w:sz w:val="20"/>
        </w:rPr>
        <w:t>Izvor: Gradski ured za strategijsko planiranje i razvoj Grada</w:t>
      </w:r>
    </w:p>
    <w:p w14:paraId="5D38331C" w14:textId="77777777" w:rsidR="00E40AC8" w:rsidRPr="005142C4" w:rsidRDefault="00E40AC8" w:rsidP="005142C4">
      <w:pPr>
        <w:spacing w:after="0" w:line="240" w:lineRule="auto"/>
        <w:ind w:left="0" w:right="0" w:firstLine="0"/>
        <w:jc w:val="left"/>
        <w:rPr>
          <w:rFonts w:ascii="Times New Roman" w:eastAsia="Calibri" w:hAnsi="Times New Roman" w:cs="Times New Roman"/>
          <w:i/>
          <w:sz w:val="24"/>
        </w:rPr>
      </w:pPr>
    </w:p>
    <w:p w14:paraId="500DA4EB" w14:textId="77777777" w:rsidR="005142C4" w:rsidRDefault="00900184" w:rsidP="005142C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U identitetskom smislu najizraženije megaprostorne cjeline Grada Zagreba su: povijesna cjelina s Gornjim i Donjim gradom i Kaptolom, gora Medvednica, te rijeka Sava.</w:t>
      </w:r>
    </w:p>
    <w:p w14:paraId="367CACDB" w14:textId="77777777" w:rsidR="005142C4" w:rsidRPr="005142C4" w:rsidRDefault="005142C4" w:rsidP="005142C4">
      <w:pPr>
        <w:spacing w:after="0" w:line="240" w:lineRule="auto"/>
        <w:ind w:left="0" w:right="0" w:firstLine="0"/>
        <w:rPr>
          <w:rFonts w:ascii="Times New Roman" w:hAnsi="Times New Roman" w:cs="Times New Roman"/>
          <w:sz w:val="24"/>
        </w:rPr>
      </w:pPr>
    </w:p>
    <w:p w14:paraId="4B11C310" w14:textId="6C057A7F" w:rsidR="004C1833" w:rsidRPr="0032536A" w:rsidRDefault="00900184" w:rsidP="004C1833">
      <w:pPr>
        <w:spacing w:after="0" w:line="240" w:lineRule="auto"/>
        <w:ind w:left="0" w:right="0" w:firstLine="709"/>
        <w:rPr>
          <w:rFonts w:ascii="Times New Roman" w:hAnsi="Times New Roman" w:cs="Times New Roman"/>
          <w:color w:val="auto"/>
          <w:sz w:val="24"/>
        </w:rPr>
      </w:pPr>
      <w:r w:rsidRPr="0032536A">
        <w:rPr>
          <w:rFonts w:ascii="Times New Roman" w:hAnsi="Times New Roman" w:cs="Times New Roman"/>
          <w:b/>
          <w:color w:val="auto"/>
          <w:sz w:val="24"/>
        </w:rPr>
        <w:t>2.1.2. Broj stanovnika</w:t>
      </w:r>
      <w:bookmarkStart w:id="10" w:name="_Toc2938533"/>
    </w:p>
    <w:p w14:paraId="42E4C3B7" w14:textId="26B90899" w:rsidR="004C1833" w:rsidRDefault="004C1833" w:rsidP="004C1833">
      <w:pPr>
        <w:spacing w:after="0" w:line="240" w:lineRule="auto"/>
        <w:ind w:left="0" w:right="0" w:firstLine="709"/>
        <w:rPr>
          <w:rFonts w:ascii="Times New Roman" w:hAnsi="Times New Roman" w:cs="Times New Roman"/>
          <w:color w:val="auto"/>
          <w:sz w:val="24"/>
        </w:rPr>
      </w:pPr>
      <w:r w:rsidRPr="0032536A">
        <w:rPr>
          <w:rFonts w:ascii="Times New Roman" w:hAnsi="Times New Roman" w:cs="Times New Roman"/>
          <w:color w:val="auto"/>
          <w:sz w:val="24"/>
        </w:rPr>
        <w:t>Grad Zagreb više ne bilježi povećanje broja stanovnika, dok na razini Republike  Hrvatske također opada ukupan broj stanovnika zemlje. Tako je Grad Zagreb u 2016. bilježio ukupno 802 338, a u 2021. bilježi 769 944 stanovnika, što je pad od 0,95 %. Situacija na razini Republike Hrvatske također nije povoljna, obzirom da je ukupan broj stanovnika 2016. iznosio  4 174 349,  a ukupan broja stanovnika u 2021. je 3 888 529 što je pad od 1,07 %. U Grad</w:t>
      </w:r>
      <w:r w:rsidR="001F1761">
        <w:rPr>
          <w:rFonts w:ascii="Times New Roman" w:hAnsi="Times New Roman" w:cs="Times New Roman"/>
          <w:color w:val="auto"/>
          <w:sz w:val="24"/>
        </w:rPr>
        <w:t>u</w:t>
      </w:r>
      <w:r w:rsidRPr="0032536A">
        <w:rPr>
          <w:rFonts w:ascii="Times New Roman" w:hAnsi="Times New Roman" w:cs="Times New Roman"/>
          <w:color w:val="auto"/>
          <w:sz w:val="24"/>
        </w:rPr>
        <w:t xml:space="preserve"> Zagreb</w:t>
      </w:r>
      <w:r w:rsidR="001F1761">
        <w:rPr>
          <w:rFonts w:ascii="Times New Roman" w:hAnsi="Times New Roman" w:cs="Times New Roman"/>
          <w:color w:val="auto"/>
          <w:sz w:val="24"/>
        </w:rPr>
        <w:t>u</w:t>
      </w:r>
      <w:r w:rsidRPr="0032536A">
        <w:rPr>
          <w:rFonts w:ascii="Times New Roman" w:hAnsi="Times New Roman" w:cs="Times New Roman"/>
          <w:color w:val="auto"/>
          <w:sz w:val="24"/>
        </w:rPr>
        <w:t xml:space="preserve"> </w:t>
      </w:r>
      <w:r w:rsidR="00C05273">
        <w:rPr>
          <w:rFonts w:ascii="Times New Roman" w:hAnsi="Times New Roman" w:cs="Times New Roman"/>
          <w:color w:val="auto"/>
          <w:sz w:val="24"/>
        </w:rPr>
        <w:t>živi</w:t>
      </w:r>
      <w:r w:rsidRPr="0032536A">
        <w:rPr>
          <w:rFonts w:ascii="Times New Roman" w:hAnsi="Times New Roman" w:cs="Times New Roman"/>
          <w:color w:val="auto"/>
          <w:sz w:val="24"/>
        </w:rPr>
        <w:t xml:space="preserve"> 19,8% stanovništva Republike Hrvatske. Usporede li se privremeni podaci Popisa 2021. s konačnim podacima Popisa stanovništva, kućanstava i stanova 2011. (Popis 2011.), broj stanovnika u Gradu Zagrebu smanjio se za 2,5%, odnosno za 20 073 osobe, broj privatnih kućanstava smanjen je za 1,2%, odnosno za 3 649 kućanstava.</w:t>
      </w:r>
    </w:p>
    <w:p w14:paraId="0D3BD237" w14:textId="7FAD5CC6" w:rsidR="00FE5492" w:rsidRDefault="00FE5492" w:rsidP="004C1833">
      <w:pPr>
        <w:spacing w:after="0" w:line="240" w:lineRule="auto"/>
        <w:ind w:left="0" w:right="0" w:firstLine="709"/>
        <w:rPr>
          <w:rFonts w:ascii="Times New Roman" w:hAnsi="Times New Roman" w:cs="Times New Roman"/>
          <w:color w:val="auto"/>
          <w:sz w:val="24"/>
        </w:rPr>
      </w:pPr>
    </w:p>
    <w:p w14:paraId="38CD1B6E" w14:textId="77777777" w:rsidR="00FE5492" w:rsidRPr="0032536A" w:rsidRDefault="00FE5492" w:rsidP="004C1833">
      <w:pPr>
        <w:spacing w:after="0" w:line="240" w:lineRule="auto"/>
        <w:ind w:left="0" w:right="0" w:firstLine="709"/>
        <w:rPr>
          <w:rFonts w:ascii="Times New Roman" w:hAnsi="Times New Roman" w:cs="Times New Roman"/>
          <w:color w:val="auto"/>
          <w:sz w:val="24"/>
        </w:rPr>
      </w:pPr>
    </w:p>
    <w:p w14:paraId="4B989A56" w14:textId="77777777" w:rsidR="005142C4" w:rsidRDefault="005142C4" w:rsidP="005142C4">
      <w:pPr>
        <w:spacing w:after="0" w:line="240" w:lineRule="auto"/>
        <w:ind w:right="0"/>
        <w:rPr>
          <w:rFonts w:ascii="Times New Roman" w:hAnsi="Times New Roman" w:cs="Times New Roman"/>
          <w:sz w:val="24"/>
        </w:rPr>
      </w:pPr>
    </w:p>
    <w:p w14:paraId="3865B96C" w14:textId="77777777" w:rsidR="00E40AC8" w:rsidRPr="005142C4" w:rsidRDefault="00900184" w:rsidP="005142C4">
      <w:pPr>
        <w:spacing w:after="0" w:line="240" w:lineRule="auto"/>
        <w:ind w:left="0" w:right="0" w:firstLine="709"/>
        <w:rPr>
          <w:rFonts w:ascii="Times New Roman" w:hAnsi="Times New Roman" w:cs="Times New Roman"/>
          <w:b/>
          <w:sz w:val="24"/>
        </w:rPr>
      </w:pPr>
      <w:r w:rsidRPr="005142C4">
        <w:rPr>
          <w:rFonts w:ascii="Times New Roman" w:hAnsi="Times New Roman" w:cs="Times New Roman"/>
          <w:b/>
          <w:sz w:val="24"/>
        </w:rPr>
        <w:t>2.1.3. Gustoća naseljenosti</w:t>
      </w:r>
      <w:bookmarkEnd w:id="10"/>
    </w:p>
    <w:p w14:paraId="1749F326" w14:textId="056F4313" w:rsidR="000C3EAF" w:rsidRPr="00AC32CB" w:rsidRDefault="00900184" w:rsidP="000C3EAF">
      <w:pPr>
        <w:spacing w:after="0" w:line="240" w:lineRule="auto"/>
        <w:ind w:left="0" w:right="0" w:firstLine="709"/>
        <w:rPr>
          <w:rFonts w:ascii="Times New Roman" w:hAnsi="Times New Roman" w:cs="Times New Roman"/>
          <w:color w:val="auto"/>
          <w:sz w:val="24"/>
          <w:szCs w:val="24"/>
        </w:rPr>
      </w:pPr>
      <w:r w:rsidRPr="004E1B32">
        <w:rPr>
          <w:rFonts w:ascii="Times New Roman" w:hAnsi="Times New Roman" w:cs="Times New Roman"/>
          <w:color w:val="auto"/>
          <w:sz w:val="24"/>
          <w:szCs w:val="24"/>
        </w:rPr>
        <w:t>Grad Zagreb je područje najveće koncentracije stanovništva u Republici Hrvatskoj. P</w:t>
      </w:r>
      <w:r w:rsidR="00E31DF8" w:rsidRPr="004E1B32">
        <w:rPr>
          <w:rFonts w:ascii="Times New Roman" w:hAnsi="Times New Roman" w:cs="Times New Roman"/>
          <w:color w:val="auto"/>
          <w:sz w:val="24"/>
          <w:szCs w:val="24"/>
        </w:rPr>
        <w:t>rema podacima iz Popisa stanovništva, kućanstva i stanova</w:t>
      </w:r>
      <w:r w:rsidR="004C2905" w:rsidRPr="004E1B32">
        <w:rPr>
          <w:rFonts w:ascii="Times New Roman" w:hAnsi="Times New Roman" w:cs="Times New Roman"/>
          <w:color w:val="auto"/>
          <w:sz w:val="24"/>
          <w:szCs w:val="24"/>
        </w:rPr>
        <w:t xml:space="preserve"> 2011.</w:t>
      </w:r>
      <w:r w:rsidR="00E31DF8" w:rsidRPr="004E1B32">
        <w:rPr>
          <w:rFonts w:ascii="Times New Roman" w:hAnsi="Times New Roman" w:cs="Times New Roman"/>
          <w:color w:val="auto"/>
          <w:sz w:val="24"/>
          <w:szCs w:val="24"/>
        </w:rPr>
        <w:t>, p</w:t>
      </w:r>
      <w:r w:rsidRPr="004E1B32">
        <w:rPr>
          <w:rFonts w:ascii="Times New Roman" w:hAnsi="Times New Roman" w:cs="Times New Roman"/>
          <w:color w:val="auto"/>
          <w:sz w:val="24"/>
          <w:szCs w:val="24"/>
        </w:rPr>
        <w:t xml:space="preserve">rosječna gustoća </w:t>
      </w:r>
      <w:r w:rsidRPr="004E1B32">
        <w:rPr>
          <w:rFonts w:ascii="Times New Roman" w:hAnsi="Times New Roman" w:cs="Times New Roman"/>
          <w:color w:val="auto"/>
          <w:sz w:val="24"/>
          <w:szCs w:val="24"/>
        </w:rPr>
        <w:lastRenderedPageBreak/>
        <w:t xml:space="preserve">naseljenosti države je </w:t>
      </w:r>
      <w:r w:rsidR="00B16A56" w:rsidRPr="00EB7724">
        <w:rPr>
          <w:rFonts w:ascii="Times New Roman" w:hAnsi="Times New Roman" w:cs="Times New Roman"/>
          <w:color w:val="auto"/>
          <w:sz w:val="24"/>
          <w:szCs w:val="24"/>
        </w:rPr>
        <w:t>75,</w:t>
      </w:r>
      <w:r w:rsidRPr="00EB7724">
        <w:rPr>
          <w:rFonts w:ascii="Times New Roman" w:hAnsi="Times New Roman" w:cs="Times New Roman"/>
          <w:color w:val="auto"/>
          <w:sz w:val="24"/>
          <w:szCs w:val="24"/>
        </w:rPr>
        <w:t>71, a Grada Zagreba 1.</w:t>
      </w:r>
      <w:r w:rsidR="00175925" w:rsidRPr="00EB7724">
        <w:rPr>
          <w:rFonts w:ascii="Times New Roman" w:hAnsi="Times New Roman" w:cs="Times New Roman"/>
          <w:color w:val="auto"/>
          <w:sz w:val="24"/>
          <w:szCs w:val="24"/>
        </w:rPr>
        <w:t>232</w:t>
      </w:r>
      <w:r w:rsidR="00175925" w:rsidRPr="00EB7724" w:rsidDel="00DF4C4E">
        <w:rPr>
          <w:rFonts w:ascii="Times New Roman" w:hAnsi="Times New Roman" w:cs="Times New Roman"/>
          <w:color w:val="auto"/>
          <w:sz w:val="24"/>
          <w:szCs w:val="24"/>
        </w:rPr>
        <w:t xml:space="preserve"> </w:t>
      </w:r>
      <w:r w:rsidRPr="00EB7724">
        <w:rPr>
          <w:rFonts w:ascii="Times New Roman" w:hAnsi="Times New Roman" w:cs="Times New Roman"/>
          <w:color w:val="auto"/>
          <w:sz w:val="24"/>
          <w:szCs w:val="24"/>
        </w:rPr>
        <w:t>st/km</w:t>
      </w:r>
      <w:r w:rsidRPr="00EB7724">
        <w:rPr>
          <w:rFonts w:ascii="Times New Roman" w:hAnsi="Times New Roman" w:cs="Times New Roman"/>
          <w:color w:val="auto"/>
          <w:sz w:val="24"/>
          <w:szCs w:val="24"/>
          <w:vertAlign w:val="superscript"/>
        </w:rPr>
        <w:t>2</w:t>
      </w:r>
      <w:r w:rsidR="00E40AC8" w:rsidRPr="00EB7724">
        <w:rPr>
          <w:rFonts w:ascii="Times New Roman" w:hAnsi="Times New Roman" w:cs="Times New Roman"/>
          <w:color w:val="auto"/>
          <w:sz w:val="24"/>
          <w:szCs w:val="24"/>
        </w:rPr>
        <w:t>.</w:t>
      </w:r>
      <w:r w:rsidRPr="00EB7724">
        <w:rPr>
          <w:rFonts w:ascii="Times New Roman" w:hAnsi="Times New Roman" w:cs="Times New Roman"/>
          <w:color w:val="auto"/>
          <w:sz w:val="24"/>
          <w:szCs w:val="24"/>
        </w:rPr>
        <w:t xml:space="preserve"> Pritom u granicama naselja Zagreb prosječna gustoća naseljenosti iznosi visokih 2.249 st/km</w:t>
      </w:r>
      <w:r w:rsidRPr="002B4EE4">
        <w:rPr>
          <w:rFonts w:ascii="Times New Roman" w:hAnsi="Times New Roman" w:cs="Times New Roman"/>
          <w:color w:val="auto"/>
          <w:sz w:val="24"/>
          <w:szCs w:val="24"/>
          <w:vertAlign w:val="superscript"/>
        </w:rPr>
        <w:t>2</w:t>
      </w:r>
      <w:r w:rsidRPr="00AC32CB">
        <w:rPr>
          <w:rFonts w:ascii="Times New Roman" w:hAnsi="Times New Roman" w:cs="Times New Roman"/>
          <w:color w:val="auto"/>
          <w:sz w:val="24"/>
          <w:szCs w:val="24"/>
        </w:rPr>
        <w:t xml:space="preserve">. </w:t>
      </w:r>
      <w:r w:rsidR="0051440D" w:rsidRPr="00AC32CB">
        <w:rPr>
          <w:rFonts w:ascii="Times New Roman" w:hAnsi="Times New Roman" w:cs="Times New Roman"/>
          <w:color w:val="auto"/>
          <w:sz w:val="24"/>
          <w:szCs w:val="24"/>
        </w:rPr>
        <w:t>S o</w:t>
      </w:r>
      <w:r w:rsidRPr="00AC32CB">
        <w:rPr>
          <w:rFonts w:ascii="Times New Roman" w:hAnsi="Times New Roman" w:cs="Times New Roman"/>
          <w:color w:val="auto"/>
          <w:sz w:val="24"/>
          <w:szCs w:val="24"/>
        </w:rPr>
        <w:t xml:space="preserve">bzirom </w:t>
      </w:r>
      <w:r w:rsidR="0051440D" w:rsidRPr="00AC32CB">
        <w:rPr>
          <w:rFonts w:ascii="Times New Roman" w:hAnsi="Times New Roman" w:cs="Times New Roman"/>
          <w:color w:val="auto"/>
          <w:sz w:val="24"/>
          <w:szCs w:val="24"/>
        </w:rPr>
        <w:t xml:space="preserve">na to </w:t>
      </w:r>
      <w:r w:rsidRPr="00AC32CB">
        <w:rPr>
          <w:rFonts w:ascii="Times New Roman" w:hAnsi="Times New Roman" w:cs="Times New Roman"/>
          <w:color w:val="auto"/>
          <w:sz w:val="24"/>
          <w:szCs w:val="24"/>
        </w:rPr>
        <w:t xml:space="preserve">da se unutar teritorijalnog obuhvata </w:t>
      </w:r>
      <w:r w:rsidR="0051440D" w:rsidRPr="00AC32CB">
        <w:rPr>
          <w:rFonts w:ascii="Times New Roman" w:hAnsi="Times New Roman" w:cs="Times New Roman"/>
          <w:color w:val="auto"/>
          <w:sz w:val="24"/>
          <w:szCs w:val="24"/>
        </w:rPr>
        <w:t xml:space="preserve">Grada </w:t>
      </w:r>
      <w:r w:rsidRPr="00AC32CB">
        <w:rPr>
          <w:rFonts w:ascii="Times New Roman" w:hAnsi="Times New Roman" w:cs="Times New Roman"/>
          <w:color w:val="auto"/>
          <w:sz w:val="24"/>
          <w:szCs w:val="24"/>
        </w:rPr>
        <w:t xml:space="preserve">Zagreba nalazi i dio nenaseljenog šumskog područja Parka prirode Medvednica, prosječna gustoća stanovništva u izgrađenom dijelu građevinskog područja </w:t>
      </w:r>
      <w:r w:rsidR="0051440D" w:rsidRPr="00AC32CB">
        <w:rPr>
          <w:rFonts w:ascii="Times New Roman" w:hAnsi="Times New Roman" w:cs="Times New Roman"/>
          <w:color w:val="auto"/>
          <w:sz w:val="24"/>
          <w:szCs w:val="24"/>
        </w:rPr>
        <w:t xml:space="preserve">Grada </w:t>
      </w:r>
      <w:r w:rsidRPr="00AC32CB">
        <w:rPr>
          <w:rFonts w:ascii="Times New Roman" w:hAnsi="Times New Roman" w:cs="Times New Roman"/>
          <w:color w:val="auto"/>
          <w:sz w:val="24"/>
          <w:szCs w:val="24"/>
        </w:rPr>
        <w:t>Zagreba znatno je veća od navedene i iznosi čak 6.592 st/km</w:t>
      </w:r>
      <w:r w:rsidRPr="00AC32CB">
        <w:rPr>
          <w:rFonts w:ascii="Times New Roman" w:hAnsi="Times New Roman" w:cs="Times New Roman"/>
          <w:color w:val="auto"/>
          <w:sz w:val="24"/>
          <w:szCs w:val="24"/>
          <w:vertAlign w:val="superscript"/>
        </w:rPr>
        <w:t>2</w:t>
      </w:r>
      <w:r w:rsidR="0051440D" w:rsidRPr="00AC32CB">
        <w:rPr>
          <w:rFonts w:ascii="Times New Roman" w:hAnsi="Times New Roman" w:cs="Times New Roman"/>
          <w:color w:val="auto"/>
          <w:sz w:val="24"/>
          <w:szCs w:val="24"/>
        </w:rPr>
        <w:t xml:space="preserve">. </w:t>
      </w:r>
      <w:r w:rsidR="000C3EAF" w:rsidRPr="00AC32CB">
        <w:rPr>
          <w:rFonts w:ascii="Times New Roman" w:hAnsi="Times New Roman" w:cs="Times New Roman"/>
          <w:color w:val="auto"/>
          <w:sz w:val="24"/>
          <w:szCs w:val="24"/>
        </w:rPr>
        <w:t>Najgušće su naseljeni središnji dijelovi Grada Zagreba, u prvom redu područje Gradske četvrti Donji grad gdje prosječna gustoća naseljenosti iznosi 10.382,66 st/km</w:t>
      </w:r>
      <w:r w:rsidR="000C3EAF" w:rsidRPr="0044485B">
        <w:rPr>
          <w:rFonts w:ascii="Times New Roman" w:hAnsi="Times New Roman" w:cs="Times New Roman"/>
          <w:color w:val="auto"/>
          <w:sz w:val="24"/>
          <w:szCs w:val="24"/>
          <w:vertAlign w:val="superscript"/>
        </w:rPr>
        <w:t>2</w:t>
      </w:r>
      <w:r w:rsidR="000C3EAF" w:rsidRPr="00AC32CB">
        <w:rPr>
          <w:rFonts w:ascii="Times New Roman" w:hAnsi="Times New Roman" w:cs="Times New Roman"/>
          <w:color w:val="auto"/>
          <w:sz w:val="24"/>
          <w:szCs w:val="24"/>
        </w:rPr>
        <w:t>. Prosječna gustoća naseljenosti na razini gradske četvrti najmanja je u Gradskoj četvrti Brezovica (95,34 st/km</w:t>
      </w:r>
      <w:r w:rsidR="00AD6B1A" w:rsidRPr="00AD6B1A">
        <w:rPr>
          <w:rFonts w:ascii="Times New Roman" w:hAnsi="Times New Roman" w:cs="Times New Roman"/>
          <w:color w:val="auto"/>
          <w:sz w:val="24"/>
          <w:szCs w:val="24"/>
          <w:vertAlign w:val="superscript"/>
        </w:rPr>
        <w:t>2</w:t>
      </w:r>
      <w:r w:rsidR="000C3EAF" w:rsidRPr="00AC32CB">
        <w:rPr>
          <w:rFonts w:ascii="Times New Roman" w:hAnsi="Times New Roman" w:cs="Times New Roman"/>
          <w:color w:val="auto"/>
          <w:sz w:val="24"/>
          <w:szCs w:val="24"/>
        </w:rPr>
        <w:t>).</w:t>
      </w:r>
    </w:p>
    <w:p w14:paraId="2B8D9A46" w14:textId="77777777" w:rsidR="005142C4" w:rsidRPr="005142C4" w:rsidRDefault="005142C4" w:rsidP="0032536A">
      <w:pPr>
        <w:spacing w:after="0" w:line="240" w:lineRule="auto"/>
        <w:ind w:left="0" w:right="0" w:firstLine="0"/>
        <w:rPr>
          <w:rFonts w:ascii="Times New Roman" w:hAnsi="Times New Roman" w:cs="Times New Roman"/>
          <w:sz w:val="24"/>
        </w:rPr>
      </w:pPr>
    </w:p>
    <w:p w14:paraId="72644AFD" w14:textId="77777777" w:rsidR="00E40AC8" w:rsidRPr="005142C4" w:rsidRDefault="00900184" w:rsidP="009D5EFE">
      <w:pPr>
        <w:spacing w:line="240" w:lineRule="auto"/>
        <w:ind w:left="0" w:firstLine="0"/>
        <w:jc w:val="center"/>
        <w:rPr>
          <w:rFonts w:ascii="Times New Roman" w:hAnsi="Times New Roman" w:cs="Times New Roman"/>
          <w:b/>
          <w:sz w:val="24"/>
          <w:szCs w:val="20"/>
        </w:rPr>
      </w:pPr>
      <w:r w:rsidRPr="005142C4">
        <w:rPr>
          <w:rFonts w:ascii="Times New Roman" w:hAnsi="Times New Roman" w:cs="Times New Roman"/>
          <w:b/>
          <w:sz w:val="24"/>
          <w:szCs w:val="20"/>
        </w:rPr>
        <w:t>Karta 2. Gustoća naseljenosti naselja Grada Zagreba</w:t>
      </w:r>
    </w:p>
    <w:p w14:paraId="0C9DCAC4" w14:textId="77777777" w:rsidR="00E40AC8" w:rsidRPr="005142C4" w:rsidRDefault="00900184" w:rsidP="005142C4">
      <w:pPr>
        <w:spacing w:after="0" w:line="240" w:lineRule="auto"/>
        <w:ind w:left="0" w:right="0" w:firstLine="0"/>
        <w:jc w:val="center"/>
        <w:rPr>
          <w:rFonts w:ascii="Times New Roman" w:eastAsia="Times New Roman" w:hAnsi="Times New Roman" w:cs="Times New Roman"/>
          <w:b/>
          <w:sz w:val="24"/>
        </w:rPr>
      </w:pPr>
      <w:r w:rsidRPr="005142C4">
        <w:rPr>
          <w:rFonts w:ascii="Times New Roman" w:hAnsi="Times New Roman" w:cs="Times New Roman"/>
          <w:noProof/>
          <w:sz w:val="24"/>
        </w:rPr>
        <w:drawing>
          <wp:inline distT="0" distB="0" distL="0" distR="0" wp14:anchorId="2F6F4C6E" wp14:editId="5BD3F47F">
            <wp:extent cx="3236595" cy="2628900"/>
            <wp:effectExtent l="0" t="0" r="1905" b="0"/>
            <wp:docPr id="807" name="Picture 807"/>
            <wp:cNvGraphicFramePr/>
            <a:graphic xmlns:a="http://schemas.openxmlformats.org/drawingml/2006/main">
              <a:graphicData uri="http://schemas.openxmlformats.org/drawingml/2006/picture">
                <pic:pic xmlns:pic="http://schemas.openxmlformats.org/drawingml/2006/picture">
                  <pic:nvPicPr>
                    <pic:cNvPr id="807" name="Picture 807"/>
                    <pic:cNvPicPr/>
                  </pic:nvPicPr>
                  <pic:blipFill>
                    <a:blip r:embed="rId12"/>
                    <a:stretch>
                      <a:fillRect/>
                    </a:stretch>
                  </pic:blipFill>
                  <pic:spPr>
                    <a:xfrm>
                      <a:off x="0" y="0"/>
                      <a:ext cx="3236598" cy="2628902"/>
                    </a:xfrm>
                    <a:prstGeom prst="rect">
                      <a:avLst/>
                    </a:prstGeom>
                  </pic:spPr>
                </pic:pic>
              </a:graphicData>
            </a:graphic>
          </wp:inline>
        </w:drawing>
      </w:r>
    </w:p>
    <w:p w14:paraId="1C78889D" w14:textId="77777777" w:rsidR="005142C4" w:rsidRDefault="00900184" w:rsidP="000468AD">
      <w:pPr>
        <w:spacing w:after="0" w:line="240" w:lineRule="auto"/>
        <w:ind w:left="0" w:right="0" w:firstLine="0"/>
        <w:jc w:val="center"/>
        <w:rPr>
          <w:rFonts w:ascii="Times New Roman" w:eastAsia="Calibri" w:hAnsi="Times New Roman" w:cs="Times New Roman"/>
          <w:i/>
          <w:sz w:val="20"/>
        </w:rPr>
      </w:pPr>
      <w:r w:rsidRPr="005142C4">
        <w:rPr>
          <w:rFonts w:ascii="Times New Roman" w:eastAsia="Calibri" w:hAnsi="Times New Roman" w:cs="Times New Roman"/>
          <w:i/>
          <w:sz w:val="20"/>
        </w:rPr>
        <w:t>Izvor: Zavod za prostorno uređenje Grada Zagreba</w:t>
      </w:r>
      <w:bookmarkStart w:id="11" w:name="_Toc2938534"/>
    </w:p>
    <w:p w14:paraId="571DA67B" w14:textId="77777777" w:rsidR="000468AD" w:rsidRPr="000468AD" w:rsidRDefault="000468AD" w:rsidP="000468AD">
      <w:pPr>
        <w:spacing w:after="0" w:line="240" w:lineRule="auto"/>
        <w:ind w:left="0" w:right="0" w:firstLine="0"/>
        <w:jc w:val="center"/>
        <w:rPr>
          <w:rFonts w:ascii="Times New Roman" w:eastAsia="Calibri" w:hAnsi="Times New Roman" w:cs="Times New Roman"/>
          <w:i/>
          <w:sz w:val="20"/>
        </w:rPr>
      </w:pPr>
    </w:p>
    <w:p w14:paraId="2788A669" w14:textId="77777777" w:rsidR="00E40AC8" w:rsidRPr="005142C4" w:rsidRDefault="00900184" w:rsidP="005142C4">
      <w:pPr>
        <w:spacing w:after="0" w:line="240" w:lineRule="auto"/>
        <w:ind w:left="0" w:right="0" w:firstLine="709"/>
        <w:rPr>
          <w:rFonts w:ascii="Times New Roman" w:hAnsi="Times New Roman" w:cs="Times New Roman"/>
          <w:b/>
          <w:sz w:val="24"/>
        </w:rPr>
      </w:pPr>
      <w:r w:rsidRPr="005142C4">
        <w:rPr>
          <w:rFonts w:ascii="Times New Roman" w:hAnsi="Times New Roman" w:cs="Times New Roman"/>
          <w:b/>
          <w:sz w:val="24"/>
        </w:rPr>
        <w:t>2.1.4. Razmještaj stanovništva</w:t>
      </w:r>
      <w:bookmarkEnd w:id="11"/>
    </w:p>
    <w:p w14:paraId="1C398BD1" w14:textId="296B8943" w:rsidR="007473A9" w:rsidRDefault="00900184" w:rsidP="007473A9">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Prostorna distribucija stanovništva Grada Zagreba izrazito je neujednačena. Rezidentno stanovništvo koncentrirano je primarno u središnjem naselju. </w:t>
      </w:r>
      <w:r w:rsidR="000C3EAF" w:rsidRPr="000C3EAF">
        <w:rPr>
          <w:rFonts w:ascii="Times New Roman" w:hAnsi="Times New Roman" w:cs="Times New Roman"/>
          <w:sz w:val="24"/>
        </w:rPr>
        <w:t>Prema prvim rezultatima Popisa stanovništva 2021. najviše stanovnika živjelo je u gradskoj četvrti Sesvete, 71 216, dok je najmanji broj stanovnika zabilježen u gradskoj četvrti Brezovica, 12 109. Usporede li se privremeni podaci Popisa stanovništva 2021. s konačnim podacima Popisa stanovništva 2011., pad broja stanovnika zabilježen je u trinaest gradskih četvrti, dok su četiri gradske četvrti ostvarile porast. Najveći pad broja stanovnika zabilježen je u gradskim četvrtima Donji Grad (-15,9%) i Gornji Grad – Medveščak (-15,0%), a porast stanovnika zabilježen je u gradskim četvrtima Novi Zagreb – zapad (+11,0%), Stenjevec (+5,3%), Sesvete (+1,7%) i Brezovica (+0,7%).</w:t>
      </w:r>
      <w:r w:rsidR="000C3EAF">
        <w:rPr>
          <w:rFonts w:ascii="Times New Roman" w:hAnsi="Times New Roman" w:cs="Times New Roman"/>
          <w:sz w:val="24"/>
        </w:rPr>
        <w:t xml:space="preserve"> </w:t>
      </w:r>
      <w:r w:rsidRPr="005142C4">
        <w:rPr>
          <w:rFonts w:ascii="Times New Roman" w:hAnsi="Times New Roman" w:cs="Times New Roman"/>
          <w:sz w:val="24"/>
        </w:rPr>
        <w:t xml:space="preserve">Na porast stanovništva u Sesvetama utjecala je u prvom redu izgradnja novih stambenih naselja, osobito naselja Sopnica </w:t>
      </w:r>
      <w:r w:rsidR="00EE6A22" w:rsidRPr="005142C4">
        <w:rPr>
          <w:rFonts w:ascii="Times New Roman" w:hAnsi="Times New Roman" w:cs="Times New Roman"/>
          <w:sz w:val="24"/>
        </w:rPr>
        <w:t>-</w:t>
      </w:r>
      <w:r w:rsidRPr="005142C4">
        <w:rPr>
          <w:rFonts w:ascii="Times New Roman" w:hAnsi="Times New Roman" w:cs="Times New Roman"/>
          <w:sz w:val="24"/>
        </w:rPr>
        <w:t xml:space="preserve"> Jelkovec.</w:t>
      </w:r>
    </w:p>
    <w:p w14:paraId="1B6B17AA" w14:textId="7AE8A0FB" w:rsidR="007473A9" w:rsidRPr="005142C4" w:rsidRDefault="007473A9" w:rsidP="000C3EAF">
      <w:pPr>
        <w:spacing w:after="0" w:line="240" w:lineRule="auto"/>
        <w:ind w:left="0" w:right="0" w:firstLine="709"/>
        <w:rPr>
          <w:rFonts w:ascii="Times New Roman" w:hAnsi="Times New Roman" w:cs="Times New Roman"/>
          <w:sz w:val="24"/>
        </w:rPr>
      </w:pPr>
      <w:r w:rsidRPr="007473A9">
        <w:rPr>
          <w:rFonts w:ascii="Times New Roman" w:hAnsi="Times New Roman" w:cs="Times New Roman"/>
          <w:sz w:val="24"/>
        </w:rPr>
        <w:t>Najveća gustoća naseljenosti dostignuta je u središnjoj četvrti Donji grad gdje 2011. u prosjeku, na jedan km</w:t>
      </w:r>
      <w:r w:rsidRPr="007B013E">
        <w:rPr>
          <w:rFonts w:ascii="Times New Roman" w:hAnsi="Times New Roman" w:cs="Times New Roman"/>
          <w:sz w:val="24"/>
          <w:vertAlign w:val="superscript"/>
        </w:rPr>
        <w:t>2</w:t>
      </w:r>
      <w:r w:rsidRPr="007473A9">
        <w:rPr>
          <w:rFonts w:ascii="Times New Roman" w:hAnsi="Times New Roman" w:cs="Times New Roman"/>
          <w:sz w:val="24"/>
        </w:rPr>
        <w:t xml:space="preserve"> živi 10.382 stanovnika, ali je u stalnom padu zbog ubrzanog pretvaranja stambenog u poslovni prostor. U prilog tome govori i činjenica da je 1991. u navedenoj četvrti živjelo čak 20 000 stanovnika na km</w:t>
      </w:r>
      <w:r w:rsidRPr="00AD6B1A">
        <w:rPr>
          <w:rFonts w:ascii="Times New Roman" w:hAnsi="Times New Roman" w:cs="Times New Roman"/>
          <w:sz w:val="24"/>
          <w:vertAlign w:val="superscript"/>
        </w:rPr>
        <w:t>2</w:t>
      </w:r>
      <w:r w:rsidRPr="007473A9">
        <w:rPr>
          <w:rFonts w:ascii="Times New Roman" w:hAnsi="Times New Roman" w:cs="Times New Roman"/>
          <w:sz w:val="24"/>
        </w:rPr>
        <w:t>. Obilježje gusto naseljenih četvrti imaju i četvrti Trešnjevka - sjever (8 806 stan/km</w:t>
      </w:r>
      <w:r w:rsidRPr="00AD6B1A">
        <w:rPr>
          <w:rFonts w:ascii="Times New Roman" w:hAnsi="Times New Roman" w:cs="Times New Roman"/>
          <w:sz w:val="24"/>
          <w:vertAlign w:val="superscript"/>
        </w:rPr>
        <w:t>2</w:t>
      </w:r>
      <w:r w:rsidRPr="007473A9">
        <w:rPr>
          <w:rFonts w:ascii="Times New Roman" w:hAnsi="Times New Roman" w:cs="Times New Roman"/>
          <w:sz w:val="24"/>
        </w:rPr>
        <w:t>), Trnje (5 854 stan/km2) te Trešnjevka - jug (6 561 stan/km</w:t>
      </w:r>
      <w:r w:rsidRPr="00AD6B1A">
        <w:rPr>
          <w:rFonts w:ascii="Times New Roman" w:hAnsi="Times New Roman" w:cs="Times New Roman"/>
          <w:sz w:val="24"/>
          <w:vertAlign w:val="superscript"/>
        </w:rPr>
        <w:t>2</w:t>
      </w:r>
      <w:r w:rsidRPr="007473A9">
        <w:rPr>
          <w:rFonts w:ascii="Times New Roman" w:hAnsi="Times New Roman" w:cs="Times New Roman"/>
          <w:sz w:val="24"/>
        </w:rPr>
        <w:t>). U području nešto umjerenije koncentracije stanovništva su četvrti Gornji grad - Medveščak (2 632 stan/km</w:t>
      </w:r>
      <w:r w:rsidRPr="00AD6B1A">
        <w:rPr>
          <w:rFonts w:ascii="Times New Roman" w:hAnsi="Times New Roman" w:cs="Times New Roman"/>
          <w:sz w:val="24"/>
          <w:vertAlign w:val="superscript"/>
        </w:rPr>
        <w:t>2</w:t>
      </w:r>
      <w:r w:rsidRPr="007473A9">
        <w:rPr>
          <w:rFonts w:ascii="Times New Roman" w:hAnsi="Times New Roman" w:cs="Times New Roman"/>
          <w:sz w:val="24"/>
        </w:rPr>
        <w:t>), Novi Zagreb - istok (3 292 stan/km</w:t>
      </w:r>
      <w:r w:rsidRPr="00AD6B1A">
        <w:rPr>
          <w:rFonts w:ascii="Times New Roman" w:hAnsi="Times New Roman" w:cs="Times New Roman"/>
          <w:sz w:val="24"/>
          <w:vertAlign w:val="superscript"/>
        </w:rPr>
        <w:t>2</w:t>
      </w:r>
      <w:r w:rsidRPr="007473A9">
        <w:rPr>
          <w:rFonts w:ascii="Times New Roman" w:hAnsi="Times New Roman" w:cs="Times New Roman"/>
          <w:sz w:val="24"/>
        </w:rPr>
        <w:t>), Maksimir (3 395 stan/km</w:t>
      </w:r>
      <w:r w:rsidRPr="00AD6B1A">
        <w:rPr>
          <w:rFonts w:ascii="Times New Roman" w:hAnsi="Times New Roman" w:cs="Times New Roman"/>
          <w:sz w:val="24"/>
          <w:vertAlign w:val="superscript"/>
        </w:rPr>
        <w:t>2</w:t>
      </w:r>
      <w:r w:rsidRPr="007473A9">
        <w:rPr>
          <w:rFonts w:ascii="Times New Roman" w:hAnsi="Times New Roman" w:cs="Times New Roman"/>
          <w:sz w:val="24"/>
        </w:rPr>
        <w:t>), Gornja Dubrava (1 461 stan/km</w:t>
      </w:r>
      <w:r w:rsidRPr="00AD6B1A">
        <w:rPr>
          <w:rFonts w:ascii="Times New Roman" w:hAnsi="Times New Roman" w:cs="Times New Roman"/>
          <w:sz w:val="24"/>
          <w:vertAlign w:val="superscript"/>
        </w:rPr>
        <w:t>2</w:t>
      </w:r>
      <w:r w:rsidRPr="007473A9">
        <w:rPr>
          <w:rFonts w:ascii="Times New Roman" w:hAnsi="Times New Roman" w:cs="Times New Roman"/>
          <w:sz w:val="24"/>
        </w:rPr>
        <w:t>), Donja Dubrava (3 067 stan/km</w:t>
      </w:r>
      <w:r w:rsidRPr="00AD6B1A">
        <w:rPr>
          <w:rFonts w:ascii="Times New Roman" w:hAnsi="Times New Roman" w:cs="Times New Roman"/>
          <w:sz w:val="24"/>
          <w:vertAlign w:val="superscript"/>
        </w:rPr>
        <w:t>2</w:t>
      </w:r>
      <w:r w:rsidRPr="007473A9">
        <w:rPr>
          <w:rFonts w:ascii="Times New Roman" w:hAnsi="Times New Roman" w:cs="Times New Roman"/>
          <w:sz w:val="24"/>
        </w:rPr>
        <w:t>) i Stenjevec (4 507 stan/km</w:t>
      </w:r>
      <w:r w:rsidRPr="00AD6B1A">
        <w:rPr>
          <w:rFonts w:ascii="Times New Roman" w:hAnsi="Times New Roman" w:cs="Times New Roman"/>
          <w:sz w:val="24"/>
          <w:vertAlign w:val="superscript"/>
        </w:rPr>
        <w:t>2</w:t>
      </w:r>
      <w:r w:rsidRPr="007473A9">
        <w:rPr>
          <w:rFonts w:ascii="Times New Roman" w:hAnsi="Times New Roman" w:cs="Times New Roman"/>
          <w:sz w:val="24"/>
        </w:rPr>
        <w:t>). Prema općem prosjeku rjeđe su naseljene četvrti Brezovica (95 stan/km</w:t>
      </w:r>
      <w:r w:rsidRPr="00AD6B1A">
        <w:rPr>
          <w:rFonts w:ascii="Times New Roman" w:hAnsi="Times New Roman" w:cs="Times New Roman"/>
          <w:sz w:val="24"/>
          <w:vertAlign w:val="superscript"/>
        </w:rPr>
        <w:t>2</w:t>
      </w:r>
      <w:r w:rsidRPr="007473A9">
        <w:rPr>
          <w:rFonts w:ascii="Times New Roman" w:hAnsi="Times New Roman" w:cs="Times New Roman"/>
          <w:sz w:val="24"/>
        </w:rPr>
        <w:t>), Podsljeme (317 stan/km</w:t>
      </w:r>
      <w:r w:rsidRPr="00AD6B1A">
        <w:rPr>
          <w:rFonts w:ascii="Times New Roman" w:hAnsi="Times New Roman" w:cs="Times New Roman"/>
          <w:sz w:val="24"/>
          <w:vertAlign w:val="superscript"/>
        </w:rPr>
        <w:t>2</w:t>
      </w:r>
      <w:r w:rsidRPr="007473A9">
        <w:rPr>
          <w:rFonts w:ascii="Times New Roman" w:hAnsi="Times New Roman" w:cs="Times New Roman"/>
          <w:sz w:val="24"/>
        </w:rPr>
        <w:t>) i Sesvete (431 stan/km</w:t>
      </w:r>
      <w:r w:rsidRPr="00AD6B1A">
        <w:rPr>
          <w:rFonts w:ascii="Times New Roman" w:hAnsi="Times New Roman" w:cs="Times New Roman"/>
          <w:sz w:val="24"/>
          <w:vertAlign w:val="superscript"/>
        </w:rPr>
        <w:t>2</w:t>
      </w:r>
      <w:r w:rsidRPr="007473A9">
        <w:rPr>
          <w:rFonts w:ascii="Times New Roman" w:hAnsi="Times New Roman" w:cs="Times New Roman"/>
          <w:sz w:val="24"/>
        </w:rPr>
        <w:t xml:space="preserve">) što odgovara prirodnim obilježjima i položaju tih područja u okviru šireg upravno-teritorijalnog okvira Grada. Na području četvrti Sesvete postoji </w:t>
      </w:r>
      <w:r w:rsidRPr="007473A9">
        <w:rPr>
          <w:rFonts w:ascii="Times New Roman" w:hAnsi="Times New Roman" w:cs="Times New Roman"/>
          <w:sz w:val="24"/>
        </w:rPr>
        <w:lastRenderedPageBreak/>
        <w:t>velika razlika između izrazitije koncentracije na užem urbanom području naselja Sesvete (oko 1 494 stan/km</w:t>
      </w:r>
      <w:r w:rsidRPr="00AD6B1A">
        <w:rPr>
          <w:rFonts w:ascii="Times New Roman" w:hAnsi="Times New Roman" w:cs="Times New Roman"/>
          <w:sz w:val="24"/>
          <w:vertAlign w:val="superscript"/>
        </w:rPr>
        <w:t>2</w:t>
      </w:r>
      <w:r w:rsidRPr="007473A9">
        <w:rPr>
          <w:rFonts w:ascii="Times New Roman" w:hAnsi="Times New Roman" w:cs="Times New Roman"/>
          <w:sz w:val="24"/>
        </w:rPr>
        <w:t>) u odnosu na relativno malu koncentraciju šireg ruralnog prostora.</w:t>
      </w:r>
    </w:p>
    <w:p w14:paraId="757D5AE7" w14:textId="77777777" w:rsidR="00E40AC8" w:rsidRPr="005142C4" w:rsidRDefault="00E40AC8" w:rsidP="005142C4">
      <w:pPr>
        <w:spacing w:after="0" w:line="240" w:lineRule="auto"/>
        <w:ind w:left="0" w:right="0" w:firstLine="0"/>
        <w:jc w:val="left"/>
        <w:rPr>
          <w:rFonts w:ascii="Times New Roman" w:hAnsi="Times New Roman" w:cs="Times New Roman"/>
          <w:sz w:val="24"/>
        </w:rPr>
      </w:pPr>
    </w:p>
    <w:p w14:paraId="65154734" w14:textId="77777777" w:rsidR="00E40AC8" w:rsidRPr="005142C4" w:rsidRDefault="00900184" w:rsidP="005142C4">
      <w:pPr>
        <w:spacing w:after="0" w:line="240" w:lineRule="auto"/>
        <w:ind w:left="0" w:firstLine="0"/>
        <w:jc w:val="center"/>
        <w:rPr>
          <w:rFonts w:ascii="Times New Roman" w:hAnsi="Times New Roman" w:cs="Times New Roman"/>
          <w:b/>
          <w:sz w:val="24"/>
          <w:szCs w:val="20"/>
        </w:rPr>
      </w:pPr>
      <w:r w:rsidRPr="005142C4">
        <w:rPr>
          <w:rFonts w:ascii="Times New Roman" w:hAnsi="Times New Roman" w:cs="Times New Roman"/>
          <w:b/>
          <w:sz w:val="24"/>
          <w:szCs w:val="20"/>
        </w:rPr>
        <w:t xml:space="preserve">Karta 3. Zone koncentracije stanovništva </w:t>
      </w:r>
      <w:r w:rsidR="00EE6A22" w:rsidRPr="005142C4">
        <w:rPr>
          <w:rFonts w:ascii="Times New Roman" w:hAnsi="Times New Roman" w:cs="Times New Roman"/>
          <w:b/>
          <w:sz w:val="24"/>
          <w:szCs w:val="20"/>
        </w:rPr>
        <w:t>-</w:t>
      </w:r>
      <w:r w:rsidRPr="005142C4">
        <w:rPr>
          <w:rFonts w:ascii="Times New Roman" w:hAnsi="Times New Roman" w:cs="Times New Roman"/>
          <w:b/>
          <w:sz w:val="24"/>
          <w:szCs w:val="20"/>
        </w:rPr>
        <w:t xml:space="preserve"> prikaz po mjesnim odborima</w:t>
      </w:r>
    </w:p>
    <w:p w14:paraId="7C597652" w14:textId="77777777" w:rsidR="005142C4" w:rsidRDefault="00900184" w:rsidP="005142C4">
      <w:pPr>
        <w:spacing w:after="0" w:line="240" w:lineRule="auto"/>
        <w:ind w:left="0" w:right="0" w:firstLine="0"/>
        <w:jc w:val="center"/>
        <w:rPr>
          <w:rFonts w:ascii="Times New Roman" w:hAnsi="Times New Roman" w:cs="Times New Roman"/>
          <w:b/>
          <w:sz w:val="24"/>
        </w:rPr>
      </w:pPr>
      <w:r w:rsidRPr="005142C4">
        <w:rPr>
          <w:rFonts w:ascii="Times New Roman" w:hAnsi="Times New Roman" w:cs="Times New Roman"/>
          <w:noProof/>
          <w:sz w:val="24"/>
        </w:rPr>
        <w:drawing>
          <wp:inline distT="0" distB="0" distL="0" distR="0" wp14:anchorId="6D57927C" wp14:editId="539BA3E5">
            <wp:extent cx="2724150" cy="2514600"/>
            <wp:effectExtent l="0" t="0" r="0" b="0"/>
            <wp:docPr id="863" name="Picture 863"/>
            <wp:cNvGraphicFramePr/>
            <a:graphic xmlns:a="http://schemas.openxmlformats.org/drawingml/2006/main">
              <a:graphicData uri="http://schemas.openxmlformats.org/drawingml/2006/picture">
                <pic:pic xmlns:pic="http://schemas.openxmlformats.org/drawingml/2006/picture">
                  <pic:nvPicPr>
                    <pic:cNvPr id="863" name="Picture 86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24448" cy="2514875"/>
                    </a:xfrm>
                    <a:prstGeom prst="rect">
                      <a:avLst/>
                    </a:prstGeom>
                  </pic:spPr>
                </pic:pic>
              </a:graphicData>
            </a:graphic>
          </wp:inline>
        </w:drawing>
      </w:r>
    </w:p>
    <w:p w14:paraId="0F1D1F3A" w14:textId="77777777" w:rsidR="00E40AC8" w:rsidRPr="005142C4" w:rsidRDefault="00900184" w:rsidP="005142C4">
      <w:pPr>
        <w:spacing w:after="0" w:line="240" w:lineRule="auto"/>
        <w:ind w:left="0" w:right="0" w:firstLine="0"/>
        <w:jc w:val="center"/>
        <w:rPr>
          <w:rFonts w:ascii="Times New Roman" w:hAnsi="Times New Roman" w:cs="Times New Roman"/>
          <w:sz w:val="20"/>
        </w:rPr>
      </w:pPr>
      <w:r w:rsidRPr="005142C4">
        <w:rPr>
          <w:rFonts w:ascii="Times New Roman" w:eastAsia="Calibri" w:hAnsi="Times New Roman" w:cs="Times New Roman"/>
          <w:i/>
          <w:sz w:val="20"/>
        </w:rPr>
        <w:t>Izvor: Gradski ured za strategijsko planiranje i razvoj Grada</w:t>
      </w:r>
    </w:p>
    <w:p w14:paraId="22039FC5" w14:textId="77777777" w:rsidR="00E40AC8" w:rsidRPr="005142C4" w:rsidRDefault="00E40AC8" w:rsidP="005142C4">
      <w:pPr>
        <w:spacing w:after="0" w:line="240" w:lineRule="auto"/>
        <w:ind w:left="0" w:right="0" w:firstLine="0"/>
        <w:jc w:val="left"/>
        <w:rPr>
          <w:rFonts w:ascii="Times New Roman" w:hAnsi="Times New Roman" w:cs="Times New Roman"/>
          <w:sz w:val="24"/>
        </w:rPr>
      </w:pPr>
    </w:p>
    <w:p w14:paraId="0015190B" w14:textId="27B9544F" w:rsidR="00E40AC8" w:rsidRPr="005142C4" w:rsidRDefault="00900184" w:rsidP="009D5EFE">
      <w:pPr>
        <w:spacing w:line="240" w:lineRule="auto"/>
        <w:ind w:left="0" w:firstLine="0"/>
        <w:jc w:val="center"/>
        <w:rPr>
          <w:rFonts w:ascii="Times New Roman" w:hAnsi="Times New Roman" w:cs="Times New Roman"/>
          <w:b/>
          <w:sz w:val="24"/>
          <w:szCs w:val="20"/>
        </w:rPr>
      </w:pPr>
      <w:r w:rsidRPr="005142C4">
        <w:rPr>
          <w:rFonts w:ascii="Times New Roman" w:hAnsi="Times New Roman" w:cs="Times New Roman"/>
          <w:b/>
          <w:sz w:val="24"/>
          <w:szCs w:val="20"/>
        </w:rPr>
        <w:t>Karta 4. Razmještaj stanovništva</w:t>
      </w:r>
    </w:p>
    <w:p w14:paraId="446E719E" w14:textId="77777777" w:rsidR="005142C4" w:rsidRDefault="00900184" w:rsidP="005142C4">
      <w:pPr>
        <w:spacing w:after="0" w:line="240" w:lineRule="auto"/>
        <w:ind w:left="0" w:right="0" w:firstLine="0"/>
        <w:jc w:val="center"/>
        <w:rPr>
          <w:rFonts w:ascii="Times New Roman" w:eastAsia="Calibri" w:hAnsi="Times New Roman" w:cs="Times New Roman"/>
          <w:i/>
          <w:sz w:val="24"/>
        </w:rPr>
      </w:pPr>
      <w:r w:rsidRPr="005142C4">
        <w:rPr>
          <w:rFonts w:ascii="Times New Roman" w:hAnsi="Times New Roman" w:cs="Times New Roman"/>
          <w:noProof/>
          <w:sz w:val="24"/>
        </w:rPr>
        <w:drawing>
          <wp:inline distT="0" distB="0" distL="0" distR="0" wp14:anchorId="14EB63FB" wp14:editId="47EBF6C1">
            <wp:extent cx="4568825" cy="3943350"/>
            <wp:effectExtent l="0" t="0" r="3175" b="0"/>
            <wp:docPr id="995" name="Picture 995"/>
            <wp:cNvGraphicFramePr/>
            <a:graphic xmlns:a="http://schemas.openxmlformats.org/drawingml/2006/main">
              <a:graphicData uri="http://schemas.openxmlformats.org/drawingml/2006/picture">
                <pic:pic xmlns:pic="http://schemas.openxmlformats.org/drawingml/2006/picture">
                  <pic:nvPicPr>
                    <pic:cNvPr id="995" name="Picture 995"/>
                    <pic:cNvPicPr/>
                  </pic:nvPicPr>
                  <pic:blipFill>
                    <a:blip r:embed="rId14"/>
                    <a:stretch>
                      <a:fillRect/>
                    </a:stretch>
                  </pic:blipFill>
                  <pic:spPr>
                    <a:xfrm>
                      <a:off x="0" y="0"/>
                      <a:ext cx="4568825" cy="3943350"/>
                    </a:xfrm>
                    <a:prstGeom prst="rect">
                      <a:avLst/>
                    </a:prstGeom>
                  </pic:spPr>
                </pic:pic>
              </a:graphicData>
            </a:graphic>
          </wp:inline>
        </w:drawing>
      </w:r>
    </w:p>
    <w:p w14:paraId="5C09A432" w14:textId="77777777" w:rsidR="00E40AC8" w:rsidRPr="005142C4" w:rsidRDefault="00900184" w:rsidP="005142C4">
      <w:pPr>
        <w:spacing w:after="0" w:line="240" w:lineRule="auto"/>
        <w:ind w:left="0" w:right="0" w:firstLine="0"/>
        <w:jc w:val="center"/>
        <w:rPr>
          <w:rFonts w:ascii="Times New Roman" w:eastAsia="Calibri" w:hAnsi="Times New Roman" w:cs="Times New Roman"/>
          <w:i/>
          <w:sz w:val="20"/>
        </w:rPr>
      </w:pPr>
      <w:r w:rsidRPr="005142C4">
        <w:rPr>
          <w:rFonts w:ascii="Times New Roman" w:eastAsia="Calibri" w:hAnsi="Times New Roman" w:cs="Times New Roman"/>
          <w:i/>
          <w:sz w:val="20"/>
        </w:rPr>
        <w:t>Izvor: Gradski ured za strategijsko planiranje i razvoj Grada</w:t>
      </w:r>
    </w:p>
    <w:p w14:paraId="79D88FD4" w14:textId="77777777" w:rsidR="001A2EAB" w:rsidRDefault="001A2EAB" w:rsidP="005142C4">
      <w:pPr>
        <w:spacing w:after="0" w:line="240" w:lineRule="auto"/>
        <w:ind w:left="0" w:right="0" w:firstLine="709"/>
        <w:rPr>
          <w:rFonts w:ascii="Times New Roman" w:hAnsi="Times New Roman" w:cs="Times New Roman"/>
          <w:b/>
          <w:sz w:val="24"/>
        </w:rPr>
      </w:pPr>
      <w:bookmarkStart w:id="12" w:name="_Toc2938535"/>
    </w:p>
    <w:p w14:paraId="5A7A6D63" w14:textId="77777777" w:rsidR="001A2EAB" w:rsidRDefault="001A2EAB" w:rsidP="005142C4">
      <w:pPr>
        <w:spacing w:after="0" w:line="240" w:lineRule="auto"/>
        <w:ind w:left="0" w:right="0" w:firstLine="709"/>
        <w:rPr>
          <w:rFonts w:ascii="Times New Roman" w:hAnsi="Times New Roman" w:cs="Times New Roman"/>
          <w:b/>
          <w:sz w:val="24"/>
        </w:rPr>
      </w:pPr>
    </w:p>
    <w:p w14:paraId="38EF3CF1" w14:textId="0412A617" w:rsidR="00E40AC8" w:rsidRPr="005142C4" w:rsidRDefault="00900184" w:rsidP="005142C4">
      <w:pPr>
        <w:spacing w:after="0" w:line="240" w:lineRule="auto"/>
        <w:ind w:left="0" w:right="0" w:firstLine="709"/>
        <w:rPr>
          <w:rFonts w:ascii="Times New Roman" w:hAnsi="Times New Roman" w:cs="Times New Roman"/>
          <w:b/>
          <w:sz w:val="24"/>
        </w:rPr>
      </w:pPr>
      <w:r w:rsidRPr="005142C4">
        <w:rPr>
          <w:rFonts w:ascii="Times New Roman" w:hAnsi="Times New Roman" w:cs="Times New Roman"/>
          <w:b/>
          <w:sz w:val="24"/>
        </w:rPr>
        <w:t>2.1.5. Spolno</w:t>
      </w:r>
      <w:r w:rsidR="00EE6A22" w:rsidRPr="005142C4">
        <w:rPr>
          <w:rFonts w:ascii="Times New Roman" w:hAnsi="Times New Roman" w:cs="Times New Roman"/>
          <w:b/>
          <w:sz w:val="24"/>
        </w:rPr>
        <w:t>-</w:t>
      </w:r>
      <w:r w:rsidRPr="005142C4">
        <w:rPr>
          <w:rFonts w:ascii="Times New Roman" w:hAnsi="Times New Roman" w:cs="Times New Roman"/>
          <w:b/>
          <w:sz w:val="24"/>
        </w:rPr>
        <w:t>dobna raspodjela stanovništva</w:t>
      </w:r>
      <w:bookmarkEnd w:id="12"/>
    </w:p>
    <w:p w14:paraId="4D01CC15" w14:textId="25343ADA" w:rsidR="00E40AC8" w:rsidRPr="00731038" w:rsidRDefault="00900184" w:rsidP="00DB63A4">
      <w:pPr>
        <w:spacing w:after="0" w:line="240" w:lineRule="auto"/>
        <w:ind w:left="0" w:right="0" w:firstLine="709"/>
        <w:rPr>
          <w:rFonts w:ascii="Times New Roman" w:hAnsi="Times New Roman" w:cs="Times New Roman"/>
          <w:color w:val="auto"/>
          <w:sz w:val="24"/>
        </w:rPr>
      </w:pPr>
      <w:r w:rsidRPr="005142C4">
        <w:rPr>
          <w:rFonts w:ascii="Times New Roman" w:hAnsi="Times New Roman" w:cs="Times New Roman"/>
          <w:sz w:val="24"/>
        </w:rPr>
        <w:t xml:space="preserve">Usporedimo li spolnu strukturu stanovništva Grada Zagreba sa spolnom strukturom stanovništva Hrvatske vidimo kako ta struktura prati nacionalni trend </w:t>
      </w:r>
      <w:r w:rsidRPr="005142C4">
        <w:rPr>
          <w:rFonts w:ascii="Times New Roman" w:hAnsi="Times New Roman" w:cs="Times New Roman"/>
          <w:b/>
          <w:sz w:val="24"/>
        </w:rPr>
        <w:t xml:space="preserve">većeg udjela ženskog </w:t>
      </w:r>
      <w:r w:rsidRPr="00731038">
        <w:rPr>
          <w:rFonts w:ascii="Times New Roman" w:hAnsi="Times New Roman" w:cs="Times New Roman"/>
          <w:b/>
          <w:color w:val="auto"/>
          <w:sz w:val="24"/>
        </w:rPr>
        <w:lastRenderedPageBreak/>
        <w:t>stanovništva u odnosu na muško stanovništvo</w:t>
      </w:r>
      <w:r w:rsidRPr="00731038">
        <w:rPr>
          <w:rFonts w:ascii="Times New Roman" w:hAnsi="Times New Roman" w:cs="Times New Roman"/>
          <w:color w:val="auto"/>
          <w:sz w:val="24"/>
        </w:rPr>
        <w:t>. Prema procjenama Državnog zavoda za statistiku,</w:t>
      </w:r>
      <w:r w:rsidR="00721931" w:rsidRPr="00731038">
        <w:rPr>
          <w:rFonts w:ascii="Times New Roman" w:hAnsi="Times New Roman" w:cs="Times New Roman"/>
          <w:color w:val="auto"/>
          <w:sz w:val="24"/>
        </w:rPr>
        <w:t xml:space="preserve"> </w:t>
      </w:r>
      <w:r w:rsidR="005D4A25" w:rsidRPr="00731038">
        <w:rPr>
          <w:rFonts w:ascii="Times New Roman" w:hAnsi="Times New Roman" w:cs="Times New Roman"/>
          <w:color w:val="auto"/>
          <w:sz w:val="24"/>
        </w:rPr>
        <w:t>52,8</w:t>
      </w:r>
      <w:r w:rsidR="00E05F09" w:rsidRPr="00731038">
        <w:rPr>
          <w:rFonts w:ascii="Times New Roman" w:hAnsi="Times New Roman" w:cs="Times New Roman"/>
          <w:color w:val="auto"/>
          <w:sz w:val="24"/>
        </w:rPr>
        <w:t> %</w:t>
      </w:r>
      <w:r w:rsidRPr="00731038">
        <w:rPr>
          <w:rFonts w:ascii="Times New Roman" w:hAnsi="Times New Roman" w:cs="Times New Roman"/>
          <w:color w:val="auto"/>
          <w:sz w:val="24"/>
        </w:rPr>
        <w:t xml:space="preserve"> stanovništva Grada Zagreba u 20</w:t>
      </w:r>
      <w:r w:rsidR="005D4A25" w:rsidRPr="00731038">
        <w:rPr>
          <w:rFonts w:ascii="Times New Roman" w:hAnsi="Times New Roman" w:cs="Times New Roman"/>
          <w:color w:val="auto"/>
          <w:sz w:val="24"/>
        </w:rPr>
        <w:t>20</w:t>
      </w:r>
      <w:r w:rsidRPr="00731038">
        <w:rPr>
          <w:rFonts w:ascii="Times New Roman" w:hAnsi="Times New Roman" w:cs="Times New Roman"/>
          <w:color w:val="auto"/>
          <w:sz w:val="24"/>
        </w:rPr>
        <w:t xml:space="preserve">. </w:t>
      </w:r>
      <w:r w:rsidR="0051440D" w:rsidRPr="00731038">
        <w:rPr>
          <w:rFonts w:ascii="Times New Roman" w:hAnsi="Times New Roman" w:cs="Times New Roman"/>
          <w:color w:val="auto"/>
          <w:sz w:val="24"/>
        </w:rPr>
        <w:t>su</w:t>
      </w:r>
      <w:r w:rsidRPr="00731038">
        <w:rPr>
          <w:rFonts w:ascii="Times New Roman" w:hAnsi="Times New Roman" w:cs="Times New Roman"/>
          <w:color w:val="auto"/>
          <w:sz w:val="24"/>
        </w:rPr>
        <w:t xml:space="preserve"> žene, dok je </w:t>
      </w:r>
      <w:r w:rsidR="005D4A25" w:rsidRPr="00731038">
        <w:rPr>
          <w:rFonts w:ascii="Times New Roman" w:hAnsi="Times New Roman" w:cs="Times New Roman"/>
          <w:color w:val="auto"/>
          <w:sz w:val="24"/>
        </w:rPr>
        <w:t>47,2</w:t>
      </w:r>
      <w:r w:rsidR="00E05F09" w:rsidRPr="00731038">
        <w:rPr>
          <w:rFonts w:ascii="Times New Roman" w:hAnsi="Times New Roman" w:cs="Times New Roman"/>
          <w:color w:val="auto"/>
          <w:sz w:val="24"/>
        </w:rPr>
        <w:t>%</w:t>
      </w:r>
      <w:r w:rsidRPr="00731038">
        <w:rPr>
          <w:rFonts w:ascii="Times New Roman" w:hAnsi="Times New Roman" w:cs="Times New Roman"/>
          <w:color w:val="auto"/>
          <w:sz w:val="24"/>
        </w:rPr>
        <w:t xml:space="preserve"> muškaraca u ukupnoj spolnoj strukturi.</w:t>
      </w:r>
    </w:p>
    <w:p w14:paraId="58FF15FF" w14:textId="40CAA2F9" w:rsidR="00E40AC8" w:rsidRPr="00731038" w:rsidRDefault="00900184" w:rsidP="00DB63A4">
      <w:pPr>
        <w:spacing w:after="0" w:line="240" w:lineRule="auto"/>
        <w:ind w:left="0" w:right="0" w:firstLine="709"/>
        <w:rPr>
          <w:rFonts w:ascii="Times New Roman" w:hAnsi="Times New Roman" w:cs="Times New Roman"/>
          <w:color w:val="auto"/>
          <w:sz w:val="24"/>
        </w:rPr>
      </w:pPr>
      <w:r w:rsidRPr="00731038">
        <w:rPr>
          <w:rFonts w:ascii="Times New Roman" w:hAnsi="Times New Roman" w:cs="Times New Roman"/>
          <w:color w:val="auto"/>
          <w:sz w:val="24"/>
        </w:rPr>
        <w:t>U dobnoj strukturi stanovništva Grada Zagreba u 20</w:t>
      </w:r>
      <w:r w:rsidR="005D4A25" w:rsidRPr="00731038">
        <w:rPr>
          <w:rFonts w:ascii="Times New Roman" w:hAnsi="Times New Roman" w:cs="Times New Roman"/>
          <w:color w:val="auto"/>
          <w:sz w:val="24"/>
        </w:rPr>
        <w:t>20</w:t>
      </w:r>
      <w:r w:rsidRPr="00731038">
        <w:rPr>
          <w:rFonts w:ascii="Times New Roman" w:hAnsi="Times New Roman" w:cs="Times New Roman"/>
          <w:color w:val="auto"/>
          <w:sz w:val="24"/>
        </w:rPr>
        <w:t>. prednjači kategorija osoba u dobnoj skupini od 25 do 64 godine starosti s ukupnim udjelom od 5</w:t>
      </w:r>
      <w:r w:rsidR="00CF32BE" w:rsidRPr="00731038">
        <w:rPr>
          <w:rFonts w:ascii="Times New Roman" w:hAnsi="Times New Roman" w:cs="Times New Roman"/>
          <w:color w:val="auto"/>
          <w:sz w:val="24"/>
        </w:rPr>
        <w:t>5,6</w:t>
      </w:r>
      <w:r w:rsidR="00E05F09" w:rsidRPr="00731038">
        <w:rPr>
          <w:rFonts w:ascii="Times New Roman" w:hAnsi="Times New Roman" w:cs="Times New Roman"/>
          <w:color w:val="auto"/>
          <w:sz w:val="24"/>
        </w:rPr>
        <w:t> %</w:t>
      </w:r>
      <w:r w:rsidRPr="00731038">
        <w:rPr>
          <w:rFonts w:ascii="Times New Roman" w:hAnsi="Times New Roman" w:cs="Times New Roman"/>
          <w:color w:val="auto"/>
          <w:sz w:val="24"/>
        </w:rPr>
        <w:t xml:space="preserve"> u ukupnom stanovništvu, </w:t>
      </w:r>
      <w:r w:rsidR="00EE48BB" w:rsidRPr="00731038">
        <w:rPr>
          <w:rFonts w:ascii="Times New Roman" w:hAnsi="Times New Roman" w:cs="Times New Roman"/>
          <w:color w:val="auto"/>
          <w:sz w:val="24"/>
        </w:rPr>
        <w:t>zatim</w:t>
      </w:r>
      <w:r w:rsidR="00AE05B0" w:rsidRPr="00731038">
        <w:rPr>
          <w:rFonts w:ascii="Times New Roman" w:hAnsi="Times New Roman" w:cs="Times New Roman"/>
          <w:color w:val="auto"/>
          <w:sz w:val="24"/>
        </w:rPr>
        <w:t xml:space="preserve"> </w:t>
      </w:r>
      <w:r w:rsidRPr="00731038">
        <w:rPr>
          <w:rFonts w:ascii="Times New Roman" w:hAnsi="Times New Roman" w:cs="Times New Roman"/>
          <w:color w:val="auto"/>
          <w:sz w:val="24"/>
        </w:rPr>
        <w:t>slijedi kategorija osoba životne starosti od 65 i više godina s udjelom od 1</w:t>
      </w:r>
      <w:r w:rsidR="00CF32BE" w:rsidRPr="00731038">
        <w:rPr>
          <w:rFonts w:ascii="Times New Roman" w:hAnsi="Times New Roman" w:cs="Times New Roman"/>
          <w:color w:val="auto"/>
          <w:sz w:val="24"/>
        </w:rPr>
        <w:t>9,7</w:t>
      </w:r>
      <w:r w:rsidR="00E05F09" w:rsidRPr="00731038">
        <w:rPr>
          <w:rFonts w:ascii="Times New Roman" w:hAnsi="Times New Roman" w:cs="Times New Roman"/>
          <w:color w:val="auto"/>
          <w:sz w:val="24"/>
        </w:rPr>
        <w:t> %</w:t>
      </w:r>
      <w:r w:rsidRPr="00731038">
        <w:rPr>
          <w:rFonts w:ascii="Times New Roman" w:hAnsi="Times New Roman" w:cs="Times New Roman"/>
          <w:color w:val="auto"/>
          <w:sz w:val="24"/>
        </w:rPr>
        <w:t>, slijede ih osobe starosti od 0 do 14 godina s 1</w:t>
      </w:r>
      <w:r w:rsidR="00CF32BE" w:rsidRPr="00731038">
        <w:rPr>
          <w:rFonts w:ascii="Times New Roman" w:hAnsi="Times New Roman" w:cs="Times New Roman"/>
          <w:color w:val="auto"/>
          <w:sz w:val="24"/>
        </w:rPr>
        <w:t>5,1</w:t>
      </w:r>
      <w:r w:rsidR="00E05F09" w:rsidRPr="00731038">
        <w:rPr>
          <w:rFonts w:ascii="Times New Roman" w:hAnsi="Times New Roman" w:cs="Times New Roman"/>
          <w:color w:val="auto"/>
          <w:sz w:val="24"/>
        </w:rPr>
        <w:t> %</w:t>
      </w:r>
      <w:r w:rsidRPr="00731038">
        <w:rPr>
          <w:rFonts w:ascii="Times New Roman" w:hAnsi="Times New Roman" w:cs="Times New Roman"/>
          <w:color w:val="auto"/>
          <w:sz w:val="24"/>
        </w:rPr>
        <w:t xml:space="preserve"> te najmanje zastupljena kategorija osoba starosti od 15 do 24 godine s udjelom od</w:t>
      </w:r>
      <w:r w:rsidR="009073F8" w:rsidRPr="00731038">
        <w:rPr>
          <w:rFonts w:ascii="Times New Roman" w:hAnsi="Times New Roman" w:cs="Times New Roman"/>
          <w:color w:val="auto"/>
          <w:sz w:val="24"/>
        </w:rPr>
        <w:t xml:space="preserve"> </w:t>
      </w:r>
      <w:r w:rsidR="00CF32BE" w:rsidRPr="00731038">
        <w:rPr>
          <w:rFonts w:ascii="Times New Roman" w:hAnsi="Times New Roman" w:cs="Times New Roman"/>
          <w:color w:val="auto"/>
          <w:sz w:val="24"/>
        </w:rPr>
        <w:t>9,6</w:t>
      </w:r>
      <w:r w:rsidR="00E05F09" w:rsidRPr="00731038">
        <w:rPr>
          <w:rFonts w:ascii="Times New Roman" w:hAnsi="Times New Roman" w:cs="Times New Roman"/>
          <w:color w:val="auto"/>
          <w:sz w:val="24"/>
        </w:rPr>
        <w:t> %</w:t>
      </w:r>
      <w:r w:rsidRPr="00731038">
        <w:rPr>
          <w:rFonts w:ascii="Times New Roman" w:hAnsi="Times New Roman" w:cs="Times New Roman"/>
          <w:color w:val="auto"/>
          <w:sz w:val="24"/>
        </w:rPr>
        <w:t xml:space="preserve"> u ukupnom broju stanovnika Grada Zagreba.</w:t>
      </w:r>
    </w:p>
    <w:p w14:paraId="4CFBC5B5" w14:textId="66B98F80" w:rsidR="00E40AC8" w:rsidRPr="00362B2A" w:rsidRDefault="00900184" w:rsidP="00DB63A4">
      <w:pPr>
        <w:spacing w:after="0" w:line="240" w:lineRule="auto"/>
        <w:ind w:left="0" w:right="0" w:firstLine="709"/>
        <w:rPr>
          <w:rFonts w:ascii="Times New Roman" w:hAnsi="Times New Roman" w:cs="Times New Roman"/>
          <w:color w:val="FF0000"/>
          <w:sz w:val="24"/>
        </w:rPr>
      </w:pPr>
      <w:r w:rsidRPr="005142C4">
        <w:rPr>
          <w:rFonts w:ascii="Times New Roman" w:hAnsi="Times New Roman" w:cs="Times New Roman"/>
          <w:sz w:val="24"/>
        </w:rPr>
        <w:t>Postojeće stanje u demografskoj strukturi stanovništva Grada Zagreba i područja cijele Republike Hrvatske</w:t>
      </w:r>
      <w:r w:rsidR="0051440D">
        <w:rPr>
          <w:rFonts w:ascii="Times New Roman" w:hAnsi="Times New Roman" w:cs="Times New Roman"/>
          <w:sz w:val="24"/>
        </w:rPr>
        <w:t xml:space="preserve"> </w:t>
      </w:r>
      <w:r w:rsidR="00EE48BB">
        <w:rPr>
          <w:rFonts w:ascii="Times New Roman" w:hAnsi="Times New Roman" w:cs="Times New Roman"/>
          <w:sz w:val="24"/>
        </w:rPr>
        <w:t>po</w:t>
      </w:r>
      <w:r w:rsidR="00AE05B0">
        <w:rPr>
          <w:rFonts w:ascii="Times New Roman" w:hAnsi="Times New Roman" w:cs="Times New Roman"/>
          <w:sz w:val="24"/>
        </w:rPr>
        <w:t xml:space="preserve">kazuje </w:t>
      </w:r>
      <w:r w:rsidRPr="005142C4">
        <w:rPr>
          <w:rFonts w:ascii="Times New Roman" w:hAnsi="Times New Roman" w:cs="Times New Roman"/>
          <w:b/>
          <w:sz w:val="24"/>
        </w:rPr>
        <w:t>aktualan proces starenja stanovništva</w:t>
      </w:r>
      <w:r w:rsidRPr="005142C4">
        <w:rPr>
          <w:rFonts w:ascii="Times New Roman" w:hAnsi="Times New Roman" w:cs="Times New Roman"/>
          <w:sz w:val="24"/>
        </w:rPr>
        <w:t>. Proces starenja uzrokovan je smanjenim natalitetom i s druge strane povećanim mortalitetom</w:t>
      </w:r>
      <w:r w:rsidR="000473DB">
        <w:rPr>
          <w:rFonts w:ascii="Times New Roman" w:hAnsi="Times New Roman" w:cs="Times New Roman"/>
          <w:sz w:val="24"/>
        </w:rPr>
        <w:t>,</w:t>
      </w:r>
      <w:r w:rsidRPr="005142C4">
        <w:rPr>
          <w:rFonts w:ascii="Times New Roman" w:hAnsi="Times New Roman" w:cs="Times New Roman"/>
          <w:sz w:val="24"/>
        </w:rPr>
        <w:t xml:space="preserve"> te kontinuiranim opadanjem stope fertiliteta. Posebice </w:t>
      </w:r>
      <w:r w:rsidRPr="005142C4">
        <w:rPr>
          <w:rFonts w:ascii="Times New Roman" w:hAnsi="Times New Roman" w:cs="Times New Roman"/>
          <w:b/>
          <w:sz w:val="24"/>
        </w:rPr>
        <w:t xml:space="preserve">zabrinjava omjer starijega i </w:t>
      </w:r>
      <w:r w:rsidR="002F19DD" w:rsidRPr="005142C4">
        <w:rPr>
          <w:rFonts w:ascii="Times New Roman" w:hAnsi="Times New Roman" w:cs="Times New Roman"/>
          <w:b/>
          <w:sz w:val="24"/>
        </w:rPr>
        <w:t>mla</w:t>
      </w:r>
      <w:r w:rsidR="002F19DD">
        <w:rPr>
          <w:rFonts w:ascii="Times New Roman" w:hAnsi="Times New Roman" w:cs="Times New Roman"/>
          <w:b/>
          <w:sz w:val="24"/>
        </w:rPr>
        <w:t>đega</w:t>
      </w:r>
      <w:r w:rsidR="002F19DD" w:rsidRPr="005142C4">
        <w:rPr>
          <w:rFonts w:ascii="Times New Roman" w:hAnsi="Times New Roman" w:cs="Times New Roman"/>
          <w:b/>
          <w:sz w:val="24"/>
        </w:rPr>
        <w:t xml:space="preserve"> </w:t>
      </w:r>
      <w:r w:rsidRPr="005142C4">
        <w:rPr>
          <w:rFonts w:ascii="Times New Roman" w:hAnsi="Times New Roman" w:cs="Times New Roman"/>
          <w:b/>
          <w:sz w:val="24"/>
        </w:rPr>
        <w:t>stanovništva</w:t>
      </w:r>
      <w:r w:rsidRPr="005142C4">
        <w:rPr>
          <w:rFonts w:ascii="Times New Roman" w:hAnsi="Times New Roman" w:cs="Times New Roman"/>
          <w:sz w:val="24"/>
        </w:rPr>
        <w:t xml:space="preserve">, gdje je iz udjela jasno vidljivo da je starije stanovništvo nadmašilo populaciju mladih. U skladu s navedenim, primjetno je i povećanje pokazatelja starenja stanovništva iz godine u godinu, </w:t>
      </w:r>
      <w:r w:rsidR="0051440D">
        <w:rPr>
          <w:rFonts w:ascii="Times New Roman" w:hAnsi="Times New Roman" w:cs="Times New Roman"/>
          <w:sz w:val="24"/>
        </w:rPr>
        <w:t xml:space="preserve">o </w:t>
      </w:r>
      <w:r w:rsidRPr="005142C4">
        <w:rPr>
          <w:rFonts w:ascii="Times New Roman" w:hAnsi="Times New Roman" w:cs="Times New Roman"/>
          <w:sz w:val="24"/>
        </w:rPr>
        <w:t xml:space="preserve">čemu najbolje svjedoči porast indeksa starenja, koeficijenata starosti i prosječne starosti na razini Grada Zagreba. </w:t>
      </w:r>
      <w:r w:rsidRPr="0032536A">
        <w:rPr>
          <w:rFonts w:ascii="Times New Roman" w:hAnsi="Times New Roman" w:cs="Times New Roman"/>
          <w:color w:val="auto"/>
          <w:sz w:val="24"/>
        </w:rPr>
        <w:t xml:space="preserve">Usporedimo li indeks starenja </w:t>
      </w:r>
      <w:r w:rsidR="00F92807" w:rsidRPr="0032536A">
        <w:rPr>
          <w:rFonts w:ascii="Times New Roman" w:hAnsi="Times New Roman" w:cs="Times New Roman"/>
          <w:color w:val="auto"/>
          <w:sz w:val="24"/>
        </w:rPr>
        <w:t>2020</w:t>
      </w:r>
      <w:r w:rsidRPr="0032536A">
        <w:rPr>
          <w:rFonts w:ascii="Times New Roman" w:hAnsi="Times New Roman" w:cs="Times New Roman"/>
          <w:color w:val="auto"/>
          <w:sz w:val="24"/>
        </w:rPr>
        <w:t>. s indeksom starenja zabilježen</w:t>
      </w:r>
      <w:r w:rsidR="004C7674" w:rsidRPr="0032536A">
        <w:rPr>
          <w:rFonts w:ascii="Times New Roman" w:hAnsi="Times New Roman" w:cs="Times New Roman"/>
          <w:color w:val="auto"/>
          <w:sz w:val="24"/>
        </w:rPr>
        <w:t>i</w:t>
      </w:r>
      <w:r w:rsidRPr="0032536A">
        <w:rPr>
          <w:rFonts w:ascii="Times New Roman" w:hAnsi="Times New Roman" w:cs="Times New Roman"/>
          <w:color w:val="auto"/>
          <w:sz w:val="24"/>
        </w:rPr>
        <w:t xml:space="preserve">m na </w:t>
      </w:r>
      <w:r w:rsidR="0032536A">
        <w:rPr>
          <w:rFonts w:ascii="Times New Roman" w:hAnsi="Times New Roman" w:cs="Times New Roman"/>
          <w:color w:val="auto"/>
          <w:sz w:val="24"/>
        </w:rPr>
        <w:t>pret</w:t>
      </w:r>
      <w:r w:rsidR="0051440D" w:rsidRPr="0032536A">
        <w:rPr>
          <w:rFonts w:ascii="Times New Roman" w:hAnsi="Times New Roman" w:cs="Times New Roman"/>
          <w:color w:val="auto"/>
          <w:sz w:val="24"/>
        </w:rPr>
        <w:t xml:space="preserve">posljednjem </w:t>
      </w:r>
      <w:r w:rsidRPr="0032536A">
        <w:rPr>
          <w:rFonts w:ascii="Times New Roman" w:hAnsi="Times New Roman" w:cs="Times New Roman"/>
          <w:color w:val="auto"/>
          <w:sz w:val="24"/>
        </w:rPr>
        <w:t xml:space="preserve">Popisu stanovništva 2011. u Gradu Zagrebu, vidimo da je indeks starenja porastao za </w:t>
      </w:r>
      <w:r w:rsidR="000111DC" w:rsidRPr="0032536A">
        <w:rPr>
          <w:rFonts w:ascii="Times New Roman" w:hAnsi="Times New Roman" w:cs="Times New Roman"/>
          <w:color w:val="auto"/>
          <w:sz w:val="24"/>
        </w:rPr>
        <w:t>15,0</w:t>
      </w:r>
      <w:r w:rsidR="00181C9F" w:rsidRPr="0032536A">
        <w:rPr>
          <w:color w:val="auto"/>
        </w:rPr>
        <w:t xml:space="preserve"> </w:t>
      </w:r>
      <w:r w:rsidR="00181C9F" w:rsidRPr="0032536A">
        <w:rPr>
          <w:rFonts w:ascii="Times New Roman" w:hAnsi="Times New Roman" w:cs="Times New Roman"/>
          <w:color w:val="auto"/>
          <w:sz w:val="24"/>
        </w:rPr>
        <w:t xml:space="preserve">postotnih </w:t>
      </w:r>
      <w:r w:rsidR="00795B22" w:rsidRPr="0032536A">
        <w:rPr>
          <w:rFonts w:ascii="Times New Roman" w:hAnsi="Times New Roman" w:cs="Times New Roman"/>
          <w:color w:val="auto"/>
          <w:sz w:val="24"/>
        </w:rPr>
        <w:t>bodova</w:t>
      </w:r>
      <w:r w:rsidRPr="0032536A">
        <w:rPr>
          <w:rFonts w:ascii="Times New Roman" w:hAnsi="Times New Roman" w:cs="Times New Roman"/>
          <w:color w:val="auto"/>
          <w:sz w:val="24"/>
        </w:rPr>
        <w:t xml:space="preserve">, točnije u </w:t>
      </w:r>
      <w:r w:rsidR="000111DC" w:rsidRPr="0032536A">
        <w:rPr>
          <w:rFonts w:ascii="Times New Roman" w:hAnsi="Times New Roman" w:cs="Times New Roman"/>
          <w:color w:val="auto"/>
          <w:sz w:val="24"/>
        </w:rPr>
        <w:t>2020</w:t>
      </w:r>
      <w:r w:rsidRPr="0032536A">
        <w:rPr>
          <w:rFonts w:ascii="Times New Roman" w:hAnsi="Times New Roman" w:cs="Times New Roman"/>
          <w:color w:val="auto"/>
          <w:sz w:val="24"/>
        </w:rPr>
        <w:t xml:space="preserve">. iznosi </w:t>
      </w:r>
      <w:r w:rsidR="000111DC" w:rsidRPr="0032536A">
        <w:rPr>
          <w:rFonts w:ascii="Times New Roman" w:hAnsi="Times New Roman" w:cs="Times New Roman"/>
          <w:color w:val="auto"/>
          <w:sz w:val="24"/>
        </w:rPr>
        <w:t>133.9</w:t>
      </w:r>
      <w:r w:rsidR="00E05F09" w:rsidRPr="0032536A">
        <w:rPr>
          <w:rFonts w:ascii="Times New Roman" w:hAnsi="Times New Roman" w:cs="Times New Roman"/>
          <w:color w:val="auto"/>
          <w:sz w:val="24"/>
        </w:rPr>
        <w:t> %</w:t>
      </w:r>
      <w:r w:rsidRPr="0032536A">
        <w:rPr>
          <w:rFonts w:ascii="Times New Roman" w:hAnsi="Times New Roman" w:cs="Times New Roman"/>
          <w:color w:val="auto"/>
          <w:sz w:val="24"/>
        </w:rPr>
        <w:t xml:space="preserve"> dok je 2011. godine iznosio 118.9</w:t>
      </w:r>
      <w:r w:rsidR="00E05F09" w:rsidRPr="0032536A">
        <w:rPr>
          <w:rFonts w:ascii="Times New Roman" w:hAnsi="Times New Roman" w:cs="Times New Roman"/>
          <w:color w:val="auto"/>
          <w:sz w:val="24"/>
        </w:rPr>
        <w:t> %</w:t>
      </w:r>
      <w:r w:rsidRPr="0032536A">
        <w:rPr>
          <w:rFonts w:ascii="Times New Roman" w:hAnsi="Times New Roman" w:cs="Times New Roman"/>
          <w:color w:val="auto"/>
          <w:sz w:val="24"/>
        </w:rPr>
        <w:t xml:space="preserve">. Koeficijent starosti također iz godine u godinu raste te u </w:t>
      </w:r>
      <w:r w:rsidR="000D7780" w:rsidRPr="0032536A">
        <w:rPr>
          <w:rFonts w:ascii="Times New Roman" w:hAnsi="Times New Roman" w:cs="Times New Roman"/>
          <w:color w:val="auto"/>
          <w:sz w:val="24"/>
        </w:rPr>
        <w:t>2020</w:t>
      </w:r>
      <w:r w:rsidRPr="0032536A">
        <w:rPr>
          <w:rFonts w:ascii="Times New Roman" w:hAnsi="Times New Roman" w:cs="Times New Roman"/>
          <w:color w:val="auto"/>
          <w:sz w:val="24"/>
        </w:rPr>
        <w:t xml:space="preserve">. iznosi </w:t>
      </w:r>
      <w:r w:rsidR="000D7780" w:rsidRPr="0032536A">
        <w:rPr>
          <w:rFonts w:ascii="Times New Roman" w:hAnsi="Times New Roman" w:cs="Times New Roman"/>
          <w:color w:val="auto"/>
          <w:sz w:val="24"/>
        </w:rPr>
        <w:t>26,0</w:t>
      </w:r>
      <w:r w:rsidR="00E05F09" w:rsidRPr="0032536A">
        <w:rPr>
          <w:rFonts w:ascii="Times New Roman" w:hAnsi="Times New Roman" w:cs="Times New Roman"/>
          <w:color w:val="auto"/>
          <w:sz w:val="24"/>
        </w:rPr>
        <w:t> %</w:t>
      </w:r>
      <w:r w:rsidRPr="0032536A">
        <w:rPr>
          <w:rFonts w:ascii="Times New Roman" w:hAnsi="Times New Roman" w:cs="Times New Roman"/>
          <w:color w:val="auto"/>
          <w:sz w:val="24"/>
        </w:rPr>
        <w:t>.</w:t>
      </w:r>
    </w:p>
    <w:p w14:paraId="71DC8412" w14:textId="77777777" w:rsidR="00E40AC8" w:rsidRPr="005142C4" w:rsidRDefault="00E40AC8" w:rsidP="005142C4">
      <w:pPr>
        <w:spacing w:after="0" w:line="240" w:lineRule="auto"/>
        <w:ind w:left="0" w:right="0" w:firstLine="0"/>
        <w:jc w:val="left"/>
        <w:rPr>
          <w:rFonts w:ascii="Times New Roman" w:hAnsi="Times New Roman" w:cs="Times New Roman"/>
          <w:sz w:val="24"/>
        </w:rPr>
      </w:pPr>
    </w:p>
    <w:p w14:paraId="0B39EEDB" w14:textId="54A70C77" w:rsidR="00731038" w:rsidRPr="0032536A" w:rsidRDefault="00731038" w:rsidP="009D5EFE">
      <w:pPr>
        <w:spacing w:line="240" w:lineRule="auto"/>
        <w:ind w:left="0" w:right="0" w:firstLine="0"/>
        <w:jc w:val="center"/>
        <w:rPr>
          <w:rFonts w:ascii="Times New Roman" w:hAnsi="Times New Roman" w:cs="Times New Roman"/>
          <w:b/>
          <w:color w:val="auto"/>
          <w:sz w:val="24"/>
        </w:rPr>
      </w:pPr>
      <w:r w:rsidRPr="0032536A">
        <w:rPr>
          <w:rFonts w:ascii="Times New Roman" w:hAnsi="Times New Roman" w:cs="Times New Roman"/>
          <w:b/>
          <w:color w:val="auto"/>
          <w:sz w:val="24"/>
        </w:rPr>
        <w:t>Tablica 1. Stanovništvo prema starosti i spolu, Popis stanovništva 2021.</w:t>
      </w:r>
    </w:p>
    <w:tbl>
      <w:tblPr>
        <w:tblStyle w:val="TableGrid0"/>
        <w:tblW w:w="9072" w:type="dxa"/>
        <w:tblLayout w:type="fixed"/>
        <w:tblCellMar>
          <w:left w:w="57" w:type="dxa"/>
          <w:right w:w="57" w:type="dxa"/>
        </w:tblCellMar>
        <w:tblLook w:val="04A0" w:firstRow="1" w:lastRow="0" w:firstColumn="1" w:lastColumn="0" w:noHBand="0" w:noVBand="1"/>
      </w:tblPr>
      <w:tblGrid>
        <w:gridCol w:w="2268"/>
        <w:gridCol w:w="1134"/>
        <w:gridCol w:w="1134"/>
        <w:gridCol w:w="1134"/>
        <w:gridCol w:w="1134"/>
        <w:gridCol w:w="1134"/>
        <w:gridCol w:w="1134"/>
      </w:tblGrid>
      <w:tr w:rsidR="00731038" w:rsidRPr="00731038" w14:paraId="42F95ED3" w14:textId="77777777" w:rsidTr="008A1035">
        <w:trPr>
          <w:tblHeader/>
        </w:trPr>
        <w:tc>
          <w:tcPr>
            <w:tcW w:w="2268" w:type="dxa"/>
            <w:vMerge w:val="restart"/>
            <w:shd w:val="clear" w:color="auto" w:fill="FFC000" w:themeFill="accent4"/>
          </w:tcPr>
          <w:p w14:paraId="0215A6C1" w14:textId="77777777" w:rsidR="00731038" w:rsidRPr="0032536A" w:rsidRDefault="00731038" w:rsidP="008A1035">
            <w:pPr>
              <w:spacing w:after="0" w:line="240" w:lineRule="auto"/>
              <w:ind w:left="0" w:right="0" w:firstLine="0"/>
              <w:jc w:val="left"/>
              <w:rPr>
                <w:rFonts w:ascii="Times New Roman" w:hAnsi="Times New Roman" w:cs="Times New Roman"/>
                <w:color w:val="auto"/>
                <w:sz w:val="24"/>
              </w:rPr>
            </w:pPr>
          </w:p>
        </w:tc>
        <w:tc>
          <w:tcPr>
            <w:tcW w:w="3402" w:type="dxa"/>
            <w:gridSpan w:val="3"/>
            <w:shd w:val="clear" w:color="auto" w:fill="FFC000" w:themeFill="accent4"/>
            <w:vAlign w:val="center"/>
          </w:tcPr>
          <w:p w14:paraId="13AAE679" w14:textId="77777777" w:rsidR="00731038" w:rsidRPr="00731038" w:rsidRDefault="00731038" w:rsidP="008A1035">
            <w:pPr>
              <w:spacing w:after="0" w:line="240" w:lineRule="auto"/>
              <w:ind w:left="0" w:right="0" w:firstLine="0"/>
              <w:jc w:val="center"/>
              <w:rPr>
                <w:rFonts w:ascii="Times New Roman" w:hAnsi="Times New Roman" w:cs="Times New Roman"/>
                <w:color w:val="auto"/>
                <w:sz w:val="24"/>
              </w:rPr>
            </w:pPr>
            <w:r w:rsidRPr="00731038">
              <w:rPr>
                <w:rFonts w:ascii="Times New Roman" w:eastAsia="Times New Roman" w:hAnsi="Times New Roman" w:cs="Times New Roman"/>
                <w:color w:val="auto"/>
                <w:sz w:val="24"/>
              </w:rPr>
              <w:t>Broj stanovnika</w:t>
            </w:r>
          </w:p>
        </w:tc>
        <w:tc>
          <w:tcPr>
            <w:tcW w:w="3402" w:type="dxa"/>
            <w:gridSpan w:val="3"/>
            <w:shd w:val="clear" w:color="auto" w:fill="FFC000" w:themeFill="accent4"/>
            <w:vAlign w:val="center"/>
          </w:tcPr>
          <w:p w14:paraId="1E5877D1" w14:textId="77777777" w:rsidR="00731038" w:rsidRPr="007C0D6C" w:rsidRDefault="00731038" w:rsidP="008A1035">
            <w:pPr>
              <w:spacing w:after="0" w:line="240" w:lineRule="auto"/>
              <w:ind w:left="0" w:right="0" w:firstLine="0"/>
              <w:jc w:val="center"/>
              <w:rPr>
                <w:rFonts w:ascii="Times New Roman" w:hAnsi="Times New Roman" w:cs="Times New Roman"/>
                <w:color w:val="auto"/>
                <w:sz w:val="24"/>
              </w:rPr>
            </w:pPr>
            <w:r w:rsidRPr="00783622">
              <w:rPr>
                <w:rFonts w:ascii="Times New Roman" w:eastAsia="Times New Roman" w:hAnsi="Times New Roman" w:cs="Times New Roman"/>
                <w:color w:val="auto"/>
                <w:sz w:val="24"/>
              </w:rPr>
              <w:t>Struktura,</w:t>
            </w:r>
            <w:r w:rsidRPr="00CC1C85">
              <w:rPr>
                <w:rFonts w:ascii="Times New Roman" w:eastAsia="Times New Roman" w:hAnsi="Times New Roman" w:cs="Times New Roman"/>
                <w:color w:val="auto"/>
                <w:sz w:val="24"/>
              </w:rPr>
              <w:t> %</w:t>
            </w:r>
          </w:p>
        </w:tc>
      </w:tr>
      <w:tr w:rsidR="00731038" w:rsidRPr="00731038" w14:paraId="5B39A5E4" w14:textId="77777777" w:rsidTr="008A1035">
        <w:trPr>
          <w:tblHeader/>
        </w:trPr>
        <w:tc>
          <w:tcPr>
            <w:tcW w:w="2268" w:type="dxa"/>
            <w:vMerge/>
            <w:tcBorders>
              <w:bottom w:val="single" w:sz="4" w:space="0" w:color="auto"/>
            </w:tcBorders>
            <w:shd w:val="clear" w:color="auto" w:fill="FFC000" w:themeFill="accent4"/>
          </w:tcPr>
          <w:p w14:paraId="73B78C95" w14:textId="77777777" w:rsidR="00731038" w:rsidRPr="0032536A" w:rsidRDefault="00731038" w:rsidP="008A1035">
            <w:pPr>
              <w:spacing w:after="0" w:line="240" w:lineRule="auto"/>
              <w:ind w:left="0" w:right="0" w:firstLine="0"/>
              <w:jc w:val="left"/>
              <w:rPr>
                <w:rFonts w:ascii="Times New Roman" w:hAnsi="Times New Roman" w:cs="Times New Roman"/>
                <w:color w:val="auto"/>
                <w:sz w:val="24"/>
              </w:rPr>
            </w:pPr>
          </w:p>
        </w:tc>
        <w:tc>
          <w:tcPr>
            <w:tcW w:w="1134" w:type="dxa"/>
            <w:tcBorders>
              <w:bottom w:val="single" w:sz="4" w:space="0" w:color="auto"/>
            </w:tcBorders>
            <w:shd w:val="clear" w:color="auto" w:fill="FFC000" w:themeFill="accent4"/>
            <w:vAlign w:val="center"/>
          </w:tcPr>
          <w:p w14:paraId="6399185A" w14:textId="77777777" w:rsidR="00731038" w:rsidRPr="00731038" w:rsidRDefault="00731038" w:rsidP="008A1035">
            <w:pPr>
              <w:spacing w:after="0" w:line="240" w:lineRule="auto"/>
              <w:ind w:left="0" w:right="0" w:firstLine="0"/>
              <w:jc w:val="center"/>
              <w:rPr>
                <w:rFonts w:ascii="Times New Roman" w:hAnsi="Times New Roman" w:cs="Times New Roman"/>
                <w:color w:val="auto"/>
                <w:sz w:val="24"/>
              </w:rPr>
            </w:pPr>
            <w:r w:rsidRPr="00731038">
              <w:rPr>
                <w:rFonts w:ascii="Times New Roman" w:eastAsia="Times New Roman" w:hAnsi="Times New Roman" w:cs="Times New Roman"/>
                <w:color w:val="auto"/>
                <w:sz w:val="24"/>
              </w:rPr>
              <w:t>ukupno</w:t>
            </w:r>
          </w:p>
        </w:tc>
        <w:tc>
          <w:tcPr>
            <w:tcW w:w="1134" w:type="dxa"/>
            <w:tcBorders>
              <w:bottom w:val="single" w:sz="4" w:space="0" w:color="auto"/>
            </w:tcBorders>
            <w:shd w:val="clear" w:color="auto" w:fill="FFC000" w:themeFill="accent4"/>
            <w:vAlign w:val="center"/>
          </w:tcPr>
          <w:p w14:paraId="03482804" w14:textId="77777777" w:rsidR="00731038" w:rsidRPr="00CC1C85" w:rsidRDefault="00731038" w:rsidP="008A1035">
            <w:pPr>
              <w:spacing w:after="0" w:line="240" w:lineRule="auto"/>
              <w:ind w:left="0" w:right="0" w:firstLine="0"/>
              <w:jc w:val="center"/>
              <w:rPr>
                <w:rFonts w:ascii="Times New Roman" w:hAnsi="Times New Roman" w:cs="Times New Roman"/>
                <w:color w:val="auto"/>
                <w:sz w:val="24"/>
              </w:rPr>
            </w:pPr>
            <w:r w:rsidRPr="00783622">
              <w:rPr>
                <w:rFonts w:ascii="Times New Roman" w:eastAsia="Times New Roman" w:hAnsi="Times New Roman" w:cs="Times New Roman"/>
                <w:color w:val="auto"/>
                <w:sz w:val="24"/>
              </w:rPr>
              <w:t>muškarci</w:t>
            </w:r>
          </w:p>
        </w:tc>
        <w:tc>
          <w:tcPr>
            <w:tcW w:w="1134" w:type="dxa"/>
            <w:tcBorders>
              <w:bottom w:val="single" w:sz="4" w:space="0" w:color="auto"/>
            </w:tcBorders>
            <w:shd w:val="clear" w:color="auto" w:fill="FFC000" w:themeFill="accent4"/>
            <w:vAlign w:val="center"/>
          </w:tcPr>
          <w:p w14:paraId="0233C37A" w14:textId="77777777" w:rsidR="00731038" w:rsidRPr="00731038" w:rsidRDefault="00731038" w:rsidP="008A1035">
            <w:pPr>
              <w:spacing w:after="0" w:line="240" w:lineRule="auto"/>
              <w:ind w:left="0" w:right="0" w:firstLine="0"/>
              <w:jc w:val="center"/>
              <w:rPr>
                <w:rFonts w:ascii="Times New Roman" w:hAnsi="Times New Roman" w:cs="Times New Roman"/>
                <w:color w:val="auto"/>
                <w:sz w:val="24"/>
              </w:rPr>
            </w:pPr>
            <w:r w:rsidRPr="00731038">
              <w:rPr>
                <w:rFonts w:ascii="Times New Roman" w:eastAsia="Times New Roman" w:hAnsi="Times New Roman" w:cs="Times New Roman"/>
                <w:color w:val="auto"/>
                <w:sz w:val="24"/>
              </w:rPr>
              <w:t>žene</w:t>
            </w:r>
          </w:p>
        </w:tc>
        <w:tc>
          <w:tcPr>
            <w:tcW w:w="1134" w:type="dxa"/>
            <w:tcBorders>
              <w:bottom w:val="single" w:sz="4" w:space="0" w:color="auto"/>
            </w:tcBorders>
            <w:shd w:val="clear" w:color="auto" w:fill="FFC000" w:themeFill="accent4"/>
            <w:vAlign w:val="center"/>
          </w:tcPr>
          <w:p w14:paraId="16DEBE45" w14:textId="77777777" w:rsidR="00731038" w:rsidRPr="00731038" w:rsidRDefault="00731038" w:rsidP="008A1035">
            <w:pPr>
              <w:spacing w:after="0" w:line="240" w:lineRule="auto"/>
              <w:ind w:left="0" w:right="0" w:firstLine="0"/>
              <w:jc w:val="center"/>
              <w:rPr>
                <w:rFonts w:ascii="Times New Roman" w:hAnsi="Times New Roman" w:cs="Times New Roman"/>
                <w:color w:val="auto"/>
                <w:sz w:val="24"/>
              </w:rPr>
            </w:pPr>
            <w:r w:rsidRPr="00731038">
              <w:rPr>
                <w:rFonts w:ascii="Times New Roman" w:eastAsia="Times New Roman" w:hAnsi="Times New Roman" w:cs="Times New Roman"/>
                <w:color w:val="auto"/>
                <w:sz w:val="24"/>
              </w:rPr>
              <w:t>ukupno</w:t>
            </w:r>
          </w:p>
        </w:tc>
        <w:tc>
          <w:tcPr>
            <w:tcW w:w="1134" w:type="dxa"/>
            <w:tcBorders>
              <w:bottom w:val="single" w:sz="4" w:space="0" w:color="auto"/>
            </w:tcBorders>
            <w:shd w:val="clear" w:color="auto" w:fill="FFC000" w:themeFill="accent4"/>
            <w:vAlign w:val="center"/>
          </w:tcPr>
          <w:p w14:paraId="7A362836" w14:textId="77777777" w:rsidR="00731038" w:rsidRPr="00731038" w:rsidRDefault="00731038" w:rsidP="008A1035">
            <w:pPr>
              <w:spacing w:after="0" w:line="240" w:lineRule="auto"/>
              <w:ind w:left="0" w:right="0" w:firstLine="0"/>
              <w:jc w:val="center"/>
              <w:rPr>
                <w:rFonts w:ascii="Times New Roman" w:hAnsi="Times New Roman" w:cs="Times New Roman"/>
                <w:color w:val="auto"/>
                <w:sz w:val="24"/>
              </w:rPr>
            </w:pPr>
            <w:r w:rsidRPr="00731038">
              <w:rPr>
                <w:rFonts w:ascii="Times New Roman" w:eastAsia="Times New Roman" w:hAnsi="Times New Roman" w:cs="Times New Roman"/>
                <w:color w:val="auto"/>
                <w:sz w:val="24"/>
              </w:rPr>
              <w:t>muškarci</w:t>
            </w:r>
          </w:p>
        </w:tc>
        <w:tc>
          <w:tcPr>
            <w:tcW w:w="1134" w:type="dxa"/>
            <w:tcBorders>
              <w:bottom w:val="single" w:sz="4" w:space="0" w:color="auto"/>
            </w:tcBorders>
            <w:shd w:val="clear" w:color="auto" w:fill="FFC000" w:themeFill="accent4"/>
            <w:vAlign w:val="center"/>
          </w:tcPr>
          <w:p w14:paraId="0AB19F51" w14:textId="77777777" w:rsidR="00731038" w:rsidRPr="00731038" w:rsidRDefault="00731038" w:rsidP="008A1035">
            <w:pPr>
              <w:spacing w:after="0" w:line="240" w:lineRule="auto"/>
              <w:ind w:left="0" w:right="0" w:firstLine="0"/>
              <w:jc w:val="center"/>
              <w:rPr>
                <w:rFonts w:ascii="Times New Roman" w:hAnsi="Times New Roman" w:cs="Times New Roman"/>
                <w:color w:val="auto"/>
                <w:sz w:val="24"/>
              </w:rPr>
            </w:pPr>
            <w:r w:rsidRPr="00731038">
              <w:rPr>
                <w:rFonts w:ascii="Times New Roman" w:eastAsia="Times New Roman" w:hAnsi="Times New Roman" w:cs="Times New Roman"/>
                <w:color w:val="auto"/>
                <w:sz w:val="24"/>
              </w:rPr>
              <w:t>žene</w:t>
            </w:r>
          </w:p>
        </w:tc>
      </w:tr>
      <w:tr w:rsidR="00731038" w:rsidRPr="00731038" w14:paraId="1B7E165B" w14:textId="77777777" w:rsidTr="008A1035">
        <w:trPr>
          <w:trHeight w:val="605"/>
        </w:trPr>
        <w:tc>
          <w:tcPr>
            <w:tcW w:w="2268" w:type="dxa"/>
            <w:tcBorders>
              <w:top w:val="single" w:sz="4" w:space="0" w:color="auto"/>
              <w:left w:val="single" w:sz="4" w:space="0" w:color="auto"/>
              <w:bottom w:val="nil"/>
              <w:right w:val="single" w:sz="4" w:space="0" w:color="auto"/>
            </w:tcBorders>
            <w:vAlign w:val="center"/>
          </w:tcPr>
          <w:p w14:paraId="4D9DEFE6" w14:textId="77777777" w:rsidR="00731038" w:rsidRPr="0032536A" w:rsidRDefault="00731038" w:rsidP="008A1035">
            <w:pPr>
              <w:spacing w:after="0" w:line="240" w:lineRule="auto"/>
              <w:ind w:left="0" w:right="0" w:firstLine="0"/>
              <w:jc w:val="left"/>
              <w:rPr>
                <w:rFonts w:ascii="Times New Roman" w:hAnsi="Times New Roman" w:cs="Times New Roman"/>
                <w:color w:val="auto"/>
                <w:sz w:val="24"/>
              </w:rPr>
            </w:pPr>
            <w:r w:rsidRPr="0032536A">
              <w:rPr>
                <w:rFonts w:ascii="Times New Roman" w:eastAsia="Times New Roman" w:hAnsi="Times New Roman" w:cs="Times New Roman"/>
                <w:b/>
                <w:color w:val="auto"/>
                <w:sz w:val="24"/>
              </w:rPr>
              <w:t>Ukupno</w:t>
            </w:r>
          </w:p>
        </w:tc>
        <w:tc>
          <w:tcPr>
            <w:tcW w:w="1134" w:type="dxa"/>
            <w:tcBorders>
              <w:top w:val="single" w:sz="4" w:space="0" w:color="auto"/>
              <w:left w:val="single" w:sz="4" w:space="0" w:color="auto"/>
              <w:bottom w:val="nil"/>
              <w:right w:val="nil"/>
            </w:tcBorders>
            <w:vAlign w:val="center"/>
          </w:tcPr>
          <w:p w14:paraId="3F091CC0" w14:textId="77777777" w:rsidR="00731038" w:rsidRPr="0032536A" w:rsidRDefault="00731038" w:rsidP="008A1035">
            <w:pPr>
              <w:spacing w:after="0" w:line="240" w:lineRule="auto"/>
              <w:ind w:left="0" w:right="0" w:firstLine="0"/>
              <w:jc w:val="right"/>
              <w:rPr>
                <w:rFonts w:ascii="Times New Roman" w:eastAsia="Times New Roman" w:hAnsi="Times New Roman" w:cs="Times New Roman"/>
                <w:b/>
                <w:color w:val="auto"/>
                <w:sz w:val="24"/>
              </w:rPr>
            </w:pPr>
            <w:r w:rsidRPr="0032536A">
              <w:rPr>
                <w:rFonts w:ascii="Times New Roman" w:eastAsia="Times New Roman" w:hAnsi="Times New Roman" w:cs="Times New Roman"/>
                <w:b/>
                <w:color w:val="auto"/>
                <w:sz w:val="24"/>
              </w:rPr>
              <w:t>769.944</w:t>
            </w:r>
          </w:p>
        </w:tc>
        <w:tc>
          <w:tcPr>
            <w:tcW w:w="1134" w:type="dxa"/>
            <w:tcBorders>
              <w:top w:val="single" w:sz="4" w:space="0" w:color="auto"/>
              <w:left w:val="nil"/>
              <w:bottom w:val="nil"/>
              <w:right w:val="nil"/>
            </w:tcBorders>
            <w:vAlign w:val="center"/>
          </w:tcPr>
          <w:p w14:paraId="5BA0D58E"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b/>
                <w:color w:val="auto"/>
                <w:sz w:val="24"/>
              </w:rPr>
              <w:t>359.817</w:t>
            </w:r>
          </w:p>
        </w:tc>
        <w:tc>
          <w:tcPr>
            <w:tcW w:w="1134" w:type="dxa"/>
            <w:tcBorders>
              <w:top w:val="single" w:sz="4" w:space="0" w:color="auto"/>
              <w:left w:val="nil"/>
              <w:bottom w:val="nil"/>
              <w:right w:val="single" w:sz="4" w:space="0" w:color="auto"/>
            </w:tcBorders>
            <w:vAlign w:val="center"/>
          </w:tcPr>
          <w:p w14:paraId="442D8054"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b/>
                <w:color w:val="auto"/>
                <w:sz w:val="24"/>
              </w:rPr>
              <w:t>410.127</w:t>
            </w:r>
          </w:p>
        </w:tc>
        <w:tc>
          <w:tcPr>
            <w:tcW w:w="1134" w:type="dxa"/>
            <w:tcBorders>
              <w:top w:val="single" w:sz="4" w:space="0" w:color="auto"/>
              <w:left w:val="single" w:sz="4" w:space="0" w:color="auto"/>
              <w:bottom w:val="nil"/>
              <w:right w:val="nil"/>
            </w:tcBorders>
            <w:vAlign w:val="center"/>
          </w:tcPr>
          <w:p w14:paraId="20A0E4E5"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b/>
                <w:color w:val="auto"/>
                <w:sz w:val="24"/>
              </w:rPr>
            </w:pPr>
            <w:r w:rsidRPr="0032536A">
              <w:rPr>
                <w:rFonts w:ascii="Times New Roman" w:eastAsia="Times New Roman" w:hAnsi="Times New Roman" w:cs="Times New Roman"/>
                <w:b/>
                <w:color w:val="auto"/>
                <w:sz w:val="24"/>
              </w:rPr>
              <w:t>100</w:t>
            </w:r>
          </w:p>
        </w:tc>
        <w:tc>
          <w:tcPr>
            <w:tcW w:w="1134" w:type="dxa"/>
            <w:tcBorders>
              <w:top w:val="single" w:sz="4" w:space="0" w:color="auto"/>
              <w:left w:val="nil"/>
              <w:bottom w:val="nil"/>
              <w:right w:val="nil"/>
            </w:tcBorders>
            <w:vAlign w:val="center"/>
          </w:tcPr>
          <w:p w14:paraId="5779D884"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b/>
                <w:color w:val="auto"/>
                <w:sz w:val="24"/>
              </w:rPr>
            </w:pPr>
            <w:r w:rsidRPr="0032536A">
              <w:rPr>
                <w:rFonts w:ascii="Times New Roman" w:eastAsia="Times New Roman" w:hAnsi="Times New Roman" w:cs="Times New Roman"/>
                <w:b/>
                <w:color w:val="auto"/>
                <w:sz w:val="24"/>
              </w:rPr>
              <w:t>100</w:t>
            </w:r>
          </w:p>
        </w:tc>
        <w:tc>
          <w:tcPr>
            <w:tcW w:w="1134" w:type="dxa"/>
            <w:tcBorders>
              <w:top w:val="single" w:sz="4" w:space="0" w:color="auto"/>
              <w:left w:val="nil"/>
              <w:bottom w:val="nil"/>
              <w:right w:val="single" w:sz="4" w:space="0" w:color="auto"/>
            </w:tcBorders>
            <w:vAlign w:val="center"/>
          </w:tcPr>
          <w:p w14:paraId="78742A0C" w14:textId="77777777" w:rsidR="00731038" w:rsidRPr="0032536A" w:rsidRDefault="00731038" w:rsidP="008A1035">
            <w:pPr>
              <w:spacing w:after="0" w:line="240" w:lineRule="auto"/>
              <w:ind w:left="0" w:right="0" w:firstLine="0"/>
              <w:jc w:val="center"/>
              <w:rPr>
                <w:rFonts w:ascii="Times New Roman" w:hAnsi="Times New Roman" w:cs="Times New Roman"/>
                <w:color w:val="auto"/>
                <w:sz w:val="24"/>
              </w:rPr>
            </w:pPr>
            <w:r w:rsidRPr="0032536A">
              <w:rPr>
                <w:rFonts w:ascii="Times New Roman" w:eastAsia="Times New Roman" w:hAnsi="Times New Roman" w:cs="Times New Roman"/>
                <w:b/>
                <w:color w:val="auto"/>
                <w:sz w:val="24"/>
              </w:rPr>
              <w:t>100</w:t>
            </w:r>
          </w:p>
        </w:tc>
      </w:tr>
      <w:tr w:rsidR="00731038" w:rsidRPr="00731038" w14:paraId="4C194C41" w14:textId="77777777" w:rsidTr="008A1035">
        <w:tc>
          <w:tcPr>
            <w:tcW w:w="2268" w:type="dxa"/>
            <w:tcBorders>
              <w:top w:val="nil"/>
              <w:left w:val="single" w:sz="4" w:space="0" w:color="auto"/>
              <w:bottom w:val="nil"/>
              <w:right w:val="single" w:sz="4" w:space="0" w:color="auto"/>
            </w:tcBorders>
            <w:vAlign w:val="center"/>
          </w:tcPr>
          <w:p w14:paraId="4F2C6E9C" w14:textId="77777777" w:rsidR="00731038" w:rsidRPr="0032536A" w:rsidRDefault="00731038" w:rsidP="008A1035">
            <w:pPr>
              <w:spacing w:after="0" w:line="240" w:lineRule="auto"/>
              <w:ind w:left="323" w:right="0" w:firstLine="0"/>
              <w:jc w:val="left"/>
              <w:rPr>
                <w:rFonts w:ascii="Times New Roman" w:hAnsi="Times New Roman" w:cs="Times New Roman"/>
                <w:color w:val="auto"/>
                <w:sz w:val="24"/>
              </w:rPr>
            </w:pPr>
            <w:r w:rsidRPr="0032536A">
              <w:rPr>
                <w:rFonts w:ascii="Times New Roman" w:eastAsia="Times New Roman" w:hAnsi="Times New Roman" w:cs="Times New Roman"/>
                <w:color w:val="auto"/>
                <w:sz w:val="24"/>
              </w:rPr>
              <w:t xml:space="preserve">0-4 godine </w:t>
            </w:r>
          </w:p>
        </w:tc>
        <w:tc>
          <w:tcPr>
            <w:tcW w:w="1134" w:type="dxa"/>
            <w:tcBorders>
              <w:top w:val="nil"/>
              <w:left w:val="single" w:sz="4" w:space="0" w:color="auto"/>
              <w:bottom w:val="nil"/>
              <w:right w:val="nil"/>
            </w:tcBorders>
            <w:vAlign w:val="center"/>
          </w:tcPr>
          <w:p w14:paraId="769C306F" w14:textId="5AE7FF8C" w:rsidR="00731038" w:rsidRPr="0032536A" w:rsidRDefault="004E1B32" w:rsidP="008A1035">
            <w:pPr>
              <w:spacing w:after="0" w:line="240" w:lineRule="auto"/>
              <w:ind w:left="0" w:right="0" w:firstLine="0"/>
              <w:jc w:val="right"/>
              <w:rPr>
                <w:rFonts w:ascii="Times New Roman" w:eastAsia="Times New Roman" w:hAnsi="Times New Roman" w:cs="Times New Roman"/>
                <w:color w:val="auto"/>
                <w:sz w:val="24"/>
              </w:rPr>
            </w:pPr>
            <w:r>
              <w:rPr>
                <w:rFonts w:ascii="Times New Roman" w:eastAsia="Times New Roman" w:hAnsi="Times New Roman" w:cs="Times New Roman"/>
                <w:color w:val="auto"/>
                <w:sz w:val="24"/>
              </w:rPr>
              <w:t>39.059</w:t>
            </w:r>
          </w:p>
        </w:tc>
        <w:tc>
          <w:tcPr>
            <w:tcW w:w="1134" w:type="dxa"/>
            <w:tcBorders>
              <w:top w:val="nil"/>
              <w:left w:val="nil"/>
              <w:bottom w:val="nil"/>
              <w:right w:val="nil"/>
            </w:tcBorders>
            <w:vAlign w:val="center"/>
          </w:tcPr>
          <w:p w14:paraId="60FB0364"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20.204</w:t>
            </w:r>
          </w:p>
        </w:tc>
        <w:tc>
          <w:tcPr>
            <w:tcW w:w="1134" w:type="dxa"/>
            <w:tcBorders>
              <w:top w:val="nil"/>
              <w:left w:val="nil"/>
              <w:bottom w:val="nil"/>
              <w:right w:val="single" w:sz="4" w:space="0" w:color="auto"/>
            </w:tcBorders>
            <w:vAlign w:val="center"/>
          </w:tcPr>
          <w:p w14:paraId="18BDF0EB"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18.855</w:t>
            </w:r>
          </w:p>
        </w:tc>
        <w:tc>
          <w:tcPr>
            <w:tcW w:w="1134" w:type="dxa"/>
            <w:tcBorders>
              <w:top w:val="nil"/>
              <w:left w:val="single" w:sz="4" w:space="0" w:color="auto"/>
              <w:bottom w:val="nil"/>
              <w:right w:val="nil"/>
            </w:tcBorders>
            <w:vAlign w:val="center"/>
          </w:tcPr>
          <w:p w14:paraId="49D015D4"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2,6</w:t>
            </w:r>
          </w:p>
        </w:tc>
        <w:tc>
          <w:tcPr>
            <w:tcW w:w="1134" w:type="dxa"/>
            <w:tcBorders>
              <w:top w:val="nil"/>
              <w:left w:val="nil"/>
              <w:bottom w:val="nil"/>
              <w:right w:val="nil"/>
            </w:tcBorders>
            <w:vAlign w:val="center"/>
          </w:tcPr>
          <w:p w14:paraId="4EE2312B"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5,6</w:t>
            </w:r>
          </w:p>
        </w:tc>
        <w:tc>
          <w:tcPr>
            <w:tcW w:w="1134" w:type="dxa"/>
            <w:tcBorders>
              <w:top w:val="nil"/>
              <w:left w:val="nil"/>
              <w:bottom w:val="nil"/>
              <w:right w:val="single" w:sz="4" w:space="0" w:color="auto"/>
            </w:tcBorders>
            <w:vAlign w:val="center"/>
          </w:tcPr>
          <w:p w14:paraId="56851F94" w14:textId="77777777" w:rsidR="00731038" w:rsidRPr="0032536A" w:rsidRDefault="00731038" w:rsidP="008A1035">
            <w:pPr>
              <w:spacing w:after="0" w:line="240" w:lineRule="auto"/>
              <w:ind w:left="0" w:right="0" w:firstLine="0"/>
              <w:jc w:val="center"/>
              <w:rPr>
                <w:rFonts w:ascii="Times New Roman" w:hAnsi="Times New Roman" w:cs="Times New Roman"/>
                <w:color w:val="auto"/>
                <w:sz w:val="24"/>
              </w:rPr>
            </w:pPr>
            <w:r w:rsidRPr="0032536A">
              <w:rPr>
                <w:rFonts w:ascii="Times New Roman" w:eastAsia="Times New Roman" w:hAnsi="Times New Roman" w:cs="Times New Roman"/>
                <w:color w:val="auto"/>
                <w:sz w:val="24"/>
              </w:rPr>
              <w:t>4,5</w:t>
            </w:r>
          </w:p>
        </w:tc>
      </w:tr>
      <w:tr w:rsidR="00731038" w:rsidRPr="00731038" w14:paraId="6A85C648" w14:textId="77777777" w:rsidTr="008A1035">
        <w:tc>
          <w:tcPr>
            <w:tcW w:w="2268" w:type="dxa"/>
            <w:tcBorders>
              <w:top w:val="nil"/>
              <w:left w:val="single" w:sz="4" w:space="0" w:color="auto"/>
              <w:bottom w:val="nil"/>
              <w:right w:val="single" w:sz="4" w:space="0" w:color="auto"/>
            </w:tcBorders>
            <w:vAlign w:val="center"/>
          </w:tcPr>
          <w:p w14:paraId="018F2B24" w14:textId="77777777" w:rsidR="00731038" w:rsidRPr="0032536A" w:rsidRDefault="00731038" w:rsidP="008A1035">
            <w:pPr>
              <w:spacing w:after="0" w:line="240" w:lineRule="auto"/>
              <w:ind w:left="323" w:right="0" w:firstLine="0"/>
              <w:jc w:val="left"/>
              <w:rPr>
                <w:rFonts w:ascii="Times New Roman" w:hAnsi="Times New Roman" w:cs="Times New Roman"/>
                <w:color w:val="auto"/>
                <w:sz w:val="24"/>
              </w:rPr>
            </w:pPr>
            <w:r w:rsidRPr="0032536A">
              <w:rPr>
                <w:rFonts w:ascii="Times New Roman" w:eastAsia="Times New Roman" w:hAnsi="Times New Roman" w:cs="Times New Roman"/>
                <w:color w:val="auto"/>
                <w:sz w:val="24"/>
              </w:rPr>
              <w:t xml:space="preserve">5-9 </w:t>
            </w:r>
          </w:p>
        </w:tc>
        <w:tc>
          <w:tcPr>
            <w:tcW w:w="1134" w:type="dxa"/>
            <w:tcBorders>
              <w:top w:val="nil"/>
              <w:left w:val="single" w:sz="4" w:space="0" w:color="auto"/>
              <w:bottom w:val="nil"/>
              <w:right w:val="nil"/>
            </w:tcBorders>
            <w:vAlign w:val="center"/>
          </w:tcPr>
          <w:p w14:paraId="6C76A92A" w14:textId="77777777" w:rsidR="00731038" w:rsidRPr="0032536A" w:rsidRDefault="00731038" w:rsidP="008A1035">
            <w:pPr>
              <w:spacing w:after="0" w:line="240" w:lineRule="auto"/>
              <w:ind w:left="0" w:right="0" w:firstLine="0"/>
              <w:jc w:val="right"/>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38.666</w:t>
            </w:r>
          </w:p>
        </w:tc>
        <w:tc>
          <w:tcPr>
            <w:tcW w:w="1134" w:type="dxa"/>
            <w:tcBorders>
              <w:top w:val="nil"/>
              <w:left w:val="nil"/>
              <w:bottom w:val="nil"/>
              <w:right w:val="nil"/>
            </w:tcBorders>
            <w:vAlign w:val="center"/>
          </w:tcPr>
          <w:p w14:paraId="1F44AD18"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19.807</w:t>
            </w:r>
          </w:p>
        </w:tc>
        <w:tc>
          <w:tcPr>
            <w:tcW w:w="1134" w:type="dxa"/>
            <w:tcBorders>
              <w:top w:val="nil"/>
              <w:left w:val="nil"/>
              <w:bottom w:val="nil"/>
              <w:right w:val="single" w:sz="4" w:space="0" w:color="auto"/>
            </w:tcBorders>
            <w:vAlign w:val="center"/>
          </w:tcPr>
          <w:p w14:paraId="28B121E6"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18.859</w:t>
            </w:r>
          </w:p>
        </w:tc>
        <w:tc>
          <w:tcPr>
            <w:tcW w:w="1134" w:type="dxa"/>
            <w:tcBorders>
              <w:top w:val="nil"/>
              <w:left w:val="single" w:sz="4" w:space="0" w:color="auto"/>
              <w:bottom w:val="nil"/>
              <w:right w:val="nil"/>
            </w:tcBorders>
            <w:vAlign w:val="center"/>
          </w:tcPr>
          <w:p w14:paraId="2E6E4687"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5,2</w:t>
            </w:r>
          </w:p>
        </w:tc>
        <w:tc>
          <w:tcPr>
            <w:tcW w:w="1134" w:type="dxa"/>
            <w:tcBorders>
              <w:top w:val="nil"/>
              <w:left w:val="nil"/>
              <w:bottom w:val="nil"/>
              <w:right w:val="nil"/>
            </w:tcBorders>
            <w:vAlign w:val="center"/>
          </w:tcPr>
          <w:p w14:paraId="579477F1"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5,5</w:t>
            </w:r>
          </w:p>
        </w:tc>
        <w:tc>
          <w:tcPr>
            <w:tcW w:w="1134" w:type="dxa"/>
            <w:tcBorders>
              <w:top w:val="nil"/>
              <w:left w:val="nil"/>
              <w:bottom w:val="nil"/>
              <w:right w:val="single" w:sz="4" w:space="0" w:color="auto"/>
            </w:tcBorders>
            <w:vAlign w:val="center"/>
          </w:tcPr>
          <w:p w14:paraId="75CA3CA7" w14:textId="77777777" w:rsidR="00731038" w:rsidRPr="0032536A" w:rsidRDefault="00731038" w:rsidP="008A1035">
            <w:pPr>
              <w:spacing w:after="0" w:line="240" w:lineRule="auto"/>
              <w:ind w:left="0" w:right="0" w:firstLine="0"/>
              <w:jc w:val="center"/>
              <w:rPr>
                <w:rFonts w:ascii="Times New Roman" w:hAnsi="Times New Roman" w:cs="Times New Roman"/>
                <w:color w:val="auto"/>
                <w:sz w:val="24"/>
              </w:rPr>
            </w:pPr>
            <w:r w:rsidRPr="0032536A">
              <w:rPr>
                <w:rFonts w:ascii="Times New Roman" w:eastAsia="Times New Roman" w:hAnsi="Times New Roman" w:cs="Times New Roman"/>
                <w:color w:val="auto"/>
                <w:sz w:val="24"/>
              </w:rPr>
              <w:t>4,5</w:t>
            </w:r>
          </w:p>
        </w:tc>
      </w:tr>
      <w:tr w:rsidR="00731038" w:rsidRPr="00731038" w14:paraId="74C0698E" w14:textId="77777777" w:rsidTr="008A1035">
        <w:tc>
          <w:tcPr>
            <w:tcW w:w="2268" w:type="dxa"/>
            <w:tcBorders>
              <w:top w:val="nil"/>
              <w:left w:val="single" w:sz="4" w:space="0" w:color="auto"/>
              <w:bottom w:val="nil"/>
              <w:right w:val="single" w:sz="4" w:space="0" w:color="auto"/>
            </w:tcBorders>
            <w:vAlign w:val="center"/>
          </w:tcPr>
          <w:p w14:paraId="29149C7D" w14:textId="77777777" w:rsidR="00731038" w:rsidRPr="0032536A" w:rsidRDefault="00731038" w:rsidP="008A1035">
            <w:pPr>
              <w:spacing w:after="0" w:line="240" w:lineRule="auto"/>
              <w:ind w:left="323" w:right="0" w:firstLine="0"/>
              <w:jc w:val="left"/>
              <w:rPr>
                <w:rFonts w:ascii="Times New Roman" w:hAnsi="Times New Roman" w:cs="Times New Roman"/>
                <w:color w:val="auto"/>
                <w:sz w:val="24"/>
              </w:rPr>
            </w:pPr>
            <w:r w:rsidRPr="0032536A">
              <w:rPr>
                <w:rFonts w:ascii="Times New Roman" w:eastAsia="Times New Roman" w:hAnsi="Times New Roman" w:cs="Times New Roman"/>
                <w:color w:val="auto"/>
                <w:sz w:val="24"/>
              </w:rPr>
              <w:t xml:space="preserve">10-14 </w:t>
            </w:r>
          </w:p>
        </w:tc>
        <w:tc>
          <w:tcPr>
            <w:tcW w:w="1134" w:type="dxa"/>
            <w:tcBorders>
              <w:top w:val="nil"/>
              <w:left w:val="single" w:sz="4" w:space="0" w:color="auto"/>
              <w:bottom w:val="nil"/>
              <w:right w:val="nil"/>
            </w:tcBorders>
            <w:vAlign w:val="center"/>
          </w:tcPr>
          <w:p w14:paraId="16C42335" w14:textId="77777777" w:rsidR="00731038" w:rsidRPr="0032536A" w:rsidRDefault="00731038" w:rsidP="008A1035">
            <w:pPr>
              <w:spacing w:after="0" w:line="240" w:lineRule="auto"/>
              <w:ind w:left="0" w:right="0" w:firstLine="0"/>
              <w:jc w:val="right"/>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39.155</w:t>
            </w:r>
          </w:p>
        </w:tc>
        <w:tc>
          <w:tcPr>
            <w:tcW w:w="1134" w:type="dxa"/>
            <w:tcBorders>
              <w:top w:val="nil"/>
              <w:left w:val="nil"/>
              <w:bottom w:val="nil"/>
              <w:right w:val="nil"/>
            </w:tcBorders>
            <w:vAlign w:val="center"/>
          </w:tcPr>
          <w:p w14:paraId="7D8759C7"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20.107</w:t>
            </w:r>
          </w:p>
        </w:tc>
        <w:tc>
          <w:tcPr>
            <w:tcW w:w="1134" w:type="dxa"/>
            <w:tcBorders>
              <w:top w:val="nil"/>
              <w:left w:val="nil"/>
              <w:bottom w:val="nil"/>
              <w:right w:val="single" w:sz="4" w:space="0" w:color="auto"/>
            </w:tcBorders>
            <w:vAlign w:val="center"/>
          </w:tcPr>
          <w:p w14:paraId="4C8C29F8"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19.048</w:t>
            </w:r>
          </w:p>
        </w:tc>
        <w:tc>
          <w:tcPr>
            <w:tcW w:w="1134" w:type="dxa"/>
            <w:tcBorders>
              <w:top w:val="nil"/>
              <w:left w:val="single" w:sz="4" w:space="0" w:color="auto"/>
              <w:bottom w:val="nil"/>
              <w:right w:val="nil"/>
            </w:tcBorders>
            <w:vAlign w:val="center"/>
          </w:tcPr>
          <w:p w14:paraId="3832E08B"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5,0</w:t>
            </w:r>
          </w:p>
        </w:tc>
        <w:tc>
          <w:tcPr>
            <w:tcW w:w="1134" w:type="dxa"/>
            <w:tcBorders>
              <w:top w:val="nil"/>
              <w:left w:val="nil"/>
              <w:bottom w:val="nil"/>
              <w:right w:val="nil"/>
            </w:tcBorders>
            <w:vAlign w:val="center"/>
          </w:tcPr>
          <w:p w14:paraId="12DCF8FC"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5,5</w:t>
            </w:r>
          </w:p>
        </w:tc>
        <w:tc>
          <w:tcPr>
            <w:tcW w:w="1134" w:type="dxa"/>
            <w:tcBorders>
              <w:top w:val="nil"/>
              <w:left w:val="nil"/>
              <w:bottom w:val="nil"/>
              <w:right w:val="single" w:sz="4" w:space="0" w:color="auto"/>
            </w:tcBorders>
            <w:vAlign w:val="center"/>
          </w:tcPr>
          <w:p w14:paraId="42488FC6" w14:textId="77777777" w:rsidR="00731038" w:rsidRPr="0032536A" w:rsidRDefault="00731038" w:rsidP="008A1035">
            <w:pPr>
              <w:spacing w:after="0" w:line="240" w:lineRule="auto"/>
              <w:ind w:left="0" w:right="0" w:firstLine="0"/>
              <w:jc w:val="center"/>
              <w:rPr>
                <w:rFonts w:ascii="Times New Roman" w:hAnsi="Times New Roman" w:cs="Times New Roman"/>
                <w:color w:val="auto"/>
                <w:sz w:val="24"/>
              </w:rPr>
            </w:pPr>
            <w:r w:rsidRPr="0032536A">
              <w:rPr>
                <w:rFonts w:ascii="Times New Roman" w:eastAsia="Times New Roman" w:hAnsi="Times New Roman" w:cs="Times New Roman"/>
                <w:color w:val="auto"/>
                <w:sz w:val="24"/>
              </w:rPr>
              <w:t>4,6</w:t>
            </w:r>
          </w:p>
        </w:tc>
      </w:tr>
      <w:tr w:rsidR="00731038" w:rsidRPr="00731038" w14:paraId="4556B64E" w14:textId="77777777" w:rsidTr="008A1035">
        <w:tc>
          <w:tcPr>
            <w:tcW w:w="2268" w:type="dxa"/>
            <w:tcBorders>
              <w:top w:val="nil"/>
              <w:left w:val="single" w:sz="4" w:space="0" w:color="auto"/>
              <w:bottom w:val="nil"/>
              <w:right w:val="single" w:sz="4" w:space="0" w:color="auto"/>
            </w:tcBorders>
            <w:vAlign w:val="center"/>
          </w:tcPr>
          <w:p w14:paraId="149E697F" w14:textId="77777777" w:rsidR="00731038" w:rsidRPr="0032536A" w:rsidRDefault="00731038" w:rsidP="008A1035">
            <w:pPr>
              <w:spacing w:after="0" w:line="240" w:lineRule="auto"/>
              <w:ind w:left="323" w:right="0" w:firstLine="0"/>
              <w:jc w:val="left"/>
              <w:rPr>
                <w:rFonts w:ascii="Times New Roman" w:hAnsi="Times New Roman" w:cs="Times New Roman"/>
                <w:color w:val="auto"/>
                <w:sz w:val="24"/>
              </w:rPr>
            </w:pPr>
            <w:r w:rsidRPr="0032536A">
              <w:rPr>
                <w:rFonts w:ascii="Times New Roman" w:eastAsia="Times New Roman" w:hAnsi="Times New Roman" w:cs="Times New Roman"/>
                <w:color w:val="auto"/>
                <w:sz w:val="24"/>
              </w:rPr>
              <w:t xml:space="preserve">15-19 </w:t>
            </w:r>
          </w:p>
        </w:tc>
        <w:tc>
          <w:tcPr>
            <w:tcW w:w="1134" w:type="dxa"/>
            <w:tcBorders>
              <w:top w:val="nil"/>
              <w:left w:val="single" w:sz="4" w:space="0" w:color="auto"/>
              <w:bottom w:val="nil"/>
              <w:right w:val="nil"/>
            </w:tcBorders>
            <w:vAlign w:val="center"/>
          </w:tcPr>
          <w:p w14:paraId="1C41D8D3" w14:textId="77777777" w:rsidR="00731038" w:rsidRPr="0032536A" w:rsidRDefault="00731038" w:rsidP="008A1035">
            <w:pPr>
              <w:spacing w:after="0" w:line="240" w:lineRule="auto"/>
              <w:ind w:left="0" w:right="0" w:firstLine="0"/>
              <w:jc w:val="right"/>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35.214</w:t>
            </w:r>
          </w:p>
        </w:tc>
        <w:tc>
          <w:tcPr>
            <w:tcW w:w="1134" w:type="dxa"/>
            <w:tcBorders>
              <w:top w:val="nil"/>
              <w:left w:val="nil"/>
              <w:bottom w:val="nil"/>
              <w:right w:val="nil"/>
            </w:tcBorders>
            <w:vAlign w:val="center"/>
          </w:tcPr>
          <w:p w14:paraId="2527C629"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17.989</w:t>
            </w:r>
          </w:p>
        </w:tc>
        <w:tc>
          <w:tcPr>
            <w:tcW w:w="1134" w:type="dxa"/>
            <w:tcBorders>
              <w:top w:val="nil"/>
              <w:left w:val="nil"/>
              <w:bottom w:val="nil"/>
              <w:right w:val="single" w:sz="4" w:space="0" w:color="auto"/>
            </w:tcBorders>
            <w:vAlign w:val="center"/>
          </w:tcPr>
          <w:p w14:paraId="01E9CC85"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17.225</w:t>
            </w:r>
          </w:p>
        </w:tc>
        <w:tc>
          <w:tcPr>
            <w:tcW w:w="1134" w:type="dxa"/>
            <w:tcBorders>
              <w:top w:val="nil"/>
              <w:left w:val="single" w:sz="4" w:space="0" w:color="auto"/>
              <w:bottom w:val="nil"/>
              <w:right w:val="nil"/>
            </w:tcBorders>
            <w:vAlign w:val="center"/>
          </w:tcPr>
          <w:p w14:paraId="0157B195"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4,5</w:t>
            </w:r>
          </w:p>
        </w:tc>
        <w:tc>
          <w:tcPr>
            <w:tcW w:w="1134" w:type="dxa"/>
            <w:tcBorders>
              <w:top w:val="nil"/>
              <w:left w:val="nil"/>
              <w:bottom w:val="nil"/>
              <w:right w:val="nil"/>
            </w:tcBorders>
            <w:vAlign w:val="center"/>
          </w:tcPr>
          <w:p w14:paraId="1C445B81"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4,9</w:t>
            </w:r>
          </w:p>
        </w:tc>
        <w:tc>
          <w:tcPr>
            <w:tcW w:w="1134" w:type="dxa"/>
            <w:tcBorders>
              <w:top w:val="nil"/>
              <w:left w:val="nil"/>
              <w:bottom w:val="nil"/>
              <w:right w:val="single" w:sz="4" w:space="0" w:color="auto"/>
            </w:tcBorders>
            <w:vAlign w:val="center"/>
          </w:tcPr>
          <w:p w14:paraId="05771B15" w14:textId="77777777" w:rsidR="00731038" w:rsidRPr="0032536A" w:rsidRDefault="00731038" w:rsidP="008A1035">
            <w:pPr>
              <w:spacing w:after="0" w:line="240" w:lineRule="auto"/>
              <w:ind w:left="0" w:right="0" w:firstLine="0"/>
              <w:jc w:val="center"/>
              <w:rPr>
                <w:rFonts w:ascii="Times New Roman" w:hAnsi="Times New Roman" w:cs="Times New Roman"/>
                <w:color w:val="auto"/>
                <w:sz w:val="24"/>
              </w:rPr>
            </w:pPr>
            <w:r w:rsidRPr="0032536A">
              <w:rPr>
                <w:rFonts w:ascii="Times New Roman" w:eastAsia="Times New Roman" w:hAnsi="Times New Roman" w:cs="Times New Roman"/>
                <w:color w:val="auto"/>
                <w:sz w:val="24"/>
              </w:rPr>
              <w:t>4,1</w:t>
            </w:r>
          </w:p>
        </w:tc>
      </w:tr>
      <w:tr w:rsidR="00731038" w:rsidRPr="00731038" w14:paraId="28FE0005" w14:textId="77777777" w:rsidTr="008A1035">
        <w:tc>
          <w:tcPr>
            <w:tcW w:w="2268" w:type="dxa"/>
            <w:tcBorders>
              <w:top w:val="nil"/>
              <w:left w:val="single" w:sz="4" w:space="0" w:color="auto"/>
              <w:bottom w:val="nil"/>
              <w:right w:val="single" w:sz="4" w:space="0" w:color="auto"/>
            </w:tcBorders>
            <w:vAlign w:val="center"/>
          </w:tcPr>
          <w:p w14:paraId="2A9C9CFA" w14:textId="77777777" w:rsidR="00731038" w:rsidRPr="0032536A" w:rsidRDefault="00731038" w:rsidP="008A1035">
            <w:pPr>
              <w:spacing w:after="0" w:line="240" w:lineRule="auto"/>
              <w:ind w:left="323" w:right="0" w:firstLine="0"/>
              <w:jc w:val="left"/>
              <w:rPr>
                <w:rFonts w:ascii="Times New Roman" w:hAnsi="Times New Roman" w:cs="Times New Roman"/>
                <w:color w:val="auto"/>
                <w:sz w:val="24"/>
              </w:rPr>
            </w:pPr>
            <w:r w:rsidRPr="0032536A">
              <w:rPr>
                <w:rFonts w:ascii="Times New Roman" w:eastAsia="Times New Roman" w:hAnsi="Times New Roman" w:cs="Times New Roman"/>
                <w:color w:val="auto"/>
                <w:sz w:val="24"/>
              </w:rPr>
              <w:t xml:space="preserve">20-24 </w:t>
            </w:r>
          </w:p>
        </w:tc>
        <w:tc>
          <w:tcPr>
            <w:tcW w:w="1134" w:type="dxa"/>
            <w:tcBorders>
              <w:top w:val="nil"/>
              <w:left w:val="single" w:sz="4" w:space="0" w:color="auto"/>
              <w:bottom w:val="nil"/>
              <w:right w:val="nil"/>
            </w:tcBorders>
            <w:vAlign w:val="center"/>
          </w:tcPr>
          <w:p w14:paraId="553EDB51" w14:textId="77777777" w:rsidR="00731038" w:rsidRPr="0032536A" w:rsidRDefault="00731038" w:rsidP="008A1035">
            <w:pPr>
              <w:spacing w:after="0" w:line="240" w:lineRule="auto"/>
              <w:ind w:left="0" w:right="0" w:firstLine="0"/>
              <w:jc w:val="right"/>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40.892</w:t>
            </w:r>
          </w:p>
        </w:tc>
        <w:tc>
          <w:tcPr>
            <w:tcW w:w="1134" w:type="dxa"/>
            <w:tcBorders>
              <w:top w:val="nil"/>
              <w:left w:val="nil"/>
              <w:bottom w:val="nil"/>
              <w:right w:val="nil"/>
            </w:tcBorders>
            <w:vAlign w:val="center"/>
          </w:tcPr>
          <w:p w14:paraId="67708A9D"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20.585</w:t>
            </w:r>
          </w:p>
        </w:tc>
        <w:tc>
          <w:tcPr>
            <w:tcW w:w="1134" w:type="dxa"/>
            <w:tcBorders>
              <w:top w:val="nil"/>
              <w:left w:val="nil"/>
              <w:bottom w:val="nil"/>
              <w:right w:val="single" w:sz="4" w:space="0" w:color="auto"/>
            </w:tcBorders>
            <w:vAlign w:val="center"/>
          </w:tcPr>
          <w:p w14:paraId="6382A138"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20.307</w:t>
            </w:r>
          </w:p>
        </w:tc>
        <w:tc>
          <w:tcPr>
            <w:tcW w:w="1134" w:type="dxa"/>
            <w:tcBorders>
              <w:top w:val="nil"/>
              <w:left w:val="single" w:sz="4" w:space="0" w:color="auto"/>
              <w:bottom w:val="nil"/>
              <w:right w:val="nil"/>
            </w:tcBorders>
            <w:vAlign w:val="center"/>
          </w:tcPr>
          <w:p w14:paraId="256FC8AC"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5,3</w:t>
            </w:r>
          </w:p>
        </w:tc>
        <w:tc>
          <w:tcPr>
            <w:tcW w:w="1134" w:type="dxa"/>
            <w:tcBorders>
              <w:top w:val="nil"/>
              <w:left w:val="nil"/>
              <w:bottom w:val="nil"/>
              <w:right w:val="nil"/>
            </w:tcBorders>
            <w:vAlign w:val="center"/>
          </w:tcPr>
          <w:p w14:paraId="4C723478"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5,7</w:t>
            </w:r>
          </w:p>
        </w:tc>
        <w:tc>
          <w:tcPr>
            <w:tcW w:w="1134" w:type="dxa"/>
            <w:tcBorders>
              <w:top w:val="nil"/>
              <w:left w:val="nil"/>
              <w:bottom w:val="nil"/>
              <w:right w:val="single" w:sz="4" w:space="0" w:color="auto"/>
            </w:tcBorders>
            <w:vAlign w:val="center"/>
          </w:tcPr>
          <w:p w14:paraId="5453AC18" w14:textId="77777777" w:rsidR="00731038" w:rsidRPr="0032536A" w:rsidRDefault="00731038" w:rsidP="008A1035">
            <w:pPr>
              <w:spacing w:after="0" w:line="240" w:lineRule="auto"/>
              <w:ind w:left="0" w:right="0" w:firstLine="0"/>
              <w:jc w:val="center"/>
              <w:rPr>
                <w:rFonts w:ascii="Times New Roman" w:hAnsi="Times New Roman" w:cs="Times New Roman"/>
                <w:color w:val="auto"/>
                <w:sz w:val="24"/>
              </w:rPr>
            </w:pPr>
            <w:r w:rsidRPr="0032536A">
              <w:rPr>
                <w:rFonts w:ascii="Times New Roman" w:eastAsia="Times New Roman" w:hAnsi="Times New Roman" w:cs="Times New Roman"/>
                <w:color w:val="auto"/>
                <w:sz w:val="24"/>
              </w:rPr>
              <w:t>4,9</w:t>
            </w:r>
          </w:p>
        </w:tc>
      </w:tr>
      <w:tr w:rsidR="00731038" w:rsidRPr="00731038" w14:paraId="644A9B40" w14:textId="77777777" w:rsidTr="008A1035">
        <w:tc>
          <w:tcPr>
            <w:tcW w:w="2268" w:type="dxa"/>
            <w:tcBorders>
              <w:top w:val="nil"/>
              <w:left w:val="single" w:sz="4" w:space="0" w:color="auto"/>
              <w:bottom w:val="nil"/>
              <w:right w:val="single" w:sz="4" w:space="0" w:color="auto"/>
            </w:tcBorders>
            <w:vAlign w:val="center"/>
          </w:tcPr>
          <w:p w14:paraId="3353777D" w14:textId="77777777" w:rsidR="00731038" w:rsidRPr="0032536A" w:rsidRDefault="00731038" w:rsidP="008A1035">
            <w:pPr>
              <w:spacing w:after="0" w:line="240" w:lineRule="auto"/>
              <w:ind w:left="323" w:right="0" w:firstLine="0"/>
              <w:jc w:val="left"/>
              <w:rPr>
                <w:rFonts w:ascii="Times New Roman" w:hAnsi="Times New Roman" w:cs="Times New Roman"/>
                <w:color w:val="auto"/>
                <w:sz w:val="24"/>
              </w:rPr>
            </w:pPr>
            <w:r w:rsidRPr="0032536A">
              <w:rPr>
                <w:rFonts w:ascii="Times New Roman" w:eastAsia="Times New Roman" w:hAnsi="Times New Roman" w:cs="Times New Roman"/>
                <w:color w:val="auto"/>
                <w:sz w:val="24"/>
              </w:rPr>
              <w:t xml:space="preserve">25-29 </w:t>
            </w:r>
          </w:p>
        </w:tc>
        <w:tc>
          <w:tcPr>
            <w:tcW w:w="1134" w:type="dxa"/>
            <w:tcBorders>
              <w:top w:val="nil"/>
              <w:left w:val="single" w:sz="4" w:space="0" w:color="auto"/>
              <w:bottom w:val="nil"/>
              <w:right w:val="nil"/>
            </w:tcBorders>
            <w:vAlign w:val="center"/>
          </w:tcPr>
          <w:p w14:paraId="241BCEAD" w14:textId="77777777" w:rsidR="00731038" w:rsidRPr="0032536A" w:rsidRDefault="00731038" w:rsidP="008A1035">
            <w:pPr>
              <w:spacing w:after="0" w:line="240" w:lineRule="auto"/>
              <w:ind w:left="0" w:right="0" w:firstLine="0"/>
              <w:jc w:val="right"/>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47.137</w:t>
            </w:r>
          </w:p>
        </w:tc>
        <w:tc>
          <w:tcPr>
            <w:tcW w:w="1134" w:type="dxa"/>
            <w:tcBorders>
              <w:top w:val="nil"/>
              <w:left w:val="nil"/>
              <w:bottom w:val="nil"/>
              <w:right w:val="nil"/>
            </w:tcBorders>
            <w:vAlign w:val="center"/>
          </w:tcPr>
          <w:p w14:paraId="59D49BA3"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23.141</w:t>
            </w:r>
          </w:p>
        </w:tc>
        <w:tc>
          <w:tcPr>
            <w:tcW w:w="1134" w:type="dxa"/>
            <w:tcBorders>
              <w:top w:val="nil"/>
              <w:left w:val="nil"/>
              <w:bottom w:val="nil"/>
              <w:right w:val="single" w:sz="4" w:space="0" w:color="auto"/>
            </w:tcBorders>
            <w:vAlign w:val="center"/>
          </w:tcPr>
          <w:p w14:paraId="4C639F6B"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23.996</w:t>
            </w:r>
          </w:p>
        </w:tc>
        <w:tc>
          <w:tcPr>
            <w:tcW w:w="1134" w:type="dxa"/>
            <w:tcBorders>
              <w:top w:val="nil"/>
              <w:left w:val="single" w:sz="4" w:space="0" w:color="auto"/>
              <w:bottom w:val="nil"/>
              <w:right w:val="nil"/>
            </w:tcBorders>
            <w:vAlign w:val="center"/>
          </w:tcPr>
          <w:p w14:paraId="24E7B898"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6,1</w:t>
            </w:r>
          </w:p>
        </w:tc>
        <w:tc>
          <w:tcPr>
            <w:tcW w:w="1134" w:type="dxa"/>
            <w:tcBorders>
              <w:top w:val="nil"/>
              <w:left w:val="nil"/>
              <w:bottom w:val="nil"/>
              <w:right w:val="nil"/>
            </w:tcBorders>
            <w:vAlign w:val="center"/>
          </w:tcPr>
          <w:p w14:paraId="68A16832"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6,4</w:t>
            </w:r>
          </w:p>
        </w:tc>
        <w:tc>
          <w:tcPr>
            <w:tcW w:w="1134" w:type="dxa"/>
            <w:tcBorders>
              <w:top w:val="nil"/>
              <w:left w:val="nil"/>
              <w:bottom w:val="nil"/>
              <w:right w:val="single" w:sz="4" w:space="0" w:color="auto"/>
            </w:tcBorders>
            <w:vAlign w:val="center"/>
          </w:tcPr>
          <w:p w14:paraId="13274339" w14:textId="77777777" w:rsidR="00731038" w:rsidRPr="0032536A" w:rsidRDefault="00731038" w:rsidP="008A1035">
            <w:pPr>
              <w:spacing w:after="0" w:line="240" w:lineRule="auto"/>
              <w:ind w:left="0" w:right="0" w:firstLine="0"/>
              <w:jc w:val="center"/>
              <w:rPr>
                <w:rFonts w:ascii="Times New Roman" w:hAnsi="Times New Roman" w:cs="Times New Roman"/>
                <w:color w:val="auto"/>
                <w:sz w:val="24"/>
              </w:rPr>
            </w:pPr>
            <w:r w:rsidRPr="0032536A">
              <w:rPr>
                <w:rFonts w:ascii="Times New Roman" w:eastAsia="Times New Roman" w:hAnsi="Times New Roman" w:cs="Times New Roman"/>
                <w:color w:val="auto"/>
                <w:sz w:val="24"/>
              </w:rPr>
              <w:t>5,8</w:t>
            </w:r>
          </w:p>
        </w:tc>
      </w:tr>
      <w:tr w:rsidR="00731038" w:rsidRPr="00731038" w14:paraId="328DF4AF" w14:textId="77777777" w:rsidTr="008A1035">
        <w:tc>
          <w:tcPr>
            <w:tcW w:w="2268" w:type="dxa"/>
            <w:tcBorders>
              <w:top w:val="nil"/>
              <w:left w:val="single" w:sz="4" w:space="0" w:color="auto"/>
              <w:bottom w:val="nil"/>
              <w:right w:val="single" w:sz="4" w:space="0" w:color="auto"/>
            </w:tcBorders>
            <w:vAlign w:val="center"/>
          </w:tcPr>
          <w:p w14:paraId="1D32D346" w14:textId="77777777" w:rsidR="00731038" w:rsidRPr="0032536A" w:rsidRDefault="00731038" w:rsidP="008A1035">
            <w:pPr>
              <w:spacing w:after="0" w:line="240" w:lineRule="auto"/>
              <w:ind w:left="323" w:right="0" w:firstLine="0"/>
              <w:jc w:val="left"/>
              <w:rPr>
                <w:rFonts w:ascii="Times New Roman" w:hAnsi="Times New Roman" w:cs="Times New Roman"/>
                <w:color w:val="auto"/>
                <w:sz w:val="24"/>
              </w:rPr>
            </w:pPr>
            <w:r w:rsidRPr="0032536A">
              <w:rPr>
                <w:rFonts w:ascii="Times New Roman" w:eastAsia="Times New Roman" w:hAnsi="Times New Roman" w:cs="Times New Roman"/>
                <w:color w:val="auto"/>
                <w:sz w:val="24"/>
              </w:rPr>
              <w:t xml:space="preserve">30-34 </w:t>
            </w:r>
          </w:p>
        </w:tc>
        <w:tc>
          <w:tcPr>
            <w:tcW w:w="1134" w:type="dxa"/>
            <w:tcBorders>
              <w:top w:val="nil"/>
              <w:left w:val="single" w:sz="4" w:space="0" w:color="auto"/>
              <w:bottom w:val="nil"/>
              <w:right w:val="nil"/>
            </w:tcBorders>
            <w:vAlign w:val="center"/>
          </w:tcPr>
          <w:p w14:paraId="41DFE2EC" w14:textId="77777777" w:rsidR="00731038" w:rsidRPr="0032536A" w:rsidRDefault="00731038" w:rsidP="008A1035">
            <w:pPr>
              <w:spacing w:after="0" w:line="240" w:lineRule="auto"/>
              <w:ind w:left="0" w:right="0" w:firstLine="0"/>
              <w:jc w:val="right"/>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51.521</w:t>
            </w:r>
          </w:p>
        </w:tc>
        <w:tc>
          <w:tcPr>
            <w:tcW w:w="1134" w:type="dxa"/>
            <w:tcBorders>
              <w:top w:val="nil"/>
              <w:left w:val="nil"/>
              <w:bottom w:val="nil"/>
              <w:right w:val="nil"/>
            </w:tcBorders>
            <w:vAlign w:val="center"/>
          </w:tcPr>
          <w:p w14:paraId="45113DF1"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24.877</w:t>
            </w:r>
          </w:p>
        </w:tc>
        <w:tc>
          <w:tcPr>
            <w:tcW w:w="1134" w:type="dxa"/>
            <w:tcBorders>
              <w:top w:val="nil"/>
              <w:left w:val="nil"/>
              <w:bottom w:val="nil"/>
              <w:right w:val="single" w:sz="4" w:space="0" w:color="auto"/>
            </w:tcBorders>
            <w:vAlign w:val="center"/>
          </w:tcPr>
          <w:p w14:paraId="418227F5"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26.644</w:t>
            </w:r>
          </w:p>
        </w:tc>
        <w:tc>
          <w:tcPr>
            <w:tcW w:w="1134" w:type="dxa"/>
            <w:tcBorders>
              <w:top w:val="nil"/>
              <w:left w:val="single" w:sz="4" w:space="0" w:color="auto"/>
              <w:bottom w:val="nil"/>
              <w:right w:val="nil"/>
            </w:tcBorders>
            <w:vAlign w:val="center"/>
          </w:tcPr>
          <w:p w14:paraId="3943C0F0"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6,6</w:t>
            </w:r>
          </w:p>
        </w:tc>
        <w:tc>
          <w:tcPr>
            <w:tcW w:w="1134" w:type="dxa"/>
            <w:tcBorders>
              <w:top w:val="nil"/>
              <w:left w:val="nil"/>
              <w:bottom w:val="nil"/>
              <w:right w:val="nil"/>
            </w:tcBorders>
            <w:vAlign w:val="center"/>
          </w:tcPr>
          <w:p w14:paraId="774D9658"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6,9</w:t>
            </w:r>
          </w:p>
        </w:tc>
        <w:tc>
          <w:tcPr>
            <w:tcW w:w="1134" w:type="dxa"/>
            <w:tcBorders>
              <w:top w:val="nil"/>
              <w:left w:val="nil"/>
              <w:bottom w:val="nil"/>
              <w:right w:val="single" w:sz="4" w:space="0" w:color="auto"/>
            </w:tcBorders>
            <w:vAlign w:val="center"/>
          </w:tcPr>
          <w:p w14:paraId="768DA208" w14:textId="77777777" w:rsidR="00731038" w:rsidRPr="0032536A" w:rsidRDefault="00731038" w:rsidP="008A1035">
            <w:pPr>
              <w:spacing w:after="0" w:line="240" w:lineRule="auto"/>
              <w:ind w:left="0" w:right="0" w:firstLine="0"/>
              <w:jc w:val="center"/>
              <w:rPr>
                <w:rFonts w:ascii="Times New Roman" w:hAnsi="Times New Roman" w:cs="Times New Roman"/>
                <w:color w:val="auto"/>
                <w:sz w:val="24"/>
              </w:rPr>
            </w:pPr>
            <w:r w:rsidRPr="0032536A">
              <w:rPr>
                <w:rFonts w:ascii="Times New Roman" w:eastAsia="Times New Roman" w:hAnsi="Times New Roman" w:cs="Times New Roman"/>
                <w:color w:val="auto"/>
                <w:sz w:val="24"/>
              </w:rPr>
              <w:t>6,4</w:t>
            </w:r>
          </w:p>
        </w:tc>
      </w:tr>
      <w:tr w:rsidR="00731038" w:rsidRPr="00731038" w14:paraId="3A3617C2" w14:textId="77777777" w:rsidTr="008A1035">
        <w:tc>
          <w:tcPr>
            <w:tcW w:w="2268" w:type="dxa"/>
            <w:tcBorders>
              <w:top w:val="nil"/>
              <w:left w:val="single" w:sz="4" w:space="0" w:color="auto"/>
              <w:bottom w:val="nil"/>
              <w:right w:val="single" w:sz="4" w:space="0" w:color="auto"/>
            </w:tcBorders>
            <w:vAlign w:val="center"/>
          </w:tcPr>
          <w:p w14:paraId="0AF0A715" w14:textId="77777777" w:rsidR="00731038" w:rsidRPr="0032536A" w:rsidRDefault="00731038" w:rsidP="008A1035">
            <w:pPr>
              <w:spacing w:after="0" w:line="240" w:lineRule="auto"/>
              <w:ind w:left="323" w:right="0" w:firstLine="0"/>
              <w:jc w:val="left"/>
              <w:rPr>
                <w:rFonts w:ascii="Times New Roman" w:hAnsi="Times New Roman" w:cs="Times New Roman"/>
                <w:color w:val="auto"/>
                <w:sz w:val="24"/>
              </w:rPr>
            </w:pPr>
            <w:r w:rsidRPr="0032536A">
              <w:rPr>
                <w:rFonts w:ascii="Times New Roman" w:eastAsia="Times New Roman" w:hAnsi="Times New Roman" w:cs="Times New Roman"/>
                <w:color w:val="auto"/>
                <w:sz w:val="24"/>
              </w:rPr>
              <w:t xml:space="preserve">35-39 </w:t>
            </w:r>
          </w:p>
        </w:tc>
        <w:tc>
          <w:tcPr>
            <w:tcW w:w="1134" w:type="dxa"/>
            <w:tcBorders>
              <w:top w:val="nil"/>
              <w:left w:val="single" w:sz="4" w:space="0" w:color="auto"/>
              <w:bottom w:val="nil"/>
              <w:right w:val="nil"/>
            </w:tcBorders>
            <w:vAlign w:val="center"/>
          </w:tcPr>
          <w:p w14:paraId="4D468B5F" w14:textId="77777777" w:rsidR="00731038" w:rsidRPr="0032536A" w:rsidRDefault="00731038" w:rsidP="008A1035">
            <w:pPr>
              <w:spacing w:after="0" w:line="240" w:lineRule="auto"/>
              <w:ind w:left="0" w:right="0" w:firstLine="0"/>
              <w:jc w:val="right"/>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57.304</w:t>
            </w:r>
          </w:p>
        </w:tc>
        <w:tc>
          <w:tcPr>
            <w:tcW w:w="1134" w:type="dxa"/>
            <w:tcBorders>
              <w:top w:val="nil"/>
              <w:left w:val="nil"/>
              <w:bottom w:val="nil"/>
              <w:right w:val="nil"/>
            </w:tcBorders>
            <w:vAlign w:val="center"/>
          </w:tcPr>
          <w:p w14:paraId="265DA4F0"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27.927</w:t>
            </w:r>
          </w:p>
        </w:tc>
        <w:tc>
          <w:tcPr>
            <w:tcW w:w="1134" w:type="dxa"/>
            <w:tcBorders>
              <w:top w:val="nil"/>
              <w:left w:val="nil"/>
              <w:bottom w:val="nil"/>
              <w:right w:val="single" w:sz="4" w:space="0" w:color="auto"/>
            </w:tcBorders>
            <w:vAlign w:val="center"/>
          </w:tcPr>
          <w:p w14:paraId="718D5477"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29.377</w:t>
            </w:r>
          </w:p>
        </w:tc>
        <w:tc>
          <w:tcPr>
            <w:tcW w:w="1134" w:type="dxa"/>
            <w:tcBorders>
              <w:top w:val="nil"/>
              <w:left w:val="single" w:sz="4" w:space="0" w:color="auto"/>
              <w:bottom w:val="nil"/>
              <w:right w:val="nil"/>
            </w:tcBorders>
            <w:vAlign w:val="center"/>
          </w:tcPr>
          <w:p w14:paraId="55EE4BCB"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7,4</w:t>
            </w:r>
          </w:p>
        </w:tc>
        <w:tc>
          <w:tcPr>
            <w:tcW w:w="1134" w:type="dxa"/>
            <w:tcBorders>
              <w:top w:val="nil"/>
              <w:left w:val="nil"/>
              <w:bottom w:val="nil"/>
              <w:right w:val="nil"/>
            </w:tcBorders>
            <w:vAlign w:val="center"/>
          </w:tcPr>
          <w:p w14:paraId="31DEA09C"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7,7</w:t>
            </w:r>
          </w:p>
        </w:tc>
        <w:tc>
          <w:tcPr>
            <w:tcW w:w="1134" w:type="dxa"/>
            <w:tcBorders>
              <w:top w:val="nil"/>
              <w:left w:val="nil"/>
              <w:bottom w:val="nil"/>
              <w:right w:val="single" w:sz="4" w:space="0" w:color="auto"/>
            </w:tcBorders>
            <w:vAlign w:val="center"/>
          </w:tcPr>
          <w:p w14:paraId="44C44FCC" w14:textId="77777777" w:rsidR="00731038" w:rsidRPr="0032536A" w:rsidRDefault="00731038" w:rsidP="008A1035">
            <w:pPr>
              <w:spacing w:after="0" w:line="240" w:lineRule="auto"/>
              <w:ind w:left="0" w:right="0" w:firstLine="0"/>
              <w:jc w:val="center"/>
              <w:rPr>
                <w:rFonts w:ascii="Times New Roman" w:hAnsi="Times New Roman" w:cs="Times New Roman"/>
                <w:color w:val="auto"/>
                <w:sz w:val="24"/>
              </w:rPr>
            </w:pPr>
            <w:r w:rsidRPr="0032536A">
              <w:rPr>
                <w:rFonts w:ascii="Times New Roman" w:eastAsia="Times New Roman" w:hAnsi="Times New Roman" w:cs="Times New Roman"/>
                <w:color w:val="auto"/>
                <w:sz w:val="24"/>
              </w:rPr>
              <w:t>7,1</w:t>
            </w:r>
          </w:p>
        </w:tc>
      </w:tr>
      <w:tr w:rsidR="00731038" w:rsidRPr="00731038" w14:paraId="442266DC" w14:textId="77777777" w:rsidTr="008A1035">
        <w:tc>
          <w:tcPr>
            <w:tcW w:w="2268" w:type="dxa"/>
            <w:tcBorders>
              <w:top w:val="nil"/>
              <w:left w:val="single" w:sz="4" w:space="0" w:color="auto"/>
              <w:bottom w:val="nil"/>
              <w:right w:val="single" w:sz="4" w:space="0" w:color="auto"/>
            </w:tcBorders>
            <w:vAlign w:val="center"/>
          </w:tcPr>
          <w:p w14:paraId="483A2E5D" w14:textId="77777777" w:rsidR="00731038" w:rsidRPr="0032536A" w:rsidRDefault="00731038" w:rsidP="008A1035">
            <w:pPr>
              <w:spacing w:after="0" w:line="240" w:lineRule="auto"/>
              <w:ind w:left="323" w:right="0" w:firstLine="0"/>
              <w:jc w:val="left"/>
              <w:rPr>
                <w:rFonts w:ascii="Times New Roman" w:hAnsi="Times New Roman" w:cs="Times New Roman"/>
                <w:color w:val="auto"/>
                <w:sz w:val="24"/>
              </w:rPr>
            </w:pPr>
            <w:r w:rsidRPr="0032536A">
              <w:rPr>
                <w:rFonts w:ascii="Times New Roman" w:eastAsia="Times New Roman" w:hAnsi="Times New Roman" w:cs="Times New Roman"/>
                <w:color w:val="auto"/>
                <w:sz w:val="24"/>
              </w:rPr>
              <w:t xml:space="preserve">40-44 </w:t>
            </w:r>
          </w:p>
        </w:tc>
        <w:tc>
          <w:tcPr>
            <w:tcW w:w="1134" w:type="dxa"/>
            <w:tcBorders>
              <w:top w:val="nil"/>
              <w:left w:val="single" w:sz="4" w:space="0" w:color="auto"/>
              <w:bottom w:val="nil"/>
              <w:right w:val="nil"/>
            </w:tcBorders>
            <w:vAlign w:val="center"/>
          </w:tcPr>
          <w:p w14:paraId="7B118B29" w14:textId="77777777" w:rsidR="00731038" w:rsidRPr="0032536A" w:rsidRDefault="00731038" w:rsidP="008A1035">
            <w:pPr>
              <w:spacing w:after="0" w:line="240" w:lineRule="auto"/>
              <w:ind w:left="0" w:right="0" w:firstLine="0"/>
              <w:jc w:val="right"/>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59.493</w:t>
            </w:r>
          </w:p>
        </w:tc>
        <w:tc>
          <w:tcPr>
            <w:tcW w:w="1134" w:type="dxa"/>
            <w:tcBorders>
              <w:top w:val="nil"/>
              <w:left w:val="nil"/>
              <w:bottom w:val="nil"/>
              <w:right w:val="nil"/>
            </w:tcBorders>
            <w:vAlign w:val="center"/>
          </w:tcPr>
          <w:p w14:paraId="6B149AE1"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28.745</w:t>
            </w:r>
          </w:p>
        </w:tc>
        <w:tc>
          <w:tcPr>
            <w:tcW w:w="1134" w:type="dxa"/>
            <w:tcBorders>
              <w:top w:val="nil"/>
              <w:left w:val="nil"/>
              <w:bottom w:val="nil"/>
              <w:right w:val="single" w:sz="4" w:space="0" w:color="auto"/>
            </w:tcBorders>
            <w:vAlign w:val="center"/>
          </w:tcPr>
          <w:p w14:paraId="108694AA"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30.748</w:t>
            </w:r>
          </w:p>
        </w:tc>
        <w:tc>
          <w:tcPr>
            <w:tcW w:w="1134" w:type="dxa"/>
            <w:tcBorders>
              <w:top w:val="nil"/>
              <w:left w:val="single" w:sz="4" w:space="0" w:color="auto"/>
              <w:bottom w:val="nil"/>
              <w:right w:val="nil"/>
            </w:tcBorders>
            <w:vAlign w:val="center"/>
          </w:tcPr>
          <w:p w14:paraId="1601F907"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7,7</w:t>
            </w:r>
          </w:p>
        </w:tc>
        <w:tc>
          <w:tcPr>
            <w:tcW w:w="1134" w:type="dxa"/>
            <w:tcBorders>
              <w:top w:val="nil"/>
              <w:left w:val="nil"/>
              <w:bottom w:val="nil"/>
              <w:right w:val="nil"/>
            </w:tcBorders>
            <w:vAlign w:val="center"/>
          </w:tcPr>
          <w:p w14:paraId="64BB4F04"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7,9</w:t>
            </w:r>
          </w:p>
        </w:tc>
        <w:tc>
          <w:tcPr>
            <w:tcW w:w="1134" w:type="dxa"/>
            <w:tcBorders>
              <w:top w:val="nil"/>
              <w:left w:val="nil"/>
              <w:bottom w:val="nil"/>
              <w:right w:val="single" w:sz="4" w:space="0" w:color="auto"/>
            </w:tcBorders>
            <w:vAlign w:val="center"/>
          </w:tcPr>
          <w:p w14:paraId="00D3459E" w14:textId="77777777" w:rsidR="00731038" w:rsidRPr="0032536A" w:rsidRDefault="00731038" w:rsidP="008A1035">
            <w:pPr>
              <w:spacing w:after="0" w:line="240" w:lineRule="auto"/>
              <w:ind w:left="0" w:right="0" w:firstLine="0"/>
              <w:jc w:val="center"/>
              <w:rPr>
                <w:rFonts w:ascii="Times New Roman" w:hAnsi="Times New Roman" w:cs="Times New Roman"/>
                <w:color w:val="auto"/>
                <w:sz w:val="24"/>
              </w:rPr>
            </w:pPr>
            <w:r w:rsidRPr="0032536A">
              <w:rPr>
                <w:rFonts w:ascii="Times New Roman" w:eastAsia="Times New Roman" w:hAnsi="Times New Roman" w:cs="Times New Roman"/>
                <w:color w:val="auto"/>
                <w:sz w:val="24"/>
              </w:rPr>
              <w:t>7,4</w:t>
            </w:r>
          </w:p>
        </w:tc>
      </w:tr>
      <w:tr w:rsidR="00731038" w:rsidRPr="00731038" w14:paraId="691E888E" w14:textId="77777777" w:rsidTr="008A1035">
        <w:tc>
          <w:tcPr>
            <w:tcW w:w="2268" w:type="dxa"/>
            <w:tcBorders>
              <w:top w:val="nil"/>
              <w:left w:val="single" w:sz="4" w:space="0" w:color="auto"/>
              <w:bottom w:val="nil"/>
              <w:right w:val="single" w:sz="4" w:space="0" w:color="auto"/>
            </w:tcBorders>
            <w:vAlign w:val="center"/>
          </w:tcPr>
          <w:p w14:paraId="76D0E30E" w14:textId="77777777" w:rsidR="00731038" w:rsidRPr="0032536A" w:rsidRDefault="00731038" w:rsidP="008A1035">
            <w:pPr>
              <w:spacing w:after="0" w:line="240" w:lineRule="auto"/>
              <w:ind w:left="323" w:right="0" w:firstLine="0"/>
              <w:jc w:val="left"/>
              <w:rPr>
                <w:rFonts w:ascii="Times New Roman" w:hAnsi="Times New Roman" w:cs="Times New Roman"/>
                <w:color w:val="auto"/>
                <w:sz w:val="24"/>
              </w:rPr>
            </w:pPr>
            <w:r w:rsidRPr="0032536A">
              <w:rPr>
                <w:rFonts w:ascii="Times New Roman" w:eastAsia="Times New Roman" w:hAnsi="Times New Roman" w:cs="Times New Roman"/>
                <w:color w:val="auto"/>
                <w:sz w:val="24"/>
              </w:rPr>
              <w:t xml:space="preserve">45-49 </w:t>
            </w:r>
          </w:p>
        </w:tc>
        <w:tc>
          <w:tcPr>
            <w:tcW w:w="1134" w:type="dxa"/>
            <w:tcBorders>
              <w:top w:val="nil"/>
              <w:left w:val="single" w:sz="4" w:space="0" w:color="auto"/>
              <w:bottom w:val="nil"/>
              <w:right w:val="nil"/>
            </w:tcBorders>
            <w:vAlign w:val="center"/>
          </w:tcPr>
          <w:p w14:paraId="46A39349" w14:textId="77777777" w:rsidR="00731038" w:rsidRPr="0032536A" w:rsidRDefault="00731038" w:rsidP="008A1035">
            <w:pPr>
              <w:spacing w:after="0" w:line="240" w:lineRule="auto"/>
              <w:ind w:left="0" w:right="0" w:firstLine="0"/>
              <w:jc w:val="right"/>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54.576</w:t>
            </w:r>
          </w:p>
        </w:tc>
        <w:tc>
          <w:tcPr>
            <w:tcW w:w="1134" w:type="dxa"/>
            <w:tcBorders>
              <w:top w:val="nil"/>
              <w:left w:val="nil"/>
              <w:bottom w:val="nil"/>
              <w:right w:val="nil"/>
            </w:tcBorders>
            <w:vAlign w:val="center"/>
          </w:tcPr>
          <w:p w14:paraId="0C563376"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26.152</w:t>
            </w:r>
          </w:p>
        </w:tc>
        <w:tc>
          <w:tcPr>
            <w:tcW w:w="1134" w:type="dxa"/>
            <w:tcBorders>
              <w:top w:val="nil"/>
              <w:left w:val="nil"/>
              <w:bottom w:val="nil"/>
              <w:right w:val="single" w:sz="4" w:space="0" w:color="auto"/>
            </w:tcBorders>
            <w:vAlign w:val="center"/>
          </w:tcPr>
          <w:p w14:paraId="6200E479"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28.424</w:t>
            </w:r>
          </w:p>
        </w:tc>
        <w:tc>
          <w:tcPr>
            <w:tcW w:w="1134" w:type="dxa"/>
            <w:tcBorders>
              <w:top w:val="nil"/>
              <w:left w:val="single" w:sz="4" w:space="0" w:color="auto"/>
              <w:bottom w:val="nil"/>
              <w:right w:val="nil"/>
            </w:tcBorders>
            <w:vAlign w:val="center"/>
          </w:tcPr>
          <w:p w14:paraId="5749CF0C"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7,0</w:t>
            </w:r>
          </w:p>
        </w:tc>
        <w:tc>
          <w:tcPr>
            <w:tcW w:w="1134" w:type="dxa"/>
            <w:tcBorders>
              <w:top w:val="nil"/>
              <w:left w:val="nil"/>
              <w:bottom w:val="nil"/>
              <w:right w:val="nil"/>
            </w:tcBorders>
            <w:vAlign w:val="center"/>
          </w:tcPr>
          <w:p w14:paraId="4598D813"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7,2</w:t>
            </w:r>
          </w:p>
        </w:tc>
        <w:tc>
          <w:tcPr>
            <w:tcW w:w="1134" w:type="dxa"/>
            <w:tcBorders>
              <w:top w:val="nil"/>
              <w:left w:val="nil"/>
              <w:bottom w:val="nil"/>
              <w:right w:val="single" w:sz="4" w:space="0" w:color="auto"/>
            </w:tcBorders>
            <w:vAlign w:val="center"/>
          </w:tcPr>
          <w:p w14:paraId="13A62D24" w14:textId="77777777" w:rsidR="00731038" w:rsidRPr="0032536A" w:rsidRDefault="00731038" w:rsidP="008A1035">
            <w:pPr>
              <w:spacing w:after="0" w:line="240" w:lineRule="auto"/>
              <w:ind w:left="0" w:right="0" w:firstLine="0"/>
              <w:jc w:val="center"/>
              <w:rPr>
                <w:rFonts w:ascii="Times New Roman" w:hAnsi="Times New Roman" w:cs="Times New Roman"/>
                <w:color w:val="auto"/>
                <w:sz w:val="24"/>
              </w:rPr>
            </w:pPr>
            <w:r w:rsidRPr="0032536A">
              <w:rPr>
                <w:rFonts w:ascii="Times New Roman" w:eastAsia="Times New Roman" w:hAnsi="Times New Roman" w:cs="Times New Roman"/>
                <w:color w:val="auto"/>
                <w:sz w:val="24"/>
              </w:rPr>
              <w:t>6,9</w:t>
            </w:r>
          </w:p>
        </w:tc>
      </w:tr>
      <w:tr w:rsidR="00731038" w:rsidRPr="00731038" w14:paraId="0C0BFC8E" w14:textId="77777777" w:rsidTr="008A1035">
        <w:tc>
          <w:tcPr>
            <w:tcW w:w="2268" w:type="dxa"/>
            <w:tcBorders>
              <w:top w:val="nil"/>
              <w:left w:val="single" w:sz="4" w:space="0" w:color="auto"/>
              <w:bottom w:val="nil"/>
              <w:right w:val="single" w:sz="4" w:space="0" w:color="auto"/>
            </w:tcBorders>
            <w:vAlign w:val="center"/>
          </w:tcPr>
          <w:p w14:paraId="53699E8E" w14:textId="77777777" w:rsidR="00731038" w:rsidRPr="0032536A" w:rsidRDefault="00731038" w:rsidP="008A1035">
            <w:pPr>
              <w:spacing w:after="0" w:line="240" w:lineRule="auto"/>
              <w:ind w:left="323" w:right="0" w:firstLine="0"/>
              <w:jc w:val="left"/>
              <w:rPr>
                <w:rFonts w:ascii="Times New Roman" w:hAnsi="Times New Roman" w:cs="Times New Roman"/>
                <w:color w:val="auto"/>
                <w:sz w:val="24"/>
              </w:rPr>
            </w:pPr>
            <w:r w:rsidRPr="0032536A">
              <w:rPr>
                <w:rFonts w:ascii="Times New Roman" w:eastAsia="Times New Roman" w:hAnsi="Times New Roman" w:cs="Times New Roman"/>
                <w:color w:val="auto"/>
                <w:sz w:val="24"/>
              </w:rPr>
              <w:t xml:space="preserve">50-54 </w:t>
            </w:r>
          </w:p>
        </w:tc>
        <w:tc>
          <w:tcPr>
            <w:tcW w:w="1134" w:type="dxa"/>
            <w:tcBorders>
              <w:top w:val="nil"/>
              <w:left w:val="single" w:sz="4" w:space="0" w:color="auto"/>
              <w:bottom w:val="nil"/>
              <w:right w:val="nil"/>
            </w:tcBorders>
            <w:vAlign w:val="center"/>
          </w:tcPr>
          <w:p w14:paraId="15F487CD" w14:textId="77777777" w:rsidR="00731038" w:rsidRPr="0032536A" w:rsidRDefault="00731038" w:rsidP="008A1035">
            <w:pPr>
              <w:spacing w:after="0" w:line="240" w:lineRule="auto"/>
              <w:ind w:left="0" w:right="0" w:firstLine="0"/>
              <w:jc w:val="right"/>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50.558</w:t>
            </w:r>
          </w:p>
        </w:tc>
        <w:tc>
          <w:tcPr>
            <w:tcW w:w="1134" w:type="dxa"/>
            <w:tcBorders>
              <w:top w:val="nil"/>
              <w:left w:val="nil"/>
              <w:bottom w:val="nil"/>
              <w:right w:val="nil"/>
            </w:tcBorders>
            <w:vAlign w:val="center"/>
          </w:tcPr>
          <w:p w14:paraId="610A919F"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23.967</w:t>
            </w:r>
          </w:p>
        </w:tc>
        <w:tc>
          <w:tcPr>
            <w:tcW w:w="1134" w:type="dxa"/>
            <w:tcBorders>
              <w:top w:val="nil"/>
              <w:left w:val="nil"/>
              <w:bottom w:val="nil"/>
              <w:right w:val="single" w:sz="4" w:space="0" w:color="auto"/>
            </w:tcBorders>
            <w:vAlign w:val="center"/>
          </w:tcPr>
          <w:p w14:paraId="6D816BE8"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26.591</w:t>
            </w:r>
          </w:p>
        </w:tc>
        <w:tc>
          <w:tcPr>
            <w:tcW w:w="1134" w:type="dxa"/>
            <w:tcBorders>
              <w:top w:val="nil"/>
              <w:left w:val="single" w:sz="4" w:space="0" w:color="auto"/>
              <w:bottom w:val="nil"/>
              <w:right w:val="nil"/>
            </w:tcBorders>
            <w:vAlign w:val="center"/>
          </w:tcPr>
          <w:p w14:paraId="191599BF"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6,5</w:t>
            </w:r>
          </w:p>
        </w:tc>
        <w:tc>
          <w:tcPr>
            <w:tcW w:w="1134" w:type="dxa"/>
            <w:tcBorders>
              <w:top w:val="nil"/>
              <w:left w:val="nil"/>
              <w:bottom w:val="nil"/>
              <w:right w:val="nil"/>
            </w:tcBorders>
            <w:vAlign w:val="center"/>
          </w:tcPr>
          <w:p w14:paraId="6CB7EE9B"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6,6</w:t>
            </w:r>
          </w:p>
        </w:tc>
        <w:tc>
          <w:tcPr>
            <w:tcW w:w="1134" w:type="dxa"/>
            <w:tcBorders>
              <w:top w:val="nil"/>
              <w:left w:val="nil"/>
              <w:bottom w:val="nil"/>
              <w:right w:val="single" w:sz="4" w:space="0" w:color="auto"/>
            </w:tcBorders>
            <w:vAlign w:val="center"/>
          </w:tcPr>
          <w:p w14:paraId="67498F51" w14:textId="77777777" w:rsidR="00731038" w:rsidRPr="0032536A" w:rsidRDefault="00731038" w:rsidP="008A1035">
            <w:pPr>
              <w:spacing w:after="0" w:line="240" w:lineRule="auto"/>
              <w:ind w:left="0" w:right="0" w:firstLine="0"/>
              <w:jc w:val="center"/>
              <w:rPr>
                <w:rFonts w:ascii="Times New Roman" w:hAnsi="Times New Roman" w:cs="Times New Roman"/>
                <w:color w:val="auto"/>
                <w:sz w:val="24"/>
              </w:rPr>
            </w:pPr>
            <w:r w:rsidRPr="0032536A">
              <w:rPr>
                <w:rFonts w:ascii="Times New Roman" w:eastAsia="Times New Roman" w:hAnsi="Times New Roman" w:cs="Times New Roman"/>
                <w:color w:val="auto"/>
                <w:sz w:val="24"/>
              </w:rPr>
              <w:t>6,4</w:t>
            </w:r>
          </w:p>
        </w:tc>
      </w:tr>
      <w:tr w:rsidR="00731038" w:rsidRPr="00731038" w14:paraId="736D7608" w14:textId="77777777" w:rsidTr="008A1035">
        <w:tc>
          <w:tcPr>
            <w:tcW w:w="2268" w:type="dxa"/>
            <w:tcBorders>
              <w:top w:val="nil"/>
              <w:left w:val="single" w:sz="4" w:space="0" w:color="auto"/>
              <w:bottom w:val="nil"/>
              <w:right w:val="single" w:sz="4" w:space="0" w:color="auto"/>
            </w:tcBorders>
            <w:vAlign w:val="center"/>
          </w:tcPr>
          <w:p w14:paraId="42E49D2A" w14:textId="77777777" w:rsidR="00731038" w:rsidRPr="0032536A" w:rsidRDefault="00731038" w:rsidP="008A1035">
            <w:pPr>
              <w:spacing w:after="0" w:line="240" w:lineRule="auto"/>
              <w:ind w:left="323" w:right="0" w:firstLine="0"/>
              <w:jc w:val="left"/>
              <w:rPr>
                <w:rFonts w:ascii="Times New Roman" w:hAnsi="Times New Roman" w:cs="Times New Roman"/>
                <w:color w:val="auto"/>
                <w:sz w:val="24"/>
              </w:rPr>
            </w:pPr>
            <w:r w:rsidRPr="0032536A">
              <w:rPr>
                <w:rFonts w:ascii="Times New Roman" w:eastAsia="Times New Roman" w:hAnsi="Times New Roman" w:cs="Times New Roman"/>
                <w:color w:val="auto"/>
                <w:sz w:val="24"/>
              </w:rPr>
              <w:t xml:space="preserve">55-59 </w:t>
            </w:r>
          </w:p>
        </w:tc>
        <w:tc>
          <w:tcPr>
            <w:tcW w:w="1134" w:type="dxa"/>
            <w:tcBorders>
              <w:top w:val="nil"/>
              <w:left w:val="single" w:sz="4" w:space="0" w:color="auto"/>
              <w:bottom w:val="nil"/>
              <w:right w:val="nil"/>
            </w:tcBorders>
            <w:vAlign w:val="center"/>
          </w:tcPr>
          <w:p w14:paraId="576E3C55" w14:textId="77777777" w:rsidR="00731038" w:rsidRPr="0032536A" w:rsidRDefault="00731038" w:rsidP="008A1035">
            <w:pPr>
              <w:spacing w:after="0" w:line="240" w:lineRule="auto"/>
              <w:ind w:left="0" w:right="0" w:firstLine="0"/>
              <w:jc w:val="right"/>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48.992</w:t>
            </w:r>
          </w:p>
        </w:tc>
        <w:tc>
          <w:tcPr>
            <w:tcW w:w="1134" w:type="dxa"/>
            <w:tcBorders>
              <w:top w:val="nil"/>
              <w:left w:val="nil"/>
              <w:bottom w:val="nil"/>
              <w:right w:val="nil"/>
            </w:tcBorders>
            <w:vAlign w:val="center"/>
          </w:tcPr>
          <w:p w14:paraId="3B0D6E2F"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22.595</w:t>
            </w:r>
          </w:p>
        </w:tc>
        <w:tc>
          <w:tcPr>
            <w:tcW w:w="1134" w:type="dxa"/>
            <w:tcBorders>
              <w:top w:val="nil"/>
              <w:left w:val="nil"/>
              <w:bottom w:val="nil"/>
              <w:right w:val="single" w:sz="4" w:space="0" w:color="auto"/>
            </w:tcBorders>
            <w:vAlign w:val="center"/>
          </w:tcPr>
          <w:p w14:paraId="0D48CABB"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26.397</w:t>
            </w:r>
          </w:p>
        </w:tc>
        <w:tc>
          <w:tcPr>
            <w:tcW w:w="1134" w:type="dxa"/>
            <w:tcBorders>
              <w:top w:val="nil"/>
              <w:left w:val="single" w:sz="4" w:space="0" w:color="auto"/>
              <w:bottom w:val="nil"/>
              <w:right w:val="nil"/>
            </w:tcBorders>
            <w:vAlign w:val="center"/>
          </w:tcPr>
          <w:p w14:paraId="3C96309D"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6,3</w:t>
            </w:r>
          </w:p>
        </w:tc>
        <w:tc>
          <w:tcPr>
            <w:tcW w:w="1134" w:type="dxa"/>
            <w:tcBorders>
              <w:top w:val="nil"/>
              <w:left w:val="nil"/>
              <w:bottom w:val="nil"/>
              <w:right w:val="nil"/>
            </w:tcBorders>
            <w:vAlign w:val="center"/>
          </w:tcPr>
          <w:p w14:paraId="68D3D837"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6,2</w:t>
            </w:r>
          </w:p>
        </w:tc>
        <w:tc>
          <w:tcPr>
            <w:tcW w:w="1134" w:type="dxa"/>
            <w:tcBorders>
              <w:top w:val="nil"/>
              <w:left w:val="nil"/>
              <w:bottom w:val="nil"/>
              <w:right w:val="single" w:sz="4" w:space="0" w:color="auto"/>
            </w:tcBorders>
            <w:vAlign w:val="center"/>
          </w:tcPr>
          <w:p w14:paraId="221AA660" w14:textId="77777777" w:rsidR="00731038" w:rsidRPr="0032536A" w:rsidRDefault="00731038" w:rsidP="008A1035">
            <w:pPr>
              <w:spacing w:after="0" w:line="240" w:lineRule="auto"/>
              <w:ind w:left="0" w:right="0" w:firstLine="0"/>
              <w:jc w:val="center"/>
              <w:rPr>
                <w:rFonts w:ascii="Times New Roman" w:hAnsi="Times New Roman" w:cs="Times New Roman"/>
                <w:color w:val="auto"/>
                <w:sz w:val="24"/>
              </w:rPr>
            </w:pPr>
            <w:r w:rsidRPr="0032536A">
              <w:rPr>
                <w:rFonts w:ascii="Times New Roman" w:eastAsia="Times New Roman" w:hAnsi="Times New Roman" w:cs="Times New Roman"/>
                <w:color w:val="auto"/>
                <w:sz w:val="24"/>
              </w:rPr>
              <w:t>6,4</w:t>
            </w:r>
          </w:p>
        </w:tc>
      </w:tr>
      <w:tr w:rsidR="00731038" w:rsidRPr="00731038" w14:paraId="0951F5D7" w14:textId="77777777" w:rsidTr="008A1035">
        <w:tc>
          <w:tcPr>
            <w:tcW w:w="2268" w:type="dxa"/>
            <w:tcBorders>
              <w:top w:val="nil"/>
              <w:left w:val="single" w:sz="4" w:space="0" w:color="auto"/>
              <w:bottom w:val="nil"/>
              <w:right w:val="single" w:sz="4" w:space="0" w:color="auto"/>
            </w:tcBorders>
            <w:vAlign w:val="center"/>
          </w:tcPr>
          <w:p w14:paraId="495603D9" w14:textId="77777777" w:rsidR="00731038" w:rsidRPr="0032536A" w:rsidRDefault="00731038" w:rsidP="008A1035">
            <w:pPr>
              <w:spacing w:after="0" w:line="240" w:lineRule="auto"/>
              <w:ind w:left="323" w:right="0" w:firstLine="0"/>
              <w:jc w:val="left"/>
              <w:rPr>
                <w:rFonts w:ascii="Times New Roman" w:hAnsi="Times New Roman" w:cs="Times New Roman"/>
                <w:color w:val="auto"/>
                <w:sz w:val="24"/>
              </w:rPr>
            </w:pPr>
            <w:r w:rsidRPr="0032536A">
              <w:rPr>
                <w:rFonts w:ascii="Times New Roman" w:eastAsia="Times New Roman" w:hAnsi="Times New Roman" w:cs="Times New Roman"/>
                <w:color w:val="auto"/>
                <w:sz w:val="24"/>
              </w:rPr>
              <w:t xml:space="preserve">60-64 </w:t>
            </w:r>
          </w:p>
        </w:tc>
        <w:tc>
          <w:tcPr>
            <w:tcW w:w="1134" w:type="dxa"/>
            <w:tcBorders>
              <w:top w:val="nil"/>
              <w:left w:val="single" w:sz="4" w:space="0" w:color="auto"/>
              <w:bottom w:val="nil"/>
              <w:right w:val="nil"/>
            </w:tcBorders>
            <w:vAlign w:val="center"/>
          </w:tcPr>
          <w:p w14:paraId="03DE67E3" w14:textId="77777777" w:rsidR="00731038" w:rsidRPr="0032536A" w:rsidRDefault="00731038" w:rsidP="008A1035">
            <w:pPr>
              <w:spacing w:after="0" w:line="240" w:lineRule="auto"/>
              <w:ind w:left="0" w:right="0" w:firstLine="0"/>
              <w:jc w:val="right"/>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48.674</w:t>
            </w:r>
          </w:p>
        </w:tc>
        <w:tc>
          <w:tcPr>
            <w:tcW w:w="1134" w:type="dxa"/>
            <w:tcBorders>
              <w:top w:val="nil"/>
              <w:left w:val="nil"/>
              <w:bottom w:val="nil"/>
              <w:right w:val="nil"/>
            </w:tcBorders>
            <w:vAlign w:val="center"/>
          </w:tcPr>
          <w:p w14:paraId="064430F5"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21.260</w:t>
            </w:r>
          </w:p>
        </w:tc>
        <w:tc>
          <w:tcPr>
            <w:tcW w:w="1134" w:type="dxa"/>
            <w:tcBorders>
              <w:top w:val="nil"/>
              <w:left w:val="nil"/>
              <w:bottom w:val="nil"/>
              <w:right w:val="single" w:sz="4" w:space="0" w:color="auto"/>
            </w:tcBorders>
            <w:vAlign w:val="center"/>
          </w:tcPr>
          <w:p w14:paraId="0116D10B"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27.414</w:t>
            </w:r>
          </w:p>
        </w:tc>
        <w:tc>
          <w:tcPr>
            <w:tcW w:w="1134" w:type="dxa"/>
            <w:tcBorders>
              <w:top w:val="nil"/>
              <w:left w:val="single" w:sz="4" w:space="0" w:color="auto"/>
              <w:bottom w:val="nil"/>
              <w:right w:val="nil"/>
            </w:tcBorders>
            <w:vAlign w:val="center"/>
          </w:tcPr>
          <w:p w14:paraId="635E42A6"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6,3</w:t>
            </w:r>
          </w:p>
        </w:tc>
        <w:tc>
          <w:tcPr>
            <w:tcW w:w="1134" w:type="dxa"/>
            <w:tcBorders>
              <w:top w:val="nil"/>
              <w:left w:val="nil"/>
              <w:bottom w:val="nil"/>
              <w:right w:val="nil"/>
            </w:tcBorders>
            <w:vAlign w:val="center"/>
          </w:tcPr>
          <w:p w14:paraId="322FC83A"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5,9</w:t>
            </w:r>
          </w:p>
        </w:tc>
        <w:tc>
          <w:tcPr>
            <w:tcW w:w="1134" w:type="dxa"/>
            <w:tcBorders>
              <w:top w:val="nil"/>
              <w:left w:val="nil"/>
              <w:bottom w:val="nil"/>
              <w:right w:val="single" w:sz="4" w:space="0" w:color="auto"/>
            </w:tcBorders>
            <w:vAlign w:val="center"/>
          </w:tcPr>
          <w:p w14:paraId="6E2129EA" w14:textId="77777777" w:rsidR="00731038" w:rsidRPr="0032536A" w:rsidRDefault="00731038" w:rsidP="008A1035">
            <w:pPr>
              <w:spacing w:after="0" w:line="240" w:lineRule="auto"/>
              <w:ind w:left="0" w:right="0" w:firstLine="0"/>
              <w:jc w:val="center"/>
              <w:rPr>
                <w:rFonts w:ascii="Times New Roman" w:hAnsi="Times New Roman" w:cs="Times New Roman"/>
                <w:color w:val="auto"/>
                <w:sz w:val="24"/>
              </w:rPr>
            </w:pPr>
            <w:r w:rsidRPr="0032536A">
              <w:rPr>
                <w:rFonts w:ascii="Times New Roman" w:eastAsia="Times New Roman" w:hAnsi="Times New Roman" w:cs="Times New Roman"/>
                <w:color w:val="auto"/>
                <w:sz w:val="24"/>
              </w:rPr>
              <w:t>6,6</w:t>
            </w:r>
          </w:p>
        </w:tc>
      </w:tr>
      <w:tr w:rsidR="00731038" w:rsidRPr="00731038" w14:paraId="3169093E" w14:textId="77777777" w:rsidTr="008A1035">
        <w:tc>
          <w:tcPr>
            <w:tcW w:w="2268" w:type="dxa"/>
            <w:tcBorders>
              <w:top w:val="nil"/>
              <w:left w:val="single" w:sz="4" w:space="0" w:color="auto"/>
              <w:bottom w:val="nil"/>
              <w:right w:val="single" w:sz="4" w:space="0" w:color="auto"/>
            </w:tcBorders>
            <w:vAlign w:val="center"/>
          </w:tcPr>
          <w:p w14:paraId="2850E816" w14:textId="77777777" w:rsidR="00731038" w:rsidRPr="0032536A" w:rsidRDefault="00731038" w:rsidP="008A1035">
            <w:pPr>
              <w:spacing w:after="0" w:line="240" w:lineRule="auto"/>
              <w:ind w:left="323" w:right="0" w:firstLine="0"/>
              <w:jc w:val="left"/>
              <w:rPr>
                <w:rFonts w:ascii="Times New Roman" w:hAnsi="Times New Roman" w:cs="Times New Roman"/>
                <w:color w:val="auto"/>
                <w:sz w:val="24"/>
              </w:rPr>
            </w:pPr>
            <w:r w:rsidRPr="0032536A">
              <w:rPr>
                <w:rFonts w:ascii="Times New Roman" w:eastAsia="Times New Roman" w:hAnsi="Times New Roman" w:cs="Times New Roman"/>
                <w:color w:val="auto"/>
                <w:sz w:val="24"/>
              </w:rPr>
              <w:t xml:space="preserve">65-69 </w:t>
            </w:r>
          </w:p>
        </w:tc>
        <w:tc>
          <w:tcPr>
            <w:tcW w:w="1134" w:type="dxa"/>
            <w:tcBorders>
              <w:top w:val="nil"/>
              <w:left w:val="single" w:sz="4" w:space="0" w:color="auto"/>
              <w:bottom w:val="nil"/>
              <w:right w:val="nil"/>
            </w:tcBorders>
            <w:vAlign w:val="center"/>
          </w:tcPr>
          <w:p w14:paraId="42E4698F" w14:textId="77777777" w:rsidR="00731038" w:rsidRPr="0032536A" w:rsidRDefault="00731038" w:rsidP="008A1035">
            <w:pPr>
              <w:spacing w:after="0" w:line="240" w:lineRule="auto"/>
              <w:ind w:left="0" w:right="0" w:firstLine="0"/>
              <w:jc w:val="right"/>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48.440</w:t>
            </w:r>
          </w:p>
        </w:tc>
        <w:tc>
          <w:tcPr>
            <w:tcW w:w="1134" w:type="dxa"/>
            <w:tcBorders>
              <w:top w:val="nil"/>
              <w:left w:val="nil"/>
              <w:bottom w:val="nil"/>
              <w:right w:val="nil"/>
            </w:tcBorders>
            <w:vAlign w:val="center"/>
          </w:tcPr>
          <w:p w14:paraId="4FB27D6C"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20.801</w:t>
            </w:r>
          </w:p>
        </w:tc>
        <w:tc>
          <w:tcPr>
            <w:tcW w:w="1134" w:type="dxa"/>
            <w:tcBorders>
              <w:top w:val="nil"/>
              <w:left w:val="nil"/>
              <w:bottom w:val="nil"/>
              <w:right w:val="single" w:sz="4" w:space="0" w:color="auto"/>
            </w:tcBorders>
            <w:vAlign w:val="center"/>
          </w:tcPr>
          <w:p w14:paraId="0D827659"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27.639</w:t>
            </w:r>
          </w:p>
        </w:tc>
        <w:tc>
          <w:tcPr>
            <w:tcW w:w="1134" w:type="dxa"/>
            <w:tcBorders>
              <w:top w:val="nil"/>
              <w:left w:val="single" w:sz="4" w:space="0" w:color="auto"/>
              <w:bottom w:val="nil"/>
              <w:right w:val="nil"/>
            </w:tcBorders>
            <w:vAlign w:val="center"/>
          </w:tcPr>
          <w:p w14:paraId="6102ED33"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6,2</w:t>
            </w:r>
          </w:p>
        </w:tc>
        <w:tc>
          <w:tcPr>
            <w:tcW w:w="1134" w:type="dxa"/>
            <w:tcBorders>
              <w:top w:val="nil"/>
              <w:left w:val="nil"/>
              <w:bottom w:val="nil"/>
              <w:right w:val="nil"/>
            </w:tcBorders>
            <w:vAlign w:val="center"/>
          </w:tcPr>
          <w:p w14:paraId="4852B88F"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5,7</w:t>
            </w:r>
          </w:p>
        </w:tc>
        <w:tc>
          <w:tcPr>
            <w:tcW w:w="1134" w:type="dxa"/>
            <w:tcBorders>
              <w:top w:val="nil"/>
              <w:left w:val="nil"/>
              <w:bottom w:val="nil"/>
              <w:right w:val="single" w:sz="4" w:space="0" w:color="auto"/>
            </w:tcBorders>
            <w:vAlign w:val="center"/>
          </w:tcPr>
          <w:p w14:paraId="287F2988" w14:textId="77777777" w:rsidR="00731038" w:rsidRPr="0032536A" w:rsidRDefault="00731038" w:rsidP="008A1035">
            <w:pPr>
              <w:spacing w:after="0" w:line="240" w:lineRule="auto"/>
              <w:ind w:left="0" w:right="0" w:firstLine="0"/>
              <w:jc w:val="center"/>
              <w:rPr>
                <w:rFonts w:ascii="Times New Roman" w:hAnsi="Times New Roman" w:cs="Times New Roman"/>
                <w:color w:val="auto"/>
                <w:sz w:val="24"/>
              </w:rPr>
            </w:pPr>
            <w:r w:rsidRPr="0032536A">
              <w:rPr>
                <w:rFonts w:ascii="Times New Roman" w:eastAsia="Times New Roman" w:hAnsi="Times New Roman" w:cs="Times New Roman"/>
                <w:color w:val="auto"/>
                <w:sz w:val="24"/>
              </w:rPr>
              <w:t>6,7</w:t>
            </w:r>
          </w:p>
        </w:tc>
      </w:tr>
      <w:tr w:rsidR="00731038" w:rsidRPr="00731038" w14:paraId="124D9C8C" w14:textId="77777777" w:rsidTr="008A1035">
        <w:tc>
          <w:tcPr>
            <w:tcW w:w="2268" w:type="dxa"/>
            <w:tcBorders>
              <w:top w:val="nil"/>
              <w:left w:val="single" w:sz="4" w:space="0" w:color="auto"/>
              <w:bottom w:val="nil"/>
              <w:right w:val="single" w:sz="4" w:space="0" w:color="auto"/>
            </w:tcBorders>
            <w:vAlign w:val="center"/>
          </w:tcPr>
          <w:p w14:paraId="25946A43" w14:textId="77777777" w:rsidR="00731038" w:rsidRPr="0032536A" w:rsidRDefault="00731038" w:rsidP="008A1035">
            <w:pPr>
              <w:spacing w:after="0" w:line="240" w:lineRule="auto"/>
              <w:ind w:left="323" w:right="0" w:firstLine="0"/>
              <w:jc w:val="left"/>
              <w:rPr>
                <w:rFonts w:ascii="Times New Roman" w:hAnsi="Times New Roman" w:cs="Times New Roman"/>
                <w:color w:val="auto"/>
                <w:sz w:val="24"/>
              </w:rPr>
            </w:pPr>
            <w:r w:rsidRPr="0032536A">
              <w:rPr>
                <w:rFonts w:ascii="Times New Roman" w:eastAsia="Times New Roman" w:hAnsi="Times New Roman" w:cs="Times New Roman"/>
                <w:color w:val="auto"/>
                <w:sz w:val="24"/>
              </w:rPr>
              <w:t xml:space="preserve">70-74 </w:t>
            </w:r>
          </w:p>
        </w:tc>
        <w:tc>
          <w:tcPr>
            <w:tcW w:w="1134" w:type="dxa"/>
            <w:tcBorders>
              <w:top w:val="nil"/>
              <w:left w:val="single" w:sz="4" w:space="0" w:color="auto"/>
              <w:bottom w:val="nil"/>
              <w:right w:val="nil"/>
            </w:tcBorders>
            <w:vAlign w:val="center"/>
          </w:tcPr>
          <w:p w14:paraId="49BD64E8" w14:textId="77777777" w:rsidR="00731038" w:rsidRPr="0032536A" w:rsidRDefault="00731038" w:rsidP="008A1035">
            <w:pPr>
              <w:spacing w:after="0" w:line="240" w:lineRule="auto"/>
              <w:ind w:left="0" w:right="0" w:firstLine="0"/>
              <w:jc w:val="right"/>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40.852</w:t>
            </w:r>
          </w:p>
        </w:tc>
        <w:tc>
          <w:tcPr>
            <w:tcW w:w="1134" w:type="dxa"/>
            <w:tcBorders>
              <w:top w:val="nil"/>
              <w:left w:val="nil"/>
              <w:bottom w:val="nil"/>
              <w:right w:val="nil"/>
            </w:tcBorders>
            <w:vAlign w:val="center"/>
          </w:tcPr>
          <w:p w14:paraId="01D4E696"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16.617</w:t>
            </w:r>
          </w:p>
        </w:tc>
        <w:tc>
          <w:tcPr>
            <w:tcW w:w="1134" w:type="dxa"/>
            <w:tcBorders>
              <w:top w:val="nil"/>
              <w:left w:val="nil"/>
              <w:bottom w:val="nil"/>
              <w:right w:val="single" w:sz="4" w:space="0" w:color="auto"/>
            </w:tcBorders>
            <w:vAlign w:val="center"/>
          </w:tcPr>
          <w:p w14:paraId="5F9EB4D9"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24.235</w:t>
            </w:r>
          </w:p>
        </w:tc>
        <w:tc>
          <w:tcPr>
            <w:tcW w:w="1134" w:type="dxa"/>
            <w:tcBorders>
              <w:top w:val="nil"/>
              <w:left w:val="single" w:sz="4" w:space="0" w:color="auto"/>
              <w:bottom w:val="nil"/>
              <w:right w:val="nil"/>
            </w:tcBorders>
            <w:vAlign w:val="center"/>
          </w:tcPr>
          <w:p w14:paraId="668CD70D"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5,3</w:t>
            </w:r>
          </w:p>
        </w:tc>
        <w:tc>
          <w:tcPr>
            <w:tcW w:w="1134" w:type="dxa"/>
            <w:tcBorders>
              <w:top w:val="nil"/>
              <w:left w:val="nil"/>
              <w:bottom w:val="nil"/>
              <w:right w:val="nil"/>
            </w:tcBorders>
            <w:vAlign w:val="center"/>
          </w:tcPr>
          <w:p w14:paraId="442305FC"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4,6</w:t>
            </w:r>
          </w:p>
        </w:tc>
        <w:tc>
          <w:tcPr>
            <w:tcW w:w="1134" w:type="dxa"/>
            <w:tcBorders>
              <w:top w:val="nil"/>
              <w:left w:val="nil"/>
              <w:bottom w:val="nil"/>
              <w:right w:val="single" w:sz="4" w:space="0" w:color="auto"/>
            </w:tcBorders>
            <w:vAlign w:val="center"/>
          </w:tcPr>
          <w:p w14:paraId="0EA95C7B" w14:textId="77777777" w:rsidR="00731038" w:rsidRPr="0032536A" w:rsidRDefault="00731038" w:rsidP="008A1035">
            <w:pPr>
              <w:spacing w:after="0" w:line="240" w:lineRule="auto"/>
              <w:ind w:left="0" w:right="0" w:firstLine="0"/>
              <w:jc w:val="center"/>
              <w:rPr>
                <w:rFonts w:ascii="Times New Roman" w:hAnsi="Times New Roman" w:cs="Times New Roman"/>
                <w:color w:val="auto"/>
                <w:sz w:val="24"/>
              </w:rPr>
            </w:pPr>
            <w:r w:rsidRPr="0032536A">
              <w:rPr>
                <w:rFonts w:ascii="Times New Roman" w:eastAsia="Times New Roman" w:hAnsi="Times New Roman" w:cs="Times New Roman"/>
                <w:color w:val="auto"/>
                <w:sz w:val="24"/>
              </w:rPr>
              <w:t>5,9</w:t>
            </w:r>
          </w:p>
        </w:tc>
      </w:tr>
      <w:tr w:rsidR="00731038" w:rsidRPr="00731038" w14:paraId="663DF12C" w14:textId="77777777" w:rsidTr="008A1035">
        <w:tc>
          <w:tcPr>
            <w:tcW w:w="2268" w:type="dxa"/>
            <w:tcBorders>
              <w:top w:val="nil"/>
              <w:left w:val="single" w:sz="4" w:space="0" w:color="auto"/>
              <w:bottom w:val="nil"/>
              <w:right w:val="single" w:sz="4" w:space="0" w:color="auto"/>
            </w:tcBorders>
            <w:vAlign w:val="center"/>
          </w:tcPr>
          <w:p w14:paraId="467B73BC" w14:textId="77777777" w:rsidR="00731038" w:rsidRPr="0032536A" w:rsidRDefault="00731038" w:rsidP="008A1035">
            <w:pPr>
              <w:spacing w:after="0" w:line="240" w:lineRule="auto"/>
              <w:ind w:left="323" w:right="0" w:firstLine="0"/>
              <w:jc w:val="left"/>
              <w:rPr>
                <w:rFonts w:ascii="Times New Roman" w:hAnsi="Times New Roman" w:cs="Times New Roman"/>
                <w:color w:val="auto"/>
                <w:sz w:val="24"/>
              </w:rPr>
            </w:pPr>
            <w:r w:rsidRPr="0032536A">
              <w:rPr>
                <w:rFonts w:ascii="Times New Roman" w:eastAsia="Times New Roman" w:hAnsi="Times New Roman" w:cs="Times New Roman"/>
                <w:color w:val="auto"/>
                <w:sz w:val="24"/>
              </w:rPr>
              <w:t xml:space="preserve">75-79 </w:t>
            </w:r>
          </w:p>
        </w:tc>
        <w:tc>
          <w:tcPr>
            <w:tcW w:w="1134" w:type="dxa"/>
            <w:tcBorders>
              <w:top w:val="nil"/>
              <w:left w:val="single" w:sz="4" w:space="0" w:color="auto"/>
              <w:bottom w:val="nil"/>
              <w:right w:val="nil"/>
            </w:tcBorders>
            <w:vAlign w:val="center"/>
          </w:tcPr>
          <w:p w14:paraId="0913DB14" w14:textId="77777777" w:rsidR="00731038" w:rsidRPr="0032536A" w:rsidRDefault="00731038" w:rsidP="008A1035">
            <w:pPr>
              <w:spacing w:after="0" w:line="240" w:lineRule="auto"/>
              <w:ind w:left="0" w:right="0" w:firstLine="0"/>
              <w:jc w:val="right"/>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29.320</w:t>
            </w:r>
          </w:p>
        </w:tc>
        <w:tc>
          <w:tcPr>
            <w:tcW w:w="1134" w:type="dxa"/>
            <w:tcBorders>
              <w:top w:val="nil"/>
              <w:left w:val="nil"/>
              <w:bottom w:val="nil"/>
              <w:right w:val="nil"/>
            </w:tcBorders>
            <w:vAlign w:val="center"/>
          </w:tcPr>
          <w:p w14:paraId="59C83155"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11.027</w:t>
            </w:r>
          </w:p>
        </w:tc>
        <w:tc>
          <w:tcPr>
            <w:tcW w:w="1134" w:type="dxa"/>
            <w:tcBorders>
              <w:top w:val="nil"/>
              <w:left w:val="nil"/>
              <w:bottom w:val="nil"/>
              <w:right w:val="single" w:sz="4" w:space="0" w:color="auto"/>
            </w:tcBorders>
            <w:vAlign w:val="center"/>
          </w:tcPr>
          <w:p w14:paraId="70196404"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18.293</w:t>
            </w:r>
          </w:p>
        </w:tc>
        <w:tc>
          <w:tcPr>
            <w:tcW w:w="1134" w:type="dxa"/>
            <w:tcBorders>
              <w:top w:val="nil"/>
              <w:left w:val="single" w:sz="4" w:space="0" w:color="auto"/>
              <w:bottom w:val="nil"/>
              <w:right w:val="nil"/>
            </w:tcBorders>
            <w:vAlign w:val="center"/>
          </w:tcPr>
          <w:p w14:paraId="191EDB00"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3,8</w:t>
            </w:r>
          </w:p>
        </w:tc>
        <w:tc>
          <w:tcPr>
            <w:tcW w:w="1134" w:type="dxa"/>
            <w:tcBorders>
              <w:top w:val="nil"/>
              <w:left w:val="nil"/>
              <w:bottom w:val="nil"/>
              <w:right w:val="nil"/>
            </w:tcBorders>
            <w:vAlign w:val="center"/>
          </w:tcPr>
          <w:p w14:paraId="4FC4580E"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3,0</w:t>
            </w:r>
          </w:p>
        </w:tc>
        <w:tc>
          <w:tcPr>
            <w:tcW w:w="1134" w:type="dxa"/>
            <w:tcBorders>
              <w:top w:val="nil"/>
              <w:left w:val="nil"/>
              <w:bottom w:val="nil"/>
              <w:right w:val="single" w:sz="4" w:space="0" w:color="auto"/>
            </w:tcBorders>
            <w:vAlign w:val="center"/>
          </w:tcPr>
          <w:p w14:paraId="3A72EEBF" w14:textId="77777777" w:rsidR="00731038" w:rsidRPr="0032536A" w:rsidRDefault="00731038" w:rsidP="008A1035">
            <w:pPr>
              <w:spacing w:after="0" w:line="240" w:lineRule="auto"/>
              <w:ind w:left="0" w:right="0" w:firstLine="0"/>
              <w:jc w:val="center"/>
              <w:rPr>
                <w:rFonts w:ascii="Times New Roman" w:hAnsi="Times New Roman" w:cs="Times New Roman"/>
                <w:color w:val="auto"/>
                <w:sz w:val="24"/>
              </w:rPr>
            </w:pPr>
            <w:r w:rsidRPr="0032536A">
              <w:rPr>
                <w:rFonts w:ascii="Times New Roman" w:eastAsia="Times New Roman" w:hAnsi="Times New Roman" w:cs="Times New Roman"/>
                <w:color w:val="auto"/>
                <w:sz w:val="24"/>
              </w:rPr>
              <w:t>4,4</w:t>
            </w:r>
          </w:p>
        </w:tc>
      </w:tr>
      <w:tr w:rsidR="00731038" w:rsidRPr="00731038" w14:paraId="766F6207" w14:textId="77777777" w:rsidTr="008A1035">
        <w:tc>
          <w:tcPr>
            <w:tcW w:w="2268" w:type="dxa"/>
            <w:tcBorders>
              <w:top w:val="nil"/>
              <w:left w:val="single" w:sz="4" w:space="0" w:color="auto"/>
              <w:bottom w:val="nil"/>
              <w:right w:val="single" w:sz="4" w:space="0" w:color="auto"/>
            </w:tcBorders>
            <w:vAlign w:val="center"/>
          </w:tcPr>
          <w:p w14:paraId="715A1261" w14:textId="77777777" w:rsidR="00731038" w:rsidRPr="0032536A" w:rsidRDefault="00731038" w:rsidP="008A1035">
            <w:pPr>
              <w:spacing w:after="0" w:line="240" w:lineRule="auto"/>
              <w:ind w:left="323" w:right="0" w:firstLine="0"/>
              <w:jc w:val="left"/>
              <w:rPr>
                <w:rFonts w:ascii="Times New Roman" w:hAnsi="Times New Roman" w:cs="Times New Roman"/>
                <w:color w:val="auto"/>
                <w:sz w:val="24"/>
              </w:rPr>
            </w:pPr>
            <w:r w:rsidRPr="0032536A">
              <w:rPr>
                <w:rFonts w:ascii="Times New Roman" w:eastAsia="Times New Roman" w:hAnsi="Times New Roman" w:cs="Times New Roman"/>
                <w:color w:val="auto"/>
                <w:sz w:val="24"/>
              </w:rPr>
              <w:t xml:space="preserve">80-84 </w:t>
            </w:r>
          </w:p>
        </w:tc>
        <w:tc>
          <w:tcPr>
            <w:tcW w:w="1134" w:type="dxa"/>
            <w:tcBorders>
              <w:top w:val="nil"/>
              <w:left w:val="single" w:sz="4" w:space="0" w:color="auto"/>
              <w:bottom w:val="nil"/>
              <w:right w:val="nil"/>
            </w:tcBorders>
            <w:vAlign w:val="center"/>
          </w:tcPr>
          <w:p w14:paraId="277FF492" w14:textId="77777777" w:rsidR="00731038" w:rsidRPr="0032536A" w:rsidRDefault="00731038" w:rsidP="008A1035">
            <w:pPr>
              <w:spacing w:after="0" w:line="240" w:lineRule="auto"/>
              <w:ind w:left="0" w:right="0" w:firstLine="0"/>
              <w:jc w:val="right"/>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22.727</w:t>
            </w:r>
          </w:p>
        </w:tc>
        <w:tc>
          <w:tcPr>
            <w:tcW w:w="1134" w:type="dxa"/>
            <w:tcBorders>
              <w:top w:val="nil"/>
              <w:left w:val="nil"/>
              <w:bottom w:val="nil"/>
              <w:right w:val="nil"/>
            </w:tcBorders>
            <w:vAlign w:val="center"/>
          </w:tcPr>
          <w:p w14:paraId="72D65D14"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8.387</w:t>
            </w:r>
          </w:p>
        </w:tc>
        <w:tc>
          <w:tcPr>
            <w:tcW w:w="1134" w:type="dxa"/>
            <w:tcBorders>
              <w:top w:val="nil"/>
              <w:left w:val="nil"/>
              <w:bottom w:val="nil"/>
              <w:right w:val="single" w:sz="4" w:space="0" w:color="auto"/>
            </w:tcBorders>
            <w:vAlign w:val="center"/>
          </w:tcPr>
          <w:p w14:paraId="24BDB284"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14.340</w:t>
            </w:r>
          </w:p>
        </w:tc>
        <w:tc>
          <w:tcPr>
            <w:tcW w:w="1134" w:type="dxa"/>
            <w:tcBorders>
              <w:top w:val="nil"/>
              <w:left w:val="single" w:sz="4" w:space="0" w:color="auto"/>
              <w:bottom w:val="nil"/>
              <w:right w:val="nil"/>
            </w:tcBorders>
            <w:vAlign w:val="center"/>
          </w:tcPr>
          <w:p w14:paraId="1C763B4F"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2,9</w:t>
            </w:r>
          </w:p>
        </w:tc>
        <w:tc>
          <w:tcPr>
            <w:tcW w:w="1134" w:type="dxa"/>
            <w:tcBorders>
              <w:top w:val="nil"/>
              <w:left w:val="nil"/>
              <w:bottom w:val="nil"/>
              <w:right w:val="nil"/>
            </w:tcBorders>
            <w:vAlign w:val="center"/>
          </w:tcPr>
          <w:p w14:paraId="7ECE18DE"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2,3</w:t>
            </w:r>
          </w:p>
        </w:tc>
        <w:tc>
          <w:tcPr>
            <w:tcW w:w="1134" w:type="dxa"/>
            <w:tcBorders>
              <w:top w:val="nil"/>
              <w:left w:val="nil"/>
              <w:bottom w:val="nil"/>
              <w:right w:val="single" w:sz="4" w:space="0" w:color="auto"/>
            </w:tcBorders>
            <w:vAlign w:val="center"/>
          </w:tcPr>
          <w:p w14:paraId="439CEE51" w14:textId="77777777" w:rsidR="00731038" w:rsidRPr="0032536A" w:rsidRDefault="00731038" w:rsidP="008A1035">
            <w:pPr>
              <w:spacing w:after="0" w:line="240" w:lineRule="auto"/>
              <w:ind w:left="0" w:right="0" w:firstLine="0"/>
              <w:jc w:val="center"/>
              <w:rPr>
                <w:rFonts w:ascii="Times New Roman" w:hAnsi="Times New Roman" w:cs="Times New Roman"/>
                <w:color w:val="auto"/>
                <w:sz w:val="24"/>
              </w:rPr>
            </w:pPr>
            <w:r w:rsidRPr="0032536A">
              <w:rPr>
                <w:rFonts w:ascii="Times New Roman" w:eastAsia="Times New Roman" w:hAnsi="Times New Roman" w:cs="Times New Roman"/>
                <w:color w:val="auto"/>
                <w:sz w:val="24"/>
              </w:rPr>
              <w:t>3,4</w:t>
            </w:r>
          </w:p>
        </w:tc>
      </w:tr>
      <w:tr w:rsidR="00731038" w:rsidRPr="00731038" w14:paraId="61DD7CE4" w14:textId="77777777" w:rsidTr="008A1035">
        <w:tc>
          <w:tcPr>
            <w:tcW w:w="2268" w:type="dxa"/>
            <w:tcBorders>
              <w:top w:val="nil"/>
              <w:left w:val="single" w:sz="4" w:space="0" w:color="auto"/>
              <w:bottom w:val="nil"/>
              <w:right w:val="single" w:sz="4" w:space="0" w:color="auto"/>
            </w:tcBorders>
            <w:vAlign w:val="center"/>
          </w:tcPr>
          <w:p w14:paraId="2A10A71F" w14:textId="77777777" w:rsidR="00731038" w:rsidRPr="0032536A" w:rsidRDefault="00731038" w:rsidP="008A1035">
            <w:pPr>
              <w:spacing w:after="0" w:line="240" w:lineRule="auto"/>
              <w:ind w:left="323" w:right="0" w:firstLine="0"/>
              <w:jc w:val="left"/>
              <w:rPr>
                <w:rFonts w:ascii="Times New Roman" w:hAnsi="Times New Roman" w:cs="Times New Roman"/>
                <w:color w:val="auto"/>
                <w:sz w:val="24"/>
              </w:rPr>
            </w:pPr>
            <w:r w:rsidRPr="0032536A">
              <w:rPr>
                <w:rFonts w:ascii="Times New Roman" w:eastAsia="Times New Roman" w:hAnsi="Times New Roman" w:cs="Times New Roman"/>
                <w:color w:val="auto"/>
                <w:sz w:val="24"/>
              </w:rPr>
              <w:t>85</w:t>
            </w:r>
            <w:r w:rsidRPr="0032536A">
              <w:rPr>
                <w:color w:val="auto"/>
              </w:rPr>
              <w:t xml:space="preserve"> </w:t>
            </w:r>
            <w:r w:rsidRPr="0032536A">
              <w:rPr>
                <w:rFonts w:ascii="Times New Roman" w:eastAsia="Times New Roman" w:hAnsi="Times New Roman" w:cs="Times New Roman"/>
                <w:color w:val="auto"/>
                <w:sz w:val="24"/>
              </w:rPr>
              <w:t>i više godina</w:t>
            </w:r>
          </w:p>
        </w:tc>
        <w:tc>
          <w:tcPr>
            <w:tcW w:w="1134" w:type="dxa"/>
            <w:tcBorders>
              <w:top w:val="nil"/>
              <w:left w:val="single" w:sz="4" w:space="0" w:color="auto"/>
              <w:bottom w:val="nil"/>
              <w:right w:val="nil"/>
            </w:tcBorders>
            <w:vAlign w:val="center"/>
          </w:tcPr>
          <w:p w14:paraId="5BE81E69" w14:textId="77777777" w:rsidR="00731038" w:rsidRPr="0032536A" w:rsidRDefault="00731038" w:rsidP="008A1035">
            <w:pPr>
              <w:spacing w:after="0" w:line="240" w:lineRule="auto"/>
              <w:ind w:left="0" w:right="0" w:firstLine="0"/>
              <w:jc w:val="right"/>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17.364</w:t>
            </w:r>
          </w:p>
        </w:tc>
        <w:tc>
          <w:tcPr>
            <w:tcW w:w="1134" w:type="dxa"/>
            <w:tcBorders>
              <w:top w:val="nil"/>
              <w:left w:val="nil"/>
              <w:bottom w:val="nil"/>
              <w:right w:val="nil"/>
            </w:tcBorders>
            <w:vAlign w:val="center"/>
          </w:tcPr>
          <w:p w14:paraId="72E38D4A"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5.629</w:t>
            </w:r>
          </w:p>
        </w:tc>
        <w:tc>
          <w:tcPr>
            <w:tcW w:w="1134" w:type="dxa"/>
            <w:tcBorders>
              <w:top w:val="nil"/>
              <w:left w:val="nil"/>
              <w:bottom w:val="nil"/>
              <w:right w:val="single" w:sz="4" w:space="0" w:color="auto"/>
            </w:tcBorders>
            <w:vAlign w:val="center"/>
          </w:tcPr>
          <w:p w14:paraId="1EB04659" w14:textId="77777777" w:rsidR="00731038" w:rsidRPr="0032536A" w:rsidRDefault="00731038" w:rsidP="008A1035">
            <w:pPr>
              <w:spacing w:after="0" w:line="240" w:lineRule="auto"/>
              <w:ind w:left="0" w:right="0" w:firstLine="0"/>
              <w:jc w:val="right"/>
              <w:rPr>
                <w:rFonts w:ascii="Times New Roman" w:hAnsi="Times New Roman" w:cs="Times New Roman"/>
                <w:color w:val="auto"/>
                <w:sz w:val="24"/>
              </w:rPr>
            </w:pPr>
            <w:r w:rsidRPr="0032536A">
              <w:rPr>
                <w:rFonts w:ascii="Times New Roman" w:eastAsia="Times New Roman" w:hAnsi="Times New Roman" w:cs="Times New Roman"/>
                <w:color w:val="auto"/>
                <w:sz w:val="24"/>
              </w:rPr>
              <w:t>11.735</w:t>
            </w:r>
          </w:p>
        </w:tc>
        <w:tc>
          <w:tcPr>
            <w:tcW w:w="1134" w:type="dxa"/>
            <w:tcBorders>
              <w:top w:val="nil"/>
              <w:left w:val="single" w:sz="4" w:space="0" w:color="auto"/>
              <w:bottom w:val="nil"/>
              <w:right w:val="nil"/>
            </w:tcBorders>
            <w:vAlign w:val="center"/>
          </w:tcPr>
          <w:p w14:paraId="6B877E8D"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2,2</w:t>
            </w:r>
          </w:p>
        </w:tc>
        <w:tc>
          <w:tcPr>
            <w:tcW w:w="1134" w:type="dxa"/>
            <w:tcBorders>
              <w:top w:val="nil"/>
              <w:left w:val="nil"/>
              <w:bottom w:val="nil"/>
              <w:right w:val="nil"/>
            </w:tcBorders>
            <w:vAlign w:val="center"/>
          </w:tcPr>
          <w:p w14:paraId="480EC63B" w14:textId="77777777" w:rsidR="00731038" w:rsidRPr="0032536A" w:rsidRDefault="00731038" w:rsidP="008A1035">
            <w:pPr>
              <w:spacing w:after="0" w:line="240" w:lineRule="auto"/>
              <w:ind w:left="0" w:right="0" w:firstLine="0"/>
              <w:jc w:val="center"/>
              <w:rPr>
                <w:rFonts w:ascii="Times New Roman" w:eastAsia="Times New Roman" w:hAnsi="Times New Roman" w:cs="Times New Roman"/>
                <w:color w:val="auto"/>
                <w:sz w:val="24"/>
              </w:rPr>
            </w:pPr>
            <w:r w:rsidRPr="0032536A">
              <w:rPr>
                <w:rFonts w:ascii="Times New Roman" w:eastAsia="Times New Roman" w:hAnsi="Times New Roman" w:cs="Times New Roman"/>
                <w:color w:val="auto"/>
                <w:sz w:val="24"/>
              </w:rPr>
              <w:t>1,5</w:t>
            </w:r>
          </w:p>
        </w:tc>
        <w:tc>
          <w:tcPr>
            <w:tcW w:w="1134" w:type="dxa"/>
            <w:tcBorders>
              <w:top w:val="nil"/>
              <w:left w:val="nil"/>
              <w:bottom w:val="nil"/>
              <w:right w:val="single" w:sz="4" w:space="0" w:color="auto"/>
            </w:tcBorders>
            <w:vAlign w:val="center"/>
          </w:tcPr>
          <w:p w14:paraId="79D7AB8F" w14:textId="77777777" w:rsidR="00731038" w:rsidRPr="0032536A" w:rsidRDefault="00731038" w:rsidP="008A1035">
            <w:pPr>
              <w:spacing w:after="0" w:line="240" w:lineRule="auto"/>
              <w:ind w:left="0" w:right="0" w:firstLine="0"/>
              <w:jc w:val="center"/>
              <w:rPr>
                <w:rFonts w:ascii="Times New Roman" w:hAnsi="Times New Roman" w:cs="Times New Roman"/>
                <w:color w:val="auto"/>
                <w:sz w:val="24"/>
              </w:rPr>
            </w:pPr>
            <w:r w:rsidRPr="0032536A">
              <w:rPr>
                <w:rFonts w:ascii="Times New Roman" w:eastAsia="Times New Roman" w:hAnsi="Times New Roman" w:cs="Times New Roman"/>
                <w:color w:val="auto"/>
                <w:sz w:val="24"/>
              </w:rPr>
              <w:t>2,8</w:t>
            </w:r>
          </w:p>
        </w:tc>
      </w:tr>
      <w:tr w:rsidR="00731038" w:rsidRPr="00731038" w14:paraId="576D28F6" w14:textId="77777777" w:rsidTr="00D72DDB">
        <w:trPr>
          <w:trHeight w:val="247"/>
        </w:trPr>
        <w:tc>
          <w:tcPr>
            <w:tcW w:w="9072" w:type="dxa"/>
            <w:gridSpan w:val="7"/>
            <w:tcBorders>
              <w:top w:val="nil"/>
              <w:left w:val="single" w:sz="4" w:space="0" w:color="auto"/>
              <w:bottom w:val="single" w:sz="4" w:space="0" w:color="auto"/>
              <w:right w:val="single" w:sz="4" w:space="0" w:color="auto"/>
            </w:tcBorders>
            <w:vAlign w:val="bottom"/>
          </w:tcPr>
          <w:p w14:paraId="090D1F0F" w14:textId="64EA037C" w:rsidR="00731038" w:rsidRPr="0032536A" w:rsidRDefault="00731038" w:rsidP="008A1035">
            <w:pPr>
              <w:spacing w:after="0" w:line="240" w:lineRule="auto"/>
              <w:ind w:left="0" w:right="0" w:firstLine="0"/>
              <w:jc w:val="left"/>
              <w:rPr>
                <w:rFonts w:ascii="Times New Roman" w:hAnsi="Times New Roman" w:cs="Times New Roman"/>
                <w:strike/>
                <w:color w:val="auto"/>
                <w:sz w:val="24"/>
              </w:rPr>
            </w:pPr>
            <w:r w:rsidRPr="0032536A">
              <w:rPr>
                <w:rFonts w:ascii="Times New Roman" w:eastAsia="Times New Roman" w:hAnsi="Times New Roman" w:cs="Times New Roman"/>
                <w:strike/>
                <w:color w:val="auto"/>
                <w:sz w:val="24"/>
              </w:rPr>
              <w:t xml:space="preserve"> </w:t>
            </w:r>
          </w:p>
        </w:tc>
      </w:tr>
    </w:tbl>
    <w:p w14:paraId="11C94D25" w14:textId="77777777" w:rsidR="00731038" w:rsidRPr="0032536A" w:rsidRDefault="00731038" w:rsidP="00731038">
      <w:pPr>
        <w:spacing w:after="0" w:line="240" w:lineRule="auto"/>
        <w:ind w:left="0" w:right="0" w:firstLine="0"/>
        <w:jc w:val="center"/>
        <w:rPr>
          <w:rFonts w:ascii="Times New Roman" w:eastAsia="Calibri" w:hAnsi="Times New Roman" w:cs="Times New Roman"/>
          <w:i/>
          <w:color w:val="auto"/>
          <w:sz w:val="20"/>
          <w:szCs w:val="20"/>
        </w:rPr>
      </w:pPr>
      <w:r w:rsidRPr="0032536A">
        <w:rPr>
          <w:rFonts w:ascii="Times New Roman" w:eastAsia="Calibri" w:hAnsi="Times New Roman" w:cs="Times New Roman"/>
          <w:i/>
          <w:color w:val="auto"/>
          <w:sz w:val="20"/>
          <w:szCs w:val="20"/>
        </w:rPr>
        <w:t>Izvor: Državni zavod za statistiku, popis stanovništva Republike Hrvatske 2021.</w:t>
      </w:r>
    </w:p>
    <w:p w14:paraId="33964CA3" w14:textId="77777777" w:rsidR="00DB63A4" w:rsidRPr="00362B2A" w:rsidRDefault="00DB63A4" w:rsidP="005142C4">
      <w:pPr>
        <w:spacing w:after="0" w:line="240" w:lineRule="auto"/>
        <w:ind w:left="0" w:right="0" w:firstLine="0"/>
        <w:rPr>
          <w:rFonts w:ascii="Times New Roman" w:hAnsi="Times New Roman" w:cs="Times New Roman"/>
          <w:color w:val="FF0000"/>
          <w:sz w:val="24"/>
        </w:rPr>
      </w:pPr>
    </w:p>
    <w:p w14:paraId="69E70489" w14:textId="40CAA3AB" w:rsidR="003E546E" w:rsidRPr="00731038" w:rsidRDefault="00900184" w:rsidP="007406E6">
      <w:pPr>
        <w:spacing w:after="0" w:line="240" w:lineRule="auto"/>
        <w:ind w:left="0" w:right="0" w:firstLine="709"/>
        <w:rPr>
          <w:rFonts w:ascii="Times New Roman" w:hAnsi="Times New Roman" w:cs="Times New Roman"/>
          <w:color w:val="auto"/>
          <w:sz w:val="24"/>
        </w:rPr>
      </w:pPr>
      <w:r w:rsidRPr="00731038">
        <w:rPr>
          <w:rFonts w:ascii="Times New Roman" w:hAnsi="Times New Roman" w:cs="Times New Roman"/>
          <w:color w:val="auto"/>
          <w:sz w:val="24"/>
        </w:rPr>
        <w:t>U 20</w:t>
      </w:r>
      <w:r w:rsidR="00776803" w:rsidRPr="00731038">
        <w:rPr>
          <w:rFonts w:ascii="Times New Roman" w:hAnsi="Times New Roman" w:cs="Times New Roman"/>
          <w:color w:val="auto"/>
          <w:sz w:val="24"/>
        </w:rPr>
        <w:t>20</w:t>
      </w:r>
      <w:r w:rsidRPr="00731038">
        <w:rPr>
          <w:rFonts w:ascii="Times New Roman" w:hAnsi="Times New Roman" w:cs="Times New Roman"/>
          <w:color w:val="auto"/>
          <w:sz w:val="24"/>
        </w:rPr>
        <w:t xml:space="preserve">. u Gradu Zagrebu bilo </w:t>
      </w:r>
      <w:r w:rsidR="0051440D" w:rsidRPr="00731038">
        <w:rPr>
          <w:rFonts w:ascii="Times New Roman" w:hAnsi="Times New Roman" w:cs="Times New Roman"/>
          <w:color w:val="auto"/>
          <w:sz w:val="24"/>
        </w:rPr>
        <w:t xml:space="preserve">je </w:t>
      </w:r>
      <w:r w:rsidRPr="00731038">
        <w:rPr>
          <w:rFonts w:ascii="Times New Roman" w:hAnsi="Times New Roman" w:cs="Times New Roman"/>
          <w:color w:val="auto"/>
          <w:sz w:val="24"/>
        </w:rPr>
        <w:t xml:space="preserve">ukupno </w:t>
      </w:r>
      <w:r w:rsidR="00776803" w:rsidRPr="00731038">
        <w:rPr>
          <w:rFonts w:ascii="Times New Roman" w:hAnsi="Times New Roman" w:cs="Times New Roman"/>
          <w:color w:val="auto"/>
          <w:sz w:val="24"/>
        </w:rPr>
        <w:t>7 865</w:t>
      </w:r>
      <w:r w:rsidRPr="00731038">
        <w:rPr>
          <w:rFonts w:ascii="Times New Roman" w:hAnsi="Times New Roman" w:cs="Times New Roman"/>
          <w:color w:val="auto"/>
          <w:sz w:val="24"/>
        </w:rPr>
        <w:t xml:space="preserve"> </w:t>
      </w:r>
      <w:r w:rsidR="00472D1A" w:rsidRPr="00731038">
        <w:rPr>
          <w:rFonts w:ascii="Times New Roman" w:hAnsi="Times New Roman" w:cs="Times New Roman"/>
          <w:color w:val="auto"/>
          <w:sz w:val="24"/>
        </w:rPr>
        <w:t>živo</w:t>
      </w:r>
      <w:r w:rsidRPr="00731038">
        <w:rPr>
          <w:rFonts w:ascii="Times New Roman" w:hAnsi="Times New Roman" w:cs="Times New Roman"/>
          <w:color w:val="auto"/>
          <w:sz w:val="24"/>
        </w:rPr>
        <w:t xml:space="preserve">rođenih, dok je umrlih bilo </w:t>
      </w:r>
      <w:r w:rsidR="00776803" w:rsidRPr="00731038">
        <w:rPr>
          <w:rFonts w:ascii="Times New Roman" w:hAnsi="Times New Roman" w:cs="Times New Roman"/>
          <w:color w:val="auto"/>
          <w:sz w:val="24"/>
        </w:rPr>
        <w:t>9 938</w:t>
      </w:r>
      <w:r w:rsidRPr="00731038">
        <w:rPr>
          <w:rFonts w:ascii="Times New Roman" w:hAnsi="Times New Roman" w:cs="Times New Roman"/>
          <w:color w:val="auto"/>
          <w:sz w:val="24"/>
        </w:rPr>
        <w:t xml:space="preserve">. </w:t>
      </w:r>
      <w:r w:rsidR="00776803" w:rsidRPr="00731038">
        <w:rPr>
          <w:rFonts w:ascii="Times New Roman" w:hAnsi="Times New Roman" w:cs="Times New Roman"/>
          <w:color w:val="auto"/>
          <w:sz w:val="24"/>
        </w:rPr>
        <w:t>Grad Zagreb</w:t>
      </w:r>
      <w:r w:rsidRPr="00731038">
        <w:rPr>
          <w:rFonts w:ascii="Times New Roman" w:hAnsi="Times New Roman" w:cs="Times New Roman"/>
          <w:color w:val="auto"/>
          <w:sz w:val="24"/>
        </w:rPr>
        <w:t xml:space="preserve"> bilježi negativan prirodni prirast u 20</w:t>
      </w:r>
      <w:r w:rsidR="00776803" w:rsidRPr="00731038">
        <w:rPr>
          <w:rFonts w:ascii="Times New Roman" w:hAnsi="Times New Roman" w:cs="Times New Roman"/>
          <w:color w:val="auto"/>
          <w:sz w:val="24"/>
        </w:rPr>
        <w:t>20</w:t>
      </w:r>
      <w:r w:rsidRPr="00731038">
        <w:rPr>
          <w:rFonts w:ascii="Times New Roman" w:hAnsi="Times New Roman" w:cs="Times New Roman"/>
          <w:color w:val="auto"/>
          <w:sz w:val="24"/>
        </w:rPr>
        <w:t>.</w:t>
      </w:r>
      <w:r w:rsidR="00E16674">
        <w:rPr>
          <w:rFonts w:ascii="Times New Roman" w:hAnsi="Times New Roman" w:cs="Times New Roman"/>
          <w:color w:val="auto"/>
          <w:sz w:val="24"/>
        </w:rPr>
        <w:t>,</w:t>
      </w:r>
      <w:r w:rsidRPr="00731038">
        <w:rPr>
          <w:rFonts w:ascii="Times New Roman" w:hAnsi="Times New Roman" w:cs="Times New Roman"/>
          <w:color w:val="auto"/>
          <w:sz w:val="24"/>
        </w:rPr>
        <w:t xml:space="preserve"> te</w:t>
      </w:r>
      <w:r w:rsidR="00776803" w:rsidRPr="00731038">
        <w:rPr>
          <w:rFonts w:ascii="Times New Roman" w:hAnsi="Times New Roman" w:cs="Times New Roman"/>
          <w:color w:val="auto"/>
          <w:sz w:val="24"/>
        </w:rPr>
        <w:t xml:space="preserve"> on</w:t>
      </w:r>
      <w:r w:rsidRPr="00731038">
        <w:rPr>
          <w:rFonts w:ascii="Times New Roman" w:hAnsi="Times New Roman" w:cs="Times New Roman"/>
          <w:color w:val="auto"/>
          <w:sz w:val="24"/>
        </w:rPr>
        <w:t xml:space="preserve"> iznosi </w:t>
      </w:r>
      <w:r w:rsidR="00EE6A22" w:rsidRPr="00731038">
        <w:rPr>
          <w:rFonts w:ascii="Times New Roman" w:hAnsi="Times New Roman" w:cs="Times New Roman"/>
          <w:color w:val="auto"/>
          <w:sz w:val="24"/>
        </w:rPr>
        <w:t>-</w:t>
      </w:r>
      <w:r w:rsidR="00776803" w:rsidRPr="00731038">
        <w:rPr>
          <w:rFonts w:ascii="Times New Roman" w:hAnsi="Times New Roman" w:cs="Times New Roman"/>
          <w:color w:val="auto"/>
          <w:sz w:val="24"/>
        </w:rPr>
        <w:t>2 073</w:t>
      </w:r>
      <w:r w:rsidRPr="00731038">
        <w:rPr>
          <w:rFonts w:ascii="Times New Roman" w:hAnsi="Times New Roman" w:cs="Times New Roman"/>
          <w:color w:val="auto"/>
          <w:sz w:val="24"/>
        </w:rPr>
        <w:t xml:space="preserve">. Stopa umrle </w:t>
      </w:r>
      <w:r w:rsidRPr="00731038">
        <w:rPr>
          <w:rFonts w:ascii="Times New Roman" w:hAnsi="Times New Roman" w:cs="Times New Roman"/>
          <w:color w:val="auto"/>
          <w:sz w:val="24"/>
        </w:rPr>
        <w:lastRenderedPageBreak/>
        <w:t>dojenčadi (umrla dojenčad na 1 000 živorođenih) 20</w:t>
      </w:r>
      <w:r w:rsidR="00776803" w:rsidRPr="00731038">
        <w:rPr>
          <w:rFonts w:ascii="Times New Roman" w:hAnsi="Times New Roman" w:cs="Times New Roman"/>
          <w:color w:val="auto"/>
          <w:sz w:val="24"/>
        </w:rPr>
        <w:t>20</w:t>
      </w:r>
      <w:r w:rsidRPr="00731038">
        <w:rPr>
          <w:rFonts w:ascii="Times New Roman" w:hAnsi="Times New Roman" w:cs="Times New Roman"/>
          <w:color w:val="auto"/>
          <w:sz w:val="24"/>
        </w:rPr>
        <w:t xml:space="preserve">. iznosila </w:t>
      </w:r>
      <w:r w:rsidR="00776803" w:rsidRPr="00731038">
        <w:rPr>
          <w:rFonts w:ascii="Times New Roman" w:hAnsi="Times New Roman" w:cs="Times New Roman"/>
          <w:color w:val="auto"/>
          <w:sz w:val="24"/>
        </w:rPr>
        <w:t>je 2,8</w:t>
      </w:r>
      <w:r w:rsidRPr="00731038">
        <w:rPr>
          <w:rFonts w:ascii="Times New Roman" w:hAnsi="Times New Roman" w:cs="Times New Roman"/>
          <w:color w:val="auto"/>
          <w:sz w:val="24"/>
        </w:rPr>
        <w:t xml:space="preserve"> te je postala nepovoljnija u odnosu na prethodnu godinu kada je iznosila </w:t>
      </w:r>
      <w:r w:rsidR="00776803" w:rsidRPr="00731038">
        <w:rPr>
          <w:rFonts w:ascii="Times New Roman" w:hAnsi="Times New Roman" w:cs="Times New Roman"/>
          <w:color w:val="auto"/>
          <w:sz w:val="24"/>
        </w:rPr>
        <w:t>2,7</w:t>
      </w:r>
      <w:r w:rsidRPr="00731038">
        <w:rPr>
          <w:rFonts w:ascii="Times New Roman" w:hAnsi="Times New Roman" w:cs="Times New Roman"/>
          <w:color w:val="auto"/>
          <w:sz w:val="24"/>
        </w:rPr>
        <w:t>. Međutim, stopa umrle dojenčadi u Gradu Zagrebu povoljnija je od stope Hrvatske (4,</w:t>
      </w:r>
      <w:r w:rsidR="00776803" w:rsidRPr="00731038">
        <w:rPr>
          <w:rFonts w:ascii="Times New Roman" w:hAnsi="Times New Roman" w:cs="Times New Roman"/>
          <w:color w:val="auto"/>
          <w:sz w:val="24"/>
        </w:rPr>
        <w:t>0</w:t>
      </w:r>
      <w:r w:rsidRPr="00731038">
        <w:rPr>
          <w:rFonts w:ascii="Times New Roman" w:hAnsi="Times New Roman" w:cs="Times New Roman"/>
          <w:color w:val="auto"/>
          <w:sz w:val="24"/>
        </w:rPr>
        <w:t>). Vitalni indeks Grada Zagreba u 20</w:t>
      </w:r>
      <w:r w:rsidR="00776803" w:rsidRPr="00731038">
        <w:rPr>
          <w:rFonts w:ascii="Times New Roman" w:hAnsi="Times New Roman" w:cs="Times New Roman"/>
          <w:color w:val="auto"/>
          <w:sz w:val="24"/>
        </w:rPr>
        <w:t>20</w:t>
      </w:r>
      <w:r w:rsidRPr="00731038">
        <w:rPr>
          <w:rFonts w:ascii="Times New Roman" w:hAnsi="Times New Roman" w:cs="Times New Roman"/>
          <w:color w:val="auto"/>
          <w:sz w:val="24"/>
        </w:rPr>
        <w:t xml:space="preserve">. iznosi </w:t>
      </w:r>
      <w:r w:rsidR="00776803" w:rsidRPr="00731038">
        <w:rPr>
          <w:rFonts w:ascii="Times New Roman" w:hAnsi="Times New Roman" w:cs="Times New Roman"/>
          <w:color w:val="auto"/>
          <w:sz w:val="24"/>
        </w:rPr>
        <w:t>79,1</w:t>
      </w:r>
      <w:r w:rsidRPr="00731038">
        <w:rPr>
          <w:rFonts w:ascii="Times New Roman" w:hAnsi="Times New Roman" w:cs="Times New Roman"/>
          <w:color w:val="auto"/>
          <w:sz w:val="24"/>
        </w:rPr>
        <w:t>.</w:t>
      </w:r>
      <w:r w:rsidR="006C49C3" w:rsidRPr="00731038">
        <w:rPr>
          <w:rFonts w:ascii="Times New Roman" w:hAnsi="Times New Roman" w:cs="Times New Roman"/>
          <w:color w:val="auto"/>
          <w:sz w:val="24"/>
        </w:rPr>
        <w:t xml:space="preserve"> </w:t>
      </w:r>
      <w:r w:rsidRPr="00731038">
        <w:rPr>
          <w:rFonts w:ascii="Times New Roman" w:hAnsi="Times New Roman" w:cs="Times New Roman"/>
          <w:b/>
          <w:color w:val="auto"/>
          <w:sz w:val="24"/>
        </w:rPr>
        <w:t xml:space="preserve">Pogledamo li vitalnu statistiku </w:t>
      </w:r>
      <w:r w:rsidR="007406E6" w:rsidRPr="00731038">
        <w:rPr>
          <w:rFonts w:ascii="Times New Roman" w:hAnsi="Times New Roman" w:cs="Times New Roman"/>
          <w:b/>
          <w:color w:val="auto"/>
          <w:sz w:val="24"/>
        </w:rPr>
        <w:t xml:space="preserve">Grada </w:t>
      </w:r>
      <w:r w:rsidRPr="00731038">
        <w:rPr>
          <w:rFonts w:ascii="Times New Roman" w:hAnsi="Times New Roman" w:cs="Times New Roman"/>
          <w:b/>
          <w:color w:val="auto"/>
          <w:sz w:val="24"/>
        </w:rPr>
        <w:t xml:space="preserve">po četvrtima, zamjetno je kako je situacija nepovoljna u </w:t>
      </w:r>
      <w:r w:rsidR="00BE4744" w:rsidRPr="00731038">
        <w:rPr>
          <w:rFonts w:ascii="Times New Roman" w:hAnsi="Times New Roman" w:cs="Times New Roman"/>
          <w:b/>
          <w:color w:val="auto"/>
          <w:sz w:val="24"/>
        </w:rPr>
        <w:t xml:space="preserve">četrnaest gradskih </w:t>
      </w:r>
      <w:r w:rsidRPr="00731038">
        <w:rPr>
          <w:rFonts w:ascii="Times New Roman" w:hAnsi="Times New Roman" w:cs="Times New Roman"/>
          <w:b/>
          <w:color w:val="auto"/>
          <w:sz w:val="24"/>
        </w:rPr>
        <w:t>četvrti</w:t>
      </w:r>
      <w:r w:rsidR="00F9535F" w:rsidRPr="00731038">
        <w:rPr>
          <w:rFonts w:ascii="Times New Roman" w:hAnsi="Times New Roman" w:cs="Times New Roman"/>
          <w:b/>
          <w:color w:val="auto"/>
          <w:sz w:val="24"/>
        </w:rPr>
        <w:t xml:space="preserve"> od kojih je najnepovoljnije u gradskim četvrtima</w:t>
      </w:r>
      <w:r w:rsidRPr="00731038">
        <w:rPr>
          <w:rFonts w:ascii="Times New Roman" w:hAnsi="Times New Roman" w:cs="Times New Roman"/>
          <w:b/>
          <w:color w:val="auto"/>
          <w:sz w:val="24"/>
        </w:rPr>
        <w:t xml:space="preserve"> Novi Zagreb</w:t>
      </w:r>
      <w:r w:rsidR="007406E6" w:rsidRPr="00731038">
        <w:rPr>
          <w:rFonts w:ascii="Times New Roman" w:hAnsi="Times New Roman" w:cs="Times New Roman"/>
          <w:b/>
          <w:color w:val="auto"/>
          <w:sz w:val="24"/>
        </w:rPr>
        <w:t xml:space="preserve"> </w:t>
      </w:r>
      <w:r w:rsidR="00717778" w:rsidRPr="00731038">
        <w:rPr>
          <w:rFonts w:ascii="Times New Roman" w:hAnsi="Times New Roman" w:cs="Times New Roman"/>
          <w:b/>
          <w:color w:val="auto"/>
          <w:sz w:val="24"/>
        </w:rPr>
        <w:t>–</w:t>
      </w:r>
      <w:r w:rsidR="007406E6" w:rsidRPr="00731038">
        <w:rPr>
          <w:rFonts w:ascii="Times New Roman" w:hAnsi="Times New Roman" w:cs="Times New Roman"/>
          <w:b/>
          <w:color w:val="auto"/>
          <w:sz w:val="24"/>
        </w:rPr>
        <w:t xml:space="preserve"> </w:t>
      </w:r>
      <w:r w:rsidRPr="00731038">
        <w:rPr>
          <w:rFonts w:ascii="Times New Roman" w:hAnsi="Times New Roman" w:cs="Times New Roman"/>
          <w:b/>
          <w:color w:val="auto"/>
          <w:sz w:val="24"/>
        </w:rPr>
        <w:t>istok</w:t>
      </w:r>
      <w:r w:rsidR="00717778" w:rsidRPr="00731038">
        <w:rPr>
          <w:rFonts w:ascii="Times New Roman" w:hAnsi="Times New Roman" w:cs="Times New Roman"/>
          <w:b/>
          <w:color w:val="auto"/>
          <w:sz w:val="24"/>
        </w:rPr>
        <w:t>,  Donji grad i Maksimir</w:t>
      </w:r>
      <w:r w:rsidRPr="00731038">
        <w:rPr>
          <w:rFonts w:ascii="Times New Roman" w:hAnsi="Times New Roman" w:cs="Times New Roman"/>
          <w:color w:val="auto"/>
          <w:sz w:val="24"/>
        </w:rPr>
        <w:t>. Najpovoljniju vitalnu statistiku bilježe</w:t>
      </w:r>
      <w:r w:rsidR="00BE4744" w:rsidRPr="00731038">
        <w:rPr>
          <w:rFonts w:ascii="Times New Roman" w:hAnsi="Times New Roman" w:cs="Times New Roman"/>
          <w:color w:val="auto"/>
          <w:sz w:val="24"/>
        </w:rPr>
        <w:t xml:space="preserve"> samo tri</w:t>
      </w:r>
      <w:r w:rsidRPr="00731038">
        <w:rPr>
          <w:rFonts w:ascii="Times New Roman" w:hAnsi="Times New Roman" w:cs="Times New Roman"/>
          <w:color w:val="auto"/>
          <w:sz w:val="24"/>
        </w:rPr>
        <w:t xml:space="preserve"> četvrti: Novi Zagreb </w:t>
      </w:r>
      <w:r w:rsidR="00EE6A22" w:rsidRPr="00731038">
        <w:rPr>
          <w:rFonts w:ascii="Times New Roman" w:hAnsi="Times New Roman" w:cs="Times New Roman"/>
          <w:color w:val="auto"/>
          <w:sz w:val="24"/>
        </w:rPr>
        <w:t>-</w:t>
      </w:r>
      <w:r w:rsidRPr="00731038">
        <w:rPr>
          <w:rFonts w:ascii="Times New Roman" w:hAnsi="Times New Roman" w:cs="Times New Roman"/>
          <w:color w:val="auto"/>
          <w:sz w:val="24"/>
        </w:rPr>
        <w:t xml:space="preserve"> zapad, </w:t>
      </w:r>
      <w:r w:rsidR="00717778" w:rsidRPr="00731038">
        <w:rPr>
          <w:rFonts w:ascii="Times New Roman" w:hAnsi="Times New Roman" w:cs="Times New Roman"/>
          <w:color w:val="auto"/>
          <w:sz w:val="24"/>
        </w:rPr>
        <w:t xml:space="preserve">Stenjevec </w:t>
      </w:r>
      <w:r w:rsidRPr="00731038">
        <w:rPr>
          <w:rFonts w:ascii="Times New Roman" w:hAnsi="Times New Roman" w:cs="Times New Roman"/>
          <w:color w:val="auto"/>
          <w:sz w:val="24"/>
        </w:rPr>
        <w:t>te Sesvete.</w:t>
      </w:r>
    </w:p>
    <w:p w14:paraId="0C430F46" w14:textId="74C0FFC6" w:rsidR="00E80136" w:rsidRDefault="00E80136" w:rsidP="0032536A">
      <w:pPr>
        <w:spacing w:after="0" w:line="240" w:lineRule="auto"/>
        <w:ind w:left="0" w:right="0" w:firstLine="709"/>
        <w:rPr>
          <w:rFonts w:ascii="Times New Roman" w:hAnsi="Times New Roman" w:cs="Times New Roman"/>
          <w:b/>
          <w:sz w:val="24"/>
        </w:rPr>
      </w:pPr>
    </w:p>
    <w:p w14:paraId="03ADB66B" w14:textId="6A783019" w:rsidR="00E40AC8" w:rsidRPr="0032536A" w:rsidRDefault="00900184" w:rsidP="00E80136">
      <w:pPr>
        <w:spacing w:after="0" w:line="240" w:lineRule="auto"/>
        <w:ind w:left="0" w:right="0" w:firstLine="0"/>
        <w:jc w:val="center"/>
        <w:rPr>
          <w:rFonts w:ascii="Times New Roman" w:hAnsi="Times New Roman" w:cs="Times New Roman"/>
          <w:b/>
          <w:color w:val="auto"/>
          <w:sz w:val="24"/>
        </w:rPr>
      </w:pPr>
      <w:r w:rsidRPr="0032536A">
        <w:rPr>
          <w:rFonts w:ascii="Times New Roman" w:hAnsi="Times New Roman" w:cs="Times New Roman"/>
          <w:b/>
          <w:color w:val="auto"/>
          <w:sz w:val="24"/>
        </w:rPr>
        <w:t xml:space="preserve">Grafikon 1. Prosječna starost stanovnika gradskih četvrti </w:t>
      </w:r>
      <w:r w:rsidR="00EE6A22" w:rsidRPr="0032536A">
        <w:rPr>
          <w:rFonts w:ascii="Times New Roman" w:hAnsi="Times New Roman" w:cs="Times New Roman"/>
          <w:b/>
          <w:color w:val="auto"/>
          <w:sz w:val="24"/>
        </w:rPr>
        <w:t>-</w:t>
      </w:r>
      <w:r w:rsidRPr="0032536A">
        <w:rPr>
          <w:rFonts w:ascii="Times New Roman" w:hAnsi="Times New Roman" w:cs="Times New Roman"/>
          <w:b/>
          <w:color w:val="auto"/>
          <w:sz w:val="24"/>
        </w:rPr>
        <w:t xml:space="preserve"> rang, Popis 2011.</w:t>
      </w:r>
    </w:p>
    <w:p w14:paraId="2334B107" w14:textId="1E55F517" w:rsidR="00E40AC8" w:rsidRPr="00362B2A" w:rsidRDefault="005A6BC2" w:rsidP="00E80136">
      <w:pPr>
        <w:spacing w:after="0" w:line="240" w:lineRule="auto"/>
        <w:ind w:left="0" w:right="0" w:firstLine="0"/>
        <w:rPr>
          <w:rFonts w:ascii="Times New Roman" w:hAnsi="Times New Roman" w:cs="Times New Roman"/>
          <w:b/>
          <w:color w:val="FF0000"/>
          <w:sz w:val="24"/>
        </w:rPr>
      </w:pPr>
      <w:r>
        <w:rPr>
          <w:noProof/>
        </w:rPr>
        <w:drawing>
          <wp:inline distT="0" distB="0" distL="0" distR="0" wp14:anchorId="4F8E6221" wp14:editId="1993D298">
            <wp:extent cx="5753100" cy="3973195"/>
            <wp:effectExtent l="0" t="0" r="0" b="8255"/>
            <wp:docPr id="4" name="Chart 4">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7781137" w14:textId="5126916D" w:rsidR="00E40AC8" w:rsidRPr="0032536A" w:rsidRDefault="00900184" w:rsidP="005142C4">
      <w:pPr>
        <w:spacing w:after="0" w:line="240" w:lineRule="auto"/>
        <w:ind w:left="0" w:right="0" w:firstLine="0"/>
        <w:jc w:val="center"/>
        <w:rPr>
          <w:rFonts w:ascii="Times New Roman" w:eastAsia="Calibri" w:hAnsi="Times New Roman" w:cs="Times New Roman"/>
          <w:i/>
          <w:color w:val="auto"/>
          <w:sz w:val="20"/>
        </w:rPr>
      </w:pPr>
      <w:r w:rsidRPr="0032536A">
        <w:rPr>
          <w:rFonts w:ascii="Times New Roman" w:eastAsia="Calibri" w:hAnsi="Times New Roman" w:cs="Times New Roman"/>
          <w:i/>
          <w:color w:val="auto"/>
          <w:sz w:val="20"/>
        </w:rPr>
        <w:t>Izvor: Statistički ljetopis Grada Zagreba 20</w:t>
      </w:r>
      <w:r w:rsidR="00F36735" w:rsidRPr="0032536A">
        <w:rPr>
          <w:rFonts w:ascii="Times New Roman" w:eastAsia="Calibri" w:hAnsi="Times New Roman" w:cs="Times New Roman"/>
          <w:i/>
          <w:color w:val="auto"/>
          <w:sz w:val="20"/>
        </w:rPr>
        <w:t>2</w:t>
      </w:r>
      <w:r w:rsidR="00D2098C" w:rsidRPr="0032536A">
        <w:rPr>
          <w:rFonts w:ascii="Times New Roman" w:eastAsia="Calibri" w:hAnsi="Times New Roman" w:cs="Times New Roman"/>
          <w:i/>
          <w:color w:val="auto"/>
          <w:sz w:val="20"/>
        </w:rPr>
        <w:t>1</w:t>
      </w:r>
      <w:r w:rsidRPr="0032536A">
        <w:rPr>
          <w:rFonts w:ascii="Times New Roman" w:eastAsia="Calibri" w:hAnsi="Times New Roman" w:cs="Times New Roman"/>
          <w:i/>
          <w:color w:val="auto"/>
          <w:sz w:val="20"/>
        </w:rPr>
        <w:t xml:space="preserve">. </w:t>
      </w:r>
    </w:p>
    <w:p w14:paraId="14394340" w14:textId="77777777" w:rsidR="00E40AC8" w:rsidRPr="005142C4" w:rsidRDefault="00E40AC8" w:rsidP="005142C4">
      <w:pPr>
        <w:spacing w:after="0" w:line="240" w:lineRule="auto"/>
        <w:ind w:left="0" w:right="0" w:firstLine="0"/>
        <w:jc w:val="left"/>
        <w:rPr>
          <w:rFonts w:ascii="Times New Roman" w:hAnsi="Times New Roman" w:cs="Times New Roman"/>
          <w:sz w:val="24"/>
        </w:rPr>
      </w:pPr>
    </w:p>
    <w:p w14:paraId="73D5A0AD" w14:textId="65A23116" w:rsidR="00E40AC8" w:rsidRDefault="00900184" w:rsidP="00E80136">
      <w:pPr>
        <w:spacing w:after="0" w:line="240" w:lineRule="auto"/>
        <w:ind w:left="0" w:right="0" w:firstLine="709"/>
        <w:rPr>
          <w:rFonts w:ascii="Times New Roman" w:hAnsi="Times New Roman" w:cs="Times New Roman"/>
          <w:sz w:val="24"/>
        </w:rPr>
      </w:pPr>
      <w:r w:rsidRPr="005142C4">
        <w:rPr>
          <w:rFonts w:ascii="Times New Roman" w:hAnsi="Times New Roman" w:cs="Times New Roman"/>
          <w:b/>
          <w:sz w:val="24"/>
        </w:rPr>
        <w:t>Izazovi spolno</w:t>
      </w:r>
      <w:r w:rsidR="00EE6A22" w:rsidRPr="005142C4">
        <w:rPr>
          <w:rFonts w:ascii="Times New Roman" w:hAnsi="Times New Roman" w:cs="Times New Roman"/>
          <w:b/>
          <w:sz w:val="24"/>
        </w:rPr>
        <w:t>-</w:t>
      </w:r>
      <w:r w:rsidRPr="005142C4">
        <w:rPr>
          <w:rFonts w:ascii="Times New Roman" w:hAnsi="Times New Roman" w:cs="Times New Roman"/>
          <w:b/>
          <w:sz w:val="24"/>
        </w:rPr>
        <w:t>dobn</w:t>
      </w:r>
      <w:r w:rsidR="00EE48BB">
        <w:rPr>
          <w:rFonts w:ascii="Times New Roman" w:hAnsi="Times New Roman" w:cs="Times New Roman"/>
          <w:b/>
          <w:sz w:val="24"/>
        </w:rPr>
        <w:t>e</w:t>
      </w:r>
      <w:r w:rsidRPr="005142C4">
        <w:rPr>
          <w:rFonts w:ascii="Times New Roman" w:hAnsi="Times New Roman" w:cs="Times New Roman"/>
          <w:b/>
          <w:sz w:val="24"/>
        </w:rPr>
        <w:t xml:space="preserve"> raspodjel</w:t>
      </w:r>
      <w:r w:rsidR="00EE48BB">
        <w:rPr>
          <w:rFonts w:ascii="Times New Roman" w:hAnsi="Times New Roman" w:cs="Times New Roman"/>
          <w:b/>
          <w:sz w:val="24"/>
        </w:rPr>
        <w:t>e</w:t>
      </w:r>
      <w:r w:rsidRPr="005142C4">
        <w:rPr>
          <w:rFonts w:ascii="Times New Roman" w:hAnsi="Times New Roman" w:cs="Times New Roman"/>
          <w:b/>
          <w:sz w:val="24"/>
        </w:rPr>
        <w:t xml:space="preserve"> stanovništva odnose se na: otežano popunjavanje postrojbi civilne zaštite</w:t>
      </w:r>
      <w:r w:rsidRPr="005142C4">
        <w:rPr>
          <w:rFonts w:ascii="Times New Roman" w:hAnsi="Times New Roman" w:cs="Times New Roman"/>
          <w:sz w:val="24"/>
        </w:rPr>
        <w:t xml:space="preserve"> (porast indeksa starenja i iseljavanje mladih ljudi), te </w:t>
      </w:r>
      <w:r w:rsidRPr="005142C4">
        <w:rPr>
          <w:rFonts w:ascii="Times New Roman" w:hAnsi="Times New Roman" w:cs="Times New Roman"/>
          <w:b/>
          <w:sz w:val="24"/>
        </w:rPr>
        <w:t xml:space="preserve">veći broj starijih i teže pokretnih osoba što </w:t>
      </w:r>
      <w:r w:rsidR="007406E6">
        <w:rPr>
          <w:rFonts w:ascii="Times New Roman" w:hAnsi="Times New Roman" w:cs="Times New Roman"/>
          <w:b/>
          <w:sz w:val="24"/>
        </w:rPr>
        <w:t xml:space="preserve">je </w:t>
      </w:r>
      <w:r w:rsidRPr="005142C4">
        <w:rPr>
          <w:rFonts w:ascii="Times New Roman" w:hAnsi="Times New Roman" w:cs="Times New Roman"/>
          <w:b/>
          <w:sz w:val="24"/>
        </w:rPr>
        <w:t>prilikom evakuacije dodatan izazov</w:t>
      </w:r>
      <w:r w:rsidRPr="005142C4">
        <w:rPr>
          <w:rFonts w:ascii="Times New Roman" w:hAnsi="Times New Roman" w:cs="Times New Roman"/>
          <w:sz w:val="24"/>
        </w:rPr>
        <w:t xml:space="preserve">, posebno ako se nepokretne i teško pokretne osobe nalaze u stanovima koji su teško dostupni osobama s invaliditetom. Osim toga, prosječno najstarije stanovništvo nalazi se u </w:t>
      </w:r>
      <w:r w:rsidR="00EE48BB">
        <w:rPr>
          <w:rFonts w:ascii="Times New Roman" w:hAnsi="Times New Roman" w:cs="Times New Roman"/>
          <w:sz w:val="24"/>
        </w:rPr>
        <w:t xml:space="preserve">gradskim </w:t>
      </w:r>
      <w:r w:rsidRPr="005142C4">
        <w:rPr>
          <w:rFonts w:ascii="Times New Roman" w:hAnsi="Times New Roman" w:cs="Times New Roman"/>
          <w:sz w:val="24"/>
        </w:rPr>
        <w:t>dijelovima koji su najugroženiji u slučaju razornog potresa zbog građevina koje su glavninom potresno nedovoljno otporne zbog godina izgradnje (stara gradska jezgra).</w:t>
      </w:r>
    </w:p>
    <w:p w14:paraId="6581F00D" w14:textId="77777777" w:rsidR="00E80136" w:rsidRPr="005142C4" w:rsidRDefault="00E80136" w:rsidP="00E80136">
      <w:pPr>
        <w:spacing w:after="0" w:line="240" w:lineRule="auto"/>
        <w:ind w:right="0"/>
        <w:rPr>
          <w:rFonts w:ascii="Times New Roman" w:hAnsi="Times New Roman" w:cs="Times New Roman"/>
          <w:sz w:val="24"/>
        </w:rPr>
      </w:pPr>
    </w:p>
    <w:p w14:paraId="44E30F72" w14:textId="77777777" w:rsidR="00E40AC8" w:rsidRPr="005142C4" w:rsidRDefault="00900184" w:rsidP="005142C4">
      <w:pPr>
        <w:spacing w:after="0" w:line="240" w:lineRule="auto"/>
        <w:ind w:left="0" w:right="0" w:firstLine="709"/>
        <w:rPr>
          <w:rFonts w:ascii="Times New Roman" w:hAnsi="Times New Roman" w:cs="Times New Roman"/>
          <w:b/>
          <w:sz w:val="24"/>
        </w:rPr>
      </w:pPr>
      <w:r w:rsidRPr="005142C4">
        <w:rPr>
          <w:rFonts w:ascii="Times New Roman" w:hAnsi="Times New Roman" w:cs="Times New Roman"/>
          <w:b/>
          <w:sz w:val="24"/>
        </w:rPr>
        <w:t>2.1.6. Broj stanovnika kojima je potrebna neka vrsta pomoći pri obavljanju</w:t>
      </w:r>
      <w:bookmarkStart w:id="13" w:name="_Toc2938536"/>
      <w:r w:rsidR="00E80136">
        <w:rPr>
          <w:rFonts w:ascii="Times New Roman" w:hAnsi="Times New Roman" w:cs="Times New Roman"/>
          <w:b/>
          <w:sz w:val="24"/>
        </w:rPr>
        <w:t xml:space="preserve"> </w:t>
      </w:r>
      <w:r w:rsidRPr="005142C4">
        <w:rPr>
          <w:rFonts w:ascii="Times New Roman" w:hAnsi="Times New Roman" w:cs="Times New Roman"/>
          <w:b/>
          <w:sz w:val="24"/>
        </w:rPr>
        <w:t xml:space="preserve">svakodnevnih </w:t>
      </w:r>
      <w:bookmarkEnd w:id="13"/>
      <w:r w:rsidR="007406E6">
        <w:rPr>
          <w:rFonts w:ascii="Times New Roman" w:hAnsi="Times New Roman" w:cs="Times New Roman"/>
          <w:b/>
          <w:sz w:val="24"/>
        </w:rPr>
        <w:t>aktivnosti</w:t>
      </w:r>
    </w:p>
    <w:p w14:paraId="55D45165" w14:textId="6AE695C5" w:rsidR="00E40AC8" w:rsidRDefault="00900184" w:rsidP="00E80136">
      <w:pPr>
        <w:spacing w:after="0" w:line="240" w:lineRule="auto"/>
        <w:ind w:left="0" w:right="0" w:firstLine="709"/>
        <w:rPr>
          <w:rFonts w:ascii="Times New Roman" w:hAnsi="Times New Roman" w:cs="Times New Roman"/>
          <w:b/>
          <w:color w:val="auto"/>
          <w:sz w:val="24"/>
        </w:rPr>
      </w:pPr>
      <w:r w:rsidRPr="0032536A">
        <w:rPr>
          <w:rFonts w:ascii="Times New Roman" w:hAnsi="Times New Roman" w:cs="Times New Roman"/>
          <w:color w:val="auto"/>
          <w:sz w:val="24"/>
        </w:rPr>
        <w:t>Prema Popisu stanovništva za 2011., 14.5</w:t>
      </w:r>
      <w:r w:rsidR="00E05F09" w:rsidRPr="0032536A">
        <w:rPr>
          <w:rFonts w:ascii="Times New Roman" w:hAnsi="Times New Roman" w:cs="Times New Roman"/>
          <w:color w:val="auto"/>
          <w:sz w:val="24"/>
        </w:rPr>
        <w:t> %</w:t>
      </w:r>
      <w:r w:rsidRPr="0032536A">
        <w:rPr>
          <w:rFonts w:ascii="Times New Roman" w:hAnsi="Times New Roman" w:cs="Times New Roman"/>
          <w:color w:val="auto"/>
          <w:sz w:val="24"/>
        </w:rPr>
        <w:t xml:space="preserve"> stanovnika Grada Zagreba ima teškoće u obavljanju svakodnevnih aktivnosti. Među ovom kategorijom nešto je veći postotak žena od muškaraca, a prednjači svakako kategorija osoba u dobi iznad 70 godina (47.8</w:t>
      </w:r>
      <w:r w:rsidR="00E05F09" w:rsidRPr="0032536A">
        <w:rPr>
          <w:rFonts w:ascii="Times New Roman" w:hAnsi="Times New Roman" w:cs="Times New Roman"/>
          <w:color w:val="auto"/>
          <w:sz w:val="24"/>
        </w:rPr>
        <w:t> %</w:t>
      </w:r>
      <w:r w:rsidRPr="0032536A">
        <w:rPr>
          <w:rFonts w:ascii="Times New Roman" w:hAnsi="Times New Roman" w:cs="Times New Roman"/>
          <w:color w:val="auto"/>
          <w:sz w:val="24"/>
        </w:rPr>
        <w:t xml:space="preserve">). </w:t>
      </w:r>
      <w:r w:rsidRPr="0032536A">
        <w:rPr>
          <w:rFonts w:ascii="Times New Roman" w:hAnsi="Times New Roman" w:cs="Times New Roman"/>
          <w:b/>
          <w:color w:val="auto"/>
          <w:sz w:val="24"/>
        </w:rPr>
        <w:t xml:space="preserve">Četvrti koje bilježe najveći postotak osoba s teškoćama u obavljanju svakodnevnih aktivnosti su: Brezovica, Donja i Gornja Dubrava te Donji </w:t>
      </w:r>
      <w:r w:rsidR="007406E6" w:rsidRPr="0032536A">
        <w:rPr>
          <w:rFonts w:ascii="Times New Roman" w:hAnsi="Times New Roman" w:cs="Times New Roman"/>
          <w:b/>
          <w:color w:val="auto"/>
          <w:sz w:val="24"/>
        </w:rPr>
        <w:t>grad</w:t>
      </w:r>
      <w:r w:rsidRPr="0032536A">
        <w:rPr>
          <w:rFonts w:ascii="Times New Roman" w:hAnsi="Times New Roman" w:cs="Times New Roman"/>
          <w:b/>
          <w:color w:val="auto"/>
          <w:sz w:val="24"/>
        </w:rPr>
        <w:t>.</w:t>
      </w:r>
    </w:p>
    <w:p w14:paraId="2B0C9C35" w14:textId="77777777" w:rsidR="00E26D7F" w:rsidRPr="0032536A" w:rsidRDefault="00E26D7F" w:rsidP="00E80136">
      <w:pPr>
        <w:spacing w:after="0" w:line="240" w:lineRule="auto"/>
        <w:ind w:left="0" w:right="0" w:firstLine="709"/>
        <w:rPr>
          <w:rFonts w:ascii="Times New Roman" w:hAnsi="Times New Roman" w:cs="Times New Roman"/>
          <w:color w:val="auto"/>
          <w:sz w:val="24"/>
        </w:rPr>
      </w:pPr>
    </w:p>
    <w:p w14:paraId="4D436662" w14:textId="77777777" w:rsidR="00E40AC8" w:rsidRPr="005142C4" w:rsidRDefault="00900184" w:rsidP="00E80136">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lastRenderedPageBreak/>
        <w:t>U sljedećem grafikonu prikazano je stanovništvo na području Grada Zagreba kojem je potrebna neka vrsta pomoći pri obavljanju svakodnevnih</w:t>
      </w:r>
      <w:r w:rsidR="007406E6">
        <w:rPr>
          <w:rFonts w:ascii="Times New Roman" w:hAnsi="Times New Roman" w:cs="Times New Roman"/>
          <w:sz w:val="24"/>
        </w:rPr>
        <w:t xml:space="preserve"> aktivnosti</w:t>
      </w:r>
      <w:r w:rsidRPr="005142C4">
        <w:rPr>
          <w:rFonts w:ascii="Times New Roman" w:hAnsi="Times New Roman" w:cs="Times New Roman"/>
          <w:sz w:val="24"/>
        </w:rPr>
        <w:t>.</w:t>
      </w:r>
    </w:p>
    <w:p w14:paraId="351F1F15" w14:textId="77777777" w:rsidR="006F67F0" w:rsidRDefault="006F67F0" w:rsidP="00AC32CB">
      <w:pPr>
        <w:spacing w:after="0" w:line="240" w:lineRule="auto"/>
        <w:ind w:left="0" w:right="0" w:firstLine="0"/>
        <w:rPr>
          <w:rFonts w:ascii="Times New Roman" w:hAnsi="Times New Roman" w:cs="Times New Roman"/>
          <w:b/>
          <w:color w:val="auto"/>
          <w:sz w:val="24"/>
        </w:rPr>
      </w:pPr>
    </w:p>
    <w:p w14:paraId="39766ECB" w14:textId="05F833DC" w:rsidR="00024AD9" w:rsidRPr="00362B2A" w:rsidRDefault="00900184" w:rsidP="0032536A">
      <w:pPr>
        <w:spacing w:after="0" w:line="240" w:lineRule="auto"/>
        <w:ind w:left="0" w:right="0" w:firstLine="0"/>
        <w:jc w:val="center"/>
        <w:rPr>
          <w:rFonts w:ascii="Times New Roman" w:hAnsi="Times New Roman" w:cs="Times New Roman"/>
          <w:color w:val="FF0000"/>
          <w:sz w:val="24"/>
          <w:szCs w:val="20"/>
        </w:rPr>
      </w:pPr>
      <w:r w:rsidRPr="0032536A">
        <w:rPr>
          <w:rFonts w:ascii="Times New Roman" w:hAnsi="Times New Roman" w:cs="Times New Roman"/>
          <w:b/>
          <w:color w:val="auto"/>
          <w:sz w:val="24"/>
        </w:rPr>
        <w:t xml:space="preserve">Grafikon 2. Grad Zagreb </w:t>
      </w:r>
      <w:r w:rsidR="00EE6A22" w:rsidRPr="0032536A">
        <w:rPr>
          <w:rFonts w:ascii="Times New Roman" w:hAnsi="Times New Roman" w:cs="Times New Roman"/>
          <w:b/>
          <w:color w:val="auto"/>
          <w:sz w:val="24"/>
        </w:rPr>
        <w:t>-</w:t>
      </w:r>
      <w:r w:rsidRPr="0032536A">
        <w:rPr>
          <w:rFonts w:ascii="Times New Roman" w:hAnsi="Times New Roman" w:cs="Times New Roman"/>
          <w:b/>
          <w:color w:val="auto"/>
          <w:sz w:val="24"/>
        </w:rPr>
        <w:t xml:space="preserve"> stanovnici s teškoćama u obavljanju svakodnevnih aktivnosti prema starosti, Popis 2011.</w:t>
      </w:r>
    </w:p>
    <w:p w14:paraId="0F852F9A" w14:textId="3C4BB8B9" w:rsidR="00E654ED" w:rsidRPr="00362B2A" w:rsidRDefault="00527649" w:rsidP="00E654ED">
      <w:pPr>
        <w:spacing w:after="0" w:line="240" w:lineRule="auto"/>
        <w:ind w:left="0" w:right="0" w:firstLine="0"/>
        <w:jc w:val="center"/>
        <w:rPr>
          <w:rFonts w:ascii="Times New Roman" w:eastAsia="Calibri" w:hAnsi="Times New Roman" w:cs="Times New Roman"/>
          <w:i/>
          <w:color w:val="FF0000"/>
          <w:sz w:val="20"/>
        </w:rPr>
      </w:pPr>
      <w:r>
        <w:rPr>
          <w:noProof/>
        </w:rPr>
        <w:drawing>
          <wp:inline distT="0" distB="0" distL="0" distR="0" wp14:anchorId="7A538106" wp14:editId="08385EDC">
            <wp:extent cx="5703570" cy="2295525"/>
            <wp:effectExtent l="0" t="0" r="0" b="0"/>
            <wp:docPr id="2" name="Chart 2">
              <a:extLst xmlns:a="http://schemas.openxmlformats.org/drawingml/2006/main">
                <a:ext uri="{FF2B5EF4-FFF2-40B4-BE49-F238E27FC236}">
                  <a16:creationId xmlns:a16="http://schemas.microsoft.com/office/drawing/2014/main" id="{00000000-0008-0000-1000-0000050411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37FCFDC" w14:textId="628ED18F" w:rsidR="00E40AC8" w:rsidRPr="0032536A" w:rsidRDefault="00900184" w:rsidP="00E654ED">
      <w:pPr>
        <w:spacing w:after="0" w:line="240" w:lineRule="auto"/>
        <w:ind w:left="0" w:right="0" w:firstLine="0"/>
        <w:jc w:val="center"/>
        <w:rPr>
          <w:rFonts w:ascii="Times New Roman" w:hAnsi="Times New Roman" w:cs="Times New Roman"/>
          <w:sz w:val="24"/>
        </w:rPr>
      </w:pPr>
      <w:r w:rsidRPr="0032536A">
        <w:rPr>
          <w:rFonts w:ascii="Times New Roman" w:eastAsia="Calibri" w:hAnsi="Times New Roman" w:cs="Times New Roman"/>
          <w:i/>
          <w:color w:val="auto"/>
          <w:sz w:val="20"/>
        </w:rPr>
        <w:t>Izvor: Statistički ljetopis Grada Zagreba 20</w:t>
      </w:r>
      <w:r w:rsidR="00527649" w:rsidRPr="0032536A">
        <w:rPr>
          <w:rFonts w:ascii="Times New Roman" w:eastAsia="Calibri" w:hAnsi="Times New Roman" w:cs="Times New Roman"/>
          <w:i/>
          <w:color w:val="auto"/>
          <w:sz w:val="20"/>
        </w:rPr>
        <w:t>2</w:t>
      </w:r>
      <w:r w:rsidR="00D2098C" w:rsidRPr="0032536A">
        <w:rPr>
          <w:rFonts w:ascii="Times New Roman" w:eastAsia="Calibri" w:hAnsi="Times New Roman" w:cs="Times New Roman"/>
          <w:i/>
          <w:color w:val="auto"/>
          <w:sz w:val="20"/>
        </w:rPr>
        <w:t>1</w:t>
      </w:r>
      <w:r w:rsidRPr="0032536A">
        <w:rPr>
          <w:rFonts w:ascii="Times New Roman" w:eastAsia="Calibri" w:hAnsi="Times New Roman" w:cs="Times New Roman"/>
          <w:i/>
          <w:color w:val="auto"/>
          <w:sz w:val="20"/>
        </w:rPr>
        <w:t>.</w:t>
      </w:r>
    </w:p>
    <w:p w14:paraId="5955E524" w14:textId="77777777" w:rsidR="00E80136" w:rsidRPr="00E80136" w:rsidRDefault="00E80136" w:rsidP="005142C4">
      <w:pPr>
        <w:spacing w:after="0" w:line="240" w:lineRule="auto"/>
        <w:ind w:left="0" w:right="0" w:firstLine="0"/>
        <w:rPr>
          <w:rFonts w:ascii="Times New Roman" w:hAnsi="Times New Roman" w:cs="Times New Roman"/>
          <w:sz w:val="24"/>
        </w:rPr>
      </w:pPr>
    </w:p>
    <w:p w14:paraId="4F447516" w14:textId="0BEAD4B9" w:rsidR="00E40AC8" w:rsidRPr="00AC32CB" w:rsidRDefault="00900184" w:rsidP="009D5EFE">
      <w:pPr>
        <w:spacing w:line="240" w:lineRule="auto"/>
        <w:ind w:left="0" w:right="0" w:firstLine="0"/>
        <w:jc w:val="center"/>
        <w:rPr>
          <w:rFonts w:ascii="Times New Roman" w:hAnsi="Times New Roman" w:cs="Times New Roman"/>
          <w:b/>
          <w:color w:val="auto"/>
          <w:sz w:val="24"/>
        </w:rPr>
      </w:pPr>
      <w:r w:rsidRPr="00AC32CB">
        <w:rPr>
          <w:rFonts w:ascii="Times New Roman" w:hAnsi="Times New Roman" w:cs="Times New Roman"/>
          <w:b/>
          <w:color w:val="auto"/>
          <w:sz w:val="24"/>
        </w:rPr>
        <w:t xml:space="preserve">Tablica 2. </w:t>
      </w:r>
      <w:r w:rsidR="008236E0" w:rsidRPr="00AC32CB">
        <w:rPr>
          <w:rFonts w:ascii="Times New Roman" w:hAnsi="Times New Roman" w:cs="Times New Roman"/>
          <w:b/>
          <w:color w:val="auto"/>
          <w:sz w:val="24"/>
        </w:rPr>
        <w:t>Stanovništvo s teškoćama u obavljanju svakodnevnih aktivnosti prema potrebi za pomoći druge osobe, korištenju pomoći druge osobe i spolu, Popis 2011.</w:t>
      </w:r>
    </w:p>
    <w:p w14:paraId="698075D7" w14:textId="7C28044D" w:rsidR="00E40AC8" w:rsidRPr="00362B2A" w:rsidRDefault="008236E0" w:rsidP="005142C4">
      <w:pPr>
        <w:spacing w:after="0" w:line="240" w:lineRule="auto"/>
        <w:ind w:left="0" w:right="0" w:firstLine="0"/>
        <w:jc w:val="right"/>
        <w:rPr>
          <w:rFonts w:ascii="Times New Roman" w:hAnsi="Times New Roman" w:cs="Times New Roman"/>
          <w:color w:val="FF0000"/>
          <w:sz w:val="24"/>
        </w:rPr>
      </w:pPr>
      <w:r w:rsidRPr="008236E0">
        <w:rPr>
          <w:noProof/>
        </w:rPr>
        <w:drawing>
          <wp:inline distT="0" distB="0" distL="0" distR="0" wp14:anchorId="5DE73AD2" wp14:editId="79C9B7C7">
            <wp:extent cx="5760720" cy="165544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t="22687"/>
                    <a:stretch/>
                  </pic:blipFill>
                  <pic:spPr bwMode="auto">
                    <a:xfrm>
                      <a:off x="0" y="0"/>
                      <a:ext cx="5760720" cy="1655445"/>
                    </a:xfrm>
                    <a:prstGeom prst="rect">
                      <a:avLst/>
                    </a:prstGeom>
                    <a:noFill/>
                    <a:ln>
                      <a:noFill/>
                    </a:ln>
                    <a:extLst>
                      <a:ext uri="{53640926-AAD7-44D8-BBD7-CCE9431645EC}">
                        <a14:shadowObscured xmlns:a14="http://schemas.microsoft.com/office/drawing/2010/main"/>
                      </a:ext>
                    </a:extLst>
                  </pic:spPr>
                </pic:pic>
              </a:graphicData>
            </a:graphic>
          </wp:inline>
        </w:drawing>
      </w:r>
    </w:p>
    <w:p w14:paraId="24754704" w14:textId="3F53670F" w:rsidR="00E40AC8" w:rsidRDefault="009D778B" w:rsidP="0032536A">
      <w:pPr>
        <w:spacing w:after="0" w:line="240" w:lineRule="auto"/>
        <w:ind w:left="0" w:right="0" w:firstLine="0"/>
        <w:jc w:val="center"/>
        <w:rPr>
          <w:rFonts w:ascii="Times New Roman" w:eastAsia="Calibri" w:hAnsi="Times New Roman" w:cs="Times New Roman"/>
          <w:i/>
          <w:sz w:val="20"/>
          <w:szCs w:val="20"/>
        </w:rPr>
      </w:pPr>
      <w:bookmarkStart w:id="14" w:name="_Hlk105491746"/>
      <w:r w:rsidRPr="009D778B">
        <w:rPr>
          <w:rFonts w:ascii="Times New Roman" w:eastAsia="Calibri" w:hAnsi="Times New Roman" w:cs="Times New Roman"/>
          <w:i/>
          <w:sz w:val="20"/>
          <w:szCs w:val="20"/>
        </w:rPr>
        <w:t>Izvor: Statistički ljetopis Grada Zagreba 2021.</w:t>
      </w:r>
    </w:p>
    <w:p w14:paraId="7DA57C7E" w14:textId="77777777" w:rsidR="009D778B" w:rsidRPr="009D778B" w:rsidRDefault="009D778B" w:rsidP="0032536A">
      <w:pPr>
        <w:spacing w:after="0" w:line="240" w:lineRule="auto"/>
        <w:ind w:left="0" w:right="0" w:firstLine="0"/>
        <w:jc w:val="center"/>
        <w:rPr>
          <w:rFonts w:ascii="Times New Roman" w:eastAsia="Calibri" w:hAnsi="Times New Roman" w:cs="Times New Roman"/>
          <w:i/>
          <w:sz w:val="20"/>
          <w:szCs w:val="20"/>
        </w:rPr>
      </w:pPr>
    </w:p>
    <w:p w14:paraId="395B6107" w14:textId="77777777" w:rsidR="00E26D7F" w:rsidRDefault="00E26D7F" w:rsidP="009D5EFE">
      <w:pPr>
        <w:spacing w:line="240" w:lineRule="auto"/>
        <w:ind w:left="0" w:right="0" w:firstLine="709"/>
        <w:jc w:val="center"/>
        <w:rPr>
          <w:rFonts w:ascii="Times New Roman" w:hAnsi="Times New Roman" w:cs="Times New Roman"/>
          <w:b/>
          <w:color w:val="auto"/>
          <w:sz w:val="24"/>
        </w:rPr>
      </w:pPr>
      <w:bookmarkStart w:id="15" w:name="_Toc2938537"/>
      <w:bookmarkEnd w:id="14"/>
    </w:p>
    <w:p w14:paraId="19335F90" w14:textId="3DC49380" w:rsidR="00146B29" w:rsidRPr="00AC32CB" w:rsidRDefault="008236E0" w:rsidP="009D5EFE">
      <w:pPr>
        <w:spacing w:line="240" w:lineRule="auto"/>
        <w:ind w:left="0" w:right="0" w:firstLine="709"/>
        <w:jc w:val="center"/>
        <w:rPr>
          <w:rFonts w:ascii="Times New Roman" w:hAnsi="Times New Roman" w:cs="Times New Roman"/>
          <w:b/>
          <w:color w:val="auto"/>
          <w:sz w:val="24"/>
        </w:rPr>
      </w:pPr>
      <w:r w:rsidRPr="00AC32CB">
        <w:rPr>
          <w:rFonts w:ascii="Times New Roman" w:hAnsi="Times New Roman" w:cs="Times New Roman"/>
          <w:b/>
          <w:color w:val="auto"/>
          <w:sz w:val="24"/>
        </w:rPr>
        <w:t>Tablica 3. Stanovništvo s teškoćama u obavljanju svakodnevnih aktivnosti prema fizičkoj pokretljivosti i spolu, Popis 2011.</w:t>
      </w:r>
    </w:p>
    <w:p w14:paraId="7C9DB948" w14:textId="5088FFC0" w:rsidR="003E546E" w:rsidRDefault="00146B29" w:rsidP="00D72DDB">
      <w:pPr>
        <w:spacing w:after="0" w:line="240" w:lineRule="auto"/>
        <w:ind w:right="0"/>
        <w:rPr>
          <w:rFonts w:ascii="Times New Roman" w:hAnsi="Times New Roman" w:cs="Times New Roman"/>
          <w:b/>
          <w:sz w:val="24"/>
        </w:rPr>
      </w:pPr>
      <w:r w:rsidRPr="00146B29">
        <w:rPr>
          <w:noProof/>
        </w:rPr>
        <w:drawing>
          <wp:inline distT="0" distB="0" distL="0" distR="0" wp14:anchorId="3B2658CF" wp14:editId="174B887B">
            <wp:extent cx="5695950" cy="2000250"/>
            <wp:effectExtent l="0" t="0" r="0" b="0"/>
            <wp:docPr id="27646" name="Picture 27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95950" cy="2000250"/>
                    </a:xfrm>
                    <a:prstGeom prst="rect">
                      <a:avLst/>
                    </a:prstGeom>
                    <a:noFill/>
                    <a:ln>
                      <a:noFill/>
                    </a:ln>
                  </pic:spPr>
                </pic:pic>
              </a:graphicData>
            </a:graphic>
          </wp:inline>
        </w:drawing>
      </w:r>
    </w:p>
    <w:p w14:paraId="638E2F4A" w14:textId="1E22272E" w:rsidR="009D778B" w:rsidRPr="009D778B" w:rsidRDefault="009D778B" w:rsidP="009D778B">
      <w:pPr>
        <w:spacing w:after="0" w:line="240" w:lineRule="auto"/>
        <w:ind w:left="0" w:right="0" w:firstLine="709"/>
        <w:jc w:val="center"/>
        <w:rPr>
          <w:rFonts w:ascii="Times New Roman" w:hAnsi="Times New Roman" w:cs="Times New Roman"/>
          <w:i/>
          <w:sz w:val="20"/>
          <w:szCs w:val="20"/>
        </w:rPr>
      </w:pPr>
      <w:r w:rsidRPr="009D778B">
        <w:rPr>
          <w:rFonts w:ascii="Times New Roman" w:hAnsi="Times New Roman" w:cs="Times New Roman"/>
          <w:i/>
          <w:sz w:val="20"/>
          <w:szCs w:val="20"/>
        </w:rPr>
        <w:t>Izvor: Statistički ljetopis Grada Zagreba 2021.</w:t>
      </w:r>
    </w:p>
    <w:p w14:paraId="09F8A6C8" w14:textId="77777777" w:rsidR="00E26D7F" w:rsidRDefault="00E26D7F" w:rsidP="005142C4">
      <w:pPr>
        <w:spacing w:after="0" w:line="240" w:lineRule="auto"/>
        <w:ind w:left="0" w:right="0" w:firstLine="709"/>
        <w:rPr>
          <w:rFonts w:ascii="Times New Roman" w:hAnsi="Times New Roman" w:cs="Times New Roman"/>
          <w:b/>
          <w:sz w:val="24"/>
        </w:rPr>
      </w:pPr>
    </w:p>
    <w:p w14:paraId="7E17ED03" w14:textId="77777777" w:rsidR="00E26D7F" w:rsidRDefault="00E26D7F" w:rsidP="005142C4">
      <w:pPr>
        <w:spacing w:after="0" w:line="240" w:lineRule="auto"/>
        <w:ind w:left="0" w:right="0" w:firstLine="709"/>
        <w:rPr>
          <w:rFonts w:ascii="Times New Roman" w:hAnsi="Times New Roman" w:cs="Times New Roman"/>
          <w:b/>
          <w:sz w:val="24"/>
        </w:rPr>
      </w:pPr>
    </w:p>
    <w:p w14:paraId="42322E1C" w14:textId="70DA345E" w:rsidR="00E40AC8" w:rsidRPr="005142C4" w:rsidRDefault="00900184" w:rsidP="005142C4">
      <w:pPr>
        <w:spacing w:after="0" w:line="240" w:lineRule="auto"/>
        <w:ind w:left="0" w:right="0" w:firstLine="709"/>
        <w:rPr>
          <w:rFonts w:ascii="Times New Roman" w:hAnsi="Times New Roman" w:cs="Times New Roman"/>
          <w:b/>
          <w:sz w:val="24"/>
        </w:rPr>
      </w:pPr>
      <w:r w:rsidRPr="005142C4">
        <w:rPr>
          <w:rFonts w:ascii="Times New Roman" w:hAnsi="Times New Roman" w:cs="Times New Roman"/>
          <w:b/>
          <w:sz w:val="24"/>
        </w:rPr>
        <w:t>2.1.7. Prometna povezanost</w:t>
      </w:r>
      <w:bookmarkEnd w:id="15"/>
    </w:p>
    <w:p w14:paraId="1A1FBF3E" w14:textId="681E5F15" w:rsidR="00E40AC8" w:rsidRPr="005142C4" w:rsidRDefault="00900184" w:rsidP="00E80136">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Kada je riječ o prometnicama državnog značaja, Grad Zagreb je čvorište autocesta A1/A6 (Zagreb</w:t>
      </w:r>
      <w:r w:rsidR="007406E6">
        <w:rPr>
          <w:rFonts w:ascii="Times New Roman" w:hAnsi="Times New Roman" w:cs="Times New Roman"/>
          <w:sz w:val="24"/>
        </w:rPr>
        <w:t xml:space="preserve"> </w:t>
      </w:r>
      <w:r w:rsidR="00EE6A22" w:rsidRPr="005142C4">
        <w:rPr>
          <w:rFonts w:ascii="Times New Roman" w:hAnsi="Times New Roman" w:cs="Times New Roman"/>
          <w:sz w:val="24"/>
        </w:rPr>
        <w:t>-</w:t>
      </w:r>
      <w:r w:rsidR="007406E6">
        <w:rPr>
          <w:rFonts w:ascii="Times New Roman" w:hAnsi="Times New Roman" w:cs="Times New Roman"/>
          <w:sz w:val="24"/>
        </w:rPr>
        <w:t xml:space="preserve"> </w:t>
      </w:r>
      <w:r w:rsidRPr="005142C4">
        <w:rPr>
          <w:rFonts w:ascii="Times New Roman" w:hAnsi="Times New Roman" w:cs="Times New Roman"/>
          <w:sz w:val="24"/>
        </w:rPr>
        <w:t>Split, odnosno Zagreb</w:t>
      </w:r>
      <w:r w:rsidR="007406E6">
        <w:rPr>
          <w:rFonts w:ascii="Times New Roman" w:hAnsi="Times New Roman" w:cs="Times New Roman"/>
          <w:sz w:val="24"/>
        </w:rPr>
        <w:t xml:space="preserve"> </w:t>
      </w:r>
      <w:r w:rsidR="00EE6A22" w:rsidRPr="005142C4">
        <w:rPr>
          <w:rFonts w:ascii="Times New Roman" w:hAnsi="Times New Roman" w:cs="Times New Roman"/>
          <w:sz w:val="24"/>
        </w:rPr>
        <w:t>-</w:t>
      </w:r>
      <w:r w:rsidR="007406E6">
        <w:rPr>
          <w:rFonts w:ascii="Times New Roman" w:hAnsi="Times New Roman" w:cs="Times New Roman"/>
          <w:sz w:val="24"/>
        </w:rPr>
        <w:t xml:space="preserve"> </w:t>
      </w:r>
      <w:r w:rsidRPr="005142C4">
        <w:rPr>
          <w:rFonts w:ascii="Times New Roman" w:hAnsi="Times New Roman" w:cs="Times New Roman"/>
          <w:sz w:val="24"/>
        </w:rPr>
        <w:t>Rijeka), A2 (Zagreb</w:t>
      </w:r>
      <w:r w:rsidR="007406E6">
        <w:rPr>
          <w:rFonts w:ascii="Times New Roman" w:hAnsi="Times New Roman" w:cs="Times New Roman"/>
          <w:sz w:val="24"/>
        </w:rPr>
        <w:t xml:space="preserve"> </w:t>
      </w:r>
      <w:r w:rsidR="00EE6A22" w:rsidRPr="005142C4">
        <w:rPr>
          <w:rFonts w:ascii="Times New Roman" w:hAnsi="Times New Roman" w:cs="Times New Roman"/>
          <w:sz w:val="24"/>
        </w:rPr>
        <w:t>-</w:t>
      </w:r>
      <w:r w:rsidR="007406E6">
        <w:rPr>
          <w:rFonts w:ascii="Times New Roman" w:hAnsi="Times New Roman" w:cs="Times New Roman"/>
          <w:sz w:val="24"/>
        </w:rPr>
        <w:t xml:space="preserve"> </w:t>
      </w:r>
      <w:r w:rsidRPr="005142C4">
        <w:rPr>
          <w:rFonts w:ascii="Times New Roman" w:hAnsi="Times New Roman" w:cs="Times New Roman"/>
          <w:sz w:val="24"/>
        </w:rPr>
        <w:t>Krapina</w:t>
      </w:r>
      <w:r w:rsidR="007406E6">
        <w:rPr>
          <w:rFonts w:ascii="Times New Roman" w:hAnsi="Times New Roman" w:cs="Times New Roman"/>
          <w:sz w:val="24"/>
        </w:rPr>
        <w:t xml:space="preserve"> </w:t>
      </w:r>
      <w:r w:rsidR="00EE6A22" w:rsidRPr="005142C4">
        <w:rPr>
          <w:rFonts w:ascii="Times New Roman" w:hAnsi="Times New Roman" w:cs="Times New Roman"/>
          <w:sz w:val="24"/>
        </w:rPr>
        <w:t>-</w:t>
      </w:r>
      <w:r w:rsidR="007406E6">
        <w:rPr>
          <w:rFonts w:ascii="Times New Roman" w:hAnsi="Times New Roman" w:cs="Times New Roman"/>
          <w:sz w:val="24"/>
        </w:rPr>
        <w:t xml:space="preserve"> </w:t>
      </w:r>
      <w:r w:rsidRPr="005142C4">
        <w:rPr>
          <w:rFonts w:ascii="Times New Roman" w:hAnsi="Times New Roman" w:cs="Times New Roman"/>
          <w:sz w:val="24"/>
        </w:rPr>
        <w:t xml:space="preserve">granični prijelaz Macelj), A3 (g.p. Bregana </w:t>
      </w:r>
      <w:r w:rsidR="00EE6A22" w:rsidRPr="005142C4">
        <w:rPr>
          <w:rFonts w:ascii="Times New Roman" w:hAnsi="Times New Roman" w:cs="Times New Roman"/>
          <w:sz w:val="24"/>
        </w:rPr>
        <w:t>-</w:t>
      </w:r>
      <w:r w:rsidRPr="005142C4">
        <w:rPr>
          <w:rFonts w:ascii="Times New Roman" w:hAnsi="Times New Roman" w:cs="Times New Roman"/>
          <w:sz w:val="24"/>
        </w:rPr>
        <w:t xml:space="preserve"> Zagreb </w:t>
      </w:r>
      <w:r w:rsidR="00EE6A22" w:rsidRPr="005142C4">
        <w:rPr>
          <w:rFonts w:ascii="Times New Roman" w:hAnsi="Times New Roman" w:cs="Times New Roman"/>
          <w:sz w:val="24"/>
        </w:rPr>
        <w:t>-</w:t>
      </w:r>
      <w:r w:rsidRPr="005142C4">
        <w:rPr>
          <w:rFonts w:ascii="Times New Roman" w:hAnsi="Times New Roman" w:cs="Times New Roman"/>
          <w:sz w:val="24"/>
        </w:rPr>
        <w:t xml:space="preserve"> g.p. Lipovac), A5 (Zagreb </w:t>
      </w:r>
      <w:r w:rsidR="00EE6A22" w:rsidRPr="005142C4">
        <w:rPr>
          <w:rFonts w:ascii="Times New Roman" w:hAnsi="Times New Roman" w:cs="Times New Roman"/>
          <w:sz w:val="24"/>
        </w:rPr>
        <w:t>-</w:t>
      </w:r>
      <w:r w:rsidRPr="005142C4">
        <w:rPr>
          <w:rFonts w:ascii="Times New Roman" w:hAnsi="Times New Roman" w:cs="Times New Roman"/>
          <w:sz w:val="24"/>
        </w:rPr>
        <w:t xml:space="preserve"> Varaždin </w:t>
      </w:r>
      <w:r w:rsidR="00EE6A22" w:rsidRPr="005142C4">
        <w:rPr>
          <w:rFonts w:ascii="Times New Roman" w:hAnsi="Times New Roman" w:cs="Times New Roman"/>
          <w:sz w:val="24"/>
        </w:rPr>
        <w:t>-</w:t>
      </w:r>
      <w:r w:rsidRPr="005142C4">
        <w:rPr>
          <w:rFonts w:ascii="Times New Roman" w:hAnsi="Times New Roman" w:cs="Times New Roman"/>
          <w:sz w:val="24"/>
        </w:rPr>
        <w:t xml:space="preserve"> g.p. Goričan) te autoceste A11 (Zagreb </w:t>
      </w:r>
      <w:r w:rsidR="00EE6A22" w:rsidRPr="005142C4">
        <w:rPr>
          <w:rFonts w:ascii="Times New Roman" w:hAnsi="Times New Roman" w:cs="Times New Roman"/>
          <w:sz w:val="24"/>
        </w:rPr>
        <w:t>-</w:t>
      </w:r>
      <w:r w:rsidRPr="005142C4">
        <w:rPr>
          <w:rFonts w:ascii="Times New Roman" w:hAnsi="Times New Roman" w:cs="Times New Roman"/>
          <w:sz w:val="24"/>
        </w:rPr>
        <w:t xml:space="preserve"> Velika Gorica </w:t>
      </w:r>
      <w:r w:rsidR="00EE6A22" w:rsidRPr="005142C4">
        <w:rPr>
          <w:rFonts w:ascii="Times New Roman" w:hAnsi="Times New Roman" w:cs="Times New Roman"/>
          <w:sz w:val="24"/>
        </w:rPr>
        <w:t>-</w:t>
      </w:r>
      <w:r w:rsidRPr="005142C4">
        <w:rPr>
          <w:rFonts w:ascii="Times New Roman" w:hAnsi="Times New Roman" w:cs="Times New Roman"/>
          <w:sz w:val="24"/>
        </w:rPr>
        <w:t xml:space="preserve"> Sisak) koja je u izgradnji</w:t>
      </w:r>
      <w:r w:rsidR="00F067FE">
        <w:rPr>
          <w:rFonts w:ascii="Times New Roman" w:hAnsi="Times New Roman" w:cs="Times New Roman"/>
          <w:sz w:val="24"/>
        </w:rPr>
        <w:t>,</w:t>
      </w:r>
      <w:r w:rsidR="00B64756">
        <w:rPr>
          <w:rFonts w:ascii="Times New Roman" w:hAnsi="Times New Roman" w:cs="Times New Roman"/>
          <w:sz w:val="24"/>
        </w:rPr>
        <w:t xml:space="preserve"> ali </w:t>
      </w:r>
      <w:r w:rsidRPr="005142C4">
        <w:rPr>
          <w:rFonts w:ascii="Times New Roman" w:hAnsi="Times New Roman" w:cs="Times New Roman"/>
          <w:sz w:val="24"/>
        </w:rPr>
        <w:t>njezin dio koji prolazi područjem</w:t>
      </w:r>
      <w:r w:rsidR="00E80136">
        <w:rPr>
          <w:rFonts w:ascii="Times New Roman" w:hAnsi="Times New Roman" w:cs="Times New Roman"/>
          <w:sz w:val="24"/>
        </w:rPr>
        <w:t xml:space="preserve"> </w:t>
      </w:r>
      <w:r w:rsidRPr="005142C4">
        <w:rPr>
          <w:rFonts w:ascii="Times New Roman" w:hAnsi="Times New Roman" w:cs="Times New Roman"/>
          <w:sz w:val="24"/>
        </w:rPr>
        <w:t xml:space="preserve">Grada Zagreba </w:t>
      </w:r>
      <w:r w:rsidR="00AE05B0">
        <w:rPr>
          <w:rFonts w:ascii="Times New Roman" w:hAnsi="Times New Roman" w:cs="Times New Roman"/>
          <w:sz w:val="24"/>
        </w:rPr>
        <w:t xml:space="preserve">je </w:t>
      </w:r>
      <w:r w:rsidRPr="005142C4">
        <w:rPr>
          <w:rFonts w:ascii="Times New Roman" w:hAnsi="Times New Roman" w:cs="Times New Roman"/>
          <w:sz w:val="24"/>
        </w:rPr>
        <w:t xml:space="preserve">u cijelosti realiziran. Područjem Grada najvećom dužinom prolazi autocesta A3, dio koje je i </w:t>
      </w:r>
      <w:r w:rsidR="00EE6A22" w:rsidRPr="005142C4">
        <w:rPr>
          <w:rFonts w:ascii="Times New Roman" w:hAnsi="Times New Roman" w:cs="Times New Roman"/>
          <w:sz w:val="24"/>
        </w:rPr>
        <w:t>"</w:t>
      </w:r>
      <w:r w:rsidRPr="005142C4">
        <w:rPr>
          <w:rFonts w:ascii="Times New Roman" w:hAnsi="Times New Roman" w:cs="Times New Roman"/>
          <w:sz w:val="24"/>
        </w:rPr>
        <w:t>zagrebačka obilaznica</w:t>
      </w:r>
      <w:r w:rsidR="00EE6A22" w:rsidRPr="005142C4">
        <w:rPr>
          <w:rFonts w:ascii="Times New Roman" w:hAnsi="Times New Roman" w:cs="Times New Roman"/>
          <w:sz w:val="24"/>
        </w:rPr>
        <w:t>"</w:t>
      </w:r>
      <w:r w:rsidRPr="005142C4">
        <w:rPr>
          <w:rFonts w:ascii="Times New Roman" w:hAnsi="Times New Roman" w:cs="Times New Roman"/>
          <w:sz w:val="24"/>
        </w:rPr>
        <w:t xml:space="preserve">. Cesta DC26 povezuje područje Grada s Hrvatskim </w:t>
      </w:r>
      <w:r w:rsidR="007406E6" w:rsidRPr="005142C4">
        <w:rPr>
          <w:rFonts w:ascii="Times New Roman" w:hAnsi="Times New Roman" w:cs="Times New Roman"/>
          <w:sz w:val="24"/>
        </w:rPr>
        <w:t xml:space="preserve">zagorjem </w:t>
      </w:r>
      <w:r w:rsidRPr="005142C4">
        <w:rPr>
          <w:rFonts w:ascii="Times New Roman" w:hAnsi="Times New Roman" w:cs="Times New Roman"/>
          <w:sz w:val="24"/>
        </w:rPr>
        <w:t>preko Medvednice.</w:t>
      </w:r>
    </w:p>
    <w:p w14:paraId="4EF8638C" w14:textId="77777777" w:rsidR="00E40AC8" w:rsidRPr="005142C4" w:rsidRDefault="00900184" w:rsidP="00E80136">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Prometn</w:t>
      </w:r>
      <w:r w:rsidR="007406E6">
        <w:rPr>
          <w:rFonts w:ascii="Times New Roman" w:hAnsi="Times New Roman" w:cs="Times New Roman"/>
          <w:sz w:val="24"/>
        </w:rPr>
        <w:t>o</w:t>
      </w:r>
      <w:r w:rsidRPr="005142C4">
        <w:rPr>
          <w:rFonts w:ascii="Times New Roman" w:hAnsi="Times New Roman" w:cs="Times New Roman"/>
          <w:sz w:val="24"/>
        </w:rPr>
        <w:t xml:space="preserve"> znač</w:t>
      </w:r>
      <w:r w:rsidR="007406E6">
        <w:rPr>
          <w:rFonts w:ascii="Times New Roman" w:hAnsi="Times New Roman" w:cs="Times New Roman"/>
          <w:sz w:val="24"/>
        </w:rPr>
        <w:t>enje</w:t>
      </w:r>
      <w:r w:rsidRPr="005142C4">
        <w:rPr>
          <w:rFonts w:ascii="Times New Roman" w:hAnsi="Times New Roman" w:cs="Times New Roman"/>
          <w:sz w:val="24"/>
        </w:rPr>
        <w:t xml:space="preserve"> Zagreba na međunarodnoj razini danas potvrđuje njegova uloga sjecišta dva</w:t>
      </w:r>
      <w:r w:rsidR="007406E6">
        <w:rPr>
          <w:rFonts w:ascii="Times New Roman" w:hAnsi="Times New Roman" w:cs="Times New Roman"/>
          <w:sz w:val="24"/>
        </w:rPr>
        <w:t>ju</w:t>
      </w:r>
      <w:r w:rsidRPr="005142C4">
        <w:rPr>
          <w:rFonts w:ascii="Times New Roman" w:hAnsi="Times New Roman" w:cs="Times New Roman"/>
          <w:sz w:val="24"/>
        </w:rPr>
        <w:t xml:space="preserve"> paneuropsk</w:t>
      </w:r>
      <w:r w:rsidR="007406E6">
        <w:rPr>
          <w:rFonts w:ascii="Times New Roman" w:hAnsi="Times New Roman" w:cs="Times New Roman"/>
          <w:sz w:val="24"/>
        </w:rPr>
        <w:t>ih</w:t>
      </w:r>
      <w:r w:rsidRPr="005142C4">
        <w:rPr>
          <w:rFonts w:ascii="Times New Roman" w:hAnsi="Times New Roman" w:cs="Times New Roman"/>
          <w:sz w:val="24"/>
        </w:rPr>
        <w:t xml:space="preserve"> cestovno</w:t>
      </w:r>
      <w:r w:rsidR="00EE6A22" w:rsidRPr="005142C4">
        <w:rPr>
          <w:rFonts w:ascii="Times New Roman" w:hAnsi="Times New Roman" w:cs="Times New Roman"/>
          <w:sz w:val="24"/>
        </w:rPr>
        <w:t>-</w:t>
      </w:r>
      <w:r w:rsidRPr="005142C4">
        <w:rPr>
          <w:rFonts w:ascii="Times New Roman" w:hAnsi="Times New Roman" w:cs="Times New Roman"/>
          <w:sz w:val="24"/>
        </w:rPr>
        <w:t>željezničk</w:t>
      </w:r>
      <w:r w:rsidR="007406E6">
        <w:rPr>
          <w:rFonts w:ascii="Times New Roman" w:hAnsi="Times New Roman" w:cs="Times New Roman"/>
          <w:sz w:val="24"/>
        </w:rPr>
        <w:t>ih</w:t>
      </w:r>
      <w:r w:rsidRPr="005142C4">
        <w:rPr>
          <w:rFonts w:ascii="Times New Roman" w:hAnsi="Times New Roman" w:cs="Times New Roman"/>
          <w:sz w:val="24"/>
        </w:rPr>
        <w:t xml:space="preserve"> koridora i Sredozemnog koridora transeuropskih prometnih mreža (TEN</w:t>
      </w:r>
      <w:r w:rsidR="00EE6A22" w:rsidRPr="005142C4">
        <w:rPr>
          <w:rFonts w:ascii="Times New Roman" w:hAnsi="Times New Roman" w:cs="Times New Roman"/>
          <w:sz w:val="24"/>
        </w:rPr>
        <w:t>-</w:t>
      </w:r>
      <w:r w:rsidRPr="005142C4">
        <w:rPr>
          <w:rFonts w:ascii="Times New Roman" w:hAnsi="Times New Roman" w:cs="Times New Roman"/>
          <w:sz w:val="24"/>
        </w:rPr>
        <w:t xml:space="preserve">T) Europske unije. Tako se na području Zagreba križaju odvojak </w:t>
      </w:r>
      <w:r w:rsidR="00EE6A22" w:rsidRPr="005142C4">
        <w:rPr>
          <w:rFonts w:ascii="Times New Roman" w:hAnsi="Times New Roman" w:cs="Times New Roman"/>
          <w:sz w:val="24"/>
        </w:rPr>
        <w:t>"</w:t>
      </w:r>
      <w:r w:rsidRPr="005142C4">
        <w:rPr>
          <w:rFonts w:ascii="Times New Roman" w:hAnsi="Times New Roman" w:cs="Times New Roman"/>
          <w:sz w:val="24"/>
        </w:rPr>
        <w:t>b</w:t>
      </w:r>
      <w:r w:rsidR="00EE6A22" w:rsidRPr="005142C4">
        <w:rPr>
          <w:rFonts w:ascii="Times New Roman" w:hAnsi="Times New Roman" w:cs="Times New Roman"/>
          <w:sz w:val="24"/>
        </w:rPr>
        <w:t>"</w:t>
      </w:r>
      <w:r w:rsidRPr="005142C4">
        <w:rPr>
          <w:rFonts w:ascii="Times New Roman" w:hAnsi="Times New Roman" w:cs="Times New Roman"/>
          <w:sz w:val="24"/>
        </w:rPr>
        <w:t xml:space="preserve"> paneuropskog V. koridora (Rijeka </w:t>
      </w:r>
      <w:r w:rsidR="00EE6A22" w:rsidRPr="005142C4">
        <w:rPr>
          <w:rFonts w:ascii="Times New Roman" w:hAnsi="Times New Roman" w:cs="Times New Roman"/>
          <w:sz w:val="24"/>
        </w:rPr>
        <w:t>-</w:t>
      </w:r>
      <w:r w:rsidRPr="005142C4">
        <w:rPr>
          <w:rFonts w:ascii="Times New Roman" w:hAnsi="Times New Roman" w:cs="Times New Roman"/>
          <w:sz w:val="24"/>
        </w:rPr>
        <w:t xml:space="preserve"> Zagreb </w:t>
      </w:r>
      <w:r w:rsidR="00EE6A22" w:rsidRPr="005142C4">
        <w:rPr>
          <w:rFonts w:ascii="Times New Roman" w:hAnsi="Times New Roman" w:cs="Times New Roman"/>
          <w:sz w:val="24"/>
        </w:rPr>
        <w:t>-</w:t>
      </w:r>
      <w:r w:rsidRPr="005142C4">
        <w:rPr>
          <w:rFonts w:ascii="Times New Roman" w:hAnsi="Times New Roman" w:cs="Times New Roman"/>
          <w:sz w:val="24"/>
        </w:rPr>
        <w:t xml:space="preserve"> Budimpešta) i X. paneuropski koridor (Salzburg </w:t>
      </w:r>
      <w:r w:rsidR="00EE6A22" w:rsidRPr="005142C4">
        <w:rPr>
          <w:rFonts w:ascii="Times New Roman" w:hAnsi="Times New Roman" w:cs="Times New Roman"/>
          <w:sz w:val="24"/>
        </w:rPr>
        <w:t>-</w:t>
      </w:r>
      <w:r w:rsidRPr="005142C4">
        <w:rPr>
          <w:rFonts w:ascii="Times New Roman" w:hAnsi="Times New Roman" w:cs="Times New Roman"/>
          <w:sz w:val="24"/>
        </w:rPr>
        <w:t xml:space="preserve"> Thessaloniki). Zagreb ima ulogu čvorišta i na razini sveobuhvatne transeuropske mreže kao ishodište prometnih pravaca prema Dalmaciji i dolinom rijeke Save prema Dunavu te dalje kroz Srbiju prema istočnim članicama EU</w:t>
      </w:r>
      <w:r w:rsidR="00EE6A22" w:rsidRPr="005142C4">
        <w:rPr>
          <w:rFonts w:ascii="Times New Roman" w:hAnsi="Times New Roman" w:cs="Times New Roman"/>
          <w:sz w:val="24"/>
        </w:rPr>
        <w:t>-</w:t>
      </w:r>
      <w:r w:rsidRPr="005142C4">
        <w:rPr>
          <w:rFonts w:ascii="Times New Roman" w:hAnsi="Times New Roman" w:cs="Times New Roman"/>
          <w:sz w:val="24"/>
        </w:rPr>
        <w:t xml:space="preserve">a. Paneuropski željeznički koridor X Graz </w:t>
      </w:r>
      <w:r w:rsidR="00EE6A22" w:rsidRPr="005142C4">
        <w:rPr>
          <w:rFonts w:ascii="Times New Roman" w:hAnsi="Times New Roman" w:cs="Times New Roman"/>
          <w:sz w:val="24"/>
        </w:rPr>
        <w:t>-</w:t>
      </w:r>
      <w:r w:rsidRPr="005142C4">
        <w:rPr>
          <w:rFonts w:ascii="Times New Roman" w:hAnsi="Times New Roman" w:cs="Times New Roman"/>
          <w:sz w:val="24"/>
        </w:rPr>
        <w:t xml:space="preserve"> Maribor </w:t>
      </w:r>
      <w:r w:rsidR="00EE6A22" w:rsidRPr="005142C4">
        <w:rPr>
          <w:rFonts w:ascii="Times New Roman" w:hAnsi="Times New Roman" w:cs="Times New Roman"/>
          <w:sz w:val="24"/>
        </w:rPr>
        <w:t>-</w:t>
      </w:r>
      <w:r w:rsidRPr="005142C4">
        <w:rPr>
          <w:rFonts w:ascii="Times New Roman" w:hAnsi="Times New Roman" w:cs="Times New Roman"/>
          <w:sz w:val="24"/>
        </w:rPr>
        <w:t xml:space="preserve"> Zagreb najvažniji </w:t>
      </w:r>
      <w:r w:rsidR="007406E6">
        <w:rPr>
          <w:rFonts w:ascii="Times New Roman" w:hAnsi="Times New Roman" w:cs="Times New Roman"/>
          <w:sz w:val="24"/>
        </w:rPr>
        <w:t xml:space="preserve">je </w:t>
      </w:r>
      <w:r w:rsidRPr="005142C4">
        <w:rPr>
          <w:rFonts w:ascii="Times New Roman" w:hAnsi="Times New Roman" w:cs="Times New Roman"/>
          <w:sz w:val="24"/>
        </w:rPr>
        <w:t>željeznički pravac u Republici Hrvatskoj.</w:t>
      </w:r>
    </w:p>
    <w:p w14:paraId="2A0FCA47" w14:textId="2C18175C" w:rsidR="00E40AC8" w:rsidRPr="005142C4" w:rsidRDefault="00900184" w:rsidP="00E80136">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Na području Grada Zagreba djeluju dvije infrastrukturne sastavnice zračnog prometa: međunarodna zračna luka </w:t>
      </w:r>
      <w:r w:rsidR="00EE6A22" w:rsidRPr="005142C4">
        <w:rPr>
          <w:rFonts w:ascii="Times New Roman" w:hAnsi="Times New Roman" w:cs="Times New Roman"/>
          <w:sz w:val="24"/>
        </w:rPr>
        <w:t>"</w:t>
      </w:r>
      <w:r w:rsidRPr="00740B83">
        <w:rPr>
          <w:rFonts w:ascii="Times New Roman" w:hAnsi="Times New Roman" w:cs="Times New Roman"/>
          <w:sz w:val="24"/>
        </w:rPr>
        <w:t>Dr. Franjo Tuđman</w:t>
      </w:r>
      <w:r w:rsidR="00EE6A22" w:rsidRPr="005142C4">
        <w:rPr>
          <w:rFonts w:ascii="Times New Roman" w:hAnsi="Times New Roman" w:cs="Times New Roman"/>
          <w:sz w:val="24"/>
        </w:rPr>
        <w:t>"</w:t>
      </w:r>
      <w:r w:rsidRPr="005142C4">
        <w:rPr>
          <w:rFonts w:ascii="Times New Roman" w:hAnsi="Times New Roman" w:cs="Times New Roman"/>
          <w:sz w:val="24"/>
        </w:rPr>
        <w:t xml:space="preserve"> (većim dijelom se nalazi na teritoriju Grada Velike Gorice</w:t>
      </w:r>
      <w:r w:rsidR="00F067FE">
        <w:rPr>
          <w:rFonts w:ascii="Times New Roman" w:hAnsi="Times New Roman" w:cs="Times New Roman"/>
          <w:sz w:val="24"/>
        </w:rPr>
        <w:t>,</w:t>
      </w:r>
      <w:r w:rsidRPr="005142C4">
        <w:rPr>
          <w:rFonts w:ascii="Times New Roman" w:hAnsi="Times New Roman" w:cs="Times New Roman"/>
          <w:sz w:val="24"/>
        </w:rPr>
        <w:t xml:space="preserve"> ali se prilazno</w:t>
      </w:r>
      <w:r w:rsidR="00EE6A22" w:rsidRPr="005142C4">
        <w:rPr>
          <w:rFonts w:ascii="Times New Roman" w:hAnsi="Times New Roman" w:cs="Times New Roman"/>
          <w:sz w:val="24"/>
        </w:rPr>
        <w:t>-</w:t>
      </w:r>
      <w:r w:rsidRPr="005142C4">
        <w:rPr>
          <w:rFonts w:ascii="Times New Roman" w:hAnsi="Times New Roman" w:cs="Times New Roman"/>
          <w:sz w:val="24"/>
        </w:rPr>
        <w:t>odletne površine djelomično nalaze i unutar administrativno</w:t>
      </w:r>
      <w:r w:rsidR="007406E6">
        <w:rPr>
          <w:rFonts w:ascii="Times New Roman" w:hAnsi="Times New Roman" w:cs="Times New Roman"/>
          <w:sz w:val="24"/>
        </w:rPr>
        <w:t>-</w:t>
      </w:r>
      <w:r w:rsidRPr="005142C4">
        <w:rPr>
          <w:rFonts w:ascii="Times New Roman" w:hAnsi="Times New Roman" w:cs="Times New Roman"/>
          <w:sz w:val="24"/>
        </w:rPr>
        <w:t>teritorijalnog područja Grada Zagreba) i zrakoplovno pristanište Lučko.</w:t>
      </w:r>
    </w:p>
    <w:p w14:paraId="3ACFC628" w14:textId="77777777" w:rsidR="00E40AC8" w:rsidRPr="005142C4" w:rsidRDefault="00E40AC8" w:rsidP="005142C4">
      <w:pPr>
        <w:spacing w:after="0" w:line="240" w:lineRule="auto"/>
        <w:ind w:left="0" w:right="0" w:firstLine="0"/>
        <w:jc w:val="left"/>
        <w:rPr>
          <w:rFonts w:ascii="Times New Roman" w:hAnsi="Times New Roman" w:cs="Times New Roman"/>
          <w:sz w:val="24"/>
        </w:rPr>
      </w:pPr>
    </w:p>
    <w:p w14:paraId="4FF1C77E" w14:textId="5E15FBF6" w:rsidR="00E40AC8" w:rsidRPr="00E80136" w:rsidRDefault="00900184" w:rsidP="009D5EFE">
      <w:pPr>
        <w:spacing w:line="240" w:lineRule="auto"/>
        <w:ind w:left="0" w:right="0" w:firstLine="0"/>
        <w:jc w:val="center"/>
        <w:rPr>
          <w:rFonts w:ascii="Times New Roman" w:hAnsi="Times New Roman" w:cs="Times New Roman"/>
          <w:b/>
          <w:sz w:val="24"/>
        </w:rPr>
      </w:pPr>
      <w:r w:rsidRPr="00E80136">
        <w:rPr>
          <w:rFonts w:ascii="Times New Roman" w:hAnsi="Times New Roman" w:cs="Times New Roman"/>
          <w:b/>
          <w:sz w:val="24"/>
        </w:rPr>
        <w:t xml:space="preserve">Tablica </w:t>
      </w:r>
      <w:r w:rsidR="00E12671">
        <w:rPr>
          <w:rFonts w:ascii="Times New Roman" w:hAnsi="Times New Roman" w:cs="Times New Roman"/>
          <w:b/>
          <w:sz w:val="24"/>
        </w:rPr>
        <w:t>4</w:t>
      </w:r>
      <w:r w:rsidRPr="00E80136">
        <w:rPr>
          <w:rFonts w:ascii="Times New Roman" w:hAnsi="Times New Roman" w:cs="Times New Roman"/>
          <w:b/>
          <w:sz w:val="24"/>
        </w:rPr>
        <w:t>. Autoceste koje prolaze kroz teritorijalno područje Grada Zagreba</w:t>
      </w:r>
    </w:p>
    <w:tbl>
      <w:tblPr>
        <w:tblStyle w:val="TableGrid"/>
        <w:tblW w:w="9072" w:type="dxa"/>
        <w:tblInd w:w="0" w:type="dxa"/>
        <w:tblLayout w:type="fixed"/>
        <w:tblCellMar>
          <w:left w:w="57" w:type="dxa"/>
          <w:right w:w="57" w:type="dxa"/>
        </w:tblCellMar>
        <w:tblLook w:val="04A0" w:firstRow="1" w:lastRow="0" w:firstColumn="1" w:lastColumn="0" w:noHBand="0" w:noVBand="1"/>
      </w:tblPr>
      <w:tblGrid>
        <w:gridCol w:w="1271"/>
        <w:gridCol w:w="5670"/>
        <w:gridCol w:w="2131"/>
      </w:tblGrid>
      <w:tr w:rsidR="003F7A56" w:rsidRPr="006E5FA9" w14:paraId="1F712A80" w14:textId="77777777" w:rsidTr="006E5FA9">
        <w:trPr>
          <w:cantSplit/>
          <w:tblHeader/>
        </w:trPr>
        <w:tc>
          <w:tcPr>
            <w:tcW w:w="127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C1EA4D2" w14:textId="77777777" w:rsidR="003F7A56" w:rsidRPr="006E5FA9" w:rsidRDefault="00900184" w:rsidP="00E80136">
            <w:pPr>
              <w:spacing w:after="0" w:line="240" w:lineRule="auto"/>
              <w:ind w:left="0" w:right="0" w:firstLine="0"/>
              <w:jc w:val="center"/>
              <w:rPr>
                <w:rFonts w:ascii="Times New Roman" w:hAnsi="Times New Roman" w:cs="Times New Roman"/>
                <w:b/>
              </w:rPr>
            </w:pPr>
            <w:r w:rsidRPr="006E5FA9">
              <w:rPr>
                <w:rFonts w:ascii="Times New Roman" w:hAnsi="Times New Roman" w:cs="Times New Roman"/>
                <w:b/>
              </w:rPr>
              <w:t>Oznaka ceste</w:t>
            </w:r>
          </w:p>
        </w:tc>
        <w:tc>
          <w:tcPr>
            <w:tcW w:w="567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EA6067F" w14:textId="77777777" w:rsidR="003F7A56" w:rsidRPr="006E5FA9" w:rsidRDefault="00900184" w:rsidP="00E80136">
            <w:pPr>
              <w:spacing w:after="0" w:line="240" w:lineRule="auto"/>
              <w:ind w:left="0" w:right="0" w:firstLine="0"/>
              <w:jc w:val="center"/>
              <w:rPr>
                <w:rFonts w:ascii="Times New Roman" w:hAnsi="Times New Roman" w:cs="Times New Roman"/>
                <w:b/>
              </w:rPr>
            </w:pPr>
            <w:r w:rsidRPr="006E5FA9">
              <w:rPr>
                <w:rFonts w:ascii="Times New Roman" w:hAnsi="Times New Roman" w:cs="Times New Roman"/>
                <w:b/>
              </w:rPr>
              <w:t>Opis ceste</w:t>
            </w:r>
          </w:p>
        </w:tc>
        <w:tc>
          <w:tcPr>
            <w:tcW w:w="213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25419DD" w14:textId="77777777" w:rsidR="003F7A56" w:rsidRPr="006E5FA9" w:rsidRDefault="00900184" w:rsidP="00E80136">
            <w:pPr>
              <w:spacing w:after="0" w:line="240" w:lineRule="auto"/>
              <w:ind w:left="0" w:right="0" w:firstLine="0"/>
              <w:jc w:val="center"/>
              <w:rPr>
                <w:rFonts w:ascii="Times New Roman" w:hAnsi="Times New Roman" w:cs="Times New Roman"/>
                <w:b/>
              </w:rPr>
            </w:pPr>
            <w:r w:rsidRPr="006E5FA9">
              <w:rPr>
                <w:rFonts w:ascii="Times New Roman" w:hAnsi="Times New Roman" w:cs="Times New Roman"/>
                <w:b/>
              </w:rPr>
              <w:t>Duljina ceste kroz Grad Zagreb</w:t>
            </w:r>
          </w:p>
        </w:tc>
      </w:tr>
      <w:tr w:rsidR="003F7A56" w:rsidRPr="006E5FA9" w14:paraId="257DFEAD" w14:textId="77777777" w:rsidTr="006E5FA9">
        <w:trPr>
          <w:cantSplit/>
        </w:trPr>
        <w:tc>
          <w:tcPr>
            <w:tcW w:w="1271" w:type="dxa"/>
            <w:tcBorders>
              <w:top w:val="single" w:sz="4" w:space="0" w:color="000000"/>
              <w:left w:val="single" w:sz="4" w:space="0" w:color="000000"/>
              <w:bottom w:val="single" w:sz="4" w:space="0" w:color="000000"/>
              <w:right w:val="single" w:sz="4" w:space="0" w:color="000000"/>
            </w:tcBorders>
            <w:vAlign w:val="center"/>
          </w:tcPr>
          <w:p w14:paraId="537823AD" w14:textId="77777777" w:rsidR="003F7A56" w:rsidRPr="006E5FA9" w:rsidRDefault="00900184" w:rsidP="006E5FA9">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A 1</w:t>
            </w:r>
          </w:p>
        </w:tc>
        <w:tc>
          <w:tcPr>
            <w:tcW w:w="5670" w:type="dxa"/>
            <w:tcBorders>
              <w:top w:val="single" w:sz="4" w:space="0" w:color="000000"/>
              <w:left w:val="single" w:sz="4" w:space="0" w:color="000000"/>
              <w:bottom w:val="single" w:sz="4" w:space="0" w:color="000000"/>
              <w:right w:val="single" w:sz="4" w:space="0" w:color="000000"/>
            </w:tcBorders>
            <w:vAlign w:val="center"/>
          </w:tcPr>
          <w:p w14:paraId="42FD8002" w14:textId="77777777" w:rsidR="003F7A56" w:rsidRPr="006E5FA9" w:rsidRDefault="00900184" w:rsidP="006E5FA9">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 xml:space="preserve">Zagreb (čvor Lučko, A3) </w:t>
            </w:r>
            <w:r w:rsidR="00EE6A22" w:rsidRPr="006E5FA9">
              <w:rPr>
                <w:rFonts w:ascii="Times New Roman" w:hAnsi="Times New Roman" w:cs="Times New Roman"/>
              </w:rPr>
              <w:t>-</w:t>
            </w:r>
            <w:r w:rsidRPr="006E5FA9">
              <w:rPr>
                <w:rFonts w:ascii="Times New Roman" w:hAnsi="Times New Roman" w:cs="Times New Roman"/>
              </w:rPr>
              <w:t xml:space="preserve"> Karlovac </w:t>
            </w:r>
            <w:r w:rsidR="00EE6A22" w:rsidRPr="006E5FA9">
              <w:rPr>
                <w:rFonts w:ascii="Times New Roman" w:hAnsi="Times New Roman" w:cs="Times New Roman"/>
              </w:rPr>
              <w:t>-</w:t>
            </w:r>
            <w:r w:rsidRPr="006E5FA9">
              <w:rPr>
                <w:rFonts w:ascii="Times New Roman" w:hAnsi="Times New Roman" w:cs="Times New Roman"/>
              </w:rPr>
              <w:t xml:space="preserve"> Bosiljevo </w:t>
            </w:r>
            <w:r w:rsidR="00EE6A22" w:rsidRPr="006E5FA9">
              <w:rPr>
                <w:rFonts w:ascii="Times New Roman" w:hAnsi="Times New Roman" w:cs="Times New Roman"/>
              </w:rPr>
              <w:t>-</w:t>
            </w:r>
            <w:r w:rsidRPr="006E5FA9">
              <w:rPr>
                <w:rFonts w:ascii="Times New Roman" w:hAnsi="Times New Roman" w:cs="Times New Roman"/>
              </w:rPr>
              <w:t xml:space="preserve"> Split </w:t>
            </w:r>
            <w:r w:rsidR="00EE6A22" w:rsidRPr="006E5FA9">
              <w:rPr>
                <w:rFonts w:ascii="Times New Roman" w:hAnsi="Times New Roman" w:cs="Times New Roman"/>
              </w:rPr>
              <w:t>-</w:t>
            </w:r>
            <w:r w:rsidR="00E80136" w:rsidRPr="006E5FA9">
              <w:rPr>
                <w:rFonts w:ascii="Times New Roman" w:hAnsi="Times New Roman" w:cs="Times New Roman"/>
              </w:rPr>
              <w:t xml:space="preserve"> </w:t>
            </w:r>
            <w:r w:rsidRPr="006E5FA9">
              <w:rPr>
                <w:rFonts w:ascii="Times New Roman" w:hAnsi="Times New Roman" w:cs="Times New Roman"/>
              </w:rPr>
              <w:t>Ploče</w:t>
            </w:r>
          </w:p>
        </w:tc>
        <w:tc>
          <w:tcPr>
            <w:tcW w:w="2131" w:type="dxa"/>
            <w:tcBorders>
              <w:top w:val="single" w:sz="4" w:space="0" w:color="000000"/>
              <w:left w:val="single" w:sz="4" w:space="0" w:color="000000"/>
              <w:bottom w:val="single" w:sz="4" w:space="0" w:color="000000"/>
              <w:right w:val="single" w:sz="4" w:space="0" w:color="000000"/>
            </w:tcBorders>
            <w:vAlign w:val="center"/>
          </w:tcPr>
          <w:p w14:paraId="1224B69A" w14:textId="77777777" w:rsidR="003F7A56" w:rsidRPr="006E5FA9" w:rsidRDefault="00900184" w:rsidP="006E5FA9">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10 km</w:t>
            </w:r>
          </w:p>
        </w:tc>
      </w:tr>
      <w:tr w:rsidR="003F7A56" w:rsidRPr="006E5FA9" w14:paraId="20AC52F7" w14:textId="77777777" w:rsidTr="006E5FA9">
        <w:trPr>
          <w:cantSplit/>
        </w:trPr>
        <w:tc>
          <w:tcPr>
            <w:tcW w:w="1271" w:type="dxa"/>
            <w:tcBorders>
              <w:top w:val="single" w:sz="4" w:space="0" w:color="000000"/>
              <w:left w:val="single" w:sz="4" w:space="0" w:color="000000"/>
              <w:bottom w:val="single" w:sz="4" w:space="0" w:color="000000"/>
              <w:right w:val="single" w:sz="4" w:space="0" w:color="000000"/>
            </w:tcBorders>
            <w:vAlign w:val="center"/>
          </w:tcPr>
          <w:p w14:paraId="6D9FE652" w14:textId="77777777" w:rsidR="003F7A56" w:rsidRPr="006E5FA9" w:rsidRDefault="00900184" w:rsidP="006E5FA9">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A 2</w:t>
            </w:r>
          </w:p>
        </w:tc>
        <w:tc>
          <w:tcPr>
            <w:tcW w:w="5670" w:type="dxa"/>
            <w:tcBorders>
              <w:top w:val="single" w:sz="4" w:space="0" w:color="000000"/>
              <w:left w:val="single" w:sz="4" w:space="0" w:color="000000"/>
              <w:bottom w:val="single" w:sz="4" w:space="0" w:color="000000"/>
              <w:right w:val="single" w:sz="4" w:space="0" w:color="000000"/>
            </w:tcBorders>
            <w:vAlign w:val="center"/>
          </w:tcPr>
          <w:p w14:paraId="2A53CFD3" w14:textId="77777777" w:rsidR="003F7A56" w:rsidRPr="006E5FA9" w:rsidRDefault="00900184" w:rsidP="006E5FA9">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 xml:space="preserve">G. P. Macelj </w:t>
            </w:r>
            <w:r w:rsidR="00EE6A22" w:rsidRPr="006E5FA9">
              <w:rPr>
                <w:rFonts w:ascii="Times New Roman" w:hAnsi="Times New Roman" w:cs="Times New Roman"/>
              </w:rPr>
              <w:t>-</w:t>
            </w:r>
            <w:r w:rsidRPr="006E5FA9">
              <w:rPr>
                <w:rFonts w:ascii="Times New Roman" w:hAnsi="Times New Roman" w:cs="Times New Roman"/>
              </w:rPr>
              <w:t xml:space="preserve"> Zagreb (čvor Jankomir, A3)</w:t>
            </w:r>
          </w:p>
        </w:tc>
        <w:tc>
          <w:tcPr>
            <w:tcW w:w="2131" w:type="dxa"/>
            <w:tcBorders>
              <w:top w:val="single" w:sz="4" w:space="0" w:color="000000"/>
              <w:left w:val="single" w:sz="4" w:space="0" w:color="000000"/>
              <w:bottom w:val="single" w:sz="4" w:space="0" w:color="000000"/>
              <w:right w:val="single" w:sz="4" w:space="0" w:color="000000"/>
            </w:tcBorders>
            <w:vAlign w:val="center"/>
          </w:tcPr>
          <w:p w14:paraId="6C58AB30" w14:textId="77777777" w:rsidR="003F7A56" w:rsidRPr="006E5FA9" w:rsidRDefault="00900184" w:rsidP="006E5FA9">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3 km</w:t>
            </w:r>
          </w:p>
        </w:tc>
      </w:tr>
      <w:tr w:rsidR="003F7A56" w:rsidRPr="006E5FA9" w14:paraId="3C06D582" w14:textId="77777777" w:rsidTr="006E5FA9">
        <w:trPr>
          <w:cantSplit/>
        </w:trPr>
        <w:tc>
          <w:tcPr>
            <w:tcW w:w="1271" w:type="dxa"/>
            <w:tcBorders>
              <w:top w:val="single" w:sz="4" w:space="0" w:color="000000"/>
              <w:left w:val="single" w:sz="4" w:space="0" w:color="000000"/>
              <w:bottom w:val="single" w:sz="4" w:space="0" w:color="000000"/>
              <w:right w:val="single" w:sz="4" w:space="0" w:color="000000"/>
            </w:tcBorders>
            <w:vAlign w:val="center"/>
          </w:tcPr>
          <w:p w14:paraId="0DF79165" w14:textId="77777777" w:rsidR="003F7A56" w:rsidRPr="006E5FA9" w:rsidRDefault="00900184" w:rsidP="006E5FA9">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A 3</w:t>
            </w:r>
          </w:p>
        </w:tc>
        <w:tc>
          <w:tcPr>
            <w:tcW w:w="5670" w:type="dxa"/>
            <w:tcBorders>
              <w:top w:val="single" w:sz="4" w:space="0" w:color="000000"/>
              <w:left w:val="single" w:sz="4" w:space="0" w:color="000000"/>
              <w:bottom w:val="single" w:sz="4" w:space="0" w:color="000000"/>
              <w:right w:val="single" w:sz="4" w:space="0" w:color="000000"/>
            </w:tcBorders>
            <w:vAlign w:val="center"/>
          </w:tcPr>
          <w:p w14:paraId="6D9183FD" w14:textId="77777777" w:rsidR="003F7A56" w:rsidRPr="006E5FA9" w:rsidRDefault="00900184" w:rsidP="006E5FA9">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 xml:space="preserve">G. P. Bregana </w:t>
            </w:r>
            <w:r w:rsidR="00EE6A22" w:rsidRPr="006E5FA9">
              <w:rPr>
                <w:rFonts w:ascii="Times New Roman" w:hAnsi="Times New Roman" w:cs="Times New Roman"/>
              </w:rPr>
              <w:t>-</w:t>
            </w:r>
            <w:r w:rsidRPr="006E5FA9">
              <w:rPr>
                <w:rFonts w:ascii="Times New Roman" w:hAnsi="Times New Roman" w:cs="Times New Roman"/>
              </w:rPr>
              <w:t xml:space="preserve"> Zagreb </w:t>
            </w:r>
            <w:r w:rsidR="00EE6A22" w:rsidRPr="006E5FA9">
              <w:rPr>
                <w:rFonts w:ascii="Times New Roman" w:hAnsi="Times New Roman" w:cs="Times New Roman"/>
              </w:rPr>
              <w:t>-</w:t>
            </w:r>
            <w:r w:rsidRPr="006E5FA9">
              <w:rPr>
                <w:rFonts w:ascii="Times New Roman" w:hAnsi="Times New Roman" w:cs="Times New Roman"/>
              </w:rPr>
              <w:t xml:space="preserve"> Sl. Brod </w:t>
            </w:r>
            <w:r w:rsidR="00EE6A22" w:rsidRPr="006E5FA9">
              <w:rPr>
                <w:rFonts w:ascii="Times New Roman" w:hAnsi="Times New Roman" w:cs="Times New Roman"/>
              </w:rPr>
              <w:t>-</w:t>
            </w:r>
            <w:r w:rsidRPr="006E5FA9">
              <w:rPr>
                <w:rFonts w:ascii="Times New Roman" w:hAnsi="Times New Roman" w:cs="Times New Roman"/>
              </w:rPr>
              <w:t xml:space="preserve"> G. P. Bajakovo</w:t>
            </w:r>
          </w:p>
        </w:tc>
        <w:tc>
          <w:tcPr>
            <w:tcW w:w="2131" w:type="dxa"/>
            <w:tcBorders>
              <w:top w:val="single" w:sz="4" w:space="0" w:color="000000"/>
              <w:left w:val="single" w:sz="4" w:space="0" w:color="000000"/>
              <w:bottom w:val="single" w:sz="4" w:space="0" w:color="000000"/>
              <w:right w:val="single" w:sz="4" w:space="0" w:color="000000"/>
            </w:tcBorders>
            <w:vAlign w:val="center"/>
          </w:tcPr>
          <w:p w14:paraId="028178E0" w14:textId="77777777" w:rsidR="003F7A56" w:rsidRPr="006E5FA9" w:rsidRDefault="00900184" w:rsidP="006E5FA9">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20 km</w:t>
            </w:r>
          </w:p>
        </w:tc>
      </w:tr>
      <w:tr w:rsidR="003F7A56" w:rsidRPr="006E5FA9" w14:paraId="11EE9CB1" w14:textId="77777777" w:rsidTr="006E5FA9">
        <w:trPr>
          <w:cantSplit/>
        </w:trPr>
        <w:tc>
          <w:tcPr>
            <w:tcW w:w="1271" w:type="dxa"/>
            <w:tcBorders>
              <w:top w:val="single" w:sz="4" w:space="0" w:color="000000"/>
              <w:left w:val="single" w:sz="4" w:space="0" w:color="000000"/>
              <w:bottom w:val="single" w:sz="4" w:space="0" w:color="000000"/>
              <w:right w:val="single" w:sz="4" w:space="0" w:color="000000"/>
            </w:tcBorders>
            <w:vAlign w:val="center"/>
          </w:tcPr>
          <w:p w14:paraId="6D39B58A" w14:textId="77777777" w:rsidR="003F7A56" w:rsidRPr="006E5FA9" w:rsidRDefault="00900184" w:rsidP="006E5FA9">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A 4</w:t>
            </w:r>
          </w:p>
        </w:tc>
        <w:tc>
          <w:tcPr>
            <w:tcW w:w="5670" w:type="dxa"/>
            <w:tcBorders>
              <w:top w:val="single" w:sz="4" w:space="0" w:color="000000"/>
              <w:left w:val="single" w:sz="4" w:space="0" w:color="000000"/>
              <w:bottom w:val="single" w:sz="4" w:space="0" w:color="000000"/>
              <w:right w:val="single" w:sz="4" w:space="0" w:color="000000"/>
            </w:tcBorders>
            <w:vAlign w:val="center"/>
          </w:tcPr>
          <w:p w14:paraId="59F673C1" w14:textId="77777777" w:rsidR="003F7A56" w:rsidRPr="006E5FA9" w:rsidRDefault="00900184" w:rsidP="006E5FA9">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 xml:space="preserve">G. P. Goričan </w:t>
            </w:r>
            <w:r w:rsidR="00EE6A22" w:rsidRPr="006E5FA9">
              <w:rPr>
                <w:rFonts w:ascii="Times New Roman" w:hAnsi="Times New Roman" w:cs="Times New Roman"/>
              </w:rPr>
              <w:t>-</w:t>
            </w:r>
            <w:r w:rsidRPr="006E5FA9">
              <w:rPr>
                <w:rFonts w:ascii="Times New Roman" w:hAnsi="Times New Roman" w:cs="Times New Roman"/>
              </w:rPr>
              <w:t xml:space="preserve"> Varaždin </w:t>
            </w:r>
            <w:r w:rsidR="00EE6A22" w:rsidRPr="006E5FA9">
              <w:rPr>
                <w:rFonts w:ascii="Times New Roman" w:hAnsi="Times New Roman" w:cs="Times New Roman"/>
              </w:rPr>
              <w:t>-</w:t>
            </w:r>
            <w:r w:rsidRPr="006E5FA9">
              <w:rPr>
                <w:rFonts w:ascii="Times New Roman" w:hAnsi="Times New Roman" w:cs="Times New Roman"/>
              </w:rPr>
              <w:t xml:space="preserve"> Zagreb (čvor Ivanja Reka,</w:t>
            </w:r>
            <w:r w:rsidR="00E80136" w:rsidRPr="006E5FA9">
              <w:rPr>
                <w:rFonts w:ascii="Times New Roman" w:hAnsi="Times New Roman" w:cs="Times New Roman"/>
              </w:rPr>
              <w:t xml:space="preserve"> </w:t>
            </w:r>
            <w:r w:rsidRPr="006E5FA9">
              <w:rPr>
                <w:rFonts w:ascii="Times New Roman" w:hAnsi="Times New Roman" w:cs="Times New Roman"/>
              </w:rPr>
              <w:t>A3)</w:t>
            </w:r>
          </w:p>
        </w:tc>
        <w:tc>
          <w:tcPr>
            <w:tcW w:w="2131" w:type="dxa"/>
            <w:tcBorders>
              <w:top w:val="single" w:sz="4" w:space="0" w:color="000000"/>
              <w:left w:val="single" w:sz="4" w:space="0" w:color="000000"/>
              <w:bottom w:val="single" w:sz="4" w:space="0" w:color="000000"/>
              <w:right w:val="single" w:sz="4" w:space="0" w:color="000000"/>
            </w:tcBorders>
            <w:vAlign w:val="center"/>
          </w:tcPr>
          <w:p w14:paraId="5EC3A06F" w14:textId="77777777" w:rsidR="003F7A56" w:rsidRPr="006E5FA9" w:rsidRDefault="00900184" w:rsidP="006E5FA9">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10 km</w:t>
            </w:r>
          </w:p>
        </w:tc>
      </w:tr>
      <w:tr w:rsidR="003F7A56" w:rsidRPr="006E5FA9" w14:paraId="7D9C96A4" w14:textId="77777777" w:rsidTr="006E5FA9">
        <w:trPr>
          <w:cantSplit/>
        </w:trPr>
        <w:tc>
          <w:tcPr>
            <w:tcW w:w="1271" w:type="dxa"/>
            <w:tcBorders>
              <w:top w:val="single" w:sz="4" w:space="0" w:color="000000"/>
              <w:left w:val="single" w:sz="4" w:space="0" w:color="000000"/>
              <w:bottom w:val="single" w:sz="4" w:space="0" w:color="000000"/>
              <w:right w:val="single" w:sz="4" w:space="0" w:color="000000"/>
            </w:tcBorders>
            <w:vAlign w:val="center"/>
          </w:tcPr>
          <w:p w14:paraId="09FDE807" w14:textId="77777777" w:rsidR="003F7A56" w:rsidRPr="006E5FA9" w:rsidRDefault="00900184" w:rsidP="006E5FA9">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A 11</w:t>
            </w:r>
          </w:p>
        </w:tc>
        <w:tc>
          <w:tcPr>
            <w:tcW w:w="5670" w:type="dxa"/>
            <w:tcBorders>
              <w:top w:val="single" w:sz="4" w:space="0" w:color="000000"/>
              <w:left w:val="single" w:sz="4" w:space="0" w:color="000000"/>
              <w:bottom w:val="single" w:sz="4" w:space="0" w:color="000000"/>
              <w:right w:val="single" w:sz="4" w:space="0" w:color="000000"/>
            </w:tcBorders>
            <w:vAlign w:val="center"/>
          </w:tcPr>
          <w:p w14:paraId="6CBB1115" w14:textId="77777777" w:rsidR="003F7A56" w:rsidRPr="006E5FA9" w:rsidRDefault="00900184" w:rsidP="006E5FA9">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 xml:space="preserve">Zagreb (čvor Jakuševec, A3) </w:t>
            </w:r>
            <w:r w:rsidR="00EE6A22" w:rsidRPr="006E5FA9">
              <w:rPr>
                <w:rFonts w:ascii="Times New Roman" w:hAnsi="Times New Roman" w:cs="Times New Roman"/>
              </w:rPr>
              <w:t>-</w:t>
            </w:r>
            <w:r w:rsidRPr="006E5FA9">
              <w:rPr>
                <w:rFonts w:ascii="Times New Roman" w:hAnsi="Times New Roman" w:cs="Times New Roman"/>
              </w:rPr>
              <w:t xml:space="preserve"> Velika Gorica </w:t>
            </w:r>
            <w:r w:rsidR="00EE6A22" w:rsidRPr="006E5FA9">
              <w:rPr>
                <w:rFonts w:ascii="Times New Roman" w:hAnsi="Times New Roman" w:cs="Times New Roman"/>
              </w:rPr>
              <w:t>-</w:t>
            </w:r>
            <w:r w:rsidR="00E40AC8" w:rsidRPr="006E5FA9">
              <w:rPr>
                <w:rFonts w:ascii="Times New Roman" w:hAnsi="Times New Roman" w:cs="Times New Roman"/>
              </w:rPr>
              <w:t xml:space="preserve"> </w:t>
            </w:r>
            <w:r w:rsidRPr="006E5FA9">
              <w:rPr>
                <w:rFonts w:ascii="Times New Roman" w:hAnsi="Times New Roman" w:cs="Times New Roman"/>
              </w:rPr>
              <w:t>Sisak</w:t>
            </w:r>
          </w:p>
        </w:tc>
        <w:tc>
          <w:tcPr>
            <w:tcW w:w="2131" w:type="dxa"/>
            <w:tcBorders>
              <w:top w:val="single" w:sz="4" w:space="0" w:color="000000"/>
              <w:left w:val="single" w:sz="4" w:space="0" w:color="000000"/>
              <w:bottom w:val="single" w:sz="4" w:space="0" w:color="000000"/>
              <w:right w:val="single" w:sz="4" w:space="0" w:color="000000"/>
            </w:tcBorders>
            <w:vAlign w:val="center"/>
          </w:tcPr>
          <w:p w14:paraId="5F8B49D7" w14:textId="77777777" w:rsidR="003F7A56" w:rsidRPr="006E5FA9" w:rsidRDefault="00900184" w:rsidP="006E5FA9">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3,2 km</w:t>
            </w:r>
          </w:p>
        </w:tc>
      </w:tr>
    </w:tbl>
    <w:p w14:paraId="7B4C141A" w14:textId="2885891D" w:rsidR="00E40AC8" w:rsidRDefault="00E40AC8" w:rsidP="005142C4">
      <w:pPr>
        <w:spacing w:after="0" w:line="240" w:lineRule="auto"/>
        <w:ind w:left="0" w:right="0" w:firstLine="0"/>
        <w:jc w:val="left"/>
        <w:rPr>
          <w:rFonts w:ascii="Times New Roman" w:hAnsi="Times New Roman" w:cs="Times New Roman"/>
          <w:sz w:val="24"/>
        </w:rPr>
      </w:pPr>
    </w:p>
    <w:p w14:paraId="30AC1378" w14:textId="77777777" w:rsidR="00E40AC8" w:rsidRDefault="00900184" w:rsidP="00E80136">
      <w:pPr>
        <w:spacing w:after="0" w:line="240" w:lineRule="auto"/>
        <w:ind w:right="0"/>
        <w:rPr>
          <w:rFonts w:ascii="Times New Roman" w:hAnsi="Times New Roman" w:cs="Times New Roman"/>
          <w:b/>
          <w:sz w:val="24"/>
        </w:rPr>
      </w:pPr>
      <w:bookmarkStart w:id="16" w:name="_Toc2938538"/>
      <w:r w:rsidRPr="00E80136">
        <w:rPr>
          <w:rFonts w:ascii="Times New Roman" w:hAnsi="Times New Roman" w:cs="Times New Roman"/>
          <w:b/>
          <w:sz w:val="24"/>
        </w:rPr>
        <w:t>2.2. Društveno</w:t>
      </w:r>
      <w:r w:rsidR="00EE6A22" w:rsidRPr="00E80136">
        <w:rPr>
          <w:rFonts w:ascii="Times New Roman" w:hAnsi="Times New Roman" w:cs="Times New Roman"/>
          <w:b/>
          <w:sz w:val="24"/>
        </w:rPr>
        <w:t>-</w:t>
      </w:r>
      <w:r w:rsidRPr="00E80136">
        <w:rPr>
          <w:rFonts w:ascii="Times New Roman" w:hAnsi="Times New Roman" w:cs="Times New Roman"/>
          <w:b/>
          <w:sz w:val="24"/>
        </w:rPr>
        <w:t>politički pokazatelji</w:t>
      </w:r>
      <w:bookmarkEnd w:id="16"/>
    </w:p>
    <w:p w14:paraId="5473BD55" w14:textId="77777777" w:rsidR="00E80136" w:rsidRPr="00E80136" w:rsidRDefault="00E80136" w:rsidP="00E80136">
      <w:pPr>
        <w:spacing w:after="0" w:line="240" w:lineRule="auto"/>
        <w:ind w:right="0"/>
        <w:rPr>
          <w:rFonts w:ascii="Times New Roman" w:hAnsi="Times New Roman" w:cs="Times New Roman"/>
          <w:sz w:val="24"/>
        </w:rPr>
      </w:pPr>
    </w:p>
    <w:p w14:paraId="77333E71" w14:textId="77777777" w:rsidR="00E40AC8" w:rsidRPr="00DB63A4" w:rsidRDefault="00900184" w:rsidP="00DB63A4">
      <w:pPr>
        <w:spacing w:after="0" w:line="240" w:lineRule="auto"/>
        <w:ind w:left="0" w:right="0" w:firstLine="709"/>
        <w:rPr>
          <w:rFonts w:ascii="Times New Roman" w:hAnsi="Times New Roman" w:cs="Times New Roman"/>
          <w:b/>
          <w:sz w:val="24"/>
        </w:rPr>
      </w:pPr>
      <w:bookmarkStart w:id="17" w:name="_Toc2938539"/>
      <w:r w:rsidRPr="00DB63A4">
        <w:rPr>
          <w:rFonts w:ascii="Times New Roman" w:hAnsi="Times New Roman" w:cs="Times New Roman"/>
          <w:b/>
          <w:sz w:val="24"/>
        </w:rPr>
        <w:t>2.2.1. Sjedišta upravnih tijela na području Grada Zagreba</w:t>
      </w:r>
      <w:bookmarkEnd w:id="17"/>
    </w:p>
    <w:p w14:paraId="03EF69B8" w14:textId="079B3AAE" w:rsidR="00E40AC8" w:rsidRPr="005142C4" w:rsidRDefault="00900184" w:rsidP="00E80136">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Budući da je Grad Zagreb glavni grad Republike Hrvatske, u njemu se nalazi mnogo tijela javne vlasti: </w:t>
      </w:r>
      <w:r w:rsidRPr="0032536A">
        <w:rPr>
          <w:rFonts w:ascii="Times New Roman" w:hAnsi="Times New Roman" w:cs="Times New Roman"/>
          <w:color w:val="auto"/>
          <w:sz w:val="24"/>
        </w:rPr>
        <w:t xml:space="preserve">18 državnih tijela i </w:t>
      </w:r>
      <w:r w:rsidR="00033F15" w:rsidRPr="0032536A">
        <w:rPr>
          <w:rFonts w:ascii="Times New Roman" w:hAnsi="Times New Roman" w:cs="Times New Roman"/>
          <w:color w:val="auto"/>
          <w:sz w:val="24"/>
        </w:rPr>
        <w:t>28</w:t>
      </w:r>
      <w:r w:rsidRPr="0032536A">
        <w:rPr>
          <w:rFonts w:ascii="Times New Roman" w:hAnsi="Times New Roman" w:cs="Times New Roman"/>
          <w:color w:val="auto"/>
          <w:sz w:val="24"/>
        </w:rPr>
        <w:t xml:space="preserve"> tijela državne uprave. Nazivi i adrese sjedišta navedeni su u sljedećim tablicama.</w:t>
      </w:r>
    </w:p>
    <w:p w14:paraId="12B76448" w14:textId="77777777" w:rsidR="00E40AC8" w:rsidRPr="005142C4" w:rsidRDefault="00E40AC8" w:rsidP="005142C4">
      <w:pPr>
        <w:spacing w:after="0" w:line="240" w:lineRule="auto"/>
        <w:ind w:left="0" w:right="0" w:firstLine="0"/>
        <w:jc w:val="left"/>
        <w:rPr>
          <w:rFonts w:ascii="Times New Roman" w:hAnsi="Times New Roman" w:cs="Times New Roman"/>
          <w:sz w:val="24"/>
        </w:rPr>
      </w:pPr>
    </w:p>
    <w:p w14:paraId="4D395E29" w14:textId="3DF5F8DF" w:rsidR="00033F15" w:rsidRPr="0032536A" w:rsidRDefault="00033F15" w:rsidP="009D5EFE">
      <w:pPr>
        <w:spacing w:line="240" w:lineRule="auto"/>
        <w:ind w:left="0" w:right="0" w:firstLine="0"/>
        <w:jc w:val="center"/>
        <w:rPr>
          <w:rFonts w:ascii="Times New Roman" w:hAnsi="Times New Roman" w:cs="Times New Roman"/>
          <w:b/>
          <w:color w:val="auto"/>
          <w:sz w:val="24"/>
        </w:rPr>
      </w:pPr>
      <w:r w:rsidRPr="0032536A">
        <w:rPr>
          <w:rFonts w:ascii="Times New Roman" w:hAnsi="Times New Roman" w:cs="Times New Roman"/>
          <w:b/>
          <w:color w:val="auto"/>
          <w:sz w:val="24"/>
        </w:rPr>
        <w:t xml:space="preserve">Tablica </w:t>
      </w:r>
      <w:r w:rsidR="00E12671">
        <w:rPr>
          <w:rFonts w:ascii="Times New Roman" w:hAnsi="Times New Roman" w:cs="Times New Roman"/>
          <w:b/>
          <w:color w:val="auto"/>
          <w:sz w:val="24"/>
        </w:rPr>
        <w:t>5</w:t>
      </w:r>
      <w:r w:rsidRPr="0032536A">
        <w:rPr>
          <w:rFonts w:ascii="Times New Roman" w:hAnsi="Times New Roman" w:cs="Times New Roman"/>
          <w:b/>
          <w:color w:val="auto"/>
          <w:sz w:val="24"/>
        </w:rPr>
        <w:t>. Državna tijela sa sjedištem na području Grada Zagreba</w:t>
      </w:r>
    </w:p>
    <w:tbl>
      <w:tblPr>
        <w:tblStyle w:val="TableGrid"/>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60" w:type="dxa"/>
        </w:tblCellMar>
        <w:tblLook w:val="04A0" w:firstRow="1" w:lastRow="0" w:firstColumn="1" w:lastColumn="0" w:noHBand="0" w:noVBand="1"/>
      </w:tblPr>
      <w:tblGrid>
        <w:gridCol w:w="567"/>
        <w:gridCol w:w="4593"/>
        <w:gridCol w:w="2381"/>
        <w:gridCol w:w="1531"/>
      </w:tblGrid>
      <w:tr w:rsidR="00033F15" w:rsidRPr="00033F15" w14:paraId="09006FEC" w14:textId="77777777" w:rsidTr="008A1035">
        <w:trPr>
          <w:cantSplit/>
          <w:tblHeader/>
        </w:trPr>
        <w:tc>
          <w:tcPr>
            <w:tcW w:w="567" w:type="dxa"/>
            <w:shd w:val="clear" w:color="auto" w:fill="FFC000"/>
            <w:vAlign w:val="center"/>
          </w:tcPr>
          <w:p w14:paraId="609E98B1"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b/>
                <w:color w:val="auto"/>
              </w:rPr>
              <w:t>R.b.</w:t>
            </w:r>
          </w:p>
        </w:tc>
        <w:tc>
          <w:tcPr>
            <w:tcW w:w="4593" w:type="dxa"/>
            <w:shd w:val="clear" w:color="auto" w:fill="FFC000"/>
            <w:vAlign w:val="center"/>
          </w:tcPr>
          <w:p w14:paraId="3F54AE2B"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b/>
                <w:color w:val="auto"/>
              </w:rPr>
              <w:t>Naziv tijela</w:t>
            </w:r>
          </w:p>
        </w:tc>
        <w:tc>
          <w:tcPr>
            <w:tcW w:w="2381" w:type="dxa"/>
            <w:shd w:val="clear" w:color="auto" w:fill="FFC000"/>
            <w:vAlign w:val="center"/>
          </w:tcPr>
          <w:p w14:paraId="2EAA88BB"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b/>
                <w:color w:val="auto"/>
              </w:rPr>
              <w:t>Adresa</w:t>
            </w:r>
          </w:p>
        </w:tc>
        <w:tc>
          <w:tcPr>
            <w:tcW w:w="1531" w:type="dxa"/>
            <w:shd w:val="clear" w:color="auto" w:fill="FFC000"/>
            <w:vAlign w:val="center"/>
          </w:tcPr>
          <w:p w14:paraId="5F4C30FE"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b/>
                <w:color w:val="auto"/>
              </w:rPr>
              <w:t>Godina izgradnje objekata</w:t>
            </w:r>
          </w:p>
        </w:tc>
      </w:tr>
      <w:tr w:rsidR="00033F15" w:rsidRPr="00033F15" w14:paraId="5DD0BBA0" w14:textId="77777777" w:rsidTr="008A1035">
        <w:trPr>
          <w:cantSplit/>
        </w:trPr>
        <w:tc>
          <w:tcPr>
            <w:tcW w:w="567" w:type="dxa"/>
            <w:shd w:val="clear" w:color="auto" w:fill="FFC000"/>
          </w:tcPr>
          <w:p w14:paraId="70D25692"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1.</w:t>
            </w:r>
          </w:p>
        </w:tc>
        <w:tc>
          <w:tcPr>
            <w:tcW w:w="4593" w:type="dxa"/>
            <w:shd w:val="clear" w:color="auto" w:fill="FFC000"/>
          </w:tcPr>
          <w:p w14:paraId="505014D3"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 xml:space="preserve">Državna komisija za kontrolu postupaka javne nabave </w:t>
            </w:r>
          </w:p>
        </w:tc>
        <w:tc>
          <w:tcPr>
            <w:tcW w:w="2381" w:type="dxa"/>
            <w:shd w:val="clear" w:color="auto" w:fill="FFC000"/>
          </w:tcPr>
          <w:p w14:paraId="2B3BD12C"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Koturaška cesta 43/IV.</w:t>
            </w:r>
          </w:p>
        </w:tc>
        <w:tc>
          <w:tcPr>
            <w:tcW w:w="1531" w:type="dxa"/>
            <w:shd w:val="clear" w:color="auto" w:fill="FFC000"/>
          </w:tcPr>
          <w:p w14:paraId="30D45BC1"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p>
        </w:tc>
      </w:tr>
      <w:tr w:rsidR="00033F15" w:rsidRPr="00033F15" w14:paraId="2EE7F498" w14:textId="77777777" w:rsidTr="008A1035">
        <w:trPr>
          <w:cantSplit/>
        </w:trPr>
        <w:tc>
          <w:tcPr>
            <w:tcW w:w="567" w:type="dxa"/>
          </w:tcPr>
          <w:p w14:paraId="2BBAD207"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2.</w:t>
            </w:r>
          </w:p>
        </w:tc>
        <w:tc>
          <w:tcPr>
            <w:tcW w:w="4593" w:type="dxa"/>
          </w:tcPr>
          <w:p w14:paraId="39181569"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 xml:space="preserve">Državni ured za reviziju </w:t>
            </w:r>
          </w:p>
        </w:tc>
        <w:tc>
          <w:tcPr>
            <w:tcW w:w="2381" w:type="dxa"/>
          </w:tcPr>
          <w:p w14:paraId="6BFA1FD4"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 xml:space="preserve">Tkalčićeva 19 </w:t>
            </w:r>
          </w:p>
        </w:tc>
        <w:tc>
          <w:tcPr>
            <w:tcW w:w="1531" w:type="dxa"/>
          </w:tcPr>
          <w:p w14:paraId="75A3FB2D"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p>
        </w:tc>
      </w:tr>
      <w:tr w:rsidR="00033F15" w:rsidRPr="00033F15" w14:paraId="7B89D543" w14:textId="77777777" w:rsidTr="008A1035">
        <w:trPr>
          <w:cantSplit/>
        </w:trPr>
        <w:tc>
          <w:tcPr>
            <w:tcW w:w="567" w:type="dxa"/>
            <w:shd w:val="clear" w:color="auto" w:fill="FFC000"/>
          </w:tcPr>
          <w:p w14:paraId="139F3FD1"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3.</w:t>
            </w:r>
          </w:p>
        </w:tc>
        <w:tc>
          <w:tcPr>
            <w:tcW w:w="4593" w:type="dxa"/>
            <w:shd w:val="clear" w:color="auto" w:fill="FFC000"/>
          </w:tcPr>
          <w:p w14:paraId="5F5FEB2C"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 xml:space="preserve">Državno izborno povjerenstvo Republike Hrvatske </w:t>
            </w:r>
          </w:p>
        </w:tc>
        <w:tc>
          <w:tcPr>
            <w:tcW w:w="2381" w:type="dxa"/>
            <w:shd w:val="clear" w:color="auto" w:fill="FFC000"/>
          </w:tcPr>
          <w:p w14:paraId="7DCDE44D"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 xml:space="preserve">Visoka 15 </w:t>
            </w:r>
          </w:p>
        </w:tc>
        <w:tc>
          <w:tcPr>
            <w:tcW w:w="1531" w:type="dxa"/>
            <w:shd w:val="clear" w:color="auto" w:fill="FFC000"/>
          </w:tcPr>
          <w:p w14:paraId="5EBC5EB3"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p>
        </w:tc>
      </w:tr>
      <w:tr w:rsidR="00033F15" w:rsidRPr="00033F15" w14:paraId="255A9BD5" w14:textId="77777777" w:rsidTr="008A1035">
        <w:trPr>
          <w:cantSplit/>
        </w:trPr>
        <w:tc>
          <w:tcPr>
            <w:tcW w:w="567" w:type="dxa"/>
          </w:tcPr>
          <w:p w14:paraId="71C75C2E"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4.</w:t>
            </w:r>
          </w:p>
        </w:tc>
        <w:tc>
          <w:tcPr>
            <w:tcW w:w="4593" w:type="dxa"/>
          </w:tcPr>
          <w:p w14:paraId="08283FD5"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 xml:space="preserve">Državno odvjetništvo Republike Hrvatske </w:t>
            </w:r>
          </w:p>
        </w:tc>
        <w:tc>
          <w:tcPr>
            <w:tcW w:w="2381" w:type="dxa"/>
          </w:tcPr>
          <w:p w14:paraId="0B25903F"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 xml:space="preserve">Gajeva 30a </w:t>
            </w:r>
          </w:p>
        </w:tc>
        <w:tc>
          <w:tcPr>
            <w:tcW w:w="1531" w:type="dxa"/>
          </w:tcPr>
          <w:p w14:paraId="3B1B6767"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1900.</w:t>
            </w:r>
          </w:p>
        </w:tc>
      </w:tr>
      <w:tr w:rsidR="00033F15" w:rsidRPr="00033F15" w14:paraId="235DDA5A" w14:textId="77777777" w:rsidTr="008A1035">
        <w:trPr>
          <w:cantSplit/>
        </w:trPr>
        <w:tc>
          <w:tcPr>
            <w:tcW w:w="567" w:type="dxa"/>
            <w:shd w:val="clear" w:color="auto" w:fill="FFC000"/>
          </w:tcPr>
          <w:p w14:paraId="201903D0"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lastRenderedPageBreak/>
              <w:t>5.</w:t>
            </w:r>
          </w:p>
        </w:tc>
        <w:tc>
          <w:tcPr>
            <w:tcW w:w="4593" w:type="dxa"/>
            <w:shd w:val="clear" w:color="auto" w:fill="FFC000"/>
          </w:tcPr>
          <w:p w14:paraId="7AB3F656"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 xml:space="preserve">Državno sudbeno vijeće </w:t>
            </w:r>
          </w:p>
        </w:tc>
        <w:tc>
          <w:tcPr>
            <w:tcW w:w="2381" w:type="dxa"/>
            <w:shd w:val="clear" w:color="auto" w:fill="FFC000"/>
          </w:tcPr>
          <w:p w14:paraId="64FE2EC9"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Ulica grada Vukovara 49/IV.</w:t>
            </w:r>
          </w:p>
        </w:tc>
        <w:tc>
          <w:tcPr>
            <w:tcW w:w="1531" w:type="dxa"/>
            <w:shd w:val="clear" w:color="auto" w:fill="FFC000"/>
          </w:tcPr>
          <w:p w14:paraId="0655C471"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1992.</w:t>
            </w:r>
          </w:p>
        </w:tc>
      </w:tr>
      <w:tr w:rsidR="00033F15" w:rsidRPr="00033F15" w14:paraId="07E80838" w14:textId="77777777" w:rsidTr="008A1035">
        <w:trPr>
          <w:cantSplit/>
        </w:trPr>
        <w:tc>
          <w:tcPr>
            <w:tcW w:w="567" w:type="dxa"/>
          </w:tcPr>
          <w:p w14:paraId="628E641E"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6.</w:t>
            </w:r>
          </w:p>
        </w:tc>
        <w:tc>
          <w:tcPr>
            <w:tcW w:w="4593" w:type="dxa"/>
          </w:tcPr>
          <w:p w14:paraId="0BA3C04C"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 xml:space="preserve">Državno-odvjetničko vijeće </w:t>
            </w:r>
          </w:p>
        </w:tc>
        <w:tc>
          <w:tcPr>
            <w:tcW w:w="2381" w:type="dxa"/>
          </w:tcPr>
          <w:p w14:paraId="2414DE94"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Ulica grada Vukovara 49/IV.</w:t>
            </w:r>
          </w:p>
        </w:tc>
        <w:tc>
          <w:tcPr>
            <w:tcW w:w="1531" w:type="dxa"/>
          </w:tcPr>
          <w:p w14:paraId="4FABABBB"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1992.</w:t>
            </w:r>
          </w:p>
        </w:tc>
      </w:tr>
      <w:tr w:rsidR="00033F15" w:rsidRPr="00033F15" w14:paraId="0F6B926A" w14:textId="77777777" w:rsidTr="008A1035">
        <w:trPr>
          <w:cantSplit/>
        </w:trPr>
        <w:tc>
          <w:tcPr>
            <w:tcW w:w="567" w:type="dxa"/>
            <w:shd w:val="clear" w:color="auto" w:fill="FFC000"/>
          </w:tcPr>
          <w:p w14:paraId="6B8FF34E"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7.</w:t>
            </w:r>
          </w:p>
        </w:tc>
        <w:tc>
          <w:tcPr>
            <w:tcW w:w="4593" w:type="dxa"/>
            <w:shd w:val="clear" w:color="auto" w:fill="FFC000"/>
          </w:tcPr>
          <w:p w14:paraId="0C75E290"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 xml:space="preserve">Hrvatska narodna banka - HNB </w:t>
            </w:r>
          </w:p>
        </w:tc>
        <w:tc>
          <w:tcPr>
            <w:tcW w:w="2381" w:type="dxa"/>
            <w:shd w:val="clear" w:color="auto" w:fill="FFC000"/>
          </w:tcPr>
          <w:p w14:paraId="21815F18"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Trg hrvatskih velikana 3 (p.p. 603)</w:t>
            </w:r>
          </w:p>
        </w:tc>
        <w:tc>
          <w:tcPr>
            <w:tcW w:w="1531" w:type="dxa"/>
            <w:shd w:val="clear" w:color="auto" w:fill="FFC000"/>
          </w:tcPr>
          <w:p w14:paraId="7B29D8B5"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1927.</w:t>
            </w:r>
          </w:p>
        </w:tc>
      </w:tr>
      <w:tr w:rsidR="00033F15" w:rsidRPr="00033F15" w14:paraId="3E270F1D" w14:textId="77777777" w:rsidTr="008A1035">
        <w:trPr>
          <w:cantSplit/>
        </w:trPr>
        <w:tc>
          <w:tcPr>
            <w:tcW w:w="567" w:type="dxa"/>
          </w:tcPr>
          <w:p w14:paraId="2CDCAD53"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8.</w:t>
            </w:r>
          </w:p>
        </w:tc>
        <w:tc>
          <w:tcPr>
            <w:tcW w:w="4593" w:type="dxa"/>
          </w:tcPr>
          <w:p w14:paraId="28F20133"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 xml:space="preserve">Hrvatski sabor </w:t>
            </w:r>
          </w:p>
        </w:tc>
        <w:tc>
          <w:tcPr>
            <w:tcW w:w="2381" w:type="dxa"/>
          </w:tcPr>
          <w:p w14:paraId="6724D645"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 xml:space="preserve">Trg sv. Marka 6 </w:t>
            </w:r>
          </w:p>
        </w:tc>
        <w:tc>
          <w:tcPr>
            <w:tcW w:w="1531" w:type="dxa"/>
          </w:tcPr>
          <w:p w14:paraId="0B3CFF9E"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1910.</w:t>
            </w:r>
          </w:p>
        </w:tc>
      </w:tr>
      <w:tr w:rsidR="00033F15" w:rsidRPr="00033F15" w14:paraId="6AC4A93C" w14:textId="77777777" w:rsidTr="008A1035">
        <w:trPr>
          <w:cantSplit/>
        </w:trPr>
        <w:tc>
          <w:tcPr>
            <w:tcW w:w="567" w:type="dxa"/>
            <w:shd w:val="clear" w:color="auto" w:fill="FFC000"/>
          </w:tcPr>
          <w:p w14:paraId="7B7BA6A5"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9.</w:t>
            </w:r>
          </w:p>
        </w:tc>
        <w:tc>
          <w:tcPr>
            <w:tcW w:w="4593" w:type="dxa"/>
            <w:shd w:val="clear" w:color="auto" w:fill="FFC000"/>
          </w:tcPr>
          <w:p w14:paraId="51B50359"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 xml:space="preserve">Povjerenik za informiranje </w:t>
            </w:r>
          </w:p>
        </w:tc>
        <w:tc>
          <w:tcPr>
            <w:tcW w:w="2381" w:type="dxa"/>
            <w:shd w:val="clear" w:color="auto" w:fill="FFC000"/>
          </w:tcPr>
          <w:p w14:paraId="284E4D78"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Trg žrtava fašizma 3</w:t>
            </w:r>
          </w:p>
        </w:tc>
        <w:tc>
          <w:tcPr>
            <w:tcW w:w="1531" w:type="dxa"/>
            <w:shd w:val="clear" w:color="auto" w:fill="FFC000"/>
          </w:tcPr>
          <w:p w14:paraId="5EFEA9CB"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p>
        </w:tc>
      </w:tr>
      <w:tr w:rsidR="00033F15" w:rsidRPr="00033F15" w14:paraId="137755A2" w14:textId="77777777" w:rsidTr="008A1035">
        <w:trPr>
          <w:cantSplit/>
        </w:trPr>
        <w:tc>
          <w:tcPr>
            <w:tcW w:w="567" w:type="dxa"/>
          </w:tcPr>
          <w:p w14:paraId="159D507F"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10.</w:t>
            </w:r>
          </w:p>
        </w:tc>
        <w:tc>
          <w:tcPr>
            <w:tcW w:w="4593" w:type="dxa"/>
          </w:tcPr>
          <w:p w14:paraId="4F25C89D"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 xml:space="preserve">Povjerenstvo za odlučivanje o sukobu interesa </w:t>
            </w:r>
          </w:p>
        </w:tc>
        <w:tc>
          <w:tcPr>
            <w:tcW w:w="2381" w:type="dxa"/>
          </w:tcPr>
          <w:p w14:paraId="778E1CE1"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Ulica kneza Mislava 11/3</w:t>
            </w:r>
          </w:p>
        </w:tc>
        <w:tc>
          <w:tcPr>
            <w:tcW w:w="1531" w:type="dxa"/>
          </w:tcPr>
          <w:p w14:paraId="21F6C885"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p>
        </w:tc>
      </w:tr>
      <w:tr w:rsidR="00033F15" w:rsidRPr="00033F15" w14:paraId="5F13A527" w14:textId="77777777" w:rsidTr="008A1035">
        <w:trPr>
          <w:cantSplit/>
        </w:trPr>
        <w:tc>
          <w:tcPr>
            <w:tcW w:w="567" w:type="dxa"/>
            <w:shd w:val="clear" w:color="auto" w:fill="FFC000"/>
          </w:tcPr>
          <w:p w14:paraId="641CEDFC"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11.</w:t>
            </w:r>
          </w:p>
        </w:tc>
        <w:tc>
          <w:tcPr>
            <w:tcW w:w="4593" w:type="dxa"/>
            <w:shd w:val="clear" w:color="auto" w:fill="FFC000"/>
          </w:tcPr>
          <w:p w14:paraId="44E2B6FC"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 xml:space="preserve">Pravobranitelj za djecu </w:t>
            </w:r>
          </w:p>
        </w:tc>
        <w:tc>
          <w:tcPr>
            <w:tcW w:w="2381" w:type="dxa"/>
            <w:shd w:val="clear" w:color="auto" w:fill="FFC000"/>
          </w:tcPr>
          <w:p w14:paraId="4892C49A"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Ulica Nikole Tesle 10</w:t>
            </w:r>
          </w:p>
        </w:tc>
        <w:tc>
          <w:tcPr>
            <w:tcW w:w="1531" w:type="dxa"/>
            <w:shd w:val="clear" w:color="auto" w:fill="FFC000"/>
          </w:tcPr>
          <w:p w14:paraId="418D26BB"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p>
        </w:tc>
      </w:tr>
      <w:tr w:rsidR="00033F15" w:rsidRPr="00033F15" w14:paraId="32D80EF1" w14:textId="77777777" w:rsidTr="008A1035">
        <w:trPr>
          <w:cantSplit/>
        </w:trPr>
        <w:tc>
          <w:tcPr>
            <w:tcW w:w="567" w:type="dxa"/>
          </w:tcPr>
          <w:p w14:paraId="0FB3C57A"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12.</w:t>
            </w:r>
          </w:p>
        </w:tc>
        <w:tc>
          <w:tcPr>
            <w:tcW w:w="4593" w:type="dxa"/>
          </w:tcPr>
          <w:p w14:paraId="7EAB99E8"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 xml:space="preserve">Pravobranitelj za osobe s invaliditetom </w:t>
            </w:r>
          </w:p>
        </w:tc>
        <w:tc>
          <w:tcPr>
            <w:tcW w:w="2381" w:type="dxa"/>
          </w:tcPr>
          <w:p w14:paraId="183C4927"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Savska cesta 41/III.</w:t>
            </w:r>
          </w:p>
        </w:tc>
        <w:tc>
          <w:tcPr>
            <w:tcW w:w="1531" w:type="dxa"/>
          </w:tcPr>
          <w:p w14:paraId="5BCF17FC"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1976.</w:t>
            </w:r>
          </w:p>
        </w:tc>
      </w:tr>
      <w:tr w:rsidR="00033F15" w:rsidRPr="00033F15" w14:paraId="203C477F" w14:textId="77777777" w:rsidTr="008A1035">
        <w:trPr>
          <w:cantSplit/>
        </w:trPr>
        <w:tc>
          <w:tcPr>
            <w:tcW w:w="567" w:type="dxa"/>
            <w:shd w:val="clear" w:color="auto" w:fill="FFC000"/>
          </w:tcPr>
          <w:p w14:paraId="25C1F8B6"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13.</w:t>
            </w:r>
          </w:p>
        </w:tc>
        <w:tc>
          <w:tcPr>
            <w:tcW w:w="4593" w:type="dxa"/>
            <w:shd w:val="clear" w:color="auto" w:fill="FFC000"/>
          </w:tcPr>
          <w:p w14:paraId="1D6F2AB2"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 xml:space="preserve">Pravobranitelj za ravnopravnost spolova </w:t>
            </w:r>
          </w:p>
        </w:tc>
        <w:tc>
          <w:tcPr>
            <w:tcW w:w="2381" w:type="dxa"/>
            <w:shd w:val="clear" w:color="auto" w:fill="FFC000"/>
          </w:tcPr>
          <w:p w14:paraId="4CC5BA91"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Preobraženska 4/I.</w:t>
            </w:r>
          </w:p>
        </w:tc>
        <w:tc>
          <w:tcPr>
            <w:tcW w:w="1531" w:type="dxa"/>
            <w:shd w:val="clear" w:color="auto" w:fill="FFC000"/>
          </w:tcPr>
          <w:p w14:paraId="58932697"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p>
        </w:tc>
      </w:tr>
      <w:tr w:rsidR="00033F15" w:rsidRPr="00033F15" w14:paraId="0F25CB4B" w14:textId="77777777" w:rsidTr="008A1035">
        <w:trPr>
          <w:cantSplit/>
        </w:trPr>
        <w:tc>
          <w:tcPr>
            <w:tcW w:w="567" w:type="dxa"/>
          </w:tcPr>
          <w:p w14:paraId="438FA868"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14.</w:t>
            </w:r>
          </w:p>
        </w:tc>
        <w:tc>
          <w:tcPr>
            <w:tcW w:w="4593" w:type="dxa"/>
          </w:tcPr>
          <w:p w14:paraId="793C6C61"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Ured predsjednika Republike Hrvatske</w:t>
            </w:r>
            <w:r w:rsidRPr="0032536A">
              <w:rPr>
                <w:rFonts w:ascii="Times New Roman" w:eastAsia="Calibri" w:hAnsi="Times New Roman" w:cs="Times New Roman"/>
                <w:color w:val="auto"/>
              </w:rPr>
              <w:tab/>
            </w:r>
          </w:p>
        </w:tc>
        <w:tc>
          <w:tcPr>
            <w:tcW w:w="2381" w:type="dxa"/>
          </w:tcPr>
          <w:p w14:paraId="1E16B3D6"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Pantovčak 241</w:t>
            </w:r>
          </w:p>
        </w:tc>
        <w:tc>
          <w:tcPr>
            <w:tcW w:w="1531" w:type="dxa"/>
          </w:tcPr>
          <w:p w14:paraId="67FDD01D"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1943.</w:t>
            </w:r>
          </w:p>
        </w:tc>
      </w:tr>
      <w:tr w:rsidR="00033F15" w:rsidRPr="00033F15" w14:paraId="42D881BF" w14:textId="77777777" w:rsidTr="008A1035">
        <w:trPr>
          <w:cantSplit/>
        </w:trPr>
        <w:tc>
          <w:tcPr>
            <w:tcW w:w="567" w:type="dxa"/>
            <w:shd w:val="clear" w:color="auto" w:fill="FFC000"/>
          </w:tcPr>
          <w:p w14:paraId="37F4BF28"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15.</w:t>
            </w:r>
          </w:p>
        </w:tc>
        <w:tc>
          <w:tcPr>
            <w:tcW w:w="4593" w:type="dxa"/>
            <w:shd w:val="clear" w:color="auto" w:fill="FFC000"/>
          </w:tcPr>
          <w:p w14:paraId="4356433D"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 xml:space="preserve">Pučki pravobranitelj </w:t>
            </w:r>
          </w:p>
        </w:tc>
        <w:tc>
          <w:tcPr>
            <w:tcW w:w="2381" w:type="dxa"/>
            <w:shd w:val="clear" w:color="auto" w:fill="FFC000"/>
          </w:tcPr>
          <w:p w14:paraId="5F5E4F9A"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Savska cesta 41/3</w:t>
            </w:r>
            <w:r w:rsidRPr="0032536A">
              <w:rPr>
                <w:rFonts w:ascii="Times New Roman" w:eastAsia="Calibri" w:hAnsi="Times New Roman" w:cs="Times New Roman"/>
                <w:color w:val="auto"/>
              </w:rPr>
              <w:tab/>
            </w:r>
          </w:p>
        </w:tc>
        <w:tc>
          <w:tcPr>
            <w:tcW w:w="1531" w:type="dxa"/>
            <w:shd w:val="clear" w:color="auto" w:fill="FFC000"/>
          </w:tcPr>
          <w:p w14:paraId="4020BBFC"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p>
        </w:tc>
      </w:tr>
      <w:tr w:rsidR="00033F15" w:rsidRPr="00033F15" w14:paraId="2C7F83F2" w14:textId="77777777" w:rsidTr="008A1035">
        <w:trPr>
          <w:cantSplit/>
        </w:trPr>
        <w:tc>
          <w:tcPr>
            <w:tcW w:w="567" w:type="dxa"/>
          </w:tcPr>
          <w:p w14:paraId="06F65601"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16.</w:t>
            </w:r>
          </w:p>
        </w:tc>
        <w:tc>
          <w:tcPr>
            <w:tcW w:w="4593" w:type="dxa"/>
          </w:tcPr>
          <w:p w14:paraId="334E2122"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 xml:space="preserve">Ured Vijeća za nacionalnu sigurnost </w:t>
            </w:r>
          </w:p>
        </w:tc>
        <w:tc>
          <w:tcPr>
            <w:tcW w:w="2381" w:type="dxa"/>
          </w:tcPr>
          <w:p w14:paraId="5759D4BD"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Jurjevska 34</w:t>
            </w:r>
          </w:p>
        </w:tc>
        <w:tc>
          <w:tcPr>
            <w:tcW w:w="1531" w:type="dxa"/>
          </w:tcPr>
          <w:p w14:paraId="2C434A20"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p>
        </w:tc>
      </w:tr>
      <w:tr w:rsidR="00033F15" w:rsidRPr="00033F15" w14:paraId="36037992" w14:textId="77777777" w:rsidTr="008A1035">
        <w:trPr>
          <w:cantSplit/>
        </w:trPr>
        <w:tc>
          <w:tcPr>
            <w:tcW w:w="567" w:type="dxa"/>
            <w:shd w:val="clear" w:color="auto" w:fill="FFC000"/>
          </w:tcPr>
          <w:p w14:paraId="32F597FB"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17.</w:t>
            </w:r>
          </w:p>
        </w:tc>
        <w:tc>
          <w:tcPr>
            <w:tcW w:w="4593" w:type="dxa"/>
            <w:shd w:val="clear" w:color="auto" w:fill="FFC000"/>
          </w:tcPr>
          <w:p w14:paraId="12D45373"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 xml:space="preserve">Ustavni sud Republike Hrvatske </w:t>
            </w:r>
          </w:p>
        </w:tc>
        <w:tc>
          <w:tcPr>
            <w:tcW w:w="2381" w:type="dxa"/>
            <w:shd w:val="clear" w:color="auto" w:fill="FFC000"/>
          </w:tcPr>
          <w:p w14:paraId="76921F64"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Trg sv. Marka 4</w:t>
            </w:r>
          </w:p>
        </w:tc>
        <w:tc>
          <w:tcPr>
            <w:tcW w:w="1531" w:type="dxa"/>
            <w:shd w:val="clear" w:color="auto" w:fill="FFC000"/>
          </w:tcPr>
          <w:p w14:paraId="5ECB3D81"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Prije 1770., pregradnja 1867., dogradnja 1896., 1922.-1923.</w:t>
            </w:r>
          </w:p>
        </w:tc>
      </w:tr>
      <w:tr w:rsidR="00033F15" w:rsidRPr="00033F15" w14:paraId="77C2785A" w14:textId="77777777" w:rsidTr="008A1035">
        <w:trPr>
          <w:cantSplit/>
        </w:trPr>
        <w:tc>
          <w:tcPr>
            <w:tcW w:w="567" w:type="dxa"/>
          </w:tcPr>
          <w:p w14:paraId="3E5BAB9C"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18.</w:t>
            </w:r>
          </w:p>
        </w:tc>
        <w:tc>
          <w:tcPr>
            <w:tcW w:w="4593" w:type="dxa"/>
          </w:tcPr>
          <w:p w14:paraId="5DD343C8"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 xml:space="preserve">Vlada Republike Hrvatske </w:t>
            </w:r>
          </w:p>
        </w:tc>
        <w:tc>
          <w:tcPr>
            <w:tcW w:w="2381" w:type="dxa"/>
          </w:tcPr>
          <w:p w14:paraId="0CDC2DC5" w14:textId="77777777" w:rsidR="00033F15" w:rsidRPr="0032536A" w:rsidRDefault="00033F15" w:rsidP="008A1035">
            <w:pPr>
              <w:spacing w:after="0" w:line="240" w:lineRule="auto"/>
              <w:ind w:left="0" w:right="0" w:firstLine="0"/>
              <w:jc w:val="left"/>
              <w:rPr>
                <w:rFonts w:ascii="Times New Roman" w:hAnsi="Times New Roman" w:cs="Times New Roman"/>
                <w:color w:val="auto"/>
              </w:rPr>
            </w:pPr>
            <w:r w:rsidRPr="0032536A">
              <w:rPr>
                <w:rFonts w:ascii="Times New Roman" w:eastAsia="Calibri" w:hAnsi="Times New Roman" w:cs="Times New Roman"/>
                <w:color w:val="auto"/>
              </w:rPr>
              <w:t>Trg sv. Marka 2</w:t>
            </w:r>
          </w:p>
        </w:tc>
        <w:tc>
          <w:tcPr>
            <w:tcW w:w="1531" w:type="dxa"/>
          </w:tcPr>
          <w:p w14:paraId="75D4976F"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Polovica 18. st, dogradnja 1882.</w:t>
            </w:r>
          </w:p>
        </w:tc>
      </w:tr>
    </w:tbl>
    <w:p w14:paraId="7A901EC9" w14:textId="77777777" w:rsidR="00033F15" w:rsidRPr="0032536A" w:rsidRDefault="00033F15" w:rsidP="00033F15">
      <w:pPr>
        <w:spacing w:after="0" w:line="240" w:lineRule="auto"/>
        <w:ind w:left="-57" w:right="-57" w:firstLine="0"/>
        <w:jc w:val="center"/>
        <w:rPr>
          <w:rFonts w:ascii="Times New Roman" w:eastAsia="Calibri" w:hAnsi="Times New Roman" w:cs="Times New Roman"/>
          <w:i/>
          <w:color w:val="auto"/>
          <w:sz w:val="20"/>
        </w:rPr>
      </w:pPr>
      <w:r w:rsidRPr="0032536A">
        <w:rPr>
          <w:rFonts w:ascii="Times New Roman" w:eastAsia="Calibri" w:hAnsi="Times New Roman" w:cs="Times New Roman"/>
          <w:i/>
          <w:color w:val="auto"/>
          <w:sz w:val="20"/>
        </w:rPr>
        <w:t>Izvor: Povjerenik za informiranje; godine izgradnje - Gradski ured za imovinsko-pravne poslove i imovinu Grada</w:t>
      </w:r>
    </w:p>
    <w:p w14:paraId="1529C481" w14:textId="77777777" w:rsidR="00516622" w:rsidRPr="00E80136" w:rsidRDefault="00516622" w:rsidP="00AC32CB">
      <w:pPr>
        <w:spacing w:after="0" w:line="240" w:lineRule="auto"/>
        <w:ind w:left="0" w:right="-57" w:firstLine="0"/>
        <w:rPr>
          <w:rFonts w:ascii="Times New Roman" w:hAnsi="Times New Roman" w:cs="Times New Roman"/>
          <w:sz w:val="24"/>
        </w:rPr>
      </w:pPr>
    </w:p>
    <w:p w14:paraId="5F470FA9" w14:textId="1F57685A" w:rsidR="00033F15" w:rsidRPr="0032536A" w:rsidRDefault="00033F15" w:rsidP="009D5EFE">
      <w:pPr>
        <w:spacing w:line="240" w:lineRule="auto"/>
        <w:ind w:left="0" w:right="0" w:firstLine="0"/>
        <w:jc w:val="center"/>
        <w:rPr>
          <w:rFonts w:ascii="Times New Roman" w:hAnsi="Times New Roman" w:cs="Times New Roman"/>
          <w:b/>
          <w:color w:val="auto"/>
          <w:sz w:val="24"/>
        </w:rPr>
      </w:pPr>
      <w:r w:rsidRPr="0032536A">
        <w:rPr>
          <w:rFonts w:ascii="Times New Roman" w:hAnsi="Times New Roman" w:cs="Times New Roman"/>
          <w:b/>
          <w:color w:val="auto"/>
          <w:sz w:val="24"/>
        </w:rPr>
        <w:t xml:space="preserve">Tablica </w:t>
      </w:r>
      <w:r w:rsidR="00E12671">
        <w:rPr>
          <w:rFonts w:ascii="Times New Roman" w:hAnsi="Times New Roman" w:cs="Times New Roman"/>
          <w:b/>
          <w:color w:val="auto"/>
          <w:sz w:val="24"/>
        </w:rPr>
        <w:t>6</w:t>
      </w:r>
      <w:r w:rsidRPr="0032536A">
        <w:rPr>
          <w:rFonts w:ascii="Times New Roman" w:hAnsi="Times New Roman" w:cs="Times New Roman"/>
          <w:b/>
          <w:color w:val="auto"/>
          <w:sz w:val="24"/>
        </w:rPr>
        <w:t>. Tijela državne uprave sa sjedištem na području Grada Zagreba</w:t>
      </w:r>
    </w:p>
    <w:tbl>
      <w:tblPr>
        <w:tblStyle w:val="TableGrid"/>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67"/>
        <w:gridCol w:w="4593"/>
        <w:gridCol w:w="2381"/>
        <w:gridCol w:w="1531"/>
      </w:tblGrid>
      <w:tr w:rsidR="00033F15" w:rsidRPr="00033F15" w14:paraId="00A538D2" w14:textId="77777777" w:rsidTr="008A1035">
        <w:trPr>
          <w:cantSplit/>
          <w:tblHeader/>
        </w:trPr>
        <w:tc>
          <w:tcPr>
            <w:tcW w:w="567" w:type="dxa"/>
            <w:shd w:val="clear" w:color="auto" w:fill="FFC000"/>
            <w:vAlign w:val="center"/>
          </w:tcPr>
          <w:p w14:paraId="1C514380"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b/>
                <w:color w:val="auto"/>
                <w:szCs w:val="20"/>
              </w:rPr>
              <w:t>R.b.</w:t>
            </w:r>
          </w:p>
        </w:tc>
        <w:tc>
          <w:tcPr>
            <w:tcW w:w="4593" w:type="dxa"/>
            <w:shd w:val="clear" w:color="auto" w:fill="FFC000"/>
            <w:vAlign w:val="center"/>
          </w:tcPr>
          <w:p w14:paraId="74974ACE"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b/>
                <w:color w:val="auto"/>
                <w:szCs w:val="20"/>
              </w:rPr>
              <w:t>Naziv tijela</w:t>
            </w:r>
          </w:p>
        </w:tc>
        <w:tc>
          <w:tcPr>
            <w:tcW w:w="2381" w:type="dxa"/>
            <w:shd w:val="clear" w:color="auto" w:fill="FFC000"/>
            <w:vAlign w:val="center"/>
          </w:tcPr>
          <w:p w14:paraId="6B1DC1B6"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b/>
                <w:color w:val="auto"/>
                <w:szCs w:val="20"/>
              </w:rPr>
              <w:t>Adresa</w:t>
            </w:r>
          </w:p>
        </w:tc>
        <w:tc>
          <w:tcPr>
            <w:tcW w:w="1531" w:type="dxa"/>
            <w:shd w:val="clear" w:color="auto" w:fill="FFC000"/>
            <w:vAlign w:val="center"/>
          </w:tcPr>
          <w:p w14:paraId="6F9D4D23"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b/>
                <w:color w:val="auto"/>
                <w:szCs w:val="20"/>
              </w:rPr>
              <w:t>Godina izgradnje objekata</w:t>
            </w:r>
          </w:p>
        </w:tc>
      </w:tr>
      <w:tr w:rsidR="00033F15" w:rsidRPr="00033F15" w14:paraId="4B9C9115" w14:textId="77777777" w:rsidTr="008A1035">
        <w:trPr>
          <w:cantSplit/>
        </w:trPr>
        <w:tc>
          <w:tcPr>
            <w:tcW w:w="567" w:type="dxa"/>
            <w:shd w:val="clear" w:color="auto" w:fill="FFC000"/>
          </w:tcPr>
          <w:p w14:paraId="5D818291"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1.</w:t>
            </w:r>
          </w:p>
        </w:tc>
        <w:tc>
          <w:tcPr>
            <w:tcW w:w="4593" w:type="dxa"/>
            <w:shd w:val="clear" w:color="auto" w:fill="FFC000"/>
          </w:tcPr>
          <w:p w14:paraId="4C7AC9F2"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eastAsia="Calibri" w:hAnsi="Times New Roman" w:cs="Times New Roman"/>
                <w:color w:val="auto"/>
                <w:szCs w:val="20"/>
              </w:rPr>
              <w:t xml:space="preserve">Državna geodetska uprava </w:t>
            </w:r>
          </w:p>
        </w:tc>
        <w:tc>
          <w:tcPr>
            <w:tcW w:w="2381" w:type="dxa"/>
            <w:shd w:val="clear" w:color="auto" w:fill="FFC000"/>
          </w:tcPr>
          <w:p w14:paraId="1DA222FB"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eastAsia="Calibri" w:hAnsi="Times New Roman" w:cs="Times New Roman"/>
                <w:color w:val="auto"/>
                <w:szCs w:val="20"/>
              </w:rPr>
              <w:t xml:space="preserve">Gruška 20 </w:t>
            </w:r>
          </w:p>
        </w:tc>
        <w:tc>
          <w:tcPr>
            <w:tcW w:w="1531" w:type="dxa"/>
            <w:shd w:val="clear" w:color="auto" w:fill="FFC000"/>
          </w:tcPr>
          <w:p w14:paraId="7024B765"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p>
        </w:tc>
      </w:tr>
      <w:tr w:rsidR="00033F15" w:rsidRPr="00033F15" w14:paraId="7BA87CE0" w14:textId="77777777" w:rsidTr="008A1035">
        <w:trPr>
          <w:cantSplit/>
        </w:trPr>
        <w:tc>
          <w:tcPr>
            <w:tcW w:w="567" w:type="dxa"/>
          </w:tcPr>
          <w:p w14:paraId="5076A1FA"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2.</w:t>
            </w:r>
          </w:p>
        </w:tc>
        <w:tc>
          <w:tcPr>
            <w:tcW w:w="4593" w:type="dxa"/>
          </w:tcPr>
          <w:p w14:paraId="7230DB5E"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eastAsia="Calibri" w:hAnsi="Times New Roman" w:cs="Times New Roman"/>
                <w:color w:val="auto"/>
                <w:szCs w:val="20"/>
              </w:rPr>
              <w:t>Državni hidrometeorološki zavod</w:t>
            </w:r>
          </w:p>
        </w:tc>
        <w:tc>
          <w:tcPr>
            <w:tcW w:w="2381" w:type="dxa"/>
          </w:tcPr>
          <w:p w14:paraId="575CA666"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eastAsia="Calibri" w:hAnsi="Times New Roman" w:cs="Times New Roman"/>
                <w:color w:val="auto"/>
                <w:szCs w:val="20"/>
              </w:rPr>
              <w:t>Ravnice 48</w:t>
            </w:r>
            <w:r w:rsidRPr="0032536A">
              <w:rPr>
                <w:rFonts w:ascii="Times New Roman" w:eastAsia="Calibri" w:hAnsi="Times New Roman" w:cs="Times New Roman"/>
                <w:color w:val="auto"/>
                <w:szCs w:val="20"/>
              </w:rPr>
              <w:tab/>
            </w:r>
          </w:p>
        </w:tc>
        <w:tc>
          <w:tcPr>
            <w:tcW w:w="1531" w:type="dxa"/>
          </w:tcPr>
          <w:p w14:paraId="18687DA2"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p>
        </w:tc>
      </w:tr>
      <w:tr w:rsidR="00033F15" w:rsidRPr="00033F15" w14:paraId="4BCD0912" w14:textId="77777777" w:rsidTr="008A1035">
        <w:trPr>
          <w:cantSplit/>
        </w:trPr>
        <w:tc>
          <w:tcPr>
            <w:tcW w:w="567" w:type="dxa"/>
            <w:shd w:val="clear" w:color="auto" w:fill="FFC000"/>
          </w:tcPr>
          <w:p w14:paraId="09CB9317"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3.</w:t>
            </w:r>
          </w:p>
        </w:tc>
        <w:tc>
          <w:tcPr>
            <w:tcW w:w="4593" w:type="dxa"/>
            <w:shd w:val="clear" w:color="auto" w:fill="FFC000"/>
          </w:tcPr>
          <w:p w14:paraId="61D69A9E"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Državni inspektorat</w:t>
            </w:r>
          </w:p>
        </w:tc>
        <w:tc>
          <w:tcPr>
            <w:tcW w:w="2381" w:type="dxa"/>
            <w:shd w:val="clear" w:color="auto" w:fill="FFC000"/>
          </w:tcPr>
          <w:p w14:paraId="00F68142"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Šubićeva 29</w:t>
            </w:r>
            <w:r w:rsidRPr="0032536A">
              <w:rPr>
                <w:rFonts w:ascii="Times New Roman" w:hAnsi="Times New Roman" w:cs="Times New Roman"/>
                <w:color w:val="auto"/>
                <w:szCs w:val="20"/>
              </w:rPr>
              <w:tab/>
            </w:r>
          </w:p>
        </w:tc>
        <w:tc>
          <w:tcPr>
            <w:tcW w:w="1531" w:type="dxa"/>
            <w:shd w:val="clear" w:color="auto" w:fill="FFC000"/>
          </w:tcPr>
          <w:p w14:paraId="0BC97CFF"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p>
        </w:tc>
      </w:tr>
      <w:tr w:rsidR="00033F15" w:rsidRPr="00033F15" w14:paraId="7BB6846C" w14:textId="77777777" w:rsidTr="008A1035">
        <w:trPr>
          <w:cantSplit/>
        </w:trPr>
        <w:tc>
          <w:tcPr>
            <w:tcW w:w="567" w:type="dxa"/>
          </w:tcPr>
          <w:p w14:paraId="13E1D2FE"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4.</w:t>
            </w:r>
          </w:p>
        </w:tc>
        <w:tc>
          <w:tcPr>
            <w:tcW w:w="4593" w:type="dxa"/>
          </w:tcPr>
          <w:p w14:paraId="5968152A"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eastAsia="Calibri" w:hAnsi="Times New Roman" w:cs="Times New Roman"/>
                <w:color w:val="auto"/>
                <w:szCs w:val="20"/>
              </w:rPr>
              <w:t xml:space="preserve">Državni zavod za intelektualno vlasništvo </w:t>
            </w:r>
          </w:p>
        </w:tc>
        <w:tc>
          <w:tcPr>
            <w:tcW w:w="2381" w:type="dxa"/>
          </w:tcPr>
          <w:p w14:paraId="0900E39F"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eastAsia="Calibri" w:hAnsi="Times New Roman" w:cs="Times New Roman"/>
                <w:color w:val="auto"/>
                <w:szCs w:val="20"/>
              </w:rPr>
              <w:t xml:space="preserve">Ulica grada Vukovara 78 </w:t>
            </w:r>
          </w:p>
        </w:tc>
        <w:tc>
          <w:tcPr>
            <w:tcW w:w="1531" w:type="dxa"/>
          </w:tcPr>
          <w:p w14:paraId="02290BCE"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1981.</w:t>
            </w:r>
          </w:p>
        </w:tc>
      </w:tr>
      <w:tr w:rsidR="00033F15" w:rsidRPr="00033F15" w14:paraId="5F92C69C" w14:textId="77777777" w:rsidTr="008A1035">
        <w:trPr>
          <w:cantSplit/>
          <w:trHeight w:val="289"/>
        </w:trPr>
        <w:tc>
          <w:tcPr>
            <w:tcW w:w="567" w:type="dxa"/>
            <w:shd w:val="clear" w:color="auto" w:fill="FFC000"/>
          </w:tcPr>
          <w:p w14:paraId="240311FC"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5.</w:t>
            </w:r>
          </w:p>
        </w:tc>
        <w:tc>
          <w:tcPr>
            <w:tcW w:w="4593" w:type="dxa"/>
            <w:shd w:val="clear" w:color="auto" w:fill="FFC000"/>
          </w:tcPr>
          <w:p w14:paraId="24D5A692"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eastAsia="Calibri" w:hAnsi="Times New Roman" w:cs="Times New Roman"/>
                <w:color w:val="auto"/>
                <w:szCs w:val="20"/>
              </w:rPr>
              <w:t xml:space="preserve">Državni zavod za mjeriteljstvo </w:t>
            </w:r>
          </w:p>
        </w:tc>
        <w:tc>
          <w:tcPr>
            <w:tcW w:w="2381" w:type="dxa"/>
            <w:shd w:val="clear" w:color="auto" w:fill="FFC000"/>
          </w:tcPr>
          <w:p w14:paraId="33640775"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eastAsia="Calibri" w:hAnsi="Times New Roman" w:cs="Times New Roman"/>
                <w:color w:val="auto"/>
                <w:szCs w:val="20"/>
              </w:rPr>
              <w:t xml:space="preserve">Capraška 6 </w:t>
            </w:r>
          </w:p>
        </w:tc>
        <w:tc>
          <w:tcPr>
            <w:tcW w:w="1531" w:type="dxa"/>
            <w:shd w:val="clear" w:color="auto" w:fill="FFC000"/>
          </w:tcPr>
          <w:p w14:paraId="1F7ED3DF"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p>
        </w:tc>
      </w:tr>
      <w:tr w:rsidR="00033F15" w:rsidRPr="00033F15" w14:paraId="573B6132" w14:textId="77777777" w:rsidTr="008A1035">
        <w:trPr>
          <w:cantSplit/>
        </w:trPr>
        <w:tc>
          <w:tcPr>
            <w:tcW w:w="567" w:type="dxa"/>
          </w:tcPr>
          <w:p w14:paraId="1CDA3C25"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6.</w:t>
            </w:r>
          </w:p>
        </w:tc>
        <w:tc>
          <w:tcPr>
            <w:tcW w:w="4593" w:type="dxa"/>
          </w:tcPr>
          <w:p w14:paraId="7B421960"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eastAsia="Calibri" w:hAnsi="Times New Roman" w:cs="Times New Roman"/>
                <w:color w:val="auto"/>
                <w:szCs w:val="20"/>
              </w:rPr>
              <w:t>Državni zavod za statistiku</w:t>
            </w:r>
          </w:p>
        </w:tc>
        <w:tc>
          <w:tcPr>
            <w:tcW w:w="2381" w:type="dxa"/>
          </w:tcPr>
          <w:p w14:paraId="31D47216"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eastAsia="Calibri" w:hAnsi="Times New Roman" w:cs="Times New Roman"/>
                <w:color w:val="auto"/>
                <w:szCs w:val="20"/>
              </w:rPr>
              <w:t xml:space="preserve">Ilica 3  </w:t>
            </w:r>
          </w:p>
        </w:tc>
        <w:tc>
          <w:tcPr>
            <w:tcW w:w="1531" w:type="dxa"/>
          </w:tcPr>
          <w:p w14:paraId="3E29735C"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hAnsi="Times New Roman" w:cs="Times New Roman"/>
                <w:color w:val="auto"/>
                <w:szCs w:val="20"/>
              </w:rPr>
              <w:t>1898.</w:t>
            </w:r>
          </w:p>
        </w:tc>
      </w:tr>
      <w:tr w:rsidR="00033F15" w:rsidRPr="00033F15" w14:paraId="459AE95A" w14:textId="77777777" w:rsidTr="008A1035">
        <w:trPr>
          <w:cantSplit/>
        </w:trPr>
        <w:tc>
          <w:tcPr>
            <w:tcW w:w="567" w:type="dxa"/>
            <w:shd w:val="clear" w:color="auto" w:fill="FFC000"/>
          </w:tcPr>
          <w:p w14:paraId="1C0C8DAA"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7.</w:t>
            </w:r>
          </w:p>
        </w:tc>
        <w:tc>
          <w:tcPr>
            <w:tcW w:w="4593" w:type="dxa"/>
            <w:shd w:val="clear" w:color="auto" w:fill="FFC000"/>
          </w:tcPr>
          <w:p w14:paraId="28A365B6"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eastAsia="Calibri" w:hAnsi="Times New Roman" w:cs="Times New Roman"/>
                <w:color w:val="auto"/>
                <w:szCs w:val="20"/>
              </w:rPr>
              <w:t>Hrvatska vatrogasna zajednica</w:t>
            </w:r>
          </w:p>
        </w:tc>
        <w:tc>
          <w:tcPr>
            <w:tcW w:w="2381" w:type="dxa"/>
            <w:shd w:val="clear" w:color="auto" w:fill="FFC000"/>
          </w:tcPr>
          <w:p w14:paraId="1F81BE60"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eastAsia="Calibri" w:hAnsi="Times New Roman" w:cs="Times New Roman"/>
                <w:color w:val="auto"/>
                <w:szCs w:val="20"/>
              </w:rPr>
              <w:t>Selska cesta 90a</w:t>
            </w:r>
            <w:r w:rsidRPr="0032536A">
              <w:rPr>
                <w:rFonts w:ascii="Times New Roman" w:eastAsia="Calibri" w:hAnsi="Times New Roman" w:cs="Times New Roman"/>
                <w:color w:val="auto"/>
                <w:szCs w:val="20"/>
              </w:rPr>
              <w:tab/>
            </w:r>
          </w:p>
        </w:tc>
        <w:tc>
          <w:tcPr>
            <w:tcW w:w="1531" w:type="dxa"/>
            <w:shd w:val="clear" w:color="auto" w:fill="FFC000"/>
          </w:tcPr>
          <w:p w14:paraId="4F7138BF"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p>
        </w:tc>
      </w:tr>
      <w:tr w:rsidR="00033F15" w:rsidRPr="00033F15" w14:paraId="7F6267A5" w14:textId="77777777" w:rsidTr="008A1035">
        <w:trPr>
          <w:cantSplit/>
        </w:trPr>
        <w:tc>
          <w:tcPr>
            <w:tcW w:w="567" w:type="dxa"/>
          </w:tcPr>
          <w:p w14:paraId="62F70619"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8.</w:t>
            </w:r>
          </w:p>
        </w:tc>
        <w:tc>
          <w:tcPr>
            <w:tcW w:w="4593" w:type="dxa"/>
          </w:tcPr>
          <w:p w14:paraId="39B1D635"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eastAsia="Calibri" w:hAnsi="Times New Roman" w:cs="Times New Roman"/>
                <w:color w:val="auto"/>
                <w:szCs w:val="20"/>
              </w:rPr>
              <w:t>Ministarstvo financija</w:t>
            </w:r>
          </w:p>
        </w:tc>
        <w:tc>
          <w:tcPr>
            <w:tcW w:w="2381" w:type="dxa"/>
          </w:tcPr>
          <w:p w14:paraId="76738305"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eastAsia="Calibri" w:hAnsi="Times New Roman" w:cs="Times New Roman"/>
                <w:color w:val="auto"/>
                <w:szCs w:val="20"/>
              </w:rPr>
              <w:t>Katančićeva 5</w:t>
            </w:r>
          </w:p>
        </w:tc>
        <w:tc>
          <w:tcPr>
            <w:tcW w:w="1531" w:type="dxa"/>
          </w:tcPr>
          <w:p w14:paraId="487659DE"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1903.</w:t>
            </w:r>
          </w:p>
        </w:tc>
      </w:tr>
      <w:tr w:rsidR="00033F15" w:rsidRPr="00033F15" w14:paraId="136FCA67" w14:textId="77777777" w:rsidTr="008A1035">
        <w:trPr>
          <w:cantSplit/>
        </w:trPr>
        <w:tc>
          <w:tcPr>
            <w:tcW w:w="567" w:type="dxa"/>
            <w:shd w:val="clear" w:color="auto" w:fill="FFC000"/>
          </w:tcPr>
          <w:p w14:paraId="7D2F2883"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hAnsi="Times New Roman" w:cs="Times New Roman"/>
                <w:color w:val="auto"/>
                <w:szCs w:val="20"/>
              </w:rPr>
              <w:t>9.</w:t>
            </w:r>
          </w:p>
        </w:tc>
        <w:tc>
          <w:tcPr>
            <w:tcW w:w="4593" w:type="dxa"/>
            <w:shd w:val="clear" w:color="auto" w:fill="FFC000"/>
          </w:tcPr>
          <w:p w14:paraId="1532284C"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Ministarstvo gospodarstva i održivog razvoja</w:t>
            </w:r>
          </w:p>
        </w:tc>
        <w:tc>
          <w:tcPr>
            <w:tcW w:w="2381" w:type="dxa"/>
            <w:shd w:val="clear" w:color="auto" w:fill="FFC000"/>
          </w:tcPr>
          <w:p w14:paraId="4040A514"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Ulica grada Vukovara 78 i Radnička cesta 80</w:t>
            </w:r>
          </w:p>
        </w:tc>
        <w:tc>
          <w:tcPr>
            <w:tcW w:w="1531" w:type="dxa"/>
            <w:shd w:val="clear" w:color="auto" w:fill="FFC000"/>
          </w:tcPr>
          <w:p w14:paraId="0B09D652"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hAnsi="Times New Roman" w:cs="Times New Roman"/>
                <w:color w:val="auto"/>
                <w:szCs w:val="20"/>
              </w:rPr>
              <w:t>1981.</w:t>
            </w:r>
          </w:p>
        </w:tc>
      </w:tr>
      <w:tr w:rsidR="00033F15" w:rsidRPr="00033F15" w14:paraId="163B0E10" w14:textId="77777777" w:rsidTr="008A1035">
        <w:trPr>
          <w:cantSplit/>
        </w:trPr>
        <w:tc>
          <w:tcPr>
            <w:tcW w:w="567" w:type="dxa"/>
          </w:tcPr>
          <w:p w14:paraId="42B49740"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10.</w:t>
            </w:r>
          </w:p>
        </w:tc>
        <w:tc>
          <w:tcPr>
            <w:tcW w:w="4593" w:type="dxa"/>
          </w:tcPr>
          <w:p w14:paraId="251B572E"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eastAsia="Calibri" w:hAnsi="Times New Roman" w:cs="Times New Roman"/>
                <w:color w:val="auto"/>
                <w:szCs w:val="20"/>
              </w:rPr>
              <w:t>Ministarstvo hrvatskih branitelja</w:t>
            </w:r>
          </w:p>
        </w:tc>
        <w:tc>
          <w:tcPr>
            <w:tcW w:w="2381" w:type="dxa"/>
          </w:tcPr>
          <w:p w14:paraId="24EC4CE4"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Trg Nevenke Topalušić 1</w:t>
            </w:r>
          </w:p>
        </w:tc>
        <w:tc>
          <w:tcPr>
            <w:tcW w:w="1531" w:type="dxa"/>
          </w:tcPr>
          <w:p w14:paraId="184E7DC1"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hAnsi="Times New Roman" w:cs="Times New Roman"/>
                <w:color w:val="auto"/>
                <w:szCs w:val="20"/>
              </w:rPr>
              <w:t>1972.</w:t>
            </w:r>
          </w:p>
        </w:tc>
      </w:tr>
      <w:tr w:rsidR="00033F15" w:rsidRPr="00033F15" w14:paraId="7BA9B4E5" w14:textId="77777777" w:rsidTr="008A1035">
        <w:trPr>
          <w:cantSplit/>
        </w:trPr>
        <w:tc>
          <w:tcPr>
            <w:tcW w:w="567" w:type="dxa"/>
            <w:shd w:val="clear" w:color="auto" w:fill="FFC000"/>
          </w:tcPr>
          <w:p w14:paraId="72973115"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11.</w:t>
            </w:r>
          </w:p>
        </w:tc>
        <w:tc>
          <w:tcPr>
            <w:tcW w:w="4593" w:type="dxa"/>
            <w:shd w:val="clear" w:color="auto" w:fill="FFC000"/>
          </w:tcPr>
          <w:p w14:paraId="2D42F874"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Ministarstvo kulture i medija</w:t>
            </w:r>
          </w:p>
        </w:tc>
        <w:tc>
          <w:tcPr>
            <w:tcW w:w="2381" w:type="dxa"/>
            <w:shd w:val="clear" w:color="auto" w:fill="FFC000"/>
          </w:tcPr>
          <w:p w14:paraId="7D423D7F"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Runjaninova 2</w:t>
            </w:r>
          </w:p>
        </w:tc>
        <w:tc>
          <w:tcPr>
            <w:tcW w:w="1531" w:type="dxa"/>
            <w:shd w:val="clear" w:color="auto" w:fill="FFC000"/>
          </w:tcPr>
          <w:p w14:paraId="713E3CA7"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hAnsi="Times New Roman" w:cs="Times New Roman"/>
                <w:color w:val="auto"/>
                <w:szCs w:val="20"/>
              </w:rPr>
              <w:t>1912.</w:t>
            </w:r>
          </w:p>
        </w:tc>
      </w:tr>
      <w:tr w:rsidR="00033F15" w:rsidRPr="00033F15" w14:paraId="6D268E86" w14:textId="77777777" w:rsidTr="008A1035">
        <w:trPr>
          <w:cantSplit/>
        </w:trPr>
        <w:tc>
          <w:tcPr>
            <w:tcW w:w="567" w:type="dxa"/>
          </w:tcPr>
          <w:p w14:paraId="388DBA7D"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12.</w:t>
            </w:r>
          </w:p>
        </w:tc>
        <w:tc>
          <w:tcPr>
            <w:tcW w:w="4593" w:type="dxa"/>
          </w:tcPr>
          <w:p w14:paraId="30382CA5"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Ministarstvo mora, prometa i infrastrukture</w:t>
            </w:r>
          </w:p>
        </w:tc>
        <w:tc>
          <w:tcPr>
            <w:tcW w:w="2381" w:type="dxa"/>
          </w:tcPr>
          <w:p w14:paraId="76158A9B"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Prisavlje 14</w:t>
            </w:r>
          </w:p>
        </w:tc>
        <w:tc>
          <w:tcPr>
            <w:tcW w:w="1531" w:type="dxa"/>
          </w:tcPr>
          <w:p w14:paraId="33736641"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hAnsi="Times New Roman" w:cs="Times New Roman"/>
                <w:color w:val="auto"/>
                <w:szCs w:val="20"/>
              </w:rPr>
              <w:t>1968.</w:t>
            </w:r>
          </w:p>
        </w:tc>
      </w:tr>
      <w:tr w:rsidR="00033F15" w:rsidRPr="00033F15" w14:paraId="1889A1CA" w14:textId="77777777" w:rsidTr="008A1035">
        <w:trPr>
          <w:cantSplit/>
        </w:trPr>
        <w:tc>
          <w:tcPr>
            <w:tcW w:w="567" w:type="dxa"/>
            <w:shd w:val="clear" w:color="auto" w:fill="FFC000"/>
          </w:tcPr>
          <w:p w14:paraId="7B368C62"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13.</w:t>
            </w:r>
          </w:p>
        </w:tc>
        <w:tc>
          <w:tcPr>
            <w:tcW w:w="4593" w:type="dxa"/>
            <w:shd w:val="clear" w:color="auto" w:fill="FFC000"/>
          </w:tcPr>
          <w:p w14:paraId="76B48668"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Ministarstvo obrane</w:t>
            </w:r>
          </w:p>
        </w:tc>
        <w:tc>
          <w:tcPr>
            <w:tcW w:w="2381" w:type="dxa"/>
            <w:shd w:val="clear" w:color="auto" w:fill="FFC000"/>
          </w:tcPr>
          <w:p w14:paraId="069538E6"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Trg kralja Petra Krešimira IV. 1</w:t>
            </w:r>
          </w:p>
        </w:tc>
        <w:tc>
          <w:tcPr>
            <w:tcW w:w="1531" w:type="dxa"/>
            <w:shd w:val="clear" w:color="auto" w:fill="FFC000"/>
          </w:tcPr>
          <w:p w14:paraId="25B47F70"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hAnsi="Times New Roman" w:cs="Times New Roman"/>
                <w:color w:val="auto"/>
                <w:szCs w:val="20"/>
              </w:rPr>
              <w:t>1938.</w:t>
            </w:r>
          </w:p>
        </w:tc>
      </w:tr>
      <w:tr w:rsidR="00033F15" w:rsidRPr="00033F15" w14:paraId="642E4CC3" w14:textId="77777777" w:rsidTr="008A1035">
        <w:trPr>
          <w:cantSplit/>
        </w:trPr>
        <w:tc>
          <w:tcPr>
            <w:tcW w:w="567" w:type="dxa"/>
          </w:tcPr>
          <w:p w14:paraId="73107B67"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14.</w:t>
            </w:r>
          </w:p>
        </w:tc>
        <w:tc>
          <w:tcPr>
            <w:tcW w:w="4593" w:type="dxa"/>
          </w:tcPr>
          <w:p w14:paraId="5A5B0106"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Ministarstvo poljoprivrede</w:t>
            </w:r>
          </w:p>
        </w:tc>
        <w:tc>
          <w:tcPr>
            <w:tcW w:w="2381" w:type="dxa"/>
          </w:tcPr>
          <w:p w14:paraId="70431E84"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Ulica grada Vukovara 78</w:t>
            </w:r>
          </w:p>
        </w:tc>
        <w:tc>
          <w:tcPr>
            <w:tcW w:w="1531" w:type="dxa"/>
          </w:tcPr>
          <w:p w14:paraId="59F697E7"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hAnsi="Times New Roman" w:cs="Times New Roman"/>
                <w:color w:val="auto"/>
                <w:szCs w:val="20"/>
              </w:rPr>
              <w:t>1981.</w:t>
            </w:r>
          </w:p>
        </w:tc>
      </w:tr>
      <w:tr w:rsidR="00033F15" w:rsidRPr="00033F15" w14:paraId="02EC2218" w14:textId="77777777" w:rsidTr="008A1035">
        <w:trPr>
          <w:cantSplit/>
        </w:trPr>
        <w:tc>
          <w:tcPr>
            <w:tcW w:w="567" w:type="dxa"/>
            <w:shd w:val="clear" w:color="auto" w:fill="FFC000"/>
          </w:tcPr>
          <w:p w14:paraId="5F43B87E"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15.</w:t>
            </w:r>
          </w:p>
        </w:tc>
        <w:tc>
          <w:tcPr>
            <w:tcW w:w="4593" w:type="dxa"/>
            <w:shd w:val="clear" w:color="auto" w:fill="FFC000"/>
          </w:tcPr>
          <w:p w14:paraId="4409A9F1"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Ministarstvo pravosuđa i uprave</w:t>
            </w:r>
          </w:p>
        </w:tc>
        <w:tc>
          <w:tcPr>
            <w:tcW w:w="2381" w:type="dxa"/>
            <w:shd w:val="clear" w:color="auto" w:fill="FFC000"/>
          </w:tcPr>
          <w:p w14:paraId="41C9592B"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Ulica grada Vukovara 49  i Maksimirska 63</w:t>
            </w:r>
            <w:r w:rsidRPr="0032536A">
              <w:rPr>
                <w:rFonts w:ascii="Times New Roman" w:hAnsi="Times New Roman" w:cs="Times New Roman"/>
                <w:color w:val="auto"/>
                <w:szCs w:val="20"/>
              </w:rPr>
              <w:tab/>
            </w:r>
          </w:p>
        </w:tc>
        <w:tc>
          <w:tcPr>
            <w:tcW w:w="1531" w:type="dxa"/>
            <w:shd w:val="clear" w:color="auto" w:fill="FFC000"/>
          </w:tcPr>
          <w:p w14:paraId="646E9F8F"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hAnsi="Times New Roman" w:cs="Times New Roman"/>
                <w:color w:val="auto"/>
                <w:szCs w:val="20"/>
              </w:rPr>
              <w:t>1992.</w:t>
            </w:r>
          </w:p>
        </w:tc>
      </w:tr>
      <w:tr w:rsidR="00033F15" w:rsidRPr="00033F15" w14:paraId="3BC68E5A" w14:textId="77777777" w:rsidTr="008A1035">
        <w:trPr>
          <w:cantSplit/>
        </w:trPr>
        <w:tc>
          <w:tcPr>
            <w:tcW w:w="567" w:type="dxa"/>
          </w:tcPr>
          <w:p w14:paraId="37E4B0D6"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16.</w:t>
            </w:r>
          </w:p>
        </w:tc>
        <w:tc>
          <w:tcPr>
            <w:tcW w:w="4593" w:type="dxa"/>
          </w:tcPr>
          <w:p w14:paraId="5B60CB79"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Ministarstvo prostornoga uređenja, graditeljstva i državne imovine</w:t>
            </w:r>
            <w:r w:rsidRPr="0032536A">
              <w:rPr>
                <w:rFonts w:ascii="Times New Roman" w:hAnsi="Times New Roman" w:cs="Times New Roman"/>
                <w:color w:val="auto"/>
                <w:szCs w:val="20"/>
              </w:rPr>
              <w:tab/>
            </w:r>
          </w:p>
        </w:tc>
        <w:tc>
          <w:tcPr>
            <w:tcW w:w="2381" w:type="dxa"/>
          </w:tcPr>
          <w:p w14:paraId="2B6AC79C"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Ulica Republike Austrije 20</w:t>
            </w:r>
          </w:p>
        </w:tc>
        <w:tc>
          <w:tcPr>
            <w:tcW w:w="1531" w:type="dxa"/>
          </w:tcPr>
          <w:p w14:paraId="3A787FAB"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hAnsi="Times New Roman" w:cs="Times New Roman"/>
                <w:color w:val="auto"/>
                <w:szCs w:val="20"/>
              </w:rPr>
              <w:t>1989.</w:t>
            </w:r>
          </w:p>
        </w:tc>
      </w:tr>
      <w:tr w:rsidR="00033F15" w:rsidRPr="00033F15" w14:paraId="0ECEF5FF" w14:textId="77777777" w:rsidTr="008A1035">
        <w:trPr>
          <w:cantSplit/>
        </w:trPr>
        <w:tc>
          <w:tcPr>
            <w:tcW w:w="567" w:type="dxa"/>
            <w:shd w:val="clear" w:color="auto" w:fill="FFC000"/>
          </w:tcPr>
          <w:p w14:paraId="4B4FD442"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lastRenderedPageBreak/>
              <w:t>17.</w:t>
            </w:r>
          </w:p>
        </w:tc>
        <w:tc>
          <w:tcPr>
            <w:tcW w:w="4593" w:type="dxa"/>
            <w:shd w:val="clear" w:color="auto" w:fill="FFC000"/>
          </w:tcPr>
          <w:p w14:paraId="508EBF58"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Ministarstvo rada, mirovinskoga sustava, obitelji i socijalne politike</w:t>
            </w:r>
            <w:r w:rsidRPr="0032536A">
              <w:rPr>
                <w:rFonts w:ascii="Times New Roman" w:hAnsi="Times New Roman" w:cs="Times New Roman"/>
                <w:color w:val="auto"/>
                <w:szCs w:val="20"/>
              </w:rPr>
              <w:tab/>
            </w:r>
          </w:p>
        </w:tc>
        <w:tc>
          <w:tcPr>
            <w:tcW w:w="2381" w:type="dxa"/>
            <w:shd w:val="clear" w:color="auto" w:fill="FFC000"/>
          </w:tcPr>
          <w:p w14:paraId="0F4F64DE"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Ulica grada Vukovara 78</w:t>
            </w:r>
          </w:p>
        </w:tc>
        <w:tc>
          <w:tcPr>
            <w:tcW w:w="1531" w:type="dxa"/>
            <w:shd w:val="clear" w:color="auto" w:fill="FFC000"/>
          </w:tcPr>
          <w:p w14:paraId="73DD6094"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hAnsi="Times New Roman" w:cs="Times New Roman"/>
                <w:color w:val="auto"/>
                <w:szCs w:val="20"/>
              </w:rPr>
              <w:t>1981.</w:t>
            </w:r>
          </w:p>
        </w:tc>
      </w:tr>
      <w:tr w:rsidR="00033F15" w:rsidRPr="00033F15" w14:paraId="1EAB38E9" w14:textId="77777777" w:rsidTr="008A1035">
        <w:trPr>
          <w:cantSplit/>
        </w:trPr>
        <w:tc>
          <w:tcPr>
            <w:tcW w:w="567" w:type="dxa"/>
          </w:tcPr>
          <w:p w14:paraId="34BFDE3A"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18.</w:t>
            </w:r>
          </w:p>
        </w:tc>
        <w:tc>
          <w:tcPr>
            <w:tcW w:w="4593" w:type="dxa"/>
          </w:tcPr>
          <w:p w14:paraId="3FBD1F74"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Ministarstvo regionalnoga razvoja i fondova Europske unije</w:t>
            </w:r>
          </w:p>
        </w:tc>
        <w:tc>
          <w:tcPr>
            <w:tcW w:w="2381" w:type="dxa"/>
          </w:tcPr>
          <w:p w14:paraId="556C6A73"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Miramarska cesta 22</w:t>
            </w:r>
          </w:p>
        </w:tc>
        <w:tc>
          <w:tcPr>
            <w:tcW w:w="1531" w:type="dxa"/>
          </w:tcPr>
          <w:p w14:paraId="3B3C984B"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p>
        </w:tc>
      </w:tr>
      <w:tr w:rsidR="00033F15" w:rsidRPr="00033F15" w14:paraId="30BEF811" w14:textId="77777777" w:rsidTr="008A1035">
        <w:trPr>
          <w:cantSplit/>
        </w:trPr>
        <w:tc>
          <w:tcPr>
            <w:tcW w:w="567" w:type="dxa"/>
            <w:shd w:val="clear" w:color="auto" w:fill="FFC000"/>
          </w:tcPr>
          <w:p w14:paraId="29B2F6F2"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19.</w:t>
            </w:r>
          </w:p>
        </w:tc>
        <w:tc>
          <w:tcPr>
            <w:tcW w:w="4593" w:type="dxa"/>
            <w:shd w:val="clear" w:color="auto" w:fill="FFC000"/>
          </w:tcPr>
          <w:p w14:paraId="51B87383"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Ministarstvo turizma i sporta</w:t>
            </w:r>
            <w:r w:rsidRPr="0032536A">
              <w:rPr>
                <w:rFonts w:ascii="Times New Roman" w:hAnsi="Times New Roman" w:cs="Times New Roman"/>
                <w:color w:val="auto"/>
                <w:szCs w:val="20"/>
              </w:rPr>
              <w:tab/>
            </w:r>
          </w:p>
        </w:tc>
        <w:tc>
          <w:tcPr>
            <w:tcW w:w="2381" w:type="dxa"/>
            <w:shd w:val="clear" w:color="auto" w:fill="FFC000"/>
          </w:tcPr>
          <w:p w14:paraId="2C343B03"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Prisavlje 14</w:t>
            </w:r>
          </w:p>
        </w:tc>
        <w:tc>
          <w:tcPr>
            <w:tcW w:w="1531" w:type="dxa"/>
            <w:shd w:val="clear" w:color="auto" w:fill="FFC000"/>
          </w:tcPr>
          <w:p w14:paraId="6AC8B46F"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hAnsi="Times New Roman" w:cs="Times New Roman"/>
                <w:color w:val="auto"/>
                <w:szCs w:val="20"/>
              </w:rPr>
              <w:t>1968.</w:t>
            </w:r>
          </w:p>
        </w:tc>
      </w:tr>
      <w:tr w:rsidR="00033F15" w:rsidRPr="00033F15" w14:paraId="75EB78C8" w14:textId="77777777" w:rsidTr="008A1035">
        <w:trPr>
          <w:cantSplit/>
        </w:trPr>
        <w:tc>
          <w:tcPr>
            <w:tcW w:w="567" w:type="dxa"/>
          </w:tcPr>
          <w:p w14:paraId="293F73D4"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20.</w:t>
            </w:r>
          </w:p>
        </w:tc>
        <w:tc>
          <w:tcPr>
            <w:tcW w:w="4593" w:type="dxa"/>
          </w:tcPr>
          <w:p w14:paraId="024B42B8"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Ministarstvo unutarnjih poslova</w:t>
            </w:r>
          </w:p>
        </w:tc>
        <w:tc>
          <w:tcPr>
            <w:tcW w:w="2381" w:type="dxa"/>
          </w:tcPr>
          <w:p w14:paraId="1C4B30E3"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Ulica grada Vukovara 33</w:t>
            </w:r>
          </w:p>
        </w:tc>
        <w:tc>
          <w:tcPr>
            <w:tcW w:w="1531" w:type="dxa"/>
          </w:tcPr>
          <w:p w14:paraId="0B9F361C"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hAnsi="Times New Roman" w:cs="Times New Roman"/>
                <w:color w:val="auto"/>
                <w:szCs w:val="20"/>
              </w:rPr>
              <w:t>1954.</w:t>
            </w:r>
          </w:p>
        </w:tc>
      </w:tr>
      <w:tr w:rsidR="00033F15" w:rsidRPr="00033F15" w14:paraId="1F472875" w14:textId="77777777" w:rsidTr="008A1035">
        <w:trPr>
          <w:cantSplit/>
        </w:trPr>
        <w:tc>
          <w:tcPr>
            <w:tcW w:w="567" w:type="dxa"/>
            <w:shd w:val="clear" w:color="auto" w:fill="FFC000"/>
          </w:tcPr>
          <w:p w14:paraId="65857BBA"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21.</w:t>
            </w:r>
          </w:p>
        </w:tc>
        <w:tc>
          <w:tcPr>
            <w:tcW w:w="4593" w:type="dxa"/>
            <w:shd w:val="clear" w:color="auto" w:fill="FFC000"/>
          </w:tcPr>
          <w:p w14:paraId="4CE87E23"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Ministarstvo vanjskih i europskih poslova</w:t>
            </w:r>
          </w:p>
        </w:tc>
        <w:tc>
          <w:tcPr>
            <w:tcW w:w="2381" w:type="dxa"/>
            <w:shd w:val="clear" w:color="auto" w:fill="FFC000"/>
          </w:tcPr>
          <w:p w14:paraId="0E3BF051"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Trg Nikole Šubića Zrinskog 7-8</w:t>
            </w:r>
          </w:p>
        </w:tc>
        <w:tc>
          <w:tcPr>
            <w:tcW w:w="1531" w:type="dxa"/>
            <w:shd w:val="clear" w:color="auto" w:fill="FFC000"/>
          </w:tcPr>
          <w:p w14:paraId="2C7F009C"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hAnsi="Times New Roman" w:cs="Times New Roman"/>
                <w:color w:val="auto"/>
                <w:szCs w:val="20"/>
              </w:rPr>
              <w:t>1900.</w:t>
            </w:r>
          </w:p>
        </w:tc>
      </w:tr>
      <w:tr w:rsidR="00033F15" w:rsidRPr="00033F15" w14:paraId="010A57D5" w14:textId="77777777" w:rsidTr="008A1035">
        <w:trPr>
          <w:cantSplit/>
        </w:trPr>
        <w:tc>
          <w:tcPr>
            <w:tcW w:w="567" w:type="dxa"/>
          </w:tcPr>
          <w:p w14:paraId="07E7C46F"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22.</w:t>
            </w:r>
          </w:p>
        </w:tc>
        <w:tc>
          <w:tcPr>
            <w:tcW w:w="4593" w:type="dxa"/>
          </w:tcPr>
          <w:p w14:paraId="61678514"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Ministarstvo zdravstva</w:t>
            </w:r>
          </w:p>
        </w:tc>
        <w:tc>
          <w:tcPr>
            <w:tcW w:w="2381" w:type="dxa"/>
          </w:tcPr>
          <w:p w14:paraId="5B69374A"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Ksaver 200a</w:t>
            </w:r>
          </w:p>
        </w:tc>
        <w:tc>
          <w:tcPr>
            <w:tcW w:w="1531" w:type="dxa"/>
          </w:tcPr>
          <w:p w14:paraId="6E7B08B7"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p>
        </w:tc>
      </w:tr>
      <w:tr w:rsidR="00033F15" w:rsidRPr="00033F15" w14:paraId="67CE8DE2" w14:textId="77777777" w:rsidTr="008A1035">
        <w:trPr>
          <w:cantSplit/>
        </w:trPr>
        <w:tc>
          <w:tcPr>
            <w:tcW w:w="567" w:type="dxa"/>
            <w:shd w:val="clear" w:color="auto" w:fill="FFC000"/>
          </w:tcPr>
          <w:p w14:paraId="04D849E5"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23.</w:t>
            </w:r>
          </w:p>
        </w:tc>
        <w:tc>
          <w:tcPr>
            <w:tcW w:w="4593" w:type="dxa"/>
            <w:shd w:val="clear" w:color="auto" w:fill="FFC000"/>
          </w:tcPr>
          <w:p w14:paraId="78977C8E"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Ministarstvo znanosti i obrazovanja</w:t>
            </w:r>
          </w:p>
        </w:tc>
        <w:tc>
          <w:tcPr>
            <w:tcW w:w="2381" w:type="dxa"/>
            <w:shd w:val="clear" w:color="auto" w:fill="FFC000"/>
          </w:tcPr>
          <w:p w14:paraId="669238EB"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Donje Svetice 38</w:t>
            </w:r>
          </w:p>
        </w:tc>
        <w:tc>
          <w:tcPr>
            <w:tcW w:w="1531" w:type="dxa"/>
            <w:shd w:val="clear" w:color="auto" w:fill="FFC000"/>
          </w:tcPr>
          <w:p w14:paraId="129E8E87"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p>
        </w:tc>
      </w:tr>
      <w:tr w:rsidR="00033F15" w:rsidRPr="00033F15" w14:paraId="2EBFCF39" w14:textId="77777777" w:rsidTr="008A1035">
        <w:trPr>
          <w:cantSplit/>
        </w:trPr>
        <w:tc>
          <w:tcPr>
            <w:tcW w:w="567" w:type="dxa"/>
          </w:tcPr>
          <w:p w14:paraId="7A2603D2"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24.</w:t>
            </w:r>
          </w:p>
        </w:tc>
        <w:tc>
          <w:tcPr>
            <w:tcW w:w="4593" w:type="dxa"/>
          </w:tcPr>
          <w:p w14:paraId="1F6D7EA3"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Središnji državni ured za demografiju i mlade</w:t>
            </w:r>
            <w:r w:rsidRPr="0032536A">
              <w:rPr>
                <w:rFonts w:ascii="Times New Roman" w:hAnsi="Times New Roman" w:cs="Times New Roman"/>
                <w:color w:val="auto"/>
                <w:szCs w:val="20"/>
              </w:rPr>
              <w:tab/>
            </w:r>
          </w:p>
        </w:tc>
        <w:tc>
          <w:tcPr>
            <w:tcW w:w="2381" w:type="dxa"/>
          </w:tcPr>
          <w:p w14:paraId="469FE3B2"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Trg Nevenke Topalušić 1</w:t>
            </w:r>
          </w:p>
        </w:tc>
        <w:tc>
          <w:tcPr>
            <w:tcW w:w="1531" w:type="dxa"/>
          </w:tcPr>
          <w:p w14:paraId="7EEEEB24"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hAnsi="Times New Roman" w:cs="Times New Roman"/>
                <w:color w:val="auto"/>
                <w:szCs w:val="20"/>
              </w:rPr>
              <w:t>1972.</w:t>
            </w:r>
          </w:p>
        </w:tc>
      </w:tr>
      <w:tr w:rsidR="00033F15" w:rsidRPr="00033F15" w14:paraId="7AEC8B5E" w14:textId="77777777" w:rsidTr="008A1035">
        <w:trPr>
          <w:cantSplit/>
        </w:trPr>
        <w:tc>
          <w:tcPr>
            <w:tcW w:w="567" w:type="dxa"/>
            <w:shd w:val="clear" w:color="auto" w:fill="FFC000"/>
          </w:tcPr>
          <w:p w14:paraId="0F7D7D06"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25.</w:t>
            </w:r>
          </w:p>
        </w:tc>
        <w:tc>
          <w:tcPr>
            <w:tcW w:w="4593" w:type="dxa"/>
            <w:shd w:val="clear" w:color="auto" w:fill="FFC000"/>
          </w:tcPr>
          <w:p w14:paraId="5C321550"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Središnji državni ured za Hrvate izvan Republike Hrvatske</w:t>
            </w:r>
            <w:r w:rsidRPr="0032536A">
              <w:rPr>
                <w:rFonts w:ascii="Times New Roman" w:hAnsi="Times New Roman" w:cs="Times New Roman"/>
                <w:color w:val="auto"/>
                <w:szCs w:val="20"/>
              </w:rPr>
              <w:tab/>
            </w:r>
          </w:p>
        </w:tc>
        <w:tc>
          <w:tcPr>
            <w:tcW w:w="2381" w:type="dxa"/>
            <w:shd w:val="clear" w:color="auto" w:fill="FFC000"/>
          </w:tcPr>
          <w:p w14:paraId="08687881"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Trg hrvatskih velikana 6</w:t>
            </w:r>
          </w:p>
        </w:tc>
        <w:tc>
          <w:tcPr>
            <w:tcW w:w="1531" w:type="dxa"/>
            <w:shd w:val="clear" w:color="auto" w:fill="FFC000"/>
          </w:tcPr>
          <w:p w14:paraId="2AE3A98F"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hAnsi="Times New Roman" w:cs="Times New Roman"/>
                <w:color w:val="auto"/>
                <w:szCs w:val="20"/>
              </w:rPr>
              <w:t>1927.</w:t>
            </w:r>
          </w:p>
        </w:tc>
      </w:tr>
      <w:tr w:rsidR="00033F15" w:rsidRPr="00033F15" w14:paraId="127FB3BE" w14:textId="77777777" w:rsidTr="008A1035">
        <w:trPr>
          <w:cantSplit/>
        </w:trPr>
        <w:tc>
          <w:tcPr>
            <w:tcW w:w="567" w:type="dxa"/>
          </w:tcPr>
          <w:p w14:paraId="5FAB8CBB"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26.</w:t>
            </w:r>
          </w:p>
        </w:tc>
        <w:tc>
          <w:tcPr>
            <w:tcW w:w="4593" w:type="dxa"/>
          </w:tcPr>
          <w:p w14:paraId="5342DE3D"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Središnji državni ured za obnovu i stambeno zbrinjavanje</w:t>
            </w:r>
          </w:p>
        </w:tc>
        <w:tc>
          <w:tcPr>
            <w:tcW w:w="2381" w:type="dxa"/>
          </w:tcPr>
          <w:p w14:paraId="4754B11D"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Savska cesta 28</w:t>
            </w:r>
          </w:p>
        </w:tc>
        <w:tc>
          <w:tcPr>
            <w:tcW w:w="1531" w:type="dxa"/>
          </w:tcPr>
          <w:p w14:paraId="171B6F0B"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p>
        </w:tc>
      </w:tr>
      <w:tr w:rsidR="00033F15" w:rsidRPr="00033F15" w14:paraId="2237B6D2" w14:textId="77777777" w:rsidTr="008A1035">
        <w:trPr>
          <w:cantSplit/>
        </w:trPr>
        <w:tc>
          <w:tcPr>
            <w:tcW w:w="567" w:type="dxa"/>
            <w:shd w:val="clear" w:color="auto" w:fill="FFC000"/>
          </w:tcPr>
          <w:p w14:paraId="481F4316"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27.</w:t>
            </w:r>
          </w:p>
        </w:tc>
        <w:tc>
          <w:tcPr>
            <w:tcW w:w="4593" w:type="dxa"/>
            <w:shd w:val="clear" w:color="auto" w:fill="FFC000"/>
          </w:tcPr>
          <w:p w14:paraId="725D6C45"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Središnji državni ured za razvoj digitalnog društva</w:t>
            </w:r>
          </w:p>
        </w:tc>
        <w:tc>
          <w:tcPr>
            <w:tcW w:w="2381" w:type="dxa"/>
            <w:shd w:val="clear" w:color="auto" w:fill="FFC000"/>
          </w:tcPr>
          <w:p w14:paraId="050F85A3"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Ul. Ivana Lučića 8</w:t>
            </w:r>
          </w:p>
        </w:tc>
        <w:tc>
          <w:tcPr>
            <w:tcW w:w="1531" w:type="dxa"/>
            <w:shd w:val="clear" w:color="auto" w:fill="FFC000"/>
          </w:tcPr>
          <w:p w14:paraId="3F86675A"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p>
        </w:tc>
      </w:tr>
      <w:tr w:rsidR="00033F15" w:rsidRPr="00033F15" w14:paraId="60195D37" w14:textId="77777777" w:rsidTr="008A1035">
        <w:trPr>
          <w:cantSplit/>
        </w:trPr>
        <w:tc>
          <w:tcPr>
            <w:tcW w:w="567" w:type="dxa"/>
          </w:tcPr>
          <w:p w14:paraId="4E6D68EF"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r w:rsidRPr="0032536A">
              <w:rPr>
                <w:rFonts w:ascii="Times New Roman" w:eastAsia="Calibri" w:hAnsi="Times New Roman" w:cs="Times New Roman"/>
                <w:color w:val="auto"/>
                <w:szCs w:val="20"/>
              </w:rPr>
              <w:t>28.</w:t>
            </w:r>
          </w:p>
        </w:tc>
        <w:tc>
          <w:tcPr>
            <w:tcW w:w="4593" w:type="dxa"/>
          </w:tcPr>
          <w:p w14:paraId="565F8013" w14:textId="77777777" w:rsidR="00033F15" w:rsidRPr="0032536A" w:rsidRDefault="00033F15" w:rsidP="008A1035">
            <w:pPr>
              <w:spacing w:after="0" w:line="240" w:lineRule="auto"/>
              <w:ind w:left="0" w:right="0" w:firstLine="0"/>
              <w:jc w:val="left"/>
              <w:rPr>
                <w:rFonts w:ascii="Times New Roman" w:hAnsi="Times New Roman" w:cs="Times New Roman"/>
                <w:color w:val="auto"/>
                <w:szCs w:val="20"/>
              </w:rPr>
            </w:pPr>
            <w:r w:rsidRPr="0032536A">
              <w:rPr>
                <w:rFonts w:ascii="Times New Roman" w:eastAsia="Calibri" w:hAnsi="Times New Roman" w:cs="Times New Roman"/>
                <w:color w:val="auto"/>
                <w:szCs w:val="20"/>
              </w:rPr>
              <w:t xml:space="preserve"> Središnji državni ured za središnju javnu nabavu</w:t>
            </w:r>
          </w:p>
        </w:tc>
        <w:tc>
          <w:tcPr>
            <w:tcW w:w="2381" w:type="dxa"/>
          </w:tcPr>
          <w:p w14:paraId="28C13E48" w14:textId="0A1C32FA" w:rsidR="00B85830" w:rsidRPr="0032536A" w:rsidRDefault="00033F15" w:rsidP="00B85830">
            <w:pPr>
              <w:spacing w:after="0" w:line="240" w:lineRule="auto"/>
              <w:ind w:left="0" w:right="0" w:firstLine="0"/>
              <w:jc w:val="left"/>
              <w:rPr>
                <w:rFonts w:ascii="Times New Roman" w:hAnsi="Times New Roman" w:cs="Times New Roman"/>
                <w:color w:val="auto"/>
                <w:szCs w:val="20"/>
              </w:rPr>
            </w:pPr>
            <w:r w:rsidRPr="0032536A">
              <w:rPr>
                <w:rFonts w:ascii="Times New Roman" w:hAnsi="Times New Roman" w:cs="Times New Roman"/>
                <w:color w:val="auto"/>
                <w:szCs w:val="20"/>
              </w:rPr>
              <w:t>Ul</w:t>
            </w:r>
            <w:r w:rsidR="00B85830">
              <w:rPr>
                <w:rFonts w:ascii="Times New Roman" w:hAnsi="Times New Roman" w:cs="Times New Roman"/>
                <w:color w:val="auto"/>
                <w:szCs w:val="20"/>
              </w:rPr>
              <w:t>. Ivana Lučića 6</w:t>
            </w:r>
          </w:p>
        </w:tc>
        <w:tc>
          <w:tcPr>
            <w:tcW w:w="1531" w:type="dxa"/>
          </w:tcPr>
          <w:p w14:paraId="187F20C8" w14:textId="77777777" w:rsidR="00033F15" w:rsidRPr="0032536A" w:rsidRDefault="00033F15" w:rsidP="008A1035">
            <w:pPr>
              <w:spacing w:after="0" w:line="240" w:lineRule="auto"/>
              <w:ind w:left="0" w:right="0" w:firstLine="0"/>
              <w:jc w:val="center"/>
              <w:rPr>
                <w:rFonts w:ascii="Times New Roman" w:hAnsi="Times New Roman" w:cs="Times New Roman"/>
                <w:color w:val="auto"/>
                <w:szCs w:val="20"/>
              </w:rPr>
            </w:pPr>
          </w:p>
        </w:tc>
      </w:tr>
    </w:tbl>
    <w:p w14:paraId="24FABCA4" w14:textId="77777777" w:rsidR="00033F15" w:rsidRPr="0032536A" w:rsidRDefault="00033F15" w:rsidP="00033F15">
      <w:pPr>
        <w:spacing w:after="0" w:line="240" w:lineRule="auto"/>
        <w:ind w:left="-57" w:right="-57" w:firstLine="0"/>
        <w:jc w:val="center"/>
        <w:rPr>
          <w:rFonts w:ascii="Times New Roman" w:eastAsia="Calibri" w:hAnsi="Times New Roman" w:cs="Times New Roman"/>
          <w:i/>
          <w:color w:val="auto"/>
          <w:sz w:val="24"/>
        </w:rPr>
      </w:pPr>
      <w:r w:rsidRPr="0032536A">
        <w:rPr>
          <w:rFonts w:ascii="Times New Roman" w:eastAsia="Calibri" w:hAnsi="Times New Roman" w:cs="Times New Roman"/>
          <w:i/>
          <w:color w:val="auto"/>
          <w:sz w:val="20"/>
        </w:rPr>
        <w:t>Izvor: Povjerenik za informiranje; godine izgradnje - Gradski ured za imovinsko-pravne poslove i imovinu Grada</w:t>
      </w:r>
    </w:p>
    <w:p w14:paraId="0618216B" w14:textId="77777777" w:rsidR="009C4225" w:rsidRDefault="009C4225" w:rsidP="00E80136">
      <w:pPr>
        <w:spacing w:after="0" w:line="240" w:lineRule="auto"/>
        <w:ind w:left="0" w:right="0" w:firstLine="0"/>
        <w:rPr>
          <w:rFonts w:ascii="Times New Roman" w:hAnsi="Times New Roman" w:cs="Times New Roman"/>
          <w:sz w:val="24"/>
        </w:rPr>
      </w:pPr>
    </w:p>
    <w:p w14:paraId="70AC04F7" w14:textId="031F18C4" w:rsidR="00FE5492" w:rsidRDefault="0090018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Grad Zagreb u okviru svog samoupravnog djelokruga obavlja poslove iz djelokruga grada i djelokruga županije te druge poslove u skladu sa zakonom. Obavljanje poslova državne uprave iz djelokruga državne uprave u jedinici područne (regionalne) samouprave i drugih poslova državne uprave utvrđenih posebnim zakonima povjeravaju se gradskim upravnim tijelima. U obavljanju poslova državne uprave gradska upravna tijela imaju ovlasti i obveze tijela državne uprave sukladno zakonu kojim se uređuje sustav državne uprave. Za obavljanje poslova iz samoupravnog djelokruga Grada Zagreba i poslova državne uprave prenesenih na Grad Zagreb osnovani su sljedeći gradski uredi, zavodi i službe:</w:t>
      </w:r>
    </w:p>
    <w:p w14:paraId="5B05D8B0" w14:textId="77777777" w:rsidR="006C02EC" w:rsidRDefault="006C02EC">
      <w:pPr>
        <w:spacing w:after="0" w:line="240" w:lineRule="auto"/>
        <w:ind w:left="0" w:right="0" w:firstLine="709"/>
        <w:rPr>
          <w:rFonts w:ascii="Times New Roman" w:hAnsi="Times New Roman" w:cs="Times New Roman"/>
          <w:sz w:val="24"/>
        </w:rPr>
      </w:pPr>
    </w:p>
    <w:p w14:paraId="7AEE82E5" w14:textId="15559CAC" w:rsidR="00033F15" w:rsidRPr="0032536A" w:rsidRDefault="00033F15" w:rsidP="009D5EFE">
      <w:pPr>
        <w:spacing w:line="240" w:lineRule="auto"/>
        <w:ind w:left="0" w:right="0" w:firstLine="0"/>
        <w:jc w:val="center"/>
        <w:rPr>
          <w:rFonts w:ascii="Times New Roman" w:hAnsi="Times New Roman" w:cs="Times New Roman"/>
          <w:b/>
          <w:color w:val="auto"/>
          <w:sz w:val="24"/>
        </w:rPr>
      </w:pPr>
      <w:r w:rsidRPr="0032536A">
        <w:rPr>
          <w:rFonts w:ascii="Times New Roman" w:hAnsi="Times New Roman" w:cs="Times New Roman"/>
          <w:b/>
          <w:color w:val="auto"/>
          <w:sz w:val="24"/>
        </w:rPr>
        <w:t xml:space="preserve">Tablica </w:t>
      </w:r>
      <w:r w:rsidR="00E12671">
        <w:rPr>
          <w:rFonts w:ascii="Times New Roman" w:hAnsi="Times New Roman" w:cs="Times New Roman"/>
          <w:b/>
          <w:color w:val="auto"/>
          <w:sz w:val="24"/>
        </w:rPr>
        <w:t>7</w:t>
      </w:r>
      <w:r w:rsidRPr="0032536A">
        <w:rPr>
          <w:rFonts w:ascii="Times New Roman" w:hAnsi="Times New Roman" w:cs="Times New Roman"/>
          <w:b/>
          <w:color w:val="auto"/>
          <w:sz w:val="24"/>
        </w:rPr>
        <w:t>. Gradski uredi, zavodi i službe Grada Zagreba</w:t>
      </w:r>
    </w:p>
    <w:tbl>
      <w:tblPr>
        <w:tblStyle w:val="TableGrid"/>
        <w:tblW w:w="9072" w:type="dxa"/>
        <w:tblInd w:w="0" w:type="dxa"/>
        <w:tblLayout w:type="fixed"/>
        <w:tblCellMar>
          <w:left w:w="57" w:type="dxa"/>
          <w:right w:w="55" w:type="dxa"/>
        </w:tblCellMar>
        <w:tblLook w:val="04A0" w:firstRow="1" w:lastRow="0" w:firstColumn="1" w:lastColumn="0" w:noHBand="0" w:noVBand="1"/>
      </w:tblPr>
      <w:tblGrid>
        <w:gridCol w:w="4252"/>
        <w:gridCol w:w="2835"/>
        <w:gridCol w:w="1985"/>
      </w:tblGrid>
      <w:tr w:rsidR="00033F15" w:rsidRPr="00033F15" w14:paraId="26F55ED2" w14:textId="77777777" w:rsidTr="008A1035">
        <w:trPr>
          <w:cantSplit/>
          <w:tblHeader/>
        </w:trPr>
        <w:tc>
          <w:tcPr>
            <w:tcW w:w="425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8712BF5"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bookmarkStart w:id="18" w:name="_Hlk102568301"/>
            <w:r w:rsidRPr="0032536A">
              <w:rPr>
                <w:rFonts w:ascii="Times New Roman" w:eastAsia="Calibri" w:hAnsi="Times New Roman" w:cs="Times New Roman"/>
                <w:b/>
                <w:color w:val="auto"/>
              </w:rPr>
              <w:t>Naziv</w:t>
            </w:r>
          </w:p>
        </w:tc>
        <w:tc>
          <w:tcPr>
            <w:tcW w:w="2835"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8B02295"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b/>
                <w:color w:val="auto"/>
              </w:rPr>
              <w:t>Adresa</w:t>
            </w:r>
          </w:p>
        </w:tc>
        <w:tc>
          <w:tcPr>
            <w:tcW w:w="1985"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82B7A08"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b/>
                <w:color w:val="auto"/>
              </w:rPr>
              <w:t>Godina izgradnje objekta</w:t>
            </w:r>
          </w:p>
        </w:tc>
      </w:tr>
      <w:tr w:rsidR="00033F15" w:rsidRPr="00033F15" w14:paraId="4DC65913" w14:textId="77777777" w:rsidTr="008A1035">
        <w:trPr>
          <w:cantSplit/>
        </w:trPr>
        <w:tc>
          <w:tcPr>
            <w:tcW w:w="4252" w:type="dxa"/>
            <w:tcBorders>
              <w:top w:val="single" w:sz="4" w:space="0" w:color="000000"/>
              <w:left w:val="single" w:sz="4" w:space="0" w:color="000000"/>
              <w:bottom w:val="single" w:sz="4" w:space="0" w:color="000000"/>
              <w:right w:val="single" w:sz="4" w:space="0" w:color="000000"/>
            </w:tcBorders>
            <w:shd w:val="clear" w:color="auto" w:fill="FFC000"/>
          </w:tcPr>
          <w:p w14:paraId="2E4376EE" w14:textId="2A53A591" w:rsidR="00033F15" w:rsidRPr="0032536A" w:rsidRDefault="00C2098F"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S</w:t>
            </w:r>
            <w:r>
              <w:rPr>
                <w:rFonts w:ascii="Times New Roman" w:eastAsia="Calibri" w:hAnsi="Times New Roman" w:cs="Times New Roman"/>
                <w:color w:val="auto"/>
              </w:rPr>
              <w:t>tručna</w:t>
            </w:r>
            <w:r w:rsidRPr="0032536A">
              <w:rPr>
                <w:rFonts w:ascii="Times New Roman" w:eastAsia="Calibri" w:hAnsi="Times New Roman" w:cs="Times New Roman"/>
                <w:color w:val="auto"/>
              </w:rPr>
              <w:t xml:space="preserve"> </w:t>
            </w:r>
            <w:r>
              <w:rPr>
                <w:rFonts w:ascii="Times New Roman" w:eastAsia="Calibri" w:hAnsi="Times New Roman" w:cs="Times New Roman"/>
                <w:color w:val="auto"/>
              </w:rPr>
              <w:t>službe</w:t>
            </w:r>
            <w:r w:rsidR="00033F15" w:rsidRPr="0032536A">
              <w:rPr>
                <w:rFonts w:ascii="Times New Roman" w:eastAsia="Calibri" w:hAnsi="Times New Roman" w:cs="Times New Roman"/>
                <w:color w:val="auto"/>
              </w:rPr>
              <w:t xml:space="preserve"> G</w:t>
            </w:r>
            <w:r>
              <w:rPr>
                <w:rFonts w:ascii="Times New Roman" w:eastAsia="Calibri" w:hAnsi="Times New Roman" w:cs="Times New Roman"/>
                <w:color w:val="auto"/>
              </w:rPr>
              <w:t>radske uprave</w:t>
            </w:r>
          </w:p>
        </w:tc>
        <w:tc>
          <w:tcPr>
            <w:tcW w:w="2835" w:type="dxa"/>
            <w:tcBorders>
              <w:top w:val="single" w:sz="4" w:space="0" w:color="000000"/>
              <w:left w:val="single" w:sz="4" w:space="0" w:color="000000"/>
              <w:bottom w:val="single" w:sz="4" w:space="0" w:color="000000"/>
              <w:right w:val="single" w:sz="4" w:space="0" w:color="000000"/>
            </w:tcBorders>
            <w:shd w:val="clear" w:color="auto" w:fill="FFC000"/>
          </w:tcPr>
          <w:p w14:paraId="6D365DBA"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Trg Stjepana Radića 1/III.</w:t>
            </w:r>
          </w:p>
        </w:tc>
        <w:tc>
          <w:tcPr>
            <w:tcW w:w="1985" w:type="dxa"/>
            <w:tcBorders>
              <w:top w:val="single" w:sz="4" w:space="0" w:color="000000"/>
              <w:left w:val="single" w:sz="4" w:space="0" w:color="000000"/>
              <w:bottom w:val="single" w:sz="4" w:space="0" w:color="000000"/>
              <w:right w:val="single" w:sz="4" w:space="0" w:color="000000"/>
            </w:tcBorders>
            <w:shd w:val="clear" w:color="auto" w:fill="FFC000"/>
          </w:tcPr>
          <w:p w14:paraId="59B69D88"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1958.</w:t>
            </w:r>
          </w:p>
        </w:tc>
      </w:tr>
      <w:tr w:rsidR="00033F15" w:rsidRPr="00033F15" w14:paraId="26B13FB7" w14:textId="77777777" w:rsidTr="008A1035">
        <w:trPr>
          <w:cantSplit/>
        </w:trPr>
        <w:tc>
          <w:tcPr>
            <w:tcW w:w="4252" w:type="dxa"/>
            <w:tcBorders>
              <w:top w:val="single" w:sz="4" w:space="0" w:color="000000"/>
              <w:left w:val="single" w:sz="4" w:space="0" w:color="000000"/>
              <w:bottom w:val="single" w:sz="4" w:space="0" w:color="000000"/>
              <w:right w:val="single" w:sz="4" w:space="0" w:color="000000"/>
            </w:tcBorders>
          </w:tcPr>
          <w:p w14:paraId="4D54129B" w14:textId="66036EE2" w:rsidR="00033F15" w:rsidRPr="0032536A" w:rsidRDefault="000A7475" w:rsidP="008A1035">
            <w:pPr>
              <w:spacing w:after="0" w:line="240" w:lineRule="auto"/>
              <w:ind w:left="0" w:right="0" w:firstLine="0"/>
              <w:jc w:val="center"/>
              <w:rPr>
                <w:rFonts w:ascii="Times New Roman" w:hAnsi="Times New Roman" w:cs="Times New Roman"/>
                <w:color w:val="auto"/>
              </w:rPr>
            </w:pPr>
            <w:r>
              <w:rPr>
                <w:rFonts w:ascii="Times New Roman" w:eastAsia="Calibri" w:hAnsi="Times New Roman" w:cs="Times New Roman"/>
                <w:color w:val="auto"/>
              </w:rPr>
              <w:t>Ured gradonačelnika</w:t>
            </w:r>
          </w:p>
        </w:tc>
        <w:tc>
          <w:tcPr>
            <w:tcW w:w="2835" w:type="dxa"/>
            <w:tcBorders>
              <w:top w:val="single" w:sz="4" w:space="0" w:color="000000"/>
              <w:left w:val="single" w:sz="4" w:space="0" w:color="000000"/>
              <w:bottom w:val="single" w:sz="4" w:space="0" w:color="000000"/>
              <w:right w:val="single" w:sz="4" w:space="0" w:color="000000"/>
            </w:tcBorders>
          </w:tcPr>
          <w:p w14:paraId="2D5AA2F2"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Trg Stjepana Radića 1/III.</w:t>
            </w:r>
          </w:p>
        </w:tc>
        <w:tc>
          <w:tcPr>
            <w:tcW w:w="1985" w:type="dxa"/>
            <w:tcBorders>
              <w:top w:val="single" w:sz="4" w:space="0" w:color="000000"/>
              <w:left w:val="single" w:sz="4" w:space="0" w:color="000000"/>
              <w:bottom w:val="single" w:sz="4" w:space="0" w:color="000000"/>
              <w:right w:val="single" w:sz="4" w:space="0" w:color="000000"/>
            </w:tcBorders>
          </w:tcPr>
          <w:p w14:paraId="0929E134"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1958.</w:t>
            </w:r>
          </w:p>
        </w:tc>
      </w:tr>
      <w:tr w:rsidR="00033F15" w:rsidRPr="00033F15" w14:paraId="711C43B6" w14:textId="77777777" w:rsidTr="008A1035">
        <w:trPr>
          <w:cantSplit/>
        </w:trPr>
        <w:tc>
          <w:tcPr>
            <w:tcW w:w="4252" w:type="dxa"/>
            <w:tcBorders>
              <w:top w:val="single" w:sz="4" w:space="0" w:color="000000"/>
              <w:left w:val="single" w:sz="4" w:space="0" w:color="000000"/>
              <w:bottom w:val="single" w:sz="4" w:space="0" w:color="000000"/>
              <w:right w:val="single" w:sz="4" w:space="0" w:color="000000"/>
            </w:tcBorders>
            <w:shd w:val="clear" w:color="auto" w:fill="FFC000"/>
          </w:tcPr>
          <w:p w14:paraId="78E60F51" w14:textId="2CC1D1AF" w:rsidR="00033F15" w:rsidRPr="0032536A" w:rsidRDefault="000A7475" w:rsidP="008A1035">
            <w:pPr>
              <w:spacing w:after="0" w:line="240" w:lineRule="auto"/>
              <w:ind w:left="0" w:right="0" w:firstLine="0"/>
              <w:jc w:val="center"/>
              <w:rPr>
                <w:rFonts w:ascii="Times New Roman" w:hAnsi="Times New Roman" w:cs="Times New Roman"/>
                <w:color w:val="auto"/>
              </w:rPr>
            </w:pPr>
            <w:r>
              <w:rPr>
                <w:rFonts w:ascii="Times New Roman" w:eastAsia="Calibri" w:hAnsi="Times New Roman" w:cs="Times New Roman"/>
                <w:color w:val="auto"/>
              </w:rPr>
              <w:t>G</w:t>
            </w:r>
            <w:r w:rsidRPr="0032536A">
              <w:rPr>
                <w:rFonts w:ascii="Times New Roman" w:eastAsia="Calibri" w:hAnsi="Times New Roman" w:cs="Times New Roman"/>
                <w:color w:val="auto"/>
              </w:rPr>
              <w:t>radski ured za unutarnju reviziju i kontrolu</w:t>
            </w:r>
          </w:p>
        </w:tc>
        <w:tc>
          <w:tcPr>
            <w:tcW w:w="2835" w:type="dxa"/>
            <w:tcBorders>
              <w:top w:val="single" w:sz="4" w:space="0" w:color="000000"/>
              <w:left w:val="single" w:sz="4" w:space="0" w:color="000000"/>
              <w:bottom w:val="single" w:sz="4" w:space="0" w:color="000000"/>
              <w:right w:val="single" w:sz="4" w:space="0" w:color="000000"/>
            </w:tcBorders>
            <w:shd w:val="clear" w:color="auto" w:fill="FFC000"/>
          </w:tcPr>
          <w:p w14:paraId="2CE68D57"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Šubićeva 38</w:t>
            </w:r>
          </w:p>
        </w:tc>
        <w:tc>
          <w:tcPr>
            <w:tcW w:w="1985" w:type="dxa"/>
            <w:tcBorders>
              <w:top w:val="single" w:sz="4" w:space="0" w:color="000000"/>
              <w:left w:val="single" w:sz="4" w:space="0" w:color="000000"/>
              <w:bottom w:val="single" w:sz="4" w:space="0" w:color="000000"/>
              <w:right w:val="single" w:sz="4" w:space="0" w:color="000000"/>
            </w:tcBorders>
            <w:shd w:val="clear" w:color="auto" w:fill="FFC000"/>
          </w:tcPr>
          <w:p w14:paraId="23C90046"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p>
        </w:tc>
      </w:tr>
      <w:tr w:rsidR="00033F15" w:rsidRPr="00033F15" w14:paraId="0EFF279E" w14:textId="77777777" w:rsidTr="008A1035">
        <w:trPr>
          <w:cantSplit/>
        </w:trPr>
        <w:tc>
          <w:tcPr>
            <w:tcW w:w="4252" w:type="dxa"/>
            <w:tcBorders>
              <w:top w:val="single" w:sz="4" w:space="0" w:color="000000"/>
              <w:left w:val="single" w:sz="4" w:space="0" w:color="000000"/>
              <w:bottom w:val="single" w:sz="4" w:space="0" w:color="000000"/>
              <w:right w:val="single" w:sz="4" w:space="0" w:color="000000"/>
            </w:tcBorders>
          </w:tcPr>
          <w:p w14:paraId="645E857E" w14:textId="2295EA89" w:rsidR="00033F15" w:rsidRPr="0032536A" w:rsidRDefault="000A7475" w:rsidP="008A1035">
            <w:pPr>
              <w:spacing w:after="0" w:line="240" w:lineRule="auto"/>
              <w:ind w:left="0" w:right="0" w:firstLine="0"/>
              <w:jc w:val="center"/>
              <w:rPr>
                <w:rFonts w:ascii="Times New Roman" w:hAnsi="Times New Roman" w:cs="Times New Roman"/>
                <w:color w:val="auto"/>
              </w:rPr>
            </w:pPr>
            <w:r>
              <w:rPr>
                <w:rFonts w:ascii="Times New Roman" w:eastAsia="Calibri" w:hAnsi="Times New Roman" w:cs="Times New Roman"/>
                <w:color w:val="auto"/>
              </w:rPr>
              <w:t>G</w:t>
            </w:r>
            <w:r w:rsidRPr="0032536A">
              <w:rPr>
                <w:rFonts w:ascii="Times New Roman" w:eastAsia="Calibri" w:hAnsi="Times New Roman" w:cs="Times New Roman"/>
                <w:color w:val="auto"/>
              </w:rPr>
              <w:t>radski ured za opću upravu i imovinsko-pravne poslove</w:t>
            </w:r>
          </w:p>
        </w:tc>
        <w:tc>
          <w:tcPr>
            <w:tcW w:w="2835" w:type="dxa"/>
            <w:tcBorders>
              <w:top w:val="single" w:sz="4" w:space="0" w:color="000000"/>
              <w:left w:val="single" w:sz="4" w:space="0" w:color="000000"/>
              <w:bottom w:val="single" w:sz="4" w:space="0" w:color="000000"/>
              <w:right w:val="single" w:sz="4" w:space="0" w:color="000000"/>
            </w:tcBorders>
          </w:tcPr>
          <w:p w14:paraId="19340DAA"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Dukljaninova 3/IV</w:t>
            </w:r>
          </w:p>
        </w:tc>
        <w:tc>
          <w:tcPr>
            <w:tcW w:w="1985" w:type="dxa"/>
            <w:tcBorders>
              <w:top w:val="single" w:sz="4" w:space="0" w:color="000000"/>
              <w:left w:val="single" w:sz="4" w:space="0" w:color="000000"/>
              <w:bottom w:val="single" w:sz="4" w:space="0" w:color="000000"/>
              <w:right w:val="single" w:sz="4" w:space="0" w:color="000000"/>
            </w:tcBorders>
          </w:tcPr>
          <w:p w14:paraId="7CFCF2E5"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p>
        </w:tc>
      </w:tr>
      <w:tr w:rsidR="00033F15" w:rsidRPr="00033F15" w14:paraId="542D65AF" w14:textId="77777777" w:rsidTr="008A1035">
        <w:trPr>
          <w:cantSplit/>
        </w:trPr>
        <w:tc>
          <w:tcPr>
            <w:tcW w:w="4252" w:type="dxa"/>
            <w:tcBorders>
              <w:top w:val="single" w:sz="4" w:space="0" w:color="000000"/>
              <w:left w:val="single" w:sz="4" w:space="0" w:color="000000"/>
              <w:bottom w:val="single" w:sz="4" w:space="0" w:color="000000"/>
              <w:right w:val="single" w:sz="4" w:space="0" w:color="000000"/>
            </w:tcBorders>
            <w:shd w:val="clear" w:color="auto" w:fill="FFC000"/>
          </w:tcPr>
          <w:p w14:paraId="6D9F8594"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Gradski ured za financije i javnu nabavu</w:t>
            </w:r>
          </w:p>
        </w:tc>
        <w:tc>
          <w:tcPr>
            <w:tcW w:w="2835" w:type="dxa"/>
            <w:tcBorders>
              <w:top w:val="single" w:sz="4" w:space="0" w:color="000000"/>
              <w:left w:val="single" w:sz="4" w:space="0" w:color="000000"/>
              <w:bottom w:val="single" w:sz="4" w:space="0" w:color="000000"/>
              <w:right w:val="single" w:sz="4" w:space="0" w:color="000000"/>
            </w:tcBorders>
            <w:shd w:val="clear" w:color="auto" w:fill="FFC000"/>
          </w:tcPr>
          <w:p w14:paraId="1BD46CEA"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Trg Stjepana Radića 1/III</w:t>
            </w:r>
          </w:p>
        </w:tc>
        <w:tc>
          <w:tcPr>
            <w:tcW w:w="1985" w:type="dxa"/>
            <w:tcBorders>
              <w:top w:val="single" w:sz="4" w:space="0" w:color="000000"/>
              <w:left w:val="single" w:sz="4" w:space="0" w:color="000000"/>
              <w:bottom w:val="single" w:sz="4" w:space="0" w:color="000000"/>
              <w:right w:val="single" w:sz="4" w:space="0" w:color="000000"/>
            </w:tcBorders>
            <w:shd w:val="clear" w:color="auto" w:fill="FFC000"/>
          </w:tcPr>
          <w:p w14:paraId="3F630115"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eastAsia="Calibri" w:hAnsi="Times New Roman" w:cs="Times New Roman"/>
                <w:color w:val="auto"/>
              </w:rPr>
              <w:t>1958.</w:t>
            </w:r>
          </w:p>
        </w:tc>
      </w:tr>
      <w:tr w:rsidR="00033F15" w:rsidRPr="00033F15" w14:paraId="53D88F0D" w14:textId="77777777" w:rsidTr="008A1035">
        <w:trPr>
          <w:cantSplit/>
        </w:trPr>
        <w:tc>
          <w:tcPr>
            <w:tcW w:w="4252" w:type="dxa"/>
            <w:tcBorders>
              <w:top w:val="single" w:sz="4" w:space="0" w:color="000000"/>
              <w:left w:val="single" w:sz="4" w:space="0" w:color="000000"/>
              <w:bottom w:val="single" w:sz="4" w:space="0" w:color="000000"/>
              <w:right w:val="single" w:sz="4" w:space="0" w:color="000000"/>
            </w:tcBorders>
          </w:tcPr>
          <w:p w14:paraId="6CA2C95B"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Gradski ured za gospodarstvo, ekološku održivost i strategijsko planiranje</w:t>
            </w:r>
          </w:p>
        </w:tc>
        <w:tc>
          <w:tcPr>
            <w:tcW w:w="2835" w:type="dxa"/>
            <w:tcBorders>
              <w:top w:val="single" w:sz="4" w:space="0" w:color="000000"/>
              <w:left w:val="single" w:sz="4" w:space="0" w:color="000000"/>
              <w:bottom w:val="single" w:sz="4" w:space="0" w:color="000000"/>
              <w:right w:val="single" w:sz="4" w:space="0" w:color="000000"/>
            </w:tcBorders>
          </w:tcPr>
          <w:p w14:paraId="3C139FA5"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Trg Stjepana Radića 1/I</w:t>
            </w:r>
          </w:p>
        </w:tc>
        <w:tc>
          <w:tcPr>
            <w:tcW w:w="1985" w:type="dxa"/>
            <w:tcBorders>
              <w:top w:val="single" w:sz="4" w:space="0" w:color="000000"/>
              <w:left w:val="single" w:sz="4" w:space="0" w:color="000000"/>
              <w:bottom w:val="single" w:sz="4" w:space="0" w:color="000000"/>
              <w:right w:val="single" w:sz="4" w:space="0" w:color="000000"/>
            </w:tcBorders>
          </w:tcPr>
          <w:p w14:paraId="57E052E2"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1958.</w:t>
            </w:r>
          </w:p>
        </w:tc>
      </w:tr>
      <w:tr w:rsidR="00033F15" w:rsidRPr="00033F15" w14:paraId="06F19508" w14:textId="77777777" w:rsidTr="008A1035">
        <w:trPr>
          <w:cantSplit/>
        </w:trPr>
        <w:tc>
          <w:tcPr>
            <w:tcW w:w="4252" w:type="dxa"/>
            <w:tcBorders>
              <w:top w:val="single" w:sz="4" w:space="0" w:color="000000"/>
              <w:left w:val="single" w:sz="4" w:space="0" w:color="000000"/>
              <w:bottom w:val="single" w:sz="4" w:space="0" w:color="000000"/>
              <w:right w:val="single" w:sz="4" w:space="0" w:color="000000"/>
            </w:tcBorders>
            <w:shd w:val="clear" w:color="auto" w:fill="FFC000"/>
          </w:tcPr>
          <w:p w14:paraId="35F4D597"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Gradski ured za obrazovanje, sport i mlade</w:t>
            </w:r>
          </w:p>
        </w:tc>
        <w:tc>
          <w:tcPr>
            <w:tcW w:w="2835" w:type="dxa"/>
            <w:tcBorders>
              <w:top w:val="single" w:sz="4" w:space="0" w:color="000000"/>
              <w:left w:val="single" w:sz="4" w:space="0" w:color="000000"/>
              <w:bottom w:val="single" w:sz="4" w:space="0" w:color="000000"/>
              <w:right w:val="single" w:sz="4" w:space="0" w:color="000000"/>
            </w:tcBorders>
            <w:shd w:val="clear" w:color="auto" w:fill="FFC000"/>
          </w:tcPr>
          <w:p w14:paraId="0CB2E2F7"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Ilica 25</w:t>
            </w:r>
          </w:p>
        </w:tc>
        <w:tc>
          <w:tcPr>
            <w:tcW w:w="1985" w:type="dxa"/>
            <w:tcBorders>
              <w:top w:val="single" w:sz="4" w:space="0" w:color="000000"/>
              <w:left w:val="single" w:sz="4" w:space="0" w:color="000000"/>
              <w:bottom w:val="single" w:sz="4" w:space="0" w:color="000000"/>
              <w:right w:val="single" w:sz="4" w:space="0" w:color="000000"/>
            </w:tcBorders>
            <w:shd w:val="clear" w:color="auto" w:fill="FFC000"/>
          </w:tcPr>
          <w:p w14:paraId="45B9E0CB"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1906.</w:t>
            </w:r>
          </w:p>
        </w:tc>
      </w:tr>
      <w:tr w:rsidR="00033F15" w:rsidRPr="00033F15" w14:paraId="5A21EBAF" w14:textId="77777777" w:rsidTr="008A1035">
        <w:trPr>
          <w:cantSplit/>
        </w:trPr>
        <w:tc>
          <w:tcPr>
            <w:tcW w:w="4252" w:type="dxa"/>
            <w:tcBorders>
              <w:top w:val="single" w:sz="4" w:space="0" w:color="000000"/>
              <w:left w:val="single" w:sz="4" w:space="0" w:color="000000"/>
              <w:bottom w:val="single" w:sz="4" w:space="0" w:color="000000"/>
              <w:right w:val="single" w:sz="4" w:space="0" w:color="000000"/>
            </w:tcBorders>
          </w:tcPr>
          <w:p w14:paraId="7CEEF9BE"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Gradski ured za kulturu, međugradsku i međunarodnu suradnju i civilno društvo</w:t>
            </w:r>
          </w:p>
        </w:tc>
        <w:tc>
          <w:tcPr>
            <w:tcW w:w="2835" w:type="dxa"/>
            <w:tcBorders>
              <w:top w:val="single" w:sz="4" w:space="0" w:color="000000"/>
              <w:left w:val="single" w:sz="4" w:space="0" w:color="000000"/>
              <w:bottom w:val="single" w:sz="4" w:space="0" w:color="000000"/>
              <w:right w:val="single" w:sz="4" w:space="0" w:color="000000"/>
            </w:tcBorders>
          </w:tcPr>
          <w:p w14:paraId="76EFE3CF"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Draškovićeva 25</w:t>
            </w:r>
          </w:p>
        </w:tc>
        <w:tc>
          <w:tcPr>
            <w:tcW w:w="1985" w:type="dxa"/>
            <w:tcBorders>
              <w:top w:val="single" w:sz="4" w:space="0" w:color="000000"/>
              <w:left w:val="single" w:sz="4" w:space="0" w:color="000000"/>
              <w:bottom w:val="single" w:sz="4" w:space="0" w:color="000000"/>
              <w:right w:val="single" w:sz="4" w:space="0" w:color="000000"/>
            </w:tcBorders>
          </w:tcPr>
          <w:p w14:paraId="6C036AB7"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p>
        </w:tc>
      </w:tr>
      <w:tr w:rsidR="00033F15" w:rsidRPr="00033F15" w14:paraId="6C9B3E16" w14:textId="77777777" w:rsidTr="008A1035">
        <w:trPr>
          <w:cantSplit/>
        </w:trPr>
        <w:tc>
          <w:tcPr>
            <w:tcW w:w="4252" w:type="dxa"/>
            <w:tcBorders>
              <w:top w:val="single" w:sz="4" w:space="0" w:color="000000"/>
              <w:left w:val="single" w:sz="4" w:space="0" w:color="000000"/>
              <w:bottom w:val="single" w:sz="4" w:space="0" w:color="000000"/>
              <w:right w:val="single" w:sz="4" w:space="0" w:color="000000"/>
            </w:tcBorders>
            <w:shd w:val="clear" w:color="auto" w:fill="FFC000"/>
          </w:tcPr>
          <w:p w14:paraId="625B867E"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Gradski ured za socijalnu zaštitu, zdravstvo, branitelje i osobe s invaliditetom</w:t>
            </w:r>
          </w:p>
        </w:tc>
        <w:tc>
          <w:tcPr>
            <w:tcW w:w="2835" w:type="dxa"/>
            <w:tcBorders>
              <w:top w:val="single" w:sz="4" w:space="0" w:color="000000"/>
              <w:left w:val="single" w:sz="4" w:space="0" w:color="000000"/>
              <w:bottom w:val="single" w:sz="4" w:space="0" w:color="000000"/>
              <w:right w:val="single" w:sz="4" w:space="0" w:color="000000"/>
            </w:tcBorders>
            <w:shd w:val="clear" w:color="auto" w:fill="FFC000"/>
          </w:tcPr>
          <w:p w14:paraId="6C437B85"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Trg Stjepana Radića 1/II</w:t>
            </w:r>
          </w:p>
        </w:tc>
        <w:tc>
          <w:tcPr>
            <w:tcW w:w="1985" w:type="dxa"/>
            <w:tcBorders>
              <w:top w:val="single" w:sz="4" w:space="0" w:color="000000"/>
              <w:left w:val="single" w:sz="4" w:space="0" w:color="000000"/>
              <w:bottom w:val="single" w:sz="4" w:space="0" w:color="000000"/>
              <w:right w:val="single" w:sz="4" w:space="0" w:color="000000"/>
            </w:tcBorders>
            <w:shd w:val="clear" w:color="auto" w:fill="FFC000"/>
          </w:tcPr>
          <w:p w14:paraId="73E67ECC"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1958.</w:t>
            </w:r>
          </w:p>
        </w:tc>
      </w:tr>
      <w:tr w:rsidR="00033F15" w:rsidRPr="00033F15" w14:paraId="5F5BDEF4" w14:textId="77777777" w:rsidTr="008A1035">
        <w:trPr>
          <w:cantSplit/>
        </w:trPr>
        <w:tc>
          <w:tcPr>
            <w:tcW w:w="4252" w:type="dxa"/>
            <w:tcBorders>
              <w:top w:val="single" w:sz="4" w:space="0" w:color="000000"/>
              <w:left w:val="single" w:sz="4" w:space="0" w:color="000000"/>
              <w:bottom w:val="single" w:sz="4" w:space="0" w:color="000000"/>
              <w:right w:val="single" w:sz="4" w:space="0" w:color="000000"/>
            </w:tcBorders>
          </w:tcPr>
          <w:p w14:paraId="1AA9B413"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Gradski ured za obnovu, izgradnju, prostorno uređenje, graditeljstvo, komunalne poslove i promet</w:t>
            </w:r>
          </w:p>
        </w:tc>
        <w:tc>
          <w:tcPr>
            <w:tcW w:w="2835" w:type="dxa"/>
            <w:tcBorders>
              <w:top w:val="single" w:sz="4" w:space="0" w:color="000000"/>
              <w:left w:val="single" w:sz="4" w:space="0" w:color="000000"/>
              <w:bottom w:val="single" w:sz="4" w:space="0" w:color="000000"/>
              <w:right w:val="single" w:sz="4" w:space="0" w:color="000000"/>
            </w:tcBorders>
          </w:tcPr>
          <w:p w14:paraId="7B6E0DE6"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Trg Stjepana Radića 1/I</w:t>
            </w:r>
          </w:p>
        </w:tc>
        <w:tc>
          <w:tcPr>
            <w:tcW w:w="1985" w:type="dxa"/>
            <w:tcBorders>
              <w:top w:val="single" w:sz="4" w:space="0" w:color="000000"/>
              <w:left w:val="single" w:sz="4" w:space="0" w:color="000000"/>
              <w:bottom w:val="single" w:sz="4" w:space="0" w:color="000000"/>
              <w:right w:val="single" w:sz="4" w:space="0" w:color="000000"/>
            </w:tcBorders>
          </w:tcPr>
          <w:p w14:paraId="481817F5"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1958.</w:t>
            </w:r>
          </w:p>
        </w:tc>
      </w:tr>
      <w:tr w:rsidR="00033F15" w:rsidRPr="00033F15" w14:paraId="29330E93" w14:textId="77777777" w:rsidTr="008A1035">
        <w:trPr>
          <w:cantSplit/>
        </w:trPr>
        <w:tc>
          <w:tcPr>
            <w:tcW w:w="4252" w:type="dxa"/>
            <w:tcBorders>
              <w:top w:val="single" w:sz="4" w:space="0" w:color="000000"/>
              <w:left w:val="single" w:sz="4" w:space="0" w:color="000000"/>
              <w:bottom w:val="single" w:sz="4" w:space="0" w:color="000000"/>
              <w:right w:val="single" w:sz="4" w:space="0" w:color="000000"/>
            </w:tcBorders>
            <w:shd w:val="clear" w:color="auto" w:fill="FFC000"/>
          </w:tcPr>
          <w:p w14:paraId="62852562"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Gradski ured za upravljanje imovinom i stanovanje</w:t>
            </w:r>
          </w:p>
        </w:tc>
        <w:tc>
          <w:tcPr>
            <w:tcW w:w="2835" w:type="dxa"/>
            <w:tcBorders>
              <w:top w:val="single" w:sz="4" w:space="0" w:color="000000"/>
              <w:left w:val="single" w:sz="4" w:space="0" w:color="000000"/>
              <w:bottom w:val="single" w:sz="4" w:space="0" w:color="000000"/>
              <w:right w:val="single" w:sz="4" w:space="0" w:color="000000"/>
            </w:tcBorders>
            <w:shd w:val="clear" w:color="auto" w:fill="FFC000"/>
          </w:tcPr>
          <w:p w14:paraId="28F80C46"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Trg Stjepana Radića 1/IV</w:t>
            </w:r>
          </w:p>
        </w:tc>
        <w:tc>
          <w:tcPr>
            <w:tcW w:w="1985" w:type="dxa"/>
            <w:tcBorders>
              <w:top w:val="single" w:sz="4" w:space="0" w:color="000000"/>
              <w:left w:val="single" w:sz="4" w:space="0" w:color="000000"/>
              <w:bottom w:val="single" w:sz="4" w:space="0" w:color="000000"/>
              <w:right w:val="single" w:sz="4" w:space="0" w:color="000000"/>
            </w:tcBorders>
            <w:shd w:val="clear" w:color="auto" w:fill="FFC000"/>
          </w:tcPr>
          <w:p w14:paraId="4EFBB3F1"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1958.</w:t>
            </w:r>
          </w:p>
        </w:tc>
      </w:tr>
      <w:tr w:rsidR="00033F15" w:rsidRPr="00033F15" w14:paraId="3D85F20B" w14:textId="77777777" w:rsidTr="008A1035">
        <w:trPr>
          <w:cantSplit/>
        </w:trPr>
        <w:tc>
          <w:tcPr>
            <w:tcW w:w="4252" w:type="dxa"/>
            <w:tcBorders>
              <w:top w:val="single" w:sz="4" w:space="0" w:color="000000"/>
              <w:left w:val="single" w:sz="4" w:space="0" w:color="000000"/>
              <w:bottom w:val="single" w:sz="4" w:space="0" w:color="000000"/>
              <w:right w:val="single" w:sz="4" w:space="0" w:color="000000"/>
            </w:tcBorders>
          </w:tcPr>
          <w:p w14:paraId="26C2F811"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lastRenderedPageBreak/>
              <w:t>Gradski ured za katastar i geodetske poslove</w:t>
            </w:r>
          </w:p>
        </w:tc>
        <w:tc>
          <w:tcPr>
            <w:tcW w:w="2835" w:type="dxa"/>
            <w:tcBorders>
              <w:top w:val="single" w:sz="4" w:space="0" w:color="000000"/>
              <w:left w:val="single" w:sz="4" w:space="0" w:color="000000"/>
              <w:bottom w:val="single" w:sz="4" w:space="0" w:color="000000"/>
              <w:right w:val="single" w:sz="4" w:space="0" w:color="000000"/>
            </w:tcBorders>
          </w:tcPr>
          <w:p w14:paraId="20B375C6"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Ulica grada Vukovara 58a</w:t>
            </w:r>
          </w:p>
        </w:tc>
        <w:tc>
          <w:tcPr>
            <w:tcW w:w="1985" w:type="dxa"/>
            <w:tcBorders>
              <w:top w:val="single" w:sz="4" w:space="0" w:color="000000"/>
              <w:left w:val="single" w:sz="4" w:space="0" w:color="000000"/>
              <w:bottom w:val="single" w:sz="4" w:space="0" w:color="000000"/>
              <w:right w:val="single" w:sz="4" w:space="0" w:color="000000"/>
            </w:tcBorders>
          </w:tcPr>
          <w:p w14:paraId="1FB9FF5A"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1948.</w:t>
            </w:r>
          </w:p>
        </w:tc>
      </w:tr>
      <w:tr w:rsidR="00033F15" w:rsidRPr="00033F15" w14:paraId="78E705A5" w14:textId="77777777" w:rsidTr="008A1035">
        <w:trPr>
          <w:cantSplit/>
        </w:trPr>
        <w:tc>
          <w:tcPr>
            <w:tcW w:w="4252" w:type="dxa"/>
            <w:tcBorders>
              <w:top w:val="single" w:sz="4" w:space="0" w:color="000000"/>
              <w:left w:val="single" w:sz="4" w:space="0" w:color="000000"/>
              <w:bottom w:val="single" w:sz="4" w:space="0" w:color="000000"/>
              <w:right w:val="single" w:sz="4" w:space="0" w:color="000000"/>
            </w:tcBorders>
            <w:shd w:val="clear" w:color="auto" w:fill="FFC000"/>
          </w:tcPr>
          <w:p w14:paraId="56A35B5F"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Gradski ured za mjesnu samoupravu, civilnu zaštitu i sigurnost</w:t>
            </w:r>
          </w:p>
        </w:tc>
        <w:tc>
          <w:tcPr>
            <w:tcW w:w="2835" w:type="dxa"/>
            <w:tcBorders>
              <w:top w:val="single" w:sz="4" w:space="0" w:color="000000"/>
              <w:left w:val="single" w:sz="4" w:space="0" w:color="000000"/>
              <w:bottom w:val="single" w:sz="4" w:space="0" w:color="000000"/>
              <w:right w:val="single" w:sz="4" w:space="0" w:color="000000"/>
            </w:tcBorders>
            <w:shd w:val="clear" w:color="auto" w:fill="FFC000"/>
          </w:tcPr>
          <w:p w14:paraId="53F5415F"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Ulica grada Vukovara 56a/I</w:t>
            </w:r>
          </w:p>
        </w:tc>
        <w:tc>
          <w:tcPr>
            <w:tcW w:w="1985" w:type="dxa"/>
            <w:tcBorders>
              <w:top w:val="single" w:sz="4" w:space="0" w:color="000000"/>
              <w:left w:val="single" w:sz="4" w:space="0" w:color="000000"/>
              <w:bottom w:val="single" w:sz="4" w:space="0" w:color="000000"/>
              <w:right w:val="single" w:sz="4" w:space="0" w:color="000000"/>
            </w:tcBorders>
            <w:shd w:val="clear" w:color="auto" w:fill="FFC000"/>
          </w:tcPr>
          <w:p w14:paraId="02D9CF01"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1948.</w:t>
            </w:r>
          </w:p>
        </w:tc>
      </w:tr>
      <w:tr w:rsidR="00033F15" w:rsidRPr="00033F15" w14:paraId="29E6EE21" w14:textId="77777777" w:rsidTr="008A1035">
        <w:trPr>
          <w:cantSplit/>
        </w:trPr>
        <w:tc>
          <w:tcPr>
            <w:tcW w:w="4252" w:type="dxa"/>
            <w:tcBorders>
              <w:top w:val="single" w:sz="4" w:space="0" w:color="000000"/>
              <w:left w:val="single" w:sz="4" w:space="0" w:color="000000"/>
              <w:bottom w:val="single" w:sz="4" w:space="0" w:color="000000"/>
              <w:right w:val="single" w:sz="4" w:space="0" w:color="000000"/>
            </w:tcBorders>
          </w:tcPr>
          <w:p w14:paraId="51D07232"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Gradski zavod za zaštitu spomenika kulture i prirode</w:t>
            </w:r>
          </w:p>
        </w:tc>
        <w:tc>
          <w:tcPr>
            <w:tcW w:w="2835" w:type="dxa"/>
            <w:tcBorders>
              <w:top w:val="single" w:sz="4" w:space="0" w:color="000000"/>
              <w:left w:val="single" w:sz="4" w:space="0" w:color="000000"/>
              <w:bottom w:val="single" w:sz="4" w:space="0" w:color="000000"/>
              <w:right w:val="single" w:sz="4" w:space="0" w:color="000000"/>
            </w:tcBorders>
          </w:tcPr>
          <w:p w14:paraId="44B9BE42"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Kuševićeva 2/II</w:t>
            </w:r>
          </w:p>
        </w:tc>
        <w:tc>
          <w:tcPr>
            <w:tcW w:w="1985" w:type="dxa"/>
            <w:tcBorders>
              <w:top w:val="single" w:sz="4" w:space="0" w:color="000000"/>
              <w:left w:val="single" w:sz="4" w:space="0" w:color="000000"/>
              <w:bottom w:val="single" w:sz="4" w:space="0" w:color="000000"/>
              <w:right w:val="single" w:sz="4" w:space="0" w:color="000000"/>
            </w:tcBorders>
          </w:tcPr>
          <w:p w14:paraId="24C4B881"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p>
        </w:tc>
      </w:tr>
      <w:tr w:rsidR="00033F15" w:rsidRPr="00033F15" w14:paraId="5C0F429E" w14:textId="77777777" w:rsidTr="008A1035">
        <w:trPr>
          <w:cantSplit/>
        </w:trPr>
        <w:tc>
          <w:tcPr>
            <w:tcW w:w="4252" w:type="dxa"/>
            <w:tcBorders>
              <w:top w:val="single" w:sz="4" w:space="0" w:color="000000"/>
              <w:left w:val="single" w:sz="4" w:space="0" w:color="000000"/>
              <w:bottom w:val="single" w:sz="4" w:space="0" w:color="000000"/>
              <w:right w:val="single" w:sz="4" w:space="0" w:color="000000"/>
            </w:tcBorders>
            <w:shd w:val="clear" w:color="auto" w:fill="FFC000"/>
          </w:tcPr>
          <w:p w14:paraId="1B4A237C"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Služba za informacijski sustav i tehničke poslove</w:t>
            </w:r>
          </w:p>
        </w:tc>
        <w:tc>
          <w:tcPr>
            <w:tcW w:w="2835" w:type="dxa"/>
            <w:tcBorders>
              <w:top w:val="single" w:sz="4" w:space="0" w:color="000000"/>
              <w:left w:val="single" w:sz="4" w:space="0" w:color="000000"/>
              <w:bottom w:val="single" w:sz="4" w:space="0" w:color="000000"/>
              <w:right w:val="single" w:sz="4" w:space="0" w:color="000000"/>
            </w:tcBorders>
            <w:shd w:val="clear" w:color="auto" w:fill="FFC000"/>
          </w:tcPr>
          <w:p w14:paraId="06400811"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Trg Stjepana Radića 1</w:t>
            </w:r>
          </w:p>
        </w:tc>
        <w:tc>
          <w:tcPr>
            <w:tcW w:w="1985" w:type="dxa"/>
            <w:tcBorders>
              <w:top w:val="single" w:sz="4" w:space="0" w:color="000000"/>
              <w:left w:val="single" w:sz="4" w:space="0" w:color="000000"/>
              <w:bottom w:val="single" w:sz="4" w:space="0" w:color="000000"/>
              <w:right w:val="single" w:sz="4" w:space="0" w:color="000000"/>
            </w:tcBorders>
            <w:shd w:val="clear" w:color="auto" w:fill="FFC000"/>
          </w:tcPr>
          <w:p w14:paraId="61823A9B"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1958.</w:t>
            </w:r>
          </w:p>
        </w:tc>
      </w:tr>
      <w:tr w:rsidR="00033F15" w:rsidRPr="00033F15" w14:paraId="2838B74E" w14:textId="77777777" w:rsidTr="008A1035">
        <w:trPr>
          <w:cantSplit/>
        </w:trPr>
        <w:tc>
          <w:tcPr>
            <w:tcW w:w="4252" w:type="dxa"/>
            <w:tcBorders>
              <w:top w:val="single" w:sz="4" w:space="0" w:color="000000"/>
              <w:left w:val="single" w:sz="4" w:space="0" w:color="000000"/>
              <w:bottom w:val="single" w:sz="4" w:space="0" w:color="000000"/>
              <w:right w:val="single" w:sz="4" w:space="0" w:color="000000"/>
            </w:tcBorders>
          </w:tcPr>
          <w:p w14:paraId="507BA055"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Stručna služba Gradske skupštine</w:t>
            </w:r>
          </w:p>
        </w:tc>
        <w:tc>
          <w:tcPr>
            <w:tcW w:w="2835" w:type="dxa"/>
            <w:tcBorders>
              <w:top w:val="single" w:sz="4" w:space="0" w:color="000000"/>
              <w:left w:val="single" w:sz="4" w:space="0" w:color="000000"/>
              <w:bottom w:val="single" w:sz="4" w:space="0" w:color="000000"/>
              <w:right w:val="single" w:sz="4" w:space="0" w:color="000000"/>
            </w:tcBorders>
          </w:tcPr>
          <w:p w14:paraId="31C2BD2A" w14:textId="77777777" w:rsidR="00033F15" w:rsidRPr="0032536A" w:rsidRDefault="00033F15" w:rsidP="008A1035">
            <w:pPr>
              <w:tabs>
                <w:tab w:val="left" w:pos="1905"/>
              </w:tabs>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Ulica sv. Ćirila i Metoda 5</w:t>
            </w:r>
          </w:p>
        </w:tc>
        <w:tc>
          <w:tcPr>
            <w:tcW w:w="1985" w:type="dxa"/>
            <w:tcBorders>
              <w:top w:val="single" w:sz="4" w:space="0" w:color="000000"/>
              <w:left w:val="single" w:sz="4" w:space="0" w:color="000000"/>
              <w:bottom w:val="single" w:sz="4" w:space="0" w:color="000000"/>
              <w:right w:val="single" w:sz="4" w:space="0" w:color="000000"/>
            </w:tcBorders>
          </w:tcPr>
          <w:p w14:paraId="16DFB765"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Poslije 1726., 1834. južna kuća,</w:t>
            </w:r>
          </w:p>
          <w:p w14:paraId="1F8B6DF1"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nadogradnje i</w:t>
            </w:r>
          </w:p>
          <w:p w14:paraId="43057EA2"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adaptacije: 1897.,</w:t>
            </w:r>
          </w:p>
          <w:p w14:paraId="44D7DCA6" w14:textId="77777777" w:rsidR="00033F15" w:rsidRPr="0032536A" w:rsidRDefault="00033F15" w:rsidP="008A103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1910./1911., 1930. i 1941.</w:t>
            </w:r>
          </w:p>
        </w:tc>
      </w:tr>
    </w:tbl>
    <w:bookmarkEnd w:id="18"/>
    <w:p w14:paraId="18A4D987" w14:textId="56564670" w:rsidR="00E40AC8" w:rsidRPr="00BC0464" w:rsidRDefault="00BC0464" w:rsidP="00A00440">
      <w:pPr>
        <w:spacing w:after="0" w:line="240" w:lineRule="auto"/>
        <w:ind w:left="0" w:right="0" w:firstLine="0"/>
        <w:jc w:val="center"/>
        <w:rPr>
          <w:rFonts w:ascii="Times New Roman" w:hAnsi="Times New Roman" w:cs="Times New Roman"/>
          <w:i/>
          <w:sz w:val="20"/>
          <w:szCs w:val="20"/>
        </w:rPr>
      </w:pPr>
      <w:r w:rsidRPr="00BC0464">
        <w:rPr>
          <w:rFonts w:ascii="Times New Roman" w:hAnsi="Times New Roman" w:cs="Times New Roman"/>
          <w:i/>
          <w:sz w:val="20"/>
          <w:szCs w:val="20"/>
        </w:rPr>
        <w:t>Izvor</w:t>
      </w:r>
      <w:r w:rsidR="00A00440">
        <w:rPr>
          <w:rFonts w:ascii="Times New Roman" w:hAnsi="Times New Roman" w:cs="Times New Roman"/>
          <w:i/>
          <w:sz w:val="20"/>
          <w:szCs w:val="20"/>
        </w:rPr>
        <w:t>:</w:t>
      </w:r>
      <w:r w:rsidRPr="00BC0464">
        <w:rPr>
          <w:rFonts w:ascii="Times New Roman" w:hAnsi="Times New Roman" w:cs="Times New Roman"/>
          <w:i/>
          <w:sz w:val="20"/>
          <w:szCs w:val="20"/>
        </w:rPr>
        <w:t>Povjerenik za informiranje; godine izgradnje - Gradski ured za imovinsko-pravne poslove i imovinu Grada</w:t>
      </w:r>
    </w:p>
    <w:p w14:paraId="578E0E4F" w14:textId="77777777" w:rsidR="003435D0" w:rsidRDefault="003435D0" w:rsidP="000527A9">
      <w:pPr>
        <w:spacing w:after="0" w:line="240" w:lineRule="auto"/>
        <w:ind w:left="0" w:right="0" w:firstLine="709"/>
        <w:rPr>
          <w:rFonts w:ascii="Times New Roman" w:hAnsi="Times New Roman" w:cs="Times New Roman"/>
          <w:sz w:val="24"/>
        </w:rPr>
      </w:pPr>
    </w:p>
    <w:p w14:paraId="0739C146" w14:textId="67AF9FB0" w:rsidR="00E40AC8" w:rsidRPr="005142C4" w:rsidRDefault="00900184" w:rsidP="000527A9">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Mjesn</w:t>
      </w:r>
      <w:r w:rsidR="007406E6">
        <w:rPr>
          <w:rFonts w:ascii="Times New Roman" w:hAnsi="Times New Roman" w:cs="Times New Roman"/>
          <w:sz w:val="24"/>
        </w:rPr>
        <w:t>a</w:t>
      </w:r>
      <w:r w:rsidRPr="005142C4">
        <w:rPr>
          <w:rFonts w:ascii="Times New Roman" w:hAnsi="Times New Roman" w:cs="Times New Roman"/>
          <w:sz w:val="24"/>
        </w:rPr>
        <w:t xml:space="preserve"> samouprav</w:t>
      </w:r>
      <w:r w:rsidR="007406E6">
        <w:rPr>
          <w:rFonts w:ascii="Times New Roman" w:hAnsi="Times New Roman" w:cs="Times New Roman"/>
          <w:sz w:val="24"/>
        </w:rPr>
        <w:t>a</w:t>
      </w:r>
      <w:r w:rsidRPr="005142C4">
        <w:rPr>
          <w:rFonts w:ascii="Times New Roman" w:hAnsi="Times New Roman" w:cs="Times New Roman"/>
          <w:sz w:val="24"/>
        </w:rPr>
        <w:t xml:space="preserve"> u Gradu Zagrebu </w:t>
      </w:r>
      <w:r w:rsidR="007406E6">
        <w:rPr>
          <w:rFonts w:ascii="Times New Roman" w:hAnsi="Times New Roman" w:cs="Times New Roman"/>
          <w:sz w:val="24"/>
        </w:rPr>
        <w:t xml:space="preserve">sastavljena je od </w:t>
      </w:r>
      <w:r w:rsidRPr="005142C4">
        <w:rPr>
          <w:rFonts w:ascii="Times New Roman" w:hAnsi="Times New Roman" w:cs="Times New Roman"/>
          <w:sz w:val="24"/>
        </w:rPr>
        <w:t xml:space="preserve">17 gradskih četvrti i 218 mjesnih odbora. U njima građani, </w:t>
      </w:r>
      <w:r w:rsidR="007406E6">
        <w:rPr>
          <w:rFonts w:ascii="Times New Roman" w:hAnsi="Times New Roman" w:cs="Times New Roman"/>
          <w:sz w:val="24"/>
        </w:rPr>
        <w:t xml:space="preserve">preko </w:t>
      </w:r>
      <w:r w:rsidRPr="005142C4">
        <w:rPr>
          <w:rFonts w:ascii="Times New Roman" w:hAnsi="Times New Roman" w:cs="Times New Roman"/>
          <w:sz w:val="24"/>
        </w:rPr>
        <w:t>svojih izravno izabranih predstavnika u njihovim vijećima, sudjeluju u odlučivanju o poslovima koji utječu na njihov svakodnevni život i rad u užim lokalnim zajednicama.</w:t>
      </w:r>
    </w:p>
    <w:p w14:paraId="4DB85ADE" w14:textId="77777777" w:rsidR="000527A9" w:rsidRDefault="00900184" w:rsidP="000527A9">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Na području Grada Zagreba sjedište je i Zagrebačke županije na lokaciji Ulica grada Vukovara 72/V.</w:t>
      </w:r>
      <w:bookmarkStart w:id="19" w:name="_Toc2938540"/>
    </w:p>
    <w:p w14:paraId="3482D895" w14:textId="77777777" w:rsidR="000527A9" w:rsidRDefault="000527A9" w:rsidP="000527A9">
      <w:pPr>
        <w:spacing w:after="0" w:line="240" w:lineRule="auto"/>
        <w:ind w:right="0"/>
        <w:rPr>
          <w:rFonts w:ascii="Times New Roman" w:hAnsi="Times New Roman" w:cs="Times New Roman"/>
          <w:sz w:val="24"/>
        </w:rPr>
      </w:pPr>
    </w:p>
    <w:p w14:paraId="1ABB8F1E" w14:textId="77777777" w:rsidR="00E40AC8" w:rsidRPr="000527A9" w:rsidRDefault="00900184" w:rsidP="000527A9">
      <w:pPr>
        <w:spacing w:after="0" w:line="240" w:lineRule="auto"/>
        <w:ind w:left="0" w:right="0" w:firstLine="709"/>
        <w:rPr>
          <w:rFonts w:ascii="Times New Roman" w:hAnsi="Times New Roman" w:cs="Times New Roman"/>
          <w:b/>
          <w:sz w:val="24"/>
        </w:rPr>
      </w:pPr>
      <w:r w:rsidRPr="000527A9">
        <w:rPr>
          <w:rFonts w:ascii="Times New Roman" w:hAnsi="Times New Roman" w:cs="Times New Roman"/>
          <w:b/>
          <w:sz w:val="24"/>
        </w:rPr>
        <w:t>2.2.2. Zdravstvene ustanove</w:t>
      </w:r>
      <w:bookmarkEnd w:id="19"/>
    </w:p>
    <w:p w14:paraId="286E3436" w14:textId="65C75884" w:rsidR="00E40AC8" w:rsidRPr="0032536A" w:rsidRDefault="00900184" w:rsidP="000527A9">
      <w:pPr>
        <w:spacing w:after="0" w:line="240" w:lineRule="auto"/>
        <w:ind w:left="0" w:right="0" w:firstLine="709"/>
        <w:rPr>
          <w:rFonts w:ascii="Times New Roman" w:hAnsi="Times New Roman" w:cs="Times New Roman"/>
          <w:color w:val="auto"/>
          <w:sz w:val="24"/>
        </w:rPr>
      </w:pPr>
      <w:r w:rsidRPr="0032536A">
        <w:rPr>
          <w:rFonts w:ascii="Times New Roman" w:hAnsi="Times New Roman" w:cs="Times New Roman"/>
          <w:color w:val="auto"/>
          <w:sz w:val="24"/>
        </w:rPr>
        <w:t>Osnov</w:t>
      </w:r>
      <w:r w:rsidR="007406E6" w:rsidRPr="0032536A">
        <w:rPr>
          <w:rFonts w:ascii="Times New Roman" w:hAnsi="Times New Roman" w:cs="Times New Roman"/>
          <w:color w:val="auto"/>
          <w:sz w:val="24"/>
        </w:rPr>
        <w:t>a</w:t>
      </w:r>
      <w:r w:rsidRPr="0032536A">
        <w:rPr>
          <w:rFonts w:ascii="Times New Roman" w:hAnsi="Times New Roman" w:cs="Times New Roman"/>
          <w:color w:val="auto"/>
          <w:sz w:val="24"/>
        </w:rPr>
        <w:t xml:space="preserve"> sustava primarne zdravstvene zaštite u Gradu Zagrebu </w:t>
      </w:r>
      <w:r w:rsidR="007406E6" w:rsidRPr="0032536A">
        <w:rPr>
          <w:rFonts w:ascii="Times New Roman" w:hAnsi="Times New Roman" w:cs="Times New Roman"/>
          <w:color w:val="auto"/>
          <w:sz w:val="24"/>
        </w:rPr>
        <w:t xml:space="preserve">sastavljena je od </w:t>
      </w:r>
      <w:r w:rsidR="008A1035" w:rsidRPr="0032536A">
        <w:rPr>
          <w:rFonts w:ascii="Times New Roman" w:hAnsi="Times New Roman" w:cs="Times New Roman"/>
          <w:color w:val="auto"/>
          <w:sz w:val="24"/>
        </w:rPr>
        <w:t>triju</w:t>
      </w:r>
      <w:r w:rsidRPr="0032536A">
        <w:rPr>
          <w:rFonts w:ascii="Times New Roman" w:hAnsi="Times New Roman" w:cs="Times New Roman"/>
          <w:color w:val="auto"/>
          <w:sz w:val="24"/>
        </w:rPr>
        <w:t xml:space="preserve"> dom</w:t>
      </w:r>
      <w:r w:rsidR="007406E6" w:rsidRPr="0032536A">
        <w:rPr>
          <w:rFonts w:ascii="Times New Roman" w:hAnsi="Times New Roman" w:cs="Times New Roman"/>
          <w:color w:val="auto"/>
          <w:sz w:val="24"/>
        </w:rPr>
        <w:t>ov</w:t>
      </w:r>
      <w:r w:rsidRPr="0032536A">
        <w:rPr>
          <w:rFonts w:ascii="Times New Roman" w:hAnsi="Times New Roman" w:cs="Times New Roman"/>
          <w:color w:val="auto"/>
          <w:sz w:val="24"/>
        </w:rPr>
        <w:t>a zdravlja, koji djeluju na ukupno 131 lokaciji, i dva</w:t>
      </w:r>
      <w:r w:rsidR="007406E6" w:rsidRPr="0032536A">
        <w:rPr>
          <w:rFonts w:ascii="Times New Roman" w:hAnsi="Times New Roman" w:cs="Times New Roman"/>
          <w:color w:val="auto"/>
          <w:sz w:val="24"/>
        </w:rPr>
        <w:t>ju</w:t>
      </w:r>
      <w:r w:rsidRPr="0032536A">
        <w:rPr>
          <w:rFonts w:ascii="Times New Roman" w:hAnsi="Times New Roman" w:cs="Times New Roman"/>
          <w:color w:val="auto"/>
          <w:sz w:val="24"/>
        </w:rPr>
        <w:t xml:space="preserve"> zavoda (za javno zdravstvo i za hitnu medicinsku pomoć). U primarnu razinu zaštite uključeno je i 230 ljekarni u Gradu Zagrebu. Zdravstvenu zaštitu sekundarne razine osigurava 7 poliklinika, jedna klinička bolnica i 6 specijalnih bolnica, dok na najvišoj, tercijarnoj razini djeluju 4 ustanove, osnivač kojih je Republika Hrvatska.</w:t>
      </w:r>
    </w:p>
    <w:p w14:paraId="26D5CBF1" w14:textId="065AC1F8" w:rsidR="000527A9" w:rsidRPr="0032536A" w:rsidRDefault="00900184" w:rsidP="000527A9">
      <w:pPr>
        <w:spacing w:after="0" w:line="240" w:lineRule="auto"/>
        <w:ind w:left="0" w:right="0" w:firstLine="709"/>
        <w:rPr>
          <w:rFonts w:ascii="Times New Roman" w:hAnsi="Times New Roman" w:cs="Times New Roman"/>
          <w:color w:val="auto"/>
          <w:sz w:val="24"/>
        </w:rPr>
      </w:pPr>
      <w:r w:rsidRPr="0032536A">
        <w:rPr>
          <w:rFonts w:ascii="Times New Roman" w:hAnsi="Times New Roman" w:cs="Times New Roman"/>
          <w:color w:val="auto"/>
          <w:sz w:val="24"/>
        </w:rPr>
        <w:t>Ukupna površina bolničkih objekata u Gradu Zagrebu iznosi 128.489 m</w:t>
      </w:r>
      <w:r w:rsidRPr="0032536A">
        <w:rPr>
          <w:rFonts w:ascii="Times New Roman" w:hAnsi="Times New Roman" w:cs="Times New Roman"/>
          <w:color w:val="auto"/>
          <w:sz w:val="24"/>
          <w:vertAlign w:val="superscript"/>
        </w:rPr>
        <w:t>2</w:t>
      </w:r>
      <w:r w:rsidRPr="0032536A">
        <w:rPr>
          <w:rFonts w:ascii="Times New Roman" w:hAnsi="Times New Roman" w:cs="Times New Roman"/>
          <w:color w:val="auto"/>
          <w:sz w:val="24"/>
        </w:rPr>
        <w:t xml:space="preserve">. U njima se nalazi </w:t>
      </w:r>
      <w:r w:rsidRPr="0032536A">
        <w:rPr>
          <w:rFonts w:ascii="Times New Roman" w:hAnsi="Times New Roman" w:cs="Times New Roman"/>
          <w:b/>
          <w:color w:val="auto"/>
          <w:sz w:val="24"/>
        </w:rPr>
        <w:t>6</w:t>
      </w:r>
      <w:r w:rsidR="007406E6" w:rsidRPr="0032536A">
        <w:rPr>
          <w:rFonts w:ascii="Times New Roman" w:hAnsi="Times New Roman" w:cs="Times New Roman"/>
          <w:b/>
          <w:color w:val="auto"/>
          <w:sz w:val="24"/>
        </w:rPr>
        <w:t> </w:t>
      </w:r>
      <w:r w:rsidR="00D22C4E">
        <w:rPr>
          <w:rFonts w:ascii="Times New Roman" w:hAnsi="Times New Roman" w:cs="Times New Roman"/>
          <w:b/>
          <w:color w:val="auto"/>
          <w:sz w:val="24"/>
        </w:rPr>
        <w:t>780</w:t>
      </w:r>
      <w:r w:rsidRPr="0032536A">
        <w:rPr>
          <w:rFonts w:ascii="Times New Roman" w:hAnsi="Times New Roman" w:cs="Times New Roman"/>
          <w:color w:val="auto"/>
          <w:sz w:val="24"/>
        </w:rPr>
        <w:t xml:space="preserve"> postelja za akutno liječenje, </w:t>
      </w:r>
      <w:r w:rsidR="007406E6" w:rsidRPr="0032536A">
        <w:rPr>
          <w:rFonts w:ascii="Times New Roman" w:hAnsi="Times New Roman" w:cs="Times New Roman"/>
          <w:color w:val="auto"/>
          <w:sz w:val="24"/>
        </w:rPr>
        <w:t xml:space="preserve">ali </w:t>
      </w:r>
      <w:r w:rsidRPr="0032536A">
        <w:rPr>
          <w:rFonts w:ascii="Times New Roman" w:hAnsi="Times New Roman" w:cs="Times New Roman"/>
          <w:color w:val="auto"/>
          <w:sz w:val="24"/>
        </w:rPr>
        <w:t>nema postelja za dugotrajno/kronično liječenje i palijativnu skrb.</w:t>
      </w:r>
    </w:p>
    <w:p w14:paraId="72FDAB99" w14:textId="4EACDC9F" w:rsidR="000527A9" w:rsidRDefault="000527A9" w:rsidP="005142C4">
      <w:pPr>
        <w:spacing w:after="0" w:line="240" w:lineRule="auto"/>
        <w:ind w:left="0" w:right="0" w:firstLine="0"/>
        <w:rPr>
          <w:rFonts w:ascii="Times New Roman" w:hAnsi="Times New Roman" w:cs="Times New Roman"/>
          <w:color w:val="auto"/>
          <w:sz w:val="24"/>
        </w:rPr>
      </w:pPr>
    </w:p>
    <w:p w14:paraId="58989388" w14:textId="01AA2533" w:rsidR="003435D0" w:rsidRDefault="003435D0" w:rsidP="005142C4">
      <w:pPr>
        <w:spacing w:after="0" w:line="240" w:lineRule="auto"/>
        <w:ind w:left="0" w:right="0" w:firstLine="0"/>
        <w:rPr>
          <w:rFonts w:ascii="Times New Roman" w:hAnsi="Times New Roman" w:cs="Times New Roman"/>
          <w:color w:val="auto"/>
          <w:sz w:val="24"/>
        </w:rPr>
      </w:pPr>
    </w:p>
    <w:p w14:paraId="7761BCC9" w14:textId="668C267F" w:rsidR="003435D0" w:rsidRDefault="003435D0" w:rsidP="005142C4">
      <w:pPr>
        <w:spacing w:after="0" w:line="240" w:lineRule="auto"/>
        <w:ind w:left="0" w:right="0" w:firstLine="0"/>
        <w:rPr>
          <w:rFonts w:ascii="Times New Roman" w:hAnsi="Times New Roman" w:cs="Times New Roman"/>
          <w:color w:val="auto"/>
          <w:sz w:val="24"/>
        </w:rPr>
      </w:pPr>
    </w:p>
    <w:p w14:paraId="29ADD691" w14:textId="3C081044" w:rsidR="003435D0" w:rsidRDefault="003435D0" w:rsidP="005142C4">
      <w:pPr>
        <w:spacing w:after="0" w:line="240" w:lineRule="auto"/>
        <w:ind w:left="0" w:right="0" w:firstLine="0"/>
        <w:rPr>
          <w:rFonts w:ascii="Times New Roman" w:hAnsi="Times New Roman" w:cs="Times New Roman"/>
          <w:color w:val="auto"/>
          <w:sz w:val="24"/>
        </w:rPr>
      </w:pPr>
    </w:p>
    <w:p w14:paraId="1C64E735" w14:textId="77777777" w:rsidR="003435D0" w:rsidRPr="0032536A" w:rsidRDefault="003435D0" w:rsidP="005142C4">
      <w:pPr>
        <w:spacing w:after="0" w:line="240" w:lineRule="auto"/>
        <w:ind w:left="0" w:right="0" w:firstLine="0"/>
        <w:rPr>
          <w:rFonts w:ascii="Times New Roman" w:hAnsi="Times New Roman" w:cs="Times New Roman"/>
          <w:color w:val="auto"/>
          <w:sz w:val="24"/>
        </w:rPr>
      </w:pPr>
    </w:p>
    <w:p w14:paraId="08ACFEA0" w14:textId="080C0E74" w:rsidR="003F7A56" w:rsidRPr="0032536A" w:rsidRDefault="00900184" w:rsidP="009D5EFE">
      <w:pPr>
        <w:spacing w:line="240" w:lineRule="auto"/>
        <w:ind w:left="0" w:right="0" w:firstLine="0"/>
        <w:jc w:val="center"/>
        <w:rPr>
          <w:rFonts w:ascii="Times New Roman" w:hAnsi="Times New Roman" w:cs="Times New Roman"/>
          <w:b/>
          <w:color w:val="auto"/>
          <w:sz w:val="24"/>
        </w:rPr>
      </w:pPr>
      <w:r w:rsidRPr="0032536A">
        <w:rPr>
          <w:rFonts w:ascii="Times New Roman" w:hAnsi="Times New Roman" w:cs="Times New Roman"/>
          <w:b/>
          <w:color w:val="auto"/>
          <w:sz w:val="24"/>
        </w:rPr>
        <w:t xml:space="preserve">Tablica </w:t>
      </w:r>
      <w:r w:rsidR="00E12671">
        <w:rPr>
          <w:rFonts w:ascii="Times New Roman" w:hAnsi="Times New Roman" w:cs="Times New Roman"/>
          <w:b/>
          <w:color w:val="auto"/>
          <w:sz w:val="24"/>
        </w:rPr>
        <w:t>8</w:t>
      </w:r>
      <w:r w:rsidRPr="0032536A">
        <w:rPr>
          <w:rFonts w:ascii="Times New Roman" w:hAnsi="Times New Roman" w:cs="Times New Roman"/>
          <w:b/>
          <w:color w:val="auto"/>
          <w:sz w:val="24"/>
        </w:rPr>
        <w:t>. Kapaciteti bolničkih ustanova u Gradu Zagrebu</w:t>
      </w:r>
    </w:p>
    <w:tbl>
      <w:tblPr>
        <w:tblStyle w:val="TableGrid"/>
        <w:tblW w:w="9072" w:type="dxa"/>
        <w:tblInd w:w="0" w:type="dxa"/>
        <w:tblLayout w:type="fixed"/>
        <w:tblCellMar>
          <w:top w:w="4" w:type="dxa"/>
          <w:left w:w="57" w:type="dxa"/>
          <w:right w:w="57" w:type="dxa"/>
        </w:tblCellMar>
        <w:tblLook w:val="04A0" w:firstRow="1" w:lastRow="0" w:firstColumn="1" w:lastColumn="0" w:noHBand="0" w:noVBand="1"/>
      </w:tblPr>
      <w:tblGrid>
        <w:gridCol w:w="566"/>
        <w:gridCol w:w="3402"/>
        <w:gridCol w:w="2552"/>
        <w:gridCol w:w="1418"/>
        <w:gridCol w:w="1134"/>
      </w:tblGrid>
      <w:tr w:rsidR="00A1411C" w:rsidRPr="004750F4" w14:paraId="41C029C8" w14:textId="77777777" w:rsidTr="00DD738E">
        <w:trPr>
          <w:cantSplit/>
          <w:tblHeader/>
        </w:trPr>
        <w:tc>
          <w:tcPr>
            <w:tcW w:w="56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FA0EB8D" w14:textId="77777777" w:rsidR="00A1411C" w:rsidRPr="0032536A" w:rsidRDefault="00A1411C" w:rsidP="00DD738E">
            <w:pPr>
              <w:spacing w:after="0" w:line="240" w:lineRule="auto"/>
              <w:ind w:left="0" w:right="0" w:firstLine="0"/>
              <w:jc w:val="center"/>
              <w:rPr>
                <w:rFonts w:ascii="Times New Roman" w:hAnsi="Times New Roman" w:cs="Times New Roman"/>
                <w:b/>
                <w:color w:val="auto"/>
              </w:rPr>
            </w:pPr>
            <w:r w:rsidRPr="0032536A">
              <w:rPr>
                <w:rFonts w:ascii="Times New Roman" w:hAnsi="Times New Roman" w:cs="Times New Roman"/>
                <w:b/>
                <w:color w:val="auto"/>
              </w:rPr>
              <w:t>Br.</w:t>
            </w:r>
          </w:p>
        </w:tc>
        <w:tc>
          <w:tcPr>
            <w:tcW w:w="340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B7970D6" w14:textId="77777777" w:rsidR="00A1411C" w:rsidRPr="0032536A" w:rsidRDefault="00A1411C" w:rsidP="00DD738E">
            <w:pPr>
              <w:spacing w:after="0" w:line="240" w:lineRule="auto"/>
              <w:ind w:left="0" w:right="0" w:firstLine="0"/>
              <w:jc w:val="center"/>
              <w:rPr>
                <w:rFonts w:ascii="Times New Roman" w:hAnsi="Times New Roman" w:cs="Times New Roman"/>
                <w:b/>
                <w:color w:val="auto"/>
              </w:rPr>
            </w:pPr>
            <w:r w:rsidRPr="0032536A">
              <w:rPr>
                <w:rFonts w:ascii="Times New Roman" w:hAnsi="Times New Roman" w:cs="Times New Roman"/>
                <w:b/>
                <w:color w:val="auto"/>
              </w:rPr>
              <w:t>Naziv</w:t>
            </w:r>
          </w:p>
        </w:tc>
        <w:tc>
          <w:tcPr>
            <w:tcW w:w="255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CEAC22C" w14:textId="77777777" w:rsidR="00A1411C" w:rsidRPr="0032536A" w:rsidRDefault="00A1411C" w:rsidP="00DD738E">
            <w:pPr>
              <w:spacing w:after="0" w:line="240" w:lineRule="auto"/>
              <w:ind w:left="0" w:right="0" w:firstLine="0"/>
              <w:jc w:val="center"/>
              <w:rPr>
                <w:rFonts w:ascii="Times New Roman" w:hAnsi="Times New Roman" w:cs="Times New Roman"/>
                <w:b/>
                <w:color w:val="auto"/>
              </w:rPr>
            </w:pPr>
            <w:r w:rsidRPr="0032536A">
              <w:rPr>
                <w:rFonts w:ascii="Times New Roman" w:hAnsi="Times New Roman" w:cs="Times New Roman"/>
                <w:b/>
                <w:color w:val="auto"/>
              </w:rPr>
              <w:t>Adresa</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527D259" w14:textId="77777777" w:rsidR="00A1411C" w:rsidRPr="0032536A" w:rsidRDefault="00A1411C" w:rsidP="00DD738E">
            <w:pPr>
              <w:spacing w:after="0" w:line="240" w:lineRule="auto"/>
              <w:ind w:left="0" w:right="0" w:firstLine="0"/>
              <w:jc w:val="center"/>
              <w:rPr>
                <w:rFonts w:ascii="Times New Roman" w:hAnsi="Times New Roman" w:cs="Times New Roman"/>
                <w:b/>
                <w:color w:val="auto"/>
              </w:rPr>
            </w:pPr>
            <w:r w:rsidRPr="0032536A">
              <w:rPr>
                <w:rFonts w:ascii="Times New Roman" w:hAnsi="Times New Roman" w:cs="Times New Roman"/>
                <w:b/>
                <w:color w:val="auto"/>
              </w:rPr>
              <w:t>Kapacitet</w:t>
            </w:r>
          </w:p>
          <w:p w14:paraId="23BD7B4C" w14:textId="77777777" w:rsidR="00A1411C" w:rsidRPr="0032536A" w:rsidRDefault="00A1411C" w:rsidP="00DD738E">
            <w:pPr>
              <w:spacing w:after="0" w:line="240" w:lineRule="auto"/>
              <w:ind w:left="0" w:right="0" w:firstLine="0"/>
              <w:jc w:val="center"/>
              <w:rPr>
                <w:rFonts w:ascii="Times New Roman" w:hAnsi="Times New Roman" w:cs="Times New Roman"/>
                <w:b/>
                <w:color w:val="auto"/>
              </w:rPr>
            </w:pPr>
            <w:r w:rsidRPr="0032536A">
              <w:rPr>
                <w:rFonts w:ascii="Times New Roman" w:hAnsi="Times New Roman" w:cs="Times New Roman"/>
                <w:b/>
                <w:color w:val="auto"/>
              </w:rPr>
              <w:t>(broj ležajeva)</w:t>
            </w:r>
          </w:p>
        </w:tc>
        <w:tc>
          <w:tcPr>
            <w:tcW w:w="1134"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72FD9B8" w14:textId="77777777" w:rsidR="00A1411C" w:rsidRPr="0032536A" w:rsidRDefault="00A1411C" w:rsidP="00DD738E">
            <w:pPr>
              <w:spacing w:after="0" w:line="240" w:lineRule="auto"/>
              <w:ind w:left="0" w:right="0" w:firstLine="0"/>
              <w:jc w:val="center"/>
              <w:rPr>
                <w:rFonts w:ascii="Times New Roman" w:hAnsi="Times New Roman" w:cs="Times New Roman"/>
                <w:b/>
                <w:color w:val="auto"/>
              </w:rPr>
            </w:pPr>
            <w:r w:rsidRPr="0032536A">
              <w:rPr>
                <w:rFonts w:ascii="Times New Roman" w:hAnsi="Times New Roman" w:cs="Times New Roman"/>
                <w:b/>
                <w:color w:val="auto"/>
              </w:rPr>
              <w:t>Godina izgradnje objekta</w:t>
            </w:r>
          </w:p>
        </w:tc>
      </w:tr>
      <w:tr w:rsidR="00A1411C" w:rsidRPr="004750F4" w14:paraId="02073111"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040FB181"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1.</w:t>
            </w:r>
          </w:p>
        </w:tc>
        <w:tc>
          <w:tcPr>
            <w:tcW w:w="3402" w:type="dxa"/>
            <w:tcBorders>
              <w:top w:val="single" w:sz="4" w:space="0" w:color="000000"/>
              <w:left w:val="single" w:sz="4" w:space="0" w:color="000000"/>
              <w:bottom w:val="single" w:sz="4" w:space="0" w:color="000000"/>
              <w:right w:val="single" w:sz="4" w:space="0" w:color="000000"/>
            </w:tcBorders>
          </w:tcPr>
          <w:p w14:paraId="69195F27"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Dom zdravlja Zagreb - Centar</w:t>
            </w:r>
          </w:p>
        </w:tc>
        <w:tc>
          <w:tcPr>
            <w:tcW w:w="2552" w:type="dxa"/>
            <w:tcBorders>
              <w:top w:val="single" w:sz="4" w:space="0" w:color="000000"/>
              <w:left w:val="single" w:sz="4" w:space="0" w:color="000000"/>
              <w:bottom w:val="single" w:sz="4" w:space="0" w:color="000000"/>
              <w:right w:val="single" w:sz="4" w:space="0" w:color="000000"/>
            </w:tcBorders>
          </w:tcPr>
          <w:p w14:paraId="0D644B57"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Runjaninova ul. 4</w:t>
            </w:r>
          </w:p>
        </w:tc>
        <w:tc>
          <w:tcPr>
            <w:tcW w:w="1418" w:type="dxa"/>
            <w:tcBorders>
              <w:top w:val="single" w:sz="4" w:space="0" w:color="000000"/>
              <w:left w:val="single" w:sz="4" w:space="0" w:color="000000"/>
              <w:bottom w:val="single" w:sz="4" w:space="0" w:color="000000"/>
              <w:right w:val="single" w:sz="4" w:space="0" w:color="000000"/>
            </w:tcBorders>
            <w:vAlign w:val="center"/>
          </w:tcPr>
          <w:p w14:paraId="5BAAF8DC"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w:t>
            </w:r>
          </w:p>
        </w:tc>
        <w:tc>
          <w:tcPr>
            <w:tcW w:w="1134" w:type="dxa"/>
            <w:tcBorders>
              <w:top w:val="single" w:sz="4" w:space="0" w:color="000000"/>
              <w:left w:val="single" w:sz="4" w:space="0" w:color="000000"/>
              <w:bottom w:val="single" w:sz="4" w:space="0" w:color="000000"/>
              <w:right w:val="single" w:sz="4" w:space="0" w:color="000000"/>
            </w:tcBorders>
            <w:vAlign w:val="center"/>
          </w:tcPr>
          <w:p w14:paraId="4919E8DD"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1988.</w:t>
            </w:r>
          </w:p>
        </w:tc>
      </w:tr>
      <w:tr w:rsidR="00A1411C" w:rsidRPr="004750F4" w14:paraId="647B9A92"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68F2174A"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2.</w:t>
            </w:r>
          </w:p>
        </w:tc>
        <w:tc>
          <w:tcPr>
            <w:tcW w:w="3402" w:type="dxa"/>
            <w:tcBorders>
              <w:top w:val="single" w:sz="4" w:space="0" w:color="000000"/>
              <w:left w:val="single" w:sz="4" w:space="0" w:color="000000"/>
              <w:bottom w:val="single" w:sz="4" w:space="0" w:color="000000"/>
              <w:right w:val="single" w:sz="4" w:space="0" w:color="000000"/>
            </w:tcBorders>
          </w:tcPr>
          <w:p w14:paraId="2A7461FB"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Dom zdravlja Zagreb - Istok</w:t>
            </w:r>
          </w:p>
        </w:tc>
        <w:tc>
          <w:tcPr>
            <w:tcW w:w="2552" w:type="dxa"/>
            <w:tcBorders>
              <w:top w:val="single" w:sz="4" w:space="0" w:color="000000"/>
              <w:left w:val="single" w:sz="4" w:space="0" w:color="000000"/>
              <w:bottom w:val="single" w:sz="4" w:space="0" w:color="000000"/>
              <w:right w:val="single" w:sz="4" w:space="0" w:color="000000"/>
            </w:tcBorders>
          </w:tcPr>
          <w:p w14:paraId="4DDF9A79"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Švarcova 20</w:t>
            </w:r>
          </w:p>
        </w:tc>
        <w:tc>
          <w:tcPr>
            <w:tcW w:w="1418" w:type="dxa"/>
            <w:tcBorders>
              <w:top w:val="single" w:sz="4" w:space="0" w:color="000000"/>
              <w:left w:val="single" w:sz="4" w:space="0" w:color="000000"/>
              <w:bottom w:val="single" w:sz="4" w:space="0" w:color="000000"/>
              <w:right w:val="single" w:sz="4" w:space="0" w:color="000000"/>
            </w:tcBorders>
            <w:vAlign w:val="center"/>
          </w:tcPr>
          <w:p w14:paraId="1635E7F4"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w:t>
            </w:r>
          </w:p>
        </w:tc>
        <w:tc>
          <w:tcPr>
            <w:tcW w:w="1134" w:type="dxa"/>
            <w:tcBorders>
              <w:top w:val="single" w:sz="4" w:space="0" w:color="000000"/>
              <w:left w:val="single" w:sz="4" w:space="0" w:color="000000"/>
              <w:bottom w:val="single" w:sz="4" w:space="0" w:color="000000"/>
              <w:right w:val="single" w:sz="4" w:space="0" w:color="000000"/>
            </w:tcBorders>
            <w:vAlign w:val="center"/>
          </w:tcPr>
          <w:p w14:paraId="2D1046DF"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p>
        </w:tc>
      </w:tr>
      <w:tr w:rsidR="00A1411C" w:rsidRPr="004750F4" w14:paraId="5D83BDB1"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74E5D0C4"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3.</w:t>
            </w:r>
          </w:p>
        </w:tc>
        <w:tc>
          <w:tcPr>
            <w:tcW w:w="3402" w:type="dxa"/>
            <w:tcBorders>
              <w:top w:val="single" w:sz="4" w:space="0" w:color="000000"/>
              <w:left w:val="single" w:sz="4" w:space="0" w:color="000000"/>
              <w:bottom w:val="single" w:sz="4" w:space="0" w:color="000000"/>
              <w:right w:val="single" w:sz="4" w:space="0" w:color="000000"/>
            </w:tcBorders>
          </w:tcPr>
          <w:p w14:paraId="2F86E777"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Dom zdravlja Zagreb - Zapad</w:t>
            </w:r>
          </w:p>
        </w:tc>
        <w:tc>
          <w:tcPr>
            <w:tcW w:w="2552" w:type="dxa"/>
            <w:tcBorders>
              <w:top w:val="single" w:sz="4" w:space="0" w:color="000000"/>
              <w:left w:val="single" w:sz="4" w:space="0" w:color="000000"/>
              <w:bottom w:val="single" w:sz="4" w:space="0" w:color="000000"/>
              <w:right w:val="single" w:sz="4" w:space="0" w:color="000000"/>
            </w:tcBorders>
          </w:tcPr>
          <w:p w14:paraId="656A883C"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Prilaz baruna Filipovića 11</w:t>
            </w:r>
          </w:p>
        </w:tc>
        <w:tc>
          <w:tcPr>
            <w:tcW w:w="1418" w:type="dxa"/>
            <w:tcBorders>
              <w:top w:val="single" w:sz="4" w:space="0" w:color="000000"/>
              <w:left w:val="single" w:sz="4" w:space="0" w:color="000000"/>
              <w:bottom w:val="single" w:sz="4" w:space="0" w:color="000000"/>
              <w:right w:val="single" w:sz="4" w:space="0" w:color="000000"/>
            </w:tcBorders>
            <w:vAlign w:val="center"/>
          </w:tcPr>
          <w:p w14:paraId="42F954FE"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w:t>
            </w:r>
          </w:p>
        </w:tc>
        <w:tc>
          <w:tcPr>
            <w:tcW w:w="1134" w:type="dxa"/>
            <w:tcBorders>
              <w:top w:val="single" w:sz="4" w:space="0" w:color="000000"/>
              <w:left w:val="single" w:sz="4" w:space="0" w:color="000000"/>
              <w:bottom w:val="single" w:sz="4" w:space="0" w:color="000000"/>
              <w:right w:val="single" w:sz="4" w:space="0" w:color="000000"/>
            </w:tcBorders>
            <w:vAlign w:val="center"/>
          </w:tcPr>
          <w:p w14:paraId="723E5D07"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p>
        </w:tc>
      </w:tr>
      <w:tr w:rsidR="00A1411C" w:rsidRPr="004750F4" w14:paraId="6760C322"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22111BB9"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4.</w:t>
            </w:r>
          </w:p>
        </w:tc>
        <w:tc>
          <w:tcPr>
            <w:tcW w:w="3402" w:type="dxa"/>
            <w:tcBorders>
              <w:top w:val="single" w:sz="4" w:space="0" w:color="000000"/>
              <w:left w:val="single" w:sz="4" w:space="0" w:color="000000"/>
              <w:bottom w:val="single" w:sz="4" w:space="0" w:color="000000"/>
              <w:right w:val="single" w:sz="4" w:space="0" w:color="000000"/>
            </w:tcBorders>
          </w:tcPr>
          <w:p w14:paraId="05615BAE"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Poliklinika za reumatske bolesti, fizikalnu medicinu i rehabilitaciju "Dr. Drago Čop"</w:t>
            </w:r>
          </w:p>
        </w:tc>
        <w:tc>
          <w:tcPr>
            <w:tcW w:w="2552" w:type="dxa"/>
            <w:tcBorders>
              <w:top w:val="single" w:sz="4" w:space="0" w:color="000000"/>
              <w:left w:val="single" w:sz="4" w:space="0" w:color="000000"/>
              <w:bottom w:val="single" w:sz="4" w:space="0" w:color="000000"/>
              <w:right w:val="single" w:sz="4" w:space="0" w:color="000000"/>
            </w:tcBorders>
          </w:tcPr>
          <w:p w14:paraId="0306E307"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 A. Mihanovića 3</w:t>
            </w:r>
          </w:p>
        </w:tc>
        <w:tc>
          <w:tcPr>
            <w:tcW w:w="1418" w:type="dxa"/>
            <w:tcBorders>
              <w:top w:val="single" w:sz="4" w:space="0" w:color="000000"/>
              <w:left w:val="single" w:sz="4" w:space="0" w:color="000000"/>
              <w:bottom w:val="single" w:sz="4" w:space="0" w:color="000000"/>
              <w:right w:val="single" w:sz="4" w:space="0" w:color="000000"/>
            </w:tcBorders>
            <w:vAlign w:val="center"/>
          </w:tcPr>
          <w:p w14:paraId="3A403B97"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w:t>
            </w:r>
          </w:p>
        </w:tc>
        <w:tc>
          <w:tcPr>
            <w:tcW w:w="1134" w:type="dxa"/>
            <w:tcBorders>
              <w:top w:val="single" w:sz="4" w:space="0" w:color="000000"/>
              <w:left w:val="single" w:sz="4" w:space="0" w:color="000000"/>
              <w:bottom w:val="single" w:sz="4" w:space="0" w:color="000000"/>
              <w:right w:val="single" w:sz="4" w:space="0" w:color="000000"/>
            </w:tcBorders>
            <w:vAlign w:val="center"/>
          </w:tcPr>
          <w:p w14:paraId="4D3AE49A"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1928.</w:t>
            </w:r>
          </w:p>
        </w:tc>
      </w:tr>
      <w:tr w:rsidR="00A1411C" w:rsidRPr="004750F4" w14:paraId="629BC7A7"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062ACB5E"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lastRenderedPageBreak/>
              <w:t>5.</w:t>
            </w:r>
          </w:p>
        </w:tc>
        <w:tc>
          <w:tcPr>
            <w:tcW w:w="3402" w:type="dxa"/>
            <w:tcBorders>
              <w:top w:val="single" w:sz="4" w:space="0" w:color="000000"/>
              <w:left w:val="single" w:sz="4" w:space="0" w:color="000000"/>
              <w:bottom w:val="single" w:sz="4" w:space="0" w:color="000000"/>
              <w:right w:val="single" w:sz="4" w:space="0" w:color="000000"/>
            </w:tcBorders>
          </w:tcPr>
          <w:p w14:paraId="32C88AB9"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Poliklinika za prevenciju kardiovaskularnih bolesti i rehabilitaciju</w:t>
            </w:r>
          </w:p>
        </w:tc>
        <w:tc>
          <w:tcPr>
            <w:tcW w:w="2552" w:type="dxa"/>
            <w:tcBorders>
              <w:top w:val="single" w:sz="4" w:space="0" w:color="000000"/>
              <w:left w:val="single" w:sz="4" w:space="0" w:color="000000"/>
              <w:bottom w:val="single" w:sz="4" w:space="0" w:color="000000"/>
              <w:right w:val="single" w:sz="4" w:space="0" w:color="000000"/>
            </w:tcBorders>
          </w:tcPr>
          <w:p w14:paraId="527EB02D"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Draškovićeva 13</w:t>
            </w:r>
          </w:p>
        </w:tc>
        <w:tc>
          <w:tcPr>
            <w:tcW w:w="1418" w:type="dxa"/>
            <w:tcBorders>
              <w:top w:val="single" w:sz="4" w:space="0" w:color="000000"/>
              <w:left w:val="single" w:sz="4" w:space="0" w:color="000000"/>
              <w:bottom w:val="single" w:sz="4" w:space="0" w:color="000000"/>
              <w:right w:val="single" w:sz="4" w:space="0" w:color="000000"/>
            </w:tcBorders>
            <w:vAlign w:val="center"/>
          </w:tcPr>
          <w:p w14:paraId="61398770"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w:t>
            </w:r>
          </w:p>
        </w:tc>
        <w:tc>
          <w:tcPr>
            <w:tcW w:w="1134" w:type="dxa"/>
            <w:tcBorders>
              <w:top w:val="single" w:sz="4" w:space="0" w:color="000000"/>
              <w:left w:val="single" w:sz="4" w:space="0" w:color="000000"/>
              <w:bottom w:val="single" w:sz="4" w:space="0" w:color="000000"/>
              <w:right w:val="single" w:sz="4" w:space="0" w:color="000000"/>
            </w:tcBorders>
            <w:vAlign w:val="center"/>
          </w:tcPr>
          <w:p w14:paraId="770DAC66"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1937.</w:t>
            </w:r>
          </w:p>
        </w:tc>
      </w:tr>
      <w:tr w:rsidR="00A1411C" w:rsidRPr="004750F4" w14:paraId="1F0C8BB6"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0D474297"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6.</w:t>
            </w:r>
          </w:p>
        </w:tc>
        <w:tc>
          <w:tcPr>
            <w:tcW w:w="3402" w:type="dxa"/>
            <w:tcBorders>
              <w:top w:val="single" w:sz="4" w:space="0" w:color="000000"/>
              <w:left w:val="single" w:sz="4" w:space="0" w:color="000000"/>
              <w:bottom w:val="single" w:sz="4" w:space="0" w:color="000000"/>
              <w:right w:val="single" w:sz="4" w:space="0" w:color="000000"/>
            </w:tcBorders>
          </w:tcPr>
          <w:p w14:paraId="01D24412"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Stomatološka poliklinika Zagreb</w:t>
            </w:r>
          </w:p>
        </w:tc>
        <w:tc>
          <w:tcPr>
            <w:tcW w:w="2552" w:type="dxa"/>
            <w:tcBorders>
              <w:top w:val="single" w:sz="4" w:space="0" w:color="000000"/>
              <w:left w:val="single" w:sz="4" w:space="0" w:color="000000"/>
              <w:bottom w:val="single" w:sz="4" w:space="0" w:color="000000"/>
              <w:right w:val="single" w:sz="4" w:space="0" w:color="000000"/>
            </w:tcBorders>
          </w:tcPr>
          <w:p w14:paraId="7A8A1644"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Perkovčeva ul. 3</w:t>
            </w:r>
          </w:p>
        </w:tc>
        <w:tc>
          <w:tcPr>
            <w:tcW w:w="1418" w:type="dxa"/>
            <w:tcBorders>
              <w:top w:val="single" w:sz="4" w:space="0" w:color="000000"/>
              <w:left w:val="single" w:sz="4" w:space="0" w:color="000000"/>
              <w:bottom w:val="single" w:sz="4" w:space="0" w:color="000000"/>
              <w:right w:val="single" w:sz="4" w:space="0" w:color="000000"/>
            </w:tcBorders>
            <w:vAlign w:val="center"/>
          </w:tcPr>
          <w:p w14:paraId="1E852399"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w:t>
            </w:r>
          </w:p>
        </w:tc>
        <w:tc>
          <w:tcPr>
            <w:tcW w:w="1134" w:type="dxa"/>
            <w:tcBorders>
              <w:top w:val="single" w:sz="4" w:space="0" w:color="000000"/>
              <w:left w:val="single" w:sz="4" w:space="0" w:color="000000"/>
              <w:bottom w:val="single" w:sz="4" w:space="0" w:color="000000"/>
              <w:right w:val="single" w:sz="4" w:space="0" w:color="000000"/>
            </w:tcBorders>
            <w:vAlign w:val="center"/>
          </w:tcPr>
          <w:p w14:paraId="74B3568E"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1911.</w:t>
            </w:r>
          </w:p>
        </w:tc>
      </w:tr>
      <w:tr w:rsidR="00A1411C" w:rsidRPr="004750F4" w14:paraId="66E60AFC"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3F587DFD"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7.</w:t>
            </w:r>
          </w:p>
        </w:tc>
        <w:tc>
          <w:tcPr>
            <w:tcW w:w="3402" w:type="dxa"/>
            <w:tcBorders>
              <w:top w:val="single" w:sz="4" w:space="0" w:color="000000"/>
              <w:left w:val="single" w:sz="4" w:space="0" w:color="000000"/>
              <w:bottom w:val="single" w:sz="4" w:space="0" w:color="000000"/>
              <w:right w:val="single" w:sz="4" w:space="0" w:color="000000"/>
            </w:tcBorders>
          </w:tcPr>
          <w:p w14:paraId="40E62794"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Poliklinika za bolesti dišnog sustava</w:t>
            </w:r>
          </w:p>
        </w:tc>
        <w:tc>
          <w:tcPr>
            <w:tcW w:w="2552" w:type="dxa"/>
            <w:tcBorders>
              <w:top w:val="single" w:sz="4" w:space="0" w:color="000000"/>
              <w:left w:val="single" w:sz="4" w:space="0" w:color="000000"/>
              <w:bottom w:val="single" w:sz="4" w:space="0" w:color="000000"/>
              <w:right w:val="single" w:sz="4" w:space="0" w:color="000000"/>
            </w:tcBorders>
          </w:tcPr>
          <w:p w14:paraId="58893C58"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Prilaz baruna Filipovića 11</w:t>
            </w:r>
          </w:p>
        </w:tc>
        <w:tc>
          <w:tcPr>
            <w:tcW w:w="1418" w:type="dxa"/>
            <w:tcBorders>
              <w:top w:val="single" w:sz="4" w:space="0" w:color="000000"/>
              <w:left w:val="single" w:sz="4" w:space="0" w:color="000000"/>
              <w:bottom w:val="single" w:sz="4" w:space="0" w:color="000000"/>
              <w:right w:val="single" w:sz="4" w:space="0" w:color="000000"/>
            </w:tcBorders>
            <w:vAlign w:val="center"/>
          </w:tcPr>
          <w:p w14:paraId="23DCE52C"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w:t>
            </w:r>
          </w:p>
        </w:tc>
        <w:tc>
          <w:tcPr>
            <w:tcW w:w="1134" w:type="dxa"/>
            <w:tcBorders>
              <w:top w:val="single" w:sz="4" w:space="0" w:color="000000"/>
              <w:left w:val="single" w:sz="4" w:space="0" w:color="000000"/>
              <w:bottom w:val="single" w:sz="4" w:space="0" w:color="000000"/>
              <w:right w:val="single" w:sz="4" w:space="0" w:color="000000"/>
            </w:tcBorders>
            <w:vAlign w:val="center"/>
          </w:tcPr>
          <w:p w14:paraId="6C507D5B"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p>
        </w:tc>
      </w:tr>
      <w:tr w:rsidR="00A1411C" w:rsidRPr="004750F4" w14:paraId="497B6DFA"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22405A5D"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8.</w:t>
            </w:r>
          </w:p>
        </w:tc>
        <w:tc>
          <w:tcPr>
            <w:tcW w:w="3402" w:type="dxa"/>
            <w:tcBorders>
              <w:top w:val="single" w:sz="4" w:space="0" w:color="000000"/>
              <w:left w:val="single" w:sz="4" w:space="0" w:color="000000"/>
              <w:bottom w:val="single" w:sz="4" w:space="0" w:color="000000"/>
              <w:right w:val="single" w:sz="4" w:space="0" w:color="000000"/>
            </w:tcBorders>
          </w:tcPr>
          <w:p w14:paraId="19D75C15"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Poliklinika za rehabilitaciju slušanja i govora "Suvag"</w:t>
            </w:r>
          </w:p>
        </w:tc>
        <w:tc>
          <w:tcPr>
            <w:tcW w:w="2552" w:type="dxa"/>
            <w:tcBorders>
              <w:top w:val="single" w:sz="4" w:space="0" w:color="000000"/>
              <w:left w:val="single" w:sz="4" w:space="0" w:color="000000"/>
              <w:bottom w:val="single" w:sz="4" w:space="0" w:color="000000"/>
              <w:right w:val="single" w:sz="4" w:space="0" w:color="000000"/>
            </w:tcBorders>
          </w:tcPr>
          <w:p w14:paraId="75F4513D"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 kneza Ljudevita Posavskog 10</w:t>
            </w:r>
          </w:p>
        </w:tc>
        <w:tc>
          <w:tcPr>
            <w:tcW w:w="1418" w:type="dxa"/>
            <w:tcBorders>
              <w:top w:val="single" w:sz="4" w:space="0" w:color="000000"/>
              <w:left w:val="single" w:sz="4" w:space="0" w:color="000000"/>
              <w:bottom w:val="single" w:sz="4" w:space="0" w:color="000000"/>
              <w:right w:val="single" w:sz="4" w:space="0" w:color="000000"/>
            </w:tcBorders>
            <w:vAlign w:val="center"/>
          </w:tcPr>
          <w:p w14:paraId="38DD9988"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w:t>
            </w:r>
          </w:p>
        </w:tc>
        <w:tc>
          <w:tcPr>
            <w:tcW w:w="1134" w:type="dxa"/>
            <w:tcBorders>
              <w:top w:val="single" w:sz="4" w:space="0" w:color="000000"/>
              <w:left w:val="single" w:sz="4" w:space="0" w:color="000000"/>
              <w:bottom w:val="single" w:sz="4" w:space="0" w:color="000000"/>
              <w:right w:val="single" w:sz="4" w:space="0" w:color="000000"/>
            </w:tcBorders>
            <w:vAlign w:val="center"/>
          </w:tcPr>
          <w:p w14:paraId="2857C05D"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p>
        </w:tc>
      </w:tr>
      <w:tr w:rsidR="00A1411C" w:rsidRPr="004750F4" w14:paraId="4FF23F9E"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1F36E085"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9.</w:t>
            </w:r>
          </w:p>
        </w:tc>
        <w:tc>
          <w:tcPr>
            <w:tcW w:w="3402" w:type="dxa"/>
            <w:tcBorders>
              <w:top w:val="single" w:sz="4" w:space="0" w:color="000000"/>
              <w:left w:val="single" w:sz="4" w:space="0" w:color="000000"/>
              <w:bottom w:val="single" w:sz="4" w:space="0" w:color="000000"/>
              <w:right w:val="single" w:sz="4" w:space="0" w:color="000000"/>
            </w:tcBorders>
          </w:tcPr>
          <w:p w14:paraId="175019D9"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Poliklinika za zaštitu djece Grada Zagreba</w:t>
            </w:r>
          </w:p>
        </w:tc>
        <w:tc>
          <w:tcPr>
            <w:tcW w:w="2552" w:type="dxa"/>
            <w:tcBorders>
              <w:top w:val="single" w:sz="4" w:space="0" w:color="000000"/>
              <w:left w:val="single" w:sz="4" w:space="0" w:color="000000"/>
              <w:bottom w:val="single" w:sz="4" w:space="0" w:color="000000"/>
              <w:right w:val="single" w:sz="4" w:space="0" w:color="000000"/>
            </w:tcBorders>
          </w:tcPr>
          <w:p w14:paraId="76FC50E7"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 Ignjata Đorđića 26</w:t>
            </w:r>
          </w:p>
        </w:tc>
        <w:tc>
          <w:tcPr>
            <w:tcW w:w="1418" w:type="dxa"/>
            <w:tcBorders>
              <w:top w:val="single" w:sz="4" w:space="0" w:color="000000"/>
              <w:left w:val="single" w:sz="4" w:space="0" w:color="000000"/>
              <w:bottom w:val="single" w:sz="4" w:space="0" w:color="000000"/>
              <w:right w:val="single" w:sz="4" w:space="0" w:color="000000"/>
            </w:tcBorders>
            <w:vAlign w:val="center"/>
          </w:tcPr>
          <w:p w14:paraId="48B89B2A"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w:t>
            </w:r>
          </w:p>
        </w:tc>
        <w:tc>
          <w:tcPr>
            <w:tcW w:w="1134" w:type="dxa"/>
            <w:tcBorders>
              <w:top w:val="single" w:sz="4" w:space="0" w:color="000000"/>
              <w:left w:val="single" w:sz="4" w:space="0" w:color="000000"/>
              <w:bottom w:val="single" w:sz="4" w:space="0" w:color="000000"/>
              <w:right w:val="single" w:sz="4" w:space="0" w:color="000000"/>
            </w:tcBorders>
            <w:vAlign w:val="center"/>
          </w:tcPr>
          <w:p w14:paraId="6D256DCD"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p>
        </w:tc>
      </w:tr>
      <w:tr w:rsidR="00A1411C" w:rsidRPr="004750F4" w14:paraId="5D70AB2D"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1B7F6AD7"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10.</w:t>
            </w:r>
          </w:p>
        </w:tc>
        <w:tc>
          <w:tcPr>
            <w:tcW w:w="3402" w:type="dxa"/>
            <w:tcBorders>
              <w:top w:val="single" w:sz="4" w:space="0" w:color="000000"/>
              <w:left w:val="single" w:sz="4" w:space="0" w:color="000000"/>
              <w:bottom w:val="single" w:sz="4" w:space="0" w:color="000000"/>
              <w:right w:val="single" w:sz="4" w:space="0" w:color="000000"/>
            </w:tcBorders>
          </w:tcPr>
          <w:p w14:paraId="023276CD"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Poliklinika Zagreb</w:t>
            </w:r>
          </w:p>
        </w:tc>
        <w:tc>
          <w:tcPr>
            <w:tcW w:w="2552" w:type="dxa"/>
            <w:tcBorders>
              <w:top w:val="single" w:sz="4" w:space="0" w:color="000000"/>
              <w:left w:val="single" w:sz="4" w:space="0" w:color="000000"/>
              <w:bottom w:val="single" w:sz="4" w:space="0" w:color="000000"/>
              <w:right w:val="single" w:sz="4" w:space="0" w:color="000000"/>
            </w:tcBorders>
          </w:tcPr>
          <w:p w14:paraId="65044EE4"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Argentinska ul. 2</w:t>
            </w:r>
          </w:p>
        </w:tc>
        <w:tc>
          <w:tcPr>
            <w:tcW w:w="1418" w:type="dxa"/>
            <w:tcBorders>
              <w:top w:val="single" w:sz="4" w:space="0" w:color="000000"/>
              <w:left w:val="single" w:sz="4" w:space="0" w:color="000000"/>
              <w:bottom w:val="single" w:sz="4" w:space="0" w:color="000000"/>
              <w:right w:val="single" w:sz="4" w:space="0" w:color="000000"/>
            </w:tcBorders>
            <w:vAlign w:val="center"/>
          </w:tcPr>
          <w:p w14:paraId="7153786A"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w:t>
            </w:r>
          </w:p>
        </w:tc>
        <w:tc>
          <w:tcPr>
            <w:tcW w:w="1134" w:type="dxa"/>
            <w:tcBorders>
              <w:top w:val="single" w:sz="4" w:space="0" w:color="000000"/>
              <w:left w:val="single" w:sz="4" w:space="0" w:color="000000"/>
              <w:bottom w:val="single" w:sz="4" w:space="0" w:color="000000"/>
              <w:right w:val="single" w:sz="4" w:space="0" w:color="000000"/>
            </w:tcBorders>
            <w:vAlign w:val="center"/>
          </w:tcPr>
          <w:p w14:paraId="2A3F6775"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1980.</w:t>
            </w:r>
          </w:p>
        </w:tc>
      </w:tr>
      <w:tr w:rsidR="00A1411C" w:rsidRPr="004750F4" w14:paraId="04704F69"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4663B59D"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11.</w:t>
            </w:r>
          </w:p>
        </w:tc>
        <w:tc>
          <w:tcPr>
            <w:tcW w:w="3402" w:type="dxa"/>
            <w:tcBorders>
              <w:top w:val="single" w:sz="4" w:space="0" w:color="000000"/>
              <w:left w:val="single" w:sz="4" w:space="0" w:color="000000"/>
              <w:bottom w:val="single" w:sz="4" w:space="0" w:color="000000"/>
              <w:right w:val="single" w:sz="4" w:space="0" w:color="000000"/>
            </w:tcBorders>
          </w:tcPr>
          <w:p w14:paraId="7A3B20D2"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Klinika za psihijatriju Vrapče</w:t>
            </w:r>
          </w:p>
        </w:tc>
        <w:tc>
          <w:tcPr>
            <w:tcW w:w="2552" w:type="dxa"/>
            <w:tcBorders>
              <w:top w:val="single" w:sz="4" w:space="0" w:color="000000"/>
              <w:left w:val="single" w:sz="4" w:space="0" w:color="000000"/>
              <w:bottom w:val="single" w:sz="4" w:space="0" w:color="000000"/>
              <w:right w:val="single" w:sz="4" w:space="0" w:color="000000"/>
            </w:tcBorders>
          </w:tcPr>
          <w:p w14:paraId="496721DB"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Bolnička cesta 32</w:t>
            </w:r>
          </w:p>
        </w:tc>
        <w:tc>
          <w:tcPr>
            <w:tcW w:w="1418" w:type="dxa"/>
            <w:tcBorders>
              <w:top w:val="single" w:sz="4" w:space="0" w:color="000000"/>
              <w:left w:val="single" w:sz="4" w:space="0" w:color="000000"/>
              <w:bottom w:val="single" w:sz="4" w:space="0" w:color="000000"/>
              <w:right w:val="single" w:sz="4" w:space="0" w:color="000000"/>
            </w:tcBorders>
            <w:vAlign w:val="center"/>
          </w:tcPr>
          <w:p w14:paraId="148ABB48"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881</w:t>
            </w:r>
          </w:p>
        </w:tc>
        <w:tc>
          <w:tcPr>
            <w:tcW w:w="1134" w:type="dxa"/>
            <w:tcBorders>
              <w:top w:val="single" w:sz="4" w:space="0" w:color="000000"/>
              <w:left w:val="single" w:sz="4" w:space="0" w:color="000000"/>
              <w:bottom w:val="single" w:sz="4" w:space="0" w:color="000000"/>
              <w:right w:val="single" w:sz="4" w:space="0" w:color="000000"/>
            </w:tcBorders>
            <w:vAlign w:val="center"/>
          </w:tcPr>
          <w:p w14:paraId="293F8223"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1879.</w:t>
            </w:r>
          </w:p>
        </w:tc>
      </w:tr>
      <w:tr w:rsidR="00A1411C" w:rsidRPr="004750F4" w14:paraId="383CF1A0"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63A328B0"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12.</w:t>
            </w:r>
          </w:p>
        </w:tc>
        <w:tc>
          <w:tcPr>
            <w:tcW w:w="3402" w:type="dxa"/>
            <w:tcBorders>
              <w:top w:val="single" w:sz="4" w:space="0" w:color="000000"/>
              <w:left w:val="single" w:sz="4" w:space="0" w:color="000000"/>
              <w:bottom w:val="single" w:sz="4" w:space="0" w:color="000000"/>
              <w:right w:val="single" w:sz="4" w:space="0" w:color="000000"/>
            </w:tcBorders>
          </w:tcPr>
          <w:p w14:paraId="055CD4F6"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Psihijatrijska bolnica "Sveti Ivan"</w:t>
            </w:r>
          </w:p>
        </w:tc>
        <w:tc>
          <w:tcPr>
            <w:tcW w:w="2552" w:type="dxa"/>
            <w:tcBorders>
              <w:top w:val="single" w:sz="4" w:space="0" w:color="000000"/>
              <w:left w:val="single" w:sz="4" w:space="0" w:color="000000"/>
              <w:bottom w:val="single" w:sz="4" w:space="0" w:color="000000"/>
              <w:right w:val="single" w:sz="4" w:space="0" w:color="000000"/>
            </w:tcBorders>
          </w:tcPr>
          <w:p w14:paraId="55629FDB"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Jankomir 11</w:t>
            </w:r>
          </w:p>
        </w:tc>
        <w:tc>
          <w:tcPr>
            <w:tcW w:w="1418" w:type="dxa"/>
            <w:tcBorders>
              <w:top w:val="single" w:sz="4" w:space="0" w:color="000000"/>
              <w:left w:val="single" w:sz="4" w:space="0" w:color="000000"/>
              <w:bottom w:val="single" w:sz="4" w:space="0" w:color="000000"/>
              <w:right w:val="single" w:sz="4" w:space="0" w:color="000000"/>
            </w:tcBorders>
            <w:vAlign w:val="center"/>
          </w:tcPr>
          <w:p w14:paraId="439B8121"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551</w:t>
            </w:r>
          </w:p>
        </w:tc>
        <w:tc>
          <w:tcPr>
            <w:tcW w:w="1134" w:type="dxa"/>
            <w:tcBorders>
              <w:top w:val="single" w:sz="4" w:space="0" w:color="000000"/>
              <w:left w:val="single" w:sz="4" w:space="0" w:color="000000"/>
              <w:bottom w:val="single" w:sz="4" w:space="0" w:color="000000"/>
              <w:right w:val="single" w:sz="4" w:space="0" w:color="000000"/>
            </w:tcBorders>
            <w:vAlign w:val="center"/>
          </w:tcPr>
          <w:p w14:paraId="3FB5B065"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1932.</w:t>
            </w:r>
          </w:p>
        </w:tc>
      </w:tr>
      <w:tr w:rsidR="00A1411C" w:rsidRPr="004750F4" w14:paraId="1E1FAC08"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150E6649"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13.</w:t>
            </w:r>
          </w:p>
        </w:tc>
        <w:tc>
          <w:tcPr>
            <w:tcW w:w="3402" w:type="dxa"/>
            <w:tcBorders>
              <w:top w:val="single" w:sz="4" w:space="0" w:color="000000"/>
              <w:left w:val="single" w:sz="4" w:space="0" w:color="000000"/>
              <w:bottom w:val="single" w:sz="4" w:space="0" w:color="000000"/>
              <w:right w:val="single" w:sz="4" w:space="0" w:color="000000"/>
            </w:tcBorders>
          </w:tcPr>
          <w:p w14:paraId="6476CC38"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Dječja bolnica Srebrnjak</w:t>
            </w:r>
          </w:p>
        </w:tc>
        <w:tc>
          <w:tcPr>
            <w:tcW w:w="2552" w:type="dxa"/>
            <w:tcBorders>
              <w:top w:val="single" w:sz="4" w:space="0" w:color="000000"/>
              <w:left w:val="single" w:sz="4" w:space="0" w:color="000000"/>
              <w:bottom w:val="single" w:sz="4" w:space="0" w:color="000000"/>
              <w:right w:val="single" w:sz="4" w:space="0" w:color="000000"/>
            </w:tcBorders>
          </w:tcPr>
          <w:p w14:paraId="3C85680C"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Srebrnjak 100</w:t>
            </w:r>
          </w:p>
        </w:tc>
        <w:tc>
          <w:tcPr>
            <w:tcW w:w="1418" w:type="dxa"/>
            <w:tcBorders>
              <w:top w:val="single" w:sz="4" w:space="0" w:color="000000"/>
              <w:left w:val="single" w:sz="4" w:space="0" w:color="000000"/>
              <w:bottom w:val="single" w:sz="4" w:space="0" w:color="000000"/>
              <w:right w:val="single" w:sz="4" w:space="0" w:color="000000"/>
            </w:tcBorders>
            <w:vAlign w:val="center"/>
          </w:tcPr>
          <w:p w14:paraId="64F556D2"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Pr>
                <w:rFonts w:ascii="Times New Roman" w:hAnsi="Times New Roman" w:cs="Times New Roman"/>
                <w:color w:val="auto"/>
              </w:rPr>
              <w:t>78</w:t>
            </w:r>
          </w:p>
        </w:tc>
        <w:tc>
          <w:tcPr>
            <w:tcW w:w="1134" w:type="dxa"/>
            <w:tcBorders>
              <w:top w:val="single" w:sz="4" w:space="0" w:color="000000"/>
              <w:left w:val="single" w:sz="4" w:space="0" w:color="000000"/>
              <w:bottom w:val="single" w:sz="4" w:space="0" w:color="000000"/>
              <w:right w:val="single" w:sz="4" w:space="0" w:color="000000"/>
            </w:tcBorders>
            <w:vAlign w:val="center"/>
          </w:tcPr>
          <w:p w14:paraId="3310948D"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p>
        </w:tc>
      </w:tr>
      <w:tr w:rsidR="00A1411C" w:rsidRPr="004750F4" w14:paraId="4CE30993"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40177B55"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14.</w:t>
            </w:r>
          </w:p>
        </w:tc>
        <w:tc>
          <w:tcPr>
            <w:tcW w:w="3402" w:type="dxa"/>
            <w:tcBorders>
              <w:top w:val="single" w:sz="4" w:space="0" w:color="000000"/>
              <w:left w:val="single" w:sz="4" w:space="0" w:color="000000"/>
              <w:bottom w:val="single" w:sz="4" w:space="0" w:color="000000"/>
              <w:right w:val="single" w:sz="4" w:space="0" w:color="000000"/>
            </w:tcBorders>
          </w:tcPr>
          <w:p w14:paraId="5FE35035"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Psihijatrijska bolnica za djecu i mladež</w:t>
            </w:r>
          </w:p>
        </w:tc>
        <w:tc>
          <w:tcPr>
            <w:tcW w:w="2552" w:type="dxa"/>
            <w:tcBorders>
              <w:top w:val="single" w:sz="4" w:space="0" w:color="000000"/>
              <w:left w:val="single" w:sz="4" w:space="0" w:color="000000"/>
              <w:bottom w:val="single" w:sz="4" w:space="0" w:color="000000"/>
              <w:right w:val="single" w:sz="4" w:space="0" w:color="000000"/>
            </w:tcBorders>
          </w:tcPr>
          <w:p w14:paraId="2E88E369"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 Ivana Kukuljevića 11</w:t>
            </w:r>
          </w:p>
        </w:tc>
        <w:tc>
          <w:tcPr>
            <w:tcW w:w="1418" w:type="dxa"/>
            <w:tcBorders>
              <w:top w:val="single" w:sz="4" w:space="0" w:color="000000"/>
              <w:left w:val="single" w:sz="4" w:space="0" w:color="000000"/>
              <w:bottom w:val="single" w:sz="4" w:space="0" w:color="000000"/>
              <w:right w:val="single" w:sz="4" w:space="0" w:color="000000"/>
            </w:tcBorders>
            <w:vAlign w:val="center"/>
          </w:tcPr>
          <w:p w14:paraId="54890B09"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37 kreveta, 60 stolaca</w:t>
            </w:r>
          </w:p>
        </w:tc>
        <w:tc>
          <w:tcPr>
            <w:tcW w:w="1134" w:type="dxa"/>
            <w:tcBorders>
              <w:top w:val="single" w:sz="4" w:space="0" w:color="000000"/>
              <w:left w:val="single" w:sz="4" w:space="0" w:color="000000"/>
              <w:bottom w:val="single" w:sz="4" w:space="0" w:color="000000"/>
              <w:right w:val="single" w:sz="4" w:space="0" w:color="000000"/>
            </w:tcBorders>
            <w:vAlign w:val="center"/>
          </w:tcPr>
          <w:p w14:paraId="28793495"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p>
        </w:tc>
      </w:tr>
      <w:tr w:rsidR="00A1411C" w:rsidRPr="004750F4" w14:paraId="495D382A"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3CF33740"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15.</w:t>
            </w:r>
          </w:p>
        </w:tc>
        <w:tc>
          <w:tcPr>
            <w:tcW w:w="3402" w:type="dxa"/>
            <w:tcBorders>
              <w:top w:val="single" w:sz="4" w:space="0" w:color="000000"/>
              <w:left w:val="single" w:sz="4" w:space="0" w:color="000000"/>
              <w:bottom w:val="single" w:sz="4" w:space="0" w:color="000000"/>
              <w:right w:val="single" w:sz="4" w:space="0" w:color="000000"/>
            </w:tcBorders>
          </w:tcPr>
          <w:p w14:paraId="599B6CD6"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Klinička bolnica "Sveti Duh"</w:t>
            </w:r>
          </w:p>
        </w:tc>
        <w:tc>
          <w:tcPr>
            <w:tcW w:w="2552" w:type="dxa"/>
            <w:tcBorders>
              <w:top w:val="single" w:sz="4" w:space="0" w:color="000000"/>
              <w:left w:val="single" w:sz="4" w:space="0" w:color="000000"/>
              <w:bottom w:val="single" w:sz="4" w:space="0" w:color="000000"/>
              <w:right w:val="single" w:sz="4" w:space="0" w:color="000000"/>
            </w:tcBorders>
          </w:tcPr>
          <w:p w14:paraId="3AAB3EBC"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Sveti Duh 64</w:t>
            </w:r>
          </w:p>
        </w:tc>
        <w:tc>
          <w:tcPr>
            <w:tcW w:w="1418" w:type="dxa"/>
            <w:tcBorders>
              <w:top w:val="single" w:sz="4" w:space="0" w:color="000000"/>
              <w:left w:val="single" w:sz="4" w:space="0" w:color="000000"/>
              <w:bottom w:val="single" w:sz="4" w:space="0" w:color="000000"/>
              <w:right w:val="single" w:sz="4" w:space="0" w:color="000000"/>
            </w:tcBorders>
            <w:vAlign w:val="center"/>
          </w:tcPr>
          <w:p w14:paraId="569288D7"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484</w:t>
            </w:r>
          </w:p>
        </w:tc>
        <w:tc>
          <w:tcPr>
            <w:tcW w:w="1134" w:type="dxa"/>
            <w:tcBorders>
              <w:top w:val="single" w:sz="4" w:space="0" w:color="000000"/>
              <w:left w:val="single" w:sz="4" w:space="0" w:color="000000"/>
              <w:bottom w:val="single" w:sz="4" w:space="0" w:color="000000"/>
              <w:right w:val="single" w:sz="4" w:space="0" w:color="000000"/>
            </w:tcBorders>
            <w:vAlign w:val="center"/>
          </w:tcPr>
          <w:p w14:paraId="4E987214"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1804.</w:t>
            </w:r>
          </w:p>
        </w:tc>
      </w:tr>
      <w:tr w:rsidR="00A1411C" w:rsidRPr="004750F4" w14:paraId="2832C31D"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1840875D"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16.</w:t>
            </w:r>
          </w:p>
        </w:tc>
        <w:tc>
          <w:tcPr>
            <w:tcW w:w="3402" w:type="dxa"/>
            <w:tcBorders>
              <w:top w:val="single" w:sz="4" w:space="0" w:color="000000"/>
              <w:left w:val="single" w:sz="4" w:space="0" w:color="000000"/>
              <w:bottom w:val="single" w:sz="4" w:space="0" w:color="000000"/>
              <w:right w:val="single" w:sz="4" w:space="0" w:color="000000"/>
            </w:tcBorders>
          </w:tcPr>
          <w:p w14:paraId="7E95C808"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Nastavni zavod za javno zdravstvo "Dr. Andrija Štampar"</w:t>
            </w:r>
          </w:p>
        </w:tc>
        <w:tc>
          <w:tcPr>
            <w:tcW w:w="2552" w:type="dxa"/>
            <w:tcBorders>
              <w:top w:val="single" w:sz="4" w:space="0" w:color="000000"/>
              <w:left w:val="single" w:sz="4" w:space="0" w:color="000000"/>
              <w:bottom w:val="single" w:sz="4" w:space="0" w:color="000000"/>
              <w:right w:val="single" w:sz="4" w:space="0" w:color="000000"/>
            </w:tcBorders>
          </w:tcPr>
          <w:p w14:paraId="5327E586"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Mirogojska cesta 16</w:t>
            </w:r>
          </w:p>
        </w:tc>
        <w:tc>
          <w:tcPr>
            <w:tcW w:w="1418" w:type="dxa"/>
            <w:tcBorders>
              <w:top w:val="single" w:sz="4" w:space="0" w:color="000000"/>
              <w:left w:val="single" w:sz="4" w:space="0" w:color="000000"/>
              <w:bottom w:val="single" w:sz="4" w:space="0" w:color="000000"/>
              <w:right w:val="single" w:sz="4" w:space="0" w:color="000000"/>
            </w:tcBorders>
            <w:vAlign w:val="center"/>
          </w:tcPr>
          <w:p w14:paraId="3C9D2105"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w:t>
            </w:r>
          </w:p>
        </w:tc>
        <w:tc>
          <w:tcPr>
            <w:tcW w:w="1134" w:type="dxa"/>
            <w:tcBorders>
              <w:top w:val="single" w:sz="4" w:space="0" w:color="000000"/>
              <w:left w:val="single" w:sz="4" w:space="0" w:color="000000"/>
              <w:bottom w:val="single" w:sz="4" w:space="0" w:color="000000"/>
              <w:right w:val="single" w:sz="4" w:space="0" w:color="000000"/>
            </w:tcBorders>
            <w:vAlign w:val="center"/>
          </w:tcPr>
          <w:p w14:paraId="73088066"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p>
        </w:tc>
      </w:tr>
      <w:tr w:rsidR="00A1411C" w:rsidRPr="004750F4" w14:paraId="5F5905EE"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3E740554"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17.</w:t>
            </w:r>
          </w:p>
        </w:tc>
        <w:tc>
          <w:tcPr>
            <w:tcW w:w="3402" w:type="dxa"/>
            <w:tcBorders>
              <w:top w:val="single" w:sz="4" w:space="0" w:color="000000"/>
              <w:left w:val="single" w:sz="4" w:space="0" w:color="000000"/>
              <w:bottom w:val="single" w:sz="4" w:space="0" w:color="000000"/>
              <w:right w:val="single" w:sz="4" w:space="0" w:color="000000"/>
            </w:tcBorders>
          </w:tcPr>
          <w:p w14:paraId="03FD4089"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Ustanova za zdravstvenu njegu u kući</w:t>
            </w:r>
          </w:p>
        </w:tc>
        <w:tc>
          <w:tcPr>
            <w:tcW w:w="2552" w:type="dxa"/>
            <w:tcBorders>
              <w:top w:val="single" w:sz="4" w:space="0" w:color="000000"/>
              <w:left w:val="single" w:sz="4" w:space="0" w:color="000000"/>
              <w:bottom w:val="single" w:sz="4" w:space="0" w:color="000000"/>
              <w:right w:val="single" w:sz="4" w:space="0" w:color="000000"/>
            </w:tcBorders>
          </w:tcPr>
          <w:p w14:paraId="25A17328"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Preradovićeva ul. 1</w:t>
            </w:r>
          </w:p>
        </w:tc>
        <w:tc>
          <w:tcPr>
            <w:tcW w:w="1418" w:type="dxa"/>
            <w:tcBorders>
              <w:top w:val="single" w:sz="4" w:space="0" w:color="000000"/>
              <w:left w:val="single" w:sz="4" w:space="0" w:color="000000"/>
              <w:bottom w:val="single" w:sz="4" w:space="0" w:color="000000"/>
              <w:right w:val="single" w:sz="4" w:space="0" w:color="000000"/>
            </w:tcBorders>
            <w:vAlign w:val="center"/>
          </w:tcPr>
          <w:p w14:paraId="3DCB7F87"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w:t>
            </w:r>
          </w:p>
        </w:tc>
        <w:tc>
          <w:tcPr>
            <w:tcW w:w="1134" w:type="dxa"/>
            <w:tcBorders>
              <w:top w:val="single" w:sz="4" w:space="0" w:color="000000"/>
              <w:left w:val="single" w:sz="4" w:space="0" w:color="000000"/>
              <w:bottom w:val="single" w:sz="4" w:space="0" w:color="000000"/>
              <w:right w:val="single" w:sz="4" w:space="0" w:color="000000"/>
            </w:tcBorders>
            <w:vAlign w:val="center"/>
          </w:tcPr>
          <w:p w14:paraId="42E82826"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1922.</w:t>
            </w:r>
          </w:p>
        </w:tc>
      </w:tr>
      <w:tr w:rsidR="00A1411C" w:rsidRPr="004750F4" w14:paraId="1A6ABFCC"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75456A47"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18.</w:t>
            </w:r>
          </w:p>
        </w:tc>
        <w:tc>
          <w:tcPr>
            <w:tcW w:w="3402" w:type="dxa"/>
            <w:tcBorders>
              <w:top w:val="single" w:sz="4" w:space="0" w:color="000000"/>
              <w:left w:val="single" w:sz="4" w:space="0" w:color="000000"/>
              <w:bottom w:val="single" w:sz="4" w:space="0" w:color="000000"/>
              <w:right w:val="single" w:sz="4" w:space="0" w:color="000000"/>
            </w:tcBorders>
          </w:tcPr>
          <w:p w14:paraId="030B1870"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Specijalna bolnica za plućne bolesti</w:t>
            </w:r>
          </w:p>
        </w:tc>
        <w:tc>
          <w:tcPr>
            <w:tcW w:w="2552" w:type="dxa"/>
            <w:tcBorders>
              <w:top w:val="single" w:sz="4" w:space="0" w:color="000000"/>
              <w:left w:val="single" w:sz="4" w:space="0" w:color="000000"/>
              <w:bottom w:val="single" w:sz="4" w:space="0" w:color="000000"/>
              <w:right w:val="single" w:sz="4" w:space="0" w:color="000000"/>
            </w:tcBorders>
          </w:tcPr>
          <w:p w14:paraId="5BB530DD"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Rockefellerova ul. 3</w:t>
            </w:r>
          </w:p>
        </w:tc>
        <w:tc>
          <w:tcPr>
            <w:tcW w:w="1418" w:type="dxa"/>
            <w:tcBorders>
              <w:top w:val="single" w:sz="4" w:space="0" w:color="000000"/>
              <w:left w:val="single" w:sz="4" w:space="0" w:color="000000"/>
              <w:bottom w:val="single" w:sz="4" w:space="0" w:color="000000"/>
              <w:right w:val="single" w:sz="4" w:space="0" w:color="000000"/>
            </w:tcBorders>
            <w:vAlign w:val="center"/>
          </w:tcPr>
          <w:p w14:paraId="5120869F"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100</w:t>
            </w:r>
          </w:p>
        </w:tc>
        <w:tc>
          <w:tcPr>
            <w:tcW w:w="1134" w:type="dxa"/>
            <w:tcBorders>
              <w:top w:val="single" w:sz="4" w:space="0" w:color="000000"/>
              <w:left w:val="single" w:sz="4" w:space="0" w:color="000000"/>
              <w:bottom w:val="single" w:sz="4" w:space="0" w:color="000000"/>
              <w:right w:val="single" w:sz="4" w:space="0" w:color="000000"/>
            </w:tcBorders>
            <w:vAlign w:val="center"/>
          </w:tcPr>
          <w:p w14:paraId="67D967A9"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1933.</w:t>
            </w:r>
          </w:p>
        </w:tc>
      </w:tr>
      <w:tr w:rsidR="00A1411C" w:rsidRPr="004750F4" w14:paraId="1DE4F7A9"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0C4CC330"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19.</w:t>
            </w:r>
          </w:p>
        </w:tc>
        <w:tc>
          <w:tcPr>
            <w:tcW w:w="3402" w:type="dxa"/>
            <w:tcBorders>
              <w:top w:val="single" w:sz="4" w:space="0" w:color="000000"/>
              <w:left w:val="single" w:sz="4" w:space="0" w:color="000000"/>
              <w:bottom w:val="single" w:sz="4" w:space="0" w:color="000000"/>
              <w:right w:val="single" w:sz="4" w:space="0" w:color="000000"/>
            </w:tcBorders>
          </w:tcPr>
          <w:p w14:paraId="77E8C640"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Specijalna bolnica za zdravstvenu zaštitu djece s neurorazvojnim i motoričkim smetnjama</w:t>
            </w:r>
          </w:p>
        </w:tc>
        <w:tc>
          <w:tcPr>
            <w:tcW w:w="2552" w:type="dxa"/>
            <w:tcBorders>
              <w:top w:val="single" w:sz="4" w:space="0" w:color="000000"/>
              <w:left w:val="single" w:sz="4" w:space="0" w:color="000000"/>
              <w:bottom w:val="single" w:sz="4" w:space="0" w:color="000000"/>
              <w:right w:val="single" w:sz="4" w:space="0" w:color="000000"/>
            </w:tcBorders>
          </w:tcPr>
          <w:p w14:paraId="380A7FD5"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Goljak 2</w:t>
            </w:r>
          </w:p>
        </w:tc>
        <w:tc>
          <w:tcPr>
            <w:tcW w:w="1418" w:type="dxa"/>
            <w:tcBorders>
              <w:top w:val="single" w:sz="4" w:space="0" w:color="000000"/>
              <w:left w:val="single" w:sz="4" w:space="0" w:color="000000"/>
              <w:bottom w:val="single" w:sz="4" w:space="0" w:color="000000"/>
              <w:right w:val="single" w:sz="4" w:space="0" w:color="000000"/>
            </w:tcBorders>
            <w:vAlign w:val="center"/>
          </w:tcPr>
          <w:p w14:paraId="05D6EE84"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60</w:t>
            </w:r>
          </w:p>
        </w:tc>
        <w:tc>
          <w:tcPr>
            <w:tcW w:w="1134" w:type="dxa"/>
            <w:tcBorders>
              <w:top w:val="single" w:sz="4" w:space="0" w:color="000000"/>
              <w:left w:val="single" w:sz="4" w:space="0" w:color="000000"/>
              <w:bottom w:val="single" w:sz="4" w:space="0" w:color="000000"/>
              <w:right w:val="single" w:sz="4" w:space="0" w:color="000000"/>
            </w:tcBorders>
            <w:vAlign w:val="center"/>
          </w:tcPr>
          <w:p w14:paraId="2188F328"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p>
        </w:tc>
      </w:tr>
      <w:tr w:rsidR="00A1411C" w:rsidRPr="004750F4" w14:paraId="61A830C1"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73FDD5B9"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20.</w:t>
            </w:r>
          </w:p>
        </w:tc>
        <w:tc>
          <w:tcPr>
            <w:tcW w:w="3402" w:type="dxa"/>
            <w:tcBorders>
              <w:top w:val="single" w:sz="4" w:space="0" w:color="000000"/>
              <w:left w:val="single" w:sz="4" w:space="0" w:color="000000"/>
              <w:bottom w:val="single" w:sz="4" w:space="0" w:color="000000"/>
              <w:right w:val="single" w:sz="4" w:space="0" w:color="000000"/>
            </w:tcBorders>
          </w:tcPr>
          <w:p w14:paraId="6BFD1769"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Klinika za infektivne bolesti "Dr. Fran Mihaljević"</w:t>
            </w:r>
          </w:p>
        </w:tc>
        <w:tc>
          <w:tcPr>
            <w:tcW w:w="2552" w:type="dxa"/>
            <w:tcBorders>
              <w:top w:val="single" w:sz="4" w:space="0" w:color="000000"/>
              <w:left w:val="single" w:sz="4" w:space="0" w:color="000000"/>
              <w:bottom w:val="single" w:sz="4" w:space="0" w:color="000000"/>
              <w:right w:val="single" w:sz="4" w:space="0" w:color="000000"/>
            </w:tcBorders>
          </w:tcPr>
          <w:p w14:paraId="67780510"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Mirogojska cesta 8</w:t>
            </w:r>
          </w:p>
        </w:tc>
        <w:tc>
          <w:tcPr>
            <w:tcW w:w="1418" w:type="dxa"/>
            <w:tcBorders>
              <w:top w:val="single" w:sz="4" w:space="0" w:color="000000"/>
              <w:left w:val="single" w:sz="4" w:space="0" w:color="000000"/>
              <w:bottom w:val="single" w:sz="4" w:space="0" w:color="000000"/>
              <w:right w:val="single" w:sz="4" w:space="0" w:color="000000"/>
            </w:tcBorders>
            <w:vAlign w:val="center"/>
          </w:tcPr>
          <w:p w14:paraId="026722A3"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214</w:t>
            </w:r>
          </w:p>
        </w:tc>
        <w:tc>
          <w:tcPr>
            <w:tcW w:w="1134" w:type="dxa"/>
            <w:tcBorders>
              <w:top w:val="single" w:sz="4" w:space="0" w:color="000000"/>
              <w:left w:val="single" w:sz="4" w:space="0" w:color="000000"/>
              <w:bottom w:val="single" w:sz="4" w:space="0" w:color="000000"/>
              <w:right w:val="single" w:sz="4" w:space="0" w:color="000000"/>
            </w:tcBorders>
            <w:vAlign w:val="center"/>
          </w:tcPr>
          <w:p w14:paraId="49A8894D"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1932.</w:t>
            </w:r>
          </w:p>
        </w:tc>
      </w:tr>
      <w:tr w:rsidR="00A1411C" w:rsidRPr="004750F4" w14:paraId="13B1D136"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0C634E88"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21.</w:t>
            </w:r>
          </w:p>
        </w:tc>
        <w:tc>
          <w:tcPr>
            <w:tcW w:w="3402" w:type="dxa"/>
            <w:tcBorders>
              <w:top w:val="single" w:sz="4" w:space="0" w:color="000000"/>
              <w:left w:val="single" w:sz="4" w:space="0" w:color="000000"/>
              <w:bottom w:val="single" w:sz="4" w:space="0" w:color="000000"/>
              <w:right w:val="single" w:sz="4" w:space="0" w:color="000000"/>
            </w:tcBorders>
          </w:tcPr>
          <w:p w14:paraId="58C878E4"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Klinički bolnički centar "Sestre milosrdnice"</w:t>
            </w:r>
          </w:p>
        </w:tc>
        <w:tc>
          <w:tcPr>
            <w:tcW w:w="2552" w:type="dxa"/>
            <w:tcBorders>
              <w:top w:val="single" w:sz="4" w:space="0" w:color="000000"/>
              <w:left w:val="single" w:sz="4" w:space="0" w:color="000000"/>
              <w:bottom w:val="single" w:sz="4" w:space="0" w:color="000000"/>
              <w:right w:val="single" w:sz="4" w:space="0" w:color="000000"/>
            </w:tcBorders>
          </w:tcPr>
          <w:p w14:paraId="1DD2B998"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Vinogradska cesta 29</w:t>
            </w:r>
          </w:p>
        </w:tc>
        <w:tc>
          <w:tcPr>
            <w:tcW w:w="1418" w:type="dxa"/>
            <w:tcBorders>
              <w:top w:val="single" w:sz="4" w:space="0" w:color="000000"/>
              <w:left w:val="single" w:sz="4" w:space="0" w:color="000000"/>
              <w:bottom w:val="single" w:sz="4" w:space="0" w:color="000000"/>
              <w:right w:val="single" w:sz="4" w:space="0" w:color="000000"/>
            </w:tcBorders>
            <w:vAlign w:val="center"/>
          </w:tcPr>
          <w:p w14:paraId="3826ABE0"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1164</w:t>
            </w:r>
          </w:p>
        </w:tc>
        <w:tc>
          <w:tcPr>
            <w:tcW w:w="1134" w:type="dxa"/>
            <w:tcBorders>
              <w:top w:val="single" w:sz="4" w:space="0" w:color="000000"/>
              <w:left w:val="single" w:sz="4" w:space="0" w:color="000000"/>
              <w:bottom w:val="single" w:sz="4" w:space="0" w:color="000000"/>
              <w:right w:val="single" w:sz="4" w:space="0" w:color="000000"/>
            </w:tcBorders>
            <w:vAlign w:val="center"/>
          </w:tcPr>
          <w:p w14:paraId="3E9C77EF"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1846.</w:t>
            </w:r>
          </w:p>
        </w:tc>
      </w:tr>
      <w:tr w:rsidR="00A1411C" w:rsidRPr="004750F4" w14:paraId="2B036B6C"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27B3BFBD"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22.</w:t>
            </w:r>
          </w:p>
        </w:tc>
        <w:tc>
          <w:tcPr>
            <w:tcW w:w="3402" w:type="dxa"/>
            <w:tcBorders>
              <w:top w:val="single" w:sz="4" w:space="0" w:color="000000"/>
              <w:left w:val="single" w:sz="4" w:space="0" w:color="000000"/>
              <w:bottom w:val="single" w:sz="4" w:space="0" w:color="000000"/>
              <w:right w:val="single" w:sz="4" w:space="0" w:color="000000"/>
            </w:tcBorders>
          </w:tcPr>
          <w:p w14:paraId="35CF7533"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Klinički bolnički centar Zagreb</w:t>
            </w:r>
          </w:p>
        </w:tc>
        <w:tc>
          <w:tcPr>
            <w:tcW w:w="2552" w:type="dxa"/>
            <w:tcBorders>
              <w:top w:val="single" w:sz="4" w:space="0" w:color="000000"/>
              <w:left w:val="single" w:sz="4" w:space="0" w:color="000000"/>
              <w:bottom w:val="single" w:sz="4" w:space="0" w:color="000000"/>
              <w:right w:val="single" w:sz="4" w:space="0" w:color="000000"/>
            </w:tcBorders>
          </w:tcPr>
          <w:p w14:paraId="72D00090"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Kišpatićeva ulica 12</w:t>
            </w:r>
          </w:p>
        </w:tc>
        <w:tc>
          <w:tcPr>
            <w:tcW w:w="1418" w:type="dxa"/>
            <w:tcBorders>
              <w:top w:val="single" w:sz="4" w:space="0" w:color="000000"/>
              <w:left w:val="single" w:sz="4" w:space="0" w:color="000000"/>
              <w:bottom w:val="single" w:sz="4" w:space="0" w:color="000000"/>
              <w:right w:val="single" w:sz="4" w:space="0" w:color="000000"/>
            </w:tcBorders>
            <w:vAlign w:val="center"/>
          </w:tcPr>
          <w:p w14:paraId="30B288C1"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Pr>
                <w:rFonts w:ascii="Times New Roman" w:hAnsi="Times New Roman" w:cs="Times New Roman"/>
                <w:color w:val="auto"/>
              </w:rPr>
              <w:t>1464</w:t>
            </w:r>
          </w:p>
        </w:tc>
        <w:tc>
          <w:tcPr>
            <w:tcW w:w="1134" w:type="dxa"/>
            <w:tcBorders>
              <w:top w:val="single" w:sz="4" w:space="0" w:color="000000"/>
              <w:left w:val="single" w:sz="4" w:space="0" w:color="000000"/>
              <w:bottom w:val="single" w:sz="4" w:space="0" w:color="000000"/>
              <w:right w:val="single" w:sz="4" w:space="0" w:color="000000"/>
            </w:tcBorders>
            <w:vAlign w:val="center"/>
          </w:tcPr>
          <w:p w14:paraId="4C351214"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1965.</w:t>
            </w:r>
          </w:p>
        </w:tc>
      </w:tr>
      <w:tr w:rsidR="00A1411C" w:rsidRPr="004750F4" w14:paraId="7EB3F719"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3D3CE620"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23.</w:t>
            </w:r>
          </w:p>
        </w:tc>
        <w:tc>
          <w:tcPr>
            <w:tcW w:w="3402" w:type="dxa"/>
            <w:tcBorders>
              <w:top w:val="single" w:sz="4" w:space="0" w:color="000000"/>
              <w:left w:val="single" w:sz="4" w:space="0" w:color="000000"/>
              <w:bottom w:val="single" w:sz="4" w:space="0" w:color="000000"/>
              <w:right w:val="single" w:sz="4" w:space="0" w:color="000000"/>
            </w:tcBorders>
          </w:tcPr>
          <w:p w14:paraId="645535EF"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KBC Zagreb, Klinika za plućne bolesti</w:t>
            </w:r>
          </w:p>
        </w:tc>
        <w:tc>
          <w:tcPr>
            <w:tcW w:w="2552" w:type="dxa"/>
            <w:tcBorders>
              <w:top w:val="single" w:sz="4" w:space="0" w:color="000000"/>
              <w:left w:val="single" w:sz="4" w:space="0" w:color="000000"/>
              <w:bottom w:val="single" w:sz="4" w:space="0" w:color="000000"/>
              <w:right w:val="single" w:sz="4" w:space="0" w:color="000000"/>
            </w:tcBorders>
          </w:tcPr>
          <w:p w14:paraId="340309A3"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Jordanovac ul. 104</w:t>
            </w:r>
          </w:p>
        </w:tc>
        <w:tc>
          <w:tcPr>
            <w:tcW w:w="1418" w:type="dxa"/>
            <w:tcBorders>
              <w:top w:val="single" w:sz="4" w:space="0" w:color="000000"/>
              <w:left w:val="single" w:sz="4" w:space="0" w:color="000000"/>
              <w:bottom w:val="single" w:sz="4" w:space="0" w:color="000000"/>
              <w:right w:val="single" w:sz="4" w:space="0" w:color="000000"/>
            </w:tcBorders>
            <w:vAlign w:val="center"/>
          </w:tcPr>
          <w:p w14:paraId="739576B2"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Pr>
                <w:rFonts w:ascii="Times New Roman" w:hAnsi="Times New Roman" w:cs="Times New Roman"/>
                <w:color w:val="auto"/>
              </w:rPr>
              <w:t>161</w:t>
            </w:r>
          </w:p>
        </w:tc>
        <w:tc>
          <w:tcPr>
            <w:tcW w:w="1134" w:type="dxa"/>
            <w:tcBorders>
              <w:top w:val="single" w:sz="4" w:space="0" w:color="000000"/>
              <w:left w:val="single" w:sz="4" w:space="0" w:color="000000"/>
              <w:bottom w:val="single" w:sz="4" w:space="0" w:color="000000"/>
              <w:right w:val="single" w:sz="4" w:space="0" w:color="000000"/>
            </w:tcBorders>
            <w:vAlign w:val="center"/>
          </w:tcPr>
          <w:p w14:paraId="47F78B9E"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p>
        </w:tc>
      </w:tr>
      <w:tr w:rsidR="00A1411C" w:rsidRPr="004750F4" w14:paraId="0BCA9501"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591B7DF4"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24.</w:t>
            </w:r>
          </w:p>
        </w:tc>
        <w:tc>
          <w:tcPr>
            <w:tcW w:w="3402" w:type="dxa"/>
            <w:tcBorders>
              <w:top w:val="single" w:sz="4" w:space="0" w:color="000000"/>
              <w:left w:val="single" w:sz="4" w:space="0" w:color="000000"/>
              <w:bottom w:val="single" w:sz="4" w:space="0" w:color="000000"/>
              <w:right w:val="single" w:sz="4" w:space="0" w:color="000000"/>
            </w:tcBorders>
          </w:tcPr>
          <w:p w14:paraId="0EBBEDDC"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KBC Zagreb, Klinika za dermatovenerologiju; Klinika za ortopediju</w:t>
            </w:r>
          </w:p>
        </w:tc>
        <w:tc>
          <w:tcPr>
            <w:tcW w:w="2552" w:type="dxa"/>
            <w:tcBorders>
              <w:top w:val="single" w:sz="4" w:space="0" w:color="000000"/>
              <w:left w:val="single" w:sz="4" w:space="0" w:color="000000"/>
              <w:bottom w:val="single" w:sz="4" w:space="0" w:color="000000"/>
              <w:right w:val="single" w:sz="4" w:space="0" w:color="000000"/>
            </w:tcBorders>
          </w:tcPr>
          <w:p w14:paraId="5AA0B9D5"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Šalata 4, 6, 7</w:t>
            </w:r>
          </w:p>
        </w:tc>
        <w:tc>
          <w:tcPr>
            <w:tcW w:w="1418" w:type="dxa"/>
            <w:tcBorders>
              <w:top w:val="single" w:sz="4" w:space="0" w:color="000000"/>
              <w:left w:val="single" w:sz="4" w:space="0" w:color="000000"/>
              <w:bottom w:val="single" w:sz="4" w:space="0" w:color="000000"/>
              <w:right w:val="single" w:sz="4" w:space="0" w:color="000000"/>
            </w:tcBorders>
            <w:vAlign w:val="center"/>
          </w:tcPr>
          <w:p w14:paraId="630600F6"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Pr>
                <w:rFonts w:ascii="Times New Roman" w:hAnsi="Times New Roman" w:cs="Times New Roman"/>
                <w:color w:val="auto"/>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785FBC60"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1914.</w:t>
            </w:r>
          </w:p>
        </w:tc>
      </w:tr>
      <w:tr w:rsidR="00A1411C" w:rsidRPr="004750F4" w14:paraId="650C0EC2"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75C31104"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25.</w:t>
            </w:r>
          </w:p>
        </w:tc>
        <w:tc>
          <w:tcPr>
            <w:tcW w:w="3402" w:type="dxa"/>
            <w:tcBorders>
              <w:top w:val="single" w:sz="4" w:space="0" w:color="000000"/>
              <w:left w:val="single" w:sz="4" w:space="0" w:color="000000"/>
              <w:bottom w:val="single" w:sz="4" w:space="0" w:color="000000"/>
              <w:right w:val="single" w:sz="4" w:space="0" w:color="000000"/>
            </w:tcBorders>
          </w:tcPr>
          <w:p w14:paraId="5770B57F"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KBC Zagreb, Klinika za ženske bolesti i porode</w:t>
            </w:r>
          </w:p>
        </w:tc>
        <w:tc>
          <w:tcPr>
            <w:tcW w:w="2552" w:type="dxa"/>
            <w:tcBorders>
              <w:top w:val="single" w:sz="4" w:space="0" w:color="000000"/>
              <w:left w:val="single" w:sz="4" w:space="0" w:color="000000"/>
              <w:bottom w:val="single" w:sz="4" w:space="0" w:color="000000"/>
              <w:right w:val="single" w:sz="4" w:space="0" w:color="000000"/>
            </w:tcBorders>
          </w:tcPr>
          <w:p w14:paraId="19EFAA79"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Petrova 13</w:t>
            </w:r>
          </w:p>
        </w:tc>
        <w:tc>
          <w:tcPr>
            <w:tcW w:w="1418" w:type="dxa"/>
            <w:tcBorders>
              <w:top w:val="single" w:sz="4" w:space="0" w:color="000000"/>
              <w:left w:val="single" w:sz="4" w:space="0" w:color="000000"/>
              <w:bottom w:val="single" w:sz="4" w:space="0" w:color="000000"/>
              <w:right w:val="single" w:sz="4" w:space="0" w:color="000000"/>
            </w:tcBorders>
            <w:vAlign w:val="center"/>
          </w:tcPr>
          <w:p w14:paraId="1A6B9590"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Pr>
                <w:rFonts w:ascii="Times New Roman" w:hAnsi="Times New Roman" w:cs="Times New Roman"/>
                <w:color w:val="auto"/>
              </w:rPr>
              <w:t>292</w:t>
            </w:r>
          </w:p>
        </w:tc>
        <w:tc>
          <w:tcPr>
            <w:tcW w:w="1134" w:type="dxa"/>
            <w:tcBorders>
              <w:top w:val="single" w:sz="4" w:space="0" w:color="000000"/>
              <w:left w:val="single" w:sz="4" w:space="0" w:color="000000"/>
              <w:bottom w:val="single" w:sz="4" w:space="0" w:color="000000"/>
              <w:right w:val="single" w:sz="4" w:space="0" w:color="000000"/>
            </w:tcBorders>
            <w:vAlign w:val="center"/>
          </w:tcPr>
          <w:p w14:paraId="2C55723B"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1913.</w:t>
            </w:r>
          </w:p>
        </w:tc>
      </w:tr>
      <w:tr w:rsidR="00A1411C" w:rsidRPr="004750F4" w14:paraId="08FF384A"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1A9F13B4"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26.</w:t>
            </w:r>
          </w:p>
        </w:tc>
        <w:tc>
          <w:tcPr>
            <w:tcW w:w="3402" w:type="dxa"/>
            <w:tcBorders>
              <w:top w:val="single" w:sz="4" w:space="0" w:color="000000"/>
              <w:left w:val="single" w:sz="4" w:space="0" w:color="000000"/>
              <w:bottom w:val="single" w:sz="4" w:space="0" w:color="000000"/>
              <w:right w:val="single" w:sz="4" w:space="0" w:color="000000"/>
            </w:tcBorders>
          </w:tcPr>
          <w:p w14:paraId="63C39118"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KBC Zagreb, Klinički zavod za rehabilitaciju i ortopedska pomagala</w:t>
            </w:r>
          </w:p>
        </w:tc>
        <w:tc>
          <w:tcPr>
            <w:tcW w:w="2552" w:type="dxa"/>
            <w:tcBorders>
              <w:top w:val="single" w:sz="4" w:space="0" w:color="000000"/>
              <w:left w:val="single" w:sz="4" w:space="0" w:color="000000"/>
              <w:bottom w:val="single" w:sz="4" w:space="0" w:color="000000"/>
              <w:right w:val="single" w:sz="4" w:space="0" w:color="000000"/>
            </w:tcBorders>
          </w:tcPr>
          <w:p w14:paraId="60A2221B"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Božidarevićeva 11</w:t>
            </w:r>
          </w:p>
        </w:tc>
        <w:tc>
          <w:tcPr>
            <w:tcW w:w="1418" w:type="dxa"/>
            <w:tcBorders>
              <w:top w:val="single" w:sz="4" w:space="0" w:color="000000"/>
              <w:left w:val="single" w:sz="4" w:space="0" w:color="000000"/>
              <w:bottom w:val="single" w:sz="4" w:space="0" w:color="000000"/>
              <w:right w:val="single" w:sz="4" w:space="0" w:color="000000"/>
            </w:tcBorders>
            <w:vAlign w:val="center"/>
          </w:tcPr>
          <w:p w14:paraId="47033E39"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Pr>
                <w:rFonts w:ascii="Times New Roman" w:hAnsi="Times New Roman" w:cs="Times New Roman"/>
                <w:color w:val="auto"/>
              </w:rPr>
              <w:t>44</w:t>
            </w:r>
          </w:p>
        </w:tc>
        <w:tc>
          <w:tcPr>
            <w:tcW w:w="1134" w:type="dxa"/>
            <w:tcBorders>
              <w:top w:val="single" w:sz="4" w:space="0" w:color="000000"/>
              <w:left w:val="single" w:sz="4" w:space="0" w:color="000000"/>
              <w:bottom w:val="single" w:sz="4" w:space="0" w:color="000000"/>
              <w:right w:val="single" w:sz="4" w:space="0" w:color="000000"/>
            </w:tcBorders>
            <w:vAlign w:val="center"/>
          </w:tcPr>
          <w:p w14:paraId="6276F76F"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p>
        </w:tc>
      </w:tr>
      <w:tr w:rsidR="00A1411C" w:rsidRPr="004750F4" w14:paraId="409ACDBD"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421F35FD"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27.</w:t>
            </w:r>
          </w:p>
        </w:tc>
        <w:tc>
          <w:tcPr>
            <w:tcW w:w="3402" w:type="dxa"/>
            <w:tcBorders>
              <w:top w:val="single" w:sz="4" w:space="0" w:color="000000"/>
              <w:left w:val="single" w:sz="4" w:space="0" w:color="000000"/>
              <w:bottom w:val="single" w:sz="4" w:space="0" w:color="000000"/>
              <w:right w:val="single" w:sz="4" w:space="0" w:color="000000"/>
            </w:tcBorders>
          </w:tcPr>
          <w:p w14:paraId="42671336"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Klinička bolnica Dubrava</w:t>
            </w:r>
          </w:p>
        </w:tc>
        <w:tc>
          <w:tcPr>
            <w:tcW w:w="2552" w:type="dxa"/>
            <w:tcBorders>
              <w:top w:val="single" w:sz="4" w:space="0" w:color="000000"/>
              <w:left w:val="single" w:sz="4" w:space="0" w:color="000000"/>
              <w:bottom w:val="single" w:sz="4" w:space="0" w:color="000000"/>
              <w:right w:val="single" w:sz="4" w:space="0" w:color="000000"/>
            </w:tcBorders>
          </w:tcPr>
          <w:p w14:paraId="0758D277"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Avenija Gojka Šuška 6</w:t>
            </w:r>
          </w:p>
        </w:tc>
        <w:tc>
          <w:tcPr>
            <w:tcW w:w="1418" w:type="dxa"/>
            <w:tcBorders>
              <w:top w:val="single" w:sz="4" w:space="0" w:color="000000"/>
              <w:left w:val="single" w:sz="4" w:space="0" w:color="000000"/>
              <w:bottom w:val="single" w:sz="4" w:space="0" w:color="000000"/>
              <w:right w:val="single" w:sz="4" w:space="0" w:color="000000"/>
            </w:tcBorders>
            <w:vAlign w:val="center"/>
          </w:tcPr>
          <w:p w14:paraId="758EDC85"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Pr>
                <w:rFonts w:ascii="Times New Roman" w:hAnsi="Times New Roman" w:cs="Times New Roman"/>
                <w:color w:val="auto"/>
              </w:rPr>
              <w:t>708</w:t>
            </w:r>
          </w:p>
        </w:tc>
        <w:tc>
          <w:tcPr>
            <w:tcW w:w="1134" w:type="dxa"/>
            <w:tcBorders>
              <w:top w:val="single" w:sz="4" w:space="0" w:color="000000"/>
              <w:left w:val="single" w:sz="4" w:space="0" w:color="000000"/>
              <w:bottom w:val="single" w:sz="4" w:space="0" w:color="000000"/>
              <w:right w:val="single" w:sz="4" w:space="0" w:color="000000"/>
            </w:tcBorders>
            <w:vAlign w:val="center"/>
          </w:tcPr>
          <w:p w14:paraId="04AECA7D"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1988.</w:t>
            </w:r>
          </w:p>
        </w:tc>
      </w:tr>
      <w:tr w:rsidR="00A1411C" w:rsidRPr="004750F4" w14:paraId="7D3157EC"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0DD3AB92"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28.</w:t>
            </w:r>
          </w:p>
        </w:tc>
        <w:tc>
          <w:tcPr>
            <w:tcW w:w="3402" w:type="dxa"/>
            <w:tcBorders>
              <w:top w:val="single" w:sz="4" w:space="0" w:color="000000"/>
              <w:left w:val="single" w:sz="4" w:space="0" w:color="000000"/>
              <w:bottom w:val="single" w:sz="4" w:space="0" w:color="000000"/>
              <w:right w:val="single" w:sz="4" w:space="0" w:color="000000"/>
            </w:tcBorders>
          </w:tcPr>
          <w:p w14:paraId="0C69C6B3"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Klinička bolnica "Merkur"</w:t>
            </w:r>
          </w:p>
        </w:tc>
        <w:tc>
          <w:tcPr>
            <w:tcW w:w="2552" w:type="dxa"/>
            <w:tcBorders>
              <w:top w:val="single" w:sz="4" w:space="0" w:color="000000"/>
              <w:left w:val="single" w:sz="4" w:space="0" w:color="000000"/>
              <w:bottom w:val="single" w:sz="4" w:space="0" w:color="000000"/>
              <w:right w:val="single" w:sz="4" w:space="0" w:color="000000"/>
            </w:tcBorders>
          </w:tcPr>
          <w:p w14:paraId="50F87F84"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Zajčeva 19</w:t>
            </w:r>
          </w:p>
        </w:tc>
        <w:tc>
          <w:tcPr>
            <w:tcW w:w="1418" w:type="dxa"/>
            <w:tcBorders>
              <w:top w:val="single" w:sz="4" w:space="0" w:color="000000"/>
              <w:left w:val="single" w:sz="4" w:space="0" w:color="000000"/>
              <w:bottom w:val="single" w:sz="4" w:space="0" w:color="000000"/>
              <w:right w:val="single" w:sz="4" w:space="0" w:color="000000"/>
            </w:tcBorders>
            <w:vAlign w:val="center"/>
          </w:tcPr>
          <w:p w14:paraId="6840D786"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Pr>
                <w:rFonts w:ascii="Times New Roman" w:hAnsi="Times New Roman" w:cs="Times New Roman"/>
                <w:color w:val="auto"/>
              </w:rPr>
              <w:t>336</w:t>
            </w:r>
          </w:p>
        </w:tc>
        <w:tc>
          <w:tcPr>
            <w:tcW w:w="1134" w:type="dxa"/>
            <w:tcBorders>
              <w:top w:val="single" w:sz="4" w:space="0" w:color="000000"/>
              <w:left w:val="single" w:sz="4" w:space="0" w:color="000000"/>
              <w:bottom w:val="single" w:sz="4" w:space="0" w:color="000000"/>
              <w:right w:val="single" w:sz="4" w:space="0" w:color="000000"/>
            </w:tcBorders>
            <w:vAlign w:val="center"/>
          </w:tcPr>
          <w:p w14:paraId="1A991117"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1929.</w:t>
            </w:r>
          </w:p>
        </w:tc>
      </w:tr>
      <w:tr w:rsidR="00A1411C" w:rsidRPr="004750F4" w14:paraId="7C61C828"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6906FE41"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39.</w:t>
            </w:r>
          </w:p>
        </w:tc>
        <w:tc>
          <w:tcPr>
            <w:tcW w:w="3402" w:type="dxa"/>
            <w:tcBorders>
              <w:top w:val="single" w:sz="4" w:space="0" w:color="000000"/>
              <w:left w:val="single" w:sz="4" w:space="0" w:color="000000"/>
              <w:bottom w:val="single" w:sz="4" w:space="0" w:color="000000"/>
              <w:right w:val="single" w:sz="4" w:space="0" w:color="000000"/>
            </w:tcBorders>
          </w:tcPr>
          <w:p w14:paraId="4C54F7D4"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Hrvatski zavod za javno zdravstvo</w:t>
            </w:r>
          </w:p>
        </w:tc>
        <w:tc>
          <w:tcPr>
            <w:tcW w:w="2552" w:type="dxa"/>
            <w:tcBorders>
              <w:top w:val="single" w:sz="4" w:space="0" w:color="000000"/>
              <w:left w:val="single" w:sz="4" w:space="0" w:color="000000"/>
              <w:bottom w:val="single" w:sz="4" w:space="0" w:color="000000"/>
              <w:right w:val="single" w:sz="4" w:space="0" w:color="000000"/>
            </w:tcBorders>
          </w:tcPr>
          <w:p w14:paraId="72B44F49"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Rockefellerova 7</w:t>
            </w:r>
          </w:p>
        </w:tc>
        <w:tc>
          <w:tcPr>
            <w:tcW w:w="1418" w:type="dxa"/>
            <w:tcBorders>
              <w:top w:val="single" w:sz="4" w:space="0" w:color="000000"/>
              <w:left w:val="single" w:sz="4" w:space="0" w:color="000000"/>
              <w:bottom w:val="single" w:sz="4" w:space="0" w:color="000000"/>
              <w:right w:val="single" w:sz="4" w:space="0" w:color="000000"/>
            </w:tcBorders>
            <w:vAlign w:val="center"/>
          </w:tcPr>
          <w:p w14:paraId="0A52AA78"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w:t>
            </w:r>
          </w:p>
        </w:tc>
        <w:tc>
          <w:tcPr>
            <w:tcW w:w="1134" w:type="dxa"/>
            <w:tcBorders>
              <w:top w:val="single" w:sz="4" w:space="0" w:color="000000"/>
              <w:left w:val="single" w:sz="4" w:space="0" w:color="000000"/>
              <w:bottom w:val="single" w:sz="4" w:space="0" w:color="000000"/>
              <w:right w:val="single" w:sz="4" w:space="0" w:color="000000"/>
            </w:tcBorders>
            <w:vAlign w:val="center"/>
          </w:tcPr>
          <w:p w14:paraId="20627651"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p>
        </w:tc>
      </w:tr>
      <w:tr w:rsidR="00A1411C" w:rsidRPr="004750F4" w14:paraId="5AD221DE"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4E48925A"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30.</w:t>
            </w:r>
          </w:p>
        </w:tc>
        <w:tc>
          <w:tcPr>
            <w:tcW w:w="3402" w:type="dxa"/>
            <w:tcBorders>
              <w:top w:val="single" w:sz="4" w:space="0" w:color="000000"/>
              <w:left w:val="single" w:sz="4" w:space="0" w:color="000000"/>
              <w:bottom w:val="single" w:sz="4" w:space="0" w:color="000000"/>
              <w:right w:val="single" w:sz="4" w:space="0" w:color="000000"/>
            </w:tcBorders>
          </w:tcPr>
          <w:p w14:paraId="51236F38"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Hrvatski zavod za transfuzijsku medicinu</w:t>
            </w:r>
          </w:p>
        </w:tc>
        <w:tc>
          <w:tcPr>
            <w:tcW w:w="2552" w:type="dxa"/>
            <w:tcBorders>
              <w:top w:val="single" w:sz="4" w:space="0" w:color="000000"/>
              <w:left w:val="single" w:sz="4" w:space="0" w:color="000000"/>
              <w:bottom w:val="single" w:sz="4" w:space="0" w:color="000000"/>
              <w:right w:val="single" w:sz="4" w:space="0" w:color="000000"/>
            </w:tcBorders>
          </w:tcPr>
          <w:p w14:paraId="576EA018"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Petrova 3</w:t>
            </w:r>
          </w:p>
        </w:tc>
        <w:tc>
          <w:tcPr>
            <w:tcW w:w="1418" w:type="dxa"/>
            <w:tcBorders>
              <w:top w:val="single" w:sz="4" w:space="0" w:color="000000"/>
              <w:left w:val="single" w:sz="4" w:space="0" w:color="000000"/>
              <w:bottom w:val="single" w:sz="4" w:space="0" w:color="000000"/>
              <w:right w:val="single" w:sz="4" w:space="0" w:color="000000"/>
            </w:tcBorders>
            <w:vAlign w:val="center"/>
          </w:tcPr>
          <w:p w14:paraId="4A009003"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w:t>
            </w:r>
          </w:p>
        </w:tc>
        <w:tc>
          <w:tcPr>
            <w:tcW w:w="1134" w:type="dxa"/>
            <w:tcBorders>
              <w:top w:val="single" w:sz="4" w:space="0" w:color="000000"/>
              <w:left w:val="single" w:sz="4" w:space="0" w:color="000000"/>
              <w:bottom w:val="single" w:sz="4" w:space="0" w:color="000000"/>
              <w:right w:val="single" w:sz="4" w:space="0" w:color="000000"/>
            </w:tcBorders>
            <w:vAlign w:val="center"/>
          </w:tcPr>
          <w:p w14:paraId="12A18E05"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p>
        </w:tc>
      </w:tr>
      <w:tr w:rsidR="00A1411C" w:rsidRPr="004750F4" w14:paraId="7C70133A"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4A6A2980"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31.</w:t>
            </w:r>
          </w:p>
        </w:tc>
        <w:tc>
          <w:tcPr>
            <w:tcW w:w="3402" w:type="dxa"/>
            <w:tcBorders>
              <w:top w:val="single" w:sz="4" w:space="0" w:color="000000"/>
              <w:left w:val="single" w:sz="4" w:space="0" w:color="000000"/>
              <w:bottom w:val="single" w:sz="4" w:space="0" w:color="000000"/>
              <w:right w:val="single" w:sz="4" w:space="0" w:color="000000"/>
            </w:tcBorders>
          </w:tcPr>
          <w:p w14:paraId="65C6E3E5"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Hrvatski zavod za zaštitu zdravlja i sigurnost na radu</w:t>
            </w:r>
          </w:p>
        </w:tc>
        <w:tc>
          <w:tcPr>
            <w:tcW w:w="2552" w:type="dxa"/>
            <w:tcBorders>
              <w:top w:val="single" w:sz="4" w:space="0" w:color="000000"/>
              <w:left w:val="single" w:sz="4" w:space="0" w:color="000000"/>
              <w:bottom w:val="single" w:sz="4" w:space="0" w:color="000000"/>
              <w:right w:val="single" w:sz="4" w:space="0" w:color="000000"/>
            </w:tcBorders>
          </w:tcPr>
          <w:p w14:paraId="1A21C493"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 Radoslava Cimermana 64A</w:t>
            </w:r>
          </w:p>
        </w:tc>
        <w:tc>
          <w:tcPr>
            <w:tcW w:w="1418" w:type="dxa"/>
            <w:tcBorders>
              <w:top w:val="single" w:sz="4" w:space="0" w:color="000000"/>
              <w:left w:val="single" w:sz="4" w:space="0" w:color="000000"/>
              <w:bottom w:val="single" w:sz="4" w:space="0" w:color="000000"/>
              <w:right w:val="single" w:sz="4" w:space="0" w:color="000000"/>
            </w:tcBorders>
            <w:vAlign w:val="center"/>
          </w:tcPr>
          <w:p w14:paraId="1C7F02F6"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w:t>
            </w:r>
          </w:p>
        </w:tc>
        <w:tc>
          <w:tcPr>
            <w:tcW w:w="1134" w:type="dxa"/>
            <w:tcBorders>
              <w:top w:val="single" w:sz="4" w:space="0" w:color="000000"/>
              <w:left w:val="single" w:sz="4" w:space="0" w:color="000000"/>
              <w:bottom w:val="single" w:sz="4" w:space="0" w:color="000000"/>
              <w:right w:val="single" w:sz="4" w:space="0" w:color="000000"/>
            </w:tcBorders>
            <w:vAlign w:val="center"/>
          </w:tcPr>
          <w:p w14:paraId="4FA15CC0"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1996.</w:t>
            </w:r>
          </w:p>
        </w:tc>
      </w:tr>
      <w:tr w:rsidR="00A1411C" w:rsidRPr="004750F4" w14:paraId="4332B9F3"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729EA455"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32.</w:t>
            </w:r>
          </w:p>
        </w:tc>
        <w:tc>
          <w:tcPr>
            <w:tcW w:w="3402" w:type="dxa"/>
            <w:tcBorders>
              <w:top w:val="single" w:sz="4" w:space="0" w:color="000000"/>
              <w:left w:val="single" w:sz="4" w:space="0" w:color="000000"/>
              <w:bottom w:val="single" w:sz="4" w:space="0" w:color="000000"/>
              <w:right w:val="single" w:sz="4" w:space="0" w:color="000000"/>
            </w:tcBorders>
          </w:tcPr>
          <w:p w14:paraId="4B135248"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Hrvatski zavod za toksikologiju</w:t>
            </w:r>
          </w:p>
        </w:tc>
        <w:tc>
          <w:tcPr>
            <w:tcW w:w="2552" w:type="dxa"/>
            <w:tcBorders>
              <w:top w:val="single" w:sz="4" w:space="0" w:color="000000"/>
              <w:left w:val="single" w:sz="4" w:space="0" w:color="000000"/>
              <w:bottom w:val="single" w:sz="4" w:space="0" w:color="000000"/>
              <w:right w:val="single" w:sz="4" w:space="0" w:color="000000"/>
            </w:tcBorders>
          </w:tcPr>
          <w:p w14:paraId="3F48624F"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Borongajska cesta 83g</w:t>
            </w:r>
          </w:p>
        </w:tc>
        <w:tc>
          <w:tcPr>
            <w:tcW w:w="1418" w:type="dxa"/>
            <w:tcBorders>
              <w:top w:val="single" w:sz="4" w:space="0" w:color="000000"/>
              <w:left w:val="single" w:sz="4" w:space="0" w:color="000000"/>
              <w:bottom w:val="single" w:sz="4" w:space="0" w:color="000000"/>
              <w:right w:val="single" w:sz="4" w:space="0" w:color="000000"/>
            </w:tcBorders>
            <w:vAlign w:val="center"/>
          </w:tcPr>
          <w:p w14:paraId="56F0357B"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w:t>
            </w:r>
          </w:p>
        </w:tc>
        <w:tc>
          <w:tcPr>
            <w:tcW w:w="1134" w:type="dxa"/>
            <w:tcBorders>
              <w:top w:val="single" w:sz="4" w:space="0" w:color="000000"/>
              <w:left w:val="single" w:sz="4" w:space="0" w:color="000000"/>
              <w:bottom w:val="single" w:sz="4" w:space="0" w:color="000000"/>
              <w:right w:val="single" w:sz="4" w:space="0" w:color="000000"/>
            </w:tcBorders>
            <w:vAlign w:val="center"/>
          </w:tcPr>
          <w:p w14:paraId="5840A625"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p>
        </w:tc>
      </w:tr>
      <w:tr w:rsidR="00A1411C" w:rsidRPr="004750F4" w14:paraId="3C0FD819"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0C147752"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33.</w:t>
            </w:r>
          </w:p>
        </w:tc>
        <w:tc>
          <w:tcPr>
            <w:tcW w:w="3402" w:type="dxa"/>
            <w:tcBorders>
              <w:top w:val="single" w:sz="4" w:space="0" w:color="000000"/>
              <w:left w:val="single" w:sz="4" w:space="0" w:color="000000"/>
              <w:bottom w:val="single" w:sz="4" w:space="0" w:color="000000"/>
              <w:right w:val="single" w:sz="4" w:space="0" w:color="000000"/>
            </w:tcBorders>
          </w:tcPr>
          <w:p w14:paraId="083248AE"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Dom zdravlja MUP-a RH</w:t>
            </w:r>
          </w:p>
        </w:tc>
        <w:tc>
          <w:tcPr>
            <w:tcW w:w="2552" w:type="dxa"/>
            <w:tcBorders>
              <w:top w:val="single" w:sz="4" w:space="0" w:color="000000"/>
              <w:left w:val="single" w:sz="4" w:space="0" w:color="000000"/>
              <w:bottom w:val="single" w:sz="4" w:space="0" w:color="000000"/>
              <w:right w:val="single" w:sz="4" w:space="0" w:color="000000"/>
            </w:tcBorders>
          </w:tcPr>
          <w:p w14:paraId="0C1ADE0E"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Šarengradska ul. 3</w:t>
            </w:r>
          </w:p>
        </w:tc>
        <w:tc>
          <w:tcPr>
            <w:tcW w:w="1418" w:type="dxa"/>
            <w:tcBorders>
              <w:top w:val="single" w:sz="4" w:space="0" w:color="000000"/>
              <w:left w:val="single" w:sz="4" w:space="0" w:color="000000"/>
              <w:bottom w:val="single" w:sz="4" w:space="0" w:color="000000"/>
              <w:right w:val="single" w:sz="4" w:space="0" w:color="000000"/>
            </w:tcBorders>
            <w:vAlign w:val="center"/>
          </w:tcPr>
          <w:p w14:paraId="7DC58451"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w:t>
            </w:r>
          </w:p>
        </w:tc>
        <w:tc>
          <w:tcPr>
            <w:tcW w:w="1134" w:type="dxa"/>
            <w:tcBorders>
              <w:top w:val="single" w:sz="4" w:space="0" w:color="000000"/>
              <w:left w:val="single" w:sz="4" w:space="0" w:color="000000"/>
              <w:bottom w:val="single" w:sz="4" w:space="0" w:color="000000"/>
              <w:right w:val="single" w:sz="4" w:space="0" w:color="000000"/>
            </w:tcBorders>
            <w:vAlign w:val="center"/>
          </w:tcPr>
          <w:p w14:paraId="1D721156"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p>
        </w:tc>
      </w:tr>
      <w:tr w:rsidR="00A1411C" w:rsidRPr="004750F4" w14:paraId="3948BE96" w14:textId="77777777" w:rsidTr="00DD738E">
        <w:trPr>
          <w:cantSplit/>
        </w:trPr>
        <w:tc>
          <w:tcPr>
            <w:tcW w:w="566" w:type="dxa"/>
            <w:tcBorders>
              <w:top w:val="single" w:sz="4" w:space="0" w:color="000000"/>
              <w:left w:val="single" w:sz="4" w:space="0" w:color="000000"/>
              <w:bottom w:val="single" w:sz="4" w:space="0" w:color="000000"/>
              <w:right w:val="single" w:sz="4" w:space="0" w:color="000000"/>
            </w:tcBorders>
          </w:tcPr>
          <w:p w14:paraId="46E21857"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lastRenderedPageBreak/>
              <w:t>34.</w:t>
            </w:r>
          </w:p>
        </w:tc>
        <w:tc>
          <w:tcPr>
            <w:tcW w:w="3402" w:type="dxa"/>
            <w:tcBorders>
              <w:top w:val="single" w:sz="4" w:space="0" w:color="000000"/>
              <w:left w:val="single" w:sz="4" w:space="0" w:color="000000"/>
              <w:bottom w:val="single" w:sz="4" w:space="0" w:color="000000"/>
              <w:right w:val="single" w:sz="4" w:space="0" w:color="000000"/>
            </w:tcBorders>
          </w:tcPr>
          <w:p w14:paraId="6ACC929A"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Klinika za dječje bolesti Zagreb</w:t>
            </w:r>
          </w:p>
        </w:tc>
        <w:tc>
          <w:tcPr>
            <w:tcW w:w="2552" w:type="dxa"/>
            <w:tcBorders>
              <w:top w:val="single" w:sz="4" w:space="0" w:color="000000"/>
              <w:left w:val="single" w:sz="4" w:space="0" w:color="000000"/>
              <w:bottom w:val="single" w:sz="4" w:space="0" w:color="000000"/>
              <w:right w:val="single" w:sz="4" w:space="0" w:color="000000"/>
            </w:tcBorders>
          </w:tcPr>
          <w:p w14:paraId="45210559" w14:textId="77777777" w:rsidR="00A1411C" w:rsidRPr="0032536A" w:rsidRDefault="00A1411C" w:rsidP="00DD738E">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Ulica Vjekoslava Klaića 16</w:t>
            </w:r>
          </w:p>
        </w:tc>
        <w:tc>
          <w:tcPr>
            <w:tcW w:w="1418" w:type="dxa"/>
            <w:tcBorders>
              <w:top w:val="single" w:sz="4" w:space="0" w:color="000000"/>
              <w:left w:val="single" w:sz="4" w:space="0" w:color="000000"/>
              <w:bottom w:val="single" w:sz="4" w:space="0" w:color="000000"/>
              <w:right w:val="single" w:sz="4" w:space="0" w:color="000000"/>
            </w:tcBorders>
            <w:vAlign w:val="center"/>
          </w:tcPr>
          <w:p w14:paraId="1ED6F449"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Pr>
                <w:rFonts w:ascii="Times New Roman" w:hAnsi="Times New Roman" w:cs="Times New Roman"/>
                <w:color w:val="auto"/>
              </w:rPr>
              <w:t>206</w:t>
            </w:r>
          </w:p>
        </w:tc>
        <w:tc>
          <w:tcPr>
            <w:tcW w:w="1134" w:type="dxa"/>
            <w:tcBorders>
              <w:top w:val="single" w:sz="4" w:space="0" w:color="000000"/>
              <w:left w:val="single" w:sz="4" w:space="0" w:color="000000"/>
              <w:bottom w:val="single" w:sz="4" w:space="0" w:color="000000"/>
              <w:right w:val="single" w:sz="4" w:space="0" w:color="000000"/>
            </w:tcBorders>
            <w:vAlign w:val="center"/>
          </w:tcPr>
          <w:p w14:paraId="37665CE7"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1919., dogradnje</w:t>
            </w:r>
          </w:p>
          <w:p w14:paraId="6D06CF39" w14:textId="77777777" w:rsidR="00A1411C" w:rsidRPr="0032536A" w:rsidRDefault="00A1411C" w:rsidP="00DD738E">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1956., 1964. i 1978.</w:t>
            </w:r>
          </w:p>
        </w:tc>
      </w:tr>
    </w:tbl>
    <w:p w14:paraId="36C44427" w14:textId="37C30737" w:rsidR="00A1411C" w:rsidRDefault="00A1411C" w:rsidP="00A1411C">
      <w:pPr>
        <w:spacing w:after="0" w:line="240" w:lineRule="auto"/>
        <w:ind w:left="-57" w:right="-57" w:firstLine="0"/>
        <w:jc w:val="center"/>
        <w:rPr>
          <w:rFonts w:ascii="Times New Roman" w:eastAsia="Calibri" w:hAnsi="Times New Roman" w:cs="Times New Roman"/>
          <w:i/>
          <w:color w:val="auto"/>
          <w:sz w:val="20"/>
        </w:rPr>
      </w:pPr>
      <w:r w:rsidRPr="0032536A">
        <w:rPr>
          <w:rFonts w:ascii="Times New Roman" w:eastAsia="Calibri" w:hAnsi="Times New Roman" w:cs="Times New Roman"/>
          <w:i/>
          <w:color w:val="auto"/>
          <w:sz w:val="20"/>
        </w:rPr>
        <w:t xml:space="preserve">Izvor: </w:t>
      </w:r>
      <w:r>
        <w:rPr>
          <w:rFonts w:ascii="Times New Roman" w:eastAsia="Calibri" w:hAnsi="Times New Roman" w:cs="Times New Roman"/>
          <w:i/>
          <w:color w:val="auto"/>
          <w:sz w:val="20"/>
        </w:rPr>
        <w:t>G</w:t>
      </w:r>
      <w:r w:rsidRPr="00A1411C">
        <w:rPr>
          <w:rFonts w:ascii="Times New Roman" w:eastAsia="Calibri" w:hAnsi="Times New Roman" w:cs="Times New Roman"/>
          <w:i/>
          <w:color w:val="auto"/>
          <w:sz w:val="20"/>
        </w:rPr>
        <w:t>radski ured za socijalnu zaštitu, zdravstvo, branitelje i osobe s invaliditetom</w:t>
      </w:r>
    </w:p>
    <w:p w14:paraId="1820111F" w14:textId="77777777" w:rsidR="00A1411C" w:rsidRPr="0032536A" w:rsidRDefault="00A1411C" w:rsidP="00A1411C">
      <w:pPr>
        <w:spacing w:after="0" w:line="240" w:lineRule="auto"/>
        <w:ind w:left="-57" w:right="-57" w:firstLine="0"/>
        <w:jc w:val="center"/>
        <w:rPr>
          <w:rFonts w:ascii="Times New Roman" w:eastAsia="Calibri" w:hAnsi="Times New Roman" w:cs="Times New Roman"/>
          <w:i/>
          <w:color w:val="auto"/>
          <w:sz w:val="20"/>
        </w:rPr>
      </w:pPr>
    </w:p>
    <w:p w14:paraId="10EE3DE4" w14:textId="77777777" w:rsidR="00710CC5" w:rsidRPr="0032536A" w:rsidRDefault="00710CC5" w:rsidP="005142C4">
      <w:pPr>
        <w:spacing w:after="0" w:line="240" w:lineRule="auto"/>
        <w:ind w:left="0" w:right="0" w:firstLine="0"/>
        <w:rPr>
          <w:rFonts w:ascii="Times New Roman" w:hAnsi="Times New Roman" w:cs="Times New Roman"/>
          <w:color w:val="auto"/>
          <w:sz w:val="24"/>
        </w:rPr>
      </w:pPr>
    </w:p>
    <w:p w14:paraId="1EC90B94" w14:textId="432F4D06" w:rsidR="00E40AC8" w:rsidRPr="0032536A" w:rsidRDefault="00900184" w:rsidP="00710CC5">
      <w:pPr>
        <w:spacing w:after="0" w:line="240" w:lineRule="auto"/>
        <w:ind w:left="0" w:right="0" w:firstLine="709"/>
        <w:rPr>
          <w:rFonts w:ascii="Times New Roman" w:hAnsi="Times New Roman" w:cs="Times New Roman"/>
          <w:color w:val="auto"/>
          <w:sz w:val="24"/>
        </w:rPr>
      </w:pPr>
      <w:r w:rsidRPr="0032536A">
        <w:rPr>
          <w:rFonts w:ascii="Times New Roman" w:hAnsi="Times New Roman" w:cs="Times New Roman"/>
          <w:color w:val="auto"/>
          <w:sz w:val="24"/>
        </w:rPr>
        <w:t xml:space="preserve">Broj timova i ukupan broj vozila Nastavnog zavoda za hitnu medicinu Grada Zagreba (Heinzelova 88) nalazi se u Tablici </w:t>
      </w:r>
      <w:r w:rsidR="00E12671">
        <w:rPr>
          <w:rFonts w:ascii="Times New Roman" w:hAnsi="Times New Roman" w:cs="Times New Roman"/>
          <w:color w:val="auto"/>
          <w:sz w:val="24"/>
        </w:rPr>
        <w:t>9</w:t>
      </w:r>
      <w:r w:rsidRPr="0032536A">
        <w:rPr>
          <w:rFonts w:ascii="Times New Roman" w:hAnsi="Times New Roman" w:cs="Times New Roman"/>
          <w:color w:val="auto"/>
          <w:sz w:val="24"/>
        </w:rPr>
        <w:t>.</w:t>
      </w:r>
    </w:p>
    <w:p w14:paraId="21CDE5A3" w14:textId="2CCD3CE9" w:rsidR="00710CC5" w:rsidRDefault="00710CC5" w:rsidP="005142C4">
      <w:pPr>
        <w:spacing w:after="0" w:line="240" w:lineRule="auto"/>
        <w:ind w:left="0" w:right="0" w:firstLine="0"/>
        <w:rPr>
          <w:rFonts w:ascii="Times New Roman" w:hAnsi="Times New Roman" w:cs="Times New Roman"/>
          <w:color w:val="auto"/>
          <w:sz w:val="24"/>
        </w:rPr>
      </w:pPr>
    </w:p>
    <w:p w14:paraId="58A68AA3" w14:textId="77777777" w:rsidR="009D5EFE" w:rsidRPr="0032536A" w:rsidRDefault="009D5EFE" w:rsidP="005142C4">
      <w:pPr>
        <w:spacing w:after="0" w:line="240" w:lineRule="auto"/>
        <w:ind w:left="0" w:right="0" w:firstLine="0"/>
        <w:rPr>
          <w:rFonts w:ascii="Times New Roman" w:hAnsi="Times New Roman" w:cs="Times New Roman"/>
          <w:color w:val="auto"/>
          <w:sz w:val="24"/>
        </w:rPr>
      </w:pPr>
    </w:p>
    <w:p w14:paraId="72EF72E2" w14:textId="182AC4FC" w:rsidR="003F7A56" w:rsidRPr="0032536A" w:rsidRDefault="00900184" w:rsidP="009D5EFE">
      <w:pPr>
        <w:spacing w:line="240" w:lineRule="auto"/>
        <w:ind w:left="0" w:right="0" w:firstLine="0"/>
        <w:jc w:val="center"/>
        <w:rPr>
          <w:rFonts w:ascii="Times New Roman" w:hAnsi="Times New Roman" w:cs="Times New Roman"/>
          <w:b/>
          <w:color w:val="auto"/>
          <w:sz w:val="24"/>
        </w:rPr>
      </w:pPr>
      <w:r w:rsidRPr="0032536A">
        <w:rPr>
          <w:rFonts w:ascii="Times New Roman" w:hAnsi="Times New Roman" w:cs="Times New Roman"/>
          <w:b/>
          <w:color w:val="auto"/>
          <w:sz w:val="24"/>
        </w:rPr>
        <w:t xml:space="preserve">Tablica </w:t>
      </w:r>
      <w:r w:rsidR="00E12671">
        <w:rPr>
          <w:rFonts w:ascii="Times New Roman" w:hAnsi="Times New Roman" w:cs="Times New Roman"/>
          <w:b/>
          <w:color w:val="auto"/>
          <w:sz w:val="24"/>
        </w:rPr>
        <w:t>9</w:t>
      </w:r>
      <w:r w:rsidRPr="0032536A">
        <w:rPr>
          <w:rFonts w:ascii="Times New Roman" w:hAnsi="Times New Roman" w:cs="Times New Roman"/>
          <w:b/>
          <w:color w:val="auto"/>
          <w:sz w:val="24"/>
        </w:rPr>
        <w:t>. Broj timova i ukupan broj vozila Nastavnog zavoda za hitnu medicinu</w:t>
      </w:r>
      <w:r w:rsidR="001D6E3A" w:rsidRPr="0032536A">
        <w:rPr>
          <w:rFonts w:ascii="Times New Roman" w:hAnsi="Times New Roman" w:cs="Times New Roman"/>
          <w:b/>
          <w:color w:val="auto"/>
          <w:sz w:val="24"/>
        </w:rPr>
        <w:br/>
      </w:r>
      <w:r w:rsidRPr="0032536A">
        <w:rPr>
          <w:rFonts w:ascii="Times New Roman" w:hAnsi="Times New Roman" w:cs="Times New Roman"/>
          <w:b/>
          <w:color w:val="auto"/>
          <w:sz w:val="24"/>
        </w:rPr>
        <w:t>Grada Zagreba</w:t>
      </w:r>
    </w:p>
    <w:tbl>
      <w:tblPr>
        <w:tblStyle w:val="TableGrid"/>
        <w:tblW w:w="9072" w:type="dxa"/>
        <w:tblInd w:w="0" w:type="dxa"/>
        <w:tblLayout w:type="fixed"/>
        <w:tblCellMar>
          <w:top w:w="5" w:type="dxa"/>
          <w:left w:w="57" w:type="dxa"/>
          <w:right w:w="57" w:type="dxa"/>
        </w:tblCellMar>
        <w:tblLook w:val="04A0" w:firstRow="1" w:lastRow="0" w:firstColumn="1" w:lastColumn="0" w:noHBand="0" w:noVBand="1"/>
      </w:tblPr>
      <w:tblGrid>
        <w:gridCol w:w="3969"/>
        <w:gridCol w:w="1134"/>
        <w:gridCol w:w="3969"/>
      </w:tblGrid>
      <w:tr w:rsidR="003F7A56" w:rsidRPr="004750F4" w14:paraId="4878A9A0" w14:textId="77777777" w:rsidTr="00710CC5">
        <w:trPr>
          <w:cantSplit/>
          <w:tblHeader/>
        </w:trPr>
        <w:tc>
          <w:tcPr>
            <w:tcW w:w="396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EF39B7B" w14:textId="77777777" w:rsidR="003F7A56" w:rsidRPr="0032536A" w:rsidRDefault="00900184" w:rsidP="00710CC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NAZIV TIMA</w:t>
            </w:r>
          </w:p>
        </w:tc>
        <w:tc>
          <w:tcPr>
            <w:tcW w:w="1134"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2A0C5C0" w14:textId="77777777" w:rsidR="003F7A56" w:rsidRPr="0032536A" w:rsidRDefault="00900184" w:rsidP="00710CC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BROJ TIMOVA</w:t>
            </w:r>
          </w:p>
        </w:tc>
        <w:tc>
          <w:tcPr>
            <w:tcW w:w="396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CCF518F" w14:textId="77777777" w:rsidR="003F7A56" w:rsidRPr="0032536A" w:rsidRDefault="00900184" w:rsidP="00710CC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UKUPAN BROJ VOZILA</w:t>
            </w:r>
          </w:p>
        </w:tc>
      </w:tr>
      <w:tr w:rsidR="003F7A56" w:rsidRPr="004750F4" w14:paraId="02A56301" w14:textId="77777777" w:rsidTr="00710CC5">
        <w:trPr>
          <w:cantSplit/>
        </w:trPr>
        <w:tc>
          <w:tcPr>
            <w:tcW w:w="3969" w:type="dxa"/>
            <w:tcBorders>
              <w:top w:val="single" w:sz="4" w:space="0" w:color="000000"/>
              <w:left w:val="single" w:sz="4" w:space="0" w:color="000000"/>
              <w:bottom w:val="single" w:sz="4" w:space="0" w:color="000000"/>
              <w:right w:val="single" w:sz="4" w:space="0" w:color="000000"/>
            </w:tcBorders>
            <w:vAlign w:val="center"/>
          </w:tcPr>
          <w:p w14:paraId="58102E53" w14:textId="77777777" w:rsidR="003F7A56" w:rsidRPr="0032536A" w:rsidRDefault="00900184" w:rsidP="00710CC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Tim hitne medicinske pomoći T1</w:t>
            </w:r>
          </w:p>
        </w:tc>
        <w:tc>
          <w:tcPr>
            <w:tcW w:w="1134" w:type="dxa"/>
            <w:tcBorders>
              <w:top w:val="single" w:sz="4" w:space="0" w:color="000000"/>
              <w:left w:val="single" w:sz="4" w:space="0" w:color="000000"/>
              <w:bottom w:val="single" w:sz="4" w:space="0" w:color="000000"/>
              <w:right w:val="single" w:sz="4" w:space="0" w:color="000000"/>
            </w:tcBorders>
          </w:tcPr>
          <w:p w14:paraId="7FCDFFC3" w14:textId="77777777" w:rsidR="003F7A56" w:rsidRPr="0032536A" w:rsidRDefault="00900184" w:rsidP="00710CC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69</w:t>
            </w:r>
          </w:p>
        </w:tc>
        <w:tc>
          <w:tcPr>
            <w:tcW w:w="3969" w:type="dxa"/>
            <w:vMerge w:val="restart"/>
            <w:tcBorders>
              <w:top w:val="single" w:sz="4" w:space="0" w:color="000000"/>
              <w:left w:val="single" w:sz="4" w:space="0" w:color="000000"/>
              <w:bottom w:val="single" w:sz="4" w:space="0" w:color="000000"/>
              <w:right w:val="single" w:sz="4" w:space="0" w:color="000000"/>
            </w:tcBorders>
            <w:vAlign w:val="center"/>
          </w:tcPr>
          <w:p w14:paraId="1CD9E556" w14:textId="77777777" w:rsidR="00E40AC8" w:rsidRPr="0032536A" w:rsidRDefault="00900184" w:rsidP="00710CC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35 vozila hitne medicinske pomoći</w:t>
            </w:r>
          </w:p>
          <w:p w14:paraId="6E3FD3B4" w14:textId="77777777" w:rsidR="00E40AC8" w:rsidRPr="0032536A" w:rsidRDefault="00E40AC8" w:rsidP="00710CC5">
            <w:pPr>
              <w:spacing w:after="0" w:line="240" w:lineRule="auto"/>
              <w:ind w:left="0" w:right="0" w:firstLine="0"/>
              <w:jc w:val="center"/>
              <w:rPr>
                <w:rFonts w:ascii="Times New Roman" w:hAnsi="Times New Roman" w:cs="Times New Roman"/>
                <w:color w:val="auto"/>
              </w:rPr>
            </w:pPr>
          </w:p>
          <w:p w14:paraId="21A99AD3" w14:textId="2E096267" w:rsidR="003F7A56" w:rsidRPr="0032536A" w:rsidRDefault="003F7A56" w:rsidP="007B6157">
            <w:pPr>
              <w:spacing w:after="0" w:line="240" w:lineRule="auto"/>
              <w:ind w:left="0" w:right="0" w:firstLine="0"/>
              <w:rPr>
                <w:rFonts w:ascii="Times New Roman" w:hAnsi="Times New Roman" w:cs="Times New Roman"/>
                <w:color w:val="auto"/>
              </w:rPr>
            </w:pPr>
          </w:p>
        </w:tc>
      </w:tr>
      <w:tr w:rsidR="003F7A56" w:rsidRPr="004750F4" w14:paraId="229748F7" w14:textId="77777777" w:rsidTr="00710CC5">
        <w:trPr>
          <w:cantSplit/>
        </w:trPr>
        <w:tc>
          <w:tcPr>
            <w:tcW w:w="3969" w:type="dxa"/>
            <w:tcBorders>
              <w:top w:val="single" w:sz="4" w:space="0" w:color="000000"/>
              <w:left w:val="single" w:sz="4" w:space="0" w:color="000000"/>
              <w:bottom w:val="single" w:sz="4" w:space="0" w:color="000000"/>
              <w:right w:val="single" w:sz="4" w:space="0" w:color="000000"/>
            </w:tcBorders>
            <w:vAlign w:val="center"/>
          </w:tcPr>
          <w:p w14:paraId="1DD3C261" w14:textId="77777777" w:rsidR="003F7A56" w:rsidRPr="0032536A" w:rsidRDefault="00900184" w:rsidP="00710CC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Tim hitne medicinske pomoći T2</w:t>
            </w:r>
          </w:p>
        </w:tc>
        <w:tc>
          <w:tcPr>
            <w:tcW w:w="1134" w:type="dxa"/>
            <w:tcBorders>
              <w:top w:val="single" w:sz="4" w:space="0" w:color="000000"/>
              <w:left w:val="single" w:sz="4" w:space="0" w:color="000000"/>
              <w:bottom w:val="single" w:sz="4" w:space="0" w:color="000000"/>
              <w:right w:val="single" w:sz="4" w:space="0" w:color="000000"/>
            </w:tcBorders>
          </w:tcPr>
          <w:p w14:paraId="5FD4D2BD" w14:textId="77777777" w:rsidR="003F7A56" w:rsidRPr="0032536A" w:rsidRDefault="00900184" w:rsidP="00710CC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10</w:t>
            </w:r>
          </w:p>
        </w:tc>
        <w:tc>
          <w:tcPr>
            <w:tcW w:w="3969" w:type="dxa"/>
            <w:vMerge/>
            <w:tcBorders>
              <w:top w:val="nil"/>
              <w:left w:val="single" w:sz="4" w:space="0" w:color="000000"/>
              <w:bottom w:val="nil"/>
              <w:right w:val="single" w:sz="4" w:space="0" w:color="000000"/>
            </w:tcBorders>
            <w:vAlign w:val="center"/>
          </w:tcPr>
          <w:p w14:paraId="02A582CB" w14:textId="77777777" w:rsidR="003F7A56" w:rsidRPr="0032536A" w:rsidRDefault="003F7A56" w:rsidP="00710CC5">
            <w:pPr>
              <w:spacing w:after="0" w:line="240" w:lineRule="auto"/>
              <w:ind w:left="0" w:right="0" w:firstLine="0"/>
              <w:jc w:val="center"/>
              <w:rPr>
                <w:rFonts w:ascii="Times New Roman" w:hAnsi="Times New Roman" w:cs="Times New Roman"/>
                <w:color w:val="auto"/>
              </w:rPr>
            </w:pPr>
          </w:p>
        </w:tc>
      </w:tr>
      <w:tr w:rsidR="003F7A56" w:rsidRPr="004750F4" w14:paraId="7E8482BE" w14:textId="77777777" w:rsidTr="00710CC5">
        <w:trPr>
          <w:cantSplit/>
        </w:trPr>
        <w:tc>
          <w:tcPr>
            <w:tcW w:w="3969" w:type="dxa"/>
            <w:tcBorders>
              <w:top w:val="single" w:sz="4" w:space="0" w:color="000000"/>
              <w:left w:val="single" w:sz="4" w:space="0" w:color="000000"/>
              <w:bottom w:val="single" w:sz="4" w:space="0" w:color="000000"/>
              <w:right w:val="single" w:sz="4" w:space="0" w:color="000000"/>
            </w:tcBorders>
            <w:vAlign w:val="center"/>
          </w:tcPr>
          <w:p w14:paraId="20D6ED72" w14:textId="77777777" w:rsidR="003F7A56" w:rsidRPr="0032536A" w:rsidRDefault="00900184" w:rsidP="00710CC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Tim hitne medicinske pomoći T3</w:t>
            </w:r>
          </w:p>
        </w:tc>
        <w:tc>
          <w:tcPr>
            <w:tcW w:w="1134" w:type="dxa"/>
            <w:tcBorders>
              <w:top w:val="single" w:sz="4" w:space="0" w:color="000000"/>
              <w:left w:val="single" w:sz="4" w:space="0" w:color="000000"/>
              <w:bottom w:val="single" w:sz="4" w:space="0" w:color="000000"/>
              <w:right w:val="single" w:sz="4" w:space="0" w:color="000000"/>
            </w:tcBorders>
          </w:tcPr>
          <w:p w14:paraId="7060045B" w14:textId="77777777" w:rsidR="003F7A56" w:rsidRPr="0032536A" w:rsidRDefault="00900184" w:rsidP="00710CC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w:t>
            </w:r>
          </w:p>
        </w:tc>
        <w:tc>
          <w:tcPr>
            <w:tcW w:w="3969" w:type="dxa"/>
            <w:vMerge/>
            <w:tcBorders>
              <w:top w:val="nil"/>
              <w:left w:val="single" w:sz="4" w:space="0" w:color="000000"/>
              <w:bottom w:val="nil"/>
              <w:right w:val="single" w:sz="4" w:space="0" w:color="000000"/>
            </w:tcBorders>
            <w:vAlign w:val="center"/>
          </w:tcPr>
          <w:p w14:paraId="2E93FE03" w14:textId="77777777" w:rsidR="003F7A56" w:rsidRPr="0032536A" w:rsidRDefault="003F7A56" w:rsidP="00710CC5">
            <w:pPr>
              <w:spacing w:after="0" w:line="240" w:lineRule="auto"/>
              <w:ind w:left="0" w:right="0" w:firstLine="0"/>
              <w:jc w:val="center"/>
              <w:rPr>
                <w:rFonts w:ascii="Times New Roman" w:hAnsi="Times New Roman" w:cs="Times New Roman"/>
                <w:color w:val="auto"/>
              </w:rPr>
            </w:pPr>
          </w:p>
        </w:tc>
      </w:tr>
      <w:tr w:rsidR="003F7A56" w:rsidRPr="004750F4" w14:paraId="2B452115" w14:textId="77777777" w:rsidTr="00710CC5">
        <w:trPr>
          <w:cantSplit/>
        </w:trPr>
        <w:tc>
          <w:tcPr>
            <w:tcW w:w="3969" w:type="dxa"/>
            <w:tcBorders>
              <w:top w:val="single" w:sz="4" w:space="0" w:color="000000"/>
              <w:left w:val="single" w:sz="4" w:space="0" w:color="000000"/>
              <w:bottom w:val="single" w:sz="4" w:space="0" w:color="000000"/>
              <w:right w:val="single" w:sz="4" w:space="0" w:color="000000"/>
            </w:tcBorders>
            <w:vAlign w:val="center"/>
          </w:tcPr>
          <w:p w14:paraId="3C98A211" w14:textId="77777777" w:rsidR="003F7A56" w:rsidRPr="0032536A" w:rsidRDefault="00900184" w:rsidP="00710CC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Tim hitne medicinske pomoći u prijamno</w:t>
            </w:r>
            <w:r w:rsidR="00EE6A22" w:rsidRPr="0032536A">
              <w:rPr>
                <w:rFonts w:ascii="Times New Roman" w:hAnsi="Times New Roman" w:cs="Times New Roman"/>
                <w:color w:val="auto"/>
              </w:rPr>
              <w:t>-</w:t>
            </w:r>
            <w:r w:rsidRPr="0032536A">
              <w:rPr>
                <w:rFonts w:ascii="Times New Roman" w:hAnsi="Times New Roman" w:cs="Times New Roman"/>
                <w:color w:val="auto"/>
              </w:rPr>
              <w:t>dojavnoj jedinici</w:t>
            </w:r>
          </w:p>
        </w:tc>
        <w:tc>
          <w:tcPr>
            <w:tcW w:w="1134" w:type="dxa"/>
            <w:tcBorders>
              <w:top w:val="single" w:sz="4" w:space="0" w:color="000000"/>
              <w:left w:val="single" w:sz="4" w:space="0" w:color="000000"/>
              <w:bottom w:val="single" w:sz="4" w:space="0" w:color="000000"/>
              <w:right w:val="single" w:sz="4" w:space="0" w:color="000000"/>
            </w:tcBorders>
          </w:tcPr>
          <w:p w14:paraId="468E4782" w14:textId="77777777" w:rsidR="003F7A56" w:rsidRPr="0032536A" w:rsidRDefault="00900184" w:rsidP="00710CC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w:t>
            </w:r>
          </w:p>
        </w:tc>
        <w:tc>
          <w:tcPr>
            <w:tcW w:w="3969" w:type="dxa"/>
            <w:vMerge/>
            <w:tcBorders>
              <w:top w:val="nil"/>
              <w:left w:val="single" w:sz="4" w:space="0" w:color="000000"/>
              <w:bottom w:val="single" w:sz="4" w:space="0" w:color="000000"/>
              <w:right w:val="single" w:sz="4" w:space="0" w:color="000000"/>
            </w:tcBorders>
            <w:vAlign w:val="center"/>
          </w:tcPr>
          <w:p w14:paraId="5B5A1E31" w14:textId="77777777" w:rsidR="003F7A56" w:rsidRPr="0032536A" w:rsidRDefault="003F7A56" w:rsidP="00710CC5">
            <w:pPr>
              <w:spacing w:after="0" w:line="240" w:lineRule="auto"/>
              <w:ind w:left="0" w:right="0" w:firstLine="0"/>
              <w:jc w:val="center"/>
              <w:rPr>
                <w:rFonts w:ascii="Times New Roman" w:hAnsi="Times New Roman" w:cs="Times New Roman"/>
                <w:color w:val="auto"/>
              </w:rPr>
            </w:pPr>
          </w:p>
        </w:tc>
      </w:tr>
      <w:tr w:rsidR="003F7A56" w:rsidRPr="004750F4" w14:paraId="71C1DE5F" w14:textId="77777777" w:rsidTr="00710CC5">
        <w:trPr>
          <w:cantSplit/>
        </w:trPr>
        <w:tc>
          <w:tcPr>
            <w:tcW w:w="3969" w:type="dxa"/>
            <w:tcBorders>
              <w:top w:val="single" w:sz="4" w:space="0" w:color="000000"/>
              <w:left w:val="single" w:sz="4" w:space="0" w:color="000000"/>
              <w:bottom w:val="single" w:sz="4" w:space="0" w:color="000000"/>
              <w:right w:val="single" w:sz="4" w:space="0" w:color="000000"/>
            </w:tcBorders>
            <w:vAlign w:val="center"/>
          </w:tcPr>
          <w:p w14:paraId="1612EFF5" w14:textId="77777777" w:rsidR="003F7A56" w:rsidRPr="0032536A" w:rsidRDefault="00900184" w:rsidP="00710CC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Tim za sanitetski prijevoz</w:t>
            </w:r>
          </w:p>
        </w:tc>
        <w:tc>
          <w:tcPr>
            <w:tcW w:w="1134" w:type="dxa"/>
            <w:tcBorders>
              <w:top w:val="single" w:sz="4" w:space="0" w:color="000000"/>
              <w:left w:val="single" w:sz="4" w:space="0" w:color="000000"/>
              <w:bottom w:val="single" w:sz="4" w:space="0" w:color="000000"/>
              <w:right w:val="single" w:sz="4" w:space="0" w:color="000000"/>
            </w:tcBorders>
          </w:tcPr>
          <w:p w14:paraId="6F8C4EDC" w14:textId="77777777" w:rsidR="003F7A56" w:rsidRPr="0032536A" w:rsidRDefault="00900184" w:rsidP="00710CC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41</w:t>
            </w:r>
          </w:p>
        </w:tc>
        <w:tc>
          <w:tcPr>
            <w:tcW w:w="3969" w:type="dxa"/>
            <w:tcBorders>
              <w:top w:val="single" w:sz="4" w:space="0" w:color="000000"/>
              <w:left w:val="single" w:sz="4" w:space="0" w:color="000000"/>
              <w:bottom w:val="single" w:sz="4" w:space="0" w:color="000000"/>
              <w:right w:val="single" w:sz="4" w:space="0" w:color="000000"/>
            </w:tcBorders>
            <w:vAlign w:val="center"/>
          </w:tcPr>
          <w:p w14:paraId="74BA4B59" w14:textId="77777777" w:rsidR="00E40AC8" w:rsidRPr="0032536A" w:rsidRDefault="00900184" w:rsidP="00710CC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50 vozila za sanitetski prijevoz opremljeni s 1 ili 2 nosila</w:t>
            </w:r>
          </w:p>
          <w:p w14:paraId="29E9983C" w14:textId="77777777" w:rsidR="00E40AC8" w:rsidRPr="0032536A" w:rsidRDefault="00E40AC8" w:rsidP="00710CC5">
            <w:pPr>
              <w:spacing w:after="0" w:line="240" w:lineRule="auto"/>
              <w:ind w:left="0" w:right="0" w:firstLine="0"/>
              <w:jc w:val="center"/>
              <w:rPr>
                <w:rFonts w:ascii="Times New Roman" w:hAnsi="Times New Roman" w:cs="Times New Roman"/>
                <w:color w:val="auto"/>
              </w:rPr>
            </w:pPr>
          </w:p>
          <w:p w14:paraId="0181F5DD" w14:textId="77777777" w:rsidR="003F7A56" w:rsidRPr="0032536A" w:rsidRDefault="00900184" w:rsidP="00710CC5">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8 vozila za prijevoz više pokretnih pacijenata</w:t>
            </w:r>
          </w:p>
        </w:tc>
      </w:tr>
    </w:tbl>
    <w:p w14:paraId="357CE078" w14:textId="59E8BE4C" w:rsidR="00E40AC8" w:rsidRPr="0032536A" w:rsidRDefault="00900184" w:rsidP="005142C4">
      <w:pPr>
        <w:spacing w:after="0" w:line="240" w:lineRule="auto"/>
        <w:ind w:left="0" w:right="0" w:firstLine="0"/>
        <w:jc w:val="center"/>
        <w:rPr>
          <w:rFonts w:ascii="Times New Roman" w:eastAsia="Calibri" w:hAnsi="Times New Roman" w:cs="Times New Roman"/>
          <w:i/>
          <w:color w:val="auto"/>
          <w:sz w:val="20"/>
        </w:rPr>
      </w:pPr>
      <w:r w:rsidRPr="0032536A">
        <w:rPr>
          <w:rFonts w:ascii="Times New Roman" w:eastAsia="Calibri" w:hAnsi="Times New Roman" w:cs="Times New Roman"/>
          <w:i/>
          <w:color w:val="auto"/>
          <w:sz w:val="20"/>
        </w:rPr>
        <w:t xml:space="preserve">Izvor: Gradski ured </w:t>
      </w:r>
      <w:r w:rsidR="002C3B4B" w:rsidRPr="002C3B4B">
        <w:rPr>
          <w:rFonts w:ascii="Times New Roman" w:eastAsia="Calibri" w:hAnsi="Times New Roman" w:cs="Times New Roman"/>
          <w:i/>
          <w:color w:val="auto"/>
          <w:sz w:val="20"/>
        </w:rPr>
        <w:t>socijalnu zaštitu, zdravstvo, branitelje i osobe s invaliditetom</w:t>
      </w:r>
    </w:p>
    <w:p w14:paraId="12BC27A6" w14:textId="77777777" w:rsidR="00710CC5" w:rsidRPr="00710CC5" w:rsidRDefault="00710CC5" w:rsidP="005142C4">
      <w:pPr>
        <w:spacing w:after="0" w:line="240" w:lineRule="auto"/>
        <w:ind w:left="0" w:right="0" w:firstLine="0"/>
        <w:rPr>
          <w:rFonts w:ascii="Times New Roman" w:hAnsi="Times New Roman" w:cs="Times New Roman"/>
          <w:sz w:val="24"/>
        </w:rPr>
      </w:pPr>
    </w:p>
    <w:p w14:paraId="5749CCCA" w14:textId="77777777" w:rsidR="00E40AC8" w:rsidRDefault="00900184" w:rsidP="00710CC5">
      <w:pPr>
        <w:spacing w:after="0" w:line="240" w:lineRule="auto"/>
        <w:ind w:left="0" w:right="0" w:firstLine="709"/>
        <w:rPr>
          <w:rFonts w:ascii="Times New Roman" w:hAnsi="Times New Roman" w:cs="Times New Roman"/>
          <w:sz w:val="24"/>
        </w:rPr>
      </w:pPr>
      <w:r w:rsidRPr="005142C4">
        <w:rPr>
          <w:rFonts w:ascii="Times New Roman" w:hAnsi="Times New Roman" w:cs="Times New Roman"/>
          <w:b/>
          <w:sz w:val="24"/>
        </w:rPr>
        <w:t>Za razliku od ustanova primarne zaštite, prostorni raspored ustanova sekundarne, a osobito tercijarne zaštite razmjerno je nepovoljan</w:t>
      </w:r>
      <w:r w:rsidRPr="005142C4">
        <w:rPr>
          <w:rFonts w:ascii="Times New Roman" w:hAnsi="Times New Roman" w:cs="Times New Roman"/>
          <w:sz w:val="24"/>
        </w:rPr>
        <w:t>. To se posebno odnosi na kapitalne bolničke objekte i komplekse koji su većinom smješteni na obroncima Medvednice u sjevernom dijelu središta Zagreba. U vrijeme izgradnje navedenih objekata takav je prostorni razmještaj bio suvremen, logičan i sukladan potrebama, ali su kasnijim širenjem Zagreba bolnice obuhvaćene zonama izgradnje sa, za današnje vrijeme, neodgovarajućom prometnom mrežom.</w:t>
      </w:r>
    </w:p>
    <w:p w14:paraId="45425825" w14:textId="77777777" w:rsidR="00710CC5" w:rsidRPr="005142C4" w:rsidRDefault="00710CC5" w:rsidP="00710CC5">
      <w:pPr>
        <w:spacing w:after="0" w:line="240" w:lineRule="auto"/>
        <w:ind w:right="0"/>
        <w:rPr>
          <w:rFonts w:ascii="Times New Roman" w:hAnsi="Times New Roman" w:cs="Times New Roman"/>
          <w:sz w:val="24"/>
        </w:rPr>
      </w:pPr>
    </w:p>
    <w:p w14:paraId="1D3C5976" w14:textId="77777777" w:rsidR="00E40AC8" w:rsidRPr="00710CC5" w:rsidRDefault="00900184" w:rsidP="00710CC5">
      <w:pPr>
        <w:spacing w:after="0" w:line="240" w:lineRule="auto"/>
        <w:ind w:left="0" w:right="0" w:firstLine="709"/>
        <w:rPr>
          <w:rFonts w:ascii="Times New Roman" w:hAnsi="Times New Roman" w:cs="Times New Roman"/>
          <w:b/>
          <w:sz w:val="24"/>
        </w:rPr>
      </w:pPr>
      <w:bookmarkStart w:id="20" w:name="_Toc2938541"/>
      <w:r w:rsidRPr="00710CC5">
        <w:rPr>
          <w:rFonts w:ascii="Times New Roman" w:hAnsi="Times New Roman" w:cs="Times New Roman"/>
          <w:b/>
          <w:sz w:val="24"/>
        </w:rPr>
        <w:t>2.2.3. Odgojno</w:t>
      </w:r>
      <w:r w:rsidR="00EE6A22" w:rsidRPr="00710CC5">
        <w:rPr>
          <w:rFonts w:ascii="Times New Roman" w:hAnsi="Times New Roman" w:cs="Times New Roman"/>
          <w:b/>
          <w:sz w:val="24"/>
        </w:rPr>
        <w:t>-</w:t>
      </w:r>
      <w:r w:rsidRPr="00710CC5">
        <w:rPr>
          <w:rFonts w:ascii="Times New Roman" w:hAnsi="Times New Roman" w:cs="Times New Roman"/>
          <w:b/>
          <w:sz w:val="24"/>
        </w:rPr>
        <w:t>obrazovne ustanove</w:t>
      </w:r>
      <w:bookmarkEnd w:id="20"/>
    </w:p>
    <w:p w14:paraId="637282A7" w14:textId="49641F29" w:rsidR="0005665B" w:rsidRDefault="00900184">
      <w:pPr>
        <w:spacing w:after="0" w:line="240" w:lineRule="auto"/>
        <w:ind w:left="0" w:right="0" w:firstLine="709"/>
        <w:rPr>
          <w:rFonts w:ascii="Times New Roman" w:hAnsi="Times New Roman" w:cs="Times New Roman"/>
          <w:color w:val="auto"/>
          <w:sz w:val="24"/>
        </w:rPr>
      </w:pPr>
      <w:r w:rsidRPr="0032536A">
        <w:rPr>
          <w:rFonts w:ascii="Times New Roman" w:hAnsi="Times New Roman" w:cs="Times New Roman"/>
          <w:color w:val="auto"/>
          <w:sz w:val="24"/>
        </w:rPr>
        <w:t xml:space="preserve">Program predškolskog odgoja u Gradu Zagrebu provodi se u 60 vrtića osnivač </w:t>
      </w:r>
      <w:r w:rsidR="00833C7D" w:rsidRPr="0032536A">
        <w:rPr>
          <w:rFonts w:ascii="Times New Roman" w:hAnsi="Times New Roman" w:cs="Times New Roman"/>
          <w:color w:val="auto"/>
          <w:sz w:val="24"/>
        </w:rPr>
        <w:t xml:space="preserve">kojih je </w:t>
      </w:r>
      <w:r w:rsidRPr="0032536A">
        <w:rPr>
          <w:rFonts w:ascii="Times New Roman" w:hAnsi="Times New Roman" w:cs="Times New Roman"/>
          <w:color w:val="auto"/>
          <w:sz w:val="24"/>
        </w:rPr>
        <w:t xml:space="preserve">Grad Zagreb u koje je moguće smjestiti ukupno </w:t>
      </w:r>
      <w:r w:rsidRPr="0032536A">
        <w:rPr>
          <w:rFonts w:ascii="Times New Roman" w:hAnsi="Times New Roman" w:cs="Times New Roman"/>
          <w:b/>
          <w:color w:val="auto"/>
          <w:sz w:val="24"/>
        </w:rPr>
        <w:t>33.590</w:t>
      </w:r>
      <w:r w:rsidRPr="0032536A">
        <w:rPr>
          <w:rFonts w:ascii="Times New Roman" w:hAnsi="Times New Roman" w:cs="Times New Roman"/>
          <w:color w:val="auto"/>
          <w:sz w:val="24"/>
        </w:rPr>
        <w:t xml:space="preserve"> korisnika te pripremiti </w:t>
      </w:r>
      <w:r w:rsidRPr="0032536A">
        <w:rPr>
          <w:rFonts w:ascii="Times New Roman" w:hAnsi="Times New Roman" w:cs="Times New Roman"/>
          <w:b/>
          <w:color w:val="auto"/>
          <w:sz w:val="24"/>
        </w:rPr>
        <w:t>35.114</w:t>
      </w:r>
      <w:r w:rsidRPr="0032536A">
        <w:rPr>
          <w:rFonts w:ascii="Times New Roman" w:hAnsi="Times New Roman" w:cs="Times New Roman"/>
          <w:color w:val="auto"/>
          <w:sz w:val="24"/>
        </w:rPr>
        <w:t xml:space="preserve"> obroka na dan.</w:t>
      </w:r>
    </w:p>
    <w:p w14:paraId="210C4D80" w14:textId="4AF58B7E" w:rsidR="003435D0" w:rsidRDefault="003435D0">
      <w:pPr>
        <w:spacing w:after="0" w:line="240" w:lineRule="auto"/>
        <w:ind w:left="0" w:right="0" w:firstLine="709"/>
        <w:rPr>
          <w:rFonts w:ascii="Times New Roman" w:hAnsi="Times New Roman" w:cs="Times New Roman"/>
          <w:color w:val="auto"/>
          <w:sz w:val="24"/>
        </w:rPr>
      </w:pPr>
    </w:p>
    <w:p w14:paraId="48F54673" w14:textId="74FE53CD" w:rsidR="003435D0" w:rsidRDefault="003435D0">
      <w:pPr>
        <w:spacing w:after="0" w:line="240" w:lineRule="auto"/>
        <w:ind w:left="0" w:right="0" w:firstLine="709"/>
        <w:rPr>
          <w:rFonts w:ascii="Times New Roman" w:hAnsi="Times New Roman" w:cs="Times New Roman"/>
          <w:color w:val="auto"/>
          <w:sz w:val="24"/>
        </w:rPr>
      </w:pPr>
    </w:p>
    <w:p w14:paraId="5BE1D196" w14:textId="77777777" w:rsidR="003435D0" w:rsidRDefault="003435D0">
      <w:pPr>
        <w:spacing w:after="0" w:line="240" w:lineRule="auto"/>
        <w:ind w:left="0" w:right="0" w:firstLine="709"/>
        <w:rPr>
          <w:rFonts w:ascii="Times New Roman" w:hAnsi="Times New Roman" w:cs="Times New Roman"/>
          <w:color w:val="auto"/>
          <w:sz w:val="24"/>
        </w:rPr>
      </w:pPr>
    </w:p>
    <w:p w14:paraId="4D01ED00" w14:textId="77777777" w:rsidR="00222242" w:rsidRDefault="00222242" w:rsidP="0032536A">
      <w:pPr>
        <w:spacing w:after="0" w:line="240" w:lineRule="auto"/>
        <w:ind w:left="0" w:right="0" w:firstLine="0"/>
        <w:jc w:val="center"/>
        <w:rPr>
          <w:rFonts w:ascii="Times New Roman" w:hAnsi="Times New Roman" w:cs="Times New Roman"/>
          <w:b/>
          <w:color w:val="auto"/>
          <w:sz w:val="24"/>
        </w:rPr>
      </w:pPr>
    </w:p>
    <w:p w14:paraId="054FDC70" w14:textId="627C136B" w:rsidR="00710CC5" w:rsidRPr="0032536A" w:rsidRDefault="00900184" w:rsidP="009D5EFE">
      <w:pPr>
        <w:spacing w:line="240" w:lineRule="auto"/>
        <w:ind w:left="0" w:right="0" w:firstLine="0"/>
        <w:jc w:val="center"/>
        <w:rPr>
          <w:rFonts w:ascii="Times New Roman" w:hAnsi="Times New Roman" w:cs="Times New Roman"/>
          <w:color w:val="auto"/>
          <w:sz w:val="24"/>
        </w:rPr>
      </w:pPr>
      <w:r w:rsidRPr="0032536A">
        <w:rPr>
          <w:rFonts w:ascii="Times New Roman" w:hAnsi="Times New Roman" w:cs="Times New Roman"/>
          <w:b/>
          <w:color w:val="auto"/>
          <w:sz w:val="24"/>
        </w:rPr>
        <w:t xml:space="preserve">Tablica </w:t>
      </w:r>
      <w:r w:rsidR="00E12671">
        <w:rPr>
          <w:rFonts w:ascii="Times New Roman" w:hAnsi="Times New Roman" w:cs="Times New Roman"/>
          <w:b/>
          <w:color w:val="auto"/>
          <w:sz w:val="24"/>
        </w:rPr>
        <w:t>10</w:t>
      </w:r>
      <w:r w:rsidRPr="0032536A">
        <w:rPr>
          <w:rFonts w:ascii="Times New Roman" w:hAnsi="Times New Roman" w:cs="Times New Roman"/>
          <w:b/>
          <w:color w:val="auto"/>
          <w:sz w:val="24"/>
        </w:rPr>
        <w:t>. Popis gradskih dječjih vrtića</w:t>
      </w:r>
    </w:p>
    <w:tbl>
      <w:tblPr>
        <w:tblStyle w:val="TableGrid"/>
        <w:tblW w:w="9072" w:type="dxa"/>
        <w:tblInd w:w="0" w:type="dxa"/>
        <w:tblLayout w:type="fixed"/>
        <w:tblCellMar>
          <w:left w:w="57" w:type="dxa"/>
          <w:right w:w="57" w:type="dxa"/>
        </w:tblCellMar>
        <w:tblLook w:val="04A0" w:firstRow="1" w:lastRow="0" w:firstColumn="1" w:lastColumn="0" w:noHBand="0" w:noVBand="1"/>
      </w:tblPr>
      <w:tblGrid>
        <w:gridCol w:w="740"/>
        <w:gridCol w:w="2355"/>
        <w:gridCol w:w="2355"/>
        <w:gridCol w:w="1313"/>
        <w:gridCol w:w="1277"/>
        <w:gridCol w:w="1032"/>
      </w:tblGrid>
      <w:tr w:rsidR="00395E37" w:rsidRPr="004750F4" w14:paraId="188DB03B" w14:textId="77777777" w:rsidTr="00395E37">
        <w:trPr>
          <w:cantSplit/>
          <w:tblHeader/>
        </w:trPr>
        <w:tc>
          <w:tcPr>
            <w:tcW w:w="9072" w:type="dxa"/>
            <w:gridSpan w:val="6"/>
            <w:tcBorders>
              <w:top w:val="single" w:sz="4" w:space="0" w:color="000000"/>
              <w:left w:val="single" w:sz="4" w:space="0" w:color="000000"/>
              <w:bottom w:val="single" w:sz="4" w:space="0" w:color="000000"/>
              <w:right w:val="single" w:sz="4" w:space="0" w:color="000000"/>
            </w:tcBorders>
            <w:shd w:val="clear" w:color="auto" w:fill="FFC000"/>
          </w:tcPr>
          <w:p w14:paraId="63C85C66" w14:textId="77777777" w:rsidR="00395E37" w:rsidRPr="0032536A" w:rsidRDefault="00395E37" w:rsidP="00395E37">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lastRenderedPageBreak/>
              <w:t>GRADSKI DJEČJI VRTIĆI</w:t>
            </w:r>
          </w:p>
        </w:tc>
      </w:tr>
      <w:tr w:rsidR="00395E37" w:rsidRPr="004750F4" w14:paraId="3EDB6A4D" w14:textId="77777777" w:rsidTr="00395E37">
        <w:trPr>
          <w:cantSplit/>
          <w:tblHeader/>
        </w:trPr>
        <w:tc>
          <w:tcPr>
            <w:tcW w:w="740" w:type="dxa"/>
            <w:tcBorders>
              <w:top w:val="single" w:sz="4" w:space="0" w:color="000000"/>
              <w:left w:val="single" w:sz="4" w:space="0" w:color="000000"/>
              <w:bottom w:val="single" w:sz="4" w:space="0" w:color="000000"/>
              <w:right w:val="single" w:sz="4" w:space="0" w:color="000000"/>
            </w:tcBorders>
            <w:shd w:val="clear" w:color="auto" w:fill="FFC000"/>
          </w:tcPr>
          <w:p w14:paraId="0EAE834E"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Redni broj </w:t>
            </w:r>
          </w:p>
        </w:tc>
        <w:tc>
          <w:tcPr>
            <w:tcW w:w="2355" w:type="dxa"/>
            <w:tcBorders>
              <w:top w:val="single" w:sz="4" w:space="0" w:color="000000"/>
              <w:left w:val="single" w:sz="4" w:space="0" w:color="000000"/>
              <w:bottom w:val="single" w:sz="4" w:space="0" w:color="000000"/>
              <w:right w:val="single" w:sz="4" w:space="0" w:color="000000"/>
            </w:tcBorders>
            <w:shd w:val="clear" w:color="auto" w:fill="FFC000"/>
          </w:tcPr>
          <w:p w14:paraId="57EFFFD5"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Naziv ustanove </w:t>
            </w:r>
          </w:p>
        </w:tc>
        <w:tc>
          <w:tcPr>
            <w:tcW w:w="2355" w:type="dxa"/>
            <w:tcBorders>
              <w:top w:val="single" w:sz="4" w:space="0" w:color="000000"/>
              <w:left w:val="single" w:sz="4" w:space="0" w:color="000000"/>
              <w:bottom w:val="single" w:sz="4" w:space="0" w:color="000000"/>
              <w:right w:val="single" w:sz="4" w:space="0" w:color="000000"/>
            </w:tcBorders>
            <w:shd w:val="clear" w:color="auto" w:fill="FFC000"/>
          </w:tcPr>
          <w:p w14:paraId="2D366692"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Adresa ustanove </w:t>
            </w:r>
          </w:p>
        </w:tc>
        <w:tc>
          <w:tcPr>
            <w:tcW w:w="1313" w:type="dxa"/>
            <w:tcBorders>
              <w:top w:val="single" w:sz="4" w:space="0" w:color="000000"/>
              <w:left w:val="single" w:sz="4" w:space="0" w:color="000000"/>
              <w:bottom w:val="single" w:sz="4" w:space="0" w:color="000000"/>
              <w:right w:val="single" w:sz="4" w:space="0" w:color="000000"/>
            </w:tcBorders>
            <w:shd w:val="clear" w:color="auto" w:fill="FFC000"/>
          </w:tcPr>
          <w:p w14:paraId="1B09C0DD" w14:textId="77777777" w:rsidR="003F7A56" w:rsidRPr="0032536A" w:rsidRDefault="00900184" w:rsidP="005142C4">
            <w:pPr>
              <w:spacing w:after="0" w:line="240" w:lineRule="auto"/>
              <w:ind w:left="0" w:right="0" w:firstLine="0"/>
              <w:rPr>
                <w:rFonts w:ascii="Times New Roman" w:hAnsi="Times New Roman" w:cs="Times New Roman"/>
                <w:color w:val="auto"/>
              </w:rPr>
            </w:pPr>
            <w:r w:rsidRPr="0032536A">
              <w:rPr>
                <w:rFonts w:ascii="Times New Roman" w:hAnsi="Times New Roman" w:cs="Times New Roman"/>
                <w:color w:val="auto"/>
              </w:rPr>
              <w:t xml:space="preserve">Kapacitet ustanove (maksimalan broj korisnika ustanove) </w:t>
            </w:r>
          </w:p>
        </w:tc>
        <w:tc>
          <w:tcPr>
            <w:tcW w:w="1277" w:type="dxa"/>
            <w:tcBorders>
              <w:top w:val="single" w:sz="4" w:space="0" w:color="000000"/>
              <w:left w:val="single" w:sz="4" w:space="0" w:color="000000"/>
              <w:bottom w:val="single" w:sz="4" w:space="0" w:color="000000"/>
              <w:right w:val="single" w:sz="4" w:space="0" w:color="000000"/>
            </w:tcBorders>
            <w:shd w:val="clear" w:color="auto" w:fill="FFC000"/>
          </w:tcPr>
          <w:p w14:paraId="60389F3F" w14:textId="77777777" w:rsidR="003F7A56" w:rsidRPr="0032536A" w:rsidRDefault="00900184" w:rsidP="00395E37">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Kapacitet pripremanja hrane (broj obroka/dan koje ustanova</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može</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 xml:space="preserve">pripremiti) </w:t>
            </w:r>
          </w:p>
        </w:tc>
        <w:tc>
          <w:tcPr>
            <w:tcW w:w="1032" w:type="dxa"/>
            <w:tcBorders>
              <w:top w:val="single" w:sz="4" w:space="0" w:color="000000"/>
              <w:left w:val="single" w:sz="4" w:space="0" w:color="000000"/>
              <w:bottom w:val="single" w:sz="4" w:space="0" w:color="000000"/>
              <w:right w:val="single" w:sz="4" w:space="0" w:color="000000"/>
            </w:tcBorders>
            <w:shd w:val="clear" w:color="auto" w:fill="FFC000"/>
          </w:tcPr>
          <w:p w14:paraId="7742203B"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Godina izgradnje objekta </w:t>
            </w:r>
          </w:p>
        </w:tc>
      </w:tr>
      <w:tr w:rsidR="00395E37" w:rsidRPr="004750F4" w14:paraId="670EFCDE"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0289D0FC"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1.</w:t>
            </w:r>
          </w:p>
        </w:tc>
        <w:tc>
          <w:tcPr>
            <w:tcW w:w="2355" w:type="dxa"/>
            <w:tcBorders>
              <w:top w:val="single" w:sz="4" w:space="0" w:color="000000"/>
              <w:left w:val="single" w:sz="4" w:space="0" w:color="000000"/>
              <w:bottom w:val="single" w:sz="4" w:space="0" w:color="000000"/>
              <w:right w:val="single" w:sz="4" w:space="0" w:color="000000"/>
            </w:tcBorders>
          </w:tcPr>
          <w:p w14:paraId="7C23122F"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BAJKA</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687D8F95"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Zorkovačka 8 </w:t>
            </w:r>
          </w:p>
        </w:tc>
        <w:tc>
          <w:tcPr>
            <w:tcW w:w="1313" w:type="dxa"/>
            <w:tcBorders>
              <w:top w:val="single" w:sz="4" w:space="0" w:color="000000"/>
              <w:left w:val="single" w:sz="4" w:space="0" w:color="000000"/>
              <w:bottom w:val="single" w:sz="4" w:space="0" w:color="000000"/>
              <w:right w:val="single" w:sz="4" w:space="0" w:color="000000"/>
            </w:tcBorders>
          </w:tcPr>
          <w:p w14:paraId="33FA374C"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250</w:t>
            </w:r>
          </w:p>
        </w:tc>
        <w:tc>
          <w:tcPr>
            <w:tcW w:w="1277" w:type="dxa"/>
            <w:tcBorders>
              <w:top w:val="single" w:sz="4" w:space="0" w:color="000000"/>
              <w:left w:val="single" w:sz="4" w:space="0" w:color="000000"/>
              <w:bottom w:val="single" w:sz="4" w:space="0" w:color="000000"/>
              <w:right w:val="single" w:sz="4" w:space="0" w:color="000000"/>
            </w:tcBorders>
          </w:tcPr>
          <w:p w14:paraId="2128353B"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600</w:t>
            </w:r>
          </w:p>
        </w:tc>
        <w:tc>
          <w:tcPr>
            <w:tcW w:w="1032" w:type="dxa"/>
            <w:tcBorders>
              <w:top w:val="single" w:sz="4" w:space="0" w:color="000000"/>
              <w:left w:val="single" w:sz="4" w:space="0" w:color="000000"/>
              <w:bottom w:val="single" w:sz="4" w:space="0" w:color="000000"/>
              <w:right w:val="single" w:sz="4" w:space="0" w:color="000000"/>
            </w:tcBorders>
          </w:tcPr>
          <w:p w14:paraId="1E8ECB03"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1980.</w:t>
            </w:r>
          </w:p>
        </w:tc>
      </w:tr>
      <w:tr w:rsidR="00395E37" w:rsidRPr="004750F4" w14:paraId="1A43A09A"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4507B521" w14:textId="77777777" w:rsidR="003F7A56" w:rsidRPr="0032536A" w:rsidRDefault="003F7A56" w:rsidP="00710CC5">
            <w:pPr>
              <w:spacing w:after="0" w:line="240" w:lineRule="auto"/>
              <w:ind w:left="0" w:right="0" w:firstLine="0"/>
              <w:jc w:val="left"/>
              <w:rPr>
                <w:rFonts w:ascii="Times New Roman" w:hAnsi="Times New Roman" w:cs="Times New Roman"/>
                <w:color w:val="auto"/>
              </w:rPr>
            </w:pPr>
          </w:p>
        </w:tc>
        <w:tc>
          <w:tcPr>
            <w:tcW w:w="2355" w:type="dxa"/>
            <w:tcBorders>
              <w:top w:val="single" w:sz="4" w:space="0" w:color="000000"/>
              <w:left w:val="single" w:sz="4" w:space="0" w:color="000000"/>
              <w:bottom w:val="single" w:sz="4" w:space="0" w:color="000000"/>
              <w:right w:val="single" w:sz="4" w:space="0" w:color="000000"/>
            </w:tcBorders>
          </w:tcPr>
          <w:p w14:paraId="53BC7CB8"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Podružnica </w:t>
            </w:r>
          </w:p>
        </w:tc>
        <w:tc>
          <w:tcPr>
            <w:tcW w:w="2355" w:type="dxa"/>
            <w:tcBorders>
              <w:top w:val="single" w:sz="4" w:space="0" w:color="000000"/>
              <w:left w:val="single" w:sz="4" w:space="0" w:color="000000"/>
              <w:bottom w:val="single" w:sz="4" w:space="0" w:color="000000"/>
              <w:right w:val="single" w:sz="4" w:space="0" w:color="000000"/>
            </w:tcBorders>
          </w:tcPr>
          <w:p w14:paraId="01096E7F"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Kuzminečka 12 </w:t>
            </w:r>
          </w:p>
        </w:tc>
        <w:tc>
          <w:tcPr>
            <w:tcW w:w="1313" w:type="dxa"/>
            <w:tcBorders>
              <w:top w:val="single" w:sz="4" w:space="0" w:color="000000"/>
              <w:left w:val="single" w:sz="4" w:space="0" w:color="000000"/>
              <w:bottom w:val="single" w:sz="4" w:space="0" w:color="000000"/>
              <w:right w:val="single" w:sz="4" w:space="0" w:color="000000"/>
            </w:tcBorders>
          </w:tcPr>
          <w:p w14:paraId="61E0B4D5"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130</w:t>
            </w:r>
          </w:p>
        </w:tc>
        <w:tc>
          <w:tcPr>
            <w:tcW w:w="1277" w:type="dxa"/>
            <w:tcBorders>
              <w:top w:val="single" w:sz="4" w:space="0" w:color="000000"/>
              <w:left w:val="single" w:sz="4" w:space="0" w:color="000000"/>
              <w:bottom w:val="single" w:sz="4" w:space="0" w:color="000000"/>
              <w:right w:val="single" w:sz="4" w:space="0" w:color="000000"/>
            </w:tcBorders>
          </w:tcPr>
          <w:p w14:paraId="04864027"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130</w:t>
            </w:r>
          </w:p>
        </w:tc>
        <w:tc>
          <w:tcPr>
            <w:tcW w:w="1032" w:type="dxa"/>
            <w:tcBorders>
              <w:top w:val="single" w:sz="4" w:space="0" w:color="000000"/>
              <w:left w:val="single" w:sz="4" w:space="0" w:color="000000"/>
              <w:bottom w:val="single" w:sz="4" w:space="0" w:color="000000"/>
              <w:right w:val="single" w:sz="4" w:space="0" w:color="000000"/>
            </w:tcBorders>
          </w:tcPr>
          <w:p w14:paraId="2D57BEE8" w14:textId="77777777" w:rsidR="003F7A56" w:rsidRPr="0032536A" w:rsidRDefault="003F7A56" w:rsidP="001D6E3A">
            <w:pPr>
              <w:spacing w:after="0" w:line="240" w:lineRule="auto"/>
              <w:ind w:left="0" w:right="0" w:firstLine="0"/>
              <w:jc w:val="center"/>
              <w:rPr>
                <w:rFonts w:ascii="Times New Roman" w:hAnsi="Times New Roman" w:cs="Times New Roman"/>
                <w:color w:val="auto"/>
              </w:rPr>
            </w:pPr>
          </w:p>
        </w:tc>
      </w:tr>
      <w:tr w:rsidR="00395E37" w:rsidRPr="004750F4" w14:paraId="1FC175B7"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2F74F103"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2.</w:t>
            </w:r>
          </w:p>
        </w:tc>
        <w:tc>
          <w:tcPr>
            <w:tcW w:w="2355" w:type="dxa"/>
            <w:tcBorders>
              <w:top w:val="single" w:sz="4" w:space="0" w:color="000000"/>
              <w:left w:val="single" w:sz="4" w:space="0" w:color="000000"/>
              <w:bottom w:val="single" w:sz="4" w:space="0" w:color="000000"/>
              <w:right w:val="single" w:sz="4" w:space="0" w:color="000000"/>
            </w:tcBorders>
          </w:tcPr>
          <w:p w14:paraId="344EDB5B"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p>
        </w:tc>
        <w:tc>
          <w:tcPr>
            <w:tcW w:w="2355" w:type="dxa"/>
            <w:tcBorders>
              <w:top w:val="single" w:sz="4" w:space="0" w:color="000000"/>
              <w:left w:val="single" w:sz="4" w:space="0" w:color="000000"/>
              <w:bottom w:val="single" w:sz="4" w:space="0" w:color="000000"/>
              <w:right w:val="single" w:sz="4" w:space="0" w:color="000000"/>
            </w:tcBorders>
          </w:tcPr>
          <w:p w14:paraId="5041EEA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Zlatarova zlata 67 </w:t>
            </w:r>
          </w:p>
        </w:tc>
        <w:tc>
          <w:tcPr>
            <w:tcW w:w="1313" w:type="dxa"/>
            <w:tcBorders>
              <w:top w:val="single" w:sz="4" w:space="0" w:color="000000"/>
              <w:left w:val="single" w:sz="4" w:space="0" w:color="000000"/>
              <w:bottom w:val="single" w:sz="4" w:space="0" w:color="000000"/>
              <w:right w:val="single" w:sz="4" w:space="0" w:color="000000"/>
            </w:tcBorders>
          </w:tcPr>
          <w:p w14:paraId="0C6E3AAB"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517</w:t>
            </w:r>
          </w:p>
        </w:tc>
        <w:tc>
          <w:tcPr>
            <w:tcW w:w="1277" w:type="dxa"/>
            <w:tcBorders>
              <w:top w:val="single" w:sz="4" w:space="0" w:color="000000"/>
              <w:left w:val="single" w:sz="4" w:space="0" w:color="000000"/>
              <w:bottom w:val="single" w:sz="4" w:space="0" w:color="000000"/>
              <w:right w:val="single" w:sz="4" w:space="0" w:color="000000"/>
            </w:tcBorders>
          </w:tcPr>
          <w:p w14:paraId="7BCD6119"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600</w:t>
            </w:r>
          </w:p>
        </w:tc>
        <w:tc>
          <w:tcPr>
            <w:tcW w:w="1032" w:type="dxa"/>
            <w:tcBorders>
              <w:top w:val="single" w:sz="4" w:space="0" w:color="000000"/>
              <w:left w:val="single" w:sz="4" w:space="0" w:color="000000"/>
              <w:bottom w:val="single" w:sz="4" w:space="0" w:color="000000"/>
              <w:right w:val="single" w:sz="4" w:space="0" w:color="000000"/>
            </w:tcBorders>
          </w:tcPr>
          <w:p w14:paraId="1112F804"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1972.</w:t>
            </w:r>
          </w:p>
        </w:tc>
      </w:tr>
      <w:tr w:rsidR="00395E37" w:rsidRPr="004750F4" w14:paraId="65AA35B4"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5BCDB32A" w14:textId="77777777" w:rsidR="003F7A56" w:rsidRPr="0032536A" w:rsidRDefault="003F7A56" w:rsidP="00710CC5">
            <w:pPr>
              <w:spacing w:after="0" w:line="240" w:lineRule="auto"/>
              <w:ind w:left="0" w:right="0" w:firstLine="0"/>
              <w:jc w:val="left"/>
              <w:rPr>
                <w:rFonts w:ascii="Times New Roman" w:hAnsi="Times New Roman" w:cs="Times New Roman"/>
                <w:color w:val="auto"/>
              </w:rPr>
            </w:pPr>
          </w:p>
        </w:tc>
        <w:tc>
          <w:tcPr>
            <w:tcW w:w="2355" w:type="dxa"/>
            <w:tcBorders>
              <w:top w:val="single" w:sz="4" w:space="0" w:color="000000"/>
              <w:left w:val="single" w:sz="4" w:space="0" w:color="000000"/>
              <w:bottom w:val="single" w:sz="4" w:space="0" w:color="000000"/>
              <w:right w:val="single" w:sz="4" w:space="0" w:color="000000"/>
            </w:tcBorders>
          </w:tcPr>
          <w:p w14:paraId="7D5F293F"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BOTINEC </w:t>
            </w:r>
          </w:p>
        </w:tc>
        <w:tc>
          <w:tcPr>
            <w:tcW w:w="2355" w:type="dxa"/>
            <w:tcBorders>
              <w:top w:val="single" w:sz="4" w:space="0" w:color="000000"/>
              <w:left w:val="single" w:sz="4" w:space="0" w:color="000000"/>
              <w:bottom w:val="single" w:sz="4" w:space="0" w:color="000000"/>
              <w:right w:val="single" w:sz="4" w:space="0" w:color="000000"/>
            </w:tcBorders>
          </w:tcPr>
          <w:p w14:paraId="46BE51AB" w14:textId="77777777" w:rsidR="003F7A56" w:rsidRPr="0032536A" w:rsidRDefault="003F7A56" w:rsidP="001B3FDF">
            <w:pPr>
              <w:spacing w:after="0" w:line="240" w:lineRule="auto"/>
              <w:ind w:left="0" w:right="0" w:firstLine="0"/>
              <w:jc w:val="left"/>
              <w:rPr>
                <w:rFonts w:ascii="Times New Roman" w:hAnsi="Times New Roman" w:cs="Times New Roman"/>
                <w:color w:val="auto"/>
              </w:rPr>
            </w:pPr>
          </w:p>
        </w:tc>
        <w:tc>
          <w:tcPr>
            <w:tcW w:w="1313" w:type="dxa"/>
            <w:tcBorders>
              <w:top w:val="single" w:sz="4" w:space="0" w:color="000000"/>
              <w:left w:val="single" w:sz="4" w:space="0" w:color="000000"/>
              <w:bottom w:val="single" w:sz="4" w:space="0" w:color="000000"/>
              <w:right w:val="single" w:sz="4" w:space="0" w:color="000000"/>
            </w:tcBorders>
          </w:tcPr>
          <w:p w14:paraId="0E4FE9A9" w14:textId="77777777" w:rsidR="003F7A56" w:rsidRPr="0032536A" w:rsidRDefault="003F7A56" w:rsidP="001D6E3A">
            <w:pPr>
              <w:spacing w:after="0" w:line="240" w:lineRule="auto"/>
              <w:ind w:left="0" w:right="0" w:firstLine="0"/>
              <w:jc w:val="center"/>
              <w:rPr>
                <w:rFonts w:ascii="Times New Roman" w:hAnsi="Times New Roman" w:cs="Times New Roman"/>
                <w:color w:val="auto"/>
              </w:rPr>
            </w:pPr>
          </w:p>
        </w:tc>
        <w:tc>
          <w:tcPr>
            <w:tcW w:w="1277" w:type="dxa"/>
            <w:tcBorders>
              <w:top w:val="single" w:sz="4" w:space="0" w:color="000000"/>
              <w:left w:val="single" w:sz="4" w:space="0" w:color="000000"/>
              <w:bottom w:val="single" w:sz="4" w:space="0" w:color="000000"/>
              <w:right w:val="single" w:sz="4" w:space="0" w:color="000000"/>
            </w:tcBorders>
          </w:tcPr>
          <w:p w14:paraId="2AC3B863" w14:textId="77777777" w:rsidR="003F7A56" w:rsidRPr="0032536A" w:rsidRDefault="003F7A56" w:rsidP="001D6E3A">
            <w:pPr>
              <w:spacing w:after="0" w:line="240" w:lineRule="auto"/>
              <w:ind w:left="0" w:right="0" w:firstLine="0"/>
              <w:jc w:val="center"/>
              <w:rPr>
                <w:rFonts w:ascii="Times New Roman" w:hAnsi="Times New Roman" w:cs="Times New Roman"/>
                <w:color w:val="auto"/>
              </w:rPr>
            </w:pPr>
          </w:p>
        </w:tc>
        <w:tc>
          <w:tcPr>
            <w:tcW w:w="1032" w:type="dxa"/>
            <w:tcBorders>
              <w:top w:val="single" w:sz="4" w:space="0" w:color="000000"/>
              <w:left w:val="single" w:sz="4" w:space="0" w:color="000000"/>
              <w:bottom w:val="single" w:sz="4" w:space="0" w:color="000000"/>
              <w:right w:val="single" w:sz="4" w:space="0" w:color="000000"/>
            </w:tcBorders>
          </w:tcPr>
          <w:p w14:paraId="31856616" w14:textId="77777777" w:rsidR="003F7A56" w:rsidRPr="0032536A" w:rsidRDefault="003F7A56" w:rsidP="001D6E3A">
            <w:pPr>
              <w:spacing w:after="0" w:line="240" w:lineRule="auto"/>
              <w:ind w:left="0" w:right="0" w:firstLine="0"/>
              <w:jc w:val="center"/>
              <w:rPr>
                <w:rFonts w:ascii="Times New Roman" w:hAnsi="Times New Roman" w:cs="Times New Roman"/>
                <w:color w:val="auto"/>
              </w:rPr>
            </w:pPr>
          </w:p>
        </w:tc>
      </w:tr>
      <w:tr w:rsidR="00395E37" w:rsidRPr="004750F4" w14:paraId="12ED0BF6"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4DDB20D1"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3.</w:t>
            </w:r>
          </w:p>
        </w:tc>
        <w:tc>
          <w:tcPr>
            <w:tcW w:w="2355" w:type="dxa"/>
            <w:tcBorders>
              <w:top w:val="single" w:sz="4" w:space="0" w:color="000000"/>
              <w:left w:val="single" w:sz="4" w:space="0" w:color="000000"/>
              <w:bottom w:val="single" w:sz="4" w:space="0" w:color="000000"/>
              <w:right w:val="single" w:sz="4" w:space="0" w:color="000000"/>
            </w:tcBorders>
          </w:tcPr>
          <w:p w14:paraId="6A86D760"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BUDUĆNOST</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52017BD4"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Mihanovićeva ulica 30/2 </w:t>
            </w:r>
          </w:p>
        </w:tc>
        <w:tc>
          <w:tcPr>
            <w:tcW w:w="1313" w:type="dxa"/>
            <w:tcBorders>
              <w:top w:val="single" w:sz="4" w:space="0" w:color="000000"/>
              <w:left w:val="single" w:sz="4" w:space="0" w:color="000000"/>
              <w:bottom w:val="single" w:sz="4" w:space="0" w:color="000000"/>
              <w:right w:val="single" w:sz="4" w:space="0" w:color="000000"/>
            </w:tcBorders>
          </w:tcPr>
          <w:p w14:paraId="1DF85AD2"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300</w:t>
            </w:r>
          </w:p>
        </w:tc>
        <w:tc>
          <w:tcPr>
            <w:tcW w:w="1277" w:type="dxa"/>
            <w:tcBorders>
              <w:top w:val="single" w:sz="4" w:space="0" w:color="000000"/>
              <w:left w:val="single" w:sz="4" w:space="0" w:color="000000"/>
              <w:bottom w:val="single" w:sz="4" w:space="0" w:color="000000"/>
              <w:right w:val="single" w:sz="4" w:space="0" w:color="000000"/>
            </w:tcBorders>
          </w:tcPr>
          <w:p w14:paraId="5BC0E5DB"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300</w:t>
            </w:r>
          </w:p>
        </w:tc>
        <w:tc>
          <w:tcPr>
            <w:tcW w:w="1032" w:type="dxa"/>
            <w:tcBorders>
              <w:top w:val="single" w:sz="4" w:space="0" w:color="000000"/>
              <w:left w:val="single" w:sz="4" w:space="0" w:color="000000"/>
              <w:bottom w:val="single" w:sz="4" w:space="0" w:color="000000"/>
              <w:right w:val="single" w:sz="4" w:space="0" w:color="000000"/>
            </w:tcBorders>
          </w:tcPr>
          <w:p w14:paraId="123EEBE9" w14:textId="77777777" w:rsidR="003F7A56" w:rsidRPr="0032536A" w:rsidRDefault="003F7A56" w:rsidP="001D6E3A">
            <w:pPr>
              <w:spacing w:after="0" w:line="240" w:lineRule="auto"/>
              <w:ind w:left="0" w:right="0" w:firstLine="0"/>
              <w:jc w:val="center"/>
              <w:rPr>
                <w:rFonts w:ascii="Times New Roman" w:hAnsi="Times New Roman" w:cs="Times New Roman"/>
                <w:color w:val="auto"/>
              </w:rPr>
            </w:pPr>
          </w:p>
        </w:tc>
      </w:tr>
      <w:tr w:rsidR="00395E37" w:rsidRPr="004750F4" w14:paraId="0C63AA9E"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2AF08654"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4.</w:t>
            </w:r>
          </w:p>
        </w:tc>
        <w:tc>
          <w:tcPr>
            <w:tcW w:w="2355" w:type="dxa"/>
            <w:tcBorders>
              <w:top w:val="single" w:sz="4" w:space="0" w:color="000000"/>
              <w:left w:val="single" w:sz="4" w:space="0" w:color="000000"/>
              <w:bottom w:val="single" w:sz="4" w:space="0" w:color="000000"/>
              <w:right w:val="single" w:sz="4" w:space="0" w:color="000000"/>
            </w:tcBorders>
          </w:tcPr>
          <w:p w14:paraId="685E1390"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BUKOVAC </w:t>
            </w:r>
          </w:p>
        </w:tc>
        <w:tc>
          <w:tcPr>
            <w:tcW w:w="2355" w:type="dxa"/>
            <w:tcBorders>
              <w:top w:val="single" w:sz="4" w:space="0" w:color="000000"/>
              <w:left w:val="single" w:sz="4" w:space="0" w:color="000000"/>
              <w:bottom w:val="single" w:sz="4" w:space="0" w:color="000000"/>
              <w:right w:val="single" w:sz="4" w:space="0" w:color="000000"/>
            </w:tcBorders>
          </w:tcPr>
          <w:p w14:paraId="7C216D5A"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Trnac 67 </w:t>
            </w:r>
          </w:p>
        </w:tc>
        <w:tc>
          <w:tcPr>
            <w:tcW w:w="1313" w:type="dxa"/>
            <w:tcBorders>
              <w:top w:val="single" w:sz="4" w:space="0" w:color="000000"/>
              <w:left w:val="single" w:sz="4" w:space="0" w:color="000000"/>
              <w:bottom w:val="single" w:sz="4" w:space="0" w:color="000000"/>
              <w:right w:val="single" w:sz="4" w:space="0" w:color="000000"/>
            </w:tcBorders>
          </w:tcPr>
          <w:p w14:paraId="296D0112"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600</w:t>
            </w:r>
          </w:p>
        </w:tc>
        <w:tc>
          <w:tcPr>
            <w:tcW w:w="1277" w:type="dxa"/>
            <w:tcBorders>
              <w:top w:val="single" w:sz="4" w:space="0" w:color="000000"/>
              <w:left w:val="single" w:sz="4" w:space="0" w:color="000000"/>
              <w:bottom w:val="single" w:sz="4" w:space="0" w:color="000000"/>
              <w:right w:val="single" w:sz="4" w:space="0" w:color="000000"/>
            </w:tcBorders>
          </w:tcPr>
          <w:p w14:paraId="55CECE41"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600</w:t>
            </w:r>
          </w:p>
        </w:tc>
        <w:tc>
          <w:tcPr>
            <w:tcW w:w="1032" w:type="dxa"/>
            <w:tcBorders>
              <w:top w:val="single" w:sz="4" w:space="0" w:color="000000"/>
              <w:left w:val="single" w:sz="4" w:space="0" w:color="000000"/>
              <w:bottom w:val="single" w:sz="4" w:space="0" w:color="000000"/>
              <w:right w:val="single" w:sz="4" w:space="0" w:color="000000"/>
            </w:tcBorders>
          </w:tcPr>
          <w:p w14:paraId="79CB6EB9"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1980.</w:t>
            </w:r>
          </w:p>
        </w:tc>
      </w:tr>
      <w:tr w:rsidR="00395E37" w:rsidRPr="004750F4" w14:paraId="5DE87D18"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6695292B"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5.</w:t>
            </w:r>
          </w:p>
        </w:tc>
        <w:tc>
          <w:tcPr>
            <w:tcW w:w="2355" w:type="dxa"/>
            <w:tcBorders>
              <w:top w:val="single" w:sz="4" w:space="0" w:color="000000"/>
              <w:left w:val="single" w:sz="4" w:space="0" w:color="000000"/>
              <w:bottom w:val="single" w:sz="4" w:space="0" w:color="000000"/>
              <w:right w:val="single" w:sz="4" w:space="0" w:color="000000"/>
            </w:tcBorders>
          </w:tcPr>
          <w:p w14:paraId="03593230"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CVRČAK</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0FE70D91"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Zapoljska 34 </w:t>
            </w:r>
          </w:p>
        </w:tc>
        <w:tc>
          <w:tcPr>
            <w:tcW w:w="1313" w:type="dxa"/>
            <w:tcBorders>
              <w:top w:val="single" w:sz="4" w:space="0" w:color="000000"/>
              <w:left w:val="single" w:sz="4" w:space="0" w:color="000000"/>
              <w:bottom w:val="single" w:sz="4" w:space="0" w:color="000000"/>
              <w:right w:val="single" w:sz="4" w:space="0" w:color="000000"/>
            </w:tcBorders>
          </w:tcPr>
          <w:p w14:paraId="2E003B02"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759</w:t>
            </w:r>
          </w:p>
        </w:tc>
        <w:tc>
          <w:tcPr>
            <w:tcW w:w="1277" w:type="dxa"/>
            <w:tcBorders>
              <w:top w:val="single" w:sz="4" w:space="0" w:color="000000"/>
              <w:left w:val="single" w:sz="4" w:space="0" w:color="000000"/>
              <w:bottom w:val="single" w:sz="4" w:space="0" w:color="000000"/>
              <w:right w:val="single" w:sz="4" w:space="0" w:color="000000"/>
            </w:tcBorders>
          </w:tcPr>
          <w:p w14:paraId="59E49291"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760</w:t>
            </w:r>
          </w:p>
        </w:tc>
        <w:tc>
          <w:tcPr>
            <w:tcW w:w="1032" w:type="dxa"/>
            <w:tcBorders>
              <w:top w:val="single" w:sz="4" w:space="0" w:color="000000"/>
              <w:left w:val="single" w:sz="4" w:space="0" w:color="000000"/>
              <w:bottom w:val="single" w:sz="4" w:space="0" w:color="000000"/>
              <w:right w:val="single" w:sz="4" w:space="0" w:color="000000"/>
            </w:tcBorders>
          </w:tcPr>
          <w:p w14:paraId="30D7B286"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1958.</w:t>
            </w:r>
          </w:p>
        </w:tc>
      </w:tr>
      <w:tr w:rsidR="00395E37" w:rsidRPr="004750F4" w14:paraId="142C8177"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3B13E752"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6.</w:t>
            </w:r>
          </w:p>
        </w:tc>
        <w:tc>
          <w:tcPr>
            <w:tcW w:w="2355" w:type="dxa"/>
            <w:tcBorders>
              <w:top w:val="single" w:sz="4" w:space="0" w:color="000000"/>
              <w:left w:val="single" w:sz="4" w:space="0" w:color="000000"/>
              <w:bottom w:val="single" w:sz="4" w:space="0" w:color="000000"/>
              <w:right w:val="single" w:sz="4" w:space="0" w:color="000000"/>
            </w:tcBorders>
          </w:tcPr>
          <w:p w14:paraId="059E1A52"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DUGA</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1D6473F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Ferenščica I. 90 </w:t>
            </w:r>
          </w:p>
        </w:tc>
        <w:tc>
          <w:tcPr>
            <w:tcW w:w="1313" w:type="dxa"/>
            <w:tcBorders>
              <w:top w:val="single" w:sz="4" w:space="0" w:color="000000"/>
              <w:left w:val="single" w:sz="4" w:space="0" w:color="000000"/>
              <w:bottom w:val="single" w:sz="4" w:space="0" w:color="000000"/>
              <w:right w:val="single" w:sz="4" w:space="0" w:color="000000"/>
            </w:tcBorders>
          </w:tcPr>
          <w:p w14:paraId="31C26D3B"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400</w:t>
            </w:r>
          </w:p>
        </w:tc>
        <w:tc>
          <w:tcPr>
            <w:tcW w:w="1277" w:type="dxa"/>
            <w:tcBorders>
              <w:top w:val="single" w:sz="4" w:space="0" w:color="000000"/>
              <w:left w:val="single" w:sz="4" w:space="0" w:color="000000"/>
              <w:bottom w:val="single" w:sz="4" w:space="0" w:color="000000"/>
              <w:right w:val="single" w:sz="4" w:space="0" w:color="000000"/>
            </w:tcBorders>
          </w:tcPr>
          <w:p w14:paraId="0AE52C61"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400</w:t>
            </w:r>
          </w:p>
        </w:tc>
        <w:tc>
          <w:tcPr>
            <w:tcW w:w="1032" w:type="dxa"/>
            <w:tcBorders>
              <w:top w:val="single" w:sz="4" w:space="0" w:color="000000"/>
              <w:left w:val="single" w:sz="4" w:space="0" w:color="000000"/>
              <w:bottom w:val="single" w:sz="4" w:space="0" w:color="000000"/>
              <w:right w:val="single" w:sz="4" w:space="0" w:color="000000"/>
            </w:tcBorders>
          </w:tcPr>
          <w:p w14:paraId="14E444B5"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1974.</w:t>
            </w:r>
          </w:p>
        </w:tc>
      </w:tr>
      <w:tr w:rsidR="00395E37" w:rsidRPr="004750F4" w14:paraId="3F67C75F"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0A6F5E11"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7.</w:t>
            </w:r>
          </w:p>
        </w:tc>
        <w:tc>
          <w:tcPr>
            <w:tcW w:w="2355" w:type="dxa"/>
            <w:tcBorders>
              <w:top w:val="single" w:sz="4" w:space="0" w:color="000000"/>
              <w:left w:val="single" w:sz="4" w:space="0" w:color="000000"/>
              <w:bottom w:val="single" w:sz="4" w:space="0" w:color="000000"/>
              <w:right w:val="single" w:sz="4" w:space="0" w:color="000000"/>
            </w:tcBorders>
          </w:tcPr>
          <w:p w14:paraId="6D786F9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EN TEN TINI</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405ED824"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Ulica 144. brigade Hrvatske vojske 8 </w:t>
            </w:r>
          </w:p>
        </w:tc>
        <w:tc>
          <w:tcPr>
            <w:tcW w:w="1313" w:type="dxa"/>
            <w:tcBorders>
              <w:top w:val="single" w:sz="4" w:space="0" w:color="000000"/>
              <w:left w:val="single" w:sz="4" w:space="0" w:color="000000"/>
              <w:bottom w:val="single" w:sz="4" w:space="0" w:color="000000"/>
              <w:right w:val="single" w:sz="4" w:space="0" w:color="000000"/>
            </w:tcBorders>
          </w:tcPr>
          <w:p w14:paraId="1196AB88"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600</w:t>
            </w:r>
          </w:p>
        </w:tc>
        <w:tc>
          <w:tcPr>
            <w:tcW w:w="1277" w:type="dxa"/>
            <w:tcBorders>
              <w:top w:val="single" w:sz="4" w:space="0" w:color="000000"/>
              <w:left w:val="single" w:sz="4" w:space="0" w:color="000000"/>
              <w:bottom w:val="single" w:sz="4" w:space="0" w:color="000000"/>
              <w:right w:val="single" w:sz="4" w:space="0" w:color="000000"/>
            </w:tcBorders>
          </w:tcPr>
          <w:p w14:paraId="5C3F3AB3"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620</w:t>
            </w:r>
          </w:p>
        </w:tc>
        <w:tc>
          <w:tcPr>
            <w:tcW w:w="1032" w:type="dxa"/>
            <w:tcBorders>
              <w:top w:val="single" w:sz="4" w:space="0" w:color="000000"/>
              <w:left w:val="single" w:sz="4" w:space="0" w:color="000000"/>
              <w:bottom w:val="single" w:sz="4" w:space="0" w:color="000000"/>
              <w:right w:val="single" w:sz="4" w:space="0" w:color="000000"/>
            </w:tcBorders>
          </w:tcPr>
          <w:p w14:paraId="00BBCB02"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2009.</w:t>
            </w:r>
          </w:p>
        </w:tc>
      </w:tr>
      <w:tr w:rsidR="00395E37" w:rsidRPr="004750F4" w14:paraId="3A3E85FA"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0B585178"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8.</w:t>
            </w:r>
          </w:p>
        </w:tc>
        <w:tc>
          <w:tcPr>
            <w:tcW w:w="2355" w:type="dxa"/>
            <w:tcBorders>
              <w:top w:val="single" w:sz="4" w:space="0" w:color="000000"/>
              <w:left w:val="single" w:sz="4" w:space="0" w:color="000000"/>
              <w:bottom w:val="single" w:sz="4" w:space="0" w:color="000000"/>
              <w:right w:val="single" w:sz="4" w:space="0" w:color="000000"/>
            </w:tcBorders>
          </w:tcPr>
          <w:p w14:paraId="563A323F"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GAJNICE</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11A689EF"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Ulica hrvatskih</w:t>
            </w:r>
            <w:r w:rsidR="00710CC5" w:rsidRPr="0032536A">
              <w:rPr>
                <w:rFonts w:ascii="Times New Roman" w:hAnsi="Times New Roman" w:cs="Times New Roman"/>
                <w:color w:val="auto"/>
              </w:rPr>
              <w:t xml:space="preserve"> </w:t>
            </w:r>
            <w:r w:rsidRPr="0032536A">
              <w:rPr>
                <w:rFonts w:ascii="Times New Roman" w:hAnsi="Times New Roman" w:cs="Times New Roman"/>
                <w:color w:val="auto"/>
              </w:rPr>
              <w:t xml:space="preserve">iseljenika 6 </w:t>
            </w:r>
          </w:p>
        </w:tc>
        <w:tc>
          <w:tcPr>
            <w:tcW w:w="1313" w:type="dxa"/>
            <w:tcBorders>
              <w:top w:val="single" w:sz="4" w:space="0" w:color="000000"/>
              <w:left w:val="single" w:sz="4" w:space="0" w:color="000000"/>
              <w:bottom w:val="single" w:sz="4" w:space="0" w:color="000000"/>
              <w:right w:val="single" w:sz="4" w:space="0" w:color="000000"/>
            </w:tcBorders>
          </w:tcPr>
          <w:p w14:paraId="3D0650A5"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880</w:t>
            </w:r>
          </w:p>
        </w:tc>
        <w:tc>
          <w:tcPr>
            <w:tcW w:w="1277" w:type="dxa"/>
            <w:tcBorders>
              <w:top w:val="single" w:sz="4" w:space="0" w:color="000000"/>
              <w:left w:val="single" w:sz="4" w:space="0" w:color="000000"/>
              <w:bottom w:val="single" w:sz="4" w:space="0" w:color="000000"/>
              <w:right w:val="single" w:sz="4" w:space="0" w:color="000000"/>
            </w:tcBorders>
          </w:tcPr>
          <w:p w14:paraId="365093F9"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880</w:t>
            </w:r>
          </w:p>
        </w:tc>
        <w:tc>
          <w:tcPr>
            <w:tcW w:w="1032" w:type="dxa"/>
            <w:tcBorders>
              <w:top w:val="single" w:sz="4" w:space="0" w:color="000000"/>
              <w:left w:val="single" w:sz="4" w:space="0" w:color="000000"/>
              <w:bottom w:val="single" w:sz="4" w:space="0" w:color="000000"/>
              <w:right w:val="single" w:sz="4" w:space="0" w:color="000000"/>
            </w:tcBorders>
          </w:tcPr>
          <w:p w14:paraId="4C497C9E"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1973.</w:t>
            </w:r>
          </w:p>
        </w:tc>
      </w:tr>
      <w:tr w:rsidR="00395E37" w:rsidRPr="004750F4" w14:paraId="6E2B8505"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0BA693BA"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9.</w:t>
            </w:r>
          </w:p>
        </w:tc>
        <w:tc>
          <w:tcPr>
            <w:tcW w:w="2355" w:type="dxa"/>
            <w:tcBorders>
              <w:top w:val="single" w:sz="4" w:space="0" w:color="000000"/>
              <w:left w:val="single" w:sz="4" w:space="0" w:color="000000"/>
              <w:bottom w:val="single" w:sz="4" w:space="0" w:color="000000"/>
              <w:right w:val="single" w:sz="4" w:space="0" w:color="000000"/>
            </w:tcBorders>
          </w:tcPr>
          <w:p w14:paraId="107DFA20"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GRIGOR</w:t>
            </w:r>
            <w:r w:rsidR="00833C7D" w:rsidRPr="0032536A">
              <w:rPr>
                <w:rFonts w:ascii="Times New Roman" w:hAnsi="Times New Roman" w:cs="Times New Roman"/>
                <w:color w:val="auto"/>
              </w:rPr>
              <w:t>A</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VITEZ</w:t>
            </w:r>
            <w:r w:rsidR="00833C7D" w:rsidRPr="0032536A">
              <w:rPr>
                <w:rFonts w:ascii="Times New Roman" w:hAnsi="Times New Roman" w:cs="Times New Roman"/>
                <w:color w:val="auto"/>
              </w:rPr>
              <w:t>A</w:t>
            </w:r>
          </w:p>
        </w:tc>
        <w:tc>
          <w:tcPr>
            <w:tcW w:w="2355" w:type="dxa"/>
            <w:tcBorders>
              <w:top w:val="single" w:sz="4" w:space="0" w:color="000000"/>
              <w:left w:val="single" w:sz="4" w:space="0" w:color="000000"/>
              <w:bottom w:val="single" w:sz="4" w:space="0" w:color="000000"/>
              <w:right w:val="single" w:sz="4" w:space="0" w:color="000000"/>
            </w:tcBorders>
          </w:tcPr>
          <w:p w14:paraId="4BF14FE7"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Ratarska ulica 5 </w:t>
            </w:r>
          </w:p>
        </w:tc>
        <w:tc>
          <w:tcPr>
            <w:tcW w:w="1313" w:type="dxa"/>
            <w:tcBorders>
              <w:top w:val="single" w:sz="4" w:space="0" w:color="000000"/>
              <w:left w:val="single" w:sz="4" w:space="0" w:color="000000"/>
              <w:bottom w:val="single" w:sz="4" w:space="0" w:color="000000"/>
              <w:right w:val="single" w:sz="4" w:space="0" w:color="000000"/>
            </w:tcBorders>
          </w:tcPr>
          <w:p w14:paraId="03932631"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850</w:t>
            </w:r>
          </w:p>
        </w:tc>
        <w:tc>
          <w:tcPr>
            <w:tcW w:w="1277" w:type="dxa"/>
            <w:tcBorders>
              <w:top w:val="single" w:sz="4" w:space="0" w:color="000000"/>
              <w:left w:val="single" w:sz="4" w:space="0" w:color="000000"/>
              <w:bottom w:val="single" w:sz="4" w:space="0" w:color="000000"/>
              <w:right w:val="single" w:sz="4" w:space="0" w:color="000000"/>
            </w:tcBorders>
          </w:tcPr>
          <w:p w14:paraId="3F2CCE0A"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350</w:t>
            </w:r>
          </w:p>
        </w:tc>
        <w:tc>
          <w:tcPr>
            <w:tcW w:w="1032" w:type="dxa"/>
            <w:tcBorders>
              <w:top w:val="single" w:sz="4" w:space="0" w:color="000000"/>
              <w:left w:val="single" w:sz="4" w:space="0" w:color="000000"/>
              <w:bottom w:val="single" w:sz="4" w:space="0" w:color="000000"/>
              <w:right w:val="single" w:sz="4" w:space="0" w:color="000000"/>
            </w:tcBorders>
          </w:tcPr>
          <w:p w14:paraId="34E91DDD"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1977.</w:t>
            </w:r>
          </w:p>
        </w:tc>
      </w:tr>
      <w:tr w:rsidR="00395E37" w:rsidRPr="004750F4" w14:paraId="50564AEB"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169AF393"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10.</w:t>
            </w:r>
          </w:p>
        </w:tc>
        <w:tc>
          <w:tcPr>
            <w:tcW w:w="2355" w:type="dxa"/>
            <w:tcBorders>
              <w:top w:val="single" w:sz="4" w:space="0" w:color="000000"/>
              <w:left w:val="single" w:sz="4" w:space="0" w:color="000000"/>
              <w:bottom w:val="single" w:sz="4" w:space="0" w:color="000000"/>
              <w:right w:val="single" w:sz="4" w:space="0" w:color="000000"/>
            </w:tcBorders>
          </w:tcPr>
          <w:p w14:paraId="517F1176"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HRVATSKI</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LESKOVAC</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12CDCB83"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Potočna ulica 9 </w:t>
            </w:r>
          </w:p>
        </w:tc>
        <w:tc>
          <w:tcPr>
            <w:tcW w:w="1313" w:type="dxa"/>
            <w:tcBorders>
              <w:top w:val="single" w:sz="4" w:space="0" w:color="000000"/>
              <w:left w:val="single" w:sz="4" w:space="0" w:color="000000"/>
              <w:bottom w:val="single" w:sz="4" w:space="0" w:color="000000"/>
              <w:right w:val="single" w:sz="4" w:space="0" w:color="000000"/>
            </w:tcBorders>
          </w:tcPr>
          <w:p w14:paraId="7C052CCA"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605</w:t>
            </w:r>
          </w:p>
        </w:tc>
        <w:tc>
          <w:tcPr>
            <w:tcW w:w="1277" w:type="dxa"/>
            <w:tcBorders>
              <w:top w:val="single" w:sz="4" w:space="0" w:color="000000"/>
              <w:left w:val="single" w:sz="4" w:space="0" w:color="000000"/>
              <w:bottom w:val="single" w:sz="4" w:space="0" w:color="000000"/>
              <w:right w:val="single" w:sz="4" w:space="0" w:color="000000"/>
            </w:tcBorders>
          </w:tcPr>
          <w:p w14:paraId="6D94372B"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300</w:t>
            </w:r>
          </w:p>
        </w:tc>
        <w:tc>
          <w:tcPr>
            <w:tcW w:w="1032" w:type="dxa"/>
            <w:tcBorders>
              <w:top w:val="single" w:sz="4" w:space="0" w:color="000000"/>
              <w:left w:val="single" w:sz="4" w:space="0" w:color="000000"/>
              <w:bottom w:val="single" w:sz="4" w:space="0" w:color="000000"/>
              <w:right w:val="single" w:sz="4" w:space="0" w:color="000000"/>
            </w:tcBorders>
          </w:tcPr>
          <w:p w14:paraId="6A155B23"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1981.</w:t>
            </w:r>
          </w:p>
        </w:tc>
      </w:tr>
      <w:tr w:rsidR="00395E37" w:rsidRPr="004750F4" w14:paraId="711D11D5"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19850738"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12.</w:t>
            </w:r>
          </w:p>
        </w:tc>
        <w:tc>
          <w:tcPr>
            <w:tcW w:w="2355" w:type="dxa"/>
            <w:tcBorders>
              <w:top w:val="single" w:sz="4" w:space="0" w:color="000000"/>
              <w:left w:val="single" w:sz="4" w:space="0" w:color="000000"/>
              <w:bottom w:val="single" w:sz="4" w:space="0" w:color="000000"/>
              <w:right w:val="single" w:sz="4" w:space="0" w:color="000000"/>
            </w:tcBorders>
          </w:tcPr>
          <w:p w14:paraId="1F72ADC3"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ISKRICA </w:t>
            </w:r>
          </w:p>
        </w:tc>
        <w:tc>
          <w:tcPr>
            <w:tcW w:w="2355" w:type="dxa"/>
            <w:tcBorders>
              <w:top w:val="single" w:sz="4" w:space="0" w:color="000000"/>
              <w:left w:val="single" w:sz="4" w:space="0" w:color="000000"/>
              <w:bottom w:val="single" w:sz="4" w:space="0" w:color="000000"/>
              <w:right w:val="single" w:sz="4" w:space="0" w:color="000000"/>
            </w:tcBorders>
          </w:tcPr>
          <w:p w14:paraId="0D80D115"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Kruge 3 </w:t>
            </w:r>
          </w:p>
        </w:tc>
        <w:tc>
          <w:tcPr>
            <w:tcW w:w="1313" w:type="dxa"/>
            <w:tcBorders>
              <w:top w:val="single" w:sz="4" w:space="0" w:color="000000"/>
              <w:left w:val="single" w:sz="4" w:space="0" w:color="000000"/>
              <w:bottom w:val="single" w:sz="4" w:space="0" w:color="000000"/>
              <w:right w:val="single" w:sz="4" w:space="0" w:color="000000"/>
            </w:tcBorders>
          </w:tcPr>
          <w:p w14:paraId="21E1D1CC"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350</w:t>
            </w:r>
          </w:p>
        </w:tc>
        <w:tc>
          <w:tcPr>
            <w:tcW w:w="1277" w:type="dxa"/>
            <w:tcBorders>
              <w:top w:val="single" w:sz="4" w:space="0" w:color="000000"/>
              <w:left w:val="single" w:sz="4" w:space="0" w:color="000000"/>
              <w:bottom w:val="single" w:sz="4" w:space="0" w:color="000000"/>
              <w:right w:val="single" w:sz="4" w:space="0" w:color="000000"/>
            </w:tcBorders>
          </w:tcPr>
          <w:p w14:paraId="6F3A374E"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350</w:t>
            </w:r>
          </w:p>
        </w:tc>
        <w:tc>
          <w:tcPr>
            <w:tcW w:w="1032" w:type="dxa"/>
            <w:tcBorders>
              <w:top w:val="single" w:sz="4" w:space="0" w:color="000000"/>
              <w:left w:val="single" w:sz="4" w:space="0" w:color="000000"/>
              <w:bottom w:val="single" w:sz="4" w:space="0" w:color="000000"/>
              <w:right w:val="single" w:sz="4" w:space="0" w:color="000000"/>
            </w:tcBorders>
          </w:tcPr>
          <w:p w14:paraId="27688E05"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1967.</w:t>
            </w:r>
          </w:p>
        </w:tc>
      </w:tr>
      <w:tr w:rsidR="00395E37" w:rsidRPr="004750F4" w14:paraId="213224EA"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0342052E"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11.</w:t>
            </w:r>
          </w:p>
        </w:tc>
        <w:tc>
          <w:tcPr>
            <w:tcW w:w="2355" w:type="dxa"/>
            <w:tcBorders>
              <w:top w:val="single" w:sz="4" w:space="0" w:color="000000"/>
              <w:left w:val="single" w:sz="4" w:space="0" w:color="000000"/>
              <w:bottom w:val="single" w:sz="4" w:space="0" w:color="000000"/>
              <w:right w:val="single" w:sz="4" w:space="0" w:color="000000"/>
            </w:tcBorders>
          </w:tcPr>
          <w:p w14:paraId="16CD5F4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IVANE BRLIĆ MAŽURANIĆ </w:t>
            </w:r>
          </w:p>
        </w:tc>
        <w:tc>
          <w:tcPr>
            <w:tcW w:w="2355" w:type="dxa"/>
            <w:tcBorders>
              <w:top w:val="single" w:sz="4" w:space="0" w:color="000000"/>
              <w:left w:val="single" w:sz="4" w:space="0" w:color="000000"/>
              <w:bottom w:val="single" w:sz="4" w:space="0" w:color="000000"/>
              <w:right w:val="single" w:sz="4" w:space="0" w:color="000000"/>
            </w:tcBorders>
          </w:tcPr>
          <w:p w14:paraId="5FCDB92E"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Cerska ulica 22 </w:t>
            </w:r>
          </w:p>
        </w:tc>
        <w:tc>
          <w:tcPr>
            <w:tcW w:w="1313" w:type="dxa"/>
            <w:tcBorders>
              <w:top w:val="single" w:sz="4" w:space="0" w:color="000000"/>
              <w:left w:val="single" w:sz="4" w:space="0" w:color="000000"/>
              <w:bottom w:val="single" w:sz="4" w:space="0" w:color="000000"/>
              <w:right w:val="single" w:sz="4" w:space="0" w:color="000000"/>
            </w:tcBorders>
          </w:tcPr>
          <w:p w14:paraId="724610FE"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480</w:t>
            </w:r>
          </w:p>
        </w:tc>
        <w:tc>
          <w:tcPr>
            <w:tcW w:w="1277" w:type="dxa"/>
            <w:tcBorders>
              <w:top w:val="single" w:sz="4" w:space="0" w:color="000000"/>
              <w:left w:val="single" w:sz="4" w:space="0" w:color="000000"/>
              <w:bottom w:val="single" w:sz="4" w:space="0" w:color="000000"/>
              <w:right w:val="single" w:sz="4" w:space="0" w:color="000000"/>
            </w:tcBorders>
          </w:tcPr>
          <w:p w14:paraId="0506E713"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480</w:t>
            </w:r>
          </w:p>
        </w:tc>
        <w:tc>
          <w:tcPr>
            <w:tcW w:w="1032" w:type="dxa"/>
            <w:tcBorders>
              <w:top w:val="single" w:sz="4" w:space="0" w:color="000000"/>
              <w:left w:val="single" w:sz="4" w:space="0" w:color="000000"/>
              <w:bottom w:val="single" w:sz="4" w:space="0" w:color="000000"/>
              <w:right w:val="single" w:sz="4" w:space="0" w:color="000000"/>
            </w:tcBorders>
          </w:tcPr>
          <w:p w14:paraId="74DB6EAF"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1976.</w:t>
            </w:r>
          </w:p>
        </w:tc>
      </w:tr>
      <w:tr w:rsidR="00395E37" w:rsidRPr="004750F4" w14:paraId="44951057"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1BBEE9DF"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13.</w:t>
            </w:r>
          </w:p>
        </w:tc>
        <w:tc>
          <w:tcPr>
            <w:tcW w:w="2355" w:type="dxa"/>
            <w:tcBorders>
              <w:top w:val="single" w:sz="4" w:space="0" w:color="000000"/>
              <w:left w:val="single" w:sz="4" w:space="0" w:color="000000"/>
              <w:bottom w:val="single" w:sz="4" w:space="0" w:color="000000"/>
              <w:right w:val="single" w:sz="4" w:space="0" w:color="000000"/>
            </w:tcBorders>
          </w:tcPr>
          <w:p w14:paraId="061EC0B8"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IZVOR</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64D408D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Prilaz Gjure</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 xml:space="preserve">Deželića 30 </w:t>
            </w:r>
          </w:p>
        </w:tc>
        <w:tc>
          <w:tcPr>
            <w:tcW w:w="1313" w:type="dxa"/>
            <w:tcBorders>
              <w:top w:val="single" w:sz="4" w:space="0" w:color="000000"/>
              <w:left w:val="single" w:sz="4" w:space="0" w:color="000000"/>
              <w:bottom w:val="single" w:sz="4" w:space="0" w:color="000000"/>
              <w:right w:val="single" w:sz="4" w:space="0" w:color="000000"/>
            </w:tcBorders>
          </w:tcPr>
          <w:p w14:paraId="35650511"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370</w:t>
            </w:r>
          </w:p>
        </w:tc>
        <w:tc>
          <w:tcPr>
            <w:tcW w:w="1277" w:type="dxa"/>
            <w:tcBorders>
              <w:top w:val="single" w:sz="4" w:space="0" w:color="000000"/>
              <w:left w:val="single" w:sz="4" w:space="0" w:color="000000"/>
              <w:bottom w:val="single" w:sz="4" w:space="0" w:color="000000"/>
              <w:right w:val="single" w:sz="4" w:space="0" w:color="000000"/>
            </w:tcBorders>
          </w:tcPr>
          <w:p w14:paraId="7F801D89"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450</w:t>
            </w:r>
          </w:p>
        </w:tc>
        <w:tc>
          <w:tcPr>
            <w:tcW w:w="1032" w:type="dxa"/>
            <w:tcBorders>
              <w:top w:val="single" w:sz="4" w:space="0" w:color="000000"/>
              <w:left w:val="single" w:sz="4" w:space="0" w:color="000000"/>
              <w:bottom w:val="single" w:sz="4" w:space="0" w:color="000000"/>
              <w:right w:val="single" w:sz="4" w:space="0" w:color="000000"/>
            </w:tcBorders>
          </w:tcPr>
          <w:p w14:paraId="70FA1218" w14:textId="77777777" w:rsidR="003F7A56" w:rsidRPr="0032536A" w:rsidRDefault="003F7A56" w:rsidP="001D6E3A">
            <w:pPr>
              <w:spacing w:after="0" w:line="240" w:lineRule="auto"/>
              <w:ind w:left="0" w:right="0" w:firstLine="0"/>
              <w:jc w:val="center"/>
              <w:rPr>
                <w:rFonts w:ascii="Times New Roman" w:hAnsi="Times New Roman" w:cs="Times New Roman"/>
                <w:color w:val="auto"/>
              </w:rPr>
            </w:pPr>
          </w:p>
        </w:tc>
      </w:tr>
      <w:tr w:rsidR="00395E37" w:rsidRPr="004750F4" w14:paraId="05D81A25"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25A0A98E"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14.</w:t>
            </w:r>
          </w:p>
        </w:tc>
        <w:tc>
          <w:tcPr>
            <w:tcW w:w="2355" w:type="dxa"/>
            <w:tcBorders>
              <w:top w:val="single" w:sz="4" w:space="0" w:color="000000"/>
              <w:left w:val="single" w:sz="4" w:space="0" w:color="000000"/>
              <w:bottom w:val="single" w:sz="4" w:space="0" w:color="000000"/>
              <w:right w:val="single" w:sz="4" w:space="0" w:color="000000"/>
            </w:tcBorders>
          </w:tcPr>
          <w:p w14:paraId="1F957F29"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JABUKA </w:t>
            </w:r>
          </w:p>
        </w:tc>
        <w:tc>
          <w:tcPr>
            <w:tcW w:w="2355" w:type="dxa"/>
            <w:tcBorders>
              <w:top w:val="single" w:sz="4" w:space="0" w:color="000000"/>
              <w:left w:val="single" w:sz="4" w:space="0" w:color="000000"/>
              <w:bottom w:val="single" w:sz="4" w:space="0" w:color="000000"/>
              <w:right w:val="single" w:sz="4" w:space="0" w:color="000000"/>
            </w:tcBorders>
          </w:tcPr>
          <w:p w14:paraId="453C01D0"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Resnički put 88 </w:t>
            </w:r>
          </w:p>
        </w:tc>
        <w:tc>
          <w:tcPr>
            <w:tcW w:w="1313" w:type="dxa"/>
            <w:tcBorders>
              <w:top w:val="single" w:sz="4" w:space="0" w:color="000000"/>
              <w:left w:val="single" w:sz="4" w:space="0" w:color="000000"/>
              <w:bottom w:val="single" w:sz="4" w:space="0" w:color="000000"/>
              <w:right w:val="single" w:sz="4" w:space="0" w:color="000000"/>
            </w:tcBorders>
          </w:tcPr>
          <w:p w14:paraId="2A1E7210"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600</w:t>
            </w:r>
          </w:p>
        </w:tc>
        <w:tc>
          <w:tcPr>
            <w:tcW w:w="1277" w:type="dxa"/>
            <w:tcBorders>
              <w:top w:val="single" w:sz="4" w:space="0" w:color="000000"/>
              <w:left w:val="single" w:sz="4" w:space="0" w:color="000000"/>
              <w:bottom w:val="single" w:sz="4" w:space="0" w:color="000000"/>
              <w:right w:val="single" w:sz="4" w:space="0" w:color="000000"/>
            </w:tcBorders>
          </w:tcPr>
          <w:p w14:paraId="6D0AA00F"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600</w:t>
            </w:r>
          </w:p>
        </w:tc>
        <w:tc>
          <w:tcPr>
            <w:tcW w:w="1032" w:type="dxa"/>
            <w:tcBorders>
              <w:top w:val="single" w:sz="4" w:space="0" w:color="000000"/>
              <w:left w:val="single" w:sz="4" w:space="0" w:color="000000"/>
              <w:bottom w:val="single" w:sz="4" w:space="0" w:color="000000"/>
              <w:right w:val="single" w:sz="4" w:space="0" w:color="000000"/>
            </w:tcBorders>
          </w:tcPr>
          <w:p w14:paraId="4BAB4DE5"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1980.</w:t>
            </w:r>
          </w:p>
        </w:tc>
      </w:tr>
      <w:tr w:rsidR="00395E37" w:rsidRPr="004750F4" w14:paraId="1FB47037"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4E6FA9A6"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15.</w:t>
            </w:r>
          </w:p>
        </w:tc>
        <w:tc>
          <w:tcPr>
            <w:tcW w:w="2355" w:type="dxa"/>
            <w:tcBorders>
              <w:top w:val="single" w:sz="4" w:space="0" w:color="000000"/>
              <w:left w:val="single" w:sz="4" w:space="0" w:color="000000"/>
              <w:bottom w:val="single" w:sz="4" w:space="0" w:color="000000"/>
              <w:right w:val="single" w:sz="4" w:space="0" w:color="000000"/>
            </w:tcBorders>
          </w:tcPr>
          <w:p w14:paraId="2CCC2597"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JARUN</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2ECAD4FE"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Bartolići 39A </w:t>
            </w:r>
          </w:p>
        </w:tc>
        <w:tc>
          <w:tcPr>
            <w:tcW w:w="1313" w:type="dxa"/>
            <w:tcBorders>
              <w:top w:val="single" w:sz="4" w:space="0" w:color="000000"/>
              <w:left w:val="single" w:sz="4" w:space="0" w:color="000000"/>
              <w:bottom w:val="single" w:sz="4" w:space="0" w:color="000000"/>
              <w:right w:val="single" w:sz="4" w:space="0" w:color="000000"/>
            </w:tcBorders>
          </w:tcPr>
          <w:p w14:paraId="3659E486"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450</w:t>
            </w:r>
          </w:p>
        </w:tc>
        <w:tc>
          <w:tcPr>
            <w:tcW w:w="1277" w:type="dxa"/>
            <w:tcBorders>
              <w:top w:val="single" w:sz="4" w:space="0" w:color="000000"/>
              <w:left w:val="single" w:sz="4" w:space="0" w:color="000000"/>
              <w:bottom w:val="single" w:sz="4" w:space="0" w:color="000000"/>
              <w:right w:val="single" w:sz="4" w:space="0" w:color="000000"/>
            </w:tcBorders>
          </w:tcPr>
          <w:p w14:paraId="31A0B0C3"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450</w:t>
            </w:r>
          </w:p>
        </w:tc>
        <w:tc>
          <w:tcPr>
            <w:tcW w:w="1032" w:type="dxa"/>
            <w:tcBorders>
              <w:top w:val="single" w:sz="4" w:space="0" w:color="000000"/>
              <w:left w:val="single" w:sz="4" w:space="0" w:color="000000"/>
              <w:bottom w:val="single" w:sz="4" w:space="0" w:color="000000"/>
              <w:right w:val="single" w:sz="4" w:space="0" w:color="000000"/>
            </w:tcBorders>
          </w:tcPr>
          <w:p w14:paraId="7CA9F8A3"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1978.</w:t>
            </w:r>
          </w:p>
        </w:tc>
      </w:tr>
      <w:tr w:rsidR="00395E37" w:rsidRPr="004750F4" w14:paraId="0716FAF3"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6841B024" w14:textId="77777777" w:rsidR="003F7A56" w:rsidRPr="0032536A" w:rsidRDefault="003F7A56" w:rsidP="00710CC5">
            <w:pPr>
              <w:spacing w:after="0" w:line="240" w:lineRule="auto"/>
              <w:ind w:left="0" w:right="0" w:firstLine="0"/>
              <w:jc w:val="left"/>
              <w:rPr>
                <w:rFonts w:ascii="Times New Roman" w:hAnsi="Times New Roman" w:cs="Times New Roman"/>
                <w:color w:val="auto"/>
              </w:rPr>
            </w:pPr>
          </w:p>
        </w:tc>
        <w:tc>
          <w:tcPr>
            <w:tcW w:w="2355" w:type="dxa"/>
            <w:tcBorders>
              <w:top w:val="single" w:sz="4" w:space="0" w:color="000000"/>
              <w:left w:val="single" w:sz="4" w:space="0" w:color="000000"/>
              <w:bottom w:val="single" w:sz="4" w:space="0" w:color="000000"/>
              <w:right w:val="single" w:sz="4" w:space="0" w:color="000000"/>
            </w:tcBorders>
          </w:tcPr>
          <w:p w14:paraId="3B0F3DD4"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Podružnica </w:t>
            </w:r>
          </w:p>
        </w:tc>
        <w:tc>
          <w:tcPr>
            <w:tcW w:w="2355" w:type="dxa"/>
            <w:tcBorders>
              <w:top w:val="single" w:sz="4" w:space="0" w:color="000000"/>
              <w:left w:val="single" w:sz="4" w:space="0" w:color="000000"/>
              <w:bottom w:val="single" w:sz="4" w:space="0" w:color="000000"/>
              <w:right w:val="single" w:sz="4" w:space="0" w:color="000000"/>
            </w:tcBorders>
          </w:tcPr>
          <w:p w14:paraId="52C3C54E" w14:textId="77777777" w:rsidR="003F7A56" w:rsidRPr="0032536A" w:rsidRDefault="00833C7D"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hAnsi="Times New Roman" w:cs="Times New Roman"/>
                <w:color w:val="auto"/>
              </w:rPr>
              <w:t xml:space="preserve">Martina Pušteka 14 </w:t>
            </w:r>
          </w:p>
        </w:tc>
        <w:tc>
          <w:tcPr>
            <w:tcW w:w="1313" w:type="dxa"/>
            <w:tcBorders>
              <w:top w:val="single" w:sz="4" w:space="0" w:color="000000"/>
              <w:left w:val="single" w:sz="4" w:space="0" w:color="000000"/>
              <w:bottom w:val="single" w:sz="4" w:space="0" w:color="000000"/>
              <w:right w:val="single" w:sz="4" w:space="0" w:color="000000"/>
            </w:tcBorders>
          </w:tcPr>
          <w:p w14:paraId="3B7532A1"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350</w:t>
            </w:r>
          </w:p>
        </w:tc>
        <w:tc>
          <w:tcPr>
            <w:tcW w:w="1277" w:type="dxa"/>
            <w:tcBorders>
              <w:top w:val="single" w:sz="4" w:space="0" w:color="000000"/>
              <w:left w:val="single" w:sz="4" w:space="0" w:color="000000"/>
              <w:bottom w:val="single" w:sz="4" w:space="0" w:color="000000"/>
              <w:right w:val="single" w:sz="4" w:space="0" w:color="000000"/>
            </w:tcBorders>
          </w:tcPr>
          <w:p w14:paraId="1A24168B"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350</w:t>
            </w:r>
          </w:p>
        </w:tc>
        <w:tc>
          <w:tcPr>
            <w:tcW w:w="1032" w:type="dxa"/>
            <w:tcBorders>
              <w:top w:val="single" w:sz="4" w:space="0" w:color="000000"/>
              <w:left w:val="single" w:sz="4" w:space="0" w:color="000000"/>
              <w:bottom w:val="single" w:sz="4" w:space="0" w:color="000000"/>
              <w:right w:val="single" w:sz="4" w:space="0" w:color="000000"/>
            </w:tcBorders>
          </w:tcPr>
          <w:p w14:paraId="758193FB" w14:textId="77777777" w:rsidR="003F7A56" w:rsidRPr="0032536A" w:rsidRDefault="003F7A56" w:rsidP="001D6E3A">
            <w:pPr>
              <w:spacing w:after="0" w:line="240" w:lineRule="auto"/>
              <w:ind w:left="0" w:right="0" w:firstLine="0"/>
              <w:jc w:val="center"/>
              <w:rPr>
                <w:rFonts w:ascii="Times New Roman" w:hAnsi="Times New Roman" w:cs="Times New Roman"/>
                <w:color w:val="auto"/>
              </w:rPr>
            </w:pPr>
          </w:p>
        </w:tc>
      </w:tr>
      <w:tr w:rsidR="00395E37" w:rsidRPr="004750F4" w14:paraId="1F0E9A3E"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17A5EC02"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16.</w:t>
            </w:r>
          </w:p>
        </w:tc>
        <w:tc>
          <w:tcPr>
            <w:tcW w:w="2355" w:type="dxa"/>
            <w:tcBorders>
              <w:top w:val="single" w:sz="4" w:space="0" w:color="000000"/>
              <w:left w:val="single" w:sz="4" w:space="0" w:color="000000"/>
              <w:bottom w:val="single" w:sz="4" w:space="0" w:color="000000"/>
              <w:right w:val="single" w:sz="4" w:space="0" w:color="000000"/>
            </w:tcBorders>
          </w:tcPr>
          <w:p w14:paraId="535BD740"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KOLIBRI </w:t>
            </w:r>
          </w:p>
        </w:tc>
        <w:tc>
          <w:tcPr>
            <w:tcW w:w="2355" w:type="dxa"/>
            <w:tcBorders>
              <w:top w:val="single" w:sz="4" w:space="0" w:color="000000"/>
              <w:left w:val="single" w:sz="4" w:space="0" w:color="000000"/>
              <w:bottom w:val="single" w:sz="4" w:space="0" w:color="000000"/>
              <w:right w:val="single" w:sz="4" w:space="0" w:color="000000"/>
            </w:tcBorders>
          </w:tcPr>
          <w:p w14:paraId="055D99E1"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Ruščenica 19 </w:t>
            </w:r>
          </w:p>
        </w:tc>
        <w:tc>
          <w:tcPr>
            <w:tcW w:w="1313" w:type="dxa"/>
            <w:tcBorders>
              <w:top w:val="single" w:sz="4" w:space="0" w:color="000000"/>
              <w:left w:val="single" w:sz="4" w:space="0" w:color="000000"/>
              <w:bottom w:val="single" w:sz="4" w:space="0" w:color="000000"/>
              <w:right w:val="single" w:sz="4" w:space="0" w:color="000000"/>
            </w:tcBorders>
          </w:tcPr>
          <w:p w14:paraId="72E5083B"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420</w:t>
            </w:r>
          </w:p>
        </w:tc>
        <w:tc>
          <w:tcPr>
            <w:tcW w:w="1277" w:type="dxa"/>
            <w:tcBorders>
              <w:top w:val="single" w:sz="4" w:space="0" w:color="000000"/>
              <w:left w:val="single" w:sz="4" w:space="0" w:color="000000"/>
              <w:bottom w:val="single" w:sz="4" w:space="0" w:color="000000"/>
              <w:right w:val="single" w:sz="4" w:space="0" w:color="000000"/>
            </w:tcBorders>
          </w:tcPr>
          <w:p w14:paraId="5779A1D0"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500</w:t>
            </w:r>
          </w:p>
        </w:tc>
        <w:tc>
          <w:tcPr>
            <w:tcW w:w="1032" w:type="dxa"/>
            <w:tcBorders>
              <w:top w:val="single" w:sz="4" w:space="0" w:color="000000"/>
              <w:left w:val="single" w:sz="4" w:space="0" w:color="000000"/>
              <w:bottom w:val="single" w:sz="4" w:space="0" w:color="000000"/>
              <w:right w:val="single" w:sz="4" w:space="0" w:color="000000"/>
            </w:tcBorders>
          </w:tcPr>
          <w:p w14:paraId="7041956E"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1983.</w:t>
            </w:r>
          </w:p>
        </w:tc>
      </w:tr>
      <w:tr w:rsidR="00395E37" w:rsidRPr="004750F4" w14:paraId="483FAFDA"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0E400AFA"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17.</w:t>
            </w:r>
          </w:p>
        </w:tc>
        <w:tc>
          <w:tcPr>
            <w:tcW w:w="2355" w:type="dxa"/>
            <w:tcBorders>
              <w:top w:val="single" w:sz="4" w:space="0" w:color="000000"/>
              <w:left w:val="single" w:sz="4" w:space="0" w:color="000000"/>
              <w:bottom w:val="single" w:sz="4" w:space="0" w:color="000000"/>
              <w:right w:val="single" w:sz="4" w:space="0" w:color="000000"/>
            </w:tcBorders>
          </w:tcPr>
          <w:p w14:paraId="49F1D31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KRIJESNICE</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5D3CE583"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Krajiška ulica 7A </w:t>
            </w:r>
          </w:p>
        </w:tc>
        <w:tc>
          <w:tcPr>
            <w:tcW w:w="1313" w:type="dxa"/>
            <w:tcBorders>
              <w:top w:val="single" w:sz="4" w:space="0" w:color="000000"/>
              <w:left w:val="single" w:sz="4" w:space="0" w:color="000000"/>
              <w:bottom w:val="single" w:sz="4" w:space="0" w:color="000000"/>
              <w:right w:val="single" w:sz="4" w:space="0" w:color="000000"/>
            </w:tcBorders>
          </w:tcPr>
          <w:p w14:paraId="043DB49A"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320</w:t>
            </w:r>
          </w:p>
        </w:tc>
        <w:tc>
          <w:tcPr>
            <w:tcW w:w="1277" w:type="dxa"/>
            <w:tcBorders>
              <w:top w:val="single" w:sz="4" w:space="0" w:color="000000"/>
              <w:left w:val="single" w:sz="4" w:space="0" w:color="000000"/>
              <w:bottom w:val="single" w:sz="4" w:space="0" w:color="000000"/>
              <w:right w:val="single" w:sz="4" w:space="0" w:color="000000"/>
            </w:tcBorders>
          </w:tcPr>
          <w:p w14:paraId="4E461B89"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384</w:t>
            </w:r>
          </w:p>
        </w:tc>
        <w:tc>
          <w:tcPr>
            <w:tcW w:w="1032" w:type="dxa"/>
            <w:tcBorders>
              <w:top w:val="single" w:sz="4" w:space="0" w:color="000000"/>
              <w:left w:val="single" w:sz="4" w:space="0" w:color="000000"/>
              <w:bottom w:val="single" w:sz="4" w:space="0" w:color="000000"/>
              <w:right w:val="single" w:sz="4" w:space="0" w:color="000000"/>
            </w:tcBorders>
          </w:tcPr>
          <w:p w14:paraId="729B3B52" w14:textId="77777777" w:rsidR="003F7A56" w:rsidRPr="0032536A" w:rsidRDefault="003F7A56" w:rsidP="001D6E3A">
            <w:pPr>
              <w:spacing w:after="0" w:line="240" w:lineRule="auto"/>
              <w:ind w:left="0" w:right="0" w:firstLine="0"/>
              <w:jc w:val="center"/>
              <w:rPr>
                <w:rFonts w:ascii="Times New Roman" w:hAnsi="Times New Roman" w:cs="Times New Roman"/>
                <w:color w:val="auto"/>
              </w:rPr>
            </w:pPr>
          </w:p>
        </w:tc>
      </w:tr>
      <w:tr w:rsidR="00395E37" w:rsidRPr="004750F4" w14:paraId="53DD13C7"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4E4A09CC"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18.</w:t>
            </w:r>
          </w:p>
        </w:tc>
        <w:tc>
          <w:tcPr>
            <w:tcW w:w="2355" w:type="dxa"/>
            <w:tcBorders>
              <w:top w:val="single" w:sz="4" w:space="0" w:color="000000"/>
              <w:left w:val="single" w:sz="4" w:space="0" w:color="000000"/>
              <w:bottom w:val="single" w:sz="4" w:space="0" w:color="000000"/>
              <w:right w:val="single" w:sz="4" w:space="0" w:color="000000"/>
            </w:tcBorders>
          </w:tcPr>
          <w:p w14:paraId="0966BB84"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KUSTOŠIJA</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453479B7"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Ulica </w:t>
            </w:r>
            <w:r w:rsidR="00833C7D" w:rsidRPr="0032536A">
              <w:rPr>
                <w:rFonts w:ascii="Times New Roman" w:hAnsi="Times New Roman" w:cs="Times New Roman"/>
                <w:color w:val="auto"/>
              </w:rPr>
              <w:t xml:space="preserve">Stjepka Pasanca </w:t>
            </w:r>
            <w:r w:rsidRPr="0032536A">
              <w:rPr>
                <w:rFonts w:ascii="Times New Roman" w:hAnsi="Times New Roman" w:cs="Times New Roman"/>
                <w:color w:val="auto"/>
              </w:rPr>
              <w:t>5</w:t>
            </w:r>
          </w:p>
        </w:tc>
        <w:tc>
          <w:tcPr>
            <w:tcW w:w="1313" w:type="dxa"/>
            <w:tcBorders>
              <w:top w:val="single" w:sz="4" w:space="0" w:color="000000"/>
              <w:left w:val="single" w:sz="4" w:space="0" w:color="000000"/>
              <w:bottom w:val="single" w:sz="4" w:space="0" w:color="000000"/>
              <w:right w:val="single" w:sz="4" w:space="0" w:color="000000"/>
            </w:tcBorders>
          </w:tcPr>
          <w:p w14:paraId="092E3541"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336</w:t>
            </w:r>
          </w:p>
        </w:tc>
        <w:tc>
          <w:tcPr>
            <w:tcW w:w="1277" w:type="dxa"/>
            <w:tcBorders>
              <w:top w:val="single" w:sz="4" w:space="0" w:color="000000"/>
              <w:left w:val="single" w:sz="4" w:space="0" w:color="000000"/>
              <w:bottom w:val="single" w:sz="4" w:space="0" w:color="000000"/>
              <w:right w:val="single" w:sz="4" w:space="0" w:color="000000"/>
            </w:tcBorders>
          </w:tcPr>
          <w:p w14:paraId="4CBDB4F0"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350</w:t>
            </w:r>
          </w:p>
        </w:tc>
        <w:tc>
          <w:tcPr>
            <w:tcW w:w="1032" w:type="dxa"/>
            <w:tcBorders>
              <w:top w:val="single" w:sz="4" w:space="0" w:color="000000"/>
              <w:left w:val="single" w:sz="4" w:space="0" w:color="000000"/>
              <w:bottom w:val="single" w:sz="4" w:space="0" w:color="000000"/>
              <w:right w:val="single" w:sz="4" w:space="0" w:color="000000"/>
            </w:tcBorders>
          </w:tcPr>
          <w:p w14:paraId="24D3291D"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1972.</w:t>
            </w:r>
          </w:p>
        </w:tc>
      </w:tr>
      <w:tr w:rsidR="00395E37" w:rsidRPr="004750F4" w14:paraId="72594BF8"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634C95C1" w14:textId="77777777" w:rsidR="003F7A56" w:rsidRPr="0032536A" w:rsidRDefault="003F7A56" w:rsidP="00710CC5">
            <w:pPr>
              <w:spacing w:after="0" w:line="240" w:lineRule="auto"/>
              <w:ind w:left="0" w:right="0" w:firstLine="0"/>
              <w:jc w:val="left"/>
              <w:rPr>
                <w:rFonts w:ascii="Times New Roman" w:hAnsi="Times New Roman" w:cs="Times New Roman"/>
                <w:color w:val="auto"/>
              </w:rPr>
            </w:pPr>
          </w:p>
        </w:tc>
        <w:tc>
          <w:tcPr>
            <w:tcW w:w="2355" w:type="dxa"/>
            <w:tcBorders>
              <w:top w:val="single" w:sz="4" w:space="0" w:color="000000"/>
              <w:left w:val="single" w:sz="4" w:space="0" w:color="000000"/>
              <w:bottom w:val="single" w:sz="4" w:space="0" w:color="000000"/>
              <w:right w:val="single" w:sz="4" w:space="0" w:color="000000"/>
            </w:tcBorders>
          </w:tcPr>
          <w:p w14:paraId="0C19EC80"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Podružnica</w:t>
            </w:r>
          </w:p>
        </w:tc>
        <w:tc>
          <w:tcPr>
            <w:tcW w:w="2355" w:type="dxa"/>
            <w:tcBorders>
              <w:top w:val="single" w:sz="4" w:space="0" w:color="000000"/>
              <w:left w:val="single" w:sz="4" w:space="0" w:color="000000"/>
              <w:bottom w:val="single" w:sz="4" w:space="0" w:color="000000"/>
              <w:right w:val="single" w:sz="4" w:space="0" w:color="000000"/>
            </w:tcBorders>
          </w:tcPr>
          <w:p w14:paraId="5992A6BE"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Palinovečka 40 </w:t>
            </w:r>
          </w:p>
        </w:tc>
        <w:tc>
          <w:tcPr>
            <w:tcW w:w="1313" w:type="dxa"/>
            <w:tcBorders>
              <w:top w:val="single" w:sz="4" w:space="0" w:color="000000"/>
              <w:left w:val="single" w:sz="4" w:space="0" w:color="000000"/>
              <w:bottom w:val="single" w:sz="4" w:space="0" w:color="000000"/>
              <w:right w:val="single" w:sz="4" w:space="0" w:color="000000"/>
            </w:tcBorders>
          </w:tcPr>
          <w:p w14:paraId="6A13A25C"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331</w:t>
            </w:r>
          </w:p>
        </w:tc>
        <w:tc>
          <w:tcPr>
            <w:tcW w:w="1277" w:type="dxa"/>
            <w:tcBorders>
              <w:top w:val="single" w:sz="4" w:space="0" w:color="000000"/>
              <w:left w:val="single" w:sz="4" w:space="0" w:color="000000"/>
              <w:bottom w:val="single" w:sz="4" w:space="0" w:color="000000"/>
              <w:right w:val="single" w:sz="4" w:space="0" w:color="000000"/>
            </w:tcBorders>
          </w:tcPr>
          <w:p w14:paraId="0E488D60"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340</w:t>
            </w:r>
          </w:p>
        </w:tc>
        <w:tc>
          <w:tcPr>
            <w:tcW w:w="1032" w:type="dxa"/>
            <w:tcBorders>
              <w:top w:val="single" w:sz="4" w:space="0" w:color="000000"/>
              <w:left w:val="single" w:sz="4" w:space="0" w:color="000000"/>
              <w:bottom w:val="single" w:sz="4" w:space="0" w:color="000000"/>
              <w:right w:val="single" w:sz="4" w:space="0" w:color="000000"/>
            </w:tcBorders>
          </w:tcPr>
          <w:p w14:paraId="10644936" w14:textId="77777777" w:rsidR="003F7A56" w:rsidRPr="0032536A" w:rsidRDefault="003F7A56" w:rsidP="001D6E3A">
            <w:pPr>
              <w:spacing w:after="0" w:line="240" w:lineRule="auto"/>
              <w:ind w:left="0" w:right="0" w:firstLine="0"/>
              <w:jc w:val="center"/>
              <w:rPr>
                <w:rFonts w:ascii="Times New Roman" w:hAnsi="Times New Roman" w:cs="Times New Roman"/>
                <w:color w:val="auto"/>
              </w:rPr>
            </w:pPr>
          </w:p>
        </w:tc>
      </w:tr>
      <w:tr w:rsidR="00395E37" w:rsidRPr="004750F4" w14:paraId="57034382"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66C46180"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19.</w:t>
            </w:r>
          </w:p>
        </w:tc>
        <w:tc>
          <w:tcPr>
            <w:tcW w:w="2355" w:type="dxa"/>
            <w:tcBorders>
              <w:top w:val="single" w:sz="4" w:space="0" w:color="000000"/>
              <w:left w:val="single" w:sz="4" w:space="0" w:color="000000"/>
              <w:bottom w:val="single" w:sz="4" w:space="0" w:color="000000"/>
              <w:right w:val="single" w:sz="4" w:space="0" w:color="000000"/>
            </w:tcBorders>
          </w:tcPr>
          <w:p w14:paraId="16DD67CF"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LEPTIR</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46E430CA"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Ulica I. G.</w:t>
            </w:r>
            <w:r w:rsidR="00710CC5" w:rsidRPr="0032536A">
              <w:rPr>
                <w:rFonts w:ascii="Times New Roman" w:hAnsi="Times New Roman" w:cs="Times New Roman"/>
                <w:color w:val="auto"/>
              </w:rPr>
              <w:t xml:space="preserve"> </w:t>
            </w:r>
            <w:r w:rsidRPr="0032536A">
              <w:rPr>
                <w:rFonts w:ascii="Times New Roman" w:hAnsi="Times New Roman" w:cs="Times New Roman"/>
                <w:color w:val="auto"/>
              </w:rPr>
              <w:t xml:space="preserve">Kovačića 20 </w:t>
            </w:r>
          </w:p>
        </w:tc>
        <w:tc>
          <w:tcPr>
            <w:tcW w:w="1313" w:type="dxa"/>
            <w:tcBorders>
              <w:top w:val="single" w:sz="4" w:space="0" w:color="000000"/>
              <w:left w:val="single" w:sz="4" w:space="0" w:color="000000"/>
              <w:bottom w:val="single" w:sz="4" w:space="0" w:color="000000"/>
              <w:right w:val="single" w:sz="4" w:space="0" w:color="000000"/>
            </w:tcBorders>
          </w:tcPr>
          <w:p w14:paraId="3B307EE3"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550</w:t>
            </w:r>
          </w:p>
        </w:tc>
        <w:tc>
          <w:tcPr>
            <w:tcW w:w="1277" w:type="dxa"/>
            <w:tcBorders>
              <w:top w:val="single" w:sz="4" w:space="0" w:color="000000"/>
              <w:left w:val="single" w:sz="4" w:space="0" w:color="000000"/>
              <w:bottom w:val="single" w:sz="4" w:space="0" w:color="000000"/>
              <w:right w:val="single" w:sz="4" w:space="0" w:color="000000"/>
            </w:tcBorders>
          </w:tcPr>
          <w:p w14:paraId="4E80AB92"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600</w:t>
            </w:r>
          </w:p>
        </w:tc>
        <w:tc>
          <w:tcPr>
            <w:tcW w:w="1032" w:type="dxa"/>
            <w:tcBorders>
              <w:top w:val="single" w:sz="4" w:space="0" w:color="000000"/>
              <w:left w:val="single" w:sz="4" w:space="0" w:color="000000"/>
              <w:bottom w:val="single" w:sz="4" w:space="0" w:color="000000"/>
              <w:right w:val="single" w:sz="4" w:space="0" w:color="000000"/>
            </w:tcBorders>
          </w:tcPr>
          <w:p w14:paraId="3942E977"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1992.</w:t>
            </w:r>
          </w:p>
        </w:tc>
      </w:tr>
      <w:tr w:rsidR="00395E37" w:rsidRPr="004750F4" w14:paraId="143229FA"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3341C4CB"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20.</w:t>
            </w:r>
          </w:p>
        </w:tc>
        <w:tc>
          <w:tcPr>
            <w:tcW w:w="2355" w:type="dxa"/>
            <w:tcBorders>
              <w:top w:val="single" w:sz="4" w:space="0" w:color="000000"/>
              <w:left w:val="single" w:sz="4" w:space="0" w:color="000000"/>
              <w:bottom w:val="single" w:sz="4" w:space="0" w:color="000000"/>
              <w:right w:val="single" w:sz="4" w:space="0" w:color="000000"/>
            </w:tcBorders>
          </w:tcPr>
          <w:p w14:paraId="7D276F2B"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MAKSIMIR</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6CE0B323"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Aleja Antuna</w:t>
            </w:r>
            <w:r w:rsidR="00710CC5" w:rsidRPr="0032536A">
              <w:rPr>
                <w:rFonts w:ascii="Times New Roman" w:hAnsi="Times New Roman" w:cs="Times New Roman"/>
                <w:color w:val="auto"/>
              </w:rPr>
              <w:t xml:space="preserve"> </w:t>
            </w:r>
            <w:r w:rsidRPr="0032536A">
              <w:rPr>
                <w:rFonts w:ascii="Times New Roman" w:hAnsi="Times New Roman" w:cs="Times New Roman"/>
                <w:color w:val="auto"/>
              </w:rPr>
              <w:t xml:space="preserve">Augustinčića 4 </w:t>
            </w:r>
          </w:p>
        </w:tc>
        <w:tc>
          <w:tcPr>
            <w:tcW w:w="1313" w:type="dxa"/>
            <w:tcBorders>
              <w:top w:val="single" w:sz="4" w:space="0" w:color="000000"/>
              <w:left w:val="single" w:sz="4" w:space="0" w:color="000000"/>
              <w:bottom w:val="single" w:sz="4" w:space="0" w:color="000000"/>
              <w:right w:val="single" w:sz="4" w:space="0" w:color="000000"/>
            </w:tcBorders>
          </w:tcPr>
          <w:p w14:paraId="034542ED"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500</w:t>
            </w:r>
          </w:p>
        </w:tc>
        <w:tc>
          <w:tcPr>
            <w:tcW w:w="1277" w:type="dxa"/>
            <w:tcBorders>
              <w:top w:val="single" w:sz="4" w:space="0" w:color="000000"/>
              <w:left w:val="single" w:sz="4" w:space="0" w:color="000000"/>
              <w:bottom w:val="single" w:sz="4" w:space="0" w:color="000000"/>
              <w:right w:val="single" w:sz="4" w:space="0" w:color="000000"/>
            </w:tcBorders>
          </w:tcPr>
          <w:p w14:paraId="13251F4B"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500</w:t>
            </w:r>
          </w:p>
        </w:tc>
        <w:tc>
          <w:tcPr>
            <w:tcW w:w="1032" w:type="dxa"/>
            <w:tcBorders>
              <w:top w:val="single" w:sz="4" w:space="0" w:color="000000"/>
              <w:left w:val="single" w:sz="4" w:space="0" w:color="000000"/>
              <w:bottom w:val="single" w:sz="4" w:space="0" w:color="000000"/>
              <w:right w:val="single" w:sz="4" w:space="0" w:color="000000"/>
            </w:tcBorders>
          </w:tcPr>
          <w:p w14:paraId="122E45A3" w14:textId="77777777" w:rsidR="003F7A56" w:rsidRPr="0032536A" w:rsidRDefault="003F7A56" w:rsidP="001D6E3A">
            <w:pPr>
              <w:spacing w:after="0" w:line="240" w:lineRule="auto"/>
              <w:ind w:left="0" w:right="0" w:firstLine="0"/>
              <w:jc w:val="center"/>
              <w:rPr>
                <w:rFonts w:ascii="Times New Roman" w:hAnsi="Times New Roman" w:cs="Times New Roman"/>
                <w:color w:val="auto"/>
              </w:rPr>
            </w:pPr>
          </w:p>
        </w:tc>
      </w:tr>
      <w:tr w:rsidR="00395E37" w:rsidRPr="004750F4" w14:paraId="7D954CD8"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6381124B"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lastRenderedPageBreak/>
              <w:t>21.</w:t>
            </w:r>
          </w:p>
        </w:tc>
        <w:tc>
          <w:tcPr>
            <w:tcW w:w="2355" w:type="dxa"/>
            <w:tcBorders>
              <w:top w:val="single" w:sz="4" w:space="0" w:color="000000"/>
              <w:left w:val="single" w:sz="4" w:space="0" w:color="000000"/>
              <w:bottom w:val="single" w:sz="4" w:space="0" w:color="000000"/>
              <w:right w:val="single" w:sz="4" w:space="0" w:color="000000"/>
            </w:tcBorders>
          </w:tcPr>
          <w:p w14:paraId="69A7A31B"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MALEŠNICA</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5F29372C" w14:textId="77777777" w:rsidR="003F7A56" w:rsidRPr="0032536A" w:rsidRDefault="00833C7D"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hAnsi="Times New Roman" w:cs="Times New Roman"/>
                <w:color w:val="auto"/>
              </w:rPr>
              <w:t xml:space="preserve">A. T. Mimare 34, Zagreb </w:t>
            </w:r>
          </w:p>
        </w:tc>
        <w:tc>
          <w:tcPr>
            <w:tcW w:w="1313" w:type="dxa"/>
            <w:tcBorders>
              <w:top w:val="single" w:sz="4" w:space="0" w:color="000000"/>
              <w:left w:val="single" w:sz="4" w:space="0" w:color="000000"/>
              <w:bottom w:val="single" w:sz="4" w:space="0" w:color="000000"/>
              <w:right w:val="single" w:sz="4" w:space="0" w:color="000000"/>
            </w:tcBorders>
          </w:tcPr>
          <w:p w14:paraId="4B367032"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299</w:t>
            </w:r>
          </w:p>
        </w:tc>
        <w:tc>
          <w:tcPr>
            <w:tcW w:w="1277" w:type="dxa"/>
            <w:tcBorders>
              <w:top w:val="single" w:sz="4" w:space="0" w:color="000000"/>
              <w:left w:val="single" w:sz="4" w:space="0" w:color="000000"/>
              <w:bottom w:val="single" w:sz="4" w:space="0" w:color="000000"/>
              <w:right w:val="single" w:sz="4" w:space="0" w:color="000000"/>
            </w:tcBorders>
          </w:tcPr>
          <w:p w14:paraId="027B0682"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400</w:t>
            </w:r>
          </w:p>
        </w:tc>
        <w:tc>
          <w:tcPr>
            <w:tcW w:w="1032" w:type="dxa"/>
            <w:tcBorders>
              <w:top w:val="single" w:sz="4" w:space="0" w:color="000000"/>
              <w:left w:val="single" w:sz="4" w:space="0" w:color="000000"/>
              <w:bottom w:val="single" w:sz="4" w:space="0" w:color="000000"/>
              <w:right w:val="single" w:sz="4" w:space="0" w:color="000000"/>
            </w:tcBorders>
          </w:tcPr>
          <w:p w14:paraId="44B5629F"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1996.</w:t>
            </w:r>
          </w:p>
        </w:tc>
      </w:tr>
      <w:tr w:rsidR="00395E37" w:rsidRPr="004750F4" w14:paraId="17D98DFC"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63B1FE91" w14:textId="77777777" w:rsidR="003F7A56" w:rsidRPr="0032536A" w:rsidRDefault="003F7A56" w:rsidP="00710CC5">
            <w:pPr>
              <w:spacing w:after="0" w:line="240" w:lineRule="auto"/>
              <w:ind w:left="0" w:right="0" w:firstLine="0"/>
              <w:jc w:val="left"/>
              <w:rPr>
                <w:rFonts w:ascii="Times New Roman" w:hAnsi="Times New Roman" w:cs="Times New Roman"/>
                <w:color w:val="auto"/>
              </w:rPr>
            </w:pPr>
          </w:p>
        </w:tc>
        <w:tc>
          <w:tcPr>
            <w:tcW w:w="2355" w:type="dxa"/>
            <w:tcBorders>
              <w:top w:val="single" w:sz="4" w:space="0" w:color="000000"/>
              <w:left w:val="single" w:sz="4" w:space="0" w:color="000000"/>
              <w:bottom w:val="single" w:sz="4" w:space="0" w:color="000000"/>
              <w:right w:val="single" w:sz="4" w:space="0" w:color="000000"/>
            </w:tcBorders>
          </w:tcPr>
          <w:p w14:paraId="3E7FE382"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Podružnica</w:t>
            </w:r>
          </w:p>
        </w:tc>
        <w:tc>
          <w:tcPr>
            <w:tcW w:w="2355" w:type="dxa"/>
            <w:tcBorders>
              <w:top w:val="single" w:sz="4" w:space="0" w:color="000000"/>
              <w:left w:val="single" w:sz="4" w:space="0" w:color="000000"/>
              <w:bottom w:val="single" w:sz="4" w:space="0" w:color="000000"/>
              <w:right w:val="single" w:sz="4" w:space="0" w:color="000000"/>
            </w:tcBorders>
          </w:tcPr>
          <w:p w14:paraId="4B47BC1B" w14:textId="77777777" w:rsidR="003F7A56" w:rsidRPr="0032536A" w:rsidRDefault="00833C7D"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hAnsi="Times New Roman" w:cs="Times New Roman"/>
                <w:color w:val="auto"/>
              </w:rPr>
              <w:t xml:space="preserve">D. Cesarića 4, Zagreb </w:t>
            </w:r>
          </w:p>
        </w:tc>
        <w:tc>
          <w:tcPr>
            <w:tcW w:w="1313" w:type="dxa"/>
            <w:tcBorders>
              <w:top w:val="single" w:sz="4" w:space="0" w:color="000000"/>
              <w:left w:val="single" w:sz="4" w:space="0" w:color="000000"/>
              <w:bottom w:val="single" w:sz="4" w:space="0" w:color="000000"/>
              <w:right w:val="single" w:sz="4" w:space="0" w:color="000000"/>
            </w:tcBorders>
          </w:tcPr>
          <w:p w14:paraId="1A083566"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450</w:t>
            </w:r>
          </w:p>
        </w:tc>
        <w:tc>
          <w:tcPr>
            <w:tcW w:w="1277" w:type="dxa"/>
            <w:tcBorders>
              <w:top w:val="single" w:sz="4" w:space="0" w:color="000000"/>
              <w:left w:val="single" w:sz="4" w:space="0" w:color="000000"/>
              <w:bottom w:val="single" w:sz="4" w:space="0" w:color="000000"/>
              <w:right w:val="single" w:sz="4" w:space="0" w:color="000000"/>
            </w:tcBorders>
          </w:tcPr>
          <w:p w14:paraId="47F53883"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550</w:t>
            </w:r>
          </w:p>
        </w:tc>
        <w:tc>
          <w:tcPr>
            <w:tcW w:w="1032" w:type="dxa"/>
            <w:tcBorders>
              <w:top w:val="single" w:sz="4" w:space="0" w:color="000000"/>
              <w:left w:val="single" w:sz="4" w:space="0" w:color="000000"/>
              <w:bottom w:val="single" w:sz="4" w:space="0" w:color="000000"/>
              <w:right w:val="single" w:sz="4" w:space="0" w:color="000000"/>
            </w:tcBorders>
          </w:tcPr>
          <w:p w14:paraId="2585C4BF"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2005.</w:t>
            </w:r>
          </w:p>
        </w:tc>
      </w:tr>
      <w:tr w:rsidR="00395E37" w:rsidRPr="004750F4" w14:paraId="7A447002"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1028B1AD"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22.</w:t>
            </w:r>
          </w:p>
        </w:tc>
        <w:tc>
          <w:tcPr>
            <w:tcW w:w="2355" w:type="dxa"/>
            <w:tcBorders>
              <w:top w:val="single" w:sz="4" w:space="0" w:color="000000"/>
              <w:left w:val="single" w:sz="4" w:space="0" w:color="000000"/>
              <w:bottom w:val="single" w:sz="4" w:space="0" w:color="000000"/>
              <w:right w:val="single" w:sz="4" w:space="0" w:color="000000"/>
            </w:tcBorders>
          </w:tcPr>
          <w:p w14:paraId="0434E503"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MALI PRINC </w:t>
            </w:r>
          </w:p>
        </w:tc>
        <w:tc>
          <w:tcPr>
            <w:tcW w:w="2355" w:type="dxa"/>
            <w:tcBorders>
              <w:top w:val="single" w:sz="4" w:space="0" w:color="000000"/>
              <w:left w:val="single" w:sz="4" w:space="0" w:color="000000"/>
              <w:bottom w:val="single" w:sz="4" w:space="0" w:color="000000"/>
              <w:right w:val="single" w:sz="4" w:space="0" w:color="000000"/>
            </w:tcBorders>
          </w:tcPr>
          <w:p w14:paraId="7C42492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Lašćinska cesta 17 </w:t>
            </w:r>
          </w:p>
        </w:tc>
        <w:tc>
          <w:tcPr>
            <w:tcW w:w="1313" w:type="dxa"/>
            <w:tcBorders>
              <w:top w:val="single" w:sz="4" w:space="0" w:color="000000"/>
              <w:left w:val="single" w:sz="4" w:space="0" w:color="000000"/>
              <w:bottom w:val="single" w:sz="4" w:space="0" w:color="000000"/>
              <w:right w:val="single" w:sz="4" w:space="0" w:color="000000"/>
            </w:tcBorders>
          </w:tcPr>
          <w:p w14:paraId="15FE402E"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620</w:t>
            </w:r>
          </w:p>
        </w:tc>
        <w:tc>
          <w:tcPr>
            <w:tcW w:w="1277" w:type="dxa"/>
            <w:tcBorders>
              <w:top w:val="single" w:sz="4" w:space="0" w:color="000000"/>
              <w:left w:val="single" w:sz="4" w:space="0" w:color="000000"/>
              <w:bottom w:val="single" w:sz="4" w:space="0" w:color="000000"/>
              <w:right w:val="single" w:sz="4" w:space="0" w:color="000000"/>
            </w:tcBorders>
          </w:tcPr>
          <w:p w14:paraId="55F0EFDD"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700</w:t>
            </w:r>
          </w:p>
        </w:tc>
        <w:tc>
          <w:tcPr>
            <w:tcW w:w="1032" w:type="dxa"/>
            <w:tcBorders>
              <w:top w:val="single" w:sz="4" w:space="0" w:color="000000"/>
              <w:left w:val="single" w:sz="4" w:space="0" w:color="000000"/>
              <w:bottom w:val="single" w:sz="4" w:space="0" w:color="000000"/>
              <w:right w:val="single" w:sz="4" w:space="0" w:color="000000"/>
            </w:tcBorders>
          </w:tcPr>
          <w:p w14:paraId="172ED23F"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1938.</w:t>
            </w:r>
          </w:p>
        </w:tc>
      </w:tr>
      <w:tr w:rsidR="00395E37" w:rsidRPr="004750F4" w14:paraId="0D0D6AC1"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2E89F49D"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23.</w:t>
            </w:r>
          </w:p>
        </w:tc>
        <w:tc>
          <w:tcPr>
            <w:tcW w:w="2355" w:type="dxa"/>
            <w:tcBorders>
              <w:top w:val="single" w:sz="4" w:space="0" w:color="000000"/>
              <w:left w:val="single" w:sz="4" w:space="0" w:color="000000"/>
              <w:bottom w:val="single" w:sz="4" w:space="0" w:color="000000"/>
              <w:right w:val="single" w:sz="4" w:space="0" w:color="000000"/>
            </w:tcBorders>
          </w:tcPr>
          <w:p w14:paraId="7D79F67C"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MARKUŠEVEC </w:t>
            </w:r>
          </w:p>
        </w:tc>
        <w:tc>
          <w:tcPr>
            <w:tcW w:w="2355" w:type="dxa"/>
            <w:tcBorders>
              <w:top w:val="single" w:sz="4" w:space="0" w:color="000000"/>
              <w:left w:val="single" w:sz="4" w:space="0" w:color="000000"/>
              <w:bottom w:val="single" w:sz="4" w:space="0" w:color="000000"/>
              <w:right w:val="single" w:sz="4" w:space="0" w:color="000000"/>
            </w:tcBorders>
          </w:tcPr>
          <w:p w14:paraId="4AF1EFE1" w14:textId="77777777" w:rsidR="003F7A56" w:rsidRPr="0032536A" w:rsidRDefault="00833C7D"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hAnsi="Times New Roman" w:cs="Times New Roman"/>
                <w:color w:val="auto"/>
              </w:rPr>
              <w:t xml:space="preserve">V. Vidrića 12 </w:t>
            </w:r>
          </w:p>
        </w:tc>
        <w:tc>
          <w:tcPr>
            <w:tcW w:w="1313" w:type="dxa"/>
            <w:tcBorders>
              <w:top w:val="single" w:sz="4" w:space="0" w:color="000000"/>
              <w:left w:val="single" w:sz="4" w:space="0" w:color="000000"/>
              <w:bottom w:val="single" w:sz="4" w:space="0" w:color="000000"/>
              <w:right w:val="single" w:sz="4" w:space="0" w:color="000000"/>
            </w:tcBorders>
          </w:tcPr>
          <w:p w14:paraId="3E8C55E4"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616</w:t>
            </w:r>
          </w:p>
        </w:tc>
        <w:tc>
          <w:tcPr>
            <w:tcW w:w="1277" w:type="dxa"/>
            <w:tcBorders>
              <w:top w:val="single" w:sz="4" w:space="0" w:color="000000"/>
              <w:left w:val="single" w:sz="4" w:space="0" w:color="000000"/>
              <w:bottom w:val="single" w:sz="4" w:space="0" w:color="000000"/>
              <w:right w:val="single" w:sz="4" w:space="0" w:color="000000"/>
            </w:tcBorders>
          </w:tcPr>
          <w:p w14:paraId="28C7ECC9"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700</w:t>
            </w:r>
          </w:p>
        </w:tc>
        <w:tc>
          <w:tcPr>
            <w:tcW w:w="1032" w:type="dxa"/>
            <w:tcBorders>
              <w:top w:val="single" w:sz="4" w:space="0" w:color="000000"/>
              <w:left w:val="single" w:sz="4" w:space="0" w:color="000000"/>
              <w:bottom w:val="single" w:sz="4" w:space="0" w:color="000000"/>
              <w:right w:val="single" w:sz="4" w:space="0" w:color="000000"/>
            </w:tcBorders>
          </w:tcPr>
          <w:p w14:paraId="18D3B682"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2006.</w:t>
            </w:r>
          </w:p>
        </w:tc>
      </w:tr>
      <w:tr w:rsidR="00395E37" w:rsidRPr="004750F4" w14:paraId="4840E27C"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56C51334"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24.</w:t>
            </w:r>
          </w:p>
        </w:tc>
        <w:tc>
          <w:tcPr>
            <w:tcW w:w="2355" w:type="dxa"/>
            <w:tcBorders>
              <w:top w:val="single" w:sz="4" w:space="0" w:color="000000"/>
              <w:left w:val="single" w:sz="4" w:space="0" w:color="000000"/>
              <w:bottom w:val="single" w:sz="4" w:space="0" w:color="000000"/>
              <w:right w:val="single" w:sz="4" w:space="0" w:color="000000"/>
            </w:tcBorders>
          </w:tcPr>
          <w:p w14:paraId="617E885B"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 xml:space="preserve">MATIJA GUBEC </w:t>
            </w:r>
          </w:p>
        </w:tc>
        <w:tc>
          <w:tcPr>
            <w:tcW w:w="2355" w:type="dxa"/>
            <w:tcBorders>
              <w:top w:val="single" w:sz="4" w:space="0" w:color="000000"/>
              <w:left w:val="single" w:sz="4" w:space="0" w:color="000000"/>
              <w:bottom w:val="single" w:sz="4" w:space="0" w:color="000000"/>
              <w:right w:val="single" w:sz="4" w:space="0" w:color="000000"/>
            </w:tcBorders>
          </w:tcPr>
          <w:p w14:paraId="4E41FC6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Ulica braće Cvijića 18 </w:t>
            </w:r>
          </w:p>
        </w:tc>
        <w:tc>
          <w:tcPr>
            <w:tcW w:w="1313" w:type="dxa"/>
            <w:tcBorders>
              <w:top w:val="single" w:sz="4" w:space="0" w:color="000000"/>
              <w:left w:val="single" w:sz="4" w:space="0" w:color="000000"/>
              <w:bottom w:val="single" w:sz="4" w:space="0" w:color="000000"/>
              <w:right w:val="single" w:sz="4" w:space="0" w:color="000000"/>
            </w:tcBorders>
          </w:tcPr>
          <w:p w14:paraId="547DB49E"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420</w:t>
            </w:r>
          </w:p>
        </w:tc>
        <w:tc>
          <w:tcPr>
            <w:tcW w:w="1277" w:type="dxa"/>
            <w:tcBorders>
              <w:top w:val="single" w:sz="4" w:space="0" w:color="000000"/>
              <w:left w:val="single" w:sz="4" w:space="0" w:color="000000"/>
              <w:bottom w:val="single" w:sz="4" w:space="0" w:color="000000"/>
              <w:right w:val="single" w:sz="4" w:space="0" w:color="000000"/>
            </w:tcBorders>
          </w:tcPr>
          <w:p w14:paraId="7586F520"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500</w:t>
            </w:r>
          </w:p>
        </w:tc>
        <w:tc>
          <w:tcPr>
            <w:tcW w:w="1032" w:type="dxa"/>
            <w:tcBorders>
              <w:top w:val="single" w:sz="4" w:space="0" w:color="000000"/>
              <w:left w:val="single" w:sz="4" w:space="0" w:color="000000"/>
              <w:bottom w:val="single" w:sz="4" w:space="0" w:color="000000"/>
              <w:right w:val="single" w:sz="4" w:space="0" w:color="000000"/>
            </w:tcBorders>
          </w:tcPr>
          <w:p w14:paraId="5576C3C3"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1975.</w:t>
            </w:r>
          </w:p>
        </w:tc>
      </w:tr>
      <w:tr w:rsidR="00395E37" w:rsidRPr="004750F4" w14:paraId="6520096E"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7C3D964B"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25.</w:t>
            </w:r>
          </w:p>
        </w:tc>
        <w:tc>
          <w:tcPr>
            <w:tcW w:w="2355" w:type="dxa"/>
            <w:tcBorders>
              <w:top w:val="single" w:sz="4" w:space="0" w:color="000000"/>
              <w:left w:val="single" w:sz="4" w:space="0" w:color="000000"/>
              <w:bottom w:val="single" w:sz="4" w:space="0" w:color="000000"/>
              <w:right w:val="single" w:sz="4" w:space="0" w:color="000000"/>
            </w:tcBorders>
          </w:tcPr>
          <w:p w14:paraId="61BBC6FC"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 MEDO</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BRUNDO</w:t>
            </w:r>
            <w:r w:rsidR="00E40AC8" w:rsidRPr="0032536A">
              <w:rPr>
                <w:rFonts w:ascii="Times New Roman" w:hAnsi="Times New Roman" w:cs="Times New Roman"/>
                <w:color w:val="auto"/>
              </w:rPr>
              <w:t xml:space="preserve"> </w:t>
            </w:r>
          </w:p>
        </w:tc>
        <w:tc>
          <w:tcPr>
            <w:tcW w:w="2355" w:type="dxa"/>
            <w:tcBorders>
              <w:top w:val="single" w:sz="4" w:space="0" w:color="000000"/>
              <w:left w:val="single" w:sz="4" w:space="0" w:color="000000"/>
              <w:bottom w:val="single" w:sz="4" w:space="0" w:color="000000"/>
              <w:right w:val="single" w:sz="4" w:space="0" w:color="000000"/>
            </w:tcBorders>
          </w:tcPr>
          <w:p w14:paraId="7BCDA89B"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Dubrava 185 </w:t>
            </w:r>
          </w:p>
        </w:tc>
        <w:tc>
          <w:tcPr>
            <w:tcW w:w="1313" w:type="dxa"/>
            <w:tcBorders>
              <w:top w:val="single" w:sz="4" w:space="0" w:color="000000"/>
              <w:left w:val="single" w:sz="4" w:space="0" w:color="000000"/>
              <w:bottom w:val="single" w:sz="4" w:space="0" w:color="000000"/>
              <w:right w:val="single" w:sz="4" w:space="0" w:color="000000"/>
            </w:tcBorders>
          </w:tcPr>
          <w:p w14:paraId="1BCA3434"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450</w:t>
            </w:r>
          </w:p>
        </w:tc>
        <w:tc>
          <w:tcPr>
            <w:tcW w:w="1277" w:type="dxa"/>
            <w:tcBorders>
              <w:top w:val="single" w:sz="4" w:space="0" w:color="000000"/>
              <w:left w:val="single" w:sz="4" w:space="0" w:color="000000"/>
              <w:bottom w:val="single" w:sz="4" w:space="0" w:color="000000"/>
              <w:right w:val="single" w:sz="4" w:space="0" w:color="000000"/>
            </w:tcBorders>
          </w:tcPr>
          <w:p w14:paraId="374165F7"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450</w:t>
            </w:r>
          </w:p>
        </w:tc>
        <w:tc>
          <w:tcPr>
            <w:tcW w:w="1032" w:type="dxa"/>
            <w:tcBorders>
              <w:top w:val="single" w:sz="4" w:space="0" w:color="000000"/>
              <w:left w:val="single" w:sz="4" w:space="0" w:color="000000"/>
              <w:bottom w:val="single" w:sz="4" w:space="0" w:color="000000"/>
              <w:right w:val="single" w:sz="4" w:space="0" w:color="000000"/>
            </w:tcBorders>
          </w:tcPr>
          <w:p w14:paraId="62F17B9C"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2007.</w:t>
            </w:r>
          </w:p>
        </w:tc>
      </w:tr>
      <w:tr w:rsidR="00395E37" w:rsidRPr="004750F4" w14:paraId="23338365"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1916A12C"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26.</w:t>
            </w:r>
          </w:p>
        </w:tc>
        <w:tc>
          <w:tcPr>
            <w:tcW w:w="2355" w:type="dxa"/>
            <w:tcBorders>
              <w:top w:val="single" w:sz="4" w:space="0" w:color="000000"/>
              <w:left w:val="single" w:sz="4" w:space="0" w:color="000000"/>
              <w:bottom w:val="single" w:sz="4" w:space="0" w:color="000000"/>
              <w:right w:val="single" w:sz="4" w:space="0" w:color="000000"/>
            </w:tcBorders>
          </w:tcPr>
          <w:p w14:paraId="1431D128"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MEDVEŠČAK </w:t>
            </w:r>
          </w:p>
        </w:tc>
        <w:tc>
          <w:tcPr>
            <w:tcW w:w="2355" w:type="dxa"/>
            <w:tcBorders>
              <w:top w:val="single" w:sz="4" w:space="0" w:color="000000"/>
              <w:left w:val="single" w:sz="4" w:space="0" w:color="000000"/>
              <w:bottom w:val="single" w:sz="4" w:space="0" w:color="000000"/>
              <w:right w:val="single" w:sz="4" w:space="0" w:color="000000"/>
            </w:tcBorders>
          </w:tcPr>
          <w:p w14:paraId="56319989"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Voćarska cesta 69 </w:t>
            </w:r>
          </w:p>
        </w:tc>
        <w:tc>
          <w:tcPr>
            <w:tcW w:w="1313" w:type="dxa"/>
            <w:tcBorders>
              <w:top w:val="single" w:sz="4" w:space="0" w:color="000000"/>
              <w:left w:val="single" w:sz="4" w:space="0" w:color="000000"/>
              <w:bottom w:val="single" w:sz="4" w:space="0" w:color="000000"/>
              <w:right w:val="single" w:sz="4" w:space="0" w:color="000000"/>
            </w:tcBorders>
          </w:tcPr>
          <w:p w14:paraId="47DC0AD7"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366</w:t>
            </w:r>
          </w:p>
        </w:tc>
        <w:tc>
          <w:tcPr>
            <w:tcW w:w="1277" w:type="dxa"/>
            <w:tcBorders>
              <w:top w:val="single" w:sz="4" w:space="0" w:color="000000"/>
              <w:left w:val="single" w:sz="4" w:space="0" w:color="000000"/>
              <w:bottom w:val="single" w:sz="4" w:space="0" w:color="000000"/>
              <w:right w:val="single" w:sz="4" w:space="0" w:color="000000"/>
            </w:tcBorders>
          </w:tcPr>
          <w:p w14:paraId="5F98AD6D"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366</w:t>
            </w:r>
          </w:p>
        </w:tc>
        <w:tc>
          <w:tcPr>
            <w:tcW w:w="1032" w:type="dxa"/>
            <w:tcBorders>
              <w:top w:val="single" w:sz="4" w:space="0" w:color="000000"/>
              <w:left w:val="single" w:sz="4" w:space="0" w:color="000000"/>
              <w:bottom w:val="single" w:sz="4" w:space="0" w:color="000000"/>
              <w:right w:val="single" w:sz="4" w:space="0" w:color="000000"/>
            </w:tcBorders>
          </w:tcPr>
          <w:p w14:paraId="7F4207D5"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2006.</w:t>
            </w:r>
          </w:p>
        </w:tc>
      </w:tr>
      <w:tr w:rsidR="00395E37" w:rsidRPr="004750F4" w14:paraId="108B6FF9"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0A448DD7"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27.</w:t>
            </w:r>
          </w:p>
        </w:tc>
        <w:tc>
          <w:tcPr>
            <w:tcW w:w="2355" w:type="dxa"/>
            <w:tcBorders>
              <w:top w:val="single" w:sz="4" w:space="0" w:color="000000"/>
              <w:left w:val="single" w:sz="4" w:space="0" w:color="000000"/>
              <w:bottom w:val="single" w:sz="4" w:space="0" w:color="000000"/>
              <w:right w:val="single" w:sz="4" w:space="0" w:color="000000"/>
            </w:tcBorders>
          </w:tcPr>
          <w:p w14:paraId="030223E9" w14:textId="0CA0EF06"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 MILAN</w:t>
            </w:r>
            <w:r w:rsidR="003435D0">
              <w:rPr>
                <w:rFonts w:ascii="Times New Roman" w:hAnsi="Times New Roman" w:cs="Times New Roman"/>
                <w:color w:val="auto"/>
              </w:rPr>
              <w:t>A</w:t>
            </w:r>
            <w:r w:rsidRPr="0032536A">
              <w:rPr>
                <w:rFonts w:ascii="Times New Roman" w:hAnsi="Times New Roman" w:cs="Times New Roman"/>
                <w:color w:val="auto"/>
              </w:rPr>
              <w:t xml:space="preserve"> SACHS</w:t>
            </w:r>
            <w:r w:rsidR="003435D0">
              <w:rPr>
                <w:rFonts w:ascii="Times New Roman" w:hAnsi="Times New Roman" w:cs="Times New Roman"/>
                <w:color w:val="auto"/>
              </w:rPr>
              <w:t>A</w:t>
            </w:r>
            <w:r w:rsidRPr="0032536A">
              <w:rPr>
                <w:rFonts w:ascii="Times New Roman" w:hAnsi="Times New Roman" w:cs="Times New Roman"/>
                <w:color w:val="auto"/>
              </w:rPr>
              <w:t xml:space="preserve"> </w:t>
            </w:r>
          </w:p>
        </w:tc>
        <w:tc>
          <w:tcPr>
            <w:tcW w:w="2355" w:type="dxa"/>
            <w:tcBorders>
              <w:top w:val="single" w:sz="4" w:space="0" w:color="000000"/>
              <w:left w:val="single" w:sz="4" w:space="0" w:color="000000"/>
              <w:bottom w:val="single" w:sz="4" w:space="0" w:color="000000"/>
              <w:right w:val="single" w:sz="4" w:space="0" w:color="000000"/>
            </w:tcBorders>
          </w:tcPr>
          <w:p w14:paraId="04285AF8"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Sachsova ulica 5 </w:t>
            </w:r>
          </w:p>
        </w:tc>
        <w:tc>
          <w:tcPr>
            <w:tcW w:w="1313" w:type="dxa"/>
            <w:tcBorders>
              <w:top w:val="single" w:sz="4" w:space="0" w:color="000000"/>
              <w:left w:val="single" w:sz="4" w:space="0" w:color="000000"/>
              <w:bottom w:val="single" w:sz="4" w:space="0" w:color="000000"/>
              <w:right w:val="single" w:sz="4" w:space="0" w:color="000000"/>
            </w:tcBorders>
          </w:tcPr>
          <w:p w14:paraId="1B368DDA"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430</w:t>
            </w:r>
          </w:p>
        </w:tc>
        <w:tc>
          <w:tcPr>
            <w:tcW w:w="1277" w:type="dxa"/>
            <w:tcBorders>
              <w:top w:val="single" w:sz="4" w:space="0" w:color="000000"/>
              <w:left w:val="single" w:sz="4" w:space="0" w:color="000000"/>
              <w:bottom w:val="single" w:sz="4" w:space="0" w:color="000000"/>
              <w:right w:val="single" w:sz="4" w:space="0" w:color="000000"/>
            </w:tcBorders>
          </w:tcPr>
          <w:p w14:paraId="16EC9FAF"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500</w:t>
            </w:r>
          </w:p>
        </w:tc>
        <w:tc>
          <w:tcPr>
            <w:tcW w:w="1032" w:type="dxa"/>
            <w:tcBorders>
              <w:top w:val="single" w:sz="4" w:space="0" w:color="000000"/>
              <w:left w:val="single" w:sz="4" w:space="0" w:color="000000"/>
              <w:bottom w:val="single" w:sz="4" w:space="0" w:color="000000"/>
              <w:right w:val="single" w:sz="4" w:space="0" w:color="000000"/>
            </w:tcBorders>
          </w:tcPr>
          <w:p w14:paraId="0EB6A959" w14:textId="77777777" w:rsidR="003F7A56" w:rsidRPr="0032536A" w:rsidRDefault="003F7A56" w:rsidP="001D6E3A">
            <w:pPr>
              <w:spacing w:after="0" w:line="240" w:lineRule="auto"/>
              <w:ind w:left="0" w:right="0" w:firstLine="0"/>
              <w:jc w:val="center"/>
              <w:rPr>
                <w:rFonts w:ascii="Times New Roman" w:hAnsi="Times New Roman" w:cs="Times New Roman"/>
                <w:color w:val="auto"/>
              </w:rPr>
            </w:pPr>
          </w:p>
        </w:tc>
      </w:tr>
      <w:tr w:rsidR="00395E37" w:rsidRPr="004750F4" w14:paraId="19D58962"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50535ADE"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28.</w:t>
            </w:r>
          </w:p>
        </w:tc>
        <w:tc>
          <w:tcPr>
            <w:tcW w:w="2355" w:type="dxa"/>
            <w:tcBorders>
              <w:top w:val="single" w:sz="4" w:space="0" w:color="000000"/>
              <w:left w:val="single" w:sz="4" w:space="0" w:color="000000"/>
              <w:bottom w:val="single" w:sz="4" w:space="0" w:color="000000"/>
              <w:right w:val="single" w:sz="4" w:space="0" w:color="000000"/>
            </w:tcBorders>
          </w:tcPr>
          <w:p w14:paraId="28D1C9B5"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 PČELICA</w:t>
            </w:r>
            <w:r w:rsidR="00E40AC8" w:rsidRPr="0032536A">
              <w:rPr>
                <w:rFonts w:ascii="Times New Roman" w:hAnsi="Times New Roman" w:cs="Times New Roman"/>
                <w:color w:val="auto"/>
              </w:rPr>
              <w:t xml:space="preserve"> </w:t>
            </w:r>
          </w:p>
        </w:tc>
        <w:tc>
          <w:tcPr>
            <w:tcW w:w="2355" w:type="dxa"/>
            <w:tcBorders>
              <w:top w:val="single" w:sz="4" w:space="0" w:color="000000"/>
              <w:left w:val="single" w:sz="4" w:space="0" w:color="000000"/>
              <w:bottom w:val="single" w:sz="4" w:space="0" w:color="000000"/>
              <w:right w:val="single" w:sz="4" w:space="0" w:color="000000"/>
            </w:tcBorders>
          </w:tcPr>
          <w:p w14:paraId="1333F8D4"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Ulica Josipa</w:t>
            </w:r>
            <w:r w:rsidR="00710CC5" w:rsidRPr="0032536A">
              <w:rPr>
                <w:rFonts w:ascii="Times New Roman" w:hAnsi="Times New Roman" w:cs="Times New Roman"/>
                <w:color w:val="auto"/>
              </w:rPr>
              <w:t xml:space="preserve"> </w:t>
            </w:r>
            <w:r w:rsidRPr="0032536A">
              <w:rPr>
                <w:rFonts w:ascii="Times New Roman" w:hAnsi="Times New Roman" w:cs="Times New Roman"/>
                <w:color w:val="auto"/>
              </w:rPr>
              <w:t xml:space="preserve">Hamma 2 </w:t>
            </w:r>
          </w:p>
        </w:tc>
        <w:tc>
          <w:tcPr>
            <w:tcW w:w="1313" w:type="dxa"/>
            <w:tcBorders>
              <w:top w:val="single" w:sz="4" w:space="0" w:color="000000"/>
              <w:left w:val="single" w:sz="4" w:space="0" w:color="000000"/>
              <w:bottom w:val="single" w:sz="4" w:space="0" w:color="000000"/>
              <w:right w:val="single" w:sz="4" w:space="0" w:color="000000"/>
            </w:tcBorders>
          </w:tcPr>
          <w:p w14:paraId="4BDD88D9"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650</w:t>
            </w:r>
          </w:p>
        </w:tc>
        <w:tc>
          <w:tcPr>
            <w:tcW w:w="1277" w:type="dxa"/>
            <w:tcBorders>
              <w:top w:val="single" w:sz="4" w:space="0" w:color="000000"/>
              <w:left w:val="single" w:sz="4" w:space="0" w:color="000000"/>
              <w:bottom w:val="single" w:sz="4" w:space="0" w:color="000000"/>
              <w:right w:val="single" w:sz="4" w:space="0" w:color="000000"/>
            </w:tcBorders>
          </w:tcPr>
          <w:p w14:paraId="0CD7D0A4"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700</w:t>
            </w:r>
          </w:p>
        </w:tc>
        <w:tc>
          <w:tcPr>
            <w:tcW w:w="1032" w:type="dxa"/>
            <w:tcBorders>
              <w:top w:val="single" w:sz="4" w:space="0" w:color="000000"/>
              <w:left w:val="single" w:sz="4" w:space="0" w:color="000000"/>
              <w:bottom w:val="single" w:sz="4" w:space="0" w:color="000000"/>
              <w:right w:val="single" w:sz="4" w:space="0" w:color="000000"/>
            </w:tcBorders>
          </w:tcPr>
          <w:p w14:paraId="4E6BD4F5"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1972.</w:t>
            </w:r>
          </w:p>
        </w:tc>
      </w:tr>
      <w:tr w:rsidR="00395E37" w:rsidRPr="004750F4" w14:paraId="090891C4"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300427EE"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29.</w:t>
            </w:r>
          </w:p>
        </w:tc>
        <w:tc>
          <w:tcPr>
            <w:tcW w:w="2355" w:type="dxa"/>
            <w:tcBorders>
              <w:top w:val="single" w:sz="4" w:space="0" w:color="000000"/>
              <w:left w:val="single" w:sz="4" w:space="0" w:color="000000"/>
              <w:bottom w:val="single" w:sz="4" w:space="0" w:color="000000"/>
              <w:right w:val="single" w:sz="4" w:space="0" w:color="000000"/>
            </w:tcBorders>
          </w:tcPr>
          <w:p w14:paraId="2A7C9933"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PETAR PAN </w:t>
            </w:r>
          </w:p>
        </w:tc>
        <w:tc>
          <w:tcPr>
            <w:tcW w:w="2355" w:type="dxa"/>
            <w:tcBorders>
              <w:top w:val="single" w:sz="4" w:space="0" w:color="000000"/>
              <w:left w:val="single" w:sz="4" w:space="0" w:color="000000"/>
              <w:bottom w:val="single" w:sz="4" w:space="0" w:color="000000"/>
              <w:right w:val="single" w:sz="4" w:space="0" w:color="000000"/>
            </w:tcBorders>
          </w:tcPr>
          <w:p w14:paraId="090DF4C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Španovićeva ulica 18 </w:t>
            </w:r>
          </w:p>
        </w:tc>
        <w:tc>
          <w:tcPr>
            <w:tcW w:w="1313" w:type="dxa"/>
            <w:tcBorders>
              <w:top w:val="single" w:sz="4" w:space="0" w:color="000000"/>
              <w:left w:val="single" w:sz="4" w:space="0" w:color="000000"/>
              <w:bottom w:val="single" w:sz="4" w:space="0" w:color="000000"/>
              <w:right w:val="single" w:sz="4" w:space="0" w:color="000000"/>
            </w:tcBorders>
          </w:tcPr>
          <w:p w14:paraId="77750395"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420</w:t>
            </w:r>
          </w:p>
        </w:tc>
        <w:tc>
          <w:tcPr>
            <w:tcW w:w="1277" w:type="dxa"/>
            <w:tcBorders>
              <w:top w:val="single" w:sz="4" w:space="0" w:color="000000"/>
              <w:left w:val="single" w:sz="4" w:space="0" w:color="000000"/>
              <w:bottom w:val="single" w:sz="4" w:space="0" w:color="000000"/>
              <w:right w:val="single" w:sz="4" w:space="0" w:color="000000"/>
            </w:tcBorders>
          </w:tcPr>
          <w:p w14:paraId="5F176449"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504</w:t>
            </w:r>
          </w:p>
        </w:tc>
        <w:tc>
          <w:tcPr>
            <w:tcW w:w="1032" w:type="dxa"/>
            <w:tcBorders>
              <w:top w:val="single" w:sz="4" w:space="0" w:color="000000"/>
              <w:left w:val="single" w:sz="4" w:space="0" w:color="000000"/>
              <w:bottom w:val="single" w:sz="4" w:space="0" w:color="000000"/>
              <w:right w:val="single" w:sz="4" w:space="0" w:color="000000"/>
            </w:tcBorders>
          </w:tcPr>
          <w:p w14:paraId="1F6F39C9"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1977.</w:t>
            </w:r>
          </w:p>
        </w:tc>
      </w:tr>
      <w:tr w:rsidR="00395E37" w:rsidRPr="004750F4" w14:paraId="7B570649"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28CCB318"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30.</w:t>
            </w:r>
          </w:p>
        </w:tc>
        <w:tc>
          <w:tcPr>
            <w:tcW w:w="2355" w:type="dxa"/>
            <w:tcBorders>
              <w:top w:val="single" w:sz="4" w:space="0" w:color="000000"/>
              <w:left w:val="single" w:sz="4" w:space="0" w:color="000000"/>
              <w:bottom w:val="single" w:sz="4" w:space="0" w:color="000000"/>
              <w:right w:val="single" w:sz="4" w:space="0" w:color="000000"/>
            </w:tcBorders>
          </w:tcPr>
          <w:p w14:paraId="4FFF5D9C"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POLETARAC </w:t>
            </w:r>
          </w:p>
        </w:tc>
        <w:tc>
          <w:tcPr>
            <w:tcW w:w="2355" w:type="dxa"/>
            <w:tcBorders>
              <w:top w:val="single" w:sz="4" w:space="0" w:color="000000"/>
              <w:left w:val="single" w:sz="4" w:space="0" w:color="000000"/>
              <w:bottom w:val="single" w:sz="4" w:space="0" w:color="000000"/>
              <w:right w:val="single" w:sz="4" w:space="0" w:color="000000"/>
            </w:tcBorders>
          </w:tcPr>
          <w:p w14:paraId="12B704D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Ulica Vile Velebita 18 </w:t>
            </w:r>
          </w:p>
        </w:tc>
        <w:tc>
          <w:tcPr>
            <w:tcW w:w="1313" w:type="dxa"/>
            <w:tcBorders>
              <w:top w:val="single" w:sz="4" w:space="0" w:color="000000"/>
              <w:left w:val="single" w:sz="4" w:space="0" w:color="000000"/>
              <w:bottom w:val="single" w:sz="4" w:space="0" w:color="000000"/>
              <w:right w:val="single" w:sz="4" w:space="0" w:color="000000"/>
            </w:tcBorders>
          </w:tcPr>
          <w:p w14:paraId="124247F0"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450</w:t>
            </w:r>
          </w:p>
        </w:tc>
        <w:tc>
          <w:tcPr>
            <w:tcW w:w="1277" w:type="dxa"/>
            <w:tcBorders>
              <w:top w:val="single" w:sz="4" w:space="0" w:color="000000"/>
              <w:left w:val="single" w:sz="4" w:space="0" w:color="000000"/>
              <w:bottom w:val="single" w:sz="4" w:space="0" w:color="000000"/>
              <w:right w:val="single" w:sz="4" w:space="0" w:color="000000"/>
            </w:tcBorders>
          </w:tcPr>
          <w:p w14:paraId="13CE77C4"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450</w:t>
            </w:r>
          </w:p>
        </w:tc>
        <w:tc>
          <w:tcPr>
            <w:tcW w:w="1032" w:type="dxa"/>
            <w:tcBorders>
              <w:top w:val="single" w:sz="4" w:space="0" w:color="000000"/>
              <w:left w:val="single" w:sz="4" w:space="0" w:color="000000"/>
              <w:bottom w:val="single" w:sz="4" w:space="0" w:color="000000"/>
              <w:right w:val="single" w:sz="4" w:space="0" w:color="000000"/>
            </w:tcBorders>
          </w:tcPr>
          <w:p w14:paraId="72D548CE"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1965.</w:t>
            </w:r>
          </w:p>
        </w:tc>
      </w:tr>
      <w:tr w:rsidR="00395E37" w:rsidRPr="004750F4" w14:paraId="471E1921"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54991DAC"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31.</w:t>
            </w:r>
          </w:p>
        </w:tc>
        <w:tc>
          <w:tcPr>
            <w:tcW w:w="2355" w:type="dxa"/>
            <w:tcBorders>
              <w:top w:val="single" w:sz="4" w:space="0" w:color="000000"/>
              <w:left w:val="single" w:sz="4" w:space="0" w:color="000000"/>
              <w:bottom w:val="single" w:sz="4" w:space="0" w:color="000000"/>
              <w:right w:val="single" w:sz="4" w:space="0" w:color="000000"/>
            </w:tcBorders>
          </w:tcPr>
          <w:p w14:paraId="111432C4"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 POTOČNICA</w:t>
            </w:r>
            <w:r w:rsidR="00E40AC8" w:rsidRPr="0032536A">
              <w:rPr>
                <w:rFonts w:ascii="Times New Roman" w:hAnsi="Times New Roman" w:cs="Times New Roman"/>
                <w:color w:val="auto"/>
              </w:rPr>
              <w:t xml:space="preserve"> </w:t>
            </w:r>
          </w:p>
        </w:tc>
        <w:tc>
          <w:tcPr>
            <w:tcW w:w="2355" w:type="dxa"/>
            <w:tcBorders>
              <w:top w:val="single" w:sz="4" w:space="0" w:color="000000"/>
              <w:left w:val="single" w:sz="4" w:space="0" w:color="000000"/>
              <w:bottom w:val="single" w:sz="4" w:space="0" w:color="000000"/>
              <w:right w:val="single" w:sz="4" w:space="0" w:color="000000"/>
            </w:tcBorders>
          </w:tcPr>
          <w:p w14:paraId="4EEC5687"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Ulica grada</w:t>
            </w:r>
            <w:r w:rsidR="00710CC5" w:rsidRPr="0032536A">
              <w:rPr>
                <w:rFonts w:ascii="Times New Roman" w:hAnsi="Times New Roman" w:cs="Times New Roman"/>
                <w:color w:val="auto"/>
              </w:rPr>
              <w:t xml:space="preserve"> </w:t>
            </w:r>
            <w:r w:rsidRPr="0032536A">
              <w:rPr>
                <w:rFonts w:ascii="Times New Roman" w:hAnsi="Times New Roman" w:cs="Times New Roman"/>
                <w:color w:val="auto"/>
              </w:rPr>
              <w:t xml:space="preserve">Vukovara 18A </w:t>
            </w:r>
          </w:p>
        </w:tc>
        <w:tc>
          <w:tcPr>
            <w:tcW w:w="1313" w:type="dxa"/>
            <w:tcBorders>
              <w:top w:val="single" w:sz="4" w:space="0" w:color="000000"/>
              <w:left w:val="single" w:sz="4" w:space="0" w:color="000000"/>
              <w:bottom w:val="single" w:sz="4" w:space="0" w:color="000000"/>
              <w:right w:val="single" w:sz="4" w:space="0" w:color="000000"/>
            </w:tcBorders>
          </w:tcPr>
          <w:p w14:paraId="5BC06444"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400</w:t>
            </w:r>
          </w:p>
        </w:tc>
        <w:tc>
          <w:tcPr>
            <w:tcW w:w="1277" w:type="dxa"/>
            <w:tcBorders>
              <w:top w:val="single" w:sz="4" w:space="0" w:color="000000"/>
              <w:left w:val="single" w:sz="4" w:space="0" w:color="000000"/>
              <w:bottom w:val="single" w:sz="4" w:space="0" w:color="000000"/>
              <w:right w:val="single" w:sz="4" w:space="0" w:color="000000"/>
            </w:tcBorders>
          </w:tcPr>
          <w:p w14:paraId="7ED35BC4"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400</w:t>
            </w:r>
          </w:p>
        </w:tc>
        <w:tc>
          <w:tcPr>
            <w:tcW w:w="1032" w:type="dxa"/>
            <w:tcBorders>
              <w:top w:val="single" w:sz="4" w:space="0" w:color="000000"/>
              <w:left w:val="single" w:sz="4" w:space="0" w:color="000000"/>
              <w:bottom w:val="single" w:sz="4" w:space="0" w:color="000000"/>
              <w:right w:val="single" w:sz="4" w:space="0" w:color="000000"/>
            </w:tcBorders>
          </w:tcPr>
          <w:p w14:paraId="0D7470F5"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1965.</w:t>
            </w:r>
          </w:p>
        </w:tc>
      </w:tr>
      <w:tr w:rsidR="00395E37" w:rsidRPr="004750F4" w14:paraId="22FA25F5"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68B6F4AE"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32.</w:t>
            </w:r>
          </w:p>
        </w:tc>
        <w:tc>
          <w:tcPr>
            <w:tcW w:w="2355" w:type="dxa"/>
            <w:tcBorders>
              <w:top w:val="single" w:sz="4" w:space="0" w:color="000000"/>
              <w:left w:val="single" w:sz="4" w:space="0" w:color="000000"/>
              <w:bottom w:val="single" w:sz="4" w:space="0" w:color="000000"/>
              <w:right w:val="single" w:sz="4" w:space="0" w:color="000000"/>
            </w:tcBorders>
          </w:tcPr>
          <w:p w14:paraId="4DD5B46A"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PREČKO </w:t>
            </w:r>
          </w:p>
        </w:tc>
        <w:tc>
          <w:tcPr>
            <w:tcW w:w="2355" w:type="dxa"/>
            <w:tcBorders>
              <w:top w:val="single" w:sz="4" w:space="0" w:color="000000"/>
              <w:left w:val="single" w:sz="4" w:space="0" w:color="000000"/>
              <w:bottom w:val="single" w:sz="4" w:space="0" w:color="000000"/>
              <w:right w:val="single" w:sz="4" w:space="0" w:color="000000"/>
            </w:tcBorders>
          </w:tcPr>
          <w:p w14:paraId="1A77345B"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Ulica Marijane</w:t>
            </w:r>
            <w:r w:rsidR="00710CC5" w:rsidRPr="0032536A">
              <w:rPr>
                <w:rFonts w:ascii="Times New Roman" w:hAnsi="Times New Roman" w:cs="Times New Roman"/>
                <w:color w:val="auto"/>
              </w:rPr>
              <w:t xml:space="preserve"> </w:t>
            </w:r>
            <w:r w:rsidRPr="0032536A">
              <w:rPr>
                <w:rFonts w:ascii="Times New Roman" w:hAnsi="Times New Roman" w:cs="Times New Roman"/>
                <w:color w:val="auto"/>
              </w:rPr>
              <w:t xml:space="preserve">Radev 1 </w:t>
            </w:r>
          </w:p>
        </w:tc>
        <w:tc>
          <w:tcPr>
            <w:tcW w:w="1313" w:type="dxa"/>
            <w:tcBorders>
              <w:top w:val="single" w:sz="4" w:space="0" w:color="000000"/>
              <w:left w:val="single" w:sz="4" w:space="0" w:color="000000"/>
              <w:bottom w:val="single" w:sz="4" w:space="0" w:color="000000"/>
              <w:right w:val="single" w:sz="4" w:space="0" w:color="000000"/>
            </w:tcBorders>
          </w:tcPr>
          <w:p w14:paraId="6A204579"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700</w:t>
            </w:r>
          </w:p>
        </w:tc>
        <w:tc>
          <w:tcPr>
            <w:tcW w:w="1277" w:type="dxa"/>
            <w:tcBorders>
              <w:top w:val="single" w:sz="4" w:space="0" w:color="000000"/>
              <w:left w:val="single" w:sz="4" w:space="0" w:color="000000"/>
              <w:bottom w:val="single" w:sz="4" w:space="0" w:color="000000"/>
              <w:right w:val="single" w:sz="4" w:space="0" w:color="000000"/>
            </w:tcBorders>
          </w:tcPr>
          <w:p w14:paraId="7316188F"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800</w:t>
            </w:r>
          </w:p>
        </w:tc>
        <w:tc>
          <w:tcPr>
            <w:tcW w:w="1032" w:type="dxa"/>
            <w:tcBorders>
              <w:top w:val="single" w:sz="4" w:space="0" w:color="000000"/>
              <w:left w:val="single" w:sz="4" w:space="0" w:color="000000"/>
              <w:bottom w:val="single" w:sz="4" w:space="0" w:color="000000"/>
              <w:right w:val="single" w:sz="4" w:space="0" w:color="000000"/>
            </w:tcBorders>
          </w:tcPr>
          <w:p w14:paraId="31B90B7A"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1974.</w:t>
            </w:r>
          </w:p>
        </w:tc>
      </w:tr>
      <w:tr w:rsidR="00395E37" w:rsidRPr="004750F4" w14:paraId="5C2EBB80"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718EEB49"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33.</w:t>
            </w:r>
          </w:p>
        </w:tc>
        <w:tc>
          <w:tcPr>
            <w:tcW w:w="2355" w:type="dxa"/>
            <w:tcBorders>
              <w:top w:val="single" w:sz="4" w:space="0" w:color="000000"/>
              <w:left w:val="single" w:sz="4" w:space="0" w:color="000000"/>
              <w:bottom w:val="single" w:sz="4" w:space="0" w:color="000000"/>
              <w:right w:val="single" w:sz="4" w:space="0" w:color="000000"/>
            </w:tcBorders>
          </w:tcPr>
          <w:p w14:paraId="12E55412"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RADOST </w:t>
            </w:r>
          </w:p>
        </w:tc>
        <w:tc>
          <w:tcPr>
            <w:tcW w:w="2355" w:type="dxa"/>
            <w:tcBorders>
              <w:top w:val="single" w:sz="4" w:space="0" w:color="000000"/>
              <w:left w:val="single" w:sz="4" w:space="0" w:color="000000"/>
              <w:bottom w:val="single" w:sz="4" w:space="0" w:color="000000"/>
              <w:right w:val="single" w:sz="4" w:space="0" w:color="000000"/>
            </w:tcBorders>
          </w:tcPr>
          <w:p w14:paraId="02D6F675"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Ljubijska ulica 79A </w:t>
            </w:r>
          </w:p>
        </w:tc>
        <w:tc>
          <w:tcPr>
            <w:tcW w:w="1313" w:type="dxa"/>
            <w:tcBorders>
              <w:top w:val="single" w:sz="4" w:space="0" w:color="000000"/>
              <w:left w:val="single" w:sz="4" w:space="0" w:color="000000"/>
              <w:bottom w:val="single" w:sz="4" w:space="0" w:color="000000"/>
              <w:right w:val="single" w:sz="4" w:space="0" w:color="000000"/>
            </w:tcBorders>
          </w:tcPr>
          <w:p w14:paraId="0BB997A9"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610</w:t>
            </w:r>
          </w:p>
        </w:tc>
        <w:tc>
          <w:tcPr>
            <w:tcW w:w="1277" w:type="dxa"/>
            <w:tcBorders>
              <w:top w:val="single" w:sz="4" w:space="0" w:color="000000"/>
              <w:left w:val="single" w:sz="4" w:space="0" w:color="000000"/>
              <w:bottom w:val="single" w:sz="4" w:space="0" w:color="000000"/>
              <w:right w:val="single" w:sz="4" w:space="0" w:color="000000"/>
            </w:tcBorders>
          </w:tcPr>
          <w:p w14:paraId="69FBE7DD"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700</w:t>
            </w:r>
          </w:p>
        </w:tc>
        <w:tc>
          <w:tcPr>
            <w:tcW w:w="1032" w:type="dxa"/>
            <w:tcBorders>
              <w:top w:val="single" w:sz="4" w:space="0" w:color="000000"/>
              <w:left w:val="single" w:sz="4" w:space="0" w:color="000000"/>
              <w:bottom w:val="single" w:sz="4" w:space="0" w:color="000000"/>
              <w:right w:val="single" w:sz="4" w:space="0" w:color="000000"/>
            </w:tcBorders>
          </w:tcPr>
          <w:p w14:paraId="7FFB0654"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1977.</w:t>
            </w:r>
          </w:p>
        </w:tc>
      </w:tr>
      <w:tr w:rsidR="00395E37" w:rsidRPr="004750F4" w14:paraId="1BF302F6"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07DC086D"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34.</w:t>
            </w:r>
          </w:p>
        </w:tc>
        <w:tc>
          <w:tcPr>
            <w:tcW w:w="2355" w:type="dxa"/>
            <w:tcBorders>
              <w:top w:val="single" w:sz="4" w:space="0" w:color="000000"/>
              <w:left w:val="single" w:sz="4" w:space="0" w:color="000000"/>
              <w:bottom w:val="single" w:sz="4" w:space="0" w:color="000000"/>
              <w:right w:val="single" w:sz="4" w:space="0" w:color="000000"/>
            </w:tcBorders>
          </w:tcPr>
          <w:p w14:paraId="1F3BF8CB"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RAZLIČAK </w:t>
            </w:r>
          </w:p>
        </w:tc>
        <w:tc>
          <w:tcPr>
            <w:tcW w:w="2355" w:type="dxa"/>
            <w:tcBorders>
              <w:top w:val="single" w:sz="4" w:space="0" w:color="000000"/>
              <w:left w:val="single" w:sz="4" w:space="0" w:color="000000"/>
              <w:bottom w:val="single" w:sz="4" w:space="0" w:color="000000"/>
              <w:right w:val="single" w:sz="4" w:space="0" w:color="000000"/>
            </w:tcBorders>
          </w:tcPr>
          <w:p w14:paraId="5AC44A41"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Wellerov vrt 1 </w:t>
            </w:r>
          </w:p>
        </w:tc>
        <w:tc>
          <w:tcPr>
            <w:tcW w:w="1313" w:type="dxa"/>
            <w:tcBorders>
              <w:top w:val="single" w:sz="4" w:space="0" w:color="000000"/>
              <w:left w:val="single" w:sz="4" w:space="0" w:color="000000"/>
              <w:bottom w:val="single" w:sz="4" w:space="0" w:color="000000"/>
              <w:right w:val="single" w:sz="4" w:space="0" w:color="000000"/>
            </w:tcBorders>
          </w:tcPr>
          <w:p w14:paraId="37617688"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500</w:t>
            </w:r>
          </w:p>
        </w:tc>
        <w:tc>
          <w:tcPr>
            <w:tcW w:w="1277" w:type="dxa"/>
            <w:tcBorders>
              <w:top w:val="single" w:sz="4" w:space="0" w:color="000000"/>
              <w:left w:val="single" w:sz="4" w:space="0" w:color="000000"/>
              <w:bottom w:val="single" w:sz="4" w:space="0" w:color="000000"/>
              <w:right w:val="single" w:sz="4" w:space="0" w:color="000000"/>
            </w:tcBorders>
          </w:tcPr>
          <w:p w14:paraId="310D0DDB"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550</w:t>
            </w:r>
          </w:p>
        </w:tc>
        <w:tc>
          <w:tcPr>
            <w:tcW w:w="1032" w:type="dxa"/>
            <w:tcBorders>
              <w:top w:val="single" w:sz="4" w:space="0" w:color="000000"/>
              <w:left w:val="single" w:sz="4" w:space="0" w:color="000000"/>
              <w:bottom w:val="single" w:sz="4" w:space="0" w:color="000000"/>
              <w:right w:val="single" w:sz="4" w:space="0" w:color="000000"/>
            </w:tcBorders>
          </w:tcPr>
          <w:p w14:paraId="5CD96B37" w14:textId="77777777" w:rsidR="003F7A56" w:rsidRPr="0032536A" w:rsidRDefault="003F7A56" w:rsidP="001D6E3A">
            <w:pPr>
              <w:spacing w:after="0" w:line="240" w:lineRule="auto"/>
              <w:ind w:left="0" w:right="0" w:firstLine="0"/>
              <w:jc w:val="center"/>
              <w:rPr>
                <w:rFonts w:ascii="Times New Roman" w:hAnsi="Times New Roman" w:cs="Times New Roman"/>
                <w:color w:val="auto"/>
              </w:rPr>
            </w:pPr>
          </w:p>
        </w:tc>
      </w:tr>
      <w:tr w:rsidR="00395E37" w:rsidRPr="004750F4" w14:paraId="29F4A82D"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54C55302"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35.</w:t>
            </w:r>
          </w:p>
        </w:tc>
        <w:tc>
          <w:tcPr>
            <w:tcW w:w="2355" w:type="dxa"/>
            <w:tcBorders>
              <w:top w:val="single" w:sz="4" w:space="0" w:color="000000"/>
              <w:left w:val="single" w:sz="4" w:space="0" w:color="000000"/>
              <w:bottom w:val="single" w:sz="4" w:space="0" w:color="000000"/>
              <w:right w:val="single" w:sz="4" w:space="0" w:color="000000"/>
            </w:tcBorders>
          </w:tcPr>
          <w:p w14:paraId="310E640C"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REMETINEC </w:t>
            </w:r>
          </w:p>
        </w:tc>
        <w:tc>
          <w:tcPr>
            <w:tcW w:w="2355" w:type="dxa"/>
            <w:tcBorders>
              <w:top w:val="single" w:sz="4" w:space="0" w:color="000000"/>
              <w:left w:val="single" w:sz="4" w:space="0" w:color="000000"/>
              <w:bottom w:val="single" w:sz="4" w:space="0" w:color="000000"/>
              <w:right w:val="single" w:sz="4" w:space="0" w:color="000000"/>
            </w:tcBorders>
          </w:tcPr>
          <w:p w14:paraId="1020DE8E"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Lanište 1d </w:t>
            </w:r>
          </w:p>
        </w:tc>
        <w:tc>
          <w:tcPr>
            <w:tcW w:w="1313" w:type="dxa"/>
            <w:tcBorders>
              <w:top w:val="single" w:sz="4" w:space="0" w:color="000000"/>
              <w:left w:val="single" w:sz="4" w:space="0" w:color="000000"/>
              <w:bottom w:val="single" w:sz="4" w:space="0" w:color="000000"/>
              <w:right w:val="single" w:sz="4" w:space="0" w:color="000000"/>
            </w:tcBorders>
          </w:tcPr>
          <w:p w14:paraId="580697EB"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610</w:t>
            </w:r>
          </w:p>
        </w:tc>
        <w:tc>
          <w:tcPr>
            <w:tcW w:w="1277" w:type="dxa"/>
            <w:tcBorders>
              <w:top w:val="single" w:sz="4" w:space="0" w:color="000000"/>
              <w:left w:val="single" w:sz="4" w:space="0" w:color="000000"/>
              <w:bottom w:val="single" w:sz="4" w:space="0" w:color="000000"/>
              <w:right w:val="single" w:sz="4" w:space="0" w:color="000000"/>
            </w:tcBorders>
          </w:tcPr>
          <w:p w14:paraId="0FFF0444"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560</w:t>
            </w:r>
          </w:p>
        </w:tc>
        <w:tc>
          <w:tcPr>
            <w:tcW w:w="1032" w:type="dxa"/>
            <w:tcBorders>
              <w:top w:val="single" w:sz="4" w:space="0" w:color="000000"/>
              <w:left w:val="single" w:sz="4" w:space="0" w:color="000000"/>
              <w:bottom w:val="single" w:sz="4" w:space="0" w:color="000000"/>
              <w:right w:val="single" w:sz="4" w:space="0" w:color="000000"/>
            </w:tcBorders>
          </w:tcPr>
          <w:p w14:paraId="45535BC7"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2008.</w:t>
            </w:r>
          </w:p>
        </w:tc>
      </w:tr>
      <w:tr w:rsidR="00395E37" w:rsidRPr="004750F4" w14:paraId="01D4D34E"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29E499BF"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36.</w:t>
            </w:r>
          </w:p>
        </w:tc>
        <w:tc>
          <w:tcPr>
            <w:tcW w:w="2355" w:type="dxa"/>
            <w:tcBorders>
              <w:top w:val="single" w:sz="4" w:space="0" w:color="000000"/>
              <w:left w:val="single" w:sz="4" w:space="0" w:color="000000"/>
              <w:bottom w:val="single" w:sz="4" w:space="0" w:color="000000"/>
              <w:right w:val="single" w:sz="4" w:space="0" w:color="000000"/>
            </w:tcBorders>
          </w:tcPr>
          <w:p w14:paraId="41EAEE3B"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 SAVICA</w:t>
            </w:r>
            <w:r w:rsidR="00E40AC8" w:rsidRPr="0032536A">
              <w:rPr>
                <w:rFonts w:ascii="Times New Roman" w:hAnsi="Times New Roman" w:cs="Times New Roman"/>
                <w:color w:val="auto"/>
              </w:rPr>
              <w:t xml:space="preserve"> </w:t>
            </w:r>
          </w:p>
        </w:tc>
        <w:tc>
          <w:tcPr>
            <w:tcW w:w="2355" w:type="dxa"/>
            <w:tcBorders>
              <w:top w:val="single" w:sz="4" w:space="0" w:color="000000"/>
              <w:left w:val="single" w:sz="4" w:space="0" w:color="000000"/>
              <w:bottom w:val="single" w:sz="4" w:space="0" w:color="000000"/>
              <w:right w:val="single" w:sz="4" w:space="0" w:color="000000"/>
            </w:tcBorders>
          </w:tcPr>
          <w:p w14:paraId="6CC22FF6"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Ulica Vladimira</w:t>
            </w:r>
            <w:r w:rsidR="00710CC5" w:rsidRPr="0032536A">
              <w:rPr>
                <w:rFonts w:ascii="Times New Roman" w:hAnsi="Times New Roman" w:cs="Times New Roman"/>
                <w:color w:val="auto"/>
              </w:rPr>
              <w:t xml:space="preserve"> </w:t>
            </w:r>
            <w:r w:rsidRPr="0032536A">
              <w:rPr>
                <w:rFonts w:ascii="Times New Roman" w:hAnsi="Times New Roman" w:cs="Times New Roman"/>
                <w:color w:val="auto"/>
              </w:rPr>
              <w:t xml:space="preserve">Ruždjaka 7 </w:t>
            </w:r>
          </w:p>
        </w:tc>
        <w:tc>
          <w:tcPr>
            <w:tcW w:w="1313" w:type="dxa"/>
            <w:tcBorders>
              <w:top w:val="single" w:sz="4" w:space="0" w:color="000000"/>
              <w:left w:val="single" w:sz="4" w:space="0" w:color="000000"/>
              <w:bottom w:val="single" w:sz="4" w:space="0" w:color="000000"/>
              <w:right w:val="single" w:sz="4" w:space="0" w:color="000000"/>
            </w:tcBorders>
          </w:tcPr>
          <w:p w14:paraId="70B6EB19"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700</w:t>
            </w:r>
          </w:p>
        </w:tc>
        <w:tc>
          <w:tcPr>
            <w:tcW w:w="1277" w:type="dxa"/>
            <w:tcBorders>
              <w:top w:val="single" w:sz="4" w:space="0" w:color="000000"/>
              <w:left w:val="single" w:sz="4" w:space="0" w:color="000000"/>
              <w:bottom w:val="single" w:sz="4" w:space="0" w:color="000000"/>
              <w:right w:val="single" w:sz="4" w:space="0" w:color="000000"/>
            </w:tcBorders>
          </w:tcPr>
          <w:p w14:paraId="34660C4D"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600</w:t>
            </w:r>
          </w:p>
        </w:tc>
        <w:tc>
          <w:tcPr>
            <w:tcW w:w="1032" w:type="dxa"/>
            <w:tcBorders>
              <w:top w:val="single" w:sz="4" w:space="0" w:color="000000"/>
              <w:left w:val="single" w:sz="4" w:space="0" w:color="000000"/>
              <w:bottom w:val="single" w:sz="4" w:space="0" w:color="000000"/>
              <w:right w:val="single" w:sz="4" w:space="0" w:color="000000"/>
            </w:tcBorders>
          </w:tcPr>
          <w:p w14:paraId="49F2C74E"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1980.</w:t>
            </w:r>
          </w:p>
        </w:tc>
      </w:tr>
      <w:tr w:rsidR="00395E37" w:rsidRPr="004750F4" w14:paraId="1808F04E"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5CBB1440"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37.</w:t>
            </w:r>
          </w:p>
        </w:tc>
        <w:tc>
          <w:tcPr>
            <w:tcW w:w="2355" w:type="dxa"/>
            <w:tcBorders>
              <w:top w:val="single" w:sz="4" w:space="0" w:color="000000"/>
              <w:left w:val="single" w:sz="4" w:space="0" w:color="000000"/>
              <w:bottom w:val="single" w:sz="4" w:space="0" w:color="000000"/>
              <w:right w:val="single" w:sz="4" w:space="0" w:color="000000"/>
            </w:tcBorders>
          </w:tcPr>
          <w:p w14:paraId="1004CEF2"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SESVETE</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2383CF6A"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Ulica Ive</w:t>
            </w:r>
            <w:r w:rsidR="00710CC5" w:rsidRPr="0032536A">
              <w:rPr>
                <w:rFonts w:ascii="Times New Roman" w:hAnsi="Times New Roman" w:cs="Times New Roman"/>
                <w:color w:val="auto"/>
              </w:rPr>
              <w:t xml:space="preserve"> </w:t>
            </w:r>
            <w:r w:rsidRPr="0032536A">
              <w:rPr>
                <w:rFonts w:ascii="Times New Roman" w:hAnsi="Times New Roman" w:cs="Times New Roman"/>
                <w:color w:val="auto"/>
              </w:rPr>
              <w:t xml:space="preserve">Tijardovića 9 </w:t>
            </w:r>
          </w:p>
        </w:tc>
        <w:tc>
          <w:tcPr>
            <w:tcW w:w="1313" w:type="dxa"/>
            <w:tcBorders>
              <w:top w:val="single" w:sz="4" w:space="0" w:color="000000"/>
              <w:left w:val="single" w:sz="4" w:space="0" w:color="000000"/>
              <w:bottom w:val="single" w:sz="4" w:space="0" w:color="000000"/>
              <w:right w:val="single" w:sz="4" w:space="0" w:color="000000"/>
            </w:tcBorders>
          </w:tcPr>
          <w:p w14:paraId="12B8E383"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400</w:t>
            </w:r>
          </w:p>
        </w:tc>
        <w:tc>
          <w:tcPr>
            <w:tcW w:w="1277" w:type="dxa"/>
            <w:tcBorders>
              <w:top w:val="single" w:sz="4" w:space="0" w:color="000000"/>
              <w:left w:val="single" w:sz="4" w:space="0" w:color="000000"/>
              <w:bottom w:val="single" w:sz="4" w:space="0" w:color="000000"/>
              <w:right w:val="single" w:sz="4" w:space="0" w:color="000000"/>
            </w:tcBorders>
          </w:tcPr>
          <w:p w14:paraId="59FCCF70"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450</w:t>
            </w:r>
          </w:p>
        </w:tc>
        <w:tc>
          <w:tcPr>
            <w:tcW w:w="1032" w:type="dxa"/>
            <w:tcBorders>
              <w:top w:val="single" w:sz="4" w:space="0" w:color="000000"/>
              <w:left w:val="single" w:sz="4" w:space="0" w:color="000000"/>
              <w:bottom w:val="single" w:sz="4" w:space="0" w:color="000000"/>
              <w:right w:val="single" w:sz="4" w:space="0" w:color="000000"/>
            </w:tcBorders>
          </w:tcPr>
          <w:p w14:paraId="52AED407" w14:textId="77777777" w:rsidR="003F7A56" w:rsidRPr="0032536A" w:rsidRDefault="003F7A56" w:rsidP="001D6E3A">
            <w:pPr>
              <w:spacing w:after="0" w:line="240" w:lineRule="auto"/>
              <w:ind w:left="0" w:right="0" w:firstLine="0"/>
              <w:jc w:val="center"/>
              <w:rPr>
                <w:rFonts w:ascii="Times New Roman" w:hAnsi="Times New Roman" w:cs="Times New Roman"/>
                <w:color w:val="auto"/>
              </w:rPr>
            </w:pPr>
          </w:p>
        </w:tc>
      </w:tr>
      <w:tr w:rsidR="00395E37" w:rsidRPr="004750F4" w14:paraId="1FD6025F"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29F7990F" w14:textId="77777777" w:rsidR="003F7A56" w:rsidRPr="0032536A" w:rsidRDefault="003F7A56" w:rsidP="00710CC5">
            <w:pPr>
              <w:spacing w:after="0" w:line="240" w:lineRule="auto"/>
              <w:ind w:left="0" w:right="0" w:firstLine="0"/>
              <w:jc w:val="left"/>
              <w:rPr>
                <w:rFonts w:ascii="Times New Roman" w:hAnsi="Times New Roman" w:cs="Times New Roman"/>
                <w:color w:val="auto"/>
              </w:rPr>
            </w:pPr>
          </w:p>
        </w:tc>
        <w:tc>
          <w:tcPr>
            <w:tcW w:w="2355" w:type="dxa"/>
            <w:tcBorders>
              <w:top w:val="single" w:sz="4" w:space="0" w:color="000000"/>
              <w:left w:val="single" w:sz="4" w:space="0" w:color="000000"/>
              <w:bottom w:val="single" w:sz="4" w:space="0" w:color="000000"/>
              <w:right w:val="single" w:sz="4" w:space="0" w:color="000000"/>
            </w:tcBorders>
          </w:tcPr>
          <w:p w14:paraId="1AB79B2F"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Podružnica</w:t>
            </w:r>
          </w:p>
        </w:tc>
        <w:tc>
          <w:tcPr>
            <w:tcW w:w="2355" w:type="dxa"/>
            <w:tcBorders>
              <w:top w:val="single" w:sz="4" w:space="0" w:color="000000"/>
              <w:left w:val="single" w:sz="4" w:space="0" w:color="000000"/>
              <w:bottom w:val="single" w:sz="4" w:space="0" w:color="000000"/>
              <w:right w:val="single" w:sz="4" w:space="0" w:color="000000"/>
            </w:tcBorders>
          </w:tcPr>
          <w:p w14:paraId="10C91F89" w14:textId="77777777" w:rsidR="003F7A56" w:rsidRPr="0032536A" w:rsidRDefault="00833C7D"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potočnica </w:t>
            </w:r>
            <w:r w:rsidR="00900184" w:rsidRPr="0032536A">
              <w:rPr>
                <w:rFonts w:ascii="Times New Roman" w:hAnsi="Times New Roman" w:cs="Times New Roman"/>
                <w:color w:val="auto"/>
              </w:rPr>
              <w:t xml:space="preserve">6 </w:t>
            </w:r>
          </w:p>
        </w:tc>
        <w:tc>
          <w:tcPr>
            <w:tcW w:w="1313" w:type="dxa"/>
            <w:tcBorders>
              <w:top w:val="single" w:sz="4" w:space="0" w:color="000000"/>
              <w:left w:val="single" w:sz="4" w:space="0" w:color="000000"/>
              <w:bottom w:val="single" w:sz="4" w:space="0" w:color="000000"/>
              <w:right w:val="single" w:sz="4" w:space="0" w:color="000000"/>
            </w:tcBorders>
          </w:tcPr>
          <w:p w14:paraId="0ECB8CDC"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300</w:t>
            </w:r>
          </w:p>
        </w:tc>
        <w:tc>
          <w:tcPr>
            <w:tcW w:w="1277" w:type="dxa"/>
            <w:tcBorders>
              <w:top w:val="single" w:sz="4" w:space="0" w:color="000000"/>
              <w:left w:val="single" w:sz="4" w:space="0" w:color="000000"/>
              <w:bottom w:val="single" w:sz="4" w:space="0" w:color="000000"/>
              <w:right w:val="single" w:sz="4" w:space="0" w:color="000000"/>
            </w:tcBorders>
          </w:tcPr>
          <w:p w14:paraId="31E78F57"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350</w:t>
            </w:r>
          </w:p>
        </w:tc>
        <w:tc>
          <w:tcPr>
            <w:tcW w:w="1032" w:type="dxa"/>
            <w:tcBorders>
              <w:top w:val="single" w:sz="4" w:space="0" w:color="000000"/>
              <w:left w:val="single" w:sz="4" w:space="0" w:color="000000"/>
              <w:bottom w:val="single" w:sz="4" w:space="0" w:color="000000"/>
              <w:right w:val="single" w:sz="4" w:space="0" w:color="000000"/>
            </w:tcBorders>
          </w:tcPr>
          <w:p w14:paraId="1B72D805" w14:textId="77777777" w:rsidR="003F7A56" w:rsidRPr="0032536A" w:rsidRDefault="003F7A56" w:rsidP="001D6E3A">
            <w:pPr>
              <w:spacing w:after="0" w:line="240" w:lineRule="auto"/>
              <w:ind w:left="0" w:right="0" w:firstLine="0"/>
              <w:jc w:val="center"/>
              <w:rPr>
                <w:rFonts w:ascii="Times New Roman" w:hAnsi="Times New Roman" w:cs="Times New Roman"/>
                <w:color w:val="auto"/>
              </w:rPr>
            </w:pPr>
          </w:p>
        </w:tc>
      </w:tr>
      <w:tr w:rsidR="00395E37" w:rsidRPr="004750F4" w14:paraId="69A83D56"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7025C615"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38.</w:t>
            </w:r>
          </w:p>
        </w:tc>
        <w:tc>
          <w:tcPr>
            <w:tcW w:w="2355" w:type="dxa"/>
            <w:tcBorders>
              <w:top w:val="single" w:sz="4" w:space="0" w:color="000000"/>
              <w:left w:val="single" w:sz="4" w:space="0" w:color="000000"/>
              <w:bottom w:val="single" w:sz="4" w:space="0" w:color="000000"/>
              <w:right w:val="single" w:sz="4" w:space="0" w:color="000000"/>
            </w:tcBorders>
          </w:tcPr>
          <w:p w14:paraId="742D1015"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SIGET </w:t>
            </w:r>
          </w:p>
        </w:tc>
        <w:tc>
          <w:tcPr>
            <w:tcW w:w="2355" w:type="dxa"/>
            <w:tcBorders>
              <w:top w:val="single" w:sz="4" w:space="0" w:color="000000"/>
              <w:left w:val="single" w:sz="4" w:space="0" w:color="000000"/>
              <w:bottom w:val="single" w:sz="4" w:space="0" w:color="000000"/>
              <w:right w:val="single" w:sz="4" w:space="0" w:color="000000"/>
            </w:tcBorders>
          </w:tcPr>
          <w:p w14:paraId="7FCEEA97"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Siget 12 </w:t>
            </w:r>
          </w:p>
        </w:tc>
        <w:tc>
          <w:tcPr>
            <w:tcW w:w="1313" w:type="dxa"/>
            <w:tcBorders>
              <w:top w:val="single" w:sz="4" w:space="0" w:color="000000"/>
              <w:left w:val="single" w:sz="4" w:space="0" w:color="000000"/>
              <w:bottom w:val="single" w:sz="4" w:space="0" w:color="000000"/>
              <w:right w:val="single" w:sz="4" w:space="0" w:color="000000"/>
            </w:tcBorders>
          </w:tcPr>
          <w:p w14:paraId="400A9186"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500</w:t>
            </w:r>
          </w:p>
        </w:tc>
        <w:tc>
          <w:tcPr>
            <w:tcW w:w="1277" w:type="dxa"/>
            <w:tcBorders>
              <w:top w:val="single" w:sz="4" w:space="0" w:color="000000"/>
              <w:left w:val="single" w:sz="4" w:space="0" w:color="000000"/>
              <w:bottom w:val="single" w:sz="4" w:space="0" w:color="000000"/>
              <w:right w:val="single" w:sz="4" w:space="0" w:color="000000"/>
            </w:tcBorders>
          </w:tcPr>
          <w:p w14:paraId="707DA675"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500</w:t>
            </w:r>
          </w:p>
        </w:tc>
        <w:tc>
          <w:tcPr>
            <w:tcW w:w="1032" w:type="dxa"/>
            <w:tcBorders>
              <w:top w:val="single" w:sz="4" w:space="0" w:color="000000"/>
              <w:left w:val="single" w:sz="4" w:space="0" w:color="000000"/>
              <w:bottom w:val="single" w:sz="4" w:space="0" w:color="000000"/>
              <w:right w:val="single" w:sz="4" w:space="0" w:color="000000"/>
            </w:tcBorders>
          </w:tcPr>
          <w:p w14:paraId="1F67BC1C"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1972.</w:t>
            </w:r>
          </w:p>
        </w:tc>
      </w:tr>
      <w:tr w:rsidR="00395E37" w:rsidRPr="004750F4" w14:paraId="1C89019A"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7645EACC"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39.</w:t>
            </w:r>
          </w:p>
        </w:tc>
        <w:tc>
          <w:tcPr>
            <w:tcW w:w="2355" w:type="dxa"/>
            <w:tcBorders>
              <w:top w:val="single" w:sz="4" w:space="0" w:color="000000"/>
              <w:left w:val="single" w:sz="4" w:space="0" w:color="000000"/>
              <w:bottom w:val="single" w:sz="4" w:space="0" w:color="000000"/>
              <w:right w:val="single" w:sz="4" w:space="0" w:color="000000"/>
            </w:tcBorders>
          </w:tcPr>
          <w:p w14:paraId="734D9D27"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SOPOT </w:t>
            </w:r>
          </w:p>
        </w:tc>
        <w:tc>
          <w:tcPr>
            <w:tcW w:w="2355" w:type="dxa"/>
            <w:tcBorders>
              <w:top w:val="single" w:sz="4" w:space="0" w:color="000000"/>
              <w:left w:val="single" w:sz="4" w:space="0" w:color="000000"/>
              <w:bottom w:val="single" w:sz="4" w:space="0" w:color="000000"/>
              <w:right w:val="single" w:sz="4" w:space="0" w:color="000000"/>
            </w:tcBorders>
          </w:tcPr>
          <w:p w14:paraId="0392C38E"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Ulica Viktora</w:t>
            </w:r>
            <w:r w:rsidR="00710CC5" w:rsidRPr="0032536A">
              <w:rPr>
                <w:rFonts w:ascii="Times New Roman" w:hAnsi="Times New Roman" w:cs="Times New Roman"/>
                <w:color w:val="auto"/>
              </w:rPr>
              <w:t xml:space="preserve"> </w:t>
            </w:r>
            <w:r w:rsidRPr="0032536A">
              <w:rPr>
                <w:rFonts w:ascii="Times New Roman" w:hAnsi="Times New Roman" w:cs="Times New Roman"/>
                <w:color w:val="auto"/>
              </w:rPr>
              <w:t>Kovačića 18C</w:t>
            </w:r>
            <w:r w:rsidR="00E40AC8" w:rsidRPr="0032536A">
              <w:rPr>
                <w:rFonts w:ascii="Times New Roman" w:hAnsi="Times New Roman" w:cs="Times New Roman"/>
                <w:color w:val="auto"/>
              </w:rPr>
              <w:t xml:space="preserve"> </w:t>
            </w:r>
          </w:p>
        </w:tc>
        <w:tc>
          <w:tcPr>
            <w:tcW w:w="1313" w:type="dxa"/>
            <w:tcBorders>
              <w:top w:val="single" w:sz="4" w:space="0" w:color="000000"/>
              <w:left w:val="single" w:sz="4" w:space="0" w:color="000000"/>
              <w:bottom w:val="single" w:sz="4" w:space="0" w:color="000000"/>
              <w:right w:val="single" w:sz="4" w:space="0" w:color="000000"/>
            </w:tcBorders>
          </w:tcPr>
          <w:p w14:paraId="3064BEBB"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600</w:t>
            </w:r>
          </w:p>
        </w:tc>
        <w:tc>
          <w:tcPr>
            <w:tcW w:w="1277" w:type="dxa"/>
            <w:tcBorders>
              <w:top w:val="single" w:sz="4" w:space="0" w:color="000000"/>
              <w:left w:val="single" w:sz="4" w:space="0" w:color="000000"/>
              <w:bottom w:val="single" w:sz="4" w:space="0" w:color="000000"/>
              <w:right w:val="single" w:sz="4" w:space="0" w:color="000000"/>
            </w:tcBorders>
          </w:tcPr>
          <w:p w14:paraId="23F5E2DA"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600</w:t>
            </w:r>
          </w:p>
        </w:tc>
        <w:tc>
          <w:tcPr>
            <w:tcW w:w="1032" w:type="dxa"/>
            <w:tcBorders>
              <w:top w:val="single" w:sz="4" w:space="0" w:color="000000"/>
              <w:left w:val="single" w:sz="4" w:space="0" w:color="000000"/>
              <w:bottom w:val="single" w:sz="4" w:space="0" w:color="000000"/>
              <w:right w:val="single" w:sz="4" w:space="0" w:color="000000"/>
            </w:tcBorders>
          </w:tcPr>
          <w:p w14:paraId="2B0C93A6"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1977.</w:t>
            </w:r>
          </w:p>
        </w:tc>
      </w:tr>
      <w:tr w:rsidR="00395E37" w:rsidRPr="004750F4" w14:paraId="1122EFD1"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4F0F308F"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40.</w:t>
            </w:r>
          </w:p>
        </w:tc>
        <w:tc>
          <w:tcPr>
            <w:tcW w:w="2355" w:type="dxa"/>
            <w:tcBorders>
              <w:top w:val="single" w:sz="4" w:space="0" w:color="000000"/>
              <w:left w:val="single" w:sz="4" w:space="0" w:color="000000"/>
              <w:bottom w:val="single" w:sz="4" w:space="0" w:color="000000"/>
              <w:right w:val="single" w:sz="4" w:space="0" w:color="000000"/>
            </w:tcBorders>
          </w:tcPr>
          <w:p w14:paraId="14C6BFF5"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SREDNJACI </w:t>
            </w:r>
          </w:p>
        </w:tc>
        <w:tc>
          <w:tcPr>
            <w:tcW w:w="2355" w:type="dxa"/>
            <w:tcBorders>
              <w:top w:val="single" w:sz="4" w:space="0" w:color="000000"/>
              <w:left w:val="single" w:sz="4" w:space="0" w:color="000000"/>
              <w:bottom w:val="single" w:sz="4" w:space="0" w:color="000000"/>
              <w:right w:val="single" w:sz="4" w:space="0" w:color="000000"/>
            </w:tcBorders>
          </w:tcPr>
          <w:p w14:paraId="27BEE3F6"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Ulica Vladimira</w:t>
            </w:r>
            <w:r w:rsidR="00710CC5" w:rsidRPr="0032536A">
              <w:rPr>
                <w:rFonts w:ascii="Times New Roman" w:hAnsi="Times New Roman" w:cs="Times New Roman"/>
                <w:color w:val="auto"/>
              </w:rPr>
              <w:t xml:space="preserve"> </w:t>
            </w:r>
            <w:r w:rsidRPr="0032536A">
              <w:rPr>
                <w:rFonts w:ascii="Times New Roman" w:hAnsi="Times New Roman" w:cs="Times New Roman"/>
                <w:color w:val="auto"/>
              </w:rPr>
              <w:t>Filakovca 2</w:t>
            </w:r>
          </w:p>
        </w:tc>
        <w:tc>
          <w:tcPr>
            <w:tcW w:w="1313" w:type="dxa"/>
            <w:tcBorders>
              <w:top w:val="single" w:sz="4" w:space="0" w:color="000000"/>
              <w:left w:val="single" w:sz="4" w:space="0" w:color="000000"/>
              <w:bottom w:val="single" w:sz="4" w:space="0" w:color="000000"/>
              <w:right w:val="single" w:sz="4" w:space="0" w:color="000000"/>
            </w:tcBorders>
          </w:tcPr>
          <w:p w14:paraId="613C128E"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450</w:t>
            </w:r>
          </w:p>
        </w:tc>
        <w:tc>
          <w:tcPr>
            <w:tcW w:w="1277" w:type="dxa"/>
            <w:tcBorders>
              <w:top w:val="single" w:sz="4" w:space="0" w:color="000000"/>
              <w:left w:val="single" w:sz="4" w:space="0" w:color="000000"/>
              <w:bottom w:val="single" w:sz="4" w:space="0" w:color="000000"/>
              <w:right w:val="single" w:sz="4" w:space="0" w:color="000000"/>
            </w:tcBorders>
          </w:tcPr>
          <w:p w14:paraId="58A0C8A5"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500</w:t>
            </w:r>
          </w:p>
        </w:tc>
        <w:tc>
          <w:tcPr>
            <w:tcW w:w="1032" w:type="dxa"/>
            <w:tcBorders>
              <w:top w:val="single" w:sz="4" w:space="0" w:color="000000"/>
              <w:left w:val="single" w:sz="4" w:space="0" w:color="000000"/>
              <w:bottom w:val="single" w:sz="4" w:space="0" w:color="000000"/>
              <w:right w:val="single" w:sz="4" w:space="0" w:color="000000"/>
            </w:tcBorders>
          </w:tcPr>
          <w:p w14:paraId="2B3E53D6"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1973.</w:t>
            </w:r>
          </w:p>
        </w:tc>
      </w:tr>
      <w:tr w:rsidR="00395E37" w:rsidRPr="004750F4" w14:paraId="2FA3424F"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0456EBD0"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41.</w:t>
            </w:r>
          </w:p>
        </w:tc>
        <w:tc>
          <w:tcPr>
            <w:tcW w:w="2355" w:type="dxa"/>
            <w:tcBorders>
              <w:top w:val="single" w:sz="4" w:space="0" w:color="000000"/>
              <w:left w:val="single" w:sz="4" w:space="0" w:color="000000"/>
              <w:bottom w:val="single" w:sz="4" w:space="0" w:color="000000"/>
              <w:right w:val="single" w:sz="4" w:space="0" w:color="000000"/>
            </w:tcBorders>
          </w:tcPr>
          <w:p w14:paraId="15A13799"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SUNCE </w:t>
            </w:r>
          </w:p>
        </w:tc>
        <w:tc>
          <w:tcPr>
            <w:tcW w:w="2355" w:type="dxa"/>
            <w:tcBorders>
              <w:top w:val="single" w:sz="4" w:space="0" w:color="000000"/>
              <w:left w:val="single" w:sz="4" w:space="0" w:color="000000"/>
              <w:bottom w:val="single" w:sz="4" w:space="0" w:color="000000"/>
              <w:right w:val="single" w:sz="4" w:space="0" w:color="000000"/>
            </w:tcBorders>
          </w:tcPr>
          <w:p w14:paraId="64DEA26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3. Poljanice 2 </w:t>
            </w:r>
          </w:p>
        </w:tc>
        <w:tc>
          <w:tcPr>
            <w:tcW w:w="1313" w:type="dxa"/>
            <w:tcBorders>
              <w:top w:val="single" w:sz="4" w:space="0" w:color="000000"/>
              <w:left w:val="single" w:sz="4" w:space="0" w:color="000000"/>
              <w:bottom w:val="single" w:sz="4" w:space="0" w:color="000000"/>
              <w:right w:val="single" w:sz="4" w:space="0" w:color="000000"/>
            </w:tcBorders>
          </w:tcPr>
          <w:p w14:paraId="4C0A1221"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218</w:t>
            </w:r>
          </w:p>
        </w:tc>
        <w:tc>
          <w:tcPr>
            <w:tcW w:w="1277" w:type="dxa"/>
            <w:tcBorders>
              <w:top w:val="single" w:sz="4" w:space="0" w:color="000000"/>
              <w:left w:val="single" w:sz="4" w:space="0" w:color="000000"/>
              <w:bottom w:val="single" w:sz="4" w:space="0" w:color="000000"/>
              <w:right w:val="single" w:sz="4" w:space="0" w:color="000000"/>
            </w:tcBorders>
          </w:tcPr>
          <w:p w14:paraId="3966505C"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240</w:t>
            </w:r>
          </w:p>
        </w:tc>
        <w:tc>
          <w:tcPr>
            <w:tcW w:w="1032" w:type="dxa"/>
            <w:tcBorders>
              <w:top w:val="single" w:sz="4" w:space="0" w:color="000000"/>
              <w:left w:val="single" w:sz="4" w:space="0" w:color="000000"/>
              <w:bottom w:val="single" w:sz="4" w:space="0" w:color="000000"/>
              <w:right w:val="single" w:sz="4" w:space="0" w:color="000000"/>
            </w:tcBorders>
          </w:tcPr>
          <w:p w14:paraId="2525A121" w14:textId="77777777" w:rsidR="003F7A56" w:rsidRPr="0032536A" w:rsidRDefault="003F7A56" w:rsidP="001D6E3A">
            <w:pPr>
              <w:spacing w:after="0" w:line="240" w:lineRule="auto"/>
              <w:ind w:left="0" w:right="0" w:firstLine="0"/>
              <w:jc w:val="center"/>
              <w:rPr>
                <w:rFonts w:ascii="Times New Roman" w:hAnsi="Times New Roman" w:cs="Times New Roman"/>
                <w:color w:val="auto"/>
              </w:rPr>
            </w:pPr>
          </w:p>
        </w:tc>
      </w:tr>
      <w:tr w:rsidR="00395E37" w:rsidRPr="004750F4" w14:paraId="017ACE7E"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2533A9F1" w14:textId="77777777" w:rsidR="003F7A56" w:rsidRPr="0032536A" w:rsidRDefault="003F7A56" w:rsidP="00710CC5">
            <w:pPr>
              <w:spacing w:after="0" w:line="240" w:lineRule="auto"/>
              <w:ind w:left="0" w:right="0" w:firstLine="0"/>
              <w:jc w:val="left"/>
              <w:rPr>
                <w:rFonts w:ascii="Times New Roman" w:hAnsi="Times New Roman" w:cs="Times New Roman"/>
                <w:color w:val="auto"/>
              </w:rPr>
            </w:pPr>
          </w:p>
        </w:tc>
        <w:tc>
          <w:tcPr>
            <w:tcW w:w="2355" w:type="dxa"/>
            <w:tcBorders>
              <w:top w:val="single" w:sz="4" w:space="0" w:color="000000"/>
              <w:left w:val="single" w:sz="4" w:space="0" w:color="000000"/>
              <w:bottom w:val="single" w:sz="4" w:space="0" w:color="000000"/>
              <w:right w:val="single" w:sz="4" w:space="0" w:color="000000"/>
            </w:tcBorders>
          </w:tcPr>
          <w:p w14:paraId="4A0B42D7"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Podružnica </w:t>
            </w:r>
          </w:p>
        </w:tc>
        <w:tc>
          <w:tcPr>
            <w:tcW w:w="2355" w:type="dxa"/>
            <w:tcBorders>
              <w:top w:val="single" w:sz="4" w:space="0" w:color="000000"/>
              <w:left w:val="single" w:sz="4" w:space="0" w:color="000000"/>
              <w:bottom w:val="single" w:sz="4" w:space="0" w:color="000000"/>
              <w:right w:val="single" w:sz="4" w:space="0" w:color="000000"/>
            </w:tcBorders>
          </w:tcPr>
          <w:p w14:paraId="2D10061A"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Prominska 1 </w:t>
            </w:r>
          </w:p>
        </w:tc>
        <w:tc>
          <w:tcPr>
            <w:tcW w:w="1313" w:type="dxa"/>
            <w:tcBorders>
              <w:top w:val="single" w:sz="4" w:space="0" w:color="000000"/>
              <w:left w:val="single" w:sz="4" w:space="0" w:color="000000"/>
              <w:bottom w:val="single" w:sz="4" w:space="0" w:color="000000"/>
              <w:right w:val="single" w:sz="4" w:space="0" w:color="000000"/>
            </w:tcBorders>
          </w:tcPr>
          <w:p w14:paraId="5AC6DEAC"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236</w:t>
            </w:r>
          </w:p>
        </w:tc>
        <w:tc>
          <w:tcPr>
            <w:tcW w:w="1277" w:type="dxa"/>
            <w:tcBorders>
              <w:top w:val="single" w:sz="4" w:space="0" w:color="000000"/>
              <w:left w:val="single" w:sz="4" w:space="0" w:color="000000"/>
              <w:bottom w:val="single" w:sz="4" w:space="0" w:color="000000"/>
              <w:right w:val="single" w:sz="4" w:space="0" w:color="000000"/>
            </w:tcBorders>
          </w:tcPr>
          <w:p w14:paraId="1A59546A"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240</w:t>
            </w:r>
          </w:p>
        </w:tc>
        <w:tc>
          <w:tcPr>
            <w:tcW w:w="1032" w:type="dxa"/>
            <w:tcBorders>
              <w:top w:val="single" w:sz="4" w:space="0" w:color="000000"/>
              <w:left w:val="single" w:sz="4" w:space="0" w:color="000000"/>
              <w:bottom w:val="single" w:sz="4" w:space="0" w:color="000000"/>
              <w:right w:val="single" w:sz="4" w:space="0" w:color="000000"/>
            </w:tcBorders>
          </w:tcPr>
          <w:p w14:paraId="70081782"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2007.</w:t>
            </w:r>
          </w:p>
        </w:tc>
      </w:tr>
      <w:tr w:rsidR="00395E37" w:rsidRPr="004750F4" w14:paraId="12E79432"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5F50596A"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lastRenderedPageBreak/>
              <w:t>42.</w:t>
            </w:r>
          </w:p>
        </w:tc>
        <w:tc>
          <w:tcPr>
            <w:tcW w:w="2355" w:type="dxa"/>
            <w:tcBorders>
              <w:top w:val="single" w:sz="4" w:space="0" w:color="000000"/>
              <w:left w:val="single" w:sz="4" w:space="0" w:color="000000"/>
              <w:bottom w:val="single" w:sz="4" w:space="0" w:color="000000"/>
              <w:right w:val="single" w:sz="4" w:space="0" w:color="000000"/>
            </w:tcBorders>
          </w:tcPr>
          <w:p w14:paraId="288326B4"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SUNČANA </w:t>
            </w:r>
          </w:p>
        </w:tc>
        <w:tc>
          <w:tcPr>
            <w:tcW w:w="2355" w:type="dxa"/>
            <w:tcBorders>
              <w:top w:val="single" w:sz="4" w:space="0" w:color="000000"/>
              <w:left w:val="single" w:sz="4" w:space="0" w:color="000000"/>
              <w:bottom w:val="single" w:sz="4" w:space="0" w:color="000000"/>
              <w:right w:val="single" w:sz="4" w:space="0" w:color="000000"/>
            </w:tcBorders>
          </w:tcPr>
          <w:p w14:paraId="4A709B9C"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trg 2 </w:t>
            </w:r>
          </w:p>
        </w:tc>
        <w:tc>
          <w:tcPr>
            <w:tcW w:w="1313" w:type="dxa"/>
            <w:tcBorders>
              <w:top w:val="single" w:sz="4" w:space="0" w:color="000000"/>
              <w:left w:val="single" w:sz="4" w:space="0" w:color="000000"/>
              <w:bottom w:val="single" w:sz="4" w:space="0" w:color="000000"/>
              <w:right w:val="single" w:sz="4" w:space="0" w:color="000000"/>
            </w:tcBorders>
          </w:tcPr>
          <w:p w14:paraId="5D0E8FCE"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708</w:t>
            </w:r>
          </w:p>
        </w:tc>
        <w:tc>
          <w:tcPr>
            <w:tcW w:w="1277" w:type="dxa"/>
            <w:tcBorders>
              <w:top w:val="single" w:sz="4" w:space="0" w:color="000000"/>
              <w:left w:val="single" w:sz="4" w:space="0" w:color="000000"/>
              <w:bottom w:val="single" w:sz="4" w:space="0" w:color="000000"/>
              <w:right w:val="single" w:sz="4" w:space="0" w:color="000000"/>
            </w:tcBorders>
          </w:tcPr>
          <w:p w14:paraId="12AFAD67"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600</w:t>
            </w:r>
          </w:p>
        </w:tc>
        <w:tc>
          <w:tcPr>
            <w:tcW w:w="1032" w:type="dxa"/>
            <w:tcBorders>
              <w:top w:val="single" w:sz="4" w:space="0" w:color="000000"/>
              <w:left w:val="single" w:sz="4" w:space="0" w:color="000000"/>
              <w:bottom w:val="single" w:sz="4" w:space="0" w:color="000000"/>
              <w:right w:val="single" w:sz="4" w:space="0" w:color="000000"/>
            </w:tcBorders>
          </w:tcPr>
          <w:p w14:paraId="789BFA8B"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2007.</w:t>
            </w:r>
          </w:p>
        </w:tc>
      </w:tr>
      <w:tr w:rsidR="00395E37" w:rsidRPr="004750F4" w14:paraId="7BC23F14"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592CF2A4"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43.</w:t>
            </w:r>
          </w:p>
        </w:tc>
        <w:tc>
          <w:tcPr>
            <w:tcW w:w="2355" w:type="dxa"/>
            <w:tcBorders>
              <w:top w:val="single" w:sz="4" w:space="0" w:color="000000"/>
              <w:left w:val="single" w:sz="4" w:space="0" w:color="000000"/>
              <w:bottom w:val="single" w:sz="4" w:space="0" w:color="000000"/>
              <w:right w:val="single" w:sz="4" w:space="0" w:color="000000"/>
            </w:tcBorders>
          </w:tcPr>
          <w:p w14:paraId="2C656B6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"ŠEGRT HLAPIĆ"</w:t>
            </w:r>
          </w:p>
        </w:tc>
        <w:tc>
          <w:tcPr>
            <w:tcW w:w="2355" w:type="dxa"/>
            <w:tcBorders>
              <w:top w:val="single" w:sz="4" w:space="0" w:color="000000"/>
              <w:left w:val="single" w:sz="4" w:space="0" w:color="000000"/>
              <w:bottom w:val="single" w:sz="4" w:space="0" w:color="000000"/>
              <w:right w:val="single" w:sz="4" w:space="0" w:color="000000"/>
            </w:tcBorders>
          </w:tcPr>
          <w:p w14:paraId="49D6F303" w14:textId="77777777" w:rsidR="003F7A56" w:rsidRPr="0032536A" w:rsidRDefault="00833C7D"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hAnsi="Times New Roman" w:cs="Times New Roman"/>
                <w:color w:val="auto"/>
              </w:rPr>
              <w:t xml:space="preserve">Dobriše Cesarića </w:t>
            </w:r>
            <w:r w:rsidRPr="0032536A">
              <w:rPr>
                <w:rFonts w:ascii="Times New Roman" w:hAnsi="Times New Roman" w:cs="Times New Roman"/>
                <w:color w:val="auto"/>
              </w:rPr>
              <w:t>4</w:t>
            </w:r>
          </w:p>
        </w:tc>
        <w:tc>
          <w:tcPr>
            <w:tcW w:w="1313" w:type="dxa"/>
            <w:tcBorders>
              <w:top w:val="single" w:sz="4" w:space="0" w:color="000000"/>
              <w:left w:val="single" w:sz="4" w:space="0" w:color="000000"/>
              <w:bottom w:val="single" w:sz="4" w:space="0" w:color="000000"/>
              <w:right w:val="single" w:sz="4" w:space="0" w:color="000000"/>
            </w:tcBorders>
          </w:tcPr>
          <w:p w14:paraId="56359FB1"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330</w:t>
            </w:r>
          </w:p>
        </w:tc>
        <w:tc>
          <w:tcPr>
            <w:tcW w:w="1277" w:type="dxa"/>
            <w:tcBorders>
              <w:top w:val="single" w:sz="4" w:space="0" w:color="000000"/>
              <w:left w:val="single" w:sz="4" w:space="0" w:color="000000"/>
              <w:bottom w:val="single" w:sz="4" w:space="0" w:color="000000"/>
              <w:right w:val="single" w:sz="4" w:space="0" w:color="000000"/>
            </w:tcBorders>
          </w:tcPr>
          <w:p w14:paraId="623C2ED4"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700</w:t>
            </w:r>
          </w:p>
        </w:tc>
        <w:tc>
          <w:tcPr>
            <w:tcW w:w="1032" w:type="dxa"/>
            <w:tcBorders>
              <w:top w:val="single" w:sz="4" w:space="0" w:color="000000"/>
              <w:left w:val="single" w:sz="4" w:space="0" w:color="000000"/>
              <w:bottom w:val="single" w:sz="4" w:space="0" w:color="000000"/>
              <w:right w:val="single" w:sz="4" w:space="0" w:color="000000"/>
            </w:tcBorders>
          </w:tcPr>
          <w:p w14:paraId="39DD5993"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2007.</w:t>
            </w:r>
          </w:p>
        </w:tc>
      </w:tr>
      <w:tr w:rsidR="00395E37" w:rsidRPr="004750F4" w14:paraId="15D5776C"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65FAEAEF" w14:textId="77777777" w:rsidR="003F7A56" w:rsidRPr="0032536A" w:rsidRDefault="003F7A56" w:rsidP="00710CC5">
            <w:pPr>
              <w:spacing w:after="0" w:line="240" w:lineRule="auto"/>
              <w:ind w:left="0" w:right="0" w:firstLine="0"/>
              <w:jc w:val="left"/>
              <w:rPr>
                <w:rFonts w:ascii="Times New Roman" w:hAnsi="Times New Roman" w:cs="Times New Roman"/>
                <w:color w:val="auto"/>
              </w:rPr>
            </w:pPr>
          </w:p>
        </w:tc>
        <w:tc>
          <w:tcPr>
            <w:tcW w:w="2355" w:type="dxa"/>
            <w:tcBorders>
              <w:top w:val="single" w:sz="4" w:space="0" w:color="000000"/>
              <w:left w:val="single" w:sz="4" w:space="0" w:color="000000"/>
              <w:bottom w:val="single" w:sz="4" w:space="0" w:color="000000"/>
              <w:right w:val="single" w:sz="4" w:space="0" w:color="000000"/>
            </w:tcBorders>
          </w:tcPr>
          <w:p w14:paraId="6613B8A6"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Podružnica 1</w:t>
            </w:r>
          </w:p>
        </w:tc>
        <w:tc>
          <w:tcPr>
            <w:tcW w:w="2355" w:type="dxa"/>
            <w:tcBorders>
              <w:top w:val="single" w:sz="4" w:space="0" w:color="000000"/>
              <w:left w:val="single" w:sz="4" w:space="0" w:color="000000"/>
              <w:bottom w:val="single" w:sz="4" w:space="0" w:color="000000"/>
              <w:right w:val="single" w:sz="4" w:space="0" w:color="000000"/>
            </w:tcBorders>
          </w:tcPr>
          <w:p w14:paraId="1D9FB2BD" w14:textId="77777777" w:rsidR="003F7A56" w:rsidRPr="0032536A" w:rsidRDefault="00833C7D"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hAnsi="Times New Roman" w:cs="Times New Roman"/>
                <w:color w:val="auto"/>
              </w:rPr>
              <w:t xml:space="preserve">D. Mitića 4 </w:t>
            </w:r>
          </w:p>
        </w:tc>
        <w:tc>
          <w:tcPr>
            <w:tcW w:w="1313" w:type="dxa"/>
            <w:tcBorders>
              <w:top w:val="single" w:sz="4" w:space="0" w:color="000000"/>
              <w:left w:val="single" w:sz="4" w:space="0" w:color="000000"/>
              <w:bottom w:val="single" w:sz="4" w:space="0" w:color="000000"/>
              <w:right w:val="single" w:sz="4" w:space="0" w:color="000000"/>
            </w:tcBorders>
          </w:tcPr>
          <w:p w14:paraId="1298CEDC"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270</w:t>
            </w:r>
          </w:p>
        </w:tc>
        <w:tc>
          <w:tcPr>
            <w:tcW w:w="1277" w:type="dxa"/>
            <w:tcBorders>
              <w:top w:val="single" w:sz="4" w:space="0" w:color="000000"/>
              <w:left w:val="single" w:sz="4" w:space="0" w:color="000000"/>
              <w:bottom w:val="single" w:sz="4" w:space="0" w:color="000000"/>
              <w:right w:val="single" w:sz="4" w:space="0" w:color="000000"/>
            </w:tcBorders>
          </w:tcPr>
          <w:p w14:paraId="0B448B5E"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350</w:t>
            </w:r>
          </w:p>
        </w:tc>
        <w:tc>
          <w:tcPr>
            <w:tcW w:w="1032" w:type="dxa"/>
            <w:tcBorders>
              <w:top w:val="single" w:sz="4" w:space="0" w:color="000000"/>
              <w:left w:val="single" w:sz="4" w:space="0" w:color="000000"/>
              <w:bottom w:val="single" w:sz="4" w:space="0" w:color="000000"/>
              <w:right w:val="single" w:sz="4" w:space="0" w:color="000000"/>
            </w:tcBorders>
          </w:tcPr>
          <w:p w14:paraId="5FA34686"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2007.</w:t>
            </w:r>
          </w:p>
        </w:tc>
      </w:tr>
      <w:tr w:rsidR="00395E37" w:rsidRPr="004750F4" w14:paraId="4E794EB6"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39531D90" w14:textId="77777777" w:rsidR="003F7A56" w:rsidRPr="0032536A" w:rsidRDefault="003F7A56" w:rsidP="00710CC5">
            <w:pPr>
              <w:spacing w:after="0" w:line="240" w:lineRule="auto"/>
              <w:ind w:left="0" w:right="0" w:firstLine="0"/>
              <w:jc w:val="left"/>
              <w:rPr>
                <w:rFonts w:ascii="Times New Roman" w:hAnsi="Times New Roman" w:cs="Times New Roman"/>
                <w:color w:val="auto"/>
              </w:rPr>
            </w:pPr>
          </w:p>
        </w:tc>
        <w:tc>
          <w:tcPr>
            <w:tcW w:w="2355" w:type="dxa"/>
            <w:tcBorders>
              <w:top w:val="single" w:sz="4" w:space="0" w:color="000000"/>
              <w:left w:val="single" w:sz="4" w:space="0" w:color="000000"/>
              <w:bottom w:val="single" w:sz="4" w:space="0" w:color="000000"/>
              <w:right w:val="single" w:sz="4" w:space="0" w:color="000000"/>
            </w:tcBorders>
          </w:tcPr>
          <w:p w14:paraId="44A1E10C"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Podružnica 2</w:t>
            </w:r>
          </w:p>
        </w:tc>
        <w:tc>
          <w:tcPr>
            <w:tcW w:w="2355" w:type="dxa"/>
            <w:tcBorders>
              <w:top w:val="single" w:sz="4" w:space="0" w:color="000000"/>
              <w:left w:val="single" w:sz="4" w:space="0" w:color="000000"/>
              <w:bottom w:val="single" w:sz="4" w:space="0" w:color="000000"/>
              <w:right w:val="single" w:sz="4" w:space="0" w:color="000000"/>
            </w:tcBorders>
          </w:tcPr>
          <w:p w14:paraId="11436AFE"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Voćinska 1 </w:t>
            </w:r>
          </w:p>
        </w:tc>
        <w:tc>
          <w:tcPr>
            <w:tcW w:w="1313" w:type="dxa"/>
            <w:tcBorders>
              <w:top w:val="single" w:sz="4" w:space="0" w:color="000000"/>
              <w:left w:val="single" w:sz="4" w:space="0" w:color="000000"/>
              <w:bottom w:val="single" w:sz="4" w:space="0" w:color="000000"/>
              <w:right w:val="single" w:sz="4" w:space="0" w:color="000000"/>
            </w:tcBorders>
          </w:tcPr>
          <w:p w14:paraId="626C5FBF"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180</w:t>
            </w:r>
          </w:p>
        </w:tc>
        <w:tc>
          <w:tcPr>
            <w:tcW w:w="1277" w:type="dxa"/>
            <w:tcBorders>
              <w:top w:val="single" w:sz="4" w:space="0" w:color="000000"/>
              <w:left w:val="single" w:sz="4" w:space="0" w:color="000000"/>
              <w:bottom w:val="single" w:sz="4" w:space="0" w:color="000000"/>
              <w:right w:val="single" w:sz="4" w:space="0" w:color="000000"/>
            </w:tcBorders>
          </w:tcPr>
          <w:p w14:paraId="72A21B8B"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200</w:t>
            </w:r>
          </w:p>
        </w:tc>
        <w:tc>
          <w:tcPr>
            <w:tcW w:w="1032" w:type="dxa"/>
            <w:tcBorders>
              <w:top w:val="single" w:sz="4" w:space="0" w:color="000000"/>
              <w:left w:val="single" w:sz="4" w:space="0" w:color="000000"/>
              <w:bottom w:val="single" w:sz="4" w:space="0" w:color="000000"/>
              <w:right w:val="single" w:sz="4" w:space="0" w:color="000000"/>
            </w:tcBorders>
          </w:tcPr>
          <w:p w14:paraId="500798AF"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2007.</w:t>
            </w:r>
          </w:p>
        </w:tc>
      </w:tr>
      <w:tr w:rsidR="00395E37" w:rsidRPr="004750F4" w14:paraId="4DDACBB8"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1ECD6D7E"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44.</w:t>
            </w:r>
          </w:p>
        </w:tc>
        <w:tc>
          <w:tcPr>
            <w:tcW w:w="2355" w:type="dxa"/>
            <w:tcBorders>
              <w:top w:val="single" w:sz="4" w:space="0" w:color="000000"/>
              <w:left w:val="single" w:sz="4" w:space="0" w:color="000000"/>
              <w:bottom w:val="single" w:sz="4" w:space="0" w:color="000000"/>
              <w:right w:val="single" w:sz="4" w:space="0" w:color="000000"/>
            </w:tcBorders>
          </w:tcPr>
          <w:p w14:paraId="49EE384A"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ŠPANSKO</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52F24D97"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Špansko 11 </w:t>
            </w:r>
          </w:p>
        </w:tc>
        <w:tc>
          <w:tcPr>
            <w:tcW w:w="1313" w:type="dxa"/>
            <w:tcBorders>
              <w:top w:val="single" w:sz="4" w:space="0" w:color="000000"/>
              <w:left w:val="single" w:sz="4" w:space="0" w:color="000000"/>
              <w:bottom w:val="single" w:sz="4" w:space="0" w:color="000000"/>
              <w:right w:val="single" w:sz="4" w:space="0" w:color="000000"/>
            </w:tcBorders>
          </w:tcPr>
          <w:p w14:paraId="34978A79"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550</w:t>
            </w:r>
          </w:p>
        </w:tc>
        <w:tc>
          <w:tcPr>
            <w:tcW w:w="1277" w:type="dxa"/>
            <w:tcBorders>
              <w:top w:val="single" w:sz="4" w:space="0" w:color="000000"/>
              <w:left w:val="single" w:sz="4" w:space="0" w:color="000000"/>
              <w:bottom w:val="single" w:sz="4" w:space="0" w:color="000000"/>
              <w:right w:val="single" w:sz="4" w:space="0" w:color="000000"/>
            </w:tcBorders>
          </w:tcPr>
          <w:p w14:paraId="34A81E06"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600</w:t>
            </w:r>
          </w:p>
        </w:tc>
        <w:tc>
          <w:tcPr>
            <w:tcW w:w="1032" w:type="dxa"/>
            <w:tcBorders>
              <w:top w:val="single" w:sz="4" w:space="0" w:color="000000"/>
              <w:left w:val="single" w:sz="4" w:space="0" w:color="000000"/>
              <w:bottom w:val="single" w:sz="4" w:space="0" w:color="000000"/>
              <w:right w:val="single" w:sz="4" w:space="0" w:color="000000"/>
            </w:tcBorders>
          </w:tcPr>
          <w:p w14:paraId="30948C65"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2006.</w:t>
            </w:r>
          </w:p>
        </w:tc>
      </w:tr>
      <w:tr w:rsidR="00395E37" w:rsidRPr="004750F4" w14:paraId="2E3D66B7"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5DC62131"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45.</w:t>
            </w:r>
          </w:p>
        </w:tc>
        <w:tc>
          <w:tcPr>
            <w:tcW w:w="2355" w:type="dxa"/>
            <w:tcBorders>
              <w:top w:val="single" w:sz="4" w:space="0" w:color="000000"/>
              <w:left w:val="single" w:sz="4" w:space="0" w:color="000000"/>
              <w:bottom w:val="single" w:sz="4" w:space="0" w:color="000000"/>
              <w:right w:val="single" w:sz="4" w:space="0" w:color="000000"/>
            </w:tcBorders>
          </w:tcPr>
          <w:p w14:paraId="14F43C5B"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ŠUMSKA</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JAGODA</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78BC2395"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Sveti Duh 75 </w:t>
            </w:r>
          </w:p>
        </w:tc>
        <w:tc>
          <w:tcPr>
            <w:tcW w:w="1313" w:type="dxa"/>
            <w:tcBorders>
              <w:top w:val="single" w:sz="4" w:space="0" w:color="000000"/>
              <w:left w:val="single" w:sz="4" w:space="0" w:color="000000"/>
              <w:bottom w:val="single" w:sz="4" w:space="0" w:color="000000"/>
              <w:right w:val="single" w:sz="4" w:space="0" w:color="000000"/>
            </w:tcBorders>
          </w:tcPr>
          <w:p w14:paraId="64ADF1A1"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700</w:t>
            </w:r>
          </w:p>
        </w:tc>
        <w:tc>
          <w:tcPr>
            <w:tcW w:w="1277" w:type="dxa"/>
            <w:tcBorders>
              <w:top w:val="single" w:sz="4" w:space="0" w:color="000000"/>
              <w:left w:val="single" w:sz="4" w:space="0" w:color="000000"/>
              <w:bottom w:val="single" w:sz="4" w:space="0" w:color="000000"/>
              <w:right w:val="single" w:sz="4" w:space="0" w:color="000000"/>
            </w:tcBorders>
          </w:tcPr>
          <w:p w14:paraId="001B99EA"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700</w:t>
            </w:r>
          </w:p>
        </w:tc>
        <w:tc>
          <w:tcPr>
            <w:tcW w:w="1032" w:type="dxa"/>
            <w:tcBorders>
              <w:top w:val="single" w:sz="4" w:space="0" w:color="000000"/>
              <w:left w:val="single" w:sz="4" w:space="0" w:color="000000"/>
              <w:bottom w:val="single" w:sz="4" w:space="0" w:color="000000"/>
              <w:right w:val="single" w:sz="4" w:space="0" w:color="000000"/>
            </w:tcBorders>
          </w:tcPr>
          <w:p w14:paraId="3DEC531D"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1980.</w:t>
            </w:r>
          </w:p>
        </w:tc>
      </w:tr>
      <w:tr w:rsidR="00395E37" w:rsidRPr="004750F4" w14:paraId="240387C1"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049A40EB"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46.</w:t>
            </w:r>
          </w:p>
        </w:tc>
        <w:tc>
          <w:tcPr>
            <w:tcW w:w="2355" w:type="dxa"/>
            <w:tcBorders>
              <w:top w:val="single" w:sz="4" w:space="0" w:color="000000"/>
              <w:left w:val="single" w:sz="4" w:space="0" w:color="000000"/>
              <w:bottom w:val="single" w:sz="4" w:space="0" w:color="000000"/>
              <w:right w:val="single" w:sz="4" w:space="0" w:color="000000"/>
            </w:tcBorders>
          </w:tcPr>
          <w:p w14:paraId="2CB920F5"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 TATJAN</w:t>
            </w:r>
            <w:r w:rsidR="00833C7D" w:rsidRPr="0032536A">
              <w:rPr>
                <w:rFonts w:ascii="Times New Roman" w:hAnsi="Times New Roman" w:cs="Times New Roman"/>
                <w:color w:val="auto"/>
              </w:rPr>
              <w:t>E</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MARINIĆ</w:t>
            </w:r>
          </w:p>
        </w:tc>
        <w:tc>
          <w:tcPr>
            <w:tcW w:w="2355" w:type="dxa"/>
            <w:tcBorders>
              <w:top w:val="single" w:sz="4" w:space="0" w:color="000000"/>
              <w:left w:val="single" w:sz="4" w:space="0" w:color="000000"/>
              <w:bottom w:val="single" w:sz="4" w:space="0" w:color="000000"/>
              <w:right w:val="single" w:sz="4" w:space="0" w:color="000000"/>
            </w:tcBorders>
          </w:tcPr>
          <w:p w14:paraId="55322993"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Ulica Mihovila</w:t>
            </w:r>
            <w:r w:rsidR="00710CC5" w:rsidRPr="0032536A">
              <w:rPr>
                <w:rFonts w:ascii="Times New Roman" w:hAnsi="Times New Roman" w:cs="Times New Roman"/>
                <w:color w:val="auto"/>
              </w:rPr>
              <w:t xml:space="preserve"> </w:t>
            </w:r>
            <w:r w:rsidRPr="0032536A">
              <w:rPr>
                <w:rFonts w:ascii="Times New Roman" w:hAnsi="Times New Roman" w:cs="Times New Roman"/>
                <w:color w:val="auto"/>
              </w:rPr>
              <w:t xml:space="preserve">Pavlinovića 8 </w:t>
            </w:r>
          </w:p>
        </w:tc>
        <w:tc>
          <w:tcPr>
            <w:tcW w:w="1313" w:type="dxa"/>
            <w:tcBorders>
              <w:top w:val="single" w:sz="4" w:space="0" w:color="000000"/>
              <w:left w:val="single" w:sz="4" w:space="0" w:color="000000"/>
              <w:bottom w:val="single" w:sz="4" w:space="0" w:color="000000"/>
              <w:right w:val="single" w:sz="4" w:space="0" w:color="000000"/>
            </w:tcBorders>
          </w:tcPr>
          <w:p w14:paraId="0071CCB0"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400</w:t>
            </w:r>
          </w:p>
        </w:tc>
        <w:tc>
          <w:tcPr>
            <w:tcW w:w="1277" w:type="dxa"/>
            <w:tcBorders>
              <w:top w:val="single" w:sz="4" w:space="0" w:color="000000"/>
              <w:left w:val="single" w:sz="4" w:space="0" w:color="000000"/>
              <w:bottom w:val="single" w:sz="4" w:space="0" w:color="000000"/>
              <w:right w:val="single" w:sz="4" w:space="0" w:color="000000"/>
            </w:tcBorders>
          </w:tcPr>
          <w:p w14:paraId="28C63F13"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400</w:t>
            </w:r>
          </w:p>
        </w:tc>
        <w:tc>
          <w:tcPr>
            <w:tcW w:w="1032" w:type="dxa"/>
            <w:tcBorders>
              <w:top w:val="single" w:sz="4" w:space="0" w:color="000000"/>
              <w:left w:val="single" w:sz="4" w:space="0" w:color="000000"/>
              <w:bottom w:val="single" w:sz="4" w:space="0" w:color="000000"/>
              <w:right w:val="single" w:sz="4" w:space="0" w:color="000000"/>
            </w:tcBorders>
          </w:tcPr>
          <w:p w14:paraId="586E8C27"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2006.</w:t>
            </w:r>
          </w:p>
        </w:tc>
      </w:tr>
      <w:tr w:rsidR="00395E37" w:rsidRPr="004750F4" w14:paraId="40E62A6A"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367BAF29"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47.</w:t>
            </w:r>
          </w:p>
        </w:tc>
        <w:tc>
          <w:tcPr>
            <w:tcW w:w="2355" w:type="dxa"/>
            <w:tcBorders>
              <w:top w:val="single" w:sz="4" w:space="0" w:color="000000"/>
              <w:left w:val="single" w:sz="4" w:space="0" w:color="000000"/>
              <w:bottom w:val="single" w:sz="4" w:space="0" w:color="000000"/>
              <w:right w:val="single" w:sz="4" w:space="0" w:color="000000"/>
            </w:tcBorders>
          </w:tcPr>
          <w:p w14:paraId="41FB8CA3"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TRATINČICA </w:t>
            </w:r>
          </w:p>
        </w:tc>
        <w:tc>
          <w:tcPr>
            <w:tcW w:w="2355" w:type="dxa"/>
            <w:tcBorders>
              <w:top w:val="single" w:sz="4" w:space="0" w:color="000000"/>
              <w:left w:val="single" w:sz="4" w:space="0" w:color="000000"/>
              <w:bottom w:val="single" w:sz="4" w:space="0" w:color="000000"/>
              <w:right w:val="single" w:sz="4" w:space="0" w:color="000000"/>
            </w:tcBorders>
          </w:tcPr>
          <w:p w14:paraId="6A4F33C3"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Ulica sv. Mateja 131 </w:t>
            </w:r>
          </w:p>
        </w:tc>
        <w:tc>
          <w:tcPr>
            <w:tcW w:w="1313" w:type="dxa"/>
            <w:tcBorders>
              <w:top w:val="single" w:sz="4" w:space="0" w:color="000000"/>
              <w:left w:val="single" w:sz="4" w:space="0" w:color="000000"/>
              <w:bottom w:val="single" w:sz="4" w:space="0" w:color="000000"/>
              <w:right w:val="single" w:sz="4" w:space="0" w:color="000000"/>
            </w:tcBorders>
          </w:tcPr>
          <w:p w14:paraId="7B81A4EA"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630</w:t>
            </w:r>
          </w:p>
        </w:tc>
        <w:tc>
          <w:tcPr>
            <w:tcW w:w="1277" w:type="dxa"/>
            <w:tcBorders>
              <w:top w:val="single" w:sz="4" w:space="0" w:color="000000"/>
              <w:left w:val="single" w:sz="4" w:space="0" w:color="000000"/>
              <w:bottom w:val="single" w:sz="4" w:space="0" w:color="000000"/>
              <w:right w:val="single" w:sz="4" w:space="0" w:color="000000"/>
            </w:tcBorders>
          </w:tcPr>
          <w:p w14:paraId="37A0A67C"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600</w:t>
            </w:r>
          </w:p>
        </w:tc>
        <w:tc>
          <w:tcPr>
            <w:tcW w:w="1032" w:type="dxa"/>
            <w:tcBorders>
              <w:top w:val="single" w:sz="4" w:space="0" w:color="000000"/>
              <w:left w:val="single" w:sz="4" w:space="0" w:color="000000"/>
              <w:bottom w:val="single" w:sz="4" w:space="0" w:color="000000"/>
              <w:right w:val="single" w:sz="4" w:space="0" w:color="000000"/>
            </w:tcBorders>
          </w:tcPr>
          <w:p w14:paraId="291FB818"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1981.</w:t>
            </w:r>
          </w:p>
        </w:tc>
      </w:tr>
      <w:tr w:rsidR="00395E37" w:rsidRPr="004750F4" w14:paraId="265DF454"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58F5F91A"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48.</w:t>
            </w:r>
          </w:p>
        </w:tc>
        <w:tc>
          <w:tcPr>
            <w:tcW w:w="2355" w:type="dxa"/>
            <w:tcBorders>
              <w:top w:val="single" w:sz="4" w:space="0" w:color="000000"/>
              <w:left w:val="single" w:sz="4" w:space="0" w:color="000000"/>
              <w:bottom w:val="single" w:sz="4" w:space="0" w:color="000000"/>
              <w:right w:val="single" w:sz="4" w:space="0" w:color="000000"/>
            </w:tcBorders>
          </w:tcPr>
          <w:p w14:paraId="6F62370E"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TRAVNO</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25E70169"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Ulica Božidara Magovca 10 </w:t>
            </w:r>
          </w:p>
        </w:tc>
        <w:tc>
          <w:tcPr>
            <w:tcW w:w="1313" w:type="dxa"/>
            <w:tcBorders>
              <w:top w:val="single" w:sz="4" w:space="0" w:color="000000"/>
              <w:left w:val="single" w:sz="4" w:space="0" w:color="000000"/>
              <w:bottom w:val="single" w:sz="4" w:space="0" w:color="000000"/>
              <w:right w:val="single" w:sz="4" w:space="0" w:color="000000"/>
            </w:tcBorders>
          </w:tcPr>
          <w:p w14:paraId="2A2DCD39"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680</w:t>
            </w:r>
          </w:p>
        </w:tc>
        <w:tc>
          <w:tcPr>
            <w:tcW w:w="1277" w:type="dxa"/>
            <w:tcBorders>
              <w:top w:val="single" w:sz="4" w:space="0" w:color="000000"/>
              <w:left w:val="single" w:sz="4" w:space="0" w:color="000000"/>
              <w:bottom w:val="single" w:sz="4" w:space="0" w:color="000000"/>
              <w:right w:val="single" w:sz="4" w:space="0" w:color="000000"/>
            </w:tcBorders>
          </w:tcPr>
          <w:p w14:paraId="3A26C066"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700</w:t>
            </w:r>
          </w:p>
        </w:tc>
        <w:tc>
          <w:tcPr>
            <w:tcW w:w="1032" w:type="dxa"/>
            <w:tcBorders>
              <w:top w:val="single" w:sz="4" w:space="0" w:color="000000"/>
              <w:left w:val="single" w:sz="4" w:space="0" w:color="000000"/>
              <w:bottom w:val="single" w:sz="4" w:space="0" w:color="000000"/>
              <w:right w:val="single" w:sz="4" w:space="0" w:color="000000"/>
            </w:tcBorders>
          </w:tcPr>
          <w:p w14:paraId="7BAFE7D6"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1977.</w:t>
            </w:r>
          </w:p>
        </w:tc>
      </w:tr>
      <w:tr w:rsidR="00395E37" w:rsidRPr="004750F4" w14:paraId="10EB9BD7"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7D731074"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49.</w:t>
            </w:r>
          </w:p>
        </w:tc>
        <w:tc>
          <w:tcPr>
            <w:tcW w:w="2355" w:type="dxa"/>
            <w:tcBorders>
              <w:top w:val="single" w:sz="4" w:space="0" w:color="000000"/>
              <w:left w:val="single" w:sz="4" w:space="0" w:color="000000"/>
              <w:bottom w:val="single" w:sz="4" w:space="0" w:color="000000"/>
              <w:right w:val="single" w:sz="4" w:space="0" w:color="000000"/>
            </w:tcBorders>
          </w:tcPr>
          <w:p w14:paraId="424B3F75"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TREŠNJEVKA</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5BCE3528"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Ulica Huga</w:t>
            </w:r>
            <w:r w:rsidR="00710CC5" w:rsidRPr="0032536A">
              <w:rPr>
                <w:rFonts w:ascii="Times New Roman" w:hAnsi="Times New Roman" w:cs="Times New Roman"/>
                <w:color w:val="auto"/>
              </w:rPr>
              <w:t xml:space="preserve"> </w:t>
            </w:r>
            <w:r w:rsidRPr="0032536A">
              <w:rPr>
                <w:rFonts w:ascii="Times New Roman" w:hAnsi="Times New Roman" w:cs="Times New Roman"/>
                <w:color w:val="auto"/>
              </w:rPr>
              <w:t>Badalića 24</w:t>
            </w:r>
            <w:r w:rsidR="00E40AC8" w:rsidRPr="0032536A">
              <w:rPr>
                <w:rFonts w:ascii="Times New Roman" w:hAnsi="Times New Roman" w:cs="Times New Roman"/>
                <w:color w:val="auto"/>
              </w:rPr>
              <w:t xml:space="preserve"> </w:t>
            </w:r>
          </w:p>
        </w:tc>
        <w:tc>
          <w:tcPr>
            <w:tcW w:w="1313" w:type="dxa"/>
            <w:tcBorders>
              <w:top w:val="single" w:sz="4" w:space="0" w:color="000000"/>
              <w:left w:val="single" w:sz="4" w:space="0" w:color="000000"/>
              <w:bottom w:val="single" w:sz="4" w:space="0" w:color="000000"/>
              <w:right w:val="single" w:sz="4" w:space="0" w:color="000000"/>
            </w:tcBorders>
          </w:tcPr>
          <w:p w14:paraId="10DA2E94"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500</w:t>
            </w:r>
          </w:p>
        </w:tc>
        <w:tc>
          <w:tcPr>
            <w:tcW w:w="1277" w:type="dxa"/>
            <w:tcBorders>
              <w:top w:val="single" w:sz="4" w:space="0" w:color="000000"/>
              <w:left w:val="single" w:sz="4" w:space="0" w:color="000000"/>
              <w:bottom w:val="single" w:sz="4" w:space="0" w:color="000000"/>
              <w:right w:val="single" w:sz="4" w:space="0" w:color="000000"/>
            </w:tcBorders>
          </w:tcPr>
          <w:p w14:paraId="1D399E96"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500</w:t>
            </w:r>
          </w:p>
        </w:tc>
        <w:tc>
          <w:tcPr>
            <w:tcW w:w="1032" w:type="dxa"/>
            <w:tcBorders>
              <w:top w:val="single" w:sz="4" w:space="0" w:color="000000"/>
              <w:left w:val="single" w:sz="4" w:space="0" w:color="000000"/>
              <w:bottom w:val="single" w:sz="4" w:space="0" w:color="000000"/>
              <w:right w:val="single" w:sz="4" w:space="0" w:color="000000"/>
            </w:tcBorders>
          </w:tcPr>
          <w:p w14:paraId="4685AA85" w14:textId="77777777" w:rsidR="003F7A56" w:rsidRPr="0032536A" w:rsidRDefault="003F7A56" w:rsidP="001D6E3A">
            <w:pPr>
              <w:spacing w:after="0" w:line="240" w:lineRule="auto"/>
              <w:ind w:left="0" w:right="0" w:firstLine="0"/>
              <w:jc w:val="center"/>
              <w:rPr>
                <w:rFonts w:ascii="Times New Roman" w:hAnsi="Times New Roman" w:cs="Times New Roman"/>
                <w:color w:val="auto"/>
              </w:rPr>
            </w:pPr>
          </w:p>
        </w:tc>
      </w:tr>
      <w:tr w:rsidR="00395E37" w:rsidRPr="004750F4" w14:paraId="099EAE6F"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39C653AF"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50.</w:t>
            </w:r>
          </w:p>
        </w:tc>
        <w:tc>
          <w:tcPr>
            <w:tcW w:w="2355" w:type="dxa"/>
            <w:tcBorders>
              <w:top w:val="single" w:sz="4" w:space="0" w:color="000000"/>
              <w:left w:val="single" w:sz="4" w:space="0" w:color="000000"/>
              <w:bottom w:val="single" w:sz="4" w:space="0" w:color="000000"/>
              <w:right w:val="single" w:sz="4" w:space="0" w:color="000000"/>
            </w:tcBorders>
          </w:tcPr>
          <w:p w14:paraId="08852C7B"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TRNORUŽICA</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78081E3B"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Ulica Ferde</w:t>
            </w:r>
            <w:r w:rsidR="00710CC5" w:rsidRPr="0032536A">
              <w:rPr>
                <w:rFonts w:ascii="Times New Roman" w:hAnsi="Times New Roman" w:cs="Times New Roman"/>
                <w:color w:val="auto"/>
              </w:rPr>
              <w:t xml:space="preserve"> </w:t>
            </w:r>
            <w:r w:rsidRPr="0032536A">
              <w:rPr>
                <w:rFonts w:ascii="Times New Roman" w:hAnsi="Times New Roman" w:cs="Times New Roman"/>
                <w:color w:val="auto"/>
              </w:rPr>
              <w:t xml:space="preserve">Rusana 11 </w:t>
            </w:r>
          </w:p>
        </w:tc>
        <w:tc>
          <w:tcPr>
            <w:tcW w:w="1313" w:type="dxa"/>
            <w:tcBorders>
              <w:top w:val="single" w:sz="4" w:space="0" w:color="000000"/>
              <w:left w:val="single" w:sz="4" w:space="0" w:color="000000"/>
              <w:bottom w:val="single" w:sz="4" w:space="0" w:color="000000"/>
              <w:right w:val="single" w:sz="4" w:space="0" w:color="000000"/>
            </w:tcBorders>
          </w:tcPr>
          <w:p w14:paraId="6A7CBC6F"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400</w:t>
            </w:r>
          </w:p>
        </w:tc>
        <w:tc>
          <w:tcPr>
            <w:tcW w:w="1277" w:type="dxa"/>
            <w:tcBorders>
              <w:top w:val="single" w:sz="4" w:space="0" w:color="000000"/>
              <w:left w:val="single" w:sz="4" w:space="0" w:color="000000"/>
              <w:bottom w:val="single" w:sz="4" w:space="0" w:color="000000"/>
              <w:right w:val="single" w:sz="4" w:space="0" w:color="000000"/>
            </w:tcBorders>
          </w:tcPr>
          <w:p w14:paraId="4E55EA08"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400</w:t>
            </w:r>
          </w:p>
        </w:tc>
        <w:tc>
          <w:tcPr>
            <w:tcW w:w="1032" w:type="dxa"/>
            <w:tcBorders>
              <w:top w:val="single" w:sz="4" w:space="0" w:color="000000"/>
              <w:left w:val="single" w:sz="4" w:space="0" w:color="000000"/>
              <w:bottom w:val="single" w:sz="4" w:space="0" w:color="000000"/>
              <w:right w:val="single" w:sz="4" w:space="0" w:color="000000"/>
            </w:tcBorders>
          </w:tcPr>
          <w:p w14:paraId="51000A79" w14:textId="77777777" w:rsidR="003F7A56" w:rsidRPr="0032536A" w:rsidRDefault="003F7A56" w:rsidP="001D6E3A">
            <w:pPr>
              <w:spacing w:after="0" w:line="240" w:lineRule="auto"/>
              <w:ind w:left="0" w:right="0" w:firstLine="0"/>
              <w:jc w:val="center"/>
              <w:rPr>
                <w:rFonts w:ascii="Times New Roman" w:hAnsi="Times New Roman" w:cs="Times New Roman"/>
                <w:color w:val="auto"/>
              </w:rPr>
            </w:pPr>
          </w:p>
        </w:tc>
      </w:tr>
      <w:tr w:rsidR="00395E37" w:rsidRPr="004750F4" w14:paraId="2E8371F6"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27969013"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51.</w:t>
            </w:r>
          </w:p>
        </w:tc>
        <w:tc>
          <w:tcPr>
            <w:tcW w:w="2355" w:type="dxa"/>
            <w:tcBorders>
              <w:top w:val="single" w:sz="4" w:space="0" w:color="000000"/>
              <w:left w:val="single" w:sz="4" w:space="0" w:color="000000"/>
              <w:bottom w:val="single" w:sz="4" w:space="0" w:color="000000"/>
              <w:right w:val="single" w:sz="4" w:space="0" w:color="000000"/>
            </w:tcBorders>
          </w:tcPr>
          <w:p w14:paraId="5621E1C6"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TRNSKO</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6CDF3D99"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Trnsko 19 </w:t>
            </w:r>
          </w:p>
        </w:tc>
        <w:tc>
          <w:tcPr>
            <w:tcW w:w="1313" w:type="dxa"/>
            <w:tcBorders>
              <w:top w:val="single" w:sz="4" w:space="0" w:color="000000"/>
              <w:left w:val="single" w:sz="4" w:space="0" w:color="000000"/>
              <w:bottom w:val="single" w:sz="4" w:space="0" w:color="000000"/>
              <w:right w:val="single" w:sz="4" w:space="0" w:color="000000"/>
            </w:tcBorders>
          </w:tcPr>
          <w:p w14:paraId="4B4AFA29"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220</w:t>
            </w:r>
          </w:p>
        </w:tc>
        <w:tc>
          <w:tcPr>
            <w:tcW w:w="1277" w:type="dxa"/>
            <w:tcBorders>
              <w:top w:val="single" w:sz="4" w:space="0" w:color="000000"/>
              <w:left w:val="single" w:sz="4" w:space="0" w:color="000000"/>
              <w:bottom w:val="single" w:sz="4" w:space="0" w:color="000000"/>
              <w:right w:val="single" w:sz="4" w:space="0" w:color="000000"/>
            </w:tcBorders>
          </w:tcPr>
          <w:p w14:paraId="166BE02C"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300</w:t>
            </w:r>
          </w:p>
        </w:tc>
        <w:tc>
          <w:tcPr>
            <w:tcW w:w="1032" w:type="dxa"/>
            <w:tcBorders>
              <w:top w:val="single" w:sz="4" w:space="0" w:color="000000"/>
              <w:left w:val="single" w:sz="4" w:space="0" w:color="000000"/>
              <w:bottom w:val="single" w:sz="4" w:space="0" w:color="000000"/>
              <w:right w:val="single" w:sz="4" w:space="0" w:color="000000"/>
            </w:tcBorders>
          </w:tcPr>
          <w:p w14:paraId="4383B354"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1968.</w:t>
            </w:r>
          </w:p>
        </w:tc>
      </w:tr>
      <w:tr w:rsidR="00395E37" w:rsidRPr="004750F4" w14:paraId="60A56A68"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03B7B90C" w14:textId="77777777" w:rsidR="003F7A56" w:rsidRPr="0032536A" w:rsidRDefault="003F7A56" w:rsidP="00710CC5">
            <w:pPr>
              <w:spacing w:after="0" w:line="240" w:lineRule="auto"/>
              <w:ind w:left="0" w:right="0" w:firstLine="0"/>
              <w:jc w:val="left"/>
              <w:rPr>
                <w:rFonts w:ascii="Times New Roman" w:hAnsi="Times New Roman" w:cs="Times New Roman"/>
                <w:color w:val="auto"/>
              </w:rPr>
            </w:pPr>
          </w:p>
        </w:tc>
        <w:tc>
          <w:tcPr>
            <w:tcW w:w="2355" w:type="dxa"/>
            <w:tcBorders>
              <w:top w:val="single" w:sz="4" w:space="0" w:color="000000"/>
              <w:left w:val="single" w:sz="4" w:space="0" w:color="000000"/>
              <w:bottom w:val="single" w:sz="4" w:space="0" w:color="000000"/>
              <w:right w:val="single" w:sz="4" w:space="0" w:color="000000"/>
            </w:tcBorders>
          </w:tcPr>
          <w:p w14:paraId="3A42AA32"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Podružnica </w:t>
            </w:r>
          </w:p>
        </w:tc>
        <w:tc>
          <w:tcPr>
            <w:tcW w:w="2355" w:type="dxa"/>
            <w:tcBorders>
              <w:top w:val="single" w:sz="4" w:space="0" w:color="000000"/>
              <w:left w:val="single" w:sz="4" w:space="0" w:color="000000"/>
              <w:bottom w:val="single" w:sz="4" w:space="0" w:color="000000"/>
              <w:right w:val="single" w:sz="4" w:space="0" w:color="000000"/>
            </w:tcBorders>
          </w:tcPr>
          <w:p w14:paraId="2A8819C8" w14:textId="77777777" w:rsidR="003F7A56" w:rsidRPr="0032536A" w:rsidRDefault="00833C7D"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hAnsi="Times New Roman" w:cs="Times New Roman"/>
                <w:color w:val="auto"/>
              </w:rPr>
              <w:t xml:space="preserve">Žarka Dolinara 11 </w:t>
            </w:r>
          </w:p>
        </w:tc>
        <w:tc>
          <w:tcPr>
            <w:tcW w:w="1313" w:type="dxa"/>
            <w:tcBorders>
              <w:top w:val="single" w:sz="4" w:space="0" w:color="000000"/>
              <w:left w:val="single" w:sz="4" w:space="0" w:color="000000"/>
              <w:bottom w:val="single" w:sz="4" w:space="0" w:color="000000"/>
              <w:right w:val="single" w:sz="4" w:space="0" w:color="000000"/>
            </w:tcBorders>
          </w:tcPr>
          <w:p w14:paraId="4251CA6C"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460</w:t>
            </w:r>
          </w:p>
        </w:tc>
        <w:tc>
          <w:tcPr>
            <w:tcW w:w="1277" w:type="dxa"/>
            <w:tcBorders>
              <w:top w:val="single" w:sz="4" w:space="0" w:color="000000"/>
              <w:left w:val="single" w:sz="4" w:space="0" w:color="000000"/>
              <w:bottom w:val="single" w:sz="4" w:space="0" w:color="000000"/>
              <w:right w:val="single" w:sz="4" w:space="0" w:color="000000"/>
            </w:tcBorders>
          </w:tcPr>
          <w:p w14:paraId="56CF76FC"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500</w:t>
            </w:r>
          </w:p>
        </w:tc>
        <w:tc>
          <w:tcPr>
            <w:tcW w:w="1032" w:type="dxa"/>
            <w:tcBorders>
              <w:top w:val="single" w:sz="4" w:space="0" w:color="000000"/>
              <w:left w:val="single" w:sz="4" w:space="0" w:color="000000"/>
              <w:bottom w:val="single" w:sz="4" w:space="0" w:color="000000"/>
              <w:right w:val="single" w:sz="4" w:space="0" w:color="000000"/>
            </w:tcBorders>
          </w:tcPr>
          <w:p w14:paraId="70149502"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2014.</w:t>
            </w:r>
          </w:p>
        </w:tc>
      </w:tr>
      <w:tr w:rsidR="00395E37" w:rsidRPr="004750F4" w14:paraId="218DE48C"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44EFFB36"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52.</w:t>
            </w:r>
          </w:p>
        </w:tc>
        <w:tc>
          <w:tcPr>
            <w:tcW w:w="2355" w:type="dxa"/>
            <w:tcBorders>
              <w:top w:val="single" w:sz="4" w:space="0" w:color="000000"/>
              <w:left w:val="single" w:sz="4" w:space="0" w:color="000000"/>
              <w:bottom w:val="single" w:sz="4" w:space="0" w:color="000000"/>
              <w:right w:val="single" w:sz="4" w:space="0" w:color="000000"/>
            </w:tcBorders>
          </w:tcPr>
          <w:p w14:paraId="458521E1"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UTRINA</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1F7197B9"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Maretićeva ulica 2 </w:t>
            </w:r>
          </w:p>
        </w:tc>
        <w:tc>
          <w:tcPr>
            <w:tcW w:w="1313" w:type="dxa"/>
            <w:tcBorders>
              <w:top w:val="single" w:sz="4" w:space="0" w:color="000000"/>
              <w:left w:val="single" w:sz="4" w:space="0" w:color="000000"/>
              <w:bottom w:val="single" w:sz="4" w:space="0" w:color="000000"/>
              <w:right w:val="single" w:sz="4" w:space="0" w:color="000000"/>
            </w:tcBorders>
          </w:tcPr>
          <w:p w14:paraId="63D645A8"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650</w:t>
            </w:r>
          </w:p>
        </w:tc>
        <w:tc>
          <w:tcPr>
            <w:tcW w:w="1277" w:type="dxa"/>
            <w:tcBorders>
              <w:top w:val="single" w:sz="4" w:space="0" w:color="000000"/>
              <w:left w:val="single" w:sz="4" w:space="0" w:color="000000"/>
              <w:bottom w:val="single" w:sz="4" w:space="0" w:color="000000"/>
              <w:right w:val="single" w:sz="4" w:space="0" w:color="000000"/>
            </w:tcBorders>
          </w:tcPr>
          <w:p w14:paraId="2E3B39BD"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700</w:t>
            </w:r>
          </w:p>
        </w:tc>
        <w:tc>
          <w:tcPr>
            <w:tcW w:w="1032" w:type="dxa"/>
            <w:tcBorders>
              <w:top w:val="single" w:sz="4" w:space="0" w:color="000000"/>
              <w:left w:val="single" w:sz="4" w:space="0" w:color="000000"/>
              <w:bottom w:val="single" w:sz="4" w:space="0" w:color="000000"/>
              <w:right w:val="single" w:sz="4" w:space="0" w:color="000000"/>
            </w:tcBorders>
          </w:tcPr>
          <w:p w14:paraId="3122DD3B"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1973.</w:t>
            </w:r>
          </w:p>
        </w:tc>
      </w:tr>
      <w:tr w:rsidR="00395E37" w:rsidRPr="004750F4" w14:paraId="3C0F6B73"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5B85869B"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53.</w:t>
            </w:r>
          </w:p>
        </w:tc>
        <w:tc>
          <w:tcPr>
            <w:tcW w:w="2355" w:type="dxa"/>
            <w:tcBorders>
              <w:top w:val="single" w:sz="4" w:space="0" w:color="000000"/>
              <w:left w:val="single" w:sz="4" w:space="0" w:color="000000"/>
              <w:bottom w:val="single" w:sz="4" w:space="0" w:color="000000"/>
              <w:right w:val="single" w:sz="4" w:space="0" w:color="000000"/>
            </w:tcBorders>
          </w:tcPr>
          <w:p w14:paraId="2C89C78B"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VEDRI DANI</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3CB8F42A"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Ulica Milana</w:t>
            </w:r>
            <w:r w:rsidR="00710CC5" w:rsidRPr="0032536A">
              <w:rPr>
                <w:rFonts w:ascii="Times New Roman" w:hAnsi="Times New Roman" w:cs="Times New Roman"/>
                <w:color w:val="auto"/>
              </w:rPr>
              <w:t xml:space="preserve"> </w:t>
            </w:r>
            <w:r w:rsidRPr="0032536A">
              <w:rPr>
                <w:rFonts w:ascii="Times New Roman" w:hAnsi="Times New Roman" w:cs="Times New Roman"/>
                <w:color w:val="auto"/>
              </w:rPr>
              <w:t xml:space="preserve">Makanca 11A </w:t>
            </w:r>
          </w:p>
        </w:tc>
        <w:tc>
          <w:tcPr>
            <w:tcW w:w="1313" w:type="dxa"/>
            <w:tcBorders>
              <w:top w:val="single" w:sz="4" w:space="0" w:color="000000"/>
              <w:left w:val="single" w:sz="4" w:space="0" w:color="000000"/>
              <w:bottom w:val="single" w:sz="4" w:space="0" w:color="000000"/>
              <w:right w:val="single" w:sz="4" w:space="0" w:color="000000"/>
            </w:tcBorders>
          </w:tcPr>
          <w:p w14:paraId="1E7BD2D7"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500</w:t>
            </w:r>
          </w:p>
        </w:tc>
        <w:tc>
          <w:tcPr>
            <w:tcW w:w="1277" w:type="dxa"/>
            <w:tcBorders>
              <w:top w:val="single" w:sz="4" w:space="0" w:color="000000"/>
              <w:left w:val="single" w:sz="4" w:space="0" w:color="000000"/>
              <w:bottom w:val="single" w:sz="4" w:space="0" w:color="000000"/>
              <w:right w:val="single" w:sz="4" w:space="0" w:color="000000"/>
            </w:tcBorders>
          </w:tcPr>
          <w:p w14:paraId="0F5444F2"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500</w:t>
            </w:r>
          </w:p>
        </w:tc>
        <w:tc>
          <w:tcPr>
            <w:tcW w:w="1032" w:type="dxa"/>
            <w:tcBorders>
              <w:top w:val="single" w:sz="4" w:space="0" w:color="000000"/>
              <w:left w:val="single" w:sz="4" w:space="0" w:color="000000"/>
              <w:bottom w:val="single" w:sz="4" w:space="0" w:color="000000"/>
              <w:right w:val="single" w:sz="4" w:space="0" w:color="000000"/>
            </w:tcBorders>
          </w:tcPr>
          <w:p w14:paraId="2EE5AC4A" w14:textId="77777777" w:rsidR="003F7A56" w:rsidRPr="0032536A" w:rsidRDefault="003F7A56" w:rsidP="001D6E3A">
            <w:pPr>
              <w:spacing w:after="0" w:line="240" w:lineRule="auto"/>
              <w:ind w:left="0" w:right="0" w:firstLine="0"/>
              <w:jc w:val="center"/>
              <w:rPr>
                <w:rFonts w:ascii="Times New Roman" w:hAnsi="Times New Roman" w:cs="Times New Roman"/>
                <w:color w:val="auto"/>
              </w:rPr>
            </w:pPr>
          </w:p>
        </w:tc>
      </w:tr>
      <w:tr w:rsidR="00395E37" w:rsidRPr="004750F4" w14:paraId="0B36B3E4"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3699E914"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54.</w:t>
            </w:r>
          </w:p>
        </w:tc>
        <w:tc>
          <w:tcPr>
            <w:tcW w:w="2355" w:type="dxa"/>
            <w:tcBorders>
              <w:top w:val="single" w:sz="4" w:space="0" w:color="000000"/>
              <w:left w:val="single" w:sz="4" w:space="0" w:color="000000"/>
              <w:bottom w:val="single" w:sz="4" w:space="0" w:color="000000"/>
              <w:right w:val="single" w:sz="4" w:space="0" w:color="000000"/>
            </w:tcBorders>
          </w:tcPr>
          <w:p w14:paraId="498F76FC"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VJEVERICA</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1FD48FC5"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Ksaverska cesta 14 </w:t>
            </w:r>
          </w:p>
        </w:tc>
        <w:tc>
          <w:tcPr>
            <w:tcW w:w="1313" w:type="dxa"/>
            <w:tcBorders>
              <w:top w:val="single" w:sz="4" w:space="0" w:color="000000"/>
              <w:left w:val="single" w:sz="4" w:space="0" w:color="000000"/>
              <w:bottom w:val="single" w:sz="4" w:space="0" w:color="000000"/>
              <w:right w:val="single" w:sz="4" w:space="0" w:color="000000"/>
            </w:tcBorders>
          </w:tcPr>
          <w:p w14:paraId="389C3376"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530</w:t>
            </w:r>
          </w:p>
        </w:tc>
        <w:tc>
          <w:tcPr>
            <w:tcW w:w="1277" w:type="dxa"/>
            <w:tcBorders>
              <w:top w:val="single" w:sz="4" w:space="0" w:color="000000"/>
              <w:left w:val="single" w:sz="4" w:space="0" w:color="000000"/>
              <w:bottom w:val="single" w:sz="4" w:space="0" w:color="000000"/>
              <w:right w:val="single" w:sz="4" w:space="0" w:color="000000"/>
            </w:tcBorders>
          </w:tcPr>
          <w:p w14:paraId="5B6F06DD"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700</w:t>
            </w:r>
          </w:p>
        </w:tc>
        <w:tc>
          <w:tcPr>
            <w:tcW w:w="1032" w:type="dxa"/>
            <w:tcBorders>
              <w:top w:val="single" w:sz="4" w:space="0" w:color="000000"/>
              <w:left w:val="single" w:sz="4" w:space="0" w:color="000000"/>
              <w:bottom w:val="single" w:sz="4" w:space="0" w:color="000000"/>
              <w:right w:val="single" w:sz="4" w:space="0" w:color="000000"/>
            </w:tcBorders>
          </w:tcPr>
          <w:p w14:paraId="4D6733B0"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1974.</w:t>
            </w:r>
          </w:p>
        </w:tc>
      </w:tr>
      <w:tr w:rsidR="00395E37" w:rsidRPr="004750F4" w14:paraId="7EE8F7B2"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4C9FFA35"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55.</w:t>
            </w:r>
          </w:p>
        </w:tc>
        <w:tc>
          <w:tcPr>
            <w:tcW w:w="2355" w:type="dxa"/>
            <w:tcBorders>
              <w:top w:val="single" w:sz="4" w:space="0" w:color="000000"/>
              <w:left w:val="single" w:sz="4" w:space="0" w:color="000000"/>
              <w:bottom w:val="single" w:sz="4" w:space="0" w:color="000000"/>
              <w:right w:val="single" w:sz="4" w:space="0" w:color="000000"/>
            </w:tcBorders>
          </w:tcPr>
          <w:p w14:paraId="304EAEE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VLADIMIR</w:t>
            </w:r>
            <w:r w:rsidR="00833C7D" w:rsidRPr="0032536A">
              <w:rPr>
                <w:rFonts w:ascii="Times New Roman" w:hAnsi="Times New Roman" w:cs="Times New Roman"/>
                <w:color w:val="auto"/>
              </w:rPr>
              <w:t>A</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NAZOR</w:t>
            </w:r>
            <w:r w:rsidR="00833C7D" w:rsidRPr="0032536A">
              <w:rPr>
                <w:rFonts w:ascii="Times New Roman" w:hAnsi="Times New Roman" w:cs="Times New Roman"/>
                <w:color w:val="auto"/>
              </w:rPr>
              <w:t>A</w:t>
            </w:r>
          </w:p>
        </w:tc>
        <w:tc>
          <w:tcPr>
            <w:tcW w:w="2355" w:type="dxa"/>
            <w:tcBorders>
              <w:top w:val="single" w:sz="4" w:space="0" w:color="000000"/>
              <w:left w:val="single" w:sz="4" w:space="0" w:color="000000"/>
              <w:bottom w:val="single" w:sz="4" w:space="0" w:color="000000"/>
              <w:right w:val="single" w:sz="4" w:space="0" w:color="000000"/>
            </w:tcBorders>
          </w:tcPr>
          <w:p w14:paraId="5599949C"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Rapska ulica 1 </w:t>
            </w:r>
          </w:p>
        </w:tc>
        <w:tc>
          <w:tcPr>
            <w:tcW w:w="1313" w:type="dxa"/>
            <w:tcBorders>
              <w:top w:val="single" w:sz="4" w:space="0" w:color="000000"/>
              <w:left w:val="single" w:sz="4" w:space="0" w:color="000000"/>
              <w:bottom w:val="single" w:sz="4" w:space="0" w:color="000000"/>
              <w:right w:val="single" w:sz="4" w:space="0" w:color="000000"/>
            </w:tcBorders>
          </w:tcPr>
          <w:p w14:paraId="7FE70EB1"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450</w:t>
            </w:r>
          </w:p>
        </w:tc>
        <w:tc>
          <w:tcPr>
            <w:tcW w:w="1277" w:type="dxa"/>
            <w:tcBorders>
              <w:top w:val="single" w:sz="4" w:space="0" w:color="000000"/>
              <w:left w:val="single" w:sz="4" w:space="0" w:color="000000"/>
              <w:bottom w:val="single" w:sz="4" w:space="0" w:color="000000"/>
              <w:right w:val="single" w:sz="4" w:space="0" w:color="000000"/>
            </w:tcBorders>
          </w:tcPr>
          <w:p w14:paraId="5E2B9D53"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450</w:t>
            </w:r>
          </w:p>
        </w:tc>
        <w:tc>
          <w:tcPr>
            <w:tcW w:w="1032" w:type="dxa"/>
            <w:tcBorders>
              <w:top w:val="single" w:sz="4" w:space="0" w:color="000000"/>
              <w:left w:val="single" w:sz="4" w:space="0" w:color="000000"/>
              <w:bottom w:val="single" w:sz="4" w:space="0" w:color="000000"/>
              <w:right w:val="single" w:sz="4" w:space="0" w:color="000000"/>
            </w:tcBorders>
          </w:tcPr>
          <w:p w14:paraId="4A3F7143" w14:textId="77777777" w:rsidR="003F7A56" w:rsidRPr="0032536A" w:rsidRDefault="003F7A56" w:rsidP="001D6E3A">
            <w:pPr>
              <w:spacing w:after="0" w:line="240" w:lineRule="auto"/>
              <w:ind w:left="0" w:right="0" w:firstLine="0"/>
              <w:jc w:val="center"/>
              <w:rPr>
                <w:rFonts w:ascii="Times New Roman" w:hAnsi="Times New Roman" w:cs="Times New Roman"/>
                <w:color w:val="auto"/>
              </w:rPr>
            </w:pPr>
          </w:p>
        </w:tc>
      </w:tr>
      <w:tr w:rsidR="00395E37" w:rsidRPr="004750F4" w14:paraId="65332F65"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4A735822"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56.</w:t>
            </w:r>
          </w:p>
        </w:tc>
        <w:tc>
          <w:tcPr>
            <w:tcW w:w="2355" w:type="dxa"/>
            <w:tcBorders>
              <w:top w:val="single" w:sz="4" w:space="0" w:color="000000"/>
              <w:left w:val="single" w:sz="4" w:space="0" w:color="000000"/>
              <w:bottom w:val="single" w:sz="4" w:space="0" w:color="000000"/>
              <w:right w:val="single" w:sz="4" w:space="0" w:color="000000"/>
            </w:tcBorders>
          </w:tcPr>
          <w:p w14:paraId="4608DC8E"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VRAPČE</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5D020302"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Ulica Nikole</w:t>
            </w:r>
            <w:r w:rsidR="00710CC5" w:rsidRPr="0032536A">
              <w:rPr>
                <w:rFonts w:ascii="Times New Roman" w:hAnsi="Times New Roman" w:cs="Times New Roman"/>
                <w:color w:val="auto"/>
              </w:rPr>
              <w:t xml:space="preserve"> </w:t>
            </w:r>
            <w:r w:rsidRPr="0032536A">
              <w:rPr>
                <w:rFonts w:ascii="Times New Roman" w:hAnsi="Times New Roman" w:cs="Times New Roman"/>
                <w:color w:val="auto"/>
              </w:rPr>
              <w:t xml:space="preserve">Gorjanskog 7 </w:t>
            </w:r>
          </w:p>
        </w:tc>
        <w:tc>
          <w:tcPr>
            <w:tcW w:w="1313" w:type="dxa"/>
            <w:tcBorders>
              <w:top w:val="single" w:sz="4" w:space="0" w:color="000000"/>
              <w:left w:val="single" w:sz="4" w:space="0" w:color="000000"/>
              <w:bottom w:val="single" w:sz="4" w:space="0" w:color="000000"/>
              <w:right w:val="single" w:sz="4" w:space="0" w:color="000000"/>
            </w:tcBorders>
          </w:tcPr>
          <w:p w14:paraId="313A523F"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653</w:t>
            </w:r>
          </w:p>
        </w:tc>
        <w:tc>
          <w:tcPr>
            <w:tcW w:w="1277" w:type="dxa"/>
            <w:tcBorders>
              <w:top w:val="single" w:sz="4" w:space="0" w:color="000000"/>
              <w:left w:val="single" w:sz="4" w:space="0" w:color="000000"/>
              <w:bottom w:val="single" w:sz="4" w:space="0" w:color="000000"/>
              <w:right w:val="single" w:sz="4" w:space="0" w:color="000000"/>
            </w:tcBorders>
          </w:tcPr>
          <w:p w14:paraId="257211A8"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670</w:t>
            </w:r>
          </w:p>
        </w:tc>
        <w:tc>
          <w:tcPr>
            <w:tcW w:w="1032" w:type="dxa"/>
            <w:tcBorders>
              <w:top w:val="single" w:sz="4" w:space="0" w:color="000000"/>
              <w:left w:val="single" w:sz="4" w:space="0" w:color="000000"/>
              <w:bottom w:val="single" w:sz="4" w:space="0" w:color="000000"/>
              <w:right w:val="single" w:sz="4" w:space="0" w:color="000000"/>
            </w:tcBorders>
          </w:tcPr>
          <w:p w14:paraId="241C1A8C"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1979.</w:t>
            </w:r>
          </w:p>
        </w:tc>
      </w:tr>
      <w:tr w:rsidR="00395E37" w:rsidRPr="004750F4" w14:paraId="5EF922F2"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77AE1AEB" w14:textId="77777777" w:rsidR="003F7A56" w:rsidRPr="0032536A" w:rsidRDefault="003F7A56" w:rsidP="00710CC5">
            <w:pPr>
              <w:spacing w:after="0" w:line="240" w:lineRule="auto"/>
              <w:ind w:left="0" w:right="0" w:firstLine="0"/>
              <w:jc w:val="left"/>
              <w:rPr>
                <w:rFonts w:ascii="Times New Roman" w:hAnsi="Times New Roman" w:cs="Times New Roman"/>
                <w:color w:val="auto"/>
              </w:rPr>
            </w:pPr>
          </w:p>
        </w:tc>
        <w:tc>
          <w:tcPr>
            <w:tcW w:w="2355" w:type="dxa"/>
            <w:tcBorders>
              <w:top w:val="single" w:sz="4" w:space="0" w:color="000000"/>
              <w:left w:val="single" w:sz="4" w:space="0" w:color="000000"/>
              <w:bottom w:val="single" w:sz="4" w:space="0" w:color="000000"/>
              <w:right w:val="single" w:sz="4" w:space="0" w:color="000000"/>
            </w:tcBorders>
          </w:tcPr>
          <w:p w14:paraId="6D4B926B"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Podružnica </w:t>
            </w:r>
          </w:p>
        </w:tc>
        <w:tc>
          <w:tcPr>
            <w:tcW w:w="2355" w:type="dxa"/>
            <w:tcBorders>
              <w:top w:val="single" w:sz="4" w:space="0" w:color="000000"/>
              <w:left w:val="single" w:sz="4" w:space="0" w:color="000000"/>
              <w:bottom w:val="single" w:sz="4" w:space="0" w:color="000000"/>
              <w:right w:val="single" w:sz="4" w:space="0" w:color="000000"/>
            </w:tcBorders>
          </w:tcPr>
          <w:p w14:paraId="073D0631"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Vrabečak 5 </w:t>
            </w:r>
          </w:p>
        </w:tc>
        <w:tc>
          <w:tcPr>
            <w:tcW w:w="1313" w:type="dxa"/>
            <w:tcBorders>
              <w:top w:val="single" w:sz="4" w:space="0" w:color="000000"/>
              <w:left w:val="single" w:sz="4" w:space="0" w:color="000000"/>
              <w:bottom w:val="single" w:sz="4" w:space="0" w:color="000000"/>
              <w:right w:val="single" w:sz="4" w:space="0" w:color="000000"/>
            </w:tcBorders>
          </w:tcPr>
          <w:p w14:paraId="4B2327E5"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481</w:t>
            </w:r>
          </w:p>
        </w:tc>
        <w:tc>
          <w:tcPr>
            <w:tcW w:w="1277" w:type="dxa"/>
            <w:tcBorders>
              <w:top w:val="single" w:sz="4" w:space="0" w:color="000000"/>
              <w:left w:val="single" w:sz="4" w:space="0" w:color="000000"/>
              <w:bottom w:val="single" w:sz="4" w:space="0" w:color="000000"/>
              <w:right w:val="single" w:sz="4" w:space="0" w:color="000000"/>
            </w:tcBorders>
          </w:tcPr>
          <w:p w14:paraId="1EBE4879"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690</w:t>
            </w:r>
          </w:p>
        </w:tc>
        <w:tc>
          <w:tcPr>
            <w:tcW w:w="1032" w:type="dxa"/>
            <w:tcBorders>
              <w:top w:val="single" w:sz="4" w:space="0" w:color="000000"/>
              <w:left w:val="single" w:sz="4" w:space="0" w:color="000000"/>
              <w:bottom w:val="single" w:sz="4" w:space="0" w:color="000000"/>
              <w:right w:val="single" w:sz="4" w:space="0" w:color="000000"/>
            </w:tcBorders>
          </w:tcPr>
          <w:p w14:paraId="04EEF9FD"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1974.</w:t>
            </w:r>
          </w:p>
        </w:tc>
      </w:tr>
      <w:tr w:rsidR="00395E37" w:rsidRPr="004750F4" w14:paraId="5A138488"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16BE750F"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57.</w:t>
            </w:r>
          </w:p>
        </w:tc>
        <w:tc>
          <w:tcPr>
            <w:tcW w:w="2355" w:type="dxa"/>
            <w:tcBorders>
              <w:top w:val="single" w:sz="4" w:space="0" w:color="000000"/>
              <w:left w:val="single" w:sz="4" w:space="0" w:color="000000"/>
              <w:bottom w:val="single" w:sz="4" w:space="0" w:color="000000"/>
              <w:right w:val="single" w:sz="4" w:space="0" w:color="000000"/>
            </w:tcBorders>
          </w:tcPr>
          <w:p w14:paraId="239D7D71"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VRBIK</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6BE22C58"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Šetalište Jurija Gagarina 10 </w:t>
            </w:r>
          </w:p>
        </w:tc>
        <w:tc>
          <w:tcPr>
            <w:tcW w:w="1313" w:type="dxa"/>
            <w:tcBorders>
              <w:top w:val="single" w:sz="4" w:space="0" w:color="000000"/>
              <w:left w:val="single" w:sz="4" w:space="0" w:color="000000"/>
              <w:bottom w:val="single" w:sz="4" w:space="0" w:color="000000"/>
              <w:right w:val="single" w:sz="4" w:space="0" w:color="000000"/>
            </w:tcBorders>
          </w:tcPr>
          <w:p w14:paraId="5ECC1312"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675</w:t>
            </w:r>
          </w:p>
        </w:tc>
        <w:tc>
          <w:tcPr>
            <w:tcW w:w="1277" w:type="dxa"/>
            <w:tcBorders>
              <w:top w:val="single" w:sz="4" w:space="0" w:color="000000"/>
              <w:left w:val="single" w:sz="4" w:space="0" w:color="000000"/>
              <w:bottom w:val="single" w:sz="4" w:space="0" w:color="000000"/>
              <w:right w:val="single" w:sz="4" w:space="0" w:color="000000"/>
            </w:tcBorders>
          </w:tcPr>
          <w:p w14:paraId="560470FB"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600</w:t>
            </w:r>
          </w:p>
        </w:tc>
        <w:tc>
          <w:tcPr>
            <w:tcW w:w="1032" w:type="dxa"/>
            <w:tcBorders>
              <w:top w:val="single" w:sz="4" w:space="0" w:color="000000"/>
              <w:left w:val="single" w:sz="4" w:space="0" w:color="000000"/>
              <w:bottom w:val="single" w:sz="4" w:space="0" w:color="000000"/>
              <w:right w:val="single" w:sz="4" w:space="0" w:color="000000"/>
            </w:tcBorders>
          </w:tcPr>
          <w:p w14:paraId="036F260D"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1963.</w:t>
            </w:r>
          </w:p>
        </w:tc>
      </w:tr>
      <w:tr w:rsidR="00395E37" w:rsidRPr="004750F4" w14:paraId="6E3DB3D3"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39D03E02"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58.</w:t>
            </w:r>
          </w:p>
        </w:tc>
        <w:tc>
          <w:tcPr>
            <w:tcW w:w="2355" w:type="dxa"/>
            <w:tcBorders>
              <w:top w:val="single" w:sz="4" w:space="0" w:color="000000"/>
              <w:left w:val="single" w:sz="4" w:space="0" w:color="000000"/>
              <w:bottom w:val="single" w:sz="4" w:space="0" w:color="000000"/>
              <w:right w:val="single" w:sz="4" w:space="0" w:color="000000"/>
            </w:tcBorders>
          </w:tcPr>
          <w:p w14:paraId="04E79C16"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ZAPRUĐE</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445BA4C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Baburičina 11 </w:t>
            </w:r>
          </w:p>
        </w:tc>
        <w:tc>
          <w:tcPr>
            <w:tcW w:w="1313" w:type="dxa"/>
            <w:tcBorders>
              <w:top w:val="single" w:sz="4" w:space="0" w:color="000000"/>
              <w:left w:val="single" w:sz="4" w:space="0" w:color="000000"/>
              <w:bottom w:val="single" w:sz="4" w:space="0" w:color="000000"/>
              <w:right w:val="single" w:sz="4" w:space="0" w:color="000000"/>
            </w:tcBorders>
          </w:tcPr>
          <w:p w14:paraId="0ACE17C7"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500</w:t>
            </w:r>
          </w:p>
        </w:tc>
        <w:tc>
          <w:tcPr>
            <w:tcW w:w="1277" w:type="dxa"/>
            <w:tcBorders>
              <w:top w:val="single" w:sz="4" w:space="0" w:color="000000"/>
              <w:left w:val="single" w:sz="4" w:space="0" w:color="000000"/>
              <w:bottom w:val="single" w:sz="4" w:space="0" w:color="000000"/>
              <w:right w:val="single" w:sz="4" w:space="0" w:color="000000"/>
            </w:tcBorders>
          </w:tcPr>
          <w:p w14:paraId="1F72F5D3"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500</w:t>
            </w:r>
          </w:p>
        </w:tc>
        <w:tc>
          <w:tcPr>
            <w:tcW w:w="1032" w:type="dxa"/>
            <w:tcBorders>
              <w:top w:val="single" w:sz="4" w:space="0" w:color="000000"/>
              <w:left w:val="single" w:sz="4" w:space="0" w:color="000000"/>
              <w:bottom w:val="single" w:sz="4" w:space="0" w:color="000000"/>
              <w:right w:val="single" w:sz="4" w:space="0" w:color="000000"/>
            </w:tcBorders>
          </w:tcPr>
          <w:p w14:paraId="184D72E7"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1973.</w:t>
            </w:r>
          </w:p>
        </w:tc>
      </w:tr>
      <w:tr w:rsidR="00395E37" w:rsidRPr="004750F4" w14:paraId="7C8BC15C"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5028906D"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59.</w:t>
            </w:r>
          </w:p>
        </w:tc>
        <w:tc>
          <w:tcPr>
            <w:tcW w:w="2355" w:type="dxa"/>
            <w:tcBorders>
              <w:top w:val="single" w:sz="4" w:space="0" w:color="000000"/>
              <w:left w:val="single" w:sz="4" w:space="0" w:color="000000"/>
              <w:bottom w:val="single" w:sz="4" w:space="0" w:color="000000"/>
              <w:right w:val="single" w:sz="4" w:space="0" w:color="000000"/>
            </w:tcBorders>
          </w:tcPr>
          <w:p w14:paraId="3F39794B"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833C7D" w:rsidRPr="0032536A">
              <w:rPr>
                <w:rFonts w:ascii="Times New Roman" w:hAnsi="Times New Roman" w:cs="Times New Roman"/>
                <w:color w:val="auto"/>
              </w:rPr>
              <w:t>"</w:t>
            </w:r>
            <w:r w:rsidRPr="0032536A">
              <w:rPr>
                <w:rFonts w:ascii="Times New Roman" w:hAnsi="Times New Roman" w:cs="Times New Roman"/>
                <w:color w:val="auto"/>
              </w:rPr>
              <w:t>ZRNO</w:t>
            </w:r>
            <w:r w:rsidR="00833C7D" w:rsidRPr="0032536A">
              <w:rPr>
                <w:rFonts w:ascii="Times New Roman" w:hAnsi="Times New Roman" w:cs="Times New Roman"/>
                <w:color w:val="auto"/>
              </w:rPr>
              <w:t>"</w:t>
            </w:r>
          </w:p>
        </w:tc>
        <w:tc>
          <w:tcPr>
            <w:tcW w:w="2355" w:type="dxa"/>
            <w:tcBorders>
              <w:top w:val="single" w:sz="4" w:space="0" w:color="000000"/>
              <w:left w:val="single" w:sz="4" w:space="0" w:color="000000"/>
              <w:bottom w:val="single" w:sz="4" w:space="0" w:color="000000"/>
              <w:right w:val="single" w:sz="4" w:space="0" w:color="000000"/>
            </w:tcBorders>
          </w:tcPr>
          <w:p w14:paraId="1AEF07F7"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Ulica Nede</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 xml:space="preserve">Krmpotić 5 </w:t>
            </w:r>
          </w:p>
        </w:tc>
        <w:tc>
          <w:tcPr>
            <w:tcW w:w="1313" w:type="dxa"/>
            <w:tcBorders>
              <w:top w:val="single" w:sz="4" w:space="0" w:color="000000"/>
              <w:left w:val="single" w:sz="4" w:space="0" w:color="000000"/>
              <w:bottom w:val="single" w:sz="4" w:space="0" w:color="000000"/>
              <w:right w:val="single" w:sz="4" w:space="0" w:color="000000"/>
            </w:tcBorders>
          </w:tcPr>
          <w:p w14:paraId="5F1160C6"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380</w:t>
            </w:r>
          </w:p>
        </w:tc>
        <w:tc>
          <w:tcPr>
            <w:tcW w:w="1277" w:type="dxa"/>
            <w:tcBorders>
              <w:top w:val="single" w:sz="4" w:space="0" w:color="000000"/>
              <w:left w:val="single" w:sz="4" w:space="0" w:color="000000"/>
              <w:bottom w:val="single" w:sz="4" w:space="0" w:color="000000"/>
              <w:right w:val="single" w:sz="4" w:space="0" w:color="000000"/>
            </w:tcBorders>
          </w:tcPr>
          <w:p w14:paraId="38BA8829"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150</w:t>
            </w:r>
          </w:p>
        </w:tc>
        <w:tc>
          <w:tcPr>
            <w:tcW w:w="1032" w:type="dxa"/>
            <w:tcBorders>
              <w:top w:val="single" w:sz="4" w:space="0" w:color="000000"/>
              <w:left w:val="single" w:sz="4" w:space="0" w:color="000000"/>
              <w:bottom w:val="single" w:sz="4" w:space="0" w:color="000000"/>
              <w:right w:val="single" w:sz="4" w:space="0" w:color="000000"/>
            </w:tcBorders>
          </w:tcPr>
          <w:p w14:paraId="67066CE0"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1975.</w:t>
            </w:r>
          </w:p>
        </w:tc>
      </w:tr>
      <w:tr w:rsidR="00395E37" w:rsidRPr="004750F4" w14:paraId="3143DEFD" w14:textId="77777777" w:rsidTr="001B3FDF">
        <w:trPr>
          <w:cantSplit/>
        </w:trPr>
        <w:tc>
          <w:tcPr>
            <w:tcW w:w="740" w:type="dxa"/>
            <w:tcBorders>
              <w:top w:val="single" w:sz="4" w:space="0" w:color="000000"/>
              <w:left w:val="single" w:sz="4" w:space="0" w:color="000000"/>
              <w:bottom w:val="single" w:sz="4" w:space="0" w:color="000000"/>
              <w:right w:val="single" w:sz="4" w:space="0" w:color="000000"/>
            </w:tcBorders>
          </w:tcPr>
          <w:p w14:paraId="1885ED85" w14:textId="77777777" w:rsidR="003F7A56" w:rsidRPr="0032536A" w:rsidRDefault="00900184" w:rsidP="00710CC5">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60.</w:t>
            </w:r>
          </w:p>
        </w:tc>
        <w:tc>
          <w:tcPr>
            <w:tcW w:w="2355" w:type="dxa"/>
            <w:tcBorders>
              <w:top w:val="single" w:sz="4" w:space="0" w:color="000000"/>
              <w:left w:val="single" w:sz="4" w:space="0" w:color="000000"/>
              <w:bottom w:val="single" w:sz="4" w:space="0" w:color="000000"/>
              <w:right w:val="single" w:sz="4" w:space="0" w:color="000000"/>
            </w:tcBorders>
          </w:tcPr>
          <w:p w14:paraId="64F5CDF9"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ZVONČIĆ </w:t>
            </w:r>
          </w:p>
        </w:tc>
        <w:tc>
          <w:tcPr>
            <w:tcW w:w="2355" w:type="dxa"/>
            <w:tcBorders>
              <w:top w:val="single" w:sz="4" w:space="0" w:color="000000"/>
              <w:left w:val="single" w:sz="4" w:space="0" w:color="000000"/>
              <w:bottom w:val="single" w:sz="4" w:space="0" w:color="000000"/>
              <w:right w:val="single" w:sz="4" w:space="0" w:color="000000"/>
            </w:tcBorders>
          </w:tcPr>
          <w:p w14:paraId="44EBAE4F"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Hanamanova ulica 3A </w:t>
            </w:r>
          </w:p>
        </w:tc>
        <w:tc>
          <w:tcPr>
            <w:tcW w:w="1313" w:type="dxa"/>
            <w:tcBorders>
              <w:top w:val="single" w:sz="4" w:space="0" w:color="000000"/>
              <w:left w:val="single" w:sz="4" w:space="0" w:color="000000"/>
              <w:bottom w:val="single" w:sz="4" w:space="0" w:color="000000"/>
              <w:right w:val="single" w:sz="4" w:space="0" w:color="000000"/>
            </w:tcBorders>
          </w:tcPr>
          <w:p w14:paraId="208AF946"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400</w:t>
            </w:r>
          </w:p>
        </w:tc>
        <w:tc>
          <w:tcPr>
            <w:tcW w:w="1277" w:type="dxa"/>
            <w:tcBorders>
              <w:top w:val="single" w:sz="4" w:space="0" w:color="000000"/>
              <w:left w:val="single" w:sz="4" w:space="0" w:color="000000"/>
              <w:bottom w:val="single" w:sz="4" w:space="0" w:color="000000"/>
              <w:right w:val="single" w:sz="4" w:space="0" w:color="000000"/>
            </w:tcBorders>
          </w:tcPr>
          <w:p w14:paraId="0E89AD7A"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400</w:t>
            </w:r>
          </w:p>
        </w:tc>
        <w:tc>
          <w:tcPr>
            <w:tcW w:w="1032" w:type="dxa"/>
            <w:tcBorders>
              <w:top w:val="single" w:sz="4" w:space="0" w:color="000000"/>
              <w:left w:val="single" w:sz="4" w:space="0" w:color="000000"/>
              <w:bottom w:val="single" w:sz="4" w:space="0" w:color="000000"/>
              <w:right w:val="single" w:sz="4" w:space="0" w:color="000000"/>
            </w:tcBorders>
          </w:tcPr>
          <w:p w14:paraId="52D0D9E4"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1977.</w:t>
            </w:r>
          </w:p>
        </w:tc>
      </w:tr>
      <w:tr w:rsidR="00395E37" w:rsidRPr="004750F4" w14:paraId="072CEECE" w14:textId="77777777" w:rsidTr="001D6E3A">
        <w:trPr>
          <w:cantSplit/>
        </w:trPr>
        <w:tc>
          <w:tcPr>
            <w:tcW w:w="3095" w:type="dxa"/>
            <w:gridSpan w:val="2"/>
            <w:tcBorders>
              <w:top w:val="single" w:sz="4" w:space="0" w:color="000000"/>
              <w:left w:val="single" w:sz="4" w:space="0" w:color="000000"/>
              <w:bottom w:val="single" w:sz="4" w:space="0" w:color="000000"/>
              <w:right w:val="single" w:sz="4" w:space="0" w:color="000000"/>
            </w:tcBorders>
          </w:tcPr>
          <w:p w14:paraId="13CE5D9D" w14:textId="77777777" w:rsidR="003F7A56" w:rsidRPr="0032536A" w:rsidRDefault="00900184" w:rsidP="005142C4">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 xml:space="preserve">UKUPNO </w:t>
            </w:r>
          </w:p>
        </w:tc>
        <w:tc>
          <w:tcPr>
            <w:tcW w:w="2355" w:type="dxa"/>
            <w:tcBorders>
              <w:top w:val="single" w:sz="4" w:space="0" w:color="000000"/>
              <w:left w:val="single" w:sz="4" w:space="0" w:color="000000"/>
              <w:bottom w:val="single" w:sz="4" w:space="0" w:color="000000"/>
              <w:right w:val="single" w:sz="4" w:space="0" w:color="000000"/>
            </w:tcBorders>
          </w:tcPr>
          <w:p w14:paraId="6EEA115F" w14:textId="77777777" w:rsidR="003F7A56" w:rsidRPr="0032536A" w:rsidRDefault="00E40AC8"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 </w:t>
            </w:r>
          </w:p>
        </w:tc>
        <w:tc>
          <w:tcPr>
            <w:tcW w:w="1313" w:type="dxa"/>
            <w:tcBorders>
              <w:top w:val="single" w:sz="4" w:space="0" w:color="000000"/>
              <w:left w:val="single" w:sz="4" w:space="0" w:color="000000"/>
              <w:bottom w:val="single" w:sz="4" w:space="0" w:color="000000"/>
              <w:right w:val="single" w:sz="4" w:space="0" w:color="000000"/>
            </w:tcBorders>
          </w:tcPr>
          <w:p w14:paraId="24A95257"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33.590</w:t>
            </w:r>
          </w:p>
        </w:tc>
        <w:tc>
          <w:tcPr>
            <w:tcW w:w="1277" w:type="dxa"/>
            <w:tcBorders>
              <w:top w:val="single" w:sz="4" w:space="0" w:color="000000"/>
              <w:left w:val="single" w:sz="4" w:space="0" w:color="000000"/>
              <w:bottom w:val="single" w:sz="4" w:space="0" w:color="000000"/>
              <w:right w:val="single" w:sz="4" w:space="0" w:color="000000"/>
            </w:tcBorders>
          </w:tcPr>
          <w:p w14:paraId="0EC88B95" w14:textId="77777777" w:rsidR="003F7A56" w:rsidRPr="0032536A" w:rsidRDefault="00900184" w:rsidP="001D6E3A">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35.114</w:t>
            </w:r>
          </w:p>
        </w:tc>
        <w:tc>
          <w:tcPr>
            <w:tcW w:w="1032" w:type="dxa"/>
            <w:tcBorders>
              <w:top w:val="single" w:sz="4" w:space="0" w:color="000000"/>
              <w:left w:val="single" w:sz="4" w:space="0" w:color="000000"/>
              <w:bottom w:val="single" w:sz="4" w:space="0" w:color="000000"/>
              <w:right w:val="single" w:sz="4" w:space="0" w:color="000000"/>
            </w:tcBorders>
          </w:tcPr>
          <w:p w14:paraId="3E9F7A8B" w14:textId="77777777" w:rsidR="003F7A56" w:rsidRPr="0032536A" w:rsidRDefault="003F7A56" w:rsidP="001D6E3A">
            <w:pPr>
              <w:spacing w:after="0" w:line="240" w:lineRule="auto"/>
              <w:ind w:left="0" w:right="0" w:firstLine="0"/>
              <w:jc w:val="center"/>
              <w:rPr>
                <w:rFonts w:ascii="Times New Roman" w:hAnsi="Times New Roman" w:cs="Times New Roman"/>
                <w:color w:val="auto"/>
              </w:rPr>
            </w:pPr>
          </w:p>
        </w:tc>
      </w:tr>
    </w:tbl>
    <w:p w14:paraId="61D2132D" w14:textId="77777777" w:rsidR="00E40AC8" w:rsidRPr="0032536A" w:rsidRDefault="00900184" w:rsidP="00833C7D">
      <w:pPr>
        <w:spacing w:after="0" w:line="240" w:lineRule="auto"/>
        <w:ind w:left="-113" w:right="-113" w:firstLine="0"/>
        <w:jc w:val="center"/>
        <w:rPr>
          <w:rFonts w:ascii="Times New Roman" w:eastAsia="Calibri" w:hAnsi="Times New Roman" w:cs="Times New Roman"/>
          <w:i/>
          <w:color w:val="auto"/>
          <w:sz w:val="20"/>
        </w:rPr>
      </w:pPr>
      <w:r w:rsidRPr="0032536A">
        <w:rPr>
          <w:rFonts w:ascii="Times New Roman" w:eastAsia="Calibri" w:hAnsi="Times New Roman" w:cs="Times New Roman"/>
          <w:i/>
          <w:color w:val="auto"/>
          <w:sz w:val="20"/>
        </w:rPr>
        <w:t xml:space="preserve">Izvor: Gradski ured za obrazovanje; godine izgradnje </w:t>
      </w:r>
      <w:r w:rsidR="00EE6A22" w:rsidRPr="0032536A">
        <w:rPr>
          <w:rFonts w:ascii="Times New Roman" w:eastAsia="Calibri" w:hAnsi="Times New Roman" w:cs="Times New Roman"/>
          <w:i/>
          <w:color w:val="auto"/>
          <w:sz w:val="20"/>
        </w:rPr>
        <w:t>-</w:t>
      </w:r>
      <w:r w:rsidRPr="0032536A">
        <w:rPr>
          <w:rFonts w:ascii="Times New Roman" w:eastAsia="Calibri" w:hAnsi="Times New Roman" w:cs="Times New Roman"/>
          <w:i/>
          <w:color w:val="auto"/>
          <w:sz w:val="20"/>
        </w:rPr>
        <w:t xml:space="preserve"> Gradski ured za imovinsko</w:t>
      </w:r>
      <w:r w:rsidR="00EE6A22" w:rsidRPr="0032536A">
        <w:rPr>
          <w:rFonts w:ascii="Times New Roman" w:eastAsia="Calibri" w:hAnsi="Times New Roman" w:cs="Times New Roman"/>
          <w:i/>
          <w:color w:val="auto"/>
          <w:sz w:val="20"/>
        </w:rPr>
        <w:t>-</w:t>
      </w:r>
      <w:r w:rsidRPr="0032536A">
        <w:rPr>
          <w:rFonts w:ascii="Times New Roman" w:eastAsia="Calibri" w:hAnsi="Times New Roman" w:cs="Times New Roman"/>
          <w:i/>
          <w:color w:val="auto"/>
          <w:sz w:val="20"/>
        </w:rPr>
        <w:t xml:space="preserve">pravne poslove i imovinu </w:t>
      </w:r>
      <w:r w:rsidR="00833C7D" w:rsidRPr="0032536A">
        <w:rPr>
          <w:rFonts w:ascii="Times New Roman" w:eastAsia="Calibri" w:hAnsi="Times New Roman" w:cs="Times New Roman"/>
          <w:i/>
          <w:color w:val="auto"/>
          <w:sz w:val="20"/>
        </w:rPr>
        <w:t>Grada</w:t>
      </w:r>
    </w:p>
    <w:p w14:paraId="533683FB" w14:textId="77777777" w:rsidR="00710CC5" w:rsidRPr="0032536A" w:rsidRDefault="00710CC5" w:rsidP="005142C4">
      <w:pPr>
        <w:spacing w:after="0" w:line="240" w:lineRule="auto"/>
        <w:ind w:left="0" w:right="0" w:firstLine="0"/>
        <w:rPr>
          <w:rFonts w:ascii="Times New Roman" w:hAnsi="Times New Roman" w:cs="Times New Roman"/>
          <w:color w:val="auto"/>
          <w:sz w:val="24"/>
        </w:rPr>
      </w:pPr>
    </w:p>
    <w:p w14:paraId="6D721DD4" w14:textId="77777777" w:rsidR="00E40AC8" w:rsidRPr="0032536A" w:rsidRDefault="00900184" w:rsidP="00710CC5">
      <w:pPr>
        <w:spacing w:after="0" w:line="240" w:lineRule="auto"/>
        <w:ind w:left="0" w:right="0" w:firstLine="709"/>
        <w:rPr>
          <w:rFonts w:ascii="Times New Roman" w:hAnsi="Times New Roman" w:cs="Times New Roman"/>
          <w:color w:val="auto"/>
          <w:sz w:val="24"/>
        </w:rPr>
      </w:pPr>
      <w:r w:rsidRPr="0032536A">
        <w:rPr>
          <w:rFonts w:ascii="Times New Roman" w:hAnsi="Times New Roman" w:cs="Times New Roman"/>
          <w:color w:val="auto"/>
          <w:sz w:val="24"/>
        </w:rPr>
        <w:lastRenderedPageBreak/>
        <w:t xml:space="preserve">Na području Grada Zagreba postoje i 62 privatna i vjerska dječja vrtića u koje je moguće smjestiti ukupno </w:t>
      </w:r>
      <w:r w:rsidRPr="0032536A">
        <w:rPr>
          <w:rFonts w:ascii="Times New Roman" w:hAnsi="Times New Roman" w:cs="Times New Roman"/>
          <w:b/>
          <w:color w:val="auto"/>
          <w:sz w:val="24"/>
        </w:rPr>
        <w:t>5</w:t>
      </w:r>
      <w:r w:rsidR="00833C7D" w:rsidRPr="0032536A">
        <w:rPr>
          <w:rFonts w:ascii="Times New Roman" w:hAnsi="Times New Roman" w:cs="Times New Roman"/>
          <w:b/>
          <w:color w:val="auto"/>
          <w:sz w:val="24"/>
        </w:rPr>
        <w:t> </w:t>
      </w:r>
      <w:r w:rsidRPr="0032536A">
        <w:rPr>
          <w:rFonts w:ascii="Times New Roman" w:hAnsi="Times New Roman" w:cs="Times New Roman"/>
          <w:b/>
          <w:color w:val="auto"/>
          <w:sz w:val="24"/>
        </w:rPr>
        <w:t>066</w:t>
      </w:r>
      <w:r w:rsidRPr="0032536A">
        <w:rPr>
          <w:rFonts w:ascii="Times New Roman" w:hAnsi="Times New Roman" w:cs="Times New Roman"/>
          <w:color w:val="auto"/>
          <w:sz w:val="24"/>
        </w:rPr>
        <w:t xml:space="preserve"> korisnika te pripremiti </w:t>
      </w:r>
      <w:r w:rsidRPr="0032536A">
        <w:rPr>
          <w:rFonts w:ascii="Times New Roman" w:hAnsi="Times New Roman" w:cs="Times New Roman"/>
          <w:b/>
          <w:color w:val="auto"/>
          <w:sz w:val="24"/>
        </w:rPr>
        <w:t>3</w:t>
      </w:r>
      <w:r w:rsidR="00833C7D" w:rsidRPr="0032536A">
        <w:rPr>
          <w:rFonts w:ascii="Times New Roman" w:hAnsi="Times New Roman" w:cs="Times New Roman"/>
          <w:b/>
          <w:color w:val="auto"/>
          <w:sz w:val="24"/>
        </w:rPr>
        <w:t> </w:t>
      </w:r>
      <w:r w:rsidRPr="0032536A">
        <w:rPr>
          <w:rFonts w:ascii="Times New Roman" w:hAnsi="Times New Roman" w:cs="Times New Roman"/>
          <w:b/>
          <w:color w:val="auto"/>
          <w:sz w:val="24"/>
        </w:rPr>
        <w:t>116</w:t>
      </w:r>
      <w:r w:rsidRPr="0032536A">
        <w:rPr>
          <w:rFonts w:ascii="Times New Roman" w:hAnsi="Times New Roman" w:cs="Times New Roman"/>
          <w:color w:val="auto"/>
          <w:sz w:val="24"/>
        </w:rPr>
        <w:t xml:space="preserve"> obroka na dan.</w:t>
      </w:r>
    </w:p>
    <w:p w14:paraId="4B3603EB" w14:textId="72413219" w:rsidR="00807FE3" w:rsidRDefault="00807FE3">
      <w:pPr>
        <w:spacing w:after="0" w:line="240" w:lineRule="auto"/>
        <w:ind w:right="0"/>
        <w:rPr>
          <w:rFonts w:ascii="Times New Roman" w:hAnsi="Times New Roman" w:cs="Times New Roman"/>
          <w:color w:val="auto"/>
          <w:sz w:val="24"/>
        </w:rPr>
      </w:pPr>
    </w:p>
    <w:p w14:paraId="23372C60" w14:textId="2ABAA792" w:rsidR="00710CC5" w:rsidRPr="0032536A" w:rsidRDefault="00900184" w:rsidP="009D5EFE">
      <w:pPr>
        <w:spacing w:line="240" w:lineRule="auto"/>
        <w:ind w:left="0" w:right="0" w:firstLine="0"/>
        <w:jc w:val="center"/>
        <w:rPr>
          <w:rFonts w:ascii="Times New Roman" w:hAnsi="Times New Roman" w:cs="Times New Roman"/>
          <w:color w:val="auto"/>
          <w:sz w:val="24"/>
        </w:rPr>
      </w:pPr>
      <w:r w:rsidRPr="0032536A">
        <w:rPr>
          <w:rFonts w:ascii="Times New Roman" w:hAnsi="Times New Roman" w:cs="Times New Roman"/>
          <w:b/>
          <w:color w:val="auto"/>
          <w:sz w:val="24"/>
        </w:rPr>
        <w:t>Tablica 1</w:t>
      </w:r>
      <w:r w:rsidR="00E12671">
        <w:rPr>
          <w:rFonts w:ascii="Times New Roman" w:hAnsi="Times New Roman" w:cs="Times New Roman"/>
          <w:b/>
          <w:color w:val="auto"/>
          <w:sz w:val="24"/>
        </w:rPr>
        <w:t>1</w:t>
      </w:r>
      <w:r w:rsidRPr="0032536A">
        <w:rPr>
          <w:rFonts w:ascii="Times New Roman" w:hAnsi="Times New Roman" w:cs="Times New Roman"/>
          <w:b/>
          <w:color w:val="auto"/>
          <w:sz w:val="24"/>
        </w:rPr>
        <w:t>. Popis privatnih i vjerskih dječjih vrtića</w:t>
      </w:r>
    </w:p>
    <w:tbl>
      <w:tblPr>
        <w:tblStyle w:val="TableGrid"/>
        <w:tblW w:w="9071" w:type="dxa"/>
        <w:tblInd w:w="-5" w:type="dxa"/>
        <w:tblLayout w:type="fixed"/>
        <w:tblCellMar>
          <w:top w:w="7" w:type="dxa"/>
          <w:left w:w="57" w:type="dxa"/>
          <w:right w:w="57" w:type="dxa"/>
        </w:tblCellMar>
        <w:tblLook w:val="04A0" w:firstRow="1" w:lastRow="0" w:firstColumn="1" w:lastColumn="0" w:noHBand="0" w:noVBand="1"/>
      </w:tblPr>
      <w:tblGrid>
        <w:gridCol w:w="658"/>
        <w:gridCol w:w="2744"/>
        <w:gridCol w:w="2694"/>
        <w:gridCol w:w="1482"/>
        <w:gridCol w:w="1493"/>
      </w:tblGrid>
      <w:tr w:rsidR="003F7A56" w:rsidRPr="004750F4" w14:paraId="2FE8CE06" w14:textId="77777777" w:rsidTr="00833C7D">
        <w:trPr>
          <w:cantSplit/>
          <w:tblHeader/>
        </w:trPr>
        <w:tc>
          <w:tcPr>
            <w:tcW w:w="9071" w:type="dxa"/>
            <w:gridSpan w:val="5"/>
            <w:tcBorders>
              <w:top w:val="single" w:sz="4" w:space="0" w:color="000000"/>
              <w:left w:val="single" w:sz="4" w:space="0" w:color="000000"/>
              <w:bottom w:val="single" w:sz="4" w:space="0" w:color="000000"/>
              <w:right w:val="single" w:sz="4" w:space="0" w:color="000000"/>
            </w:tcBorders>
            <w:shd w:val="clear" w:color="auto" w:fill="FFC000"/>
          </w:tcPr>
          <w:p w14:paraId="16AE1859" w14:textId="77777777" w:rsidR="003F7A56" w:rsidRPr="0032536A" w:rsidRDefault="00900184" w:rsidP="005142C4">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 xml:space="preserve">PRIVATNI I VJERSKI DJEČJI VRTIĆI </w:t>
            </w:r>
          </w:p>
        </w:tc>
      </w:tr>
      <w:tr w:rsidR="003F7A56" w:rsidRPr="004750F4" w14:paraId="79C77EA2" w14:textId="77777777" w:rsidTr="00833C7D">
        <w:trPr>
          <w:cantSplit/>
          <w:tblHeader/>
        </w:trPr>
        <w:tc>
          <w:tcPr>
            <w:tcW w:w="658" w:type="dxa"/>
            <w:tcBorders>
              <w:top w:val="single" w:sz="4" w:space="0" w:color="000000"/>
              <w:left w:val="single" w:sz="4" w:space="0" w:color="000000"/>
              <w:bottom w:val="single" w:sz="4" w:space="0" w:color="000000"/>
              <w:right w:val="single" w:sz="4" w:space="0" w:color="000000"/>
            </w:tcBorders>
            <w:shd w:val="clear" w:color="auto" w:fill="FFC000"/>
          </w:tcPr>
          <w:p w14:paraId="11347ECB"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Redni broj </w:t>
            </w:r>
          </w:p>
        </w:tc>
        <w:tc>
          <w:tcPr>
            <w:tcW w:w="2744" w:type="dxa"/>
            <w:tcBorders>
              <w:top w:val="single" w:sz="4" w:space="0" w:color="000000"/>
              <w:left w:val="single" w:sz="4" w:space="0" w:color="000000"/>
              <w:bottom w:val="single" w:sz="4" w:space="0" w:color="000000"/>
              <w:right w:val="single" w:sz="4" w:space="0" w:color="000000"/>
            </w:tcBorders>
            <w:shd w:val="clear" w:color="auto" w:fill="FFC000"/>
          </w:tcPr>
          <w:p w14:paraId="25F0F795"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Naziv ustanove </w:t>
            </w:r>
          </w:p>
        </w:tc>
        <w:tc>
          <w:tcPr>
            <w:tcW w:w="2694" w:type="dxa"/>
            <w:tcBorders>
              <w:top w:val="single" w:sz="4" w:space="0" w:color="000000"/>
              <w:left w:val="single" w:sz="4" w:space="0" w:color="000000"/>
              <w:bottom w:val="single" w:sz="4" w:space="0" w:color="000000"/>
              <w:right w:val="single" w:sz="4" w:space="0" w:color="000000"/>
            </w:tcBorders>
            <w:shd w:val="clear" w:color="auto" w:fill="FFC000"/>
          </w:tcPr>
          <w:p w14:paraId="2856CDB2"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Adresa ustanove </w:t>
            </w:r>
          </w:p>
        </w:tc>
        <w:tc>
          <w:tcPr>
            <w:tcW w:w="1482" w:type="dxa"/>
            <w:tcBorders>
              <w:top w:val="single" w:sz="4" w:space="0" w:color="000000"/>
              <w:left w:val="single" w:sz="4" w:space="0" w:color="000000"/>
              <w:bottom w:val="single" w:sz="4" w:space="0" w:color="000000"/>
              <w:right w:val="single" w:sz="4" w:space="0" w:color="000000"/>
            </w:tcBorders>
            <w:shd w:val="clear" w:color="auto" w:fill="FFC000"/>
          </w:tcPr>
          <w:p w14:paraId="251DF2D8" w14:textId="77777777" w:rsidR="003F7A56" w:rsidRPr="0032536A" w:rsidRDefault="00900184" w:rsidP="00DF12ED">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Kapacitet ustanove</w:t>
            </w:r>
            <w:r w:rsidR="00DF12ED" w:rsidRPr="0032536A">
              <w:rPr>
                <w:rFonts w:ascii="Times New Roman" w:hAnsi="Times New Roman" w:cs="Times New Roman"/>
                <w:color w:val="auto"/>
              </w:rPr>
              <w:t xml:space="preserve"> </w:t>
            </w:r>
            <w:r w:rsidRPr="0032536A">
              <w:rPr>
                <w:rFonts w:ascii="Times New Roman" w:hAnsi="Times New Roman" w:cs="Times New Roman"/>
                <w:color w:val="auto"/>
              </w:rPr>
              <w:t>(maksimalan broj</w:t>
            </w:r>
            <w:r w:rsidR="00DF12ED" w:rsidRPr="0032536A">
              <w:rPr>
                <w:rFonts w:ascii="Times New Roman" w:hAnsi="Times New Roman" w:cs="Times New Roman"/>
                <w:color w:val="auto"/>
              </w:rPr>
              <w:t xml:space="preserve"> </w:t>
            </w:r>
            <w:r w:rsidRPr="0032536A">
              <w:rPr>
                <w:rFonts w:ascii="Times New Roman" w:hAnsi="Times New Roman" w:cs="Times New Roman"/>
                <w:color w:val="auto"/>
              </w:rPr>
              <w:t xml:space="preserve">korisnika ustanove) </w:t>
            </w:r>
          </w:p>
        </w:tc>
        <w:tc>
          <w:tcPr>
            <w:tcW w:w="1493" w:type="dxa"/>
            <w:tcBorders>
              <w:top w:val="single" w:sz="4" w:space="0" w:color="000000"/>
              <w:left w:val="single" w:sz="4" w:space="0" w:color="000000"/>
              <w:bottom w:val="single" w:sz="4" w:space="0" w:color="000000"/>
              <w:right w:val="single" w:sz="4" w:space="0" w:color="000000"/>
            </w:tcBorders>
            <w:shd w:val="clear" w:color="auto" w:fill="FFC000"/>
          </w:tcPr>
          <w:p w14:paraId="08F9FF65" w14:textId="77777777" w:rsidR="003F7A56" w:rsidRPr="0032536A" w:rsidRDefault="00900184" w:rsidP="00DF12ED">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Kapacitet pripremanja hrane (broj obroka/dan koje ustanova</w:t>
            </w:r>
            <w:r w:rsidR="00DF12ED" w:rsidRPr="0032536A">
              <w:rPr>
                <w:rFonts w:ascii="Times New Roman" w:hAnsi="Times New Roman" w:cs="Times New Roman"/>
                <w:color w:val="auto"/>
              </w:rPr>
              <w:t xml:space="preserve"> </w:t>
            </w:r>
            <w:r w:rsidRPr="0032536A">
              <w:rPr>
                <w:rFonts w:ascii="Times New Roman" w:hAnsi="Times New Roman" w:cs="Times New Roman"/>
                <w:color w:val="auto"/>
              </w:rPr>
              <w:t>može</w:t>
            </w:r>
            <w:r w:rsidR="00DF12ED" w:rsidRPr="0032536A">
              <w:rPr>
                <w:rFonts w:ascii="Times New Roman" w:hAnsi="Times New Roman" w:cs="Times New Roman"/>
                <w:color w:val="auto"/>
              </w:rPr>
              <w:t xml:space="preserve"> </w:t>
            </w:r>
            <w:r w:rsidRPr="0032536A">
              <w:rPr>
                <w:rFonts w:ascii="Times New Roman" w:hAnsi="Times New Roman" w:cs="Times New Roman"/>
                <w:color w:val="auto"/>
              </w:rPr>
              <w:t xml:space="preserve">pripremiti) </w:t>
            </w:r>
          </w:p>
        </w:tc>
      </w:tr>
      <w:tr w:rsidR="003F7A56" w:rsidRPr="004750F4" w14:paraId="7CEFC04A"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75520ED9"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1. </w:t>
            </w:r>
          </w:p>
        </w:tc>
        <w:tc>
          <w:tcPr>
            <w:tcW w:w="2744" w:type="dxa"/>
            <w:tcBorders>
              <w:top w:val="single" w:sz="4" w:space="0" w:color="000000"/>
              <w:left w:val="single" w:sz="4" w:space="0" w:color="000000"/>
              <w:bottom w:val="single" w:sz="4" w:space="0" w:color="000000"/>
              <w:right w:val="single" w:sz="4" w:space="0" w:color="000000"/>
            </w:tcBorders>
          </w:tcPr>
          <w:p w14:paraId="6810A0BA"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BALTAZAR </w:t>
            </w:r>
          </w:p>
        </w:tc>
        <w:tc>
          <w:tcPr>
            <w:tcW w:w="2694" w:type="dxa"/>
            <w:tcBorders>
              <w:top w:val="single" w:sz="4" w:space="0" w:color="000000"/>
              <w:left w:val="single" w:sz="4" w:space="0" w:color="000000"/>
              <w:bottom w:val="single" w:sz="4" w:space="0" w:color="000000"/>
              <w:right w:val="single" w:sz="4" w:space="0" w:color="000000"/>
            </w:tcBorders>
          </w:tcPr>
          <w:p w14:paraId="60F2F030" w14:textId="77777777" w:rsidR="003F7A56" w:rsidRPr="0032536A" w:rsidRDefault="00833C7D"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 d</w:t>
            </w:r>
            <w:r w:rsidR="00900184" w:rsidRPr="0032536A">
              <w:rPr>
                <w:rFonts w:ascii="Times New Roman" w:hAnsi="Times New Roman" w:cs="Times New Roman"/>
                <w:color w:val="auto"/>
              </w:rPr>
              <w:t xml:space="preserve">on Frane Bulića 23a, Popovec </w:t>
            </w:r>
          </w:p>
        </w:tc>
        <w:tc>
          <w:tcPr>
            <w:tcW w:w="1482" w:type="dxa"/>
            <w:tcBorders>
              <w:top w:val="single" w:sz="4" w:space="0" w:color="000000"/>
              <w:left w:val="single" w:sz="4" w:space="0" w:color="000000"/>
              <w:bottom w:val="single" w:sz="4" w:space="0" w:color="000000"/>
              <w:right w:val="single" w:sz="4" w:space="0" w:color="000000"/>
            </w:tcBorders>
          </w:tcPr>
          <w:p w14:paraId="62F53B80"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110</w:t>
            </w:r>
          </w:p>
        </w:tc>
        <w:tc>
          <w:tcPr>
            <w:tcW w:w="1493" w:type="dxa"/>
            <w:tcBorders>
              <w:top w:val="single" w:sz="4" w:space="0" w:color="000000"/>
              <w:left w:val="single" w:sz="4" w:space="0" w:color="000000"/>
              <w:bottom w:val="single" w:sz="4" w:space="0" w:color="000000"/>
              <w:right w:val="single" w:sz="4" w:space="0" w:color="000000"/>
            </w:tcBorders>
          </w:tcPr>
          <w:p w14:paraId="74F88413"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1F5516AE"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14B0CC99"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2. </w:t>
            </w:r>
          </w:p>
        </w:tc>
        <w:tc>
          <w:tcPr>
            <w:tcW w:w="2744" w:type="dxa"/>
            <w:tcBorders>
              <w:top w:val="single" w:sz="4" w:space="0" w:color="000000"/>
              <w:left w:val="single" w:sz="4" w:space="0" w:color="000000"/>
              <w:bottom w:val="single" w:sz="4" w:space="0" w:color="000000"/>
              <w:right w:val="single" w:sz="4" w:space="0" w:color="000000"/>
            </w:tcBorders>
          </w:tcPr>
          <w:p w14:paraId="5DA5CAD8"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BAMBI </w:t>
            </w:r>
          </w:p>
        </w:tc>
        <w:tc>
          <w:tcPr>
            <w:tcW w:w="2694" w:type="dxa"/>
            <w:tcBorders>
              <w:top w:val="single" w:sz="4" w:space="0" w:color="000000"/>
              <w:left w:val="single" w:sz="4" w:space="0" w:color="000000"/>
              <w:bottom w:val="single" w:sz="4" w:space="0" w:color="000000"/>
              <w:right w:val="single" w:sz="4" w:space="0" w:color="000000"/>
            </w:tcBorders>
          </w:tcPr>
          <w:p w14:paraId="3C63A253" w14:textId="77777777" w:rsidR="00E40AC8"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PO Mendlova 1, Zagreb</w:t>
            </w:r>
          </w:p>
          <w:p w14:paraId="55572C88"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(sjedište: Gorička 17,</w:t>
            </w:r>
            <w:r w:rsidR="00E40AC8" w:rsidRPr="0032536A">
              <w:rPr>
                <w:rFonts w:ascii="Times New Roman" w:hAnsi="Times New Roman" w:cs="Times New Roman"/>
                <w:color w:val="auto"/>
              </w:rPr>
              <w:t xml:space="preserve"> </w:t>
            </w:r>
            <w:r w:rsidRPr="0032536A">
              <w:rPr>
                <w:rFonts w:ascii="Times New Roman" w:hAnsi="Times New Roman" w:cs="Times New Roman"/>
                <w:color w:val="auto"/>
              </w:rPr>
              <w:t xml:space="preserve">Marija Gorica) </w:t>
            </w:r>
          </w:p>
        </w:tc>
        <w:tc>
          <w:tcPr>
            <w:tcW w:w="1482" w:type="dxa"/>
            <w:tcBorders>
              <w:top w:val="single" w:sz="4" w:space="0" w:color="000000"/>
              <w:left w:val="single" w:sz="4" w:space="0" w:color="000000"/>
              <w:bottom w:val="single" w:sz="4" w:space="0" w:color="000000"/>
              <w:right w:val="single" w:sz="4" w:space="0" w:color="000000"/>
            </w:tcBorders>
          </w:tcPr>
          <w:p w14:paraId="0C544A35"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25</w:t>
            </w:r>
          </w:p>
        </w:tc>
        <w:tc>
          <w:tcPr>
            <w:tcW w:w="1493" w:type="dxa"/>
            <w:tcBorders>
              <w:top w:val="single" w:sz="4" w:space="0" w:color="000000"/>
              <w:left w:val="single" w:sz="4" w:space="0" w:color="000000"/>
              <w:bottom w:val="single" w:sz="4" w:space="0" w:color="000000"/>
              <w:right w:val="single" w:sz="4" w:space="0" w:color="000000"/>
            </w:tcBorders>
          </w:tcPr>
          <w:p w14:paraId="18AF7CD8"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300</w:t>
            </w:r>
          </w:p>
        </w:tc>
      </w:tr>
      <w:tr w:rsidR="003F7A56" w:rsidRPr="004750F4" w14:paraId="2754C5E6"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1E53CB22"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3. </w:t>
            </w:r>
          </w:p>
        </w:tc>
        <w:tc>
          <w:tcPr>
            <w:tcW w:w="2744" w:type="dxa"/>
            <w:tcBorders>
              <w:top w:val="single" w:sz="4" w:space="0" w:color="000000"/>
              <w:left w:val="single" w:sz="4" w:space="0" w:color="000000"/>
              <w:bottom w:val="single" w:sz="4" w:space="0" w:color="000000"/>
              <w:right w:val="single" w:sz="4" w:space="0" w:color="000000"/>
            </w:tcBorders>
          </w:tcPr>
          <w:p w14:paraId="0FA49A7E"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BLAŽENA HOZANA </w:t>
            </w:r>
          </w:p>
        </w:tc>
        <w:tc>
          <w:tcPr>
            <w:tcW w:w="2694" w:type="dxa"/>
            <w:tcBorders>
              <w:top w:val="single" w:sz="4" w:space="0" w:color="000000"/>
              <w:left w:val="single" w:sz="4" w:space="0" w:color="000000"/>
              <w:bottom w:val="single" w:sz="4" w:space="0" w:color="000000"/>
              <w:right w:val="single" w:sz="4" w:space="0" w:color="000000"/>
            </w:tcBorders>
          </w:tcPr>
          <w:p w14:paraId="38C77DA9"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Trg </w:t>
            </w:r>
            <w:r w:rsidR="00833C7D" w:rsidRPr="0032536A">
              <w:rPr>
                <w:rFonts w:ascii="Times New Roman" w:hAnsi="Times New Roman" w:cs="Times New Roman"/>
                <w:color w:val="auto"/>
              </w:rPr>
              <w:t xml:space="preserve">kardinala </w:t>
            </w:r>
            <w:r w:rsidRPr="0032536A">
              <w:rPr>
                <w:rFonts w:ascii="Times New Roman" w:hAnsi="Times New Roman" w:cs="Times New Roman"/>
                <w:color w:val="auto"/>
              </w:rPr>
              <w:t xml:space="preserve">Franje Šepera 2 </w:t>
            </w:r>
          </w:p>
        </w:tc>
        <w:tc>
          <w:tcPr>
            <w:tcW w:w="1482" w:type="dxa"/>
            <w:tcBorders>
              <w:top w:val="single" w:sz="4" w:space="0" w:color="000000"/>
              <w:left w:val="single" w:sz="4" w:space="0" w:color="000000"/>
              <w:bottom w:val="single" w:sz="4" w:space="0" w:color="000000"/>
              <w:right w:val="single" w:sz="4" w:space="0" w:color="000000"/>
            </w:tcBorders>
          </w:tcPr>
          <w:p w14:paraId="582C8479"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141</w:t>
            </w:r>
          </w:p>
        </w:tc>
        <w:tc>
          <w:tcPr>
            <w:tcW w:w="1493" w:type="dxa"/>
            <w:tcBorders>
              <w:top w:val="single" w:sz="4" w:space="0" w:color="000000"/>
              <w:left w:val="single" w:sz="4" w:space="0" w:color="000000"/>
              <w:bottom w:val="single" w:sz="4" w:space="0" w:color="000000"/>
              <w:right w:val="single" w:sz="4" w:space="0" w:color="000000"/>
            </w:tcBorders>
          </w:tcPr>
          <w:p w14:paraId="3EE30C1F"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300</w:t>
            </w:r>
          </w:p>
        </w:tc>
      </w:tr>
      <w:tr w:rsidR="003F7A56" w:rsidRPr="004750F4" w14:paraId="66922C84"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7A38CAB7"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4. </w:t>
            </w:r>
          </w:p>
        </w:tc>
        <w:tc>
          <w:tcPr>
            <w:tcW w:w="2744" w:type="dxa"/>
            <w:tcBorders>
              <w:top w:val="single" w:sz="4" w:space="0" w:color="000000"/>
              <w:left w:val="single" w:sz="4" w:space="0" w:color="000000"/>
              <w:bottom w:val="single" w:sz="4" w:space="0" w:color="000000"/>
              <w:right w:val="single" w:sz="4" w:space="0" w:color="000000"/>
            </w:tcBorders>
          </w:tcPr>
          <w:p w14:paraId="6FC5B73A"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BUBAMARA </w:t>
            </w:r>
          </w:p>
        </w:tc>
        <w:tc>
          <w:tcPr>
            <w:tcW w:w="2694" w:type="dxa"/>
            <w:tcBorders>
              <w:top w:val="single" w:sz="4" w:space="0" w:color="000000"/>
              <w:left w:val="single" w:sz="4" w:space="0" w:color="000000"/>
              <w:bottom w:val="single" w:sz="4" w:space="0" w:color="000000"/>
              <w:right w:val="single" w:sz="4" w:space="0" w:color="000000"/>
            </w:tcBorders>
          </w:tcPr>
          <w:p w14:paraId="0F1329E1"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Budimska ulica 20, Sesvete </w:t>
            </w:r>
          </w:p>
        </w:tc>
        <w:tc>
          <w:tcPr>
            <w:tcW w:w="1482" w:type="dxa"/>
            <w:tcBorders>
              <w:top w:val="single" w:sz="4" w:space="0" w:color="000000"/>
              <w:left w:val="single" w:sz="4" w:space="0" w:color="000000"/>
              <w:bottom w:val="single" w:sz="4" w:space="0" w:color="000000"/>
              <w:right w:val="single" w:sz="4" w:space="0" w:color="000000"/>
            </w:tcBorders>
          </w:tcPr>
          <w:p w14:paraId="6D3A4F50"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85</w:t>
            </w:r>
          </w:p>
        </w:tc>
        <w:tc>
          <w:tcPr>
            <w:tcW w:w="1493" w:type="dxa"/>
            <w:tcBorders>
              <w:top w:val="single" w:sz="4" w:space="0" w:color="000000"/>
              <w:left w:val="single" w:sz="4" w:space="0" w:color="000000"/>
              <w:bottom w:val="single" w:sz="4" w:space="0" w:color="000000"/>
              <w:right w:val="single" w:sz="4" w:space="0" w:color="000000"/>
            </w:tcBorders>
          </w:tcPr>
          <w:p w14:paraId="7101A134"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150</w:t>
            </w:r>
          </w:p>
        </w:tc>
      </w:tr>
      <w:tr w:rsidR="003F7A56" w:rsidRPr="004750F4" w14:paraId="79B99CA7"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10C2C210"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5. </w:t>
            </w:r>
          </w:p>
        </w:tc>
        <w:tc>
          <w:tcPr>
            <w:tcW w:w="2744" w:type="dxa"/>
            <w:tcBorders>
              <w:top w:val="single" w:sz="4" w:space="0" w:color="000000"/>
              <w:left w:val="single" w:sz="4" w:space="0" w:color="000000"/>
              <w:bottom w:val="single" w:sz="4" w:space="0" w:color="000000"/>
              <w:right w:val="single" w:sz="4" w:space="0" w:color="000000"/>
            </w:tcBorders>
          </w:tcPr>
          <w:p w14:paraId="1A9B87D4"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CICA MACA </w:t>
            </w:r>
          </w:p>
        </w:tc>
        <w:tc>
          <w:tcPr>
            <w:tcW w:w="2694" w:type="dxa"/>
            <w:tcBorders>
              <w:top w:val="single" w:sz="4" w:space="0" w:color="000000"/>
              <w:left w:val="single" w:sz="4" w:space="0" w:color="000000"/>
              <w:bottom w:val="single" w:sz="4" w:space="0" w:color="000000"/>
              <w:right w:val="single" w:sz="4" w:space="0" w:color="000000"/>
            </w:tcBorders>
          </w:tcPr>
          <w:p w14:paraId="5BB68357"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Jaruščica 9B </w:t>
            </w:r>
          </w:p>
        </w:tc>
        <w:tc>
          <w:tcPr>
            <w:tcW w:w="1482" w:type="dxa"/>
            <w:tcBorders>
              <w:top w:val="single" w:sz="4" w:space="0" w:color="000000"/>
              <w:left w:val="single" w:sz="4" w:space="0" w:color="000000"/>
              <w:bottom w:val="single" w:sz="4" w:space="0" w:color="000000"/>
              <w:right w:val="single" w:sz="4" w:space="0" w:color="000000"/>
            </w:tcBorders>
          </w:tcPr>
          <w:p w14:paraId="03D98AB5"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39</w:t>
            </w:r>
          </w:p>
        </w:tc>
        <w:tc>
          <w:tcPr>
            <w:tcW w:w="1493" w:type="dxa"/>
            <w:tcBorders>
              <w:top w:val="single" w:sz="4" w:space="0" w:color="000000"/>
              <w:left w:val="single" w:sz="4" w:space="0" w:color="000000"/>
              <w:bottom w:val="single" w:sz="4" w:space="0" w:color="000000"/>
              <w:right w:val="single" w:sz="4" w:space="0" w:color="000000"/>
            </w:tcBorders>
          </w:tcPr>
          <w:p w14:paraId="4BAAFD06"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662297C4"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60BBABD3"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6. </w:t>
            </w:r>
          </w:p>
        </w:tc>
        <w:tc>
          <w:tcPr>
            <w:tcW w:w="2744" w:type="dxa"/>
            <w:tcBorders>
              <w:top w:val="single" w:sz="4" w:space="0" w:color="000000"/>
              <w:left w:val="single" w:sz="4" w:space="0" w:color="000000"/>
              <w:bottom w:val="single" w:sz="4" w:space="0" w:color="000000"/>
              <w:right w:val="single" w:sz="4" w:space="0" w:color="000000"/>
            </w:tcBorders>
          </w:tcPr>
          <w:p w14:paraId="1ABBB2EB"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CVJETNJAK </w:t>
            </w:r>
          </w:p>
        </w:tc>
        <w:tc>
          <w:tcPr>
            <w:tcW w:w="2694" w:type="dxa"/>
            <w:tcBorders>
              <w:top w:val="single" w:sz="4" w:space="0" w:color="000000"/>
              <w:left w:val="single" w:sz="4" w:space="0" w:color="000000"/>
              <w:bottom w:val="single" w:sz="4" w:space="0" w:color="000000"/>
              <w:right w:val="single" w:sz="4" w:space="0" w:color="000000"/>
            </w:tcBorders>
          </w:tcPr>
          <w:p w14:paraId="2DCB9F1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Nova Ves 55 </w:t>
            </w:r>
          </w:p>
        </w:tc>
        <w:tc>
          <w:tcPr>
            <w:tcW w:w="1482" w:type="dxa"/>
            <w:tcBorders>
              <w:top w:val="single" w:sz="4" w:space="0" w:color="000000"/>
              <w:left w:val="single" w:sz="4" w:space="0" w:color="000000"/>
              <w:bottom w:val="single" w:sz="4" w:space="0" w:color="000000"/>
              <w:right w:val="single" w:sz="4" w:space="0" w:color="000000"/>
            </w:tcBorders>
          </w:tcPr>
          <w:p w14:paraId="77A3E8C8"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37</w:t>
            </w:r>
          </w:p>
        </w:tc>
        <w:tc>
          <w:tcPr>
            <w:tcW w:w="1493" w:type="dxa"/>
            <w:tcBorders>
              <w:top w:val="single" w:sz="4" w:space="0" w:color="000000"/>
              <w:left w:val="single" w:sz="4" w:space="0" w:color="000000"/>
              <w:bottom w:val="single" w:sz="4" w:space="0" w:color="000000"/>
              <w:right w:val="single" w:sz="4" w:space="0" w:color="000000"/>
            </w:tcBorders>
          </w:tcPr>
          <w:p w14:paraId="66264B46"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40</w:t>
            </w:r>
          </w:p>
        </w:tc>
      </w:tr>
      <w:tr w:rsidR="003F7A56" w:rsidRPr="004750F4" w14:paraId="6AC3C812"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58252427"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7. </w:t>
            </w:r>
          </w:p>
        </w:tc>
        <w:tc>
          <w:tcPr>
            <w:tcW w:w="2744" w:type="dxa"/>
            <w:tcBorders>
              <w:top w:val="single" w:sz="4" w:space="0" w:color="000000"/>
              <w:left w:val="single" w:sz="4" w:space="0" w:color="000000"/>
              <w:bottom w:val="single" w:sz="4" w:space="0" w:color="000000"/>
              <w:right w:val="single" w:sz="4" w:space="0" w:color="000000"/>
            </w:tcBorders>
          </w:tcPr>
          <w:p w14:paraId="23E8BFD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w:t>
            </w:r>
            <w:r w:rsidR="00DF12ED" w:rsidRPr="0032536A">
              <w:rPr>
                <w:rFonts w:ascii="Times New Roman" w:hAnsi="Times New Roman" w:cs="Times New Roman"/>
                <w:color w:val="auto"/>
              </w:rPr>
              <w:t xml:space="preserve"> </w:t>
            </w:r>
            <w:r w:rsidRPr="0032536A">
              <w:rPr>
                <w:rFonts w:ascii="Times New Roman" w:hAnsi="Times New Roman" w:cs="Times New Roman"/>
                <w:color w:val="auto"/>
              </w:rPr>
              <w:t xml:space="preserve">ČAROBNA KUĆICA </w:t>
            </w:r>
          </w:p>
        </w:tc>
        <w:tc>
          <w:tcPr>
            <w:tcW w:w="2694" w:type="dxa"/>
            <w:tcBorders>
              <w:top w:val="single" w:sz="4" w:space="0" w:color="000000"/>
              <w:left w:val="single" w:sz="4" w:space="0" w:color="000000"/>
              <w:bottom w:val="single" w:sz="4" w:space="0" w:color="000000"/>
              <w:right w:val="single" w:sz="4" w:space="0" w:color="000000"/>
            </w:tcBorders>
          </w:tcPr>
          <w:p w14:paraId="33155701"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Horvatnica 36 </w:t>
            </w:r>
          </w:p>
        </w:tc>
        <w:tc>
          <w:tcPr>
            <w:tcW w:w="1482" w:type="dxa"/>
            <w:tcBorders>
              <w:top w:val="single" w:sz="4" w:space="0" w:color="000000"/>
              <w:left w:val="single" w:sz="4" w:space="0" w:color="000000"/>
              <w:bottom w:val="single" w:sz="4" w:space="0" w:color="000000"/>
              <w:right w:val="single" w:sz="4" w:space="0" w:color="000000"/>
            </w:tcBorders>
          </w:tcPr>
          <w:p w14:paraId="54B79369"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68</w:t>
            </w:r>
          </w:p>
        </w:tc>
        <w:tc>
          <w:tcPr>
            <w:tcW w:w="1493" w:type="dxa"/>
            <w:tcBorders>
              <w:top w:val="single" w:sz="4" w:space="0" w:color="000000"/>
              <w:left w:val="single" w:sz="4" w:space="0" w:color="000000"/>
              <w:bottom w:val="single" w:sz="4" w:space="0" w:color="000000"/>
              <w:right w:val="single" w:sz="4" w:space="0" w:color="000000"/>
            </w:tcBorders>
          </w:tcPr>
          <w:p w14:paraId="219EF904"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2B7DC2FF"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73DF4E86"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8. </w:t>
            </w:r>
          </w:p>
        </w:tc>
        <w:tc>
          <w:tcPr>
            <w:tcW w:w="2744" w:type="dxa"/>
            <w:tcBorders>
              <w:top w:val="single" w:sz="4" w:space="0" w:color="000000"/>
              <w:left w:val="single" w:sz="4" w:space="0" w:color="000000"/>
              <w:bottom w:val="single" w:sz="4" w:space="0" w:color="000000"/>
              <w:right w:val="single" w:sz="4" w:space="0" w:color="000000"/>
            </w:tcBorders>
          </w:tcPr>
          <w:p w14:paraId="58D471C6"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w:t>
            </w:r>
            <w:r w:rsidR="00DF12ED" w:rsidRPr="0032536A">
              <w:rPr>
                <w:rFonts w:ascii="Times New Roman" w:hAnsi="Times New Roman" w:cs="Times New Roman"/>
                <w:color w:val="auto"/>
              </w:rPr>
              <w:t xml:space="preserve"> </w:t>
            </w:r>
            <w:r w:rsidRPr="0032536A">
              <w:rPr>
                <w:rFonts w:ascii="Times New Roman" w:hAnsi="Times New Roman" w:cs="Times New Roman"/>
                <w:color w:val="auto"/>
              </w:rPr>
              <w:t xml:space="preserve">ČAROBNA ŠUMA </w:t>
            </w:r>
          </w:p>
        </w:tc>
        <w:tc>
          <w:tcPr>
            <w:tcW w:w="2694" w:type="dxa"/>
            <w:tcBorders>
              <w:top w:val="single" w:sz="4" w:space="0" w:color="000000"/>
              <w:left w:val="single" w:sz="4" w:space="0" w:color="000000"/>
              <w:bottom w:val="single" w:sz="4" w:space="0" w:color="000000"/>
              <w:right w:val="single" w:sz="4" w:space="0" w:color="000000"/>
            </w:tcBorders>
          </w:tcPr>
          <w:p w14:paraId="691DA5F3" w14:textId="77777777" w:rsidR="00E40AC8"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PO Buzinski prilaz 33</w:t>
            </w:r>
          </w:p>
          <w:p w14:paraId="31744022"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(sjedište Trg </w:t>
            </w:r>
            <w:r w:rsidR="00833C7D" w:rsidRPr="0032536A">
              <w:rPr>
                <w:rFonts w:ascii="Times New Roman" w:hAnsi="Times New Roman" w:cs="Times New Roman"/>
                <w:color w:val="auto"/>
              </w:rPr>
              <w:t>sv</w:t>
            </w:r>
            <w:r w:rsidRPr="0032536A">
              <w:rPr>
                <w:rFonts w:ascii="Times New Roman" w:hAnsi="Times New Roman" w:cs="Times New Roman"/>
                <w:color w:val="auto"/>
              </w:rPr>
              <w:t>. Florijana</w:t>
            </w:r>
            <w:r w:rsidR="00DF12ED" w:rsidRPr="0032536A">
              <w:rPr>
                <w:rFonts w:ascii="Times New Roman" w:hAnsi="Times New Roman" w:cs="Times New Roman"/>
                <w:color w:val="auto"/>
              </w:rPr>
              <w:t xml:space="preserve"> </w:t>
            </w:r>
            <w:r w:rsidRPr="0032536A">
              <w:rPr>
                <w:rFonts w:ascii="Times New Roman" w:hAnsi="Times New Roman" w:cs="Times New Roman"/>
                <w:color w:val="auto"/>
              </w:rPr>
              <w:t xml:space="preserve">14a, Križevci) </w:t>
            </w:r>
          </w:p>
        </w:tc>
        <w:tc>
          <w:tcPr>
            <w:tcW w:w="1482" w:type="dxa"/>
            <w:tcBorders>
              <w:top w:val="single" w:sz="4" w:space="0" w:color="000000"/>
              <w:left w:val="single" w:sz="4" w:space="0" w:color="000000"/>
              <w:bottom w:val="single" w:sz="4" w:space="0" w:color="000000"/>
              <w:right w:val="single" w:sz="4" w:space="0" w:color="000000"/>
            </w:tcBorders>
          </w:tcPr>
          <w:p w14:paraId="53CD1E8F"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120</w:t>
            </w:r>
          </w:p>
        </w:tc>
        <w:tc>
          <w:tcPr>
            <w:tcW w:w="1493" w:type="dxa"/>
            <w:tcBorders>
              <w:top w:val="single" w:sz="4" w:space="0" w:color="000000"/>
              <w:left w:val="single" w:sz="4" w:space="0" w:color="000000"/>
              <w:bottom w:val="single" w:sz="4" w:space="0" w:color="000000"/>
              <w:right w:val="single" w:sz="4" w:space="0" w:color="000000"/>
            </w:tcBorders>
          </w:tcPr>
          <w:p w14:paraId="7F1A355A"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7FCCC11D"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12AE6983"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9. </w:t>
            </w:r>
          </w:p>
        </w:tc>
        <w:tc>
          <w:tcPr>
            <w:tcW w:w="2744" w:type="dxa"/>
            <w:tcBorders>
              <w:top w:val="single" w:sz="4" w:space="0" w:color="000000"/>
              <w:left w:val="single" w:sz="4" w:space="0" w:color="000000"/>
              <w:bottom w:val="single" w:sz="4" w:space="0" w:color="000000"/>
              <w:right w:val="single" w:sz="4" w:space="0" w:color="000000"/>
            </w:tcBorders>
          </w:tcPr>
          <w:p w14:paraId="481274E5"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ČAROBNI SVIJET </w:t>
            </w:r>
          </w:p>
        </w:tc>
        <w:tc>
          <w:tcPr>
            <w:tcW w:w="2694" w:type="dxa"/>
            <w:tcBorders>
              <w:top w:val="single" w:sz="4" w:space="0" w:color="000000"/>
              <w:left w:val="single" w:sz="4" w:space="0" w:color="000000"/>
              <w:bottom w:val="single" w:sz="4" w:space="0" w:color="000000"/>
              <w:right w:val="single" w:sz="4" w:space="0" w:color="000000"/>
            </w:tcBorders>
          </w:tcPr>
          <w:p w14:paraId="071B58C6"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Remetski kamenjak 1 </w:t>
            </w:r>
          </w:p>
        </w:tc>
        <w:tc>
          <w:tcPr>
            <w:tcW w:w="1482" w:type="dxa"/>
            <w:tcBorders>
              <w:top w:val="single" w:sz="4" w:space="0" w:color="000000"/>
              <w:left w:val="single" w:sz="4" w:space="0" w:color="000000"/>
              <w:bottom w:val="single" w:sz="4" w:space="0" w:color="000000"/>
              <w:right w:val="single" w:sz="4" w:space="0" w:color="000000"/>
            </w:tcBorders>
          </w:tcPr>
          <w:p w14:paraId="3F2966C4"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44</w:t>
            </w:r>
          </w:p>
        </w:tc>
        <w:tc>
          <w:tcPr>
            <w:tcW w:w="1493" w:type="dxa"/>
            <w:tcBorders>
              <w:top w:val="single" w:sz="4" w:space="0" w:color="000000"/>
              <w:left w:val="single" w:sz="4" w:space="0" w:color="000000"/>
              <w:bottom w:val="single" w:sz="4" w:space="0" w:color="000000"/>
              <w:right w:val="single" w:sz="4" w:space="0" w:color="000000"/>
            </w:tcBorders>
          </w:tcPr>
          <w:p w14:paraId="325847F1"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13B90121"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6D196A32"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10. </w:t>
            </w:r>
          </w:p>
        </w:tc>
        <w:tc>
          <w:tcPr>
            <w:tcW w:w="2744" w:type="dxa"/>
            <w:tcBorders>
              <w:top w:val="single" w:sz="4" w:space="0" w:color="000000"/>
              <w:left w:val="single" w:sz="4" w:space="0" w:color="000000"/>
              <w:bottom w:val="single" w:sz="4" w:space="0" w:color="000000"/>
              <w:right w:val="single" w:sz="4" w:space="0" w:color="000000"/>
            </w:tcBorders>
          </w:tcPr>
          <w:p w14:paraId="030BF954"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ČIGRA </w:t>
            </w:r>
          </w:p>
        </w:tc>
        <w:tc>
          <w:tcPr>
            <w:tcW w:w="2694" w:type="dxa"/>
            <w:tcBorders>
              <w:top w:val="single" w:sz="4" w:space="0" w:color="000000"/>
              <w:left w:val="single" w:sz="4" w:space="0" w:color="000000"/>
              <w:bottom w:val="single" w:sz="4" w:space="0" w:color="000000"/>
              <w:right w:val="single" w:sz="4" w:space="0" w:color="000000"/>
            </w:tcBorders>
          </w:tcPr>
          <w:p w14:paraId="7D68B40C"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Radauševa ulica 3 </w:t>
            </w:r>
          </w:p>
        </w:tc>
        <w:tc>
          <w:tcPr>
            <w:tcW w:w="1482" w:type="dxa"/>
            <w:tcBorders>
              <w:top w:val="single" w:sz="4" w:space="0" w:color="000000"/>
              <w:left w:val="single" w:sz="4" w:space="0" w:color="000000"/>
              <w:bottom w:val="single" w:sz="4" w:space="0" w:color="000000"/>
              <w:right w:val="single" w:sz="4" w:space="0" w:color="000000"/>
            </w:tcBorders>
          </w:tcPr>
          <w:p w14:paraId="34D03AD5"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206</w:t>
            </w:r>
          </w:p>
        </w:tc>
        <w:tc>
          <w:tcPr>
            <w:tcW w:w="1493" w:type="dxa"/>
            <w:tcBorders>
              <w:top w:val="single" w:sz="4" w:space="0" w:color="000000"/>
              <w:left w:val="single" w:sz="4" w:space="0" w:color="000000"/>
              <w:bottom w:val="single" w:sz="4" w:space="0" w:color="000000"/>
              <w:right w:val="single" w:sz="4" w:space="0" w:color="000000"/>
            </w:tcBorders>
          </w:tcPr>
          <w:p w14:paraId="336DBB58"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789B956B"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3B6D0084"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11. </w:t>
            </w:r>
          </w:p>
        </w:tc>
        <w:tc>
          <w:tcPr>
            <w:tcW w:w="2744" w:type="dxa"/>
            <w:tcBorders>
              <w:top w:val="single" w:sz="4" w:space="0" w:color="000000"/>
              <w:left w:val="single" w:sz="4" w:space="0" w:color="000000"/>
              <w:bottom w:val="single" w:sz="4" w:space="0" w:color="000000"/>
              <w:right w:val="single" w:sz="4" w:space="0" w:color="000000"/>
            </w:tcBorders>
          </w:tcPr>
          <w:p w14:paraId="5FB9A443"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ČUPKO </w:t>
            </w:r>
          </w:p>
        </w:tc>
        <w:tc>
          <w:tcPr>
            <w:tcW w:w="2694" w:type="dxa"/>
            <w:tcBorders>
              <w:top w:val="single" w:sz="4" w:space="0" w:color="000000"/>
              <w:left w:val="single" w:sz="4" w:space="0" w:color="000000"/>
              <w:bottom w:val="single" w:sz="4" w:space="0" w:color="000000"/>
              <w:right w:val="single" w:sz="4" w:space="0" w:color="000000"/>
            </w:tcBorders>
          </w:tcPr>
          <w:p w14:paraId="6FDF9626"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Rudeška cesta 150 </w:t>
            </w:r>
          </w:p>
        </w:tc>
        <w:tc>
          <w:tcPr>
            <w:tcW w:w="1482" w:type="dxa"/>
            <w:tcBorders>
              <w:top w:val="single" w:sz="4" w:space="0" w:color="000000"/>
              <w:left w:val="single" w:sz="4" w:space="0" w:color="000000"/>
              <w:bottom w:val="single" w:sz="4" w:space="0" w:color="000000"/>
              <w:right w:val="single" w:sz="4" w:space="0" w:color="000000"/>
            </w:tcBorders>
          </w:tcPr>
          <w:p w14:paraId="6F901AA6"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25</w:t>
            </w:r>
          </w:p>
        </w:tc>
        <w:tc>
          <w:tcPr>
            <w:tcW w:w="1493" w:type="dxa"/>
            <w:tcBorders>
              <w:top w:val="single" w:sz="4" w:space="0" w:color="000000"/>
              <w:left w:val="single" w:sz="4" w:space="0" w:color="000000"/>
              <w:bottom w:val="single" w:sz="4" w:space="0" w:color="000000"/>
              <w:right w:val="single" w:sz="4" w:space="0" w:color="000000"/>
            </w:tcBorders>
          </w:tcPr>
          <w:p w14:paraId="065B5369"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0A836DD3"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03C02582"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12. </w:t>
            </w:r>
          </w:p>
        </w:tc>
        <w:tc>
          <w:tcPr>
            <w:tcW w:w="2744" w:type="dxa"/>
            <w:tcBorders>
              <w:top w:val="single" w:sz="4" w:space="0" w:color="000000"/>
              <w:left w:val="single" w:sz="4" w:space="0" w:color="000000"/>
              <w:bottom w:val="single" w:sz="4" w:space="0" w:color="000000"/>
              <w:right w:val="single" w:sz="4" w:space="0" w:color="000000"/>
            </w:tcBorders>
          </w:tcPr>
          <w:p w14:paraId="7D6B949C"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DJEČJA IGRA </w:t>
            </w:r>
          </w:p>
        </w:tc>
        <w:tc>
          <w:tcPr>
            <w:tcW w:w="2694" w:type="dxa"/>
            <w:tcBorders>
              <w:top w:val="single" w:sz="4" w:space="0" w:color="000000"/>
              <w:left w:val="single" w:sz="4" w:space="0" w:color="000000"/>
              <w:bottom w:val="single" w:sz="4" w:space="0" w:color="000000"/>
              <w:right w:val="single" w:sz="4" w:space="0" w:color="000000"/>
            </w:tcBorders>
          </w:tcPr>
          <w:p w14:paraId="23312134"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Aleja Blaža Jurišića 9 </w:t>
            </w:r>
          </w:p>
        </w:tc>
        <w:tc>
          <w:tcPr>
            <w:tcW w:w="1482" w:type="dxa"/>
            <w:tcBorders>
              <w:top w:val="single" w:sz="4" w:space="0" w:color="000000"/>
              <w:left w:val="single" w:sz="4" w:space="0" w:color="000000"/>
              <w:bottom w:val="single" w:sz="4" w:space="0" w:color="000000"/>
              <w:right w:val="single" w:sz="4" w:space="0" w:color="000000"/>
            </w:tcBorders>
          </w:tcPr>
          <w:p w14:paraId="2ED39D89"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105</w:t>
            </w:r>
          </w:p>
        </w:tc>
        <w:tc>
          <w:tcPr>
            <w:tcW w:w="1493" w:type="dxa"/>
            <w:tcBorders>
              <w:top w:val="single" w:sz="4" w:space="0" w:color="000000"/>
              <w:left w:val="single" w:sz="4" w:space="0" w:color="000000"/>
              <w:bottom w:val="single" w:sz="4" w:space="0" w:color="000000"/>
              <w:right w:val="single" w:sz="4" w:space="0" w:color="000000"/>
            </w:tcBorders>
          </w:tcPr>
          <w:p w14:paraId="074F5BDA"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100</w:t>
            </w:r>
          </w:p>
        </w:tc>
      </w:tr>
      <w:tr w:rsidR="003F7A56" w:rsidRPr="004750F4" w14:paraId="7F964E8D"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6F18F0E5" w14:textId="77777777" w:rsidR="003F7A56" w:rsidRPr="0032536A" w:rsidRDefault="00E40AC8"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 </w:t>
            </w:r>
          </w:p>
        </w:tc>
        <w:tc>
          <w:tcPr>
            <w:tcW w:w="2744" w:type="dxa"/>
            <w:tcBorders>
              <w:top w:val="single" w:sz="4" w:space="0" w:color="000000"/>
              <w:left w:val="single" w:sz="4" w:space="0" w:color="000000"/>
              <w:bottom w:val="single" w:sz="4" w:space="0" w:color="000000"/>
              <w:right w:val="single" w:sz="4" w:space="0" w:color="000000"/>
            </w:tcBorders>
          </w:tcPr>
          <w:p w14:paraId="2ADE78B4"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 Podružnica </w:t>
            </w:r>
          </w:p>
        </w:tc>
        <w:tc>
          <w:tcPr>
            <w:tcW w:w="2694" w:type="dxa"/>
            <w:tcBorders>
              <w:top w:val="single" w:sz="4" w:space="0" w:color="000000"/>
              <w:left w:val="single" w:sz="4" w:space="0" w:color="000000"/>
              <w:bottom w:val="single" w:sz="4" w:space="0" w:color="000000"/>
              <w:right w:val="single" w:sz="4" w:space="0" w:color="000000"/>
            </w:tcBorders>
          </w:tcPr>
          <w:p w14:paraId="33C96071"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Kuzminečka 16/18 </w:t>
            </w:r>
          </w:p>
        </w:tc>
        <w:tc>
          <w:tcPr>
            <w:tcW w:w="1482" w:type="dxa"/>
            <w:tcBorders>
              <w:top w:val="single" w:sz="4" w:space="0" w:color="000000"/>
              <w:left w:val="single" w:sz="4" w:space="0" w:color="000000"/>
              <w:bottom w:val="single" w:sz="4" w:space="0" w:color="000000"/>
              <w:right w:val="single" w:sz="4" w:space="0" w:color="000000"/>
            </w:tcBorders>
          </w:tcPr>
          <w:p w14:paraId="4F859ABA"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120</w:t>
            </w:r>
          </w:p>
        </w:tc>
        <w:tc>
          <w:tcPr>
            <w:tcW w:w="1493" w:type="dxa"/>
            <w:tcBorders>
              <w:top w:val="single" w:sz="4" w:space="0" w:color="000000"/>
              <w:left w:val="single" w:sz="4" w:space="0" w:color="000000"/>
              <w:bottom w:val="single" w:sz="4" w:space="0" w:color="000000"/>
              <w:right w:val="single" w:sz="4" w:space="0" w:color="000000"/>
            </w:tcBorders>
          </w:tcPr>
          <w:p w14:paraId="538DBCF1"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150</w:t>
            </w:r>
          </w:p>
        </w:tc>
      </w:tr>
      <w:tr w:rsidR="003F7A56" w:rsidRPr="004750F4" w14:paraId="14E98B66"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445071BB"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13. </w:t>
            </w:r>
          </w:p>
        </w:tc>
        <w:tc>
          <w:tcPr>
            <w:tcW w:w="2744" w:type="dxa"/>
            <w:tcBorders>
              <w:top w:val="single" w:sz="4" w:space="0" w:color="000000"/>
              <w:left w:val="single" w:sz="4" w:space="0" w:color="000000"/>
              <w:bottom w:val="single" w:sz="4" w:space="0" w:color="000000"/>
              <w:right w:val="single" w:sz="4" w:space="0" w:color="000000"/>
            </w:tcBorders>
          </w:tcPr>
          <w:p w14:paraId="5D27EC2C"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DJEČJI KORACI </w:t>
            </w:r>
          </w:p>
        </w:tc>
        <w:tc>
          <w:tcPr>
            <w:tcW w:w="2694" w:type="dxa"/>
            <w:tcBorders>
              <w:top w:val="single" w:sz="4" w:space="0" w:color="000000"/>
              <w:left w:val="single" w:sz="4" w:space="0" w:color="000000"/>
              <w:bottom w:val="single" w:sz="4" w:space="0" w:color="000000"/>
              <w:right w:val="single" w:sz="4" w:space="0" w:color="000000"/>
            </w:tcBorders>
          </w:tcPr>
          <w:p w14:paraId="5F9C3AA2"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Oreškovićeva 6h </w:t>
            </w:r>
          </w:p>
        </w:tc>
        <w:tc>
          <w:tcPr>
            <w:tcW w:w="1482" w:type="dxa"/>
            <w:tcBorders>
              <w:top w:val="single" w:sz="4" w:space="0" w:color="000000"/>
              <w:left w:val="single" w:sz="4" w:space="0" w:color="000000"/>
              <w:bottom w:val="single" w:sz="4" w:space="0" w:color="000000"/>
              <w:right w:val="single" w:sz="4" w:space="0" w:color="000000"/>
            </w:tcBorders>
          </w:tcPr>
          <w:p w14:paraId="07825337"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90</w:t>
            </w:r>
          </w:p>
        </w:tc>
        <w:tc>
          <w:tcPr>
            <w:tcW w:w="1493" w:type="dxa"/>
            <w:tcBorders>
              <w:top w:val="single" w:sz="4" w:space="0" w:color="000000"/>
              <w:left w:val="single" w:sz="4" w:space="0" w:color="000000"/>
              <w:bottom w:val="single" w:sz="4" w:space="0" w:color="000000"/>
              <w:right w:val="single" w:sz="4" w:space="0" w:color="000000"/>
            </w:tcBorders>
          </w:tcPr>
          <w:p w14:paraId="2DBF09D9"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5DB891FF"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5E95790E"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14. </w:t>
            </w:r>
          </w:p>
        </w:tc>
        <w:tc>
          <w:tcPr>
            <w:tcW w:w="2744" w:type="dxa"/>
            <w:tcBorders>
              <w:top w:val="single" w:sz="4" w:space="0" w:color="000000"/>
              <w:left w:val="single" w:sz="4" w:space="0" w:color="000000"/>
              <w:bottom w:val="single" w:sz="4" w:space="0" w:color="000000"/>
              <w:right w:val="single" w:sz="4" w:space="0" w:color="000000"/>
            </w:tcBorders>
          </w:tcPr>
          <w:p w14:paraId="27520659"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DJEČJI PUT </w:t>
            </w:r>
          </w:p>
        </w:tc>
        <w:tc>
          <w:tcPr>
            <w:tcW w:w="2694" w:type="dxa"/>
            <w:tcBorders>
              <w:top w:val="single" w:sz="4" w:space="0" w:color="000000"/>
              <w:left w:val="single" w:sz="4" w:space="0" w:color="000000"/>
              <w:bottom w:val="single" w:sz="4" w:space="0" w:color="000000"/>
              <w:right w:val="single" w:sz="4" w:space="0" w:color="000000"/>
            </w:tcBorders>
          </w:tcPr>
          <w:p w14:paraId="10CA4C44"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MO Vrtni put 1 (sjedište: Masarykova 5) </w:t>
            </w:r>
          </w:p>
        </w:tc>
        <w:tc>
          <w:tcPr>
            <w:tcW w:w="1482" w:type="dxa"/>
            <w:tcBorders>
              <w:top w:val="single" w:sz="4" w:space="0" w:color="000000"/>
              <w:left w:val="single" w:sz="4" w:space="0" w:color="000000"/>
              <w:bottom w:val="single" w:sz="4" w:space="0" w:color="000000"/>
              <w:right w:val="single" w:sz="4" w:space="0" w:color="000000"/>
            </w:tcBorders>
          </w:tcPr>
          <w:p w14:paraId="3BDC8E91"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80</w:t>
            </w:r>
          </w:p>
        </w:tc>
        <w:tc>
          <w:tcPr>
            <w:tcW w:w="1493" w:type="dxa"/>
            <w:tcBorders>
              <w:top w:val="single" w:sz="4" w:space="0" w:color="000000"/>
              <w:left w:val="single" w:sz="4" w:space="0" w:color="000000"/>
              <w:bottom w:val="single" w:sz="4" w:space="0" w:color="000000"/>
              <w:right w:val="single" w:sz="4" w:space="0" w:color="000000"/>
            </w:tcBorders>
          </w:tcPr>
          <w:p w14:paraId="17561D8E"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200</w:t>
            </w:r>
          </w:p>
        </w:tc>
      </w:tr>
      <w:tr w:rsidR="003F7A56" w:rsidRPr="004750F4" w14:paraId="1C37966B"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0CC5D36F"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15. </w:t>
            </w:r>
          </w:p>
        </w:tc>
        <w:tc>
          <w:tcPr>
            <w:tcW w:w="2744" w:type="dxa"/>
            <w:tcBorders>
              <w:top w:val="single" w:sz="4" w:space="0" w:color="000000"/>
              <w:left w:val="single" w:sz="4" w:space="0" w:color="000000"/>
              <w:bottom w:val="single" w:sz="4" w:space="0" w:color="000000"/>
              <w:right w:val="single" w:sz="4" w:space="0" w:color="000000"/>
            </w:tcBorders>
          </w:tcPr>
          <w:p w14:paraId="1C4CFD1A"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DOBRI, Podružnica Zagreb </w:t>
            </w:r>
          </w:p>
        </w:tc>
        <w:tc>
          <w:tcPr>
            <w:tcW w:w="2694" w:type="dxa"/>
            <w:tcBorders>
              <w:top w:val="single" w:sz="4" w:space="0" w:color="000000"/>
              <w:left w:val="single" w:sz="4" w:space="0" w:color="000000"/>
              <w:bottom w:val="single" w:sz="4" w:space="0" w:color="000000"/>
              <w:right w:val="single" w:sz="4" w:space="0" w:color="000000"/>
            </w:tcBorders>
          </w:tcPr>
          <w:p w14:paraId="509695A0" w14:textId="77777777" w:rsidR="00E40AC8"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Gosposvetska ulica 33</w:t>
            </w:r>
          </w:p>
          <w:p w14:paraId="3BF70A65"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(sjedište </w:t>
            </w:r>
            <w:r w:rsidR="00833C7D" w:rsidRPr="0032536A">
              <w:rPr>
                <w:rFonts w:ascii="Times New Roman" w:hAnsi="Times New Roman" w:cs="Times New Roman"/>
                <w:color w:val="auto"/>
              </w:rPr>
              <w:t xml:space="preserve">Ul. </w:t>
            </w:r>
            <w:r w:rsidRPr="0032536A">
              <w:rPr>
                <w:rFonts w:ascii="Times New Roman" w:hAnsi="Times New Roman" w:cs="Times New Roman"/>
                <w:color w:val="auto"/>
              </w:rPr>
              <w:t xml:space="preserve">Ćirila i Metoda 14, Split) </w:t>
            </w:r>
          </w:p>
        </w:tc>
        <w:tc>
          <w:tcPr>
            <w:tcW w:w="1482" w:type="dxa"/>
            <w:tcBorders>
              <w:top w:val="single" w:sz="4" w:space="0" w:color="000000"/>
              <w:left w:val="single" w:sz="4" w:space="0" w:color="000000"/>
              <w:bottom w:val="single" w:sz="4" w:space="0" w:color="000000"/>
              <w:right w:val="single" w:sz="4" w:space="0" w:color="000000"/>
            </w:tcBorders>
          </w:tcPr>
          <w:p w14:paraId="0F56946B"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95</w:t>
            </w:r>
          </w:p>
        </w:tc>
        <w:tc>
          <w:tcPr>
            <w:tcW w:w="1493" w:type="dxa"/>
            <w:tcBorders>
              <w:top w:val="single" w:sz="4" w:space="0" w:color="000000"/>
              <w:left w:val="single" w:sz="4" w:space="0" w:color="000000"/>
              <w:bottom w:val="single" w:sz="4" w:space="0" w:color="000000"/>
              <w:right w:val="single" w:sz="4" w:space="0" w:color="000000"/>
            </w:tcBorders>
          </w:tcPr>
          <w:p w14:paraId="07888A8A"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100</w:t>
            </w:r>
          </w:p>
        </w:tc>
      </w:tr>
      <w:tr w:rsidR="003F7A56" w:rsidRPr="004750F4" w14:paraId="6592093F"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1B9248E3"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16. </w:t>
            </w:r>
          </w:p>
        </w:tc>
        <w:tc>
          <w:tcPr>
            <w:tcW w:w="2744" w:type="dxa"/>
            <w:tcBorders>
              <w:top w:val="single" w:sz="4" w:space="0" w:color="000000"/>
              <w:left w:val="single" w:sz="4" w:space="0" w:color="000000"/>
              <w:bottom w:val="single" w:sz="4" w:space="0" w:color="000000"/>
              <w:right w:val="single" w:sz="4" w:space="0" w:color="000000"/>
            </w:tcBorders>
          </w:tcPr>
          <w:p w14:paraId="5602E0EA"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DOBRO DRVO </w:t>
            </w:r>
          </w:p>
        </w:tc>
        <w:tc>
          <w:tcPr>
            <w:tcW w:w="2694" w:type="dxa"/>
            <w:tcBorders>
              <w:top w:val="single" w:sz="4" w:space="0" w:color="000000"/>
              <w:left w:val="single" w:sz="4" w:space="0" w:color="000000"/>
              <w:bottom w:val="single" w:sz="4" w:space="0" w:color="000000"/>
              <w:right w:val="single" w:sz="4" w:space="0" w:color="000000"/>
            </w:tcBorders>
          </w:tcPr>
          <w:p w14:paraId="477B508B"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Strojarska cesta 26 </w:t>
            </w:r>
          </w:p>
        </w:tc>
        <w:tc>
          <w:tcPr>
            <w:tcW w:w="1482" w:type="dxa"/>
            <w:tcBorders>
              <w:top w:val="single" w:sz="4" w:space="0" w:color="000000"/>
              <w:left w:val="single" w:sz="4" w:space="0" w:color="000000"/>
              <w:bottom w:val="single" w:sz="4" w:space="0" w:color="000000"/>
              <w:right w:val="single" w:sz="4" w:space="0" w:color="000000"/>
            </w:tcBorders>
          </w:tcPr>
          <w:p w14:paraId="60CDAEAC"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93</w:t>
            </w:r>
          </w:p>
        </w:tc>
        <w:tc>
          <w:tcPr>
            <w:tcW w:w="1493" w:type="dxa"/>
            <w:tcBorders>
              <w:top w:val="single" w:sz="4" w:space="0" w:color="000000"/>
              <w:left w:val="single" w:sz="4" w:space="0" w:color="000000"/>
              <w:bottom w:val="single" w:sz="4" w:space="0" w:color="000000"/>
              <w:right w:val="single" w:sz="4" w:space="0" w:color="000000"/>
            </w:tcBorders>
          </w:tcPr>
          <w:p w14:paraId="4DB2F5F1"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1A166CC4"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2E79A8E7"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17. </w:t>
            </w:r>
          </w:p>
        </w:tc>
        <w:tc>
          <w:tcPr>
            <w:tcW w:w="2744" w:type="dxa"/>
            <w:tcBorders>
              <w:top w:val="single" w:sz="4" w:space="0" w:color="000000"/>
              <w:left w:val="single" w:sz="4" w:space="0" w:color="000000"/>
              <w:bottom w:val="single" w:sz="4" w:space="0" w:color="000000"/>
              <w:right w:val="single" w:sz="4" w:space="0" w:color="000000"/>
            </w:tcBorders>
          </w:tcPr>
          <w:p w14:paraId="0C5178CB"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FRFI </w:t>
            </w:r>
          </w:p>
        </w:tc>
        <w:tc>
          <w:tcPr>
            <w:tcW w:w="2694" w:type="dxa"/>
            <w:tcBorders>
              <w:top w:val="single" w:sz="4" w:space="0" w:color="000000"/>
              <w:left w:val="single" w:sz="4" w:space="0" w:color="000000"/>
              <w:bottom w:val="single" w:sz="4" w:space="0" w:color="000000"/>
              <w:right w:val="single" w:sz="4" w:space="0" w:color="000000"/>
            </w:tcBorders>
          </w:tcPr>
          <w:p w14:paraId="2C93B32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Jarun 50</w:t>
            </w:r>
            <w:r w:rsidR="00EE6A22" w:rsidRPr="0032536A">
              <w:rPr>
                <w:rFonts w:ascii="Times New Roman" w:hAnsi="Times New Roman" w:cs="Times New Roman"/>
                <w:color w:val="auto"/>
              </w:rPr>
              <w:t xml:space="preserve"> </w:t>
            </w:r>
          </w:p>
        </w:tc>
        <w:tc>
          <w:tcPr>
            <w:tcW w:w="1482" w:type="dxa"/>
            <w:tcBorders>
              <w:top w:val="single" w:sz="4" w:space="0" w:color="000000"/>
              <w:left w:val="single" w:sz="4" w:space="0" w:color="000000"/>
              <w:bottom w:val="single" w:sz="4" w:space="0" w:color="000000"/>
              <w:right w:val="single" w:sz="4" w:space="0" w:color="000000"/>
            </w:tcBorders>
          </w:tcPr>
          <w:p w14:paraId="394D9E5D"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80</w:t>
            </w:r>
          </w:p>
        </w:tc>
        <w:tc>
          <w:tcPr>
            <w:tcW w:w="1493" w:type="dxa"/>
            <w:tcBorders>
              <w:top w:val="single" w:sz="4" w:space="0" w:color="000000"/>
              <w:left w:val="single" w:sz="4" w:space="0" w:color="000000"/>
              <w:bottom w:val="single" w:sz="4" w:space="0" w:color="000000"/>
              <w:right w:val="single" w:sz="4" w:space="0" w:color="000000"/>
            </w:tcBorders>
          </w:tcPr>
          <w:p w14:paraId="71C12787"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22AB07A7"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69576574"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18. </w:t>
            </w:r>
          </w:p>
        </w:tc>
        <w:tc>
          <w:tcPr>
            <w:tcW w:w="2744" w:type="dxa"/>
            <w:tcBorders>
              <w:top w:val="single" w:sz="4" w:space="0" w:color="000000"/>
              <w:left w:val="single" w:sz="4" w:space="0" w:color="000000"/>
              <w:bottom w:val="single" w:sz="4" w:space="0" w:color="000000"/>
              <w:right w:val="single" w:sz="4" w:space="0" w:color="000000"/>
            </w:tcBorders>
          </w:tcPr>
          <w:p w14:paraId="58DC1391"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HARFA </w:t>
            </w:r>
          </w:p>
        </w:tc>
        <w:tc>
          <w:tcPr>
            <w:tcW w:w="2694" w:type="dxa"/>
            <w:tcBorders>
              <w:top w:val="single" w:sz="4" w:space="0" w:color="000000"/>
              <w:left w:val="single" w:sz="4" w:space="0" w:color="000000"/>
              <w:bottom w:val="single" w:sz="4" w:space="0" w:color="000000"/>
              <w:right w:val="single" w:sz="4" w:space="0" w:color="000000"/>
            </w:tcBorders>
          </w:tcPr>
          <w:p w14:paraId="0DE78842"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Špansko 26 </w:t>
            </w:r>
          </w:p>
        </w:tc>
        <w:tc>
          <w:tcPr>
            <w:tcW w:w="1482" w:type="dxa"/>
            <w:tcBorders>
              <w:top w:val="single" w:sz="4" w:space="0" w:color="000000"/>
              <w:left w:val="single" w:sz="4" w:space="0" w:color="000000"/>
              <w:bottom w:val="single" w:sz="4" w:space="0" w:color="000000"/>
              <w:right w:val="single" w:sz="4" w:space="0" w:color="000000"/>
            </w:tcBorders>
          </w:tcPr>
          <w:p w14:paraId="0662F2A5"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54</w:t>
            </w:r>
          </w:p>
        </w:tc>
        <w:tc>
          <w:tcPr>
            <w:tcW w:w="1493" w:type="dxa"/>
            <w:tcBorders>
              <w:top w:val="single" w:sz="4" w:space="0" w:color="000000"/>
              <w:left w:val="single" w:sz="4" w:space="0" w:color="000000"/>
              <w:bottom w:val="single" w:sz="4" w:space="0" w:color="000000"/>
              <w:right w:val="single" w:sz="4" w:space="0" w:color="000000"/>
            </w:tcBorders>
          </w:tcPr>
          <w:p w14:paraId="1D034CEE"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0F1DCCF4"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16514632"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19. </w:t>
            </w:r>
          </w:p>
        </w:tc>
        <w:tc>
          <w:tcPr>
            <w:tcW w:w="2744" w:type="dxa"/>
            <w:tcBorders>
              <w:top w:val="single" w:sz="4" w:space="0" w:color="000000"/>
              <w:left w:val="single" w:sz="4" w:space="0" w:color="000000"/>
              <w:bottom w:val="single" w:sz="4" w:space="0" w:color="000000"/>
              <w:right w:val="single" w:sz="4" w:space="0" w:color="000000"/>
            </w:tcBorders>
          </w:tcPr>
          <w:p w14:paraId="46FEAC4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JORDANOVAC </w:t>
            </w:r>
          </w:p>
        </w:tc>
        <w:tc>
          <w:tcPr>
            <w:tcW w:w="2694" w:type="dxa"/>
            <w:tcBorders>
              <w:top w:val="single" w:sz="4" w:space="0" w:color="000000"/>
              <w:left w:val="single" w:sz="4" w:space="0" w:color="000000"/>
              <w:bottom w:val="single" w:sz="4" w:space="0" w:color="000000"/>
              <w:right w:val="single" w:sz="4" w:space="0" w:color="000000"/>
            </w:tcBorders>
          </w:tcPr>
          <w:p w14:paraId="3324F265"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Jordanovac 55 </w:t>
            </w:r>
          </w:p>
        </w:tc>
        <w:tc>
          <w:tcPr>
            <w:tcW w:w="1482" w:type="dxa"/>
            <w:tcBorders>
              <w:top w:val="single" w:sz="4" w:space="0" w:color="000000"/>
              <w:left w:val="single" w:sz="4" w:space="0" w:color="000000"/>
              <w:bottom w:val="single" w:sz="4" w:space="0" w:color="000000"/>
              <w:right w:val="single" w:sz="4" w:space="0" w:color="000000"/>
            </w:tcBorders>
          </w:tcPr>
          <w:p w14:paraId="2B73E02A"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115</w:t>
            </w:r>
          </w:p>
        </w:tc>
        <w:tc>
          <w:tcPr>
            <w:tcW w:w="1493" w:type="dxa"/>
            <w:tcBorders>
              <w:top w:val="single" w:sz="4" w:space="0" w:color="000000"/>
              <w:left w:val="single" w:sz="4" w:space="0" w:color="000000"/>
              <w:bottom w:val="single" w:sz="4" w:space="0" w:color="000000"/>
              <w:right w:val="single" w:sz="4" w:space="0" w:color="000000"/>
            </w:tcBorders>
          </w:tcPr>
          <w:p w14:paraId="176B6C13"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12E13325"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054C5B06"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20. </w:t>
            </w:r>
          </w:p>
        </w:tc>
        <w:tc>
          <w:tcPr>
            <w:tcW w:w="2744" w:type="dxa"/>
            <w:tcBorders>
              <w:top w:val="single" w:sz="4" w:space="0" w:color="000000"/>
              <w:left w:val="single" w:sz="4" w:space="0" w:color="000000"/>
              <w:bottom w:val="single" w:sz="4" w:space="0" w:color="000000"/>
              <w:right w:val="single" w:sz="4" w:space="0" w:color="000000"/>
            </w:tcBorders>
          </w:tcPr>
          <w:p w14:paraId="5D4CB95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KOCKICA </w:t>
            </w:r>
          </w:p>
        </w:tc>
        <w:tc>
          <w:tcPr>
            <w:tcW w:w="2694" w:type="dxa"/>
            <w:tcBorders>
              <w:top w:val="single" w:sz="4" w:space="0" w:color="000000"/>
              <w:left w:val="single" w:sz="4" w:space="0" w:color="000000"/>
              <w:bottom w:val="single" w:sz="4" w:space="0" w:color="000000"/>
              <w:right w:val="single" w:sz="4" w:space="0" w:color="000000"/>
            </w:tcBorders>
          </w:tcPr>
          <w:p w14:paraId="637009D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Pešćanska ulica 162 </w:t>
            </w:r>
          </w:p>
        </w:tc>
        <w:tc>
          <w:tcPr>
            <w:tcW w:w="1482" w:type="dxa"/>
            <w:tcBorders>
              <w:top w:val="single" w:sz="4" w:space="0" w:color="000000"/>
              <w:left w:val="single" w:sz="4" w:space="0" w:color="000000"/>
              <w:bottom w:val="single" w:sz="4" w:space="0" w:color="000000"/>
              <w:right w:val="single" w:sz="4" w:space="0" w:color="000000"/>
            </w:tcBorders>
          </w:tcPr>
          <w:p w14:paraId="5C373E66"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150</w:t>
            </w:r>
          </w:p>
        </w:tc>
        <w:tc>
          <w:tcPr>
            <w:tcW w:w="1493" w:type="dxa"/>
            <w:tcBorders>
              <w:top w:val="single" w:sz="4" w:space="0" w:color="000000"/>
              <w:left w:val="single" w:sz="4" w:space="0" w:color="000000"/>
              <w:bottom w:val="single" w:sz="4" w:space="0" w:color="000000"/>
              <w:right w:val="single" w:sz="4" w:space="0" w:color="000000"/>
            </w:tcBorders>
          </w:tcPr>
          <w:p w14:paraId="4E61A419"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46A67830"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6473C0AC"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21. </w:t>
            </w:r>
          </w:p>
        </w:tc>
        <w:tc>
          <w:tcPr>
            <w:tcW w:w="2744" w:type="dxa"/>
            <w:tcBorders>
              <w:top w:val="single" w:sz="4" w:space="0" w:color="000000"/>
              <w:left w:val="single" w:sz="4" w:space="0" w:color="000000"/>
              <w:bottom w:val="single" w:sz="4" w:space="0" w:color="000000"/>
              <w:right w:val="single" w:sz="4" w:space="0" w:color="000000"/>
            </w:tcBorders>
          </w:tcPr>
          <w:p w14:paraId="47B36318"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KOKO </w:t>
            </w:r>
          </w:p>
        </w:tc>
        <w:tc>
          <w:tcPr>
            <w:tcW w:w="2694" w:type="dxa"/>
            <w:tcBorders>
              <w:top w:val="single" w:sz="4" w:space="0" w:color="000000"/>
              <w:left w:val="single" w:sz="4" w:space="0" w:color="000000"/>
              <w:bottom w:val="single" w:sz="4" w:space="0" w:color="000000"/>
              <w:right w:val="single" w:sz="4" w:space="0" w:color="000000"/>
            </w:tcBorders>
          </w:tcPr>
          <w:p w14:paraId="47ED7D0A"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Stubička ulica 18/1, Sesvete </w:t>
            </w:r>
          </w:p>
        </w:tc>
        <w:tc>
          <w:tcPr>
            <w:tcW w:w="1482" w:type="dxa"/>
            <w:tcBorders>
              <w:top w:val="single" w:sz="4" w:space="0" w:color="000000"/>
              <w:left w:val="single" w:sz="4" w:space="0" w:color="000000"/>
              <w:bottom w:val="single" w:sz="4" w:space="0" w:color="000000"/>
              <w:right w:val="single" w:sz="4" w:space="0" w:color="000000"/>
            </w:tcBorders>
          </w:tcPr>
          <w:p w14:paraId="7CE2C2FE"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70</w:t>
            </w:r>
          </w:p>
        </w:tc>
        <w:tc>
          <w:tcPr>
            <w:tcW w:w="1493" w:type="dxa"/>
            <w:tcBorders>
              <w:top w:val="single" w:sz="4" w:space="0" w:color="000000"/>
              <w:left w:val="single" w:sz="4" w:space="0" w:color="000000"/>
              <w:bottom w:val="single" w:sz="4" w:space="0" w:color="000000"/>
              <w:right w:val="single" w:sz="4" w:space="0" w:color="000000"/>
            </w:tcBorders>
          </w:tcPr>
          <w:p w14:paraId="225F8CBA"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38B9838A"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7B5DA140"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lastRenderedPageBreak/>
              <w:t xml:space="preserve">22. </w:t>
            </w:r>
          </w:p>
        </w:tc>
        <w:tc>
          <w:tcPr>
            <w:tcW w:w="2744" w:type="dxa"/>
            <w:tcBorders>
              <w:top w:val="single" w:sz="4" w:space="0" w:color="000000"/>
              <w:left w:val="single" w:sz="4" w:space="0" w:color="000000"/>
              <w:bottom w:val="single" w:sz="4" w:space="0" w:color="000000"/>
              <w:right w:val="single" w:sz="4" w:space="0" w:color="000000"/>
            </w:tcBorders>
          </w:tcPr>
          <w:p w14:paraId="52000FF5"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KOŠNICA </w:t>
            </w:r>
          </w:p>
        </w:tc>
        <w:tc>
          <w:tcPr>
            <w:tcW w:w="2694" w:type="dxa"/>
            <w:tcBorders>
              <w:top w:val="single" w:sz="4" w:space="0" w:color="000000"/>
              <w:left w:val="single" w:sz="4" w:space="0" w:color="000000"/>
              <w:bottom w:val="single" w:sz="4" w:space="0" w:color="000000"/>
              <w:right w:val="single" w:sz="4" w:space="0" w:color="000000"/>
            </w:tcBorders>
          </w:tcPr>
          <w:p w14:paraId="6770FFA5"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Medpotoki 1A </w:t>
            </w:r>
          </w:p>
        </w:tc>
        <w:tc>
          <w:tcPr>
            <w:tcW w:w="1482" w:type="dxa"/>
            <w:tcBorders>
              <w:top w:val="single" w:sz="4" w:space="0" w:color="000000"/>
              <w:left w:val="single" w:sz="4" w:space="0" w:color="000000"/>
              <w:bottom w:val="single" w:sz="4" w:space="0" w:color="000000"/>
              <w:right w:val="single" w:sz="4" w:space="0" w:color="000000"/>
            </w:tcBorders>
          </w:tcPr>
          <w:p w14:paraId="750C4E61"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107</w:t>
            </w:r>
          </w:p>
        </w:tc>
        <w:tc>
          <w:tcPr>
            <w:tcW w:w="1493" w:type="dxa"/>
            <w:tcBorders>
              <w:top w:val="single" w:sz="4" w:space="0" w:color="000000"/>
              <w:left w:val="single" w:sz="4" w:space="0" w:color="000000"/>
              <w:bottom w:val="single" w:sz="4" w:space="0" w:color="000000"/>
              <w:right w:val="single" w:sz="4" w:space="0" w:color="000000"/>
            </w:tcBorders>
          </w:tcPr>
          <w:p w14:paraId="7427DF96"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5A43BD95"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3FF81D53"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23. </w:t>
            </w:r>
          </w:p>
        </w:tc>
        <w:tc>
          <w:tcPr>
            <w:tcW w:w="2744" w:type="dxa"/>
            <w:tcBorders>
              <w:top w:val="single" w:sz="4" w:space="0" w:color="000000"/>
              <w:left w:val="single" w:sz="4" w:space="0" w:color="000000"/>
              <w:bottom w:val="single" w:sz="4" w:space="0" w:color="000000"/>
              <w:right w:val="single" w:sz="4" w:space="0" w:color="000000"/>
            </w:tcBorders>
          </w:tcPr>
          <w:p w14:paraId="2C89CAFA"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w:t>
            </w:r>
            <w:r w:rsidR="00DF12ED" w:rsidRPr="0032536A">
              <w:rPr>
                <w:rFonts w:ascii="Times New Roman" w:hAnsi="Times New Roman" w:cs="Times New Roman"/>
                <w:color w:val="auto"/>
              </w:rPr>
              <w:t xml:space="preserve"> </w:t>
            </w:r>
            <w:r w:rsidRPr="0032536A">
              <w:rPr>
                <w:rFonts w:ascii="Times New Roman" w:hAnsi="Times New Roman" w:cs="Times New Roman"/>
                <w:color w:val="auto"/>
              </w:rPr>
              <w:t xml:space="preserve">KREATIVNI DANI </w:t>
            </w:r>
          </w:p>
        </w:tc>
        <w:tc>
          <w:tcPr>
            <w:tcW w:w="2694" w:type="dxa"/>
            <w:tcBorders>
              <w:top w:val="single" w:sz="4" w:space="0" w:color="000000"/>
              <w:left w:val="single" w:sz="4" w:space="0" w:color="000000"/>
              <w:bottom w:val="single" w:sz="4" w:space="0" w:color="000000"/>
              <w:right w:val="single" w:sz="4" w:space="0" w:color="000000"/>
            </w:tcBorders>
          </w:tcPr>
          <w:p w14:paraId="3D3C99C9"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II. Cvjetno naselje 9 </w:t>
            </w:r>
          </w:p>
        </w:tc>
        <w:tc>
          <w:tcPr>
            <w:tcW w:w="1482" w:type="dxa"/>
            <w:tcBorders>
              <w:top w:val="single" w:sz="4" w:space="0" w:color="000000"/>
              <w:left w:val="single" w:sz="4" w:space="0" w:color="000000"/>
              <w:bottom w:val="single" w:sz="4" w:space="0" w:color="000000"/>
              <w:right w:val="single" w:sz="4" w:space="0" w:color="000000"/>
            </w:tcBorders>
          </w:tcPr>
          <w:p w14:paraId="58E47A00"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59</w:t>
            </w:r>
          </w:p>
        </w:tc>
        <w:tc>
          <w:tcPr>
            <w:tcW w:w="1493" w:type="dxa"/>
            <w:tcBorders>
              <w:top w:val="single" w:sz="4" w:space="0" w:color="000000"/>
              <w:left w:val="single" w:sz="4" w:space="0" w:color="000000"/>
              <w:bottom w:val="single" w:sz="4" w:space="0" w:color="000000"/>
              <w:right w:val="single" w:sz="4" w:space="0" w:color="000000"/>
            </w:tcBorders>
          </w:tcPr>
          <w:p w14:paraId="502944DD"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71645BC3"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73CCDB29"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24. </w:t>
            </w:r>
          </w:p>
        </w:tc>
        <w:tc>
          <w:tcPr>
            <w:tcW w:w="2744" w:type="dxa"/>
            <w:tcBorders>
              <w:top w:val="single" w:sz="4" w:space="0" w:color="000000"/>
              <w:left w:val="single" w:sz="4" w:space="0" w:color="000000"/>
              <w:bottom w:val="single" w:sz="4" w:space="0" w:color="000000"/>
              <w:right w:val="single" w:sz="4" w:space="0" w:color="000000"/>
            </w:tcBorders>
          </w:tcPr>
          <w:p w14:paraId="1500B287"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KUĆICA </w:t>
            </w:r>
          </w:p>
        </w:tc>
        <w:tc>
          <w:tcPr>
            <w:tcW w:w="2694" w:type="dxa"/>
            <w:tcBorders>
              <w:top w:val="single" w:sz="4" w:space="0" w:color="000000"/>
              <w:left w:val="single" w:sz="4" w:space="0" w:color="000000"/>
              <w:bottom w:val="single" w:sz="4" w:space="0" w:color="000000"/>
              <w:right w:val="single" w:sz="4" w:space="0" w:color="000000"/>
            </w:tcBorders>
          </w:tcPr>
          <w:p w14:paraId="56CD979E"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Gospodska ulica 18 </w:t>
            </w:r>
          </w:p>
        </w:tc>
        <w:tc>
          <w:tcPr>
            <w:tcW w:w="1482" w:type="dxa"/>
            <w:tcBorders>
              <w:top w:val="single" w:sz="4" w:space="0" w:color="000000"/>
              <w:left w:val="single" w:sz="4" w:space="0" w:color="000000"/>
              <w:bottom w:val="single" w:sz="4" w:space="0" w:color="000000"/>
              <w:right w:val="single" w:sz="4" w:space="0" w:color="000000"/>
            </w:tcBorders>
          </w:tcPr>
          <w:p w14:paraId="283E798B"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181</w:t>
            </w:r>
          </w:p>
        </w:tc>
        <w:tc>
          <w:tcPr>
            <w:tcW w:w="1493" w:type="dxa"/>
            <w:tcBorders>
              <w:top w:val="single" w:sz="4" w:space="0" w:color="000000"/>
              <w:left w:val="single" w:sz="4" w:space="0" w:color="000000"/>
              <w:bottom w:val="single" w:sz="4" w:space="0" w:color="000000"/>
              <w:right w:val="single" w:sz="4" w:space="0" w:color="000000"/>
            </w:tcBorders>
          </w:tcPr>
          <w:p w14:paraId="7FC9879C"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09DB0749"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32213DDA"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25. </w:t>
            </w:r>
          </w:p>
        </w:tc>
        <w:tc>
          <w:tcPr>
            <w:tcW w:w="2744" w:type="dxa"/>
            <w:tcBorders>
              <w:top w:val="single" w:sz="4" w:space="0" w:color="000000"/>
              <w:left w:val="single" w:sz="4" w:space="0" w:color="000000"/>
              <w:bottom w:val="single" w:sz="4" w:space="0" w:color="000000"/>
              <w:right w:val="single" w:sz="4" w:space="0" w:color="000000"/>
            </w:tcBorders>
          </w:tcPr>
          <w:p w14:paraId="404EB155"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LEPTIRIĆ LU </w:t>
            </w:r>
          </w:p>
        </w:tc>
        <w:tc>
          <w:tcPr>
            <w:tcW w:w="2694" w:type="dxa"/>
            <w:tcBorders>
              <w:top w:val="single" w:sz="4" w:space="0" w:color="000000"/>
              <w:left w:val="single" w:sz="4" w:space="0" w:color="000000"/>
              <w:bottom w:val="single" w:sz="4" w:space="0" w:color="000000"/>
              <w:right w:val="single" w:sz="4" w:space="0" w:color="000000"/>
            </w:tcBorders>
          </w:tcPr>
          <w:p w14:paraId="25F5DB41"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Remetinečka cesta 5B </w:t>
            </w:r>
          </w:p>
        </w:tc>
        <w:tc>
          <w:tcPr>
            <w:tcW w:w="1482" w:type="dxa"/>
            <w:tcBorders>
              <w:top w:val="single" w:sz="4" w:space="0" w:color="000000"/>
              <w:left w:val="single" w:sz="4" w:space="0" w:color="000000"/>
              <w:bottom w:val="single" w:sz="4" w:space="0" w:color="000000"/>
              <w:right w:val="single" w:sz="4" w:space="0" w:color="000000"/>
            </w:tcBorders>
          </w:tcPr>
          <w:p w14:paraId="63E90A21"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133</w:t>
            </w:r>
          </w:p>
        </w:tc>
        <w:tc>
          <w:tcPr>
            <w:tcW w:w="1493" w:type="dxa"/>
            <w:tcBorders>
              <w:top w:val="single" w:sz="4" w:space="0" w:color="000000"/>
              <w:left w:val="single" w:sz="4" w:space="0" w:color="000000"/>
              <w:bottom w:val="single" w:sz="4" w:space="0" w:color="000000"/>
              <w:right w:val="single" w:sz="4" w:space="0" w:color="000000"/>
            </w:tcBorders>
          </w:tcPr>
          <w:p w14:paraId="7E3672B2"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100</w:t>
            </w:r>
          </w:p>
        </w:tc>
      </w:tr>
      <w:tr w:rsidR="003F7A56" w:rsidRPr="004750F4" w14:paraId="35ACC6B5"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32B32F4C"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26. </w:t>
            </w:r>
          </w:p>
        </w:tc>
        <w:tc>
          <w:tcPr>
            <w:tcW w:w="2744" w:type="dxa"/>
            <w:tcBorders>
              <w:top w:val="single" w:sz="4" w:space="0" w:color="000000"/>
              <w:left w:val="single" w:sz="4" w:space="0" w:color="000000"/>
              <w:bottom w:val="single" w:sz="4" w:space="0" w:color="000000"/>
              <w:right w:val="single" w:sz="4" w:space="0" w:color="000000"/>
            </w:tcBorders>
          </w:tcPr>
          <w:p w14:paraId="1F2A3DCB"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w:t>
            </w:r>
            <w:r w:rsidR="00710CC5" w:rsidRPr="0032536A">
              <w:rPr>
                <w:rFonts w:ascii="Times New Roman" w:hAnsi="Times New Roman" w:cs="Times New Roman"/>
                <w:color w:val="auto"/>
              </w:rPr>
              <w:t xml:space="preserve"> </w:t>
            </w:r>
            <w:r w:rsidRPr="0032536A">
              <w:rPr>
                <w:rFonts w:ascii="Times New Roman" w:hAnsi="Times New Roman" w:cs="Times New Roman"/>
                <w:color w:val="auto"/>
              </w:rPr>
              <w:t>LETEĆI</w:t>
            </w:r>
            <w:r w:rsidR="00710CC5" w:rsidRPr="0032536A">
              <w:rPr>
                <w:rFonts w:ascii="Times New Roman" w:hAnsi="Times New Roman" w:cs="Times New Roman"/>
                <w:color w:val="auto"/>
              </w:rPr>
              <w:t xml:space="preserve"> </w:t>
            </w:r>
            <w:r w:rsidRPr="0032536A">
              <w:rPr>
                <w:rFonts w:ascii="Times New Roman" w:hAnsi="Times New Roman" w:cs="Times New Roman"/>
                <w:color w:val="auto"/>
              </w:rPr>
              <w:t xml:space="preserve">MEDVJEDIĆI </w:t>
            </w:r>
          </w:p>
        </w:tc>
        <w:tc>
          <w:tcPr>
            <w:tcW w:w="2694" w:type="dxa"/>
            <w:tcBorders>
              <w:top w:val="single" w:sz="4" w:space="0" w:color="000000"/>
              <w:left w:val="single" w:sz="4" w:space="0" w:color="000000"/>
              <w:bottom w:val="single" w:sz="4" w:space="0" w:color="000000"/>
              <w:right w:val="single" w:sz="4" w:space="0" w:color="000000"/>
            </w:tcBorders>
          </w:tcPr>
          <w:p w14:paraId="32915DA7"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Ulica Mirka Bedeka 75D,</w:t>
            </w:r>
            <w:r w:rsidR="00DF12ED" w:rsidRPr="0032536A">
              <w:rPr>
                <w:rFonts w:ascii="Times New Roman" w:hAnsi="Times New Roman" w:cs="Times New Roman"/>
                <w:color w:val="auto"/>
              </w:rPr>
              <w:t xml:space="preserve"> </w:t>
            </w:r>
            <w:r w:rsidRPr="0032536A">
              <w:rPr>
                <w:rFonts w:ascii="Times New Roman" w:hAnsi="Times New Roman" w:cs="Times New Roman"/>
                <w:color w:val="auto"/>
              </w:rPr>
              <w:t xml:space="preserve">Hrvatski Leskovac </w:t>
            </w:r>
          </w:p>
        </w:tc>
        <w:tc>
          <w:tcPr>
            <w:tcW w:w="1482" w:type="dxa"/>
            <w:tcBorders>
              <w:top w:val="single" w:sz="4" w:space="0" w:color="000000"/>
              <w:left w:val="single" w:sz="4" w:space="0" w:color="000000"/>
              <w:bottom w:val="single" w:sz="4" w:space="0" w:color="000000"/>
              <w:right w:val="single" w:sz="4" w:space="0" w:color="000000"/>
            </w:tcBorders>
          </w:tcPr>
          <w:p w14:paraId="0DC29F65"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48</w:t>
            </w:r>
          </w:p>
        </w:tc>
        <w:tc>
          <w:tcPr>
            <w:tcW w:w="1493" w:type="dxa"/>
            <w:tcBorders>
              <w:top w:val="single" w:sz="4" w:space="0" w:color="000000"/>
              <w:left w:val="single" w:sz="4" w:space="0" w:color="000000"/>
              <w:bottom w:val="single" w:sz="4" w:space="0" w:color="000000"/>
              <w:right w:val="single" w:sz="4" w:space="0" w:color="000000"/>
            </w:tcBorders>
          </w:tcPr>
          <w:p w14:paraId="7E69A35B"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387E665D"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404FCFEA"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27. </w:t>
            </w:r>
          </w:p>
        </w:tc>
        <w:tc>
          <w:tcPr>
            <w:tcW w:w="2744" w:type="dxa"/>
            <w:tcBorders>
              <w:top w:val="single" w:sz="4" w:space="0" w:color="000000"/>
              <w:left w:val="single" w:sz="4" w:space="0" w:color="000000"/>
              <w:bottom w:val="single" w:sz="4" w:space="0" w:color="000000"/>
              <w:right w:val="single" w:sz="4" w:space="0" w:color="000000"/>
            </w:tcBorders>
          </w:tcPr>
          <w:p w14:paraId="50E82CC2"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LIMAČ </w:t>
            </w:r>
          </w:p>
        </w:tc>
        <w:tc>
          <w:tcPr>
            <w:tcW w:w="2694" w:type="dxa"/>
            <w:tcBorders>
              <w:top w:val="single" w:sz="4" w:space="0" w:color="000000"/>
              <w:left w:val="single" w:sz="4" w:space="0" w:color="000000"/>
              <w:bottom w:val="single" w:sz="4" w:space="0" w:color="000000"/>
              <w:right w:val="single" w:sz="4" w:space="0" w:color="000000"/>
            </w:tcBorders>
          </w:tcPr>
          <w:p w14:paraId="7609E5C4"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Dubravica 52 </w:t>
            </w:r>
          </w:p>
        </w:tc>
        <w:tc>
          <w:tcPr>
            <w:tcW w:w="1482" w:type="dxa"/>
            <w:tcBorders>
              <w:top w:val="single" w:sz="4" w:space="0" w:color="000000"/>
              <w:left w:val="single" w:sz="4" w:space="0" w:color="000000"/>
              <w:bottom w:val="single" w:sz="4" w:space="0" w:color="000000"/>
              <w:right w:val="single" w:sz="4" w:space="0" w:color="000000"/>
            </w:tcBorders>
          </w:tcPr>
          <w:p w14:paraId="74C0817E"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130</w:t>
            </w:r>
          </w:p>
        </w:tc>
        <w:tc>
          <w:tcPr>
            <w:tcW w:w="1493" w:type="dxa"/>
            <w:tcBorders>
              <w:top w:val="single" w:sz="4" w:space="0" w:color="000000"/>
              <w:left w:val="single" w:sz="4" w:space="0" w:color="000000"/>
              <w:bottom w:val="single" w:sz="4" w:space="0" w:color="000000"/>
              <w:right w:val="single" w:sz="4" w:space="0" w:color="000000"/>
            </w:tcBorders>
          </w:tcPr>
          <w:p w14:paraId="1834B131"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300</w:t>
            </w:r>
          </w:p>
        </w:tc>
      </w:tr>
      <w:tr w:rsidR="003F7A56" w:rsidRPr="004750F4" w14:paraId="2C037438"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6429D526"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28. </w:t>
            </w:r>
          </w:p>
        </w:tc>
        <w:tc>
          <w:tcPr>
            <w:tcW w:w="2744" w:type="dxa"/>
            <w:tcBorders>
              <w:top w:val="single" w:sz="4" w:space="0" w:color="000000"/>
              <w:left w:val="single" w:sz="4" w:space="0" w:color="000000"/>
              <w:bottom w:val="single" w:sz="4" w:space="0" w:color="000000"/>
              <w:right w:val="single" w:sz="4" w:space="0" w:color="000000"/>
            </w:tcBorders>
          </w:tcPr>
          <w:p w14:paraId="33E30B11"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MAČAK PAŠKO </w:t>
            </w:r>
          </w:p>
        </w:tc>
        <w:tc>
          <w:tcPr>
            <w:tcW w:w="2694" w:type="dxa"/>
            <w:tcBorders>
              <w:top w:val="single" w:sz="4" w:space="0" w:color="000000"/>
              <w:left w:val="single" w:sz="4" w:space="0" w:color="000000"/>
              <w:bottom w:val="single" w:sz="4" w:space="0" w:color="000000"/>
              <w:right w:val="single" w:sz="4" w:space="0" w:color="000000"/>
            </w:tcBorders>
          </w:tcPr>
          <w:p w14:paraId="282C531C"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Kašinska cesta 32 </w:t>
            </w:r>
          </w:p>
        </w:tc>
        <w:tc>
          <w:tcPr>
            <w:tcW w:w="1482" w:type="dxa"/>
            <w:tcBorders>
              <w:top w:val="single" w:sz="4" w:space="0" w:color="000000"/>
              <w:left w:val="single" w:sz="4" w:space="0" w:color="000000"/>
              <w:bottom w:val="single" w:sz="4" w:space="0" w:color="000000"/>
              <w:right w:val="single" w:sz="4" w:space="0" w:color="000000"/>
            </w:tcBorders>
          </w:tcPr>
          <w:p w14:paraId="477D1B09"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47</w:t>
            </w:r>
          </w:p>
        </w:tc>
        <w:tc>
          <w:tcPr>
            <w:tcW w:w="1493" w:type="dxa"/>
            <w:tcBorders>
              <w:top w:val="single" w:sz="4" w:space="0" w:color="000000"/>
              <w:left w:val="single" w:sz="4" w:space="0" w:color="000000"/>
              <w:bottom w:val="single" w:sz="4" w:space="0" w:color="000000"/>
              <w:right w:val="single" w:sz="4" w:space="0" w:color="000000"/>
            </w:tcBorders>
          </w:tcPr>
          <w:p w14:paraId="2582F526"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2BC101F4"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1B8E51C7"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29. </w:t>
            </w:r>
          </w:p>
        </w:tc>
        <w:tc>
          <w:tcPr>
            <w:tcW w:w="2744" w:type="dxa"/>
            <w:tcBorders>
              <w:top w:val="single" w:sz="4" w:space="0" w:color="000000"/>
              <w:left w:val="single" w:sz="4" w:space="0" w:color="000000"/>
              <w:bottom w:val="single" w:sz="4" w:space="0" w:color="000000"/>
              <w:right w:val="single" w:sz="4" w:space="0" w:color="000000"/>
            </w:tcBorders>
          </w:tcPr>
          <w:p w14:paraId="3DE3F312"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w:t>
            </w:r>
            <w:r w:rsidR="00710CC5" w:rsidRPr="0032536A">
              <w:rPr>
                <w:rFonts w:ascii="Times New Roman" w:hAnsi="Times New Roman" w:cs="Times New Roman"/>
                <w:color w:val="auto"/>
              </w:rPr>
              <w:t xml:space="preserve"> </w:t>
            </w:r>
            <w:r w:rsidRPr="0032536A">
              <w:rPr>
                <w:rFonts w:ascii="Times New Roman" w:hAnsi="Times New Roman" w:cs="Times New Roman"/>
                <w:color w:val="auto"/>
              </w:rPr>
              <w:t>MAČAK U</w:t>
            </w:r>
            <w:r w:rsidR="00710CC5" w:rsidRPr="0032536A">
              <w:rPr>
                <w:rFonts w:ascii="Times New Roman" w:hAnsi="Times New Roman" w:cs="Times New Roman"/>
                <w:color w:val="auto"/>
              </w:rPr>
              <w:t xml:space="preserve"> </w:t>
            </w:r>
            <w:r w:rsidRPr="0032536A">
              <w:rPr>
                <w:rFonts w:ascii="Times New Roman" w:hAnsi="Times New Roman" w:cs="Times New Roman"/>
                <w:color w:val="auto"/>
              </w:rPr>
              <w:t xml:space="preserve">ČIZMAMA </w:t>
            </w:r>
          </w:p>
        </w:tc>
        <w:tc>
          <w:tcPr>
            <w:tcW w:w="2694" w:type="dxa"/>
            <w:tcBorders>
              <w:top w:val="single" w:sz="4" w:space="0" w:color="000000"/>
              <w:left w:val="single" w:sz="4" w:space="0" w:color="000000"/>
              <w:bottom w:val="single" w:sz="4" w:space="0" w:color="000000"/>
              <w:right w:val="single" w:sz="4" w:space="0" w:color="000000"/>
            </w:tcBorders>
          </w:tcPr>
          <w:p w14:paraId="6CF0C0B8"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Kvintička ulica 82</w:t>
            </w:r>
            <w:r w:rsidR="00EE6A22" w:rsidRPr="0032536A">
              <w:rPr>
                <w:rFonts w:ascii="Times New Roman" w:hAnsi="Times New Roman" w:cs="Times New Roman"/>
                <w:color w:val="auto"/>
              </w:rPr>
              <w:t>-</w:t>
            </w:r>
            <w:r w:rsidRPr="0032536A">
              <w:rPr>
                <w:rFonts w:ascii="Times New Roman" w:hAnsi="Times New Roman" w:cs="Times New Roman"/>
                <w:color w:val="auto"/>
              </w:rPr>
              <w:t xml:space="preserve">84 </w:t>
            </w:r>
          </w:p>
        </w:tc>
        <w:tc>
          <w:tcPr>
            <w:tcW w:w="1482" w:type="dxa"/>
            <w:tcBorders>
              <w:top w:val="single" w:sz="4" w:space="0" w:color="000000"/>
              <w:left w:val="single" w:sz="4" w:space="0" w:color="000000"/>
              <w:bottom w:val="single" w:sz="4" w:space="0" w:color="000000"/>
              <w:right w:val="single" w:sz="4" w:space="0" w:color="000000"/>
            </w:tcBorders>
          </w:tcPr>
          <w:p w14:paraId="6B1E421C"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96</w:t>
            </w:r>
          </w:p>
        </w:tc>
        <w:tc>
          <w:tcPr>
            <w:tcW w:w="1493" w:type="dxa"/>
            <w:tcBorders>
              <w:top w:val="single" w:sz="4" w:space="0" w:color="000000"/>
              <w:left w:val="single" w:sz="4" w:space="0" w:color="000000"/>
              <w:bottom w:val="single" w:sz="4" w:space="0" w:color="000000"/>
              <w:right w:val="single" w:sz="4" w:space="0" w:color="000000"/>
            </w:tcBorders>
          </w:tcPr>
          <w:p w14:paraId="02DB2256"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6C5EF405"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2674B6C6"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30. </w:t>
            </w:r>
          </w:p>
        </w:tc>
        <w:tc>
          <w:tcPr>
            <w:tcW w:w="2744" w:type="dxa"/>
            <w:tcBorders>
              <w:top w:val="single" w:sz="4" w:space="0" w:color="000000"/>
              <w:left w:val="single" w:sz="4" w:space="0" w:color="000000"/>
              <w:bottom w:val="single" w:sz="4" w:space="0" w:color="000000"/>
              <w:right w:val="single" w:sz="4" w:space="0" w:color="000000"/>
            </w:tcBorders>
          </w:tcPr>
          <w:p w14:paraId="66949F32"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MALA KUĆA </w:t>
            </w:r>
          </w:p>
        </w:tc>
        <w:tc>
          <w:tcPr>
            <w:tcW w:w="2694" w:type="dxa"/>
            <w:tcBorders>
              <w:top w:val="single" w:sz="4" w:space="0" w:color="000000"/>
              <w:left w:val="single" w:sz="4" w:space="0" w:color="000000"/>
              <w:bottom w:val="single" w:sz="4" w:space="0" w:color="000000"/>
              <w:right w:val="single" w:sz="4" w:space="0" w:color="000000"/>
            </w:tcBorders>
          </w:tcPr>
          <w:p w14:paraId="6EAC3620"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Vrhovec 81 </w:t>
            </w:r>
          </w:p>
        </w:tc>
        <w:tc>
          <w:tcPr>
            <w:tcW w:w="1482" w:type="dxa"/>
            <w:tcBorders>
              <w:top w:val="single" w:sz="4" w:space="0" w:color="000000"/>
              <w:left w:val="single" w:sz="4" w:space="0" w:color="000000"/>
              <w:bottom w:val="single" w:sz="4" w:space="0" w:color="000000"/>
              <w:right w:val="single" w:sz="4" w:space="0" w:color="000000"/>
            </w:tcBorders>
          </w:tcPr>
          <w:p w14:paraId="5FA55838"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35</w:t>
            </w:r>
          </w:p>
        </w:tc>
        <w:tc>
          <w:tcPr>
            <w:tcW w:w="1493" w:type="dxa"/>
            <w:tcBorders>
              <w:top w:val="single" w:sz="4" w:space="0" w:color="000000"/>
              <w:left w:val="single" w:sz="4" w:space="0" w:color="000000"/>
              <w:bottom w:val="single" w:sz="4" w:space="0" w:color="000000"/>
              <w:right w:val="single" w:sz="4" w:space="0" w:color="000000"/>
            </w:tcBorders>
          </w:tcPr>
          <w:p w14:paraId="65363A14"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466B17A2"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11C44D18"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31. </w:t>
            </w:r>
          </w:p>
        </w:tc>
        <w:tc>
          <w:tcPr>
            <w:tcW w:w="2744" w:type="dxa"/>
            <w:tcBorders>
              <w:top w:val="single" w:sz="4" w:space="0" w:color="000000"/>
              <w:left w:val="single" w:sz="4" w:space="0" w:color="000000"/>
              <w:bottom w:val="single" w:sz="4" w:space="0" w:color="000000"/>
              <w:right w:val="single" w:sz="4" w:space="0" w:color="000000"/>
            </w:tcBorders>
          </w:tcPr>
          <w:p w14:paraId="32CE4D23"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w:t>
            </w:r>
            <w:r w:rsidR="00710CC5" w:rsidRPr="0032536A">
              <w:rPr>
                <w:rFonts w:ascii="Times New Roman" w:hAnsi="Times New Roman" w:cs="Times New Roman"/>
                <w:color w:val="auto"/>
              </w:rPr>
              <w:t xml:space="preserve"> </w:t>
            </w:r>
            <w:r w:rsidRPr="0032536A">
              <w:rPr>
                <w:rFonts w:ascii="Times New Roman" w:hAnsi="Times New Roman" w:cs="Times New Roman"/>
                <w:color w:val="auto"/>
              </w:rPr>
              <w:t>MALENI</w:t>
            </w:r>
            <w:r w:rsidR="00710CC5" w:rsidRPr="0032536A">
              <w:rPr>
                <w:rFonts w:ascii="Times New Roman" w:hAnsi="Times New Roman" w:cs="Times New Roman"/>
                <w:color w:val="auto"/>
              </w:rPr>
              <w:t xml:space="preserve"> </w:t>
            </w:r>
            <w:r w:rsidRPr="0032536A">
              <w:rPr>
                <w:rFonts w:ascii="Times New Roman" w:hAnsi="Times New Roman" w:cs="Times New Roman"/>
                <w:color w:val="auto"/>
              </w:rPr>
              <w:t xml:space="preserve">TALENTI </w:t>
            </w:r>
          </w:p>
        </w:tc>
        <w:tc>
          <w:tcPr>
            <w:tcW w:w="2694" w:type="dxa"/>
            <w:tcBorders>
              <w:top w:val="single" w:sz="4" w:space="0" w:color="000000"/>
              <w:left w:val="single" w:sz="4" w:space="0" w:color="000000"/>
              <w:bottom w:val="single" w:sz="4" w:space="0" w:color="000000"/>
              <w:right w:val="single" w:sz="4" w:space="0" w:color="000000"/>
            </w:tcBorders>
          </w:tcPr>
          <w:p w14:paraId="2F721321"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Nova Ves 11 </w:t>
            </w:r>
          </w:p>
        </w:tc>
        <w:tc>
          <w:tcPr>
            <w:tcW w:w="1482" w:type="dxa"/>
            <w:tcBorders>
              <w:top w:val="single" w:sz="4" w:space="0" w:color="000000"/>
              <w:left w:val="single" w:sz="4" w:space="0" w:color="000000"/>
              <w:bottom w:val="single" w:sz="4" w:space="0" w:color="000000"/>
              <w:right w:val="single" w:sz="4" w:space="0" w:color="000000"/>
            </w:tcBorders>
          </w:tcPr>
          <w:p w14:paraId="4654A38B"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84</w:t>
            </w:r>
          </w:p>
        </w:tc>
        <w:tc>
          <w:tcPr>
            <w:tcW w:w="1493" w:type="dxa"/>
            <w:tcBorders>
              <w:top w:val="single" w:sz="4" w:space="0" w:color="000000"/>
              <w:left w:val="single" w:sz="4" w:space="0" w:color="000000"/>
              <w:bottom w:val="single" w:sz="4" w:space="0" w:color="000000"/>
              <w:right w:val="single" w:sz="4" w:space="0" w:color="000000"/>
            </w:tcBorders>
          </w:tcPr>
          <w:p w14:paraId="3812DB12"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6A6BD0C6"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15767061"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32. </w:t>
            </w:r>
          </w:p>
        </w:tc>
        <w:tc>
          <w:tcPr>
            <w:tcW w:w="2744" w:type="dxa"/>
            <w:tcBorders>
              <w:top w:val="single" w:sz="4" w:space="0" w:color="000000"/>
              <w:left w:val="single" w:sz="4" w:space="0" w:color="000000"/>
              <w:bottom w:val="single" w:sz="4" w:space="0" w:color="000000"/>
              <w:right w:val="single" w:sz="4" w:space="0" w:color="000000"/>
            </w:tcBorders>
          </w:tcPr>
          <w:p w14:paraId="7BC1FA7F"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MALI CVRČAK </w:t>
            </w:r>
          </w:p>
        </w:tc>
        <w:tc>
          <w:tcPr>
            <w:tcW w:w="2694" w:type="dxa"/>
            <w:tcBorders>
              <w:top w:val="single" w:sz="4" w:space="0" w:color="000000"/>
              <w:left w:val="single" w:sz="4" w:space="0" w:color="000000"/>
              <w:bottom w:val="single" w:sz="4" w:space="0" w:color="000000"/>
              <w:right w:val="single" w:sz="4" w:space="0" w:color="000000"/>
            </w:tcBorders>
          </w:tcPr>
          <w:p w14:paraId="5BB3E25B"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Četvrte Poljanice 4 </w:t>
            </w:r>
          </w:p>
        </w:tc>
        <w:tc>
          <w:tcPr>
            <w:tcW w:w="1482" w:type="dxa"/>
            <w:tcBorders>
              <w:top w:val="single" w:sz="4" w:space="0" w:color="000000"/>
              <w:left w:val="single" w:sz="4" w:space="0" w:color="000000"/>
              <w:bottom w:val="single" w:sz="4" w:space="0" w:color="000000"/>
              <w:right w:val="single" w:sz="4" w:space="0" w:color="000000"/>
            </w:tcBorders>
          </w:tcPr>
          <w:p w14:paraId="1EFF9F97"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24</w:t>
            </w:r>
          </w:p>
        </w:tc>
        <w:tc>
          <w:tcPr>
            <w:tcW w:w="1493" w:type="dxa"/>
            <w:tcBorders>
              <w:top w:val="single" w:sz="4" w:space="0" w:color="000000"/>
              <w:left w:val="single" w:sz="4" w:space="0" w:color="000000"/>
              <w:bottom w:val="single" w:sz="4" w:space="0" w:color="000000"/>
              <w:right w:val="single" w:sz="4" w:space="0" w:color="000000"/>
            </w:tcBorders>
          </w:tcPr>
          <w:p w14:paraId="4F9A3839"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50</w:t>
            </w:r>
          </w:p>
        </w:tc>
      </w:tr>
      <w:tr w:rsidR="003F7A56" w:rsidRPr="004750F4" w14:paraId="6E28DB9E"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4535359D" w14:textId="77777777" w:rsidR="003F7A56" w:rsidRPr="0032536A" w:rsidRDefault="00E40AC8"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 </w:t>
            </w:r>
          </w:p>
        </w:tc>
        <w:tc>
          <w:tcPr>
            <w:tcW w:w="2744" w:type="dxa"/>
            <w:tcBorders>
              <w:top w:val="single" w:sz="4" w:space="0" w:color="000000"/>
              <w:left w:val="single" w:sz="4" w:space="0" w:color="000000"/>
              <w:bottom w:val="single" w:sz="4" w:space="0" w:color="000000"/>
              <w:right w:val="single" w:sz="4" w:space="0" w:color="000000"/>
            </w:tcBorders>
          </w:tcPr>
          <w:p w14:paraId="2556A147"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Podružnica </w:t>
            </w:r>
          </w:p>
        </w:tc>
        <w:tc>
          <w:tcPr>
            <w:tcW w:w="2694" w:type="dxa"/>
            <w:tcBorders>
              <w:top w:val="single" w:sz="4" w:space="0" w:color="000000"/>
              <w:left w:val="single" w:sz="4" w:space="0" w:color="000000"/>
              <w:bottom w:val="single" w:sz="4" w:space="0" w:color="000000"/>
              <w:right w:val="single" w:sz="4" w:space="0" w:color="000000"/>
            </w:tcBorders>
          </w:tcPr>
          <w:p w14:paraId="0775E116"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Pete Poljanice 18 </w:t>
            </w:r>
          </w:p>
        </w:tc>
        <w:tc>
          <w:tcPr>
            <w:tcW w:w="1482" w:type="dxa"/>
            <w:tcBorders>
              <w:top w:val="single" w:sz="4" w:space="0" w:color="000000"/>
              <w:left w:val="single" w:sz="4" w:space="0" w:color="000000"/>
              <w:bottom w:val="single" w:sz="4" w:space="0" w:color="000000"/>
              <w:right w:val="single" w:sz="4" w:space="0" w:color="000000"/>
            </w:tcBorders>
          </w:tcPr>
          <w:p w14:paraId="5048B69F"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24</w:t>
            </w:r>
          </w:p>
        </w:tc>
        <w:tc>
          <w:tcPr>
            <w:tcW w:w="1493" w:type="dxa"/>
            <w:tcBorders>
              <w:top w:val="single" w:sz="4" w:space="0" w:color="000000"/>
              <w:left w:val="single" w:sz="4" w:space="0" w:color="000000"/>
              <w:bottom w:val="single" w:sz="4" w:space="0" w:color="000000"/>
              <w:right w:val="single" w:sz="4" w:space="0" w:color="000000"/>
            </w:tcBorders>
          </w:tcPr>
          <w:p w14:paraId="1092E35B"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50</w:t>
            </w:r>
          </w:p>
        </w:tc>
      </w:tr>
      <w:tr w:rsidR="003F7A56" w:rsidRPr="004750F4" w14:paraId="56070A2F"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307E3A21"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33. </w:t>
            </w:r>
          </w:p>
        </w:tc>
        <w:tc>
          <w:tcPr>
            <w:tcW w:w="2744" w:type="dxa"/>
            <w:tcBorders>
              <w:top w:val="single" w:sz="4" w:space="0" w:color="000000"/>
              <w:left w:val="single" w:sz="4" w:space="0" w:color="000000"/>
              <w:bottom w:val="single" w:sz="4" w:space="0" w:color="000000"/>
              <w:right w:val="single" w:sz="4" w:space="0" w:color="000000"/>
            </w:tcBorders>
          </w:tcPr>
          <w:p w14:paraId="7588D608"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 MALI</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 xml:space="preserve">ISTRAŽIVAČ </w:t>
            </w:r>
          </w:p>
        </w:tc>
        <w:tc>
          <w:tcPr>
            <w:tcW w:w="2694" w:type="dxa"/>
            <w:tcBorders>
              <w:top w:val="single" w:sz="4" w:space="0" w:color="000000"/>
              <w:left w:val="single" w:sz="4" w:space="0" w:color="000000"/>
              <w:bottom w:val="single" w:sz="4" w:space="0" w:color="000000"/>
              <w:right w:val="single" w:sz="4" w:space="0" w:color="000000"/>
            </w:tcBorders>
          </w:tcPr>
          <w:p w14:paraId="1D87ED24"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Ulica Ede Murtića 7 </w:t>
            </w:r>
          </w:p>
        </w:tc>
        <w:tc>
          <w:tcPr>
            <w:tcW w:w="1482" w:type="dxa"/>
            <w:tcBorders>
              <w:top w:val="single" w:sz="4" w:space="0" w:color="000000"/>
              <w:left w:val="single" w:sz="4" w:space="0" w:color="000000"/>
              <w:bottom w:val="single" w:sz="4" w:space="0" w:color="000000"/>
              <w:right w:val="single" w:sz="4" w:space="0" w:color="000000"/>
            </w:tcBorders>
          </w:tcPr>
          <w:p w14:paraId="02A137DA"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262</w:t>
            </w:r>
          </w:p>
        </w:tc>
        <w:tc>
          <w:tcPr>
            <w:tcW w:w="1493" w:type="dxa"/>
            <w:tcBorders>
              <w:top w:val="single" w:sz="4" w:space="0" w:color="000000"/>
              <w:left w:val="single" w:sz="4" w:space="0" w:color="000000"/>
              <w:bottom w:val="single" w:sz="4" w:space="0" w:color="000000"/>
              <w:right w:val="single" w:sz="4" w:space="0" w:color="000000"/>
            </w:tcBorders>
          </w:tcPr>
          <w:p w14:paraId="7DE85B64"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54B66206" w14:textId="77777777" w:rsidTr="001B3FDF">
        <w:trPr>
          <w:cantSplit/>
        </w:trPr>
        <w:tc>
          <w:tcPr>
            <w:tcW w:w="658" w:type="dxa"/>
            <w:tcBorders>
              <w:top w:val="single" w:sz="4" w:space="0" w:color="000000"/>
              <w:left w:val="single" w:sz="4" w:space="0" w:color="000000"/>
              <w:bottom w:val="single" w:sz="4" w:space="0" w:color="000000"/>
              <w:right w:val="single" w:sz="4" w:space="0" w:color="000000"/>
            </w:tcBorders>
          </w:tcPr>
          <w:p w14:paraId="671E8B68"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34. </w:t>
            </w:r>
          </w:p>
        </w:tc>
        <w:tc>
          <w:tcPr>
            <w:tcW w:w="2744" w:type="dxa"/>
            <w:tcBorders>
              <w:top w:val="single" w:sz="4" w:space="0" w:color="000000"/>
              <w:left w:val="single" w:sz="4" w:space="0" w:color="000000"/>
              <w:bottom w:val="single" w:sz="4" w:space="0" w:color="000000"/>
              <w:right w:val="single" w:sz="4" w:space="0" w:color="000000"/>
            </w:tcBorders>
          </w:tcPr>
          <w:p w14:paraId="19D708EC"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w:t>
            </w:r>
            <w:r w:rsidR="00395E37" w:rsidRPr="0032536A">
              <w:rPr>
                <w:rFonts w:ascii="Times New Roman" w:hAnsi="Times New Roman" w:cs="Times New Roman"/>
                <w:color w:val="auto"/>
              </w:rPr>
              <w:t>MALI SVIJET</w:t>
            </w:r>
          </w:p>
        </w:tc>
        <w:tc>
          <w:tcPr>
            <w:tcW w:w="2694" w:type="dxa"/>
            <w:tcBorders>
              <w:top w:val="single" w:sz="4" w:space="0" w:color="000000"/>
              <w:left w:val="single" w:sz="4" w:space="0" w:color="000000"/>
              <w:bottom w:val="single" w:sz="4" w:space="0" w:color="000000"/>
              <w:right w:val="single" w:sz="4" w:space="0" w:color="000000"/>
            </w:tcBorders>
          </w:tcPr>
          <w:p w14:paraId="697E0E0A"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Borovik 5, Lučko </w:t>
            </w:r>
          </w:p>
        </w:tc>
        <w:tc>
          <w:tcPr>
            <w:tcW w:w="1482" w:type="dxa"/>
            <w:tcBorders>
              <w:top w:val="single" w:sz="4" w:space="0" w:color="000000"/>
              <w:left w:val="single" w:sz="4" w:space="0" w:color="000000"/>
              <w:bottom w:val="single" w:sz="4" w:space="0" w:color="000000"/>
              <w:right w:val="single" w:sz="4" w:space="0" w:color="000000"/>
            </w:tcBorders>
          </w:tcPr>
          <w:p w14:paraId="23ED7A57"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94</w:t>
            </w:r>
          </w:p>
        </w:tc>
        <w:tc>
          <w:tcPr>
            <w:tcW w:w="1493" w:type="dxa"/>
            <w:tcBorders>
              <w:top w:val="single" w:sz="4" w:space="0" w:color="000000"/>
              <w:left w:val="single" w:sz="4" w:space="0" w:color="000000"/>
              <w:bottom w:val="single" w:sz="4" w:space="0" w:color="000000"/>
              <w:right w:val="single" w:sz="4" w:space="0" w:color="000000"/>
            </w:tcBorders>
          </w:tcPr>
          <w:p w14:paraId="687B13E0"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 xml:space="preserve">Nema </w:t>
            </w:r>
            <w:r w:rsidR="00395E37" w:rsidRPr="0032536A">
              <w:rPr>
                <w:rFonts w:ascii="Times New Roman" w:hAnsi="Times New Roman" w:cs="Times New Roman"/>
                <w:color w:val="auto"/>
              </w:rPr>
              <w:t>kuhinju</w:t>
            </w:r>
          </w:p>
        </w:tc>
      </w:tr>
      <w:tr w:rsidR="003F7A56" w:rsidRPr="004750F4" w14:paraId="1120DFF4"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73DB5E5D"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35. </w:t>
            </w:r>
          </w:p>
        </w:tc>
        <w:tc>
          <w:tcPr>
            <w:tcW w:w="2744" w:type="dxa"/>
            <w:tcBorders>
              <w:top w:val="single" w:sz="4" w:space="0" w:color="000000"/>
              <w:left w:val="single" w:sz="4" w:space="0" w:color="000000"/>
              <w:bottom w:val="single" w:sz="4" w:space="0" w:color="000000"/>
              <w:right w:val="single" w:sz="4" w:space="0" w:color="000000"/>
            </w:tcBorders>
          </w:tcPr>
          <w:p w14:paraId="41BFFBF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 MARIJ</w:t>
            </w:r>
            <w:r w:rsidR="00833C7D" w:rsidRPr="0032536A">
              <w:rPr>
                <w:rFonts w:ascii="Times New Roman" w:hAnsi="Times New Roman" w:cs="Times New Roman"/>
                <w:color w:val="auto"/>
              </w:rPr>
              <w:t>E</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 xml:space="preserve">PETKOVIĆ </w:t>
            </w:r>
          </w:p>
        </w:tc>
        <w:tc>
          <w:tcPr>
            <w:tcW w:w="2694" w:type="dxa"/>
            <w:tcBorders>
              <w:top w:val="single" w:sz="4" w:space="0" w:color="000000"/>
              <w:left w:val="single" w:sz="4" w:space="0" w:color="000000"/>
              <w:bottom w:val="single" w:sz="4" w:space="0" w:color="000000"/>
              <w:right w:val="single" w:sz="4" w:space="0" w:color="000000"/>
            </w:tcBorders>
          </w:tcPr>
          <w:p w14:paraId="7D32E974"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Ulica Ive Mallina 4 </w:t>
            </w:r>
          </w:p>
        </w:tc>
        <w:tc>
          <w:tcPr>
            <w:tcW w:w="1482" w:type="dxa"/>
            <w:tcBorders>
              <w:top w:val="single" w:sz="4" w:space="0" w:color="000000"/>
              <w:left w:val="single" w:sz="4" w:space="0" w:color="000000"/>
              <w:bottom w:val="single" w:sz="4" w:space="0" w:color="000000"/>
              <w:right w:val="single" w:sz="4" w:space="0" w:color="000000"/>
            </w:tcBorders>
          </w:tcPr>
          <w:p w14:paraId="25331176"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50</w:t>
            </w:r>
          </w:p>
        </w:tc>
        <w:tc>
          <w:tcPr>
            <w:tcW w:w="1493" w:type="dxa"/>
            <w:tcBorders>
              <w:top w:val="single" w:sz="4" w:space="0" w:color="000000"/>
              <w:left w:val="single" w:sz="4" w:space="0" w:color="000000"/>
              <w:bottom w:val="single" w:sz="4" w:space="0" w:color="000000"/>
              <w:right w:val="single" w:sz="4" w:space="0" w:color="000000"/>
            </w:tcBorders>
          </w:tcPr>
          <w:p w14:paraId="33319B55"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06092B53"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353C3F7A"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36. </w:t>
            </w:r>
          </w:p>
        </w:tc>
        <w:tc>
          <w:tcPr>
            <w:tcW w:w="2744" w:type="dxa"/>
            <w:tcBorders>
              <w:top w:val="single" w:sz="4" w:space="0" w:color="000000"/>
              <w:left w:val="single" w:sz="4" w:space="0" w:color="000000"/>
              <w:bottom w:val="single" w:sz="4" w:space="0" w:color="000000"/>
              <w:right w:val="single" w:sz="4" w:space="0" w:color="000000"/>
            </w:tcBorders>
          </w:tcPr>
          <w:p w14:paraId="635BE8C2"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MIRJAM</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 xml:space="preserve">WEILLER </w:t>
            </w:r>
          </w:p>
        </w:tc>
        <w:tc>
          <w:tcPr>
            <w:tcW w:w="2694" w:type="dxa"/>
            <w:tcBorders>
              <w:top w:val="single" w:sz="4" w:space="0" w:color="000000"/>
              <w:left w:val="single" w:sz="4" w:space="0" w:color="000000"/>
              <w:bottom w:val="single" w:sz="4" w:space="0" w:color="000000"/>
              <w:right w:val="single" w:sz="4" w:space="0" w:color="000000"/>
            </w:tcBorders>
          </w:tcPr>
          <w:p w14:paraId="57FD5894"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Palmotićeva ulica 16 </w:t>
            </w:r>
          </w:p>
        </w:tc>
        <w:tc>
          <w:tcPr>
            <w:tcW w:w="1482" w:type="dxa"/>
            <w:tcBorders>
              <w:top w:val="single" w:sz="4" w:space="0" w:color="000000"/>
              <w:left w:val="single" w:sz="4" w:space="0" w:color="000000"/>
              <w:bottom w:val="single" w:sz="4" w:space="0" w:color="000000"/>
              <w:right w:val="single" w:sz="4" w:space="0" w:color="000000"/>
            </w:tcBorders>
          </w:tcPr>
          <w:p w14:paraId="2D3C1A81"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42</w:t>
            </w:r>
          </w:p>
        </w:tc>
        <w:tc>
          <w:tcPr>
            <w:tcW w:w="1493" w:type="dxa"/>
            <w:tcBorders>
              <w:top w:val="single" w:sz="4" w:space="0" w:color="000000"/>
              <w:left w:val="single" w:sz="4" w:space="0" w:color="000000"/>
              <w:bottom w:val="single" w:sz="4" w:space="0" w:color="000000"/>
              <w:right w:val="single" w:sz="4" w:space="0" w:color="000000"/>
            </w:tcBorders>
          </w:tcPr>
          <w:p w14:paraId="75D1A08D"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4C9A8E53"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28CFCA6C"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37. </w:t>
            </w:r>
          </w:p>
        </w:tc>
        <w:tc>
          <w:tcPr>
            <w:tcW w:w="2744" w:type="dxa"/>
            <w:tcBorders>
              <w:top w:val="single" w:sz="4" w:space="0" w:color="000000"/>
              <w:left w:val="single" w:sz="4" w:space="0" w:color="000000"/>
              <w:bottom w:val="single" w:sz="4" w:space="0" w:color="000000"/>
              <w:right w:val="single" w:sz="4" w:space="0" w:color="000000"/>
            </w:tcBorders>
          </w:tcPr>
          <w:p w14:paraId="46955EB6"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MUDRE</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 xml:space="preserve">GLAVICE </w:t>
            </w:r>
          </w:p>
        </w:tc>
        <w:tc>
          <w:tcPr>
            <w:tcW w:w="2694" w:type="dxa"/>
            <w:tcBorders>
              <w:top w:val="single" w:sz="4" w:space="0" w:color="000000"/>
              <w:left w:val="single" w:sz="4" w:space="0" w:color="000000"/>
              <w:bottom w:val="single" w:sz="4" w:space="0" w:color="000000"/>
              <w:right w:val="single" w:sz="4" w:space="0" w:color="000000"/>
            </w:tcBorders>
          </w:tcPr>
          <w:p w14:paraId="6B5F3EE9" w14:textId="77777777" w:rsidR="003F7A56" w:rsidRPr="0032536A" w:rsidRDefault="00833C7D"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hAnsi="Times New Roman" w:cs="Times New Roman"/>
                <w:color w:val="auto"/>
              </w:rPr>
              <w:t xml:space="preserve">I. Lackovića Croate 13 </w:t>
            </w:r>
          </w:p>
        </w:tc>
        <w:tc>
          <w:tcPr>
            <w:tcW w:w="1482" w:type="dxa"/>
            <w:tcBorders>
              <w:top w:val="single" w:sz="4" w:space="0" w:color="000000"/>
              <w:left w:val="single" w:sz="4" w:space="0" w:color="000000"/>
              <w:bottom w:val="single" w:sz="4" w:space="0" w:color="000000"/>
              <w:right w:val="single" w:sz="4" w:space="0" w:color="000000"/>
            </w:tcBorders>
          </w:tcPr>
          <w:p w14:paraId="3FFD65D5"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30</w:t>
            </w:r>
          </w:p>
        </w:tc>
        <w:tc>
          <w:tcPr>
            <w:tcW w:w="1493" w:type="dxa"/>
            <w:tcBorders>
              <w:top w:val="single" w:sz="4" w:space="0" w:color="000000"/>
              <w:left w:val="single" w:sz="4" w:space="0" w:color="000000"/>
              <w:bottom w:val="single" w:sz="4" w:space="0" w:color="000000"/>
              <w:right w:val="single" w:sz="4" w:space="0" w:color="000000"/>
            </w:tcBorders>
          </w:tcPr>
          <w:p w14:paraId="77387983"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198B666F"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6052EA2E"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38. </w:t>
            </w:r>
          </w:p>
        </w:tc>
        <w:tc>
          <w:tcPr>
            <w:tcW w:w="2744" w:type="dxa"/>
            <w:tcBorders>
              <w:top w:val="single" w:sz="4" w:space="0" w:color="000000"/>
              <w:left w:val="single" w:sz="4" w:space="0" w:color="000000"/>
              <w:bottom w:val="single" w:sz="4" w:space="0" w:color="000000"/>
              <w:right w:val="single" w:sz="4" w:space="0" w:color="000000"/>
            </w:tcBorders>
          </w:tcPr>
          <w:p w14:paraId="67EED35B"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NEMO </w:t>
            </w:r>
          </w:p>
        </w:tc>
        <w:tc>
          <w:tcPr>
            <w:tcW w:w="2694" w:type="dxa"/>
            <w:tcBorders>
              <w:top w:val="single" w:sz="4" w:space="0" w:color="000000"/>
              <w:left w:val="single" w:sz="4" w:space="0" w:color="000000"/>
              <w:bottom w:val="single" w:sz="4" w:space="0" w:color="000000"/>
              <w:right w:val="single" w:sz="4" w:space="0" w:color="000000"/>
            </w:tcBorders>
          </w:tcPr>
          <w:p w14:paraId="502F326F"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Našička ulica 12</w:t>
            </w:r>
            <w:r w:rsidR="00E40AC8" w:rsidRPr="0032536A">
              <w:rPr>
                <w:rFonts w:ascii="Times New Roman" w:hAnsi="Times New Roman" w:cs="Times New Roman"/>
                <w:color w:val="auto"/>
              </w:rPr>
              <w:t xml:space="preserve"> </w:t>
            </w:r>
          </w:p>
        </w:tc>
        <w:tc>
          <w:tcPr>
            <w:tcW w:w="1482" w:type="dxa"/>
            <w:tcBorders>
              <w:top w:val="single" w:sz="4" w:space="0" w:color="000000"/>
              <w:left w:val="single" w:sz="4" w:space="0" w:color="000000"/>
              <w:bottom w:val="single" w:sz="4" w:space="0" w:color="000000"/>
              <w:right w:val="single" w:sz="4" w:space="0" w:color="000000"/>
            </w:tcBorders>
          </w:tcPr>
          <w:p w14:paraId="3DAEA723"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78</w:t>
            </w:r>
          </w:p>
        </w:tc>
        <w:tc>
          <w:tcPr>
            <w:tcW w:w="1493" w:type="dxa"/>
            <w:tcBorders>
              <w:top w:val="single" w:sz="4" w:space="0" w:color="000000"/>
              <w:left w:val="single" w:sz="4" w:space="0" w:color="000000"/>
              <w:bottom w:val="single" w:sz="4" w:space="0" w:color="000000"/>
              <w:right w:val="single" w:sz="4" w:space="0" w:color="000000"/>
            </w:tcBorders>
          </w:tcPr>
          <w:p w14:paraId="704EC93F"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3D32E606"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13E55D36"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39. </w:t>
            </w:r>
          </w:p>
        </w:tc>
        <w:tc>
          <w:tcPr>
            <w:tcW w:w="2744" w:type="dxa"/>
            <w:tcBorders>
              <w:top w:val="single" w:sz="4" w:space="0" w:color="000000"/>
              <w:left w:val="single" w:sz="4" w:space="0" w:color="000000"/>
              <w:bottom w:val="single" w:sz="4" w:space="0" w:color="000000"/>
              <w:right w:val="single" w:sz="4" w:space="0" w:color="000000"/>
            </w:tcBorders>
          </w:tcPr>
          <w:p w14:paraId="61358C86"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NIKOLE</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 xml:space="preserve">ZRINSKOG </w:t>
            </w:r>
          </w:p>
        </w:tc>
        <w:tc>
          <w:tcPr>
            <w:tcW w:w="2694" w:type="dxa"/>
            <w:tcBorders>
              <w:top w:val="single" w:sz="4" w:space="0" w:color="000000"/>
              <w:left w:val="single" w:sz="4" w:space="0" w:color="000000"/>
              <w:bottom w:val="single" w:sz="4" w:space="0" w:color="000000"/>
              <w:right w:val="single" w:sz="4" w:space="0" w:color="000000"/>
            </w:tcBorders>
          </w:tcPr>
          <w:p w14:paraId="5E5CDB73"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Gundulićeva ulica 28 </w:t>
            </w:r>
          </w:p>
        </w:tc>
        <w:tc>
          <w:tcPr>
            <w:tcW w:w="1482" w:type="dxa"/>
            <w:tcBorders>
              <w:top w:val="single" w:sz="4" w:space="0" w:color="000000"/>
              <w:left w:val="single" w:sz="4" w:space="0" w:color="000000"/>
              <w:bottom w:val="single" w:sz="4" w:space="0" w:color="000000"/>
              <w:right w:val="single" w:sz="4" w:space="0" w:color="000000"/>
            </w:tcBorders>
          </w:tcPr>
          <w:p w14:paraId="2B5BC4C3"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32</w:t>
            </w:r>
          </w:p>
        </w:tc>
        <w:tc>
          <w:tcPr>
            <w:tcW w:w="1493" w:type="dxa"/>
            <w:tcBorders>
              <w:top w:val="single" w:sz="4" w:space="0" w:color="000000"/>
              <w:left w:val="single" w:sz="4" w:space="0" w:color="000000"/>
              <w:bottom w:val="single" w:sz="4" w:space="0" w:color="000000"/>
              <w:right w:val="single" w:sz="4" w:space="0" w:color="000000"/>
            </w:tcBorders>
          </w:tcPr>
          <w:p w14:paraId="7A983B96"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46FA38DF"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64AF49D2"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40. </w:t>
            </w:r>
          </w:p>
        </w:tc>
        <w:tc>
          <w:tcPr>
            <w:tcW w:w="2744" w:type="dxa"/>
            <w:tcBorders>
              <w:top w:val="single" w:sz="4" w:space="0" w:color="000000"/>
              <w:left w:val="single" w:sz="4" w:space="0" w:color="000000"/>
              <w:bottom w:val="single" w:sz="4" w:space="0" w:color="000000"/>
              <w:right w:val="single" w:sz="4" w:space="0" w:color="000000"/>
            </w:tcBorders>
          </w:tcPr>
          <w:p w14:paraId="33AFEEBB"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OBZORI </w:t>
            </w:r>
          </w:p>
        </w:tc>
        <w:tc>
          <w:tcPr>
            <w:tcW w:w="2694" w:type="dxa"/>
            <w:tcBorders>
              <w:top w:val="single" w:sz="4" w:space="0" w:color="000000"/>
              <w:left w:val="single" w:sz="4" w:space="0" w:color="000000"/>
              <w:bottom w:val="single" w:sz="4" w:space="0" w:color="000000"/>
              <w:right w:val="single" w:sz="4" w:space="0" w:color="000000"/>
            </w:tcBorders>
          </w:tcPr>
          <w:p w14:paraId="7F6655EB"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Zelengaj 6 </w:t>
            </w:r>
          </w:p>
        </w:tc>
        <w:tc>
          <w:tcPr>
            <w:tcW w:w="1482" w:type="dxa"/>
            <w:tcBorders>
              <w:top w:val="single" w:sz="4" w:space="0" w:color="000000"/>
              <w:left w:val="single" w:sz="4" w:space="0" w:color="000000"/>
              <w:bottom w:val="single" w:sz="4" w:space="0" w:color="000000"/>
              <w:right w:val="single" w:sz="4" w:space="0" w:color="000000"/>
            </w:tcBorders>
          </w:tcPr>
          <w:p w14:paraId="13FB1E59"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59</w:t>
            </w:r>
          </w:p>
        </w:tc>
        <w:tc>
          <w:tcPr>
            <w:tcW w:w="1493" w:type="dxa"/>
            <w:tcBorders>
              <w:top w:val="single" w:sz="4" w:space="0" w:color="000000"/>
              <w:left w:val="single" w:sz="4" w:space="0" w:color="000000"/>
              <w:bottom w:val="single" w:sz="4" w:space="0" w:color="000000"/>
              <w:right w:val="single" w:sz="4" w:space="0" w:color="000000"/>
            </w:tcBorders>
          </w:tcPr>
          <w:p w14:paraId="23C7E71E"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07BD5F4F"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0864AE17"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41. </w:t>
            </w:r>
          </w:p>
        </w:tc>
        <w:tc>
          <w:tcPr>
            <w:tcW w:w="2744" w:type="dxa"/>
            <w:tcBorders>
              <w:top w:val="single" w:sz="4" w:space="0" w:color="000000"/>
              <w:left w:val="single" w:sz="4" w:space="0" w:color="000000"/>
              <w:bottom w:val="single" w:sz="4" w:space="0" w:color="000000"/>
              <w:right w:val="single" w:sz="4" w:space="0" w:color="000000"/>
            </w:tcBorders>
          </w:tcPr>
          <w:p w14:paraId="19774B20"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PALČIĆ </w:t>
            </w:r>
          </w:p>
        </w:tc>
        <w:tc>
          <w:tcPr>
            <w:tcW w:w="2694" w:type="dxa"/>
            <w:tcBorders>
              <w:top w:val="single" w:sz="4" w:space="0" w:color="000000"/>
              <w:left w:val="single" w:sz="4" w:space="0" w:color="000000"/>
              <w:bottom w:val="single" w:sz="4" w:space="0" w:color="000000"/>
              <w:right w:val="single" w:sz="4" w:space="0" w:color="000000"/>
            </w:tcBorders>
          </w:tcPr>
          <w:p w14:paraId="1089C8E5"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Ulica Saliha Alića 4 </w:t>
            </w:r>
          </w:p>
        </w:tc>
        <w:tc>
          <w:tcPr>
            <w:tcW w:w="1482" w:type="dxa"/>
            <w:tcBorders>
              <w:top w:val="single" w:sz="4" w:space="0" w:color="000000"/>
              <w:left w:val="single" w:sz="4" w:space="0" w:color="000000"/>
              <w:bottom w:val="single" w:sz="4" w:space="0" w:color="000000"/>
              <w:right w:val="single" w:sz="4" w:space="0" w:color="000000"/>
            </w:tcBorders>
          </w:tcPr>
          <w:p w14:paraId="10ECAA7F"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20</w:t>
            </w:r>
          </w:p>
        </w:tc>
        <w:tc>
          <w:tcPr>
            <w:tcW w:w="1493" w:type="dxa"/>
            <w:tcBorders>
              <w:top w:val="single" w:sz="4" w:space="0" w:color="000000"/>
              <w:left w:val="single" w:sz="4" w:space="0" w:color="000000"/>
              <w:bottom w:val="single" w:sz="4" w:space="0" w:color="000000"/>
              <w:right w:val="single" w:sz="4" w:space="0" w:color="000000"/>
            </w:tcBorders>
          </w:tcPr>
          <w:p w14:paraId="6255918B"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3E809BD5"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06FE1D10"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42. </w:t>
            </w:r>
          </w:p>
        </w:tc>
        <w:tc>
          <w:tcPr>
            <w:tcW w:w="2744" w:type="dxa"/>
            <w:tcBorders>
              <w:top w:val="single" w:sz="4" w:space="0" w:color="000000"/>
              <w:left w:val="single" w:sz="4" w:space="0" w:color="000000"/>
              <w:bottom w:val="single" w:sz="4" w:space="0" w:color="000000"/>
              <w:right w:val="single" w:sz="4" w:space="0" w:color="000000"/>
            </w:tcBorders>
          </w:tcPr>
          <w:p w14:paraId="5DADAD9A"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PANDA </w:t>
            </w:r>
          </w:p>
        </w:tc>
        <w:tc>
          <w:tcPr>
            <w:tcW w:w="2694" w:type="dxa"/>
            <w:tcBorders>
              <w:top w:val="single" w:sz="4" w:space="0" w:color="000000"/>
              <w:left w:val="single" w:sz="4" w:space="0" w:color="000000"/>
              <w:bottom w:val="single" w:sz="4" w:space="0" w:color="000000"/>
              <w:right w:val="single" w:sz="4" w:space="0" w:color="000000"/>
            </w:tcBorders>
          </w:tcPr>
          <w:p w14:paraId="6AE9CF06"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Zagrebačka cesta 194 </w:t>
            </w:r>
          </w:p>
        </w:tc>
        <w:tc>
          <w:tcPr>
            <w:tcW w:w="1482" w:type="dxa"/>
            <w:tcBorders>
              <w:top w:val="single" w:sz="4" w:space="0" w:color="000000"/>
              <w:left w:val="single" w:sz="4" w:space="0" w:color="000000"/>
              <w:bottom w:val="single" w:sz="4" w:space="0" w:color="000000"/>
              <w:right w:val="single" w:sz="4" w:space="0" w:color="000000"/>
            </w:tcBorders>
          </w:tcPr>
          <w:p w14:paraId="26B81078"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130</w:t>
            </w:r>
          </w:p>
        </w:tc>
        <w:tc>
          <w:tcPr>
            <w:tcW w:w="1493" w:type="dxa"/>
            <w:tcBorders>
              <w:top w:val="single" w:sz="4" w:space="0" w:color="000000"/>
              <w:left w:val="single" w:sz="4" w:space="0" w:color="000000"/>
              <w:bottom w:val="single" w:sz="4" w:space="0" w:color="000000"/>
              <w:right w:val="single" w:sz="4" w:space="0" w:color="000000"/>
            </w:tcBorders>
          </w:tcPr>
          <w:p w14:paraId="7E5C85A9"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0BED1EEF"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66E70288"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43. </w:t>
            </w:r>
          </w:p>
        </w:tc>
        <w:tc>
          <w:tcPr>
            <w:tcW w:w="2744" w:type="dxa"/>
            <w:tcBorders>
              <w:top w:val="single" w:sz="4" w:space="0" w:color="000000"/>
              <w:left w:val="single" w:sz="4" w:space="0" w:color="000000"/>
              <w:bottom w:val="single" w:sz="4" w:space="0" w:color="000000"/>
              <w:right w:val="single" w:sz="4" w:space="0" w:color="000000"/>
            </w:tcBorders>
          </w:tcPr>
          <w:p w14:paraId="47591889"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PIKULICA </w:t>
            </w:r>
          </w:p>
        </w:tc>
        <w:tc>
          <w:tcPr>
            <w:tcW w:w="2694" w:type="dxa"/>
            <w:tcBorders>
              <w:top w:val="single" w:sz="4" w:space="0" w:color="000000"/>
              <w:left w:val="single" w:sz="4" w:space="0" w:color="000000"/>
              <w:bottom w:val="single" w:sz="4" w:space="0" w:color="000000"/>
              <w:right w:val="single" w:sz="4" w:space="0" w:color="000000"/>
            </w:tcBorders>
          </w:tcPr>
          <w:p w14:paraId="400F26A5"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Modruška ulica 19 </w:t>
            </w:r>
          </w:p>
        </w:tc>
        <w:tc>
          <w:tcPr>
            <w:tcW w:w="1482" w:type="dxa"/>
            <w:tcBorders>
              <w:top w:val="single" w:sz="4" w:space="0" w:color="000000"/>
              <w:left w:val="single" w:sz="4" w:space="0" w:color="000000"/>
              <w:bottom w:val="single" w:sz="4" w:space="0" w:color="000000"/>
              <w:right w:val="single" w:sz="4" w:space="0" w:color="000000"/>
            </w:tcBorders>
          </w:tcPr>
          <w:p w14:paraId="204A70D8"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39</w:t>
            </w:r>
          </w:p>
        </w:tc>
        <w:tc>
          <w:tcPr>
            <w:tcW w:w="1493" w:type="dxa"/>
            <w:tcBorders>
              <w:top w:val="single" w:sz="4" w:space="0" w:color="000000"/>
              <w:left w:val="single" w:sz="4" w:space="0" w:color="000000"/>
              <w:bottom w:val="single" w:sz="4" w:space="0" w:color="000000"/>
              <w:right w:val="single" w:sz="4" w:space="0" w:color="000000"/>
            </w:tcBorders>
          </w:tcPr>
          <w:p w14:paraId="62D7CD55"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4514BA55"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22C85D44"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44. </w:t>
            </w:r>
          </w:p>
        </w:tc>
        <w:tc>
          <w:tcPr>
            <w:tcW w:w="2744" w:type="dxa"/>
            <w:tcBorders>
              <w:top w:val="single" w:sz="4" w:space="0" w:color="000000"/>
              <w:left w:val="single" w:sz="4" w:space="0" w:color="000000"/>
              <w:bottom w:val="single" w:sz="4" w:space="0" w:color="000000"/>
              <w:right w:val="single" w:sz="4" w:space="0" w:color="000000"/>
            </w:tcBorders>
          </w:tcPr>
          <w:p w14:paraId="7BAEB425"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PINGVIN </w:t>
            </w:r>
          </w:p>
        </w:tc>
        <w:tc>
          <w:tcPr>
            <w:tcW w:w="2694" w:type="dxa"/>
            <w:tcBorders>
              <w:top w:val="single" w:sz="4" w:space="0" w:color="000000"/>
              <w:left w:val="single" w:sz="4" w:space="0" w:color="000000"/>
              <w:bottom w:val="single" w:sz="4" w:space="0" w:color="000000"/>
              <w:right w:val="single" w:sz="4" w:space="0" w:color="000000"/>
            </w:tcBorders>
          </w:tcPr>
          <w:p w14:paraId="7841E35A"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Svetoklarska ulica 7 </w:t>
            </w:r>
          </w:p>
        </w:tc>
        <w:tc>
          <w:tcPr>
            <w:tcW w:w="1482" w:type="dxa"/>
            <w:tcBorders>
              <w:top w:val="single" w:sz="4" w:space="0" w:color="000000"/>
              <w:left w:val="single" w:sz="4" w:space="0" w:color="000000"/>
              <w:bottom w:val="single" w:sz="4" w:space="0" w:color="000000"/>
              <w:right w:val="single" w:sz="4" w:space="0" w:color="000000"/>
            </w:tcBorders>
          </w:tcPr>
          <w:p w14:paraId="12BBF3E7"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115</w:t>
            </w:r>
          </w:p>
        </w:tc>
        <w:tc>
          <w:tcPr>
            <w:tcW w:w="1493" w:type="dxa"/>
            <w:tcBorders>
              <w:top w:val="single" w:sz="4" w:space="0" w:color="000000"/>
              <w:left w:val="single" w:sz="4" w:space="0" w:color="000000"/>
              <w:bottom w:val="single" w:sz="4" w:space="0" w:color="000000"/>
              <w:right w:val="single" w:sz="4" w:space="0" w:color="000000"/>
            </w:tcBorders>
          </w:tcPr>
          <w:p w14:paraId="4F88904D"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3C14A4D0"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473D18FC"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45. </w:t>
            </w:r>
          </w:p>
        </w:tc>
        <w:tc>
          <w:tcPr>
            <w:tcW w:w="2744" w:type="dxa"/>
            <w:tcBorders>
              <w:top w:val="single" w:sz="4" w:space="0" w:color="000000"/>
              <w:left w:val="single" w:sz="4" w:space="0" w:color="000000"/>
              <w:bottom w:val="single" w:sz="4" w:space="0" w:color="000000"/>
              <w:right w:val="single" w:sz="4" w:space="0" w:color="000000"/>
            </w:tcBorders>
          </w:tcPr>
          <w:p w14:paraId="0DF447A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 PIPI DUGA</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 xml:space="preserve">ČARAPA </w:t>
            </w:r>
          </w:p>
        </w:tc>
        <w:tc>
          <w:tcPr>
            <w:tcW w:w="2694" w:type="dxa"/>
            <w:tcBorders>
              <w:top w:val="single" w:sz="4" w:space="0" w:color="000000"/>
              <w:left w:val="single" w:sz="4" w:space="0" w:color="000000"/>
              <w:bottom w:val="single" w:sz="4" w:space="0" w:color="000000"/>
              <w:right w:val="single" w:sz="4" w:space="0" w:color="000000"/>
            </w:tcBorders>
          </w:tcPr>
          <w:p w14:paraId="6F6E804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Našička ulica 18 </w:t>
            </w:r>
          </w:p>
        </w:tc>
        <w:tc>
          <w:tcPr>
            <w:tcW w:w="1482" w:type="dxa"/>
            <w:tcBorders>
              <w:top w:val="single" w:sz="4" w:space="0" w:color="000000"/>
              <w:left w:val="single" w:sz="4" w:space="0" w:color="000000"/>
              <w:bottom w:val="single" w:sz="4" w:space="0" w:color="000000"/>
              <w:right w:val="single" w:sz="4" w:space="0" w:color="000000"/>
            </w:tcBorders>
          </w:tcPr>
          <w:p w14:paraId="7D3CFC9C"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70</w:t>
            </w:r>
          </w:p>
        </w:tc>
        <w:tc>
          <w:tcPr>
            <w:tcW w:w="1493" w:type="dxa"/>
            <w:tcBorders>
              <w:top w:val="single" w:sz="4" w:space="0" w:color="000000"/>
              <w:left w:val="single" w:sz="4" w:space="0" w:color="000000"/>
              <w:bottom w:val="single" w:sz="4" w:space="0" w:color="000000"/>
              <w:right w:val="single" w:sz="4" w:space="0" w:color="000000"/>
            </w:tcBorders>
          </w:tcPr>
          <w:p w14:paraId="27B3E994"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097B1386"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7F03956D"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46. </w:t>
            </w:r>
          </w:p>
        </w:tc>
        <w:tc>
          <w:tcPr>
            <w:tcW w:w="2744" w:type="dxa"/>
            <w:tcBorders>
              <w:top w:val="single" w:sz="4" w:space="0" w:color="000000"/>
              <w:left w:val="single" w:sz="4" w:space="0" w:color="000000"/>
              <w:bottom w:val="single" w:sz="4" w:space="0" w:color="000000"/>
              <w:right w:val="single" w:sz="4" w:space="0" w:color="000000"/>
            </w:tcBorders>
          </w:tcPr>
          <w:p w14:paraId="47887CF2"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PRI OŠ</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KREATIVAN</w:t>
            </w:r>
            <w:r w:rsidR="00395E37" w:rsidRPr="0032536A">
              <w:rPr>
                <w:rFonts w:ascii="Times New Roman" w:hAnsi="Times New Roman" w:cs="Times New Roman"/>
                <w:color w:val="auto"/>
              </w:rPr>
              <w:t xml:space="preserve"> </w:t>
            </w:r>
            <w:r w:rsidRPr="0032536A">
              <w:rPr>
                <w:rFonts w:ascii="Times New Roman" w:hAnsi="Times New Roman" w:cs="Times New Roman"/>
                <w:color w:val="auto"/>
              </w:rPr>
              <w:t xml:space="preserve">RAZVOJ </w:t>
            </w:r>
          </w:p>
        </w:tc>
        <w:tc>
          <w:tcPr>
            <w:tcW w:w="2694" w:type="dxa"/>
            <w:tcBorders>
              <w:top w:val="single" w:sz="4" w:space="0" w:color="000000"/>
              <w:left w:val="single" w:sz="4" w:space="0" w:color="000000"/>
              <w:bottom w:val="single" w:sz="4" w:space="0" w:color="000000"/>
              <w:right w:val="single" w:sz="4" w:space="0" w:color="000000"/>
            </w:tcBorders>
          </w:tcPr>
          <w:p w14:paraId="5A2E1D9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Dedići 102 </w:t>
            </w:r>
          </w:p>
        </w:tc>
        <w:tc>
          <w:tcPr>
            <w:tcW w:w="1482" w:type="dxa"/>
            <w:tcBorders>
              <w:top w:val="single" w:sz="4" w:space="0" w:color="000000"/>
              <w:left w:val="single" w:sz="4" w:space="0" w:color="000000"/>
              <w:bottom w:val="single" w:sz="4" w:space="0" w:color="000000"/>
              <w:right w:val="single" w:sz="4" w:space="0" w:color="000000"/>
            </w:tcBorders>
          </w:tcPr>
          <w:p w14:paraId="3632F7BD"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100</w:t>
            </w:r>
          </w:p>
        </w:tc>
        <w:tc>
          <w:tcPr>
            <w:tcW w:w="1493" w:type="dxa"/>
            <w:tcBorders>
              <w:top w:val="single" w:sz="4" w:space="0" w:color="000000"/>
              <w:left w:val="single" w:sz="4" w:space="0" w:color="000000"/>
              <w:bottom w:val="single" w:sz="4" w:space="0" w:color="000000"/>
              <w:right w:val="single" w:sz="4" w:space="0" w:color="000000"/>
            </w:tcBorders>
          </w:tcPr>
          <w:p w14:paraId="5C56D01F"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300</w:t>
            </w:r>
          </w:p>
        </w:tc>
      </w:tr>
      <w:tr w:rsidR="003F7A56" w:rsidRPr="004750F4" w14:paraId="0366EAE7"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51A8C27C"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47. </w:t>
            </w:r>
          </w:p>
        </w:tc>
        <w:tc>
          <w:tcPr>
            <w:tcW w:w="2744" w:type="dxa"/>
            <w:tcBorders>
              <w:top w:val="single" w:sz="4" w:space="0" w:color="000000"/>
              <w:left w:val="single" w:sz="4" w:space="0" w:color="000000"/>
              <w:bottom w:val="single" w:sz="4" w:space="0" w:color="000000"/>
              <w:right w:val="single" w:sz="4" w:space="0" w:color="000000"/>
            </w:tcBorders>
          </w:tcPr>
          <w:p w14:paraId="523A01D6"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w:t>
            </w:r>
            <w:r w:rsidR="00DF12ED" w:rsidRPr="0032536A">
              <w:rPr>
                <w:rFonts w:ascii="Times New Roman" w:hAnsi="Times New Roman" w:cs="Times New Roman"/>
                <w:color w:val="auto"/>
              </w:rPr>
              <w:t xml:space="preserve"> </w:t>
            </w:r>
            <w:r w:rsidRPr="0032536A">
              <w:rPr>
                <w:rFonts w:ascii="Times New Roman" w:hAnsi="Times New Roman" w:cs="Times New Roman"/>
                <w:color w:val="auto"/>
              </w:rPr>
              <w:t>PRI OŠ</w:t>
            </w:r>
            <w:r w:rsidR="00DF12ED" w:rsidRPr="0032536A">
              <w:rPr>
                <w:rFonts w:ascii="Times New Roman" w:hAnsi="Times New Roman" w:cs="Times New Roman"/>
                <w:color w:val="auto"/>
              </w:rPr>
              <w:t xml:space="preserve"> </w:t>
            </w:r>
            <w:r w:rsidRPr="0032536A">
              <w:rPr>
                <w:rFonts w:ascii="Times New Roman" w:hAnsi="Times New Roman" w:cs="Times New Roman"/>
                <w:color w:val="auto"/>
              </w:rPr>
              <w:t>MONTESSORI</w:t>
            </w:r>
            <w:r w:rsidR="00DF12ED" w:rsidRPr="0032536A">
              <w:rPr>
                <w:rFonts w:ascii="Times New Roman" w:hAnsi="Times New Roman" w:cs="Times New Roman"/>
                <w:color w:val="auto"/>
              </w:rPr>
              <w:t xml:space="preserve"> </w:t>
            </w:r>
            <w:r w:rsidRPr="0032536A">
              <w:rPr>
                <w:rFonts w:ascii="Times New Roman" w:hAnsi="Times New Roman" w:cs="Times New Roman"/>
                <w:color w:val="auto"/>
              </w:rPr>
              <w:t>BARUNICE</w:t>
            </w:r>
            <w:r w:rsidR="00DF12ED" w:rsidRPr="0032536A">
              <w:rPr>
                <w:rFonts w:ascii="Times New Roman" w:hAnsi="Times New Roman" w:cs="Times New Roman"/>
                <w:color w:val="auto"/>
              </w:rPr>
              <w:t xml:space="preserve"> </w:t>
            </w:r>
            <w:r w:rsidRPr="0032536A">
              <w:rPr>
                <w:rFonts w:ascii="Times New Roman" w:hAnsi="Times New Roman" w:cs="Times New Roman"/>
                <w:color w:val="auto"/>
              </w:rPr>
              <w:t>DEDEE</w:t>
            </w:r>
            <w:r w:rsidR="00DF12ED" w:rsidRPr="0032536A">
              <w:rPr>
                <w:rFonts w:ascii="Times New Roman" w:hAnsi="Times New Roman" w:cs="Times New Roman"/>
                <w:color w:val="auto"/>
              </w:rPr>
              <w:t xml:space="preserve"> </w:t>
            </w:r>
            <w:r w:rsidRPr="0032536A">
              <w:rPr>
                <w:rFonts w:ascii="Times New Roman" w:hAnsi="Times New Roman" w:cs="Times New Roman"/>
                <w:color w:val="auto"/>
              </w:rPr>
              <w:t xml:space="preserve">VRANYCZANI </w:t>
            </w:r>
          </w:p>
        </w:tc>
        <w:tc>
          <w:tcPr>
            <w:tcW w:w="2694" w:type="dxa"/>
            <w:tcBorders>
              <w:top w:val="single" w:sz="4" w:space="0" w:color="000000"/>
              <w:left w:val="single" w:sz="4" w:space="0" w:color="000000"/>
              <w:bottom w:val="single" w:sz="4" w:space="0" w:color="000000"/>
              <w:right w:val="single" w:sz="4" w:space="0" w:color="000000"/>
            </w:tcBorders>
          </w:tcPr>
          <w:p w14:paraId="16655313"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Ulica Matka Mandića 2 </w:t>
            </w:r>
          </w:p>
        </w:tc>
        <w:tc>
          <w:tcPr>
            <w:tcW w:w="1482" w:type="dxa"/>
            <w:tcBorders>
              <w:top w:val="single" w:sz="4" w:space="0" w:color="000000"/>
              <w:left w:val="single" w:sz="4" w:space="0" w:color="000000"/>
              <w:bottom w:val="single" w:sz="4" w:space="0" w:color="000000"/>
              <w:right w:val="single" w:sz="4" w:space="0" w:color="000000"/>
            </w:tcBorders>
          </w:tcPr>
          <w:p w14:paraId="4830BBB2"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28</w:t>
            </w:r>
          </w:p>
        </w:tc>
        <w:tc>
          <w:tcPr>
            <w:tcW w:w="1493" w:type="dxa"/>
            <w:tcBorders>
              <w:top w:val="single" w:sz="4" w:space="0" w:color="000000"/>
              <w:left w:val="single" w:sz="4" w:space="0" w:color="000000"/>
              <w:bottom w:val="single" w:sz="4" w:space="0" w:color="000000"/>
              <w:right w:val="single" w:sz="4" w:space="0" w:color="000000"/>
            </w:tcBorders>
          </w:tcPr>
          <w:p w14:paraId="109D738F"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18060FFD"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1E4E4B01"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lastRenderedPageBreak/>
              <w:t xml:space="preserve">48. </w:t>
            </w:r>
          </w:p>
        </w:tc>
        <w:tc>
          <w:tcPr>
            <w:tcW w:w="2744" w:type="dxa"/>
            <w:tcBorders>
              <w:top w:val="single" w:sz="4" w:space="0" w:color="000000"/>
              <w:left w:val="single" w:sz="4" w:space="0" w:color="000000"/>
              <w:bottom w:val="single" w:sz="4" w:space="0" w:color="000000"/>
              <w:right w:val="single" w:sz="4" w:space="0" w:color="000000"/>
            </w:tcBorders>
          </w:tcPr>
          <w:p w14:paraId="3CA029D9"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w:t>
            </w:r>
            <w:r w:rsidR="00DF12ED" w:rsidRPr="0032536A">
              <w:rPr>
                <w:rFonts w:ascii="Times New Roman" w:hAnsi="Times New Roman" w:cs="Times New Roman"/>
                <w:color w:val="auto"/>
              </w:rPr>
              <w:t xml:space="preserve"> </w:t>
            </w:r>
            <w:r w:rsidRPr="0032536A">
              <w:rPr>
                <w:rFonts w:ascii="Times New Roman" w:hAnsi="Times New Roman" w:cs="Times New Roman"/>
                <w:color w:val="auto"/>
              </w:rPr>
              <w:t xml:space="preserve">RIBICA </w:t>
            </w:r>
          </w:p>
        </w:tc>
        <w:tc>
          <w:tcPr>
            <w:tcW w:w="2694" w:type="dxa"/>
            <w:tcBorders>
              <w:top w:val="single" w:sz="4" w:space="0" w:color="000000"/>
              <w:left w:val="single" w:sz="4" w:space="0" w:color="000000"/>
              <w:bottom w:val="single" w:sz="4" w:space="0" w:color="000000"/>
              <w:right w:val="single" w:sz="4" w:space="0" w:color="000000"/>
            </w:tcBorders>
          </w:tcPr>
          <w:p w14:paraId="6772446B"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Čulinečka cesta 190 </w:t>
            </w:r>
          </w:p>
        </w:tc>
        <w:tc>
          <w:tcPr>
            <w:tcW w:w="1482" w:type="dxa"/>
            <w:tcBorders>
              <w:top w:val="single" w:sz="4" w:space="0" w:color="000000"/>
              <w:left w:val="single" w:sz="4" w:space="0" w:color="000000"/>
              <w:bottom w:val="single" w:sz="4" w:space="0" w:color="000000"/>
              <w:right w:val="single" w:sz="4" w:space="0" w:color="000000"/>
            </w:tcBorders>
          </w:tcPr>
          <w:p w14:paraId="25B7ADDD"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90</w:t>
            </w:r>
          </w:p>
        </w:tc>
        <w:tc>
          <w:tcPr>
            <w:tcW w:w="1493" w:type="dxa"/>
            <w:tcBorders>
              <w:top w:val="single" w:sz="4" w:space="0" w:color="000000"/>
              <w:left w:val="single" w:sz="4" w:space="0" w:color="000000"/>
              <w:bottom w:val="single" w:sz="4" w:space="0" w:color="000000"/>
              <w:right w:val="single" w:sz="4" w:space="0" w:color="000000"/>
            </w:tcBorders>
          </w:tcPr>
          <w:p w14:paraId="1295CDD5"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65117C6A"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3BA02BCF"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49. </w:t>
            </w:r>
          </w:p>
        </w:tc>
        <w:tc>
          <w:tcPr>
            <w:tcW w:w="2744" w:type="dxa"/>
            <w:tcBorders>
              <w:top w:val="single" w:sz="4" w:space="0" w:color="000000"/>
              <w:left w:val="single" w:sz="4" w:space="0" w:color="000000"/>
              <w:bottom w:val="single" w:sz="4" w:space="0" w:color="000000"/>
              <w:right w:val="single" w:sz="4" w:space="0" w:color="000000"/>
            </w:tcBorders>
          </w:tcPr>
          <w:p w14:paraId="0ABD884F"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SMJEHULJICA </w:t>
            </w:r>
          </w:p>
        </w:tc>
        <w:tc>
          <w:tcPr>
            <w:tcW w:w="2694" w:type="dxa"/>
            <w:tcBorders>
              <w:top w:val="single" w:sz="4" w:space="0" w:color="000000"/>
              <w:left w:val="single" w:sz="4" w:space="0" w:color="000000"/>
              <w:bottom w:val="single" w:sz="4" w:space="0" w:color="000000"/>
              <w:right w:val="single" w:sz="4" w:space="0" w:color="000000"/>
            </w:tcBorders>
          </w:tcPr>
          <w:p w14:paraId="2422E597"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Ulica biskupa Galjufa 5 </w:t>
            </w:r>
          </w:p>
        </w:tc>
        <w:tc>
          <w:tcPr>
            <w:tcW w:w="1482" w:type="dxa"/>
            <w:tcBorders>
              <w:top w:val="single" w:sz="4" w:space="0" w:color="000000"/>
              <w:left w:val="single" w:sz="4" w:space="0" w:color="000000"/>
              <w:bottom w:val="single" w:sz="4" w:space="0" w:color="000000"/>
              <w:right w:val="single" w:sz="4" w:space="0" w:color="000000"/>
            </w:tcBorders>
          </w:tcPr>
          <w:p w14:paraId="69CE8FBE"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56</w:t>
            </w:r>
          </w:p>
        </w:tc>
        <w:tc>
          <w:tcPr>
            <w:tcW w:w="1493" w:type="dxa"/>
            <w:tcBorders>
              <w:top w:val="single" w:sz="4" w:space="0" w:color="000000"/>
              <w:left w:val="single" w:sz="4" w:space="0" w:color="000000"/>
              <w:bottom w:val="single" w:sz="4" w:space="0" w:color="000000"/>
              <w:right w:val="single" w:sz="4" w:space="0" w:color="000000"/>
            </w:tcBorders>
          </w:tcPr>
          <w:p w14:paraId="346D6D93"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2213A564"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6ADECA71"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50. </w:t>
            </w:r>
          </w:p>
        </w:tc>
        <w:tc>
          <w:tcPr>
            <w:tcW w:w="2744" w:type="dxa"/>
            <w:tcBorders>
              <w:top w:val="single" w:sz="4" w:space="0" w:color="000000"/>
              <w:left w:val="single" w:sz="4" w:space="0" w:color="000000"/>
              <w:bottom w:val="single" w:sz="4" w:space="0" w:color="000000"/>
              <w:right w:val="single" w:sz="4" w:space="0" w:color="000000"/>
            </w:tcBorders>
          </w:tcPr>
          <w:p w14:paraId="00094C63"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SRČEKO </w:t>
            </w:r>
          </w:p>
        </w:tc>
        <w:tc>
          <w:tcPr>
            <w:tcW w:w="2694" w:type="dxa"/>
            <w:tcBorders>
              <w:top w:val="single" w:sz="4" w:space="0" w:color="000000"/>
              <w:left w:val="single" w:sz="4" w:space="0" w:color="000000"/>
              <w:bottom w:val="single" w:sz="4" w:space="0" w:color="000000"/>
              <w:right w:val="single" w:sz="4" w:space="0" w:color="000000"/>
            </w:tcBorders>
          </w:tcPr>
          <w:p w14:paraId="7FC424D6"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Pantovčak 115 </w:t>
            </w:r>
          </w:p>
        </w:tc>
        <w:tc>
          <w:tcPr>
            <w:tcW w:w="1482" w:type="dxa"/>
            <w:tcBorders>
              <w:top w:val="single" w:sz="4" w:space="0" w:color="000000"/>
              <w:left w:val="single" w:sz="4" w:space="0" w:color="000000"/>
              <w:bottom w:val="single" w:sz="4" w:space="0" w:color="000000"/>
              <w:right w:val="single" w:sz="4" w:space="0" w:color="000000"/>
            </w:tcBorders>
          </w:tcPr>
          <w:p w14:paraId="22C632C3"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80</w:t>
            </w:r>
          </w:p>
        </w:tc>
        <w:tc>
          <w:tcPr>
            <w:tcW w:w="1493" w:type="dxa"/>
            <w:tcBorders>
              <w:top w:val="single" w:sz="4" w:space="0" w:color="000000"/>
              <w:left w:val="single" w:sz="4" w:space="0" w:color="000000"/>
              <w:bottom w:val="single" w:sz="4" w:space="0" w:color="000000"/>
              <w:right w:val="single" w:sz="4" w:space="0" w:color="000000"/>
            </w:tcBorders>
          </w:tcPr>
          <w:p w14:paraId="28961E42"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2369E4AA"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66BCB7E1"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51. </w:t>
            </w:r>
          </w:p>
        </w:tc>
        <w:tc>
          <w:tcPr>
            <w:tcW w:w="2744" w:type="dxa"/>
            <w:tcBorders>
              <w:top w:val="single" w:sz="4" w:space="0" w:color="000000"/>
              <w:left w:val="single" w:sz="4" w:space="0" w:color="000000"/>
              <w:bottom w:val="single" w:sz="4" w:space="0" w:color="000000"/>
              <w:right w:val="single" w:sz="4" w:space="0" w:color="000000"/>
            </w:tcBorders>
          </w:tcPr>
          <w:p w14:paraId="70E728AC"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SUNČEKO </w:t>
            </w:r>
          </w:p>
        </w:tc>
        <w:tc>
          <w:tcPr>
            <w:tcW w:w="2694" w:type="dxa"/>
            <w:tcBorders>
              <w:top w:val="single" w:sz="4" w:space="0" w:color="000000"/>
              <w:left w:val="single" w:sz="4" w:space="0" w:color="000000"/>
              <w:bottom w:val="single" w:sz="4" w:space="0" w:color="000000"/>
              <w:right w:val="single" w:sz="4" w:space="0" w:color="000000"/>
            </w:tcBorders>
          </w:tcPr>
          <w:p w14:paraId="6F104AF0"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Zavrtnica 3/1 </w:t>
            </w:r>
          </w:p>
        </w:tc>
        <w:tc>
          <w:tcPr>
            <w:tcW w:w="1482" w:type="dxa"/>
            <w:tcBorders>
              <w:top w:val="single" w:sz="4" w:space="0" w:color="000000"/>
              <w:left w:val="single" w:sz="4" w:space="0" w:color="000000"/>
              <w:bottom w:val="single" w:sz="4" w:space="0" w:color="000000"/>
              <w:right w:val="single" w:sz="4" w:space="0" w:color="000000"/>
            </w:tcBorders>
          </w:tcPr>
          <w:p w14:paraId="5F17CE26"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75</w:t>
            </w:r>
          </w:p>
        </w:tc>
        <w:tc>
          <w:tcPr>
            <w:tcW w:w="1493" w:type="dxa"/>
            <w:tcBorders>
              <w:top w:val="single" w:sz="4" w:space="0" w:color="000000"/>
              <w:left w:val="single" w:sz="4" w:space="0" w:color="000000"/>
              <w:bottom w:val="single" w:sz="4" w:space="0" w:color="000000"/>
              <w:right w:val="single" w:sz="4" w:space="0" w:color="000000"/>
            </w:tcBorders>
          </w:tcPr>
          <w:p w14:paraId="2F4C767A"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0FDBE391"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30760608"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52. </w:t>
            </w:r>
          </w:p>
        </w:tc>
        <w:tc>
          <w:tcPr>
            <w:tcW w:w="2744" w:type="dxa"/>
            <w:tcBorders>
              <w:top w:val="single" w:sz="4" w:space="0" w:color="000000"/>
              <w:left w:val="single" w:sz="4" w:space="0" w:color="000000"/>
              <w:bottom w:val="single" w:sz="4" w:space="0" w:color="000000"/>
              <w:right w:val="single" w:sz="4" w:space="0" w:color="000000"/>
            </w:tcBorders>
          </w:tcPr>
          <w:p w14:paraId="3AD22431"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 SUNČEV SJAJ</w:t>
            </w:r>
            <w:r w:rsidR="00E40AC8" w:rsidRPr="0032536A">
              <w:rPr>
                <w:rFonts w:ascii="Times New Roman" w:hAnsi="Times New Roman" w:cs="Times New Roman"/>
                <w:color w:val="auto"/>
              </w:rPr>
              <w:t xml:space="preserve"> </w:t>
            </w:r>
            <w:r w:rsidRPr="0032536A">
              <w:rPr>
                <w:rFonts w:ascii="Times New Roman" w:hAnsi="Times New Roman" w:cs="Times New Roman"/>
                <w:color w:val="auto"/>
              </w:rPr>
              <w:t xml:space="preserve">NAZARET, Podružnica Zagreb </w:t>
            </w:r>
          </w:p>
        </w:tc>
        <w:tc>
          <w:tcPr>
            <w:tcW w:w="2694" w:type="dxa"/>
            <w:tcBorders>
              <w:top w:val="single" w:sz="4" w:space="0" w:color="000000"/>
              <w:left w:val="single" w:sz="4" w:space="0" w:color="000000"/>
              <w:bottom w:val="single" w:sz="4" w:space="0" w:color="000000"/>
              <w:right w:val="single" w:sz="4" w:space="0" w:color="000000"/>
            </w:tcBorders>
          </w:tcPr>
          <w:p w14:paraId="2AC349F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Vrhovec 45 (sjedište:</w:t>
            </w:r>
            <w:r w:rsidR="00DF12ED" w:rsidRPr="0032536A">
              <w:rPr>
                <w:rFonts w:ascii="Times New Roman" w:hAnsi="Times New Roman" w:cs="Times New Roman"/>
                <w:color w:val="auto"/>
              </w:rPr>
              <w:t xml:space="preserve"> </w:t>
            </w:r>
            <w:r w:rsidRPr="0032536A">
              <w:rPr>
                <w:rFonts w:ascii="Times New Roman" w:hAnsi="Times New Roman" w:cs="Times New Roman"/>
                <w:color w:val="auto"/>
              </w:rPr>
              <w:t>Frankopanska 1a, Đakovo)</w:t>
            </w:r>
            <w:r w:rsidR="00E40AC8" w:rsidRPr="0032536A">
              <w:rPr>
                <w:rFonts w:ascii="Times New Roman" w:hAnsi="Times New Roman" w:cs="Times New Roman"/>
                <w:color w:val="auto"/>
              </w:rPr>
              <w:t xml:space="preserve"> </w:t>
            </w:r>
          </w:p>
        </w:tc>
        <w:tc>
          <w:tcPr>
            <w:tcW w:w="1482" w:type="dxa"/>
            <w:tcBorders>
              <w:top w:val="single" w:sz="4" w:space="0" w:color="000000"/>
              <w:left w:val="single" w:sz="4" w:space="0" w:color="000000"/>
              <w:bottom w:val="single" w:sz="4" w:space="0" w:color="000000"/>
              <w:right w:val="single" w:sz="4" w:space="0" w:color="000000"/>
            </w:tcBorders>
          </w:tcPr>
          <w:p w14:paraId="20FA2EC0"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62</w:t>
            </w:r>
          </w:p>
        </w:tc>
        <w:tc>
          <w:tcPr>
            <w:tcW w:w="1493" w:type="dxa"/>
            <w:tcBorders>
              <w:top w:val="single" w:sz="4" w:space="0" w:color="000000"/>
              <w:left w:val="single" w:sz="4" w:space="0" w:color="000000"/>
              <w:bottom w:val="single" w:sz="4" w:space="0" w:color="000000"/>
              <w:right w:val="single" w:sz="4" w:space="0" w:color="000000"/>
            </w:tcBorders>
          </w:tcPr>
          <w:p w14:paraId="38E04C4C"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1C1A05C4"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01B5F0FF"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53. </w:t>
            </w:r>
          </w:p>
        </w:tc>
        <w:tc>
          <w:tcPr>
            <w:tcW w:w="2744" w:type="dxa"/>
            <w:tcBorders>
              <w:top w:val="single" w:sz="4" w:space="0" w:color="000000"/>
              <w:left w:val="single" w:sz="4" w:space="0" w:color="000000"/>
              <w:bottom w:val="single" w:sz="4" w:space="0" w:color="000000"/>
              <w:right w:val="single" w:sz="4" w:space="0" w:color="000000"/>
            </w:tcBorders>
          </w:tcPr>
          <w:p w14:paraId="3BEB0668"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SVEMIRKO </w:t>
            </w:r>
          </w:p>
        </w:tc>
        <w:tc>
          <w:tcPr>
            <w:tcW w:w="2694" w:type="dxa"/>
            <w:tcBorders>
              <w:top w:val="single" w:sz="4" w:space="0" w:color="000000"/>
              <w:left w:val="single" w:sz="4" w:space="0" w:color="000000"/>
              <w:bottom w:val="single" w:sz="4" w:space="0" w:color="000000"/>
              <w:right w:val="single" w:sz="4" w:space="0" w:color="000000"/>
            </w:tcBorders>
          </w:tcPr>
          <w:p w14:paraId="42619E39"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Srebrnjak 116 </w:t>
            </w:r>
          </w:p>
        </w:tc>
        <w:tc>
          <w:tcPr>
            <w:tcW w:w="1482" w:type="dxa"/>
            <w:tcBorders>
              <w:top w:val="single" w:sz="4" w:space="0" w:color="000000"/>
              <w:left w:val="single" w:sz="4" w:space="0" w:color="000000"/>
              <w:bottom w:val="single" w:sz="4" w:space="0" w:color="000000"/>
              <w:right w:val="single" w:sz="4" w:space="0" w:color="000000"/>
            </w:tcBorders>
          </w:tcPr>
          <w:p w14:paraId="35FFC467"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84</w:t>
            </w:r>
          </w:p>
        </w:tc>
        <w:tc>
          <w:tcPr>
            <w:tcW w:w="1493" w:type="dxa"/>
            <w:tcBorders>
              <w:top w:val="single" w:sz="4" w:space="0" w:color="000000"/>
              <w:left w:val="single" w:sz="4" w:space="0" w:color="000000"/>
              <w:bottom w:val="single" w:sz="4" w:space="0" w:color="000000"/>
              <w:right w:val="single" w:sz="4" w:space="0" w:color="000000"/>
            </w:tcBorders>
          </w:tcPr>
          <w:p w14:paraId="301E7923"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47B9AB0D"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2D5BDFB6"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54. </w:t>
            </w:r>
          </w:p>
        </w:tc>
        <w:tc>
          <w:tcPr>
            <w:tcW w:w="2744" w:type="dxa"/>
            <w:tcBorders>
              <w:top w:val="single" w:sz="4" w:space="0" w:color="000000"/>
              <w:left w:val="single" w:sz="4" w:space="0" w:color="000000"/>
              <w:bottom w:val="single" w:sz="4" w:space="0" w:color="000000"/>
              <w:right w:val="single" w:sz="4" w:space="0" w:color="000000"/>
            </w:tcBorders>
          </w:tcPr>
          <w:p w14:paraId="38A202B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w:t>
            </w:r>
            <w:r w:rsidR="00DF12ED" w:rsidRPr="0032536A">
              <w:rPr>
                <w:rFonts w:ascii="Times New Roman" w:hAnsi="Times New Roman" w:cs="Times New Roman"/>
                <w:color w:val="auto"/>
              </w:rPr>
              <w:t xml:space="preserve"> </w:t>
            </w:r>
            <w:r w:rsidR="00833C7D" w:rsidRPr="0032536A">
              <w:rPr>
                <w:rFonts w:ascii="Times New Roman" w:hAnsi="Times New Roman" w:cs="Times New Roman"/>
                <w:color w:val="auto"/>
              </w:rPr>
              <w:t>"</w:t>
            </w:r>
            <w:r w:rsidRPr="0032536A">
              <w:rPr>
                <w:rFonts w:ascii="Times New Roman" w:hAnsi="Times New Roman" w:cs="Times New Roman"/>
                <w:color w:val="auto"/>
              </w:rPr>
              <w:t>SVETA ANĐELA MERICI</w:t>
            </w:r>
            <w:r w:rsidR="00833C7D" w:rsidRPr="0032536A">
              <w:rPr>
                <w:rFonts w:ascii="Times New Roman" w:hAnsi="Times New Roman" w:cs="Times New Roman"/>
                <w:color w:val="auto"/>
              </w:rPr>
              <w:t>"</w:t>
            </w:r>
          </w:p>
        </w:tc>
        <w:tc>
          <w:tcPr>
            <w:tcW w:w="2694" w:type="dxa"/>
            <w:tcBorders>
              <w:top w:val="single" w:sz="4" w:space="0" w:color="000000"/>
              <w:left w:val="single" w:sz="4" w:space="0" w:color="000000"/>
              <w:bottom w:val="single" w:sz="4" w:space="0" w:color="000000"/>
              <w:right w:val="single" w:sz="4" w:space="0" w:color="000000"/>
            </w:tcBorders>
          </w:tcPr>
          <w:p w14:paraId="3A4FDA49"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Vlaška ulica 75 </w:t>
            </w:r>
          </w:p>
        </w:tc>
        <w:tc>
          <w:tcPr>
            <w:tcW w:w="1482" w:type="dxa"/>
            <w:tcBorders>
              <w:top w:val="single" w:sz="4" w:space="0" w:color="000000"/>
              <w:left w:val="single" w:sz="4" w:space="0" w:color="000000"/>
              <w:bottom w:val="single" w:sz="4" w:space="0" w:color="000000"/>
              <w:right w:val="single" w:sz="4" w:space="0" w:color="000000"/>
            </w:tcBorders>
          </w:tcPr>
          <w:p w14:paraId="24760341"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62</w:t>
            </w:r>
          </w:p>
        </w:tc>
        <w:tc>
          <w:tcPr>
            <w:tcW w:w="1493" w:type="dxa"/>
            <w:tcBorders>
              <w:top w:val="single" w:sz="4" w:space="0" w:color="000000"/>
              <w:left w:val="single" w:sz="4" w:space="0" w:color="000000"/>
              <w:bottom w:val="single" w:sz="4" w:space="0" w:color="000000"/>
              <w:right w:val="single" w:sz="4" w:space="0" w:color="000000"/>
            </w:tcBorders>
          </w:tcPr>
          <w:p w14:paraId="5E679B32"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80</w:t>
            </w:r>
          </w:p>
        </w:tc>
      </w:tr>
      <w:tr w:rsidR="003F7A56" w:rsidRPr="004750F4" w14:paraId="0A8AAFB0"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38E3DC0D"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55. </w:t>
            </w:r>
          </w:p>
        </w:tc>
        <w:tc>
          <w:tcPr>
            <w:tcW w:w="2744" w:type="dxa"/>
            <w:tcBorders>
              <w:top w:val="single" w:sz="4" w:space="0" w:color="000000"/>
              <w:left w:val="single" w:sz="4" w:space="0" w:color="000000"/>
              <w:bottom w:val="single" w:sz="4" w:space="0" w:color="000000"/>
              <w:right w:val="single" w:sz="4" w:space="0" w:color="000000"/>
            </w:tcBorders>
          </w:tcPr>
          <w:p w14:paraId="187DBFC2"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w:t>
            </w:r>
            <w:r w:rsidR="00DF12ED" w:rsidRPr="0032536A">
              <w:rPr>
                <w:rFonts w:ascii="Times New Roman" w:hAnsi="Times New Roman" w:cs="Times New Roman"/>
                <w:color w:val="auto"/>
              </w:rPr>
              <w:t xml:space="preserve"> </w:t>
            </w:r>
            <w:r w:rsidRPr="0032536A">
              <w:rPr>
                <w:rFonts w:ascii="Times New Roman" w:hAnsi="Times New Roman" w:cs="Times New Roman"/>
                <w:color w:val="auto"/>
              </w:rPr>
              <w:t>SVETOG</w:t>
            </w:r>
            <w:r w:rsidR="00DF12ED" w:rsidRPr="0032536A">
              <w:rPr>
                <w:rFonts w:ascii="Times New Roman" w:hAnsi="Times New Roman" w:cs="Times New Roman"/>
                <w:color w:val="auto"/>
              </w:rPr>
              <w:t xml:space="preserve"> </w:t>
            </w:r>
            <w:r w:rsidRPr="0032536A">
              <w:rPr>
                <w:rFonts w:ascii="Times New Roman" w:hAnsi="Times New Roman" w:cs="Times New Roman"/>
                <w:color w:val="auto"/>
              </w:rPr>
              <w:t xml:space="preserve">FRANJE </w:t>
            </w:r>
          </w:p>
        </w:tc>
        <w:tc>
          <w:tcPr>
            <w:tcW w:w="2694" w:type="dxa"/>
            <w:tcBorders>
              <w:top w:val="single" w:sz="4" w:space="0" w:color="000000"/>
              <w:left w:val="single" w:sz="4" w:space="0" w:color="000000"/>
              <w:bottom w:val="single" w:sz="4" w:space="0" w:color="000000"/>
              <w:right w:val="single" w:sz="4" w:space="0" w:color="000000"/>
            </w:tcBorders>
          </w:tcPr>
          <w:p w14:paraId="2B323192"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Barutanski ogranak V. 5 </w:t>
            </w:r>
          </w:p>
        </w:tc>
        <w:tc>
          <w:tcPr>
            <w:tcW w:w="1482" w:type="dxa"/>
            <w:tcBorders>
              <w:top w:val="single" w:sz="4" w:space="0" w:color="000000"/>
              <w:left w:val="single" w:sz="4" w:space="0" w:color="000000"/>
              <w:bottom w:val="single" w:sz="4" w:space="0" w:color="000000"/>
              <w:right w:val="single" w:sz="4" w:space="0" w:color="000000"/>
            </w:tcBorders>
          </w:tcPr>
          <w:p w14:paraId="3FA47B71"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50</w:t>
            </w:r>
          </w:p>
        </w:tc>
        <w:tc>
          <w:tcPr>
            <w:tcW w:w="1493" w:type="dxa"/>
            <w:tcBorders>
              <w:top w:val="single" w:sz="4" w:space="0" w:color="000000"/>
              <w:left w:val="single" w:sz="4" w:space="0" w:color="000000"/>
              <w:bottom w:val="single" w:sz="4" w:space="0" w:color="000000"/>
              <w:right w:val="single" w:sz="4" w:space="0" w:color="000000"/>
            </w:tcBorders>
          </w:tcPr>
          <w:p w14:paraId="242069E1"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78DF4AA2"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0582A957"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56. </w:t>
            </w:r>
          </w:p>
        </w:tc>
        <w:tc>
          <w:tcPr>
            <w:tcW w:w="2744" w:type="dxa"/>
            <w:tcBorders>
              <w:top w:val="single" w:sz="4" w:space="0" w:color="000000"/>
              <w:left w:val="single" w:sz="4" w:space="0" w:color="000000"/>
              <w:bottom w:val="single" w:sz="4" w:space="0" w:color="000000"/>
              <w:right w:val="single" w:sz="4" w:space="0" w:color="000000"/>
            </w:tcBorders>
          </w:tcPr>
          <w:p w14:paraId="00A71D24"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w:t>
            </w:r>
            <w:r w:rsidR="00DF12ED" w:rsidRPr="0032536A">
              <w:rPr>
                <w:rFonts w:ascii="Times New Roman" w:hAnsi="Times New Roman" w:cs="Times New Roman"/>
                <w:color w:val="auto"/>
              </w:rPr>
              <w:t xml:space="preserve"> </w:t>
            </w:r>
            <w:r w:rsidRPr="0032536A">
              <w:rPr>
                <w:rFonts w:ascii="Times New Roman" w:hAnsi="Times New Roman" w:cs="Times New Roman"/>
                <w:color w:val="auto"/>
              </w:rPr>
              <w:t>SVETOG</w:t>
            </w:r>
            <w:r w:rsidR="00DF12ED" w:rsidRPr="0032536A">
              <w:rPr>
                <w:rFonts w:ascii="Times New Roman" w:hAnsi="Times New Roman" w:cs="Times New Roman"/>
                <w:color w:val="auto"/>
              </w:rPr>
              <w:t xml:space="preserve"> </w:t>
            </w:r>
            <w:r w:rsidRPr="0032536A">
              <w:rPr>
                <w:rFonts w:ascii="Times New Roman" w:hAnsi="Times New Roman" w:cs="Times New Roman"/>
                <w:color w:val="auto"/>
              </w:rPr>
              <w:t xml:space="preserve">JOSIPA </w:t>
            </w:r>
          </w:p>
        </w:tc>
        <w:tc>
          <w:tcPr>
            <w:tcW w:w="2694" w:type="dxa"/>
            <w:tcBorders>
              <w:top w:val="single" w:sz="4" w:space="0" w:color="000000"/>
              <w:left w:val="single" w:sz="4" w:space="0" w:color="000000"/>
              <w:bottom w:val="single" w:sz="4" w:space="0" w:color="000000"/>
              <w:right w:val="single" w:sz="4" w:space="0" w:color="000000"/>
            </w:tcBorders>
          </w:tcPr>
          <w:p w14:paraId="261599D7"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Granešina 7 </w:t>
            </w:r>
          </w:p>
        </w:tc>
        <w:tc>
          <w:tcPr>
            <w:tcW w:w="1482" w:type="dxa"/>
            <w:tcBorders>
              <w:top w:val="single" w:sz="4" w:space="0" w:color="000000"/>
              <w:left w:val="single" w:sz="4" w:space="0" w:color="000000"/>
              <w:bottom w:val="single" w:sz="4" w:space="0" w:color="000000"/>
              <w:right w:val="single" w:sz="4" w:space="0" w:color="000000"/>
            </w:tcBorders>
          </w:tcPr>
          <w:p w14:paraId="25BB8395"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74</w:t>
            </w:r>
          </w:p>
        </w:tc>
        <w:tc>
          <w:tcPr>
            <w:tcW w:w="1493" w:type="dxa"/>
            <w:tcBorders>
              <w:top w:val="single" w:sz="4" w:space="0" w:color="000000"/>
              <w:left w:val="single" w:sz="4" w:space="0" w:color="000000"/>
              <w:bottom w:val="single" w:sz="4" w:space="0" w:color="000000"/>
              <w:right w:val="single" w:sz="4" w:space="0" w:color="000000"/>
            </w:tcBorders>
          </w:tcPr>
          <w:p w14:paraId="25B3AC22"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296</w:t>
            </w:r>
          </w:p>
        </w:tc>
      </w:tr>
      <w:tr w:rsidR="003F7A56" w:rsidRPr="004750F4" w14:paraId="0C88C837"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293F2CD7"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57. </w:t>
            </w:r>
          </w:p>
        </w:tc>
        <w:tc>
          <w:tcPr>
            <w:tcW w:w="2744" w:type="dxa"/>
            <w:tcBorders>
              <w:top w:val="single" w:sz="4" w:space="0" w:color="000000"/>
              <w:left w:val="single" w:sz="4" w:space="0" w:color="000000"/>
              <w:bottom w:val="single" w:sz="4" w:space="0" w:color="000000"/>
              <w:right w:val="single" w:sz="4" w:space="0" w:color="000000"/>
            </w:tcBorders>
          </w:tcPr>
          <w:p w14:paraId="77A7F943"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 ŠARENA</w:t>
            </w:r>
            <w:r w:rsidR="00DF12ED" w:rsidRPr="0032536A">
              <w:rPr>
                <w:rFonts w:ascii="Times New Roman" w:hAnsi="Times New Roman" w:cs="Times New Roman"/>
                <w:color w:val="auto"/>
              </w:rPr>
              <w:t xml:space="preserve"> </w:t>
            </w:r>
            <w:r w:rsidRPr="0032536A">
              <w:rPr>
                <w:rFonts w:ascii="Times New Roman" w:hAnsi="Times New Roman" w:cs="Times New Roman"/>
                <w:color w:val="auto"/>
              </w:rPr>
              <w:t xml:space="preserve">LOPTICA </w:t>
            </w:r>
          </w:p>
        </w:tc>
        <w:tc>
          <w:tcPr>
            <w:tcW w:w="2694" w:type="dxa"/>
            <w:tcBorders>
              <w:top w:val="single" w:sz="4" w:space="0" w:color="000000"/>
              <w:left w:val="single" w:sz="4" w:space="0" w:color="000000"/>
              <w:bottom w:val="single" w:sz="4" w:space="0" w:color="000000"/>
              <w:right w:val="single" w:sz="4" w:space="0" w:color="000000"/>
            </w:tcBorders>
          </w:tcPr>
          <w:p w14:paraId="02127249"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Nova Ves 3 </w:t>
            </w:r>
          </w:p>
        </w:tc>
        <w:tc>
          <w:tcPr>
            <w:tcW w:w="1482" w:type="dxa"/>
            <w:tcBorders>
              <w:top w:val="single" w:sz="4" w:space="0" w:color="000000"/>
              <w:left w:val="single" w:sz="4" w:space="0" w:color="000000"/>
              <w:bottom w:val="single" w:sz="4" w:space="0" w:color="000000"/>
              <w:right w:val="single" w:sz="4" w:space="0" w:color="000000"/>
            </w:tcBorders>
          </w:tcPr>
          <w:p w14:paraId="18B70036"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39</w:t>
            </w:r>
          </w:p>
        </w:tc>
        <w:tc>
          <w:tcPr>
            <w:tcW w:w="1493" w:type="dxa"/>
            <w:tcBorders>
              <w:top w:val="single" w:sz="4" w:space="0" w:color="000000"/>
              <w:left w:val="single" w:sz="4" w:space="0" w:color="000000"/>
              <w:bottom w:val="single" w:sz="4" w:space="0" w:color="000000"/>
              <w:right w:val="single" w:sz="4" w:space="0" w:color="000000"/>
            </w:tcBorders>
          </w:tcPr>
          <w:p w14:paraId="3F8FD91B"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49569ED2"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76758C91"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58. </w:t>
            </w:r>
          </w:p>
        </w:tc>
        <w:tc>
          <w:tcPr>
            <w:tcW w:w="2744" w:type="dxa"/>
            <w:tcBorders>
              <w:top w:val="single" w:sz="4" w:space="0" w:color="000000"/>
              <w:left w:val="single" w:sz="4" w:space="0" w:color="000000"/>
              <w:bottom w:val="single" w:sz="4" w:space="0" w:color="000000"/>
              <w:right w:val="single" w:sz="4" w:space="0" w:color="000000"/>
            </w:tcBorders>
          </w:tcPr>
          <w:p w14:paraId="169E856C"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DJEČJI VRTIĆ</w:t>
            </w:r>
            <w:r w:rsidR="00DF12ED" w:rsidRPr="0032536A">
              <w:rPr>
                <w:rFonts w:ascii="Times New Roman" w:hAnsi="Times New Roman" w:cs="Times New Roman"/>
                <w:color w:val="auto"/>
              </w:rPr>
              <w:t xml:space="preserve"> </w:t>
            </w:r>
            <w:r w:rsidRPr="0032536A">
              <w:rPr>
                <w:rFonts w:ascii="Times New Roman" w:hAnsi="Times New Roman" w:cs="Times New Roman"/>
                <w:color w:val="auto"/>
              </w:rPr>
              <w:t>VESELA</w:t>
            </w:r>
            <w:r w:rsidR="00DF12ED" w:rsidRPr="0032536A">
              <w:rPr>
                <w:rFonts w:ascii="Times New Roman" w:hAnsi="Times New Roman" w:cs="Times New Roman"/>
                <w:color w:val="auto"/>
              </w:rPr>
              <w:t xml:space="preserve"> </w:t>
            </w:r>
            <w:r w:rsidRPr="0032536A">
              <w:rPr>
                <w:rFonts w:ascii="Times New Roman" w:hAnsi="Times New Roman" w:cs="Times New Roman"/>
                <w:color w:val="auto"/>
              </w:rPr>
              <w:t xml:space="preserve">PANDICA </w:t>
            </w:r>
          </w:p>
        </w:tc>
        <w:tc>
          <w:tcPr>
            <w:tcW w:w="2694" w:type="dxa"/>
            <w:tcBorders>
              <w:top w:val="single" w:sz="4" w:space="0" w:color="000000"/>
              <w:left w:val="single" w:sz="4" w:space="0" w:color="000000"/>
              <w:bottom w:val="single" w:sz="4" w:space="0" w:color="000000"/>
              <w:right w:val="single" w:sz="4" w:space="0" w:color="000000"/>
            </w:tcBorders>
          </w:tcPr>
          <w:p w14:paraId="5A7145B1"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Ulica Pere Pirkera, II</w:t>
            </w:r>
            <w:r w:rsidR="00833C7D" w:rsidRPr="0032536A">
              <w:rPr>
                <w:rFonts w:ascii="Times New Roman" w:hAnsi="Times New Roman" w:cs="Times New Roman"/>
                <w:color w:val="auto"/>
              </w:rPr>
              <w:t>.</w:t>
            </w:r>
            <w:r w:rsidRPr="0032536A">
              <w:rPr>
                <w:rFonts w:ascii="Times New Roman" w:hAnsi="Times New Roman" w:cs="Times New Roman"/>
                <w:color w:val="auto"/>
              </w:rPr>
              <w:t xml:space="preserve"> odv. 19, Sesvete </w:t>
            </w:r>
          </w:p>
        </w:tc>
        <w:tc>
          <w:tcPr>
            <w:tcW w:w="1482" w:type="dxa"/>
            <w:tcBorders>
              <w:top w:val="single" w:sz="4" w:space="0" w:color="000000"/>
              <w:left w:val="single" w:sz="4" w:space="0" w:color="000000"/>
              <w:bottom w:val="single" w:sz="4" w:space="0" w:color="000000"/>
              <w:right w:val="single" w:sz="4" w:space="0" w:color="000000"/>
            </w:tcBorders>
          </w:tcPr>
          <w:p w14:paraId="468B7FC0"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45</w:t>
            </w:r>
          </w:p>
        </w:tc>
        <w:tc>
          <w:tcPr>
            <w:tcW w:w="1493" w:type="dxa"/>
            <w:tcBorders>
              <w:top w:val="single" w:sz="4" w:space="0" w:color="000000"/>
              <w:left w:val="single" w:sz="4" w:space="0" w:color="000000"/>
              <w:bottom w:val="single" w:sz="4" w:space="0" w:color="000000"/>
              <w:right w:val="single" w:sz="4" w:space="0" w:color="000000"/>
            </w:tcBorders>
          </w:tcPr>
          <w:p w14:paraId="70B0CA87"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21C0C089"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1B17A8D8"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59. </w:t>
            </w:r>
          </w:p>
        </w:tc>
        <w:tc>
          <w:tcPr>
            <w:tcW w:w="2744" w:type="dxa"/>
            <w:tcBorders>
              <w:top w:val="single" w:sz="4" w:space="0" w:color="000000"/>
              <w:left w:val="single" w:sz="4" w:space="0" w:color="000000"/>
              <w:bottom w:val="single" w:sz="4" w:space="0" w:color="000000"/>
              <w:right w:val="single" w:sz="4" w:space="0" w:color="000000"/>
            </w:tcBorders>
          </w:tcPr>
          <w:p w14:paraId="75B5360A"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VITICA </w:t>
            </w:r>
          </w:p>
        </w:tc>
        <w:tc>
          <w:tcPr>
            <w:tcW w:w="2694" w:type="dxa"/>
            <w:tcBorders>
              <w:top w:val="single" w:sz="4" w:space="0" w:color="000000"/>
              <w:left w:val="single" w:sz="4" w:space="0" w:color="000000"/>
              <w:bottom w:val="single" w:sz="4" w:space="0" w:color="000000"/>
              <w:right w:val="single" w:sz="4" w:space="0" w:color="000000"/>
            </w:tcBorders>
          </w:tcPr>
          <w:p w14:paraId="43E71A17"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Ulica </w:t>
            </w:r>
            <w:r w:rsidR="00833C7D" w:rsidRPr="0032536A">
              <w:rPr>
                <w:rFonts w:ascii="Times New Roman" w:hAnsi="Times New Roman" w:cs="Times New Roman"/>
                <w:color w:val="auto"/>
              </w:rPr>
              <w:t xml:space="preserve">grada </w:t>
            </w:r>
            <w:r w:rsidRPr="0032536A">
              <w:rPr>
                <w:rFonts w:ascii="Times New Roman" w:hAnsi="Times New Roman" w:cs="Times New Roman"/>
                <w:color w:val="auto"/>
              </w:rPr>
              <w:t xml:space="preserve">Vukovara 229 </w:t>
            </w:r>
          </w:p>
        </w:tc>
        <w:tc>
          <w:tcPr>
            <w:tcW w:w="1482" w:type="dxa"/>
            <w:tcBorders>
              <w:top w:val="single" w:sz="4" w:space="0" w:color="000000"/>
              <w:left w:val="single" w:sz="4" w:space="0" w:color="000000"/>
              <w:bottom w:val="single" w:sz="4" w:space="0" w:color="000000"/>
              <w:right w:val="single" w:sz="4" w:space="0" w:color="000000"/>
            </w:tcBorders>
          </w:tcPr>
          <w:p w14:paraId="13E0B2F5"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38</w:t>
            </w:r>
          </w:p>
        </w:tc>
        <w:tc>
          <w:tcPr>
            <w:tcW w:w="1493" w:type="dxa"/>
            <w:tcBorders>
              <w:top w:val="single" w:sz="4" w:space="0" w:color="000000"/>
              <w:left w:val="single" w:sz="4" w:space="0" w:color="000000"/>
              <w:bottom w:val="single" w:sz="4" w:space="0" w:color="000000"/>
              <w:right w:val="single" w:sz="4" w:space="0" w:color="000000"/>
            </w:tcBorders>
          </w:tcPr>
          <w:p w14:paraId="2E3E293C"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6762A649"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7AA70429"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60. </w:t>
            </w:r>
          </w:p>
        </w:tc>
        <w:tc>
          <w:tcPr>
            <w:tcW w:w="2744" w:type="dxa"/>
            <w:tcBorders>
              <w:top w:val="single" w:sz="4" w:space="0" w:color="000000"/>
              <w:left w:val="single" w:sz="4" w:space="0" w:color="000000"/>
              <w:bottom w:val="single" w:sz="4" w:space="0" w:color="000000"/>
              <w:right w:val="single" w:sz="4" w:space="0" w:color="000000"/>
            </w:tcBorders>
          </w:tcPr>
          <w:p w14:paraId="7457822A"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VRAPČIĆ </w:t>
            </w:r>
          </w:p>
        </w:tc>
        <w:tc>
          <w:tcPr>
            <w:tcW w:w="2694" w:type="dxa"/>
            <w:tcBorders>
              <w:top w:val="single" w:sz="4" w:space="0" w:color="000000"/>
              <w:left w:val="single" w:sz="4" w:space="0" w:color="000000"/>
              <w:bottom w:val="single" w:sz="4" w:space="0" w:color="000000"/>
              <w:right w:val="single" w:sz="4" w:space="0" w:color="000000"/>
            </w:tcBorders>
          </w:tcPr>
          <w:p w14:paraId="5C298D67"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Soblinečka cesta 29, Gajec </w:t>
            </w:r>
          </w:p>
        </w:tc>
        <w:tc>
          <w:tcPr>
            <w:tcW w:w="1482" w:type="dxa"/>
            <w:tcBorders>
              <w:top w:val="single" w:sz="4" w:space="0" w:color="000000"/>
              <w:left w:val="single" w:sz="4" w:space="0" w:color="000000"/>
              <w:bottom w:val="single" w:sz="4" w:space="0" w:color="000000"/>
              <w:right w:val="single" w:sz="4" w:space="0" w:color="000000"/>
            </w:tcBorders>
          </w:tcPr>
          <w:p w14:paraId="412283E8"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130</w:t>
            </w:r>
          </w:p>
        </w:tc>
        <w:tc>
          <w:tcPr>
            <w:tcW w:w="1493" w:type="dxa"/>
            <w:tcBorders>
              <w:top w:val="single" w:sz="4" w:space="0" w:color="000000"/>
              <w:left w:val="single" w:sz="4" w:space="0" w:color="000000"/>
              <w:bottom w:val="single" w:sz="4" w:space="0" w:color="000000"/>
              <w:right w:val="single" w:sz="4" w:space="0" w:color="000000"/>
            </w:tcBorders>
          </w:tcPr>
          <w:p w14:paraId="642B2CCD"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600</w:t>
            </w:r>
          </w:p>
        </w:tc>
      </w:tr>
      <w:tr w:rsidR="003F7A56" w:rsidRPr="004750F4" w14:paraId="61941F7C"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4E923B59"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61. </w:t>
            </w:r>
          </w:p>
        </w:tc>
        <w:tc>
          <w:tcPr>
            <w:tcW w:w="2744" w:type="dxa"/>
            <w:tcBorders>
              <w:top w:val="single" w:sz="4" w:space="0" w:color="000000"/>
              <w:left w:val="single" w:sz="4" w:space="0" w:color="000000"/>
              <w:bottom w:val="single" w:sz="4" w:space="0" w:color="000000"/>
              <w:right w:val="single" w:sz="4" w:space="0" w:color="000000"/>
            </w:tcBorders>
          </w:tcPr>
          <w:p w14:paraId="5AFBB6B2"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ZVONČICA </w:t>
            </w:r>
          </w:p>
        </w:tc>
        <w:tc>
          <w:tcPr>
            <w:tcW w:w="2694" w:type="dxa"/>
            <w:tcBorders>
              <w:top w:val="single" w:sz="4" w:space="0" w:color="000000"/>
              <w:left w:val="single" w:sz="4" w:space="0" w:color="000000"/>
              <w:bottom w:val="single" w:sz="4" w:space="0" w:color="000000"/>
              <w:right w:val="single" w:sz="4" w:space="0" w:color="000000"/>
            </w:tcBorders>
          </w:tcPr>
          <w:p w14:paraId="059CC40D"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Trg Lovre Matačića 9, Sesvete </w:t>
            </w:r>
          </w:p>
        </w:tc>
        <w:tc>
          <w:tcPr>
            <w:tcW w:w="1482" w:type="dxa"/>
            <w:tcBorders>
              <w:top w:val="single" w:sz="4" w:space="0" w:color="000000"/>
              <w:left w:val="single" w:sz="4" w:space="0" w:color="000000"/>
              <w:bottom w:val="single" w:sz="4" w:space="0" w:color="000000"/>
              <w:right w:val="single" w:sz="4" w:space="0" w:color="000000"/>
            </w:tcBorders>
          </w:tcPr>
          <w:p w14:paraId="6A19E416"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62</w:t>
            </w:r>
          </w:p>
        </w:tc>
        <w:tc>
          <w:tcPr>
            <w:tcW w:w="1493" w:type="dxa"/>
            <w:tcBorders>
              <w:top w:val="single" w:sz="4" w:space="0" w:color="000000"/>
              <w:left w:val="single" w:sz="4" w:space="0" w:color="000000"/>
              <w:bottom w:val="single" w:sz="4" w:space="0" w:color="000000"/>
              <w:right w:val="single" w:sz="4" w:space="0" w:color="000000"/>
            </w:tcBorders>
          </w:tcPr>
          <w:p w14:paraId="7E501720"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596FC6B8" w14:textId="77777777" w:rsidTr="001B3FDF">
        <w:tblPrEx>
          <w:tblCellMar>
            <w:top w:w="5" w:type="dxa"/>
          </w:tblCellMar>
        </w:tblPrEx>
        <w:trPr>
          <w:cantSplit/>
        </w:trPr>
        <w:tc>
          <w:tcPr>
            <w:tcW w:w="658" w:type="dxa"/>
            <w:tcBorders>
              <w:top w:val="single" w:sz="4" w:space="0" w:color="000000"/>
              <w:left w:val="single" w:sz="4" w:space="0" w:color="000000"/>
              <w:bottom w:val="single" w:sz="4" w:space="0" w:color="000000"/>
              <w:right w:val="single" w:sz="4" w:space="0" w:color="000000"/>
            </w:tcBorders>
          </w:tcPr>
          <w:p w14:paraId="0A88B171"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62. </w:t>
            </w:r>
          </w:p>
        </w:tc>
        <w:tc>
          <w:tcPr>
            <w:tcW w:w="2744" w:type="dxa"/>
            <w:tcBorders>
              <w:top w:val="single" w:sz="4" w:space="0" w:color="000000"/>
              <w:left w:val="single" w:sz="4" w:space="0" w:color="000000"/>
              <w:bottom w:val="single" w:sz="4" w:space="0" w:color="000000"/>
              <w:right w:val="single" w:sz="4" w:space="0" w:color="000000"/>
            </w:tcBorders>
          </w:tcPr>
          <w:p w14:paraId="390BE3EA"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DJEČJI VRTIĆ ŽABAC </w:t>
            </w:r>
          </w:p>
        </w:tc>
        <w:tc>
          <w:tcPr>
            <w:tcW w:w="2694" w:type="dxa"/>
            <w:tcBorders>
              <w:top w:val="single" w:sz="4" w:space="0" w:color="000000"/>
              <w:left w:val="single" w:sz="4" w:space="0" w:color="000000"/>
              <w:bottom w:val="single" w:sz="4" w:space="0" w:color="000000"/>
              <w:right w:val="single" w:sz="4" w:space="0" w:color="000000"/>
            </w:tcBorders>
          </w:tcPr>
          <w:p w14:paraId="183353C3" w14:textId="77777777" w:rsidR="003F7A56" w:rsidRPr="0032536A" w:rsidRDefault="00900184" w:rsidP="001B3FDF">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Srednjaci 7 </w:t>
            </w:r>
          </w:p>
        </w:tc>
        <w:tc>
          <w:tcPr>
            <w:tcW w:w="1482" w:type="dxa"/>
            <w:tcBorders>
              <w:top w:val="single" w:sz="4" w:space="0" w:color="000000"/>
              <w:left w:val="single" w:sz="4" w:space="0" w:color="000000"/>
              <w:bottom w:val="single" w:sz="4" w:space="0" w:color="000000"/>
              <w:right w:val="single" w:sz="4" w:space="0" w:color="000000"/>
            </w:tcBorders>
          </w:tcPr>
          <w:p w14:paraId="04212BD2"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50</w:t>
            </w:r>
          </w:p>
        </w:tc>
        <w:tc>
          <w:tcPr>
            <w:tcW w:w="1493" w:type="dxa"/>
            <w:tcBorders>
              <w:top w:val="single" w:sz="4" w:space="0" w:color="000000"/>
              <w:left w:val="single" w:sz="4" w:space="0" w:color="000000"/>
              <w:bottom w:val="single" w:sz="4" w:space="0" w:color="000000"/>
              <w:right w:val="single" w:sz="4" w:space="0" w:color="000000"/>
            </w:tcBorders>
          </w:tcPr>
          <w:p w14:paraId="079AD1D0" w14:textId="77777777" w:rsidR="003F7A56" w:rsidRPr="0032536A" w:rsidRDefault="00DF12ED"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color w:val="auto"/>
              </w:rPr>
              <w:t>Nema kuhinju</w:t>
            </w:r>
          </w:p>
        </w:tc>
      </w:tr>
      <w:tr w:rsidR="003F7A56" w:rsidRPr="004750F4" w14:paraId="682583C6" w14:textId="77777777" w:rsidTr="00833C7D">
        <w:tblPrEx>
          <w:tblCellMar>
            <w:top w:w="5" w:type="dxa"/>
          </w:tblCellMar>
        </w:tblPrEx>
        <w:trPr>
          <w:cantSplit/>
        </w:trPr>
        <w:tc>
          <w:tcPr>
            <w:tcW w:w="3402" w:type="dxa"/>
            <w:gridSpan w:val="2"/>
            <w:tcBorders>
              <w:top w:val="single" w:sz="4" w:space="0" w:color="000000"/>
              <w:left w:val="single" w:sz="4" w:space="0" w:color="000000"/>
              <w:bottom w:val="single" w:sz="4" w:space="0" w:color="000000"/>
              <w:right w:val="single" w:sz="4" w:space="0" w:color="000000"/>
            </w:tcBorders>
            <w:shd w:val="clear" w:color="auto" w:fill="FFC000"/>
          </w:tcPr>
          <w:p w14:paraId="3027567D" w14:textId="77777777" w:rsidR="003F7A56" w:rsidRPr="0032536A" w:rsidRDefault="00900184"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b/>
                <w:color w:val="auto"/>
              </w:rPr>
              <w:t xml:space="preserve">UKUPNO </w:t>
            </w:r>
          </w:p>
        </w:tc>
        <w:tc>
          <w:tcPr>
            <w:tcW w:w="2694" w:type="dxa"/>
            <w:tcBorders>
              <w:top w:val="single" w:sz="4" w:space="0" w:color="000000"/>
              <w:left w:val="single" w:sz="4" w:space="0" w:color="000000"/>
              <w:bottom w:val="single" w:sz="4" w:space="0" w:color="000000"/>
              <w:right w:val="single" w:sz="4" w:space="0" w:color="000000"/>
            </w:tcBorders>
            <w:shd w:val="clear" w:color="auto" w:fill="FFC000"/>
          </w:tcPr>
          <w:p w14:paraId="702DC47C" w14:textId="77777777" w:rsidR="003F7A56" w:rsidRPr="0032536A" w:rsidRDefault="00E40AC8" w:rsidP="005142C4">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 </w:t>
            </w:r>
          </w:p>
        </w:tc>
        <w:tc>
          <w:tcPr>
            <w:tcW w:w="1482" w:type="dxa"/>
            <w:tcBorders>
              <w:top w:val="single" w:sz="4" w:space="0" w:color="000000"/>
              <w:left w:val="single" w:sz="4" w:space="0" w:color="000000"/>
              <w:bottom w:val="single" w:sz="4" w:space="0" w:color="000000"/>
              <w:right w:val="single" w:sz="4" w:space="0" w:color="000000"/>
            </w:tcBorders>
            <w:shd w:val="clear" w:color="auto" w:fill="FFC000"/>
          </w:tcPr>
          <w:p w14:paraId="26D7C967"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5.066</w:t>
            </w:r>
          </w:p>
        </w:tc>
        <w:tc>
          <w:tcPr>
            <w:tcW w:w="1493" w:type="dxa"/>
            <w:tcBorders>
              <w:top w:val="single" w:sz="4" w:space="0" w:color="000000"/>
              <w:left w:val="single" w:sz="4" w:space="0" w:color="000000"/>
              <w:bottom w:val="single" w:sz="4" w:space="0" w:color="000000"/>
              <w:right w:val="single" w:sz="4" w:space="0" w:color="000000"/>
            </w:tcBorders>
            <w:shd w:val="clear" w:color="auto" w:fill="FFC000"/>
          </w:tcPr>
          <w:p w14:paraId="3F562DBD" w14:textId="77777777" w:rsidR="003F7A56" w:rsidRPr="0032536A" w:rsidRDefault="00900184" w:rsidP="00DF12ED">
            <w:pPr>
              <w:spacing w:after="0" w:line="240" w:lineRule="auto"/>
              <w:ind w:left="0" w:right="0" w:firstLine="0"/>
              <w:jc w:val="center"/>
              <w:rPr>
                <w:rFonts w:ascii="Times New Roman" w:hAnsi="Times New Roman" w:cs="Times New Roman"/>
                <w:color w:val="auto"/>
              </w:rPr>
            </w:pPr>
            <w:r w:rsidRPr="0032536A">
              <w:rPr>
                <w:rFonts w:ascii="Times New Roman" w:hAnsi="Times New Roman" w:cs="Times New Roman"/>
                <w:b/>
                <w:color w:val="auto"/>
              </w:rPr>
              <w:t>3.116</w:t>
            </w:r>
          </w:p>
        </w:tc>
      </w:tr>
    </w:tbl>
    <w:p w14:paraId="023D3427" w14:textId="77777777" w:rsidR="00E40AC8" w:rsidRPr="0032536A" w:rsidRDefault="00900184" w:rsidP="005142C4">
      <w:pPr>
        <w:spacing w:after="0" w:line="240" w:lineRule="auto"/>
        <w:ind w:left="0" w:right="0" w:firstLine="0"/>
        <w:jc w:val="center"/>
        <w:rPr>
          <w:rFonts w:ascii="Times New Roman" w:eastAsia="Calibri" w:hAnsi="Times New Roman" w:cs="Times New Roman"/>
          <w:i/>
          <w:color w:val="auto"/>
          <w:sz w:val="20"/>
          <w:szCs w:val="20"/>
        </w:rPr>
      </w:pPr>
      <w:r w:rsidRPr="0032536A">
        <w:rPr>
          <w:rFonts w:ascii="Times New Roman" w:eastAsia="Calibri" w:hAnsi="Times New Roman" w:cs="Times New Roman"/>
          <w:i/>
          <w:color w:val="auto"/>
          <w:sz w:val="20"/>
          <w:szCs w:val="20"/>
        </w:rPr>
        <w:t>Izvor: Gradski ured za obrazovanje</w:t>
      </w:r>
    </w:p>
    <w:p w14:paraId="01065AE5" w14:textId="77777777" w:rsidR="00395E37" w:rsidRPr="0032536A" w:rsidRDefault="00395E37" w:rsidP="005142C4">
      <w:pPr>
        <w:spacing w:after="0" w:line="240" w:lineRule="auto"/>
        <w:ind w:left="0" w:right="0" w:firstLine="0"/>
        <w:rPr>
          <w:rFonts w:ascii="Times New Roman" w:hAnsi="Times New Roman" w:cs="Times New Roman"/>
          <w:color w:val="auto"/>
          <w:sz w:val="24"/>
        </w:rPr>
      </w:pPr>
    </w:p>
    <w:p w14:paraId="6BD9A270" w14:textId="52E4E59A" w:rsidR="00E40AC8" w:rsidRDefault="00900184" w:rsidP="00395E37">
      <w:pPr>
        <w:spacing w:after="0" w:line="240" w:lineRule="auto"/>
        <w:ind w:left="0" w:right="0" w:firstLine="709"/>
        <w:rPr>
          <w:rFonts w:ascii="Times New Roman" w:hAnsi="Times New Roman" w:cs="Times New Roman"/>
          <w:color w:val="auto"/>
          <w:sz w:val="24"/>
        </w:rPr>
      </w:pPr>
      <w:r w:rsidRPr="0032536A">
        <w:rPr>
          <w:rFonts w:ascii="Times New Roman" w:hAnsi="Times New Roman" w:cs="Times New Roman"/>
          <w:color w:val="auto"/>
          <w:sz w:val="24"/>
        </w:rPr>
        <w:t xml:space="preserve">Na području Grada Zagreba djeluje 125 osnovnih škola u koje je moguće smjestiti ukupno </w:t>
      </w:r>
      <w:r w:rsidRPr="0032536A">
        <w:rPr>
          <w:rFonts w:ascii="Times New Roman" w:hAnsi="Times New Roman" w:cs="Times New Roman"/>
          <w:b/>
          <w:color w:val="auto"/>
          <w:sz w:val="24"/>
        </w:rPr>
        <w:t>67</w:t>
      </w:r>
      <w:r w:rsidR="00833C7D" w:rsidRPr="0032536A">
        <w:rPr>
          <w:rFonts w:ascii="Times New Roman" w:hAnsi="Times New Roman" w:cs="Times New Roman"/>
          <w:b/>
          <w:color w:val="auto"/>
          <w:sz w:val="24"/>
        </w:rPr>
        <w:t> </w:t>
      </w:r>
      <w:r w:rsidRPr="0032536A">
        <w:rPr>
          <w:rFonts w:ascii="Times New Roman" w:hAnsi="Times New Roman" w:cs="Times New Roman"/>
          <w:b/>
          <w:color w:val="auto"/>
          <w:sz w:val="24"/>
        </w:rPr>
        <w:t>493</w:t>
      </w:r>
      <w:r w:rsidRPr="0032536A">
        <w:rPr>
          <w:rFonts w:ascii="Times New Roman" w:hAnsi="Times New Roman" w:cs="Times New Roman"/>
          <w:color w:val="auto"/>
          <w:sz w:val="24"/>
        </w:rPr>
        <w:t xml:space="preserve"> osoba te pripremiti </w:t>
      </w:r>
      <w:r w:rsidRPr="0032536A">
        <w:rPr>
          <w:rFonts w:ascii="Times New Roman" w:hAnsi="Times New Roman" w:cs="Times New Roman"/>
          <w:b/>
          <w:color w:val="auto"/>
          <w:sz w:val="24"/>
        </w:rPr>
        <w:t>39</w:t>
      </w:r>
      <w:r w:rsidR="00833C7D" w:rsidRPr="0032536A">
        <w:rPr>
          <w:rFonts w:ascii="Times New Roman" w:hAnsi="Times New Roman" w:cs="Times New Roman"/>
          <w:b/>
          <w:color w:val="auto"/>
          <w:sz w:val="24"/>
        </w:rPr>
        <w:t> </w:t>
      </w:r>
      <w:r w:rsidRPr="0032536A">
        <w:rPr>
          <w:rFonts w:ascii="Times New Roman" w:hAnsi="Times New Roman" w:cs="Times New Roman"/>
          <w:b/>
          <w:color w:val="auto"/>
          <w:sz w:val="24"/>
        </w:rPr>
        <w:t>677</w:t>
      </w:r>
      <w:r w:rsidRPr="0032536A">
        <w:rPr>
          <w:rFonts w:ascii="Times New Roman" w:hAnsi="Times New Roman" w:cs="Times New Roman"/>
          <w:color w:val="auto"/>
          <w:sz w:val="24"/>
        </w:rPr>
        <w:t xml:space="preserve"> obroka dnevno. U 74 srednje škole moguće je smjestiti ukupno </w:t>
      </w:r>
      <w:r w:rsidRPr="0032536A">
        <w:rPr>
          <w:rFonts w:ascii="Times New Roman" w:hAnsi="Times New Roman" w:cs="Times New Roman"/>
          <w:b/>
          <w:color w:val="auto"/>
          <w:sz w:val="24"/>
        </w:rPr>
        <w:t>38</w:t>
      </w:r>
      <w:r w:rsidR="00833C7D" w:rsidRPr="0032536A">
        <w:rPr>
          <w:rFonts w:ascii="Times New Roman" w:hAnsi="Times New Roman" w:cs="Times New Roman"/>
          <w:b/>
          <w:color w:val="auto"/>
          <w:sz w:val="24"/>
        </w:rPr>
        <w:t> </w:t>
      </w:r>
      <w:r w:rsidRPr="0032536A">
        <w:rPr>
          <w:rFonts w:ascii="Times New Roman" w:hAnsi="Times New Roman" w:cs="Times New Roman"/>
          <w:b/>
          <w:color w:val="auto"/>
          <w:sz w:val="24"/>
        </w:rPr>
        <w:t>650</w:t>
      </w:r>
      <w:r w:rsidRPr="0032536A">
        <w:rPr>
          <w:rFonts w:ascii="Times New Roman" w:hAnsi="Times New Roman" w:cs="Times New Roman"/>
          <w:color w:val="auto"/>
          <w:sz w:val="24"/>
        </w:rPr>
        <w:t xml:space="preserve"> osoba i pripremiti </w:t>
      </w:r>
      <w:r w:rsidRPr="0032536A">
        <w:rPr>
          <w:rFonts w:ascii="Times New Roman" w:hAnsi="Times New Roman" w:cs="Times New Roman"/>
          <w:b/>
          <w:color w:val="auto"/>
          <w:sz w:val="24"/>
        </w:rPr>
        <w:t>4</w:t>
      </w:r>
      <w:r w:rsidR="00833C7D" w:rsidRPr="0032536A">
        <w:rPr>
          <w:rFonts w:ascii="Times New Roman" w:hAnsi="Times New Roman" w:cs="Times New Roman"/>
          <w:b/>
          <w:color w:val="auto"/>
          <w:sz w:val="24"/>
        </w:rPr>
        <w:t> </w:t>
      </w:r>
      <w:r w:rsidRPr="0032536A">
        <w:rPr>
          <w:rFonts w:ascii="Times New Roman" w:hAnsi="Times New Roman" w:cs="Times New Roman"/>
          <w:b/>
          <w:color w:val="auto"/>
          <w:sz w:val="24"/>
        </w:rPr>
        <w:t xml:space="preserve">070 </w:t>
      </w:r>
      <w:r w:rsidRPr="0032536A">
        <w:rPr>
          <w:rFonts w:ascii="Times New Roman" w:hAnsi="Times New Roman" w:cs="Times New Roman"/>
          <w:color w:val="auto"/>
          <w:sz w:val="24"/>
        </w:rPr>
        <w:t xml:space="preserve">obroka dnevno. U 10 učeničkih domova moguće je smjestiti ukupno </w:t>
      </w:r>
      <w:r w:rsidRPr="0032536A">
        <w:rPr>
          <w:rFonts w:ascii="Times New Roman" w:hAnsi="Times New Roman" w:cs="Times New Roman"/>
          <w:b/>
          <w:color w:val="auto"/>
          <w:sz w:val="24"/>
        </w:rPr>
        <w:t>2</w:t>
      </w:r>
      <w:r w:rsidR="00833C7D" w:rsidRPr="0032536A">
        <w:rPr>
          <w:rFonts w:ascii="Times New Roman" w:hAnsi="Times New Roman" w:cs="Times New Roman"/>
          <w:b/>
          <w:color w:val="auto"/>
          <w:sz w:val="24"/>
        </w:rPr>
        <w:t> </w:t>
      </w:r>
      <w:r w:rsidRPr="0032536A">
        <w:rPr>
          <w:rFonts w:ascii="Times New Roman" w:hAnsi="Times New Roman" w:cs="Times New Roman"/>
          <w:b/>
          <w:color w:val="auto"/>
          <w:sz w:val="24"/>
        </w:rPr>
        <w:t xml:space="preserve">168 </w:t>
      </w:r>
      <w:r w:rsidRPr="0032536A">
        <w:rPr>
          <w:rFonts w:ascii="Times New Roman" w:hAnsi="Times New Roman" w:cs="Times New Roman"/>
          <w:color w:val="auto"/>
          <w:sz w:val="24"/>
        </w:rPr>
        <w:t xml:space="preserve">osoba i pripremiti </w:t>
      </w:r>
      <w:r w:rsidRPr="0032536A">
        <w:rPr>
          <w:rFonts w:ascii="Times New Roman" w:hAnsi="Times New Roman" w:cs="Times New Roman"/>
          <w:b/>
          <w:color w:val="auto"/>
          <w:sz w:val="24"/>
        </w:rPr>
        <w:t>4</w:t>
      </w:r>
      <w:r w:rsidR="00833C7D" w:rsidRPr="0032536A">
        <w:rPr>
          <w:rFonts w:ascii="Times New Roman" w:hAnsi="Times New Roman" w:cs="Times New Roman"/>
          <w:b/>
          <w:color w:val="auto"/>
          <w:sz w:val="24"/>
        </w:rPr>
        <w:t> </w:t>
      </w:r>
      <w:r w:rsidRPr="0032536A">
        <w:rPr>
          <w:rFonts w:ascii="Times New Roman" w:hAnsi="Times New Roman" w:cs="Times New Roman"/>
          <w:b/>
          <w:color w:val="auto"/>
          <w:sz w:val="24"/>
        </w:rPr>
        <w:t>756</w:t>
      </w:r>
      <w:r w:rsidRPr="0032536A">
        <w:rPr>
          <w:rFonts w:ascii="Times New Roman" w:hAnsi="Times New Roman" w:cs="Times New Roman"/>
          <w:color w:val="auto"/>
          <w:sz w:val="24"/>
        </w:rPr>
        <w:t xml:space="preserve"> obroka dnevno.</w:t>
      </w:r>
    </w:p>
    <w:p w14:paraId="173989B6" w14:textId="77777777" w:rsidR="00E40AC8" w:rsidRPr="005142C4" w:rsidRDefault="00E40AC8" w:rsidP="005142C4">
      <w:pPr>
        <w:spacing w:after="0" w:line="240" w:lineRule="auto"/>
        <w:ind w:left="0" w:right="0" w:firstLine="0"/>
        <w:jc w:val="left"/>
        <w:rPr>
          <w:rFonts w:ascii="Times New Roman" w:hAnsi="Times New Roman" w:cs="Times New Roman"/>
          <w:sz w:val="24"/>
        </w:rPr>
      </w:pPr>
    </w:p>
    <w:p w14:paraId="1564C87D" w14:textId="11237BB5" w:rsidR="003F7A56" w:rsidRPr="0032536A" w:rsidRDefault="00900184" w:rsidP="00DF12ED">
      <w:pPr>
        <w:spacing w:after="0" w:line="240" w:lineRule="auto"/>
        <w:ind w:left="0" w:right="0" w:firstLine="0"/>
        <w:jc w:val="center"/>
        <w:rPr>
          <w:rFonts w:ascii="Times New Roman" w:hAnsi="Times New Roman" w:cs="Times New Roman"/>
          <w:b/>
          <w:color w:val="auto"/>
          <w:sz w:val="24"/>
        </w:rPr>
      </w:pPr>
      <w:r w:rsidRPr="0032536A">
        <w:rPr>
          <w:rFonts w:ascii="Times New Roman" w:hAnsi="Times New Roman" w:cs="Times New Roman"/>
          <w:b/>
          <w:color w:val="auto"/>
          <w:sz w:val="24"/>
        </w:rPr>
        <w:t>Tablica 1</w:t>
      </w:r>
      <w:r w:rsidR="00E12671">
        <w:rPr>
          <w:rFonts w:ascii="Times New Roman" w:hAnsi="Times New Roman" w:cs="Times New Roman"/>
          <w:b/>
          <w:color w:val="auto"/>
          <w:sz w:val="24"/>
        </w:rPr>
        <w:t>2</w:t>
      </w:r>
      <w:r w:rsidRPr="0032536A">
        <w:rPr>
          <w:rFonts w:ascii="Times New Roman" w:hAnsi="Times New Roman" w:cs="Times New Roman"/>
          <w:b/>
          <w:color w:val="auto"/>
          <w:sz w:val="24"/>
        </w:rPr>
        <w:t>. Popis osnovnih, srednjih škola i učeničkih domova</w:t>
      </w:r>
    </w:p>
    <w:p w14:paraId="566C0DD2" w14:textId="77777777" w:rsidR="00DF12ED" w:rsidRPr="0032536A" w:rsidRDefault="00DF12ED" w:rsidP="00DF12ED">
      <w:pPr>
        <w:spacing w:after="0" w:line="240" w:lineRule="auto"/>
        <w:ind w:left="0" w:right="0" w:firstLine="0"/>
        <w:rPr>
          <w:rFonts w:ascii="Times New Roman" w:hAnsi="Times New Roman" w:cs="Times New Roman"/>
          <w:color w:val="auto"/>
          <w:sz w:val="24"/>
        </w:rPr>
      </w:pPr>
    </w:p>
    <w:tbl>
      <w:tblPr>
        <w:tblStyle w:val="TableGrid"/>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6" w:type="dxa"/>
          <w:left w:w="57" w:type="dxa"/>
          <w:right w:w="57" w:type="dxa"/>
        </w:tblCellMar>
        <w:tblLook w:val="04A0" w:firstRow="1" w:lastRow="0" w:firstColumn="1" w:lastColumn="0" w:noHBand="0" w:noVBand="1"/>
      </w:tblPr>
      <w:tblGrid>
        <w:gridCol w:w="685"/>
        <w:gridCol w:w="2054"/>
        <w:gridCol w:w="2054"/>
        <w:gridCol w:w="1541"/>
        <w:gridCol w:w="1483"/>
        <w:gridCol w:w="1255"/>
      </w:tblGrid>
      <w:tr w:rsidR="00CE628C" w:rsidRPr="004750F4" w14:paraId="1DF55F55" w14:textId="77777777" w:rsidTr="00757E67">
        <w:trPr>
          <w:cantSplit/>
          <w:tblHeader/>
        </w:trPr>
        <w:tc>
          <w:tcPr>
            <w:tcW w:w="685" w:type="dxa"/>
            <w:shd w:val="clear" w:color="auto" w:fill="FFC000"/>
            <w:vAlign w:val="center"/>
          </w:tcPr>
          <w:p w14:paraId="0A5B03C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bookmarkStart w:id="21" w:name="_Hlk3970935"/>
            <w:r w:rsidRPr="0032536A">
              <w:rPr>
                <w:rFonts w:ascii="Times New Roman" w:eastAsia="Times New Roman" w:hAnsi="Times New Roman" w:cs="Times New Roman"/>
                <w:b/>
                <w:color w:val="auto"/>
              </w:rPr>
              <w:t>Red. broj</w:t>
            </w:r>
          </w:p>
        </w:tc>
        <w:tc>
          <w:tcPr>
            <w:tcW w:w="2054" w:type="dxa"/>
            <w:shd w:val="clear" w:color="auto" w:fill="FFC000"/>
            <w:vAlign w:val="center"/>
          </w:tcPr>
          <w:p w14:paraId="60AD0F5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Naziv ustanove (osnovne škole, centri za odgoj i obrazovanje)</w:t>
            </w:r>
          </w:p>
        </w:tc>
        <w:tc>
          <w:tcPr>
            <w:tcW w:w="2054" w:type="dxa"/>
            <w:shd w:val="clear" w:color="auto" w:fill="FFC000"/>
            <w:vAlign w:val="center"/>
          </w:tcPr>
          <w:p w14:paraId="6A321D7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Adresa ustanove</w:t>
            </w:r>
          </w:p>
        </w:tc>
        <w:tc>
          <w:tcPr>
            <w:tcW w:w="1541" w:type="dxa"/>
            <w:shd w:val="clear" w:color="auto" w:fill="FFC000"/>
            <w:vAlign w:val="center"/>
          </w:tcPr>
          <w:p w14:paraId="1FA2876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Kapacitet ustanove</w:t>
            </w:r>
            <w:r w:rsidR="00CE628C" w:rsidRPr="0032536A">
              <w:rPr>
                <w:rFonts w:ascii="Times New Roman" w:eastAsia="Times New Roman" w:hAnsi="Times New Roman" w:cs="Times New Roman"/>
                <w:b/>
                <w:color w:val="auto"/>
              </w:rPr>
              <w:t xml:space="preserve"> </w:t>
            </w:r>
            <w:r w:rsidRPr="0032536A">
              <w:rPr>
                <w:rFonts w:ascii="Times New Roman" w:eastAsia="Times New Roman" w:hAnsi="Times New Roman" w:cs="Times New Roman"/>
                <w:b/>
                <w:color w:val="auto"/>
              </w:rPr>
              <w:t>(maksimalan broj</w:t>
            </w:r>
            <w:r w:rsidR="00CE628C" w:rsidRPr="0032536A">
              <w:rPr>
                <w:rFonts w:ascii="Times New Roman" w:eastAsia="Times New Roman" w:hAnsi="Times New Roman" w:cs="Times New Roman"/>
                <w:b/>
                <w:color w:val="auto"/>
              </w:rPr>
              <w:t xml:space="preserve"> </w:t>
            </w:r>
            <w:r w:rsidRPr="0032536A">
              <w:rPr>
                <w:rFonts w:ascii="Times New Roman" w:eastAsia="Times New Roman" w:hAnsi="Times New Roman" w:cs="Times New Roman"/>
                <w:b/>
                <w:color w:val="auto"/>
              </w:rPr>
              <w:t>korisnika ustanove)</w:t>
            </w:r>
          </w:p>
        </w:tc>
        <w:tc>
          <w:tcPr>
            <w:tcW w:w="1483" w:type="dxa"/>
            <w:shd w:val="clear" w:color="auto" w:fill="FFC000"/>
            <w:vAlign w:val="center"/>
          </w:tcPr>
          <w:p w14:paraId="3930397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Kapacitet pripremanja</w:t>
            </w:r>
            <w:r w:rsidR="00CE628C" w:rsidRPr="0032536A">
              <w:rPr>
                <w:rFonts w:ascii="Times New Roman" w:eastAsia="Times New Roman" w:hAnsi="Times New Roman" w:cs="Times New Roman"/>
                <w:b/>
                <w:color w:val="auto"/>
              </w:rPr>
              <w:t xml:space="preserve"> </w:t>
            </w:r>
            <w:r w:rsidRPr="0032536A">
              <w:rPr>
                <w:rFonts w:ascii="Times New Roman" w:eastAsia="Times New Roman" w:hAnsi="Times New Roman" w:cs="Times New Roman"/>
                <w:b/>
                <w:color w:val="auto"/>
              </w:rPr>
              <w:t>hrane (broj</w:t>
            </w:r>
            <w:r w:rsidR="00CE628C" w:rsidRPr="0032536A">
              <w:rPr>
                <w:rFonts w:ascii="Times New Roman" w:eastAsia="Times New Roman" w:hAnsi="Times New Roman" w:cs="Times New Roman"/>
                <w:b/>
                <w:color w:val="auto"/>
              </w:rPr>
              <w:t xml:space="preserve"> </w:t>
            </w:r>
            <w:r w:rsidRPr="0032536A">
              <w:rPr>
                <w:rFonts w:ascii="Times New Roman" w:eastAsia="Times New Roman" w:hAnsi="Times New Roman" w:cs="Times New Roman"/>
                <w:b/>
                <w:color w:val="auto"/>
              </w:rPr>
              <w:t>obroka/dan koje</w:t>
            </w:r>
            <w:r w:rsidR="00CE628C" w:rsidRPr="0032536A">
              <w:rPr>
                <w:rFonts w:ascii="Times New Roman" w:eastAsia="Times New Roman" w:hAnsi="Times New Roman" w:cs="Times New Roman"/>
                <w:b/>
                <w:color w:val="auto"/>
              </w:rPr>
              <w:t xml:space="preserve"> </w:t>
            </w:r>
            <w:r w:rsidRPr="0032536A">
              <w:rPr>
                <w:rFonts w:ascii="Times New Roman" w:eastAsia="Times New Roman" w:hAnsi="Times New Roman" w:cs="Times New Roman"/>
                <w:b/>
                <w:color w:val="auto"/>
              </w:rPr>
              <w:t>ustanova može pripremiti</w:t>
            </w:r>
          </w:p>
        </w:tc>
        <w:tc>
          <w:tcPr>
            <w:tcW w:w="1255" w:type="dxa"/>
            <w:shd w:val="clear" w:color="auto" w:fill="FFC000"/>
            <w:vAlign w:val="center"/>
          </w:tcPr>
          <w:p w14:paraId="0A19E1B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Godina izgradnje objekta</w:t>
            </w:r>
          </w:p>
        </w:tc>
      </w:tr>
      <w:bookmarkEnd w:id="21"/>
      <w:tr w:rsidR="00CE628C" w:rsidRPr="004750F4" w14:paraId="45413EB4" w14:textId="77777777" w:rsidTr="0025690A">
        <w:trPr>
          <w:cantSplit/>
        </w:trPr>
        <w:tc>
          <w:tcPr>
            <w:tcW w:w="685" w:type="dxa"/>
          </w:tcPr>
          <w:p w14:paraId="695713A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w:t>
            </w:r>
          </w:p>
        </w:tc>
        <w:tc>
          <w:tcPr>
            <w:tcW w:w="2054" w:type="dxa"/>
          </w:tcPr>
          <w:p w14:paraId="4C99A3F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JORDANOVAC </w:t>
            </w:r>
          </w:p>
        </w:tc>
        <w:tc>
          <w:tcPr>
            <w:tcW w:w="2054" w:type="dxa"/>
          </w:tcPr>
          <w:p w14:paraId="3D351533"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Jordanovac 108 </w:t>
            </w:r>
          </w:p>
        </w:tc>
        <w:tc>
          <w:tcPr>
            <w:tcW w:w="1541" w:type="dxa"/>
          </w:tcPr>
          <w:p w14:paraId="387B1BC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600</w:t>
            </w:r>
          </w:p>
        </w:tc>
        <w:tc>
          <w:tcPr>
            <w:tcW w:w="1483" w:type="dxa"/>
          </w:tcPr>
          <w:p w14:paraId="65E5310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300</w:t>
            </w:r>
          </w:p>
        </w:tc>
        <w:tc>
          <w:tcPr>
            <w:tcW w:w="1255" w:type="dxa"/>
          </w:tcPr>
          <w:p w14:paraId="2496B8E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1931.</w:t>
            </w:r>
          </w:p>
        </w:tc>
      </w:tr>
      <w:tr w:rsidR="00CE628C" w:rsidRPr="004750F4" w14:paraId="6B5A60D5" w14:textId="77777777" w:rsidTr="0025690A">
        <w:tblPrEx>
          <w:tblCellMar>
            <w:top w:w="5" w:type="dxa"/>
          </w:tblCellMar>
        </w:tblPrEx>
        <w:trPr>
          <w:cantSplit/>
        </w:trPr>
        <w:tc>
          <w:tcPr>
            <w:tcW w:w="685" w:type="dxa"/>
          </w:tcPr>
          <w:p w14:paraId="730F5AB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2.</w:t>
            </w:r>
          </w:p>
        </w:tc>
        <w:tc>
          <w:tcPr>
            <w:tcW w:w="2054" w:type="dxa"/>
          </w:tcPr>
          <w:p w14:paraId="2F187B85"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OSNOVNA</w:t>
            </w:r>
            <w:r w:rsidR="00E40AC8"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ŠKOLA SESVETE </w:t>
            </w:r>
          </w:p>
        </w:tc>
        <w:tc>
          <w:tcPr>
            <w:tcW w:w="2054" w:type="dxa"/>
          </w:tcPr>
          <w:p w14:paraId="59477129"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eastAsia="Times New Roman" w:hAnsi="Times New Roman" w:cs="Times New Roman"/>
                <w:color w:val="auto"/>
              </w:rPr>
              <w:t>I. G. Kovačića 19,</w:t>
            </w:r>
            <w:r w:rsidR="00CE628C" w:rsidRPr="0032536A">
              <w:rPr>
                <w:rFonts w:ascii="Times New Roman" w:eastAsia="Times New Roman" w:hAnsi="Times New Roman" w:cs="Times New Roman"/>
                <w:color w:val="auto"/>
              </w:rPr>
              <w:t xml:space="preserve"> </w:t>
            </w:r>
            <w:r w:rsidR="00900184" w:rsidRPr="0032536A">
              <w:rPr>
                <w:rFonts w:ascii="Times New Roman" w:eastAsia="Times New Roman" w:hAnsi="Times New Roman" w:cs="Times New Roman"/>
                <w:color w:val="auto"/>
              </w:rPr>
              <w:t xml:space="preserve">10360 Sesvete </w:t>
            </w:r>
          </w:p>
        </w:tc>
        <w:tc>
          <w:tcPr>
            <w:tcW w:w="1541" w:type="dxa"/>
          </w:tcPr>
          <w:p w14:paraId="24CD158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450</w:t>
            </w:r>
          </w:p>
        </w:tc>
        <w:tc>
          <w:tcPr>
            <w:tcW w:w="1483" w:type="dxa"/>
          </w:tcPr>
          <w:p w14:paraId="6AC08C0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900</w:t>
            </w:r>
          </w:p>
        </w:tc>
        <w:tc>
          <w:tcPr>
            <w:tcW w:w="1255" w:type="dxa"/>
          </w:tcPr>
          <w:p w14:paraId="77C8BF2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1954.</w:t>
            </w:r>
          </w:p>
        </w:tc>
      </w:tr>
      <w:tr w:rsidR="00CE628C" w:rsidRPr="004750F4" w14:paraId="45421DE3" w14:textId="77777777" w:rsidTr="0025690A">
        <w:tblPrEx>
          <w:tblCellMar>
            <w:top w:w="5" w:type="dxa"/>
          </w:tblCellMar>
        </w:tblPrEx>
        <w:trPr>
          <w:cantSplit/>
        </w:trPr>
        <w:tc>
          <w:tcPr>
            <w:tcW w:w="685" w:type="dxa"/>
          </w:tcPr>
          <w:p w14:paraId="0541BC9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lastRenderedPageBreak/>
              <w:t>3.</w:t>
            </w:r>
          </w:p>
        </w:tc>
        <w:tc>
          <w:tcPr>
            <w:tcW w:w="2054" w:type="dxa"/>
          </w:tcPr>
          <w:p w14:paraId="45ECFEB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BARTOLA KAŠIĆA </w:t>
            </w:r>
          </w:p>
        </w:tc>
        <w:tc>
          <w:tcPr>
            <w:tcW w:w="2054" w:type="dxa"/>
          </w:tcPr>
          <w:p w14:paraId="2FF58B9A"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Vrisnička 4 </w:t>
            </w:r>
          </w:p>
        </w:tc>
        <w:tc>
          <w:tcPr>
            <w:tcW w:w="1541" w:type="dxa"/>
          </w:tcPr>
          <w:p w14:paraId="79F95ED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800</w:t>
            </w:r>
          </w:p>
        </w:tc>
        <w:tc>
          <w:tcPr>
            <w:tcW w:w="1483" w:type="dxa"/>
          </w:tcPr>
          <w:p w14:paraId="6EB884B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Hrana se ne priprema u školi,</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već se dovozi iz druge škole</w:t>
            </w:r>
          </w:p>
        </w:tc>
        <w:tc>
          <w:tcPr>
            <w:tcW w:w="1255" w:type="dxa"/>
          </w:tcPr>
          <w:p w14:paraId="37C96C0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1985.</w:t>
            </w:r>
          </w:p>
        </w:tc>
      </w:tr>
      <w:tr w:rsidR="00CE628C" w:rsidRPr="004750F4" w14:paraId="3C4CB60F" w14:textId="77777777" w:rsidTr="0025690A">
        <w:tblPrEx>
          <w:tblCellMar>
            <w:top w:w="5" w:type="dxa"/>
          </w:tblCellMar>
        </w:tblPrEx>
        <w:trPr>
          <w:cantSplit/>
        </w:trPr>
        <w:tc>
          <w:tcPr>
            <w:tcW w:w="685" w:type="dxa"/>
          </w:tcPr>
          <w:p w14:paraId="1481630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4.</w:t>
            </w:r>
          </w:p>
        </w:tc>
        <w:tc>
          <w:tcPr>
            <w:tcW w:w="2054" w:type="dxa"/>
          </w:tcPr>
          <w:p w14:paraId="42C11461"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OŠ SILVIJA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STRAHIMIRA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KRANJČEVIĆA </w:t>
            </w:r>
          </w:p>
        </w:tc>
        <w:tc>
          <w:tcPr>
            <w:tcW w:w="2054" w:type="dxa"/>
          </w:tcPr>
          <w:p w14:paraId="0437AB5A"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Bogišićeva 13, Zagreb </w:t>
            </w:r>
          </w:p>
        </w:tc>
        <w:tc>
          <w:tcPr>
            <w:tcW w:w="1541" w:type="dxa"/>
          </w:tcPr>
          <w:p w14:paraId="66B5549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80</w:t>
            </w:r>
          </w:p>
        </w:tc>
        <w:tc>
          <w:tcPr>
            <w:tcW w:w="1483" w:type="dxa"/>
          </w:tcPr>
          <w:p w14:paraId="557A135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210</w:t>
            </w:r>
          </w:p>
        </w:tc>
        <w:tc>
          <w:tcPr>
            <w:tcW w:w="1255" w:type="dxa"/>
          </w:tcPr>
          <w:p w14:paraId="4744FA8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1958.</w:t>
            </w:r>
          </w:p>
        </w:tc>
      </w:tr>
      <w:tr w:rsidR="00CE628C" w:rsidRPr="004750F4" w14:paraId="1704E088" w14:textId="77777777" w:rsidTr="0025690A">
        <w:tblPrEx>
          <w:tblCellMar>
            <w:top w:w="5" w:type="dxa"/>
          </w:tblCellMar>
        </w:tblPrEx>
        <w:trPr>
          <w:cantSplit/>
        </w:trPr>
        <w:tc>
          <w:tcPr>
            <w:tcW w:w="685" w:type="dxa"/>
          </w:tcPr>
          <w:p w14:paraId="65F1382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5.</w:t>
            </w:r>
          </w:p>
        </w:tc>
        <w:tc>
          <w:tcPr>
            <w:tcW w:w="2054" w:type="dxa"/>
          </w:tcPr>
          <w:p w14:paraId="7205620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OSNOVNA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ŠKOLA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AUGUSTA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ŠENOE </w:t>
            </w:r>
          </w:p>
        </w:tc>
        <w:tc>
          <w:tcPr>
            <w:tcW w:w="2054" w:type="dxa"/>
          </w:tcPr>
          <w:p w14:paraId="538D8EAA"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Zagreb, Selska cesta 95 </w:t>
            </w:r>
          </w:p>
        </w:tc>
        <w:tc>
          <w:tcPr>
            <w:tcW w:w="1541" w:type="dxa"/>
          </w:tcPr>
          <w:p w14:paraId="78A6E28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900</w:t>
            </w:r>
          </w:p>
        </w:tc>
        <w:tc>
          <w:tcPr>
            <w:tcW w:w="1483" w:type="dxa"/>
          </w:tcPr>
          <w:p w14:paraId="354E306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500</w:t>
            </w:r>
          </w:p>
        </w:tc>
        <w:tc>
          <w:tcPr>
            <w:tcW w:w="1255" w:type="dxa"/>
          </w:tcPr>
          <w:p w14:paraId="13A4094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1932.</w:t>
            </w:r>
          </w:p>
        </w:tc>
      </w:tr>
      <w:tr w:rsidR="00CE628C" w:rsidRPr="004750F4" w14:paraId="75D586F5" w14:textId="77777777" w:rsidTr="0025690A">
        <w:tblPrEx>
          <w:tblCellMar>
            <w:top w:w="5" w:type="dxa"/>
          </w:tblCellMar>
        </w:tblPrEx>
        <w:trPr>
          <w:cantSplit/>
        </w:trPr>
        <w:tc>
          <w:tcPr>
            <w:tcW w:w="685" w:type="dxa"/>
          </w:tcPr>
          <w:p w14:paraId="31267EE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6.</w:t>
            </w:r>
          </w:p>
        </w:tc>
        <w:tc>
          <w:tcPr>
            <w:tcW w:w="2054" w:type="dxa"/>
          </w:tcPr>
          <w:p w14:paraId="2CE0027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OŠ DRAGUTINA DOMJANIĆA</w:t>
            </w:r>
            <w:r w:rsidR="00E40AC8" w:rsidRPr="0032536A">
              <w:rPr>
                <w:rFonts w:ascii="Times New Roman" w:eastAsia="Times New Roman" w:hAnsi="Times New Roman" w:cs="Times New Roman"/>
                <w:color w:val="auto"/>
              </w:rPr>
              <w:t xml:space="preserve"> </w:t>
            </w:r>
          </w:p>
        </w:tc>
        <w:tc>
          <w:tcPr>
            <w:tcW w:w="2054" w:type="dxa"/>
          </w:tcPr>
          <w:p w14:paraId="28CA99A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Gajnice 31, 10090 Zagreb </w:t>
            </w:r>
          </w:p>
        </w:tc>
        <w:tc>
          <w:tcPr>
            <w:tcW w:w="1541" w:type="dxa"/>
          </w:tcPr>
          <w:p w14:paraId="7F760F2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110</w:t>
            </w:r>
          </w:p>
        </w:tc>
        <w:tc>
          <w:tcPr>
            <w:tcW w:w="1483" w:type="dxa"/>
          </w:tcPr>
          <w:p w14:paraId="6F3164A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300</w:t>
            </w:r>
          </w:p>
        </w:tc>
        <w:tc>
          <w:tcPr>
            <w:tcW w:w="1255" w:type="dxa"/>
          </w:tcPr>
          <w:p w14:paraId="54EF27C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1969.</w:t>
            </w:r>
          </w:p>
        </w:tc>
      </w:tr>
      <w:tr w:rsidR="00CE628C" w:rsidRPr="004750F4" w14:paraId="4FF22DE1" w14:textId="77777777" w:rsidTr="0025690A">
        <w:tblPrEx>
          <w:tblCellMar>
            <w:top w:w="5" w:type="dxa"/>
          </w:tblCellMar>
        </w:tblPrEx>
        <w:trPr>
          <w:cantSplit/>
        </w:trPr>
        <w:tc>
          <w:tcPr>
            <w:tcW w:w="685" w:type="dxa"/>
          </w:tcPr>
          <w:p w14:paraId="1BA74F6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7.</w:t>
            </w:r>
          </w:p>
        </w:tc>
        <w:tc>
          <w:tcPr>
            <w:tcW w:w="2054" w:type="dxa"/>
          </w:tcPr>
          <w:p w14:paraId="7C9DF98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MATE LOVRAKA </w:t>
            </w:r>
          </w:p>
        </w:tc>
        <w:tc>
          <w:tcPr>
            <w:tcW w:w="2054" w:type="dxa"/>
          </w:tcPr>
          <w:p w14:paraId="537BC64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Aleja Blaža Jurišića 13, 10 040 Zagreb </w:t>
            </w:r>
          </w:p>
        </w:tc>
        <w:tc>
          <w:tcPr>
            <w:tcW w:w="1541" w:type="dxa"/>
          </w:tcPr>
          <w:p w14:paraId="4E7372C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970</w:t>
            </w:r>
          </w:p>
        </w:tc>
        <w:tc>
          <w:tcPr>
            <w:tcW w:w="1483" w:type="dxa"/>
          </w:tcPr>
          <w:p w14:paraId="3E07315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700</w:t>
            </w:r>
          </w:p>
        </w:tc>
        <w:tc>
          <w:tcPr>
            <w:tcW w:w="1255" w:type="dxa"/>
          </w:tcPr>
          <w:p w14:paraId="34FC591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1974.</w:t>
            </w:r>
          </w:p>
        </w:tc>
      </w:tr>
      <w:tr w:rsidR="00CE628C" w:rsidRPr="004750F4" w14:paraId="245943DA" w14:textId="77777777" w:rsidTr="00AC32CB">
        <w:tblPrEx>
          <w:tblCellMar>
            <w:top w:w="5" w:type="dxa"/>
          </w:tblCellMar>
        </w:tblPrEx>
        <w:trPr>
          <w:cantSplit/>
        </w:trPr>
        <w:tc>
          <w:tcPr>
            <w:tcW w:w="685" w:type="dxa"/>
          </w:tcPr>
          <w:p w14:paraId="18D6F3D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8.</w:t>
            </w:r>
          </w:p>
        </w:tc>
        <w:tc>
          <w:tcPr>
            <w:tcW w:w="2054" w:type="dxa"/>
            <w:shd w:val="clear" w:color="auto" w:fill="D9D9D9" w:themeFill="background1" w:themeFillShade="D9"/>
          </w:tcPr>
          <w:p w14:paraId="09567168" w14:textId="77777777" w:rsidR="003F7A56" w:rsidRPr="00804F9A" w:rsidRDefault="00900184" w:rsidP="00CE628C">
            <w:pPr>
              <w:spacing w:after="0" w:line="240" w:lineRule="auto"/>
              <w:ind w:left="0" w:right="0" w:firstLine="0"/>
              <w:jc w:val="left"/>
              <w:rPr>
                <w:rFonts w:ascii="Times New Roman" w:hAnsi="Times New Roman" w:cs="Times New Roman"/>
                <w:color w:val="auto"/>
              </w:rPr>
            </w:pPr>
            <w:r w:rsidRPr="00804F9A">
              <w:rPr>
                <w:rFonts w:ascii="Times New Roman" w:eastAsia="Times New Roman" w:hAnsi="Times New Roman" w:cs="Times New Roman"/>
                <w:color w:val="auto"/>
              </w:rPr>
              <w:t xml:space="preserve">OŠ VUGROVEC </w:t>
            </w:r>
            <w:r w:rsidR="00D20688" w:rsidRPr="00804F9A">
              <w:rPr>
                <w:rFonts w:ascii="Times New Roman" w:eastAsia="Times New Roman" w:hAnsi="Times New Roman" w:cs="Times New Roman"/>
                <w:color w:val="auto"/>
              </w:rPr>
              <w:t xml:space="preserve">- </w:t>
            </w:r>
            <w:r w:rsidRPr="00804F9A">
              <w:rPr>
                <w:rFonts w:ascii="Times New Roman" w:eastAsia="Times New Roman" w:hAnsi="Times New Roman" w:cs="Times New Roman"/>
                <w:color w:val="auto"/>
              </w:rPr>
              <w:t>KAŠINA</w:t>
            </w:r>
            <w:r w:rsidR="00E40AC8" w:rsidRPr="00804F9A">
              <w:rPr>
                <w:rFonts w:ascii="Times New Roman" w:eastAsia="Times New Roman" w:hAnsi="Times New Roman" w:cs="Times New Roman"/>
                <w:color w:val="auto"/>
              </w:rPr>
              <w:t xml:space="preserve"> </w:t>
            </w:r>
          </w:p>
        </w:tc>
        <w:tc>
          <w:tcPr>
            <w:tcW w:w="2054" w:type="dxa"/>
            <w:shd w:val="clear" w:color="auto" w:fill="D9D9D9" w:themeFill="background1" w:themeFillShade="D9"/>
          </w:tcPr>
          <w:p w14:paraId="54494985" w14:textId="77777777" w:rsidR="003F7A56" w:rsidRPr="00804F9A" w:rsidRDefault="00D20688" w:rsidP="00CE628C">
            <w:pPr>
              <w:spacing w:after="0" w:line="240" w:lineRule="auto"/>
              <w:ind w:left="0" w:right="0" w:firstLine="0"/>
              <w:jc w:val="left"/>
              <w:rPr>
                <w:rFonts w:ascii="Times New Roman" w:hAnsi="Times New Roman" w:cs="Times New Roman"/>
                <w:color w:val="auto"/>
              </w:rPr>
            </w:pPr>
            <w:r w:rsidRPr="00804F9A">
              <w:rPr>
                <w:rFonts w:ascii="Times New Roman" w:hAnsi="Times New Roman" w:cs="Times New Roman"/>
                <w:color w:val="auto"/>
              </w:rPr>
              <w:t xml:space="preserve">Ul. </w:t>
            </w:r>
            <w:r w:rsidR="00900184" w:rsidRPr="00804F9A">
              <w:rPr>
                <w:rFonts w:ascii="Times New Roman" w:eastAsia="Times New Roman" w:hAnsi="Times New Roman" w:cs="Times New Roman"/>
                <w:color w:val="auto"/>
              </w:rPr>
              <w:t>Ivana Mažuranića</w:t>
            </w:r>
            <w:r w:rsidR="00CE628C" w:rsidRPr="00804F9A">
              <w:rPr>
                <w:rFonts w:ascii="Times New Roman" w:eastAsia="Times New Roman" w:hAnsi="Times New Roman" w:cs="Times New Roman"/>
                <w:color w:val="auto"/>
              </w:rPr>
              <w:t xml:space="preserve"> </w:t>
            </w:r>
            <w:r w:rsidR="00900184" w:rsidRPr="00804F9A">
              <w:rPr>
                <w:rFonts w:ascii="Times New Roman" w:eastAsia="Times New Roman" w:hAnsi="Times New Roman" w:cs="Times New Roman"/>
                <w:color w:val="auto"/>
              </w:rPr>
              <w:t xml:space="preserve">43, 10362 Kašina </w:t>
            </w:r>
          </w:p>
        </w:tc>
        <w:tc>
          <w:tcPr>
            <w:tcW w:w="1541" w:type="dxa"/>
            <w:shd w:val="clear" w:color="auto" w:fill="D9D9D9" w:themeFill="background1" w:themeFillShade="D9"/>
          </w:tcPr>
          <w:p w14:paraId="1A9649A3" w14:textId="77777777" w:rsidR="003F7A56" w:rsidRPr="00804F9A" w:rsidRDefault="00900184" w:rsidP="00CE628C">
            <w:pPr>
              <w:spacing w:after="0" w:line="240" w:lineRule="auto"/>
              <w:ind w:left="0" w:right="0" w:firstLine="0"/>
              <w:jc w:val="center"/>
              <w:rPr>
                <w:rFonts w:ascii="Times New Roman" w:hAnsi="Times New Roman" w:cs="Times New Roman"/>
                <w:color w:val="auto"/>
              </w:rPr>
            </w:pPr>
            <w:r w:rsidRPr="00804F9A">
              <w:rPr>
                <w:rFonts w:ascii="Times New Roman" w:eastAsia="Times New Roman" w:hAnsi="Times New Roman" w:cs="Times New Roman"/>
                <w:color w:val="auto"/>
              </w:rPr>
              <w:t>130</w:t>
            </w:r>
          </w:p>
        </w:tc>
        <w:tc>
          <w:tcPr>
            <w:tcW w:w="1483" w:type="dxa"/>
            <w:shd w:val="clear" w:color="auto" w:fill="D9D9D9" w:themeFill="background1" w:themeFillShade="D9"/>
          </w:tcPr>
          <w:p w14:paraId="1293AF49" w14:textId="77777777" w:rsidR="003F7A56" w:rsidRPr="00804F9A" w:rsidRDefault="00900184" w:rsidP="00CE628C">
            <w:pPr>
              <w:spacing w:after="0" w:line="240" w:lineRule="auto"/>
              <w:ind w:left="0" w:right="0" w:firstLine="0"/>
              <w:jc w:val="center"/>
              <w:rPr>
                <w:rFonts w:ascii="Times New Roman" w:hAnsi="Times New Roman" w:cs="Times New Roman"/>
                <w:color w:val="auto"/>
              </w:rPr>
            </w:pPr>
            <w:r w:rsidRPr="00804F9A">
              <w:rPr>
                <w:rFonts w:ascii="Times New Roman" w:eastAsia="Times New Roman" w:hAnsi="Times New Roman" w:cs="Times New Roman"/>
                <w:color w:val="auto"/>
              </w:rPr>
              <w:t>70</w:t>
            </w:r>
          </w:p>
        </w:tc>
        <w:tc>
          <w:tcPr>
            <w:tcW w:w="1255" w:type="dxa"/>
            <w:shd w:val="clear" w:color="auto" w:fill="D9D9D9" w:themeFill="background1" w:themeFillShade="D9"/>
          </w:tcPr>
          <w:p w14:paraId="46B8386B" w14:textId="77777777" w:rsidR="003F7A56" w:rsidRPr="00804F9A" w:rsidRDefault="00900184" w:rsidP="00CE628C">
            <w:pPr>
              <w:spacing w:after="0" w:line="240" w:lineRule="auto"/>
              <w:ind w:left="0" w:right="0" w:firstLine="0"/>
              <w:jc w:val="center"/>
              <w:rPr>
                <w:rFonts w:ascii="Times New Roman" w:hAnsi="Times New Roman" w:cs="Times New Roman"/>
                <w:color w:val="auto"/>
              </w:rPr>
            </w:pPr>
            <w:r w:rsidRPr="00804F9A">
              <w:rPr>
                <w:rFonts w:ascii="Times New Roman" w:eastAsia="Times New Roman" w:hAnsi="Times New Roman" w:cs="Times New Roman"/>
                <w:color w:val="auto"/>
              </w:rPr>
              <w:t>1958.</w:t>
            </w:r>
          </w:p>
        </w:tc>
      </w:tr>
      <w:tr w:rsidR="00CE628C" w:rsidRPr="004750F4" w14:paraId="24D890F5" w14:textId="77777777" w:rsidTr="00AC32CB">
        <w:tblPrEx>
          <w:tblCellMar>
            <w:top w:w="5" w:type="dxa"/>
          </w:tblCellMar>
        </w:tblPrEx>
        <w:trPr>
          <w:cantSplit/>
        </w:trPr>
        <w:tc>
          <w:tcPr>
            <w:tcW w:w="685" w:type="dxa"/>
          </w:tcPr>
          <w:p w14:paraId="0F8CDA0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9.</w:t>
            </w:r>
          </w:p>
        </w:tc>
        <w:tc>
          <w:tcPr>
            <w:tcW w:w="2054" w:type="dxa"/>
            <w:shd w:val="clear" w:color="auto" w:fill="F2F2F2" w:themeFill="background1" w:themeFillShade="F2"/>
          </w:tcPr>
          <w:p w14:paraId="29947A6F" w14:textId="77777777" w:rsidR="003F7A56" w:rsidRPr="00804F9A" w:rsidRDefault="00900184" w:rsidP="00CE628C">
            <w:pPr>
              <w:spacing w:after="0" w:line="240" w:lineRule="auto"/>
              <w:ind w:left="0" w:right="0" w:firstLine="0"/>
              <w:jc w:val="left"/>
              <w:rPr>
                <w:rFonts w:ascii="Times New Roman" w:hAnsi="Times New Roman" w:cs="Times New Roman"/>
                <w:color w:val="auto"/>
              </w:rPr>
            </w:pPr>
            <w:r w:rsidRPr="00804F9A">
              <w:rPr>
                <w:rFonts w:ascii="Times New Roman" w:eastAsia="Times New Roman" w:hAnsi="Times New Roman" w:cs="Times New Roman"/>
                <w:color w:val="auto"/>
              </w:rPr>
              <w:t>PŠ Vugrovec</w:t>
            </w:r>
            <w:r w:rsidR="00E40AC8" w:rsidRPr="00804F9A">
              <w:rPr>
                <w:rFonts w:ascii="Times New Roman" w:eastAsia="Times New Roman" w:hAnsi="Times New Roman" w:cs="Times New Roman"/>
                <w:color w:val="auto"/>
              </w:rPr>
              <w:t xml:space="preserve"> </w:t>
            </w:r>
          </w:p>
        </w:tc>
        <w:tc>
          <w:tcPr>
            <w:tcW w:w="2054" w:type="dxa"/>
            <w:shd w:val="clear" w:color="auto" w:fill="F2F2F2" w:themeFill="background1" w:themeFillShade="F2"/>
          </w:tcPr>
          <w:p w14:paraId="4029C9E5" w14:textId="77777777" w:rsidR="003F7A56" w:rsidRPr="00804F9A" w:rsidRDefault="00D20688" w:rsidP="00CE628C">
            <w:pPr>
              <w:spacing w:after="0" w:line="240" w:lineRule="auto"/>
              <w:ind w:left="0" w:right="0" w:firstLine="0"/>
              <w:jc w:val="left"/>
              <w:rPr>
                <w:rFonts w:ascii="Times New Roman" w:hAnsi="Times New Roman" w:cs="Times New Roman"/>
                <w:color w:val="auto"/>
              </w:rPr>
            </w:pPr>
            <w:r w:rsidRPr="00804F9A">
              <w:rPr>
                <w:rFonts w:ascii="Times New Roman" w:hAnsi="Times New Roman" w:cs="Times New Roman"/>
                <w:color w:val="auto"/>
              </w:rPr>
              <w:t xml:space="preserve">Ul. </w:t>
            </w:r>
            <w:r w:rsidR="00900184" w:rsidRPr="00804F9A">
              <w:rPr>
                <w:rFonts w:ascii="Times New Roman" w:eastAsia="Times New Roman" w:hAnsi="Times New Roman" w:cs="Times New Roman"/>
                <w:color w:val="auto"/>
              </w:rPr>
              <w:t>Augusta Šenoe 28,</w:t>
            </w:r>
            <w:r w:rsidR="00CE628C" w:rsidRPr="00804F9A">
              <w:rPr>
                <w:rFonts w:ascii="Times New Roman" w:eastAsia="Times New Roman" w:hAnsi="Times New Roman" w:cs="Times New Roman"/>
                <w:color w:val="auto"/>
              </w:rPr>
              <w:t xml:space="preserve"> </w:t>
            </w:r>
            <w:r w:rsidR="00900184" w:rsidRPr="00804F9A">
              <w:rPr>
                <w:rFonts w:ascii="Times New Roman" w:eastAsia="Times New Roman" w:hAnsi="Times New Roman" w:cs="Times New Roman"/>
                <w:color w:val="auto"/>
              </w:rPr>
              <w:t>Vugrovec Donji,</w:t>
            </w:r>
            <w:r w:rsidR="00CE628C" w:rsidRPr="00804F9A">
              <w:rPr>
                <w:rFonts w:ascii="Times New Roman" w:eastAsia="Times New Roman" w:hAnsi="Times New Roman" w:cs="Times New Roman"/>
                <w:color w:val="auto"/>
              </w:rPr>
              <w:t xml:space="preserve"> </w:t>
            </w:r>
            <w:r w:rsidR="00900184" w:rsidRPr="00804F9A">
              <w:rPr>
                <w:rFonts w:ascii="Times New Roman" w:eastAsia="Times New Roman" w:hAnsi="Times New Roman" w:cs="Times New Roman"/>
                <w:color w:val="auto"/>
              </w:rPr>
              <w:t xml:space="preserve">10360 Sesvete </w:t>
            </w:r>
          </w:p>
        </w:tc>
        <w:tc>
          <w:tcPr>
            <w:tcW w:w="1541" w:type="dxa"/>
            <w:shd w:val="clear" w:color="auto" w:fill="F2F2F2" w:themeFill="background1" w:themeFillShade="F2"/>
          </w:tcPr>
          <w:p w14:paraId="1E331A4E" w14:textId="77777777" w:rsidR="003F7A56" w:rsidRPr="00804F9A" w:rsidRDefault="00900184" w:rsidP="00CE628C">
            <w:pPr>
              <w:spacing w:after="0" w:line="240" w:lineRule="auto"/>
              <w:ind w:left="0" w:right="0" w:firstLine="0"/>
              <w:jc w:val="center"/>
              <w:rPr>
                <w:rFonts w:ascii="Times New Roman" w:hAnsi="Times New Roman" w:cs="Times New Roman"/>
                <w:color w:val="auto"/>
              </w:rPr>
            </w:pPr>
            <w:r w:rsidRPr="00804F9A">
              <w:rPr>
                <w:rFonts w:ascii="Times New Roman" w:eastAsia="Times New Roman" w:hAnsi="Times New Roman" w:cs="Times New Roman"/>
                <w:color w:val="auto"/>
              </w:rPr>
              <w:t>180</w:t>
            </w:r>
          </w:p>
        </w:tc>
        <w:tc>
          <w:tcPr>
            <w:tcW w:w="1483" w:type="dxa"/>
            <w:shd w:val="clear" w:color="auto" w:fill="F2F2F2" w:themeFill="background1" w:themeFillShade="F2"/>
          </w:tcPr>
          <w:p w14:paraId="2984DA16" w14:textId="77777777" w:rsidR="003F7A56" w:rsidRPr="00804F9A" w:rsidRDefault="00900184" w:rsidP="00CE628C">
            <w:pPr>
              <w:spacing w:after="0" w:line="240" w:lineRule="auto"/>
              <w:ind w:left="0" w:right="0" w:firstLine="0"/>
              <w:jc w:val="center"/>
              <w:rPr>
                <w:rFonts w:ascii="Times New Roman" w:hAnsi="Times New Roman" w:cs="Times New Roman"/>
                <w:color w:val="auto"/>
              </w:rPr>
            </w:pPr>
            <w:r w:rsidRPr="00804F9A">
              <w:rPr>
                <w:rFonts w:ascii="Times New Roman" w:eastAsia="Times New Roman" w:hAnsi="Times New Roman" w:cs="Times New Roman"/>
                <w:color w:val="auto"/>
              </w:rPr>
              <w:t>105</w:t>
            </w:r>
          </w:p>
        </w:tc>
        <w:tc>
          <w:tcPr>
            <w:tcW w:w="1255" w:type="dxa"/>
            <w:shd w:val="clear" w:color="auto" w:fill="F2F2F2" w:themeFill="background1" w:themeFillShade="F2"/>
          </w:tcPr>
          <w:p w14:paraId="68AF36DC" w14:textId="77777777" w:rsidR="003F7A56" w:rsidRPr="00804F9A" w:rsidRDefault="00900184" w:rsidP="00CE628C">
            <w:pPr>
              <w:spacing w:after="0" w:line="240" w:lineRule="auto"/>
              <w:ind w:left="0" w:right="0" w:firstLine="0"/>
              <w:jc w:val="center"/>
              <w:rPr>
                <w:rFonts w:ascii="Times New Roman" w:hAnsi="Times New Roman" w:cs="Times New Roman"/>
                <w:color w:val="auto"/>
              </w:rPr>
            </w:pPr>
            <w:r w:rsidRPr="00804F9A">
              <w:rPr>
                <w:rFonts w:ascii="Times New Roman" w:eastAsia="Times New Roman" w:hAnsi="Times New Roman" w:cs="Times New Roman"/>
                <w:color w:val="auto"/>
              </w:rPr>
              <w:t>1962.</w:t>
            </w:r>
          </w:p>
        </w:tc>
      </w:tr>
      <w:tr w:rsidR="00CE628C" w:rsidRPr="004750F4" w14:paraId="2ACEC257" w14:textId="77777777" w:rsidTr="00AC32CB">
        <w:tblPrEx>
          <w:tblCellMar>
            <w:top w:w="5" w:type="dxa"/>
          </w:tblCellMar>
        </w:tblPrEx>
        <w:trPr>
          <w:cantSplit/>
        </w:trPr>
        <w:tc>
          <w:tcPr>
            <w:tcW w:w="685" w:type="dxa"/>
          </w:tcPr>
          <w:p w14:paraId="233DC43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10.</w:t>
            </w:r>
          </w:p>
        </w:tc>
        <w:tc>
          <w:tcPr>
            <w:tcW w:w="2054" w:type="dxa"/>
            <w:shd w:val="clear" w:color="auto" w:fill="F2F2F2" w:themeFill="background1" w:themeFillShade="F2"/>
          </w:tcPr>
          <w:p w14:paraId="139D818C" w14:textId="77777777" w:rsidR="003F7A56" w:rsidRPr="00804F9A" w:rsidRDefault="00900184" w:rsidP="00CE628C">
            <w:pPr>
              <w:spacing w:after="0" w:line="240" w:lineRule="auto"/>
              <w:ind w:left="0" w:right="0" w:firstLine="0"/>
              <w:jc w:val="left"/>
              <w:rPr>
                <w:rFonts w:ascii="Times New Roman" w:hAnsi="Times New Roman" w:cs="Times New Roman"/>
                <w:color w:val="auto"/>
              </w:rPr>
            </w:pPr>
            <w:r w:rsidRPr="00804F9A">
              <w:rPr>
                <w:rFonts w:ascii="Times New Roman" w:eastAsia="Times New Roman" w:hAnsi="Times New Roman" w:cs="Times New Roman"/>
                <w:color w:val="auto"/>
              </w:rPr>
              <w:t>PŠ Prekvršje</w:t>
            </w:r>
            <w:r w:rsidR="00E40AC8" w:rsidRPr="00804F9A">
              <w:rPr>
                <w:rFonts w:ascii="Times New Roman" w:eastAsia="Times New Roman" w:hAnsi="Times New Roman" w:cs="Times New Roman"/>
                <w:color w:val="auto"/>
              </w:rPr>
              <w:t xml:space="preserve"> </w:t>
            </w:r>
          </w:p>
        </w:tc>
        <w:tc>
          <w:tcPr>
            <w:tcW w:w="2054" w:type="dxa"/>
            <w:shd w:val="clear" w:color="auto" w:fill="F2F2F2" w:themeFill="background1" w:themeFillShade="F2"/>
          </w:tcPr>
          <w:p w14:paraId="1C7F8C3D" w14:textId="77777777" w:rsidR="003F7A56" w:rsidRPr="00804F9A" w:rsidRDefault="00900184" w:rsidP="00CE628C">
            <w:pPr>
              <w:spacing w:after="0" w:line="240" w:lineRule="auto"/>
              <w:ind w:left="0" w:right="0" w:firstLine="0"/>
              <w:jc w:val="left"/>
              <w:rPr>
                <w:rFonts w:ascii="Times New Roman" w:hAnsi="Times New Roman" w:cs="Times New Roman"/>
                <w:color w:val="auto"/>
              </w:rPr>
            </w:pPr>
            <w:r w:rsidRPr="00804F9A">
              <w:rPr>
                <w:rFonts w:ascii="Times New Roman" w:eastAsia="Times New Roman" w:hAnsi="Times New Roman" w:cs="Times New Roman"/>
                <w:color w:val="auto"/>
              </w:rPr>
              <w:t>Prigorska 59,</w:t>
            </w:r>
            <w:r w:rsidR="00CE628C" w:rsidRPr="00804F9A">
              <w:rPr>
                <w:rFonts w:ascii="Times New Roman" w:eastAsia="Times New Roman" w:hAnsi="Times New Roman" w:cs="Times New Roman"/>
                <w:color w:val="auto"/>
              </w:rPr>
              <w:t xml:space="preserve"> </w:t>
            </w:r>
            <w:r w:rsidRPr="00804F9A">
              <w:rPr>
                <w:rFonts w:ascii="Times New Roman" w:eastAsia="Times New Roman" w:hAnsi="Times New Roman" w:cs="Times New Roman"/>
                <w:color w:val="auto"/>
              </w:rPr>
              <w:t xml:space="preserve">Prekvršje, 10362 Kašina </w:t>
            </w:r>
          </w:p>
        </w:tc>
        <w:tc>
          <w:tcPr>
            <w:tcW w:w="1541" w:type="dxa"/>
            <w:shd w:val="clear" w:color="auto" w:fill="F2F2F2" w:themeFill="background1" w:themeFillShade="F2"/>
          </w:tcPr>
          <w:p w14:paraId="6433B25C" w14:textId="77777777" w:rsidR="003F7A56" w:rsidRPr="00804F9A" w:rsidRDefault="00900184" w:rsidP="00CE628C">
            <w:pPr>
              <w:spacing w:after="0" w:line="240" w:lineRule="auto"/>
              <w:ind w:left="0" w:right="0" w:firstLine="0"/>
              <w:jc w:val="center"/>
              <w:rPr>
                <w:rFonts w:ascii="Times New Roman" w:hAnsi="Times New Roman" w:cs="Times New Roman"/>
                <w:color w:val="auto"/>
              </w:rPr>
            </w:pPr>
            <w:r w:rsidRPr="00804F9A">
              <w:rPr>
                <w:rFonts w:ascii="Times New Roman" w:eastAsia="Times New Roman" w:hAnsi="Times New Roman" w:cs="Times New Roman"/>
                <w:color w:val="auto"/>
              </w:rPr>
              <w:t>50</w:t>
            </w:r>
          </w:p>
        </w:tc>
        <w:tc>
          <w:tcPr>
            <w:tcW w:w="1483" w:type="dxa"/>
            <w:shd w:val="clear" w:color="auto" w:fill="F2F2F2" w:themeFill="background1" w:themeFillShade="F2"/>
          </w:tcPr>
          <w:p w14:paraId="2E4E6816" w14:textId="77777777" w:rsidR="003F7A56" w:rsidRPr="00804F9A" w:rsidRDefault="00900184" w:rsidP="00CE628C">
            <w:pPr>
              <w:spacing w:after="0" w:line="240" w:lineRule="auto"/>
              <w:ind w:left="0" w:right="0" w:firstLine="0"/>
              <w:jc w:val="center"/>
              <w:rPr>
                <w:rFonts w:ascii="Times New Roman" w:hAnsi="Times New Roman" w:cs="Times New Roman"/>
                <w:color w:val="auto"/>
              </w:rPr>
            </w:pPr>
            <w:r w:rsidRPr="00804F9A">
              <w:rPr>
                <w:rFonts w:ascii="Times New Roman" w:eastAsia="Times New Roman" w:hAnsi="Times New Roman" w:cs="Times New Roman"/>
                <w:color w:val="auto"/>
              </w:rPr>
              <w:t>50</w:t>
            </w:r>
          </w:p>
        </w:tc>
        <w:tc>
          <w:tcPr>
            <w:tcW w:w="1255" w:type="dxa"/>
            <w:shd w:val="clear" w:color="auto" w:fill="F2F2F2" w:themeFill="background1" w:themeFillShade="F2"/>
          </w:tcPr>
          <w:p w14:paraId="10FBE6B7" w14:textId="77777777" w:rsidR="003F7A56" w:rsidRPr="00804F9A" w:rsidRDefault="00900184" w:rsidP="00CE628C">
            <w:pPr>
              <w:spacing w:after="0" w:line="240" w:lineRule="auto"/>
              <w:ind w:left="0" w:right="0" w:firstLine="0"/>
              <w:jc w:val="center"/>
              <w:rPr>
                <w:rFonts w:ascii="Times New Roman" w:hAnsi="Times New Roman" w:cs="Times New Roman"/>
                <w:color w:val="auto"/>
              </w:rPr>
            </w:pPr>
            <w:r w:rsidRPr="00804F9A">
              <w:rPr>
                <w:rFonts w:ascii="Times New Roman" w:eastAsia="Times New Roman" w:hAnsi="Times New Roman" w:cs="Times New Roman"/>
                <w:color w:val="auto"/>
              </w:rPr>
              <w:t>2000.</w:t>
            </w:r>
          </w:p>
        </w:tc>
      </w:tr>
      <w:tr w:rsidR="00CE628C" w:rsidRPr="004750F4" w14:paraId="203020C2" w14:textId="77777777" w:rsidTr="00AC32CB">
        <w:tblPrEx>
          <w:tblCellMar>
            <w:top w:w="5" w:type="dxa"/>
          </w:tblCellMar>
        </w:tblPrEx>
        <w:trPr>
          <w:cantSplit/>
        </w:trPr>
        <w:tc>
          <w:tcPr>
            <w:tcW w:w="685" w:type="dxa"/>
          </w:tcPr>
          <w:p w14:paraId="59023E7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11.</w:t>
            </w:r>
          </w:p>
        </w:tc>
        <w:tc>
          <w:tcPr>
            <w:tcW w:w="2054" w:type="dxa"/>
            <w:shd w:val="clear" w:color="auto" w:fill="F2F2F2" w:themeFill="background1" w:themeFillShade="F2"/>
          </w:tcPr>
          <w:p w14:paraId="4624857F" w14:textId="77777777" w:rsidR="003F7A56" w:rsidRPr="00804F9A" w:rsidRDefault="00900184" w:rsidP="00CE628C">
            <w:pPr>
              <w:spacing w:after="0" w:line="240" w:lineRule="auto"/>
              <w:ind w:left="0" w:right="0" w:firstLine="0"/>
              <w:jc w:val="left"/>
              <w:rPr>
                <w:rFonts w:ascii="Times New Roman" w:hAnsi="Times New Roman" w:cs="Times New Roman"/>
                <w:color w:val="auto"/>
              </w:rPr>
            </w:pPr>
            <w:r w:rsidRPr="00804F9A">
              <w:rPr>
                <w:rFonts w:ascii="Times New Roman" w:eastAsia="Times New Roman" w:hAnsi="Times New Roman" w:cs="Times New Roman"/>
                <w:color w:val="auto"/>
              </w:rPr>
              <w:t xml:space="preserve">PŠ Planina Donja </w:t>
            </w:r>
          </w:p>
        </w:tc>
        <w:tc>
          <w:tcPr>
            <w:tcW w:w="2054" w:type="dxa"/>
            <w:shd w:val="clear" w:color="auto" w:fill="F2F2F2" w:themeFill="background1" w:themeFillShade="F2"/>
          </w:tcPr>
          <w:p w14:paraId="0222408B" w14:textId="77777777" w:rsidR="003F7A56" w:rsidRPr="00804F9A" w:rsidRDefault="00900184" w:rsidP="00CE628C">
            <w:pPr>
              <w:spacing w:after="0" w:line="240" w:lineRule="auto"/>
              <w:ind w:left="0" w:right="0" w:firstLine="0"/>
              <w:jc w:val="left"/>
              <w:rPr>
                <w:rFonts w:ascii="Times New Roman" w:hAnsi="Times New Roman" w:cs="Times New Roman"/>
                <w:color w:val="auto"/>
              </w:rPr>
            </w:pPr>
            <w:r w:rsidRPr="00804F9A">
              <w:rPr>
                <w:rFonts w:ascii="Times New Roman" w:eastAsia="Times New Roman" w:hAnsi="Times New Roman" w:cs="Times New Roman"/>
                <w:color w:val="auto"/>
              </w:rPr>
              <w:t>Ulica 9. maja 4.</w:t>
            </w:r>
            <w:r w:rsidR="00CE628C" w:rsidRPr="00804F9A">
              <w:rPr>
                <w:rFonts w:ascii="Times New Roman" w:eastAsia="Times New Roman" w:hAnsi="Times New Roman" w:cs="Times New Roman"/>
                <w:color w:val="auto"/>
              </w:rPr>
              <w:t xml:space="preserve"> </w:t>
            </w:r>
            <w:r w:rsidRPr="00804F9A">
              <w:rPr>
                <w:rFonts w:ascii="Times New Roman" w:eastAsia="Times New Roman" w:hAnsi="Times New Roman" w:cs="Times New Roman"/>
                <w:color w:val="auto"/>
              </w:rPr>
              <w:t>Planina Donja,</w:t>
            </w:r>
            <w:r w:rsidR="00CE628C" w:rsidRPr="00804F9A">
              <w:rPr>
                <w:rFonts w:ascii="Times New Roman" w:eastAsia="Times New Roman" w:hAnsi="Times New Roman" w:cs="Times New Roman"/>
                <w:color w:val="auto"/>
              </w:rPr>
              <w:t xml:space="preserve"> </w:t>
            </w:r>
            <w:r w:rsidRPr="00804F9A">
              <w:rPr>
                <w:rFonts w:ascii="Times New Roman" w:eastAsia="Times New Roman" w:hAnsi="Times New Roman" w:cs="Times New Roman"/>
                <w:color w:val="auto"/>
              </w:rPr>
              <w:t xml:space="preserve">10362 Kašina </w:t>
            </w:r>
          </w:p>
        </w:tc>
        <w:tc>
          <w:tcPr>
            <w:tcW w:w="1541" w:type="dxa"/>
            <w:shd w:val="clear" w:color="auto" w:fill="F2F2F2" w:themeFill="background1" w:themeFillShade="F2"/>
          </w:tcPr>
          <w:p w14:paraId="7712BB15" w14:textId="77777777" w:rsidR="003F7A56" w:rsidRPr="00804F9A" w:rsidRDefault="00900184" w:rsidP="00CE628C">
            <w:pPr>
              <w:spacing w:after="0" w:line="240" w:lineRule="auto"/>
              <w:ind w:left="0" w:right="0" w:firstLine="0"/>
              <w:jc w:val="center"/>
              <w:rPr>
                <w:rFonts w:ascii="Times New Roman" w:hAnsi="Times New Roman" w:cs="Times New Roman"/>
                <w:color w:val="auto"/>
              </w:rPr>
            </w:pPr>
            <w:r w:rsidRPr="00804F9A">
              <w:rPr>
                <w:rFonts w:ascii="Times New Roman" w:eastAsia="Times New Roman" w:hAnsi="Times New Roman" w:cs="Times New Roman"/>
                <w:color w:val="auto"/>
              </w:rPr>
              <w:t>30</w:t>
            </w:r>
          </w:p>
        </w:tc>
        <w:tc>
          <w:tcPr>
            <w:tcW w:w="1483" w:type="dxa"/>
            <w:shd w:val="clear" w:color="auto" w:fill="F2F2F2" w:themeFill="background1" w:themeFillShade="F2"/>
          </w:tcPr>
          <w:p w14:paraId="24A00361" w14:textId="77777777" w:rsidR="003F7A56" w:rsidRPr="00804F9A" w:rsidRDefault="00900184" w:rsidP="00CE628C">
            <w:pPr>
              <w:spacing w:after="0" w:line="240" w:lineRule="auto"/>
              <w:ind w:left="0" w:right="0" w:firstLine="0"/>
              <w:jc w:val="center"/>
              <w:rPr>
                <w:rFonts w:ascii="Times New Roman" w:hAnsi="Times New Roman" w:cs="Times New Roman"/>
                <w:color w:val="auto"/>
              </w:rPr>
            </w:pPr>
            <w:r w:rsidRPr="00804F9A">
              <w:rPr>
                <w:rFonts w:ascii="Times New Roman" w:eastAsia="Times New Roman" w:hAnsi="Times New Roman" w:cs="Times New Roman"/>
                <w:color w:val="auto"/>
              </w:rPr>
              <w:t>30</w:t>
            </w:r>
          </w:p>
        </w:tc>
        <w:tc>
          <w:tcPr>
            <w:tcW w:w="1255" w:type="dxa"/>
            <w:shd w:val="clear" w:color="auto" w:fill="F2F2F2" w:themeFill="background1" w:themeFillShade="F2"/>
          </w:tcPr>
          <w:p w14:paraId="29AE5643" w14:textId="77777777" w:rsidR="003F7A56" w:rsidRPr="00804F9A" w:rsidRDefault="00900184" w:rsidP="00CE628C">
            <w:pPr>
              <w:spacing w:after="0" w:line="240" w:lineRule="auto"/>
              <w:ind w:left="0" w:right="0" w:firstLine="0"/>
              <w:jc w:val="center"/>
              <w:rPr>
                <w:rFonts w:ascii="Times New Roman" w:hAnsi="Times New Roman" w:cs="Times New Roman"/>
                <w:color w:val="auto"/>
              </w:rPr>
            </w:pPr>
            <w:r w:rsidRPr="00804F9A">
              <w:rPr>
                <w:rFonts w:ascii="Times New Roman" w:eastAsia="Times New Roman" w:hAnsi="Times New Roman" w:cs="Times New Roman"/>
                <w:color w:val="auto"/>
              </w:rPr>
              <w:t>1990.</w:t>
            </w:r>
          </w:p>
        </w:tc>
      </w:tr>
      <w:tr w:rsidR="00CE628C" w:rsidRPr="004750F4" w14:paraId="4889E640" w14:textId="77777777" w:rsidTr="0025690A">
        <w:tblPrEx>
          <w:tblCellMar>
            <w:top w:w="5" w:type="dxa"/>
          </w:tblCellMar>
        </w:tblPrEx>
        <w:trPr>
          <w:cantSplit/>
        </w:trPr>
        <w:tc>
          <w:tcPr>
            <w:tcW w:w="685" w:type="dxa"/>
          </w:tcPr>
          <w:p w14:paraId="716572D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12.</w:t>
            </w:r>
          </w:p>
        </w:tc>
        <w:tc>
          <w:tcPr>
            <w:tcW w:w="2054" w:type="dxa"/>
          </w:tcPr>
          <w:p w14:paraId="5BF37D11"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SESVETSKI KRALJEVEC </w:t>
            </w:r>
          </w:p>
        </w:tc>
        <w:tc>
          <w:tcPr>
            <w:tcW w:w="2054" w:type="dxa"/>
          </w:tcPr>
          <w:p w14:paraId="2711E2C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Školska 10,</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10361 Sesvetski</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Kraljevec</w:t>
            </w:r>
          </w:p>
        </w:tc>
        <w:tc>
          <w:tcPr>
            <w:tcW w:w="1541" w:type="dxa"/>
          </w:tcPr>
          <w:p w14:paraId="74367BF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420</w:t>
            </w:r>
          </w:p>
        </w:tc>
        <w:tc>
          <w:tcPr>
            <w:tcW w:w="1483" w:type="dxa"/>
          </w:tcPr>
          <w:p w14:paraId="693F3E2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350</w:t>
            </w:r>
          </w:p>
        </w:tc>
        <w:tc>
          <w:tcPr>
            <w:tcW w:w="1255" w:type="dxa"/>
          </w:tcPr>
          <w:p w14:paraId="3A401C4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1978.</w:t>
            </w:r>
          </w:p>
        </w:tc>
      </w:tr>
      <w:tr w:rsidR="00CE628C" w:rsidRPr="004750F4" w14:paraId="4D5F3B39" w14:textId="77777777" w:rsidTr="0025690A">
        <w:tblPrEx>
          <w:tblCellMar>
            <w:top w:w="5" w:type="dxa"/>
          </w:tblCellMar>
        </w:tblPrEx>
        <w:trPr>
          <w:cantSplit/>
        </w:trPr>
        <w:tc>
          <w:tcPr>
            <w:tcW w:w="685" w:type="dxa"/>
          </w:tcPr>
          <w:p w14:paraId="6D52F4E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13.</w:t>
            </w:r>
          </w:p>
        </w:tc>
        <w:tc>
          <w:tcPr>
            <w:tcW w:w="2054" w:type="dxa"/>
          </w:tcPr>
          <w:p w14:paraId="2289F89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OŠ IVANA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GORANA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KOVAČIĆA </w:t>
            </w:r>
          </w:p>
        </w:tc>
        <w:tc>
          <w:tcPr>
            <w:tcW w:w="2054" w:type="dxa"/>
          </w:tcPr>
          <w:p w14:paraId="22138FF4"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Ulica Matije</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Mesića 35 </w:t>
            </w:r>
          </w:p>
        </w:tc>
        <w:tc>
          <w:tcPr>
            <w:tcW w:w="1541" w:type="dxa"/>
          </w:tcPr>
          <w:p w14:paraId="6386533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1200</w:t>
            </w:r>
          </w:p>
        </w:tc>
        <w:tc>
          <w:tcPr>
            <w:tcW w:w="1483" w:type="dxa"/>
          </w:tcPr>
          <w:p w14:paraId="33333B1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400</w:t>
            </w:r>
          </w:p>
        </w:tc>
        <w:tc>
          <w:tcPr>
            <w:tcW w:w="1255" w:type="dxa"/>
          </w:tcPr>
          <w:p w14:paraId="4F6E166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1955.</w:t>
            </w:r>
          </w:p>
        </w:tc>
      </w:tr>
      <w:tr w:rsidR="00CE628C" w:rsidRPr="004750F4" w14:paraId="2D08C172" w14:textId="77777777" w:rsidTr="0025690A">
        <w:tblPrEx>
          <w:tblCellMar>
            <w:top w:w="5" w:type="dxa"/>
          </w:tblCellMar>
        </w:tblPrEx>
        <w:trPr>
          <w:cantSplit/>
        </w:trPr>
        <w:tc>
          <w:tcPr>
            <w:tcW w:w="685" w:type="dxa"/>
          </w:tcPr>
          <w:p w14:paraId="596FDB9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14.</w:t>
            </w:r>
          </w:p>
        </w:tc>
        <w:tc>
          <w:tcPr>
            <w:tcW w:w="2054" w:type="dxa"/>
          </w:tcPr>
          <w:p w14:paraId="334705B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MLADOST </w:t>
            </w:r>
          </w:p>
        </w:tc>
        <w:tc>
          <w:tcPr>
            <w:tcW w:w="2054" w:type="dxa"/>
          </w:tcPr>
          <w:p w14:paraId="46B24419"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Karamanov prilaz 3,</w:t>
            </w:r>
            <w:r w:rsidR="00E40AC8"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Zagreb </w:t>
            </w:r>
          </w:p>
        </w:tc>
        <w:tc>
          <w:tcPr>
            <w:tcW w:w="1541" w:type="dxa"/>
          </w:tcPr>
          <w:p w14:paraId="3FEB430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600</w:t>
            </w:r>
          </w:p>
        </w:tc>
        <w:tc>
          <w:tcPr>
            <w:tcW w:w="1483" w:type="dxa"/>
          </w:tcPr>
          <w:p w14:paraId="3F775C7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300</w:t>
            </w:r>
          </w:p>
        </w:tc>
        <w:tc>
          <w:tcPr>
            <w:tcW w:w="1255" w:type="dxa"/>
          </w:tcPr>
          <w:p w14:paraId="6123949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1970.</w:t>
            </w:r>
          </w:p>
        </w:tc>
      </w:tr>
      <w:tr w:rsidR="00CE628C" w:rsidRPr="004750F4" w14:paraId="17CFF6FA" w14:textId="77777777" w:rsidTr="0025690A">
        <w:tblPrEx>
          <w:tblCellMar>
            <w:top w:w="5" w:type="dxa"/>
          </w:tblCellMar>
        </w:tblPrEx>
        <w:trPr>
          <w:cantSplit/>
        </w:trPr>
        <w:tc>
          <w:tcPr>
            <w:tcW w:w="685" w:type="dxa"/>
          </w:tcPr>
          <w:p w14:paraId="43F202A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15.</w:t>
            </w:r>
          </w:p>
        </w:tc>
        <w:tc>
          <w:tcPr>
            <w:tcW w:w="2054" w:type="dxa"/>
          </w:tcPr>
          <w:p w14:paraId="365CFBD7"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JOSIPA RAČIĆA </w:t>
            </w:r>
          </w:p>
        </w:tc>
        <w:tc>
          <w:tcPr>
            <w:tcW w:w="2054" w:type="dxa"/>
          </w:tcPr>
          <w:p w14:paraId="283636E8"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Srednjaci 30 </w:t>
            </w:r>
          </w:p>
        </w:tc>
        <w:tc>
          <w:tcPr>
            <w:tcW w:w="1541" w:type="dxa"/>
          </w:tcPr>
          <w:p w14:paraId="42E526E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900</w:t>
            </w:r>
          </w:p>
        </w:tc>
        <w:tc>
          <w:tcPr>
            <w:tcW w:w="1483" w:type="dxa"/>
          </w:tcPr>
          <w:p w14:paraId="6C12C78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300</w:t>
            </w:r>
          </w:p>
        </w:tc>
        <w:tc>
          <w:tcPr>
            <w:tcW w:w="1255" w:type="dxa"/>
          </w:tcPr>
          <w:p w14:paraId="277D952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1971.</w:t>
            </w:r>
          </w:p>
        </w:tc>
      </w:tr>
      <w:tr w:rsidR="00CE628C" w:rsidRPr="004750F4" w14:paraId="007E55AA" w14:textId="77777777" w:rsidTr="0025690A">
        <w:tblPrEx>
          <w:tblCellMar>
            <w:top w:w="5" w:type="dxa"/>
          </w:tblCellMar>
        </w:tblPrEx>
        <w:trPr>
          <w:cantSplit/>
        </w:trPr>
        <w:tc>
          <w:tcPr>
            <w:tcW w:w="685" w:type="dxa"/>
          </w:tcPr>
          <w:p w14:paraId="2042875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16.</w:t>
            </w:r>
          </w:p>
        </w:tc>
        <w:tc>
          <w:tcPr>
            <w:tcW w:w="2054" w:type="dxa"/>
          </w:tcPr>
          <w:p w14:paraId="334E3EF7"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TRNSKO </w:t>
            </w:r>
          </w:p>
        </w:tc>
        <w:tc>
          <w:tcPr>
            <w:tcW w:w="2054" w:type="dxa"/>
          </w:tcPr>
          <w:p w14:paraId="5BD24BF7"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Trnsko 25, Zagreb </w:t>
            </w:r>
          </w:p>
        </w:tc>
        <w:tc>
          <w:tcPr>
            <w:tcW w:w="1541" w:type="dxa"/>
          </w:tcPr>
          <w:p w14:paraId="2DB9327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300</w:t>
            </w:r>
          </w:p>
        </w:tc>
        <w:tc>
          <w:tcPr>
            <w:tcW w:w="1483" w:type="dxa"/>
          </w:tcPr>
          <w:p w14:paraId="34D138F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180</w:t>
            </w:r>
          </w:p>
        </w:tc>
        <w:tc>
          <w:tcPr>
            <w:tcW w:w="1255" w:type="dxa"/>
          </w:tcPr>
          <w:p w14:paraId="59828D9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1964.</w:t>
            </w:r>
          </w:p>
        </w:tc>
      </w:tr>
      <w:tr w:rsidR="00CE628C" w:rsidRPr="004750F4" w14:paraId="5861419D" w14:textId="77777777" w:rsidTr="0025690A">
        <w:tblPrEx>
          <w:tblCellMar>
            <w:top w:w="5" w:type="dxa"/>
          </w:tblCellMar>
        </w:tblPrEx>
        <w:trPr>
          <w:cantSplit/>
        </w:trPr>
        <w:tc>
          <w:tcPr>
            <w:tcW w:w="685" w:type="dxa"/>
          </w:tcPr>
          <w:p w14:paraId="09A907A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17.</w:t>
            </w:r>
          </w:p>
        </w:tc>
        <w:tc>
          <w:tcPr>
            <w:tcW w:w="2054" w:type="dxa"/>
          </w:tcPr>
          <w:p w14:paraId="3496F0DA"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GORNJE VRAPČE </w:t>
            </w:r>
          </w:p>
        </w:tc>
        <w:tc>
          <w:tcPr>
            <w:tcW w:w="2054" w:type="dxa"/>
          </w:tcPr>
          <w:p w14:paraId="1DA2AB1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Vrapčanska 188, 10090 Zagreb </w:t>
            </w:r>
          </w:p>
        </w:tc>
        <w:tc>
          <w:tcPr>
            <w:tcW w:w="1541" w:type="dxa"/>
          </w:tcPr>
          <w:p w14:paraId="048B0D1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360</w:t>
            </w:r>
          </w:p>
        </w:tc>
        <w:tc>
          <w:tcPr>
            <w:tcW w:w="1483" w:type="dxa"/>
          </w:tcPr>
          <w:p w14:paraId="6581876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90</w:t>
            </w:r>
          </w:p>
        </w:tc>
        <w:tc>
          <w:tcPr>
            <w:tcW w:w="1255" w:type="dxa"/>
          </w:tcPr>
          <w:p w14:paraId="353549E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1965.</w:t>
            </w:r>
          </w:p>
        </w:tc>
      </w:tr>
      <w:tr w:rsidR="00CE628C" w:rsidRPr="004750F4" w14:paraId="702A8BA6" w14:textId="77777777" w:rsidTr="0025690A">
        <w:tblPrEx>
          <w:tblCellMar>
            <w:top w:w="5" w:type="dxa"/>
          </w:tblCellMar>
        </w:tblPrEx>
        <w:trPr>
          <w:cantSplit/>
        </w:trPr>
        <w:tc>
          <w:tcPr>
            <w:tcW w:w="685" w:type="dxa"/>
          </w:tcPr>
          <w:p w14:paraId="261F194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18.</w:t>
            </w:r>
          </w:p>
        </w:tc>
        <w:tc>
          <w:tcPr>
            <w:tcW w:w="2054" w:type="dxa"/>
          </w:tcPr>
          <w:p w14:paraId="121A5CB7"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VEĆESLAVA HOLJEVCA </w:t>
            </w:r>
          </w:p>
        </w:tc>
        <w:tc>
          <w:tcPr>
            <w:tcW w:w="2054" w:type="dxa"/>
          </w:tcPr>
          <w:p w14:paraId="1863A5B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Siget 23, Zagreb </w:t>
            </w:r>
          </w:p>
        </w:tc>
        <w:tc>
          <w:tcPr>
            <w:tcW w:w="1541" w:type="dxa"/>
          </w:tcPr>
          <w:p w14:paraId="41D9DB3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700</w:t>
            </w:r>
          </w:p>
        </w:tc>
        <w:tc>
          <w:tcPr>
            <w:tcW w:w="1483" w:type="dxa"/>
          </w:tcPr>
          <w:p w14:paraId="5DBA9BA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w:t>
            </w:r>
          </w:p>
        </w:tc>
        <w:tc>
          <w:tcPr>
            <w:tcW w:w="1255" w:type="dxa"/>
          </w:tcPr>
          <w:p w14:paraId="5AF1252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1967.</w:t>
            </w:r>
          </w:p>
        </w:tc>
      </w:tr>
      <w:tr w:rsidR="00CE628C" w:rsidRPr="004750F4" w14:paraId="7963B7C9" w14:textId="77777777" w:rsidTr="0025690A">
        <w:tblPrEx>
          <w:tblCellMar>
            <w:top w:w="5" w:type="dxa"/>
          </w:tblCellMar>
        </w:tblPrEx>
        <w:trPr>
          <w:cantSplit/>
        </w:trPr>
        <w:tc>
          <w:tcPr>
            <w:tcW w:w="685" w:type="dxa"/>
          </w:tcPr>
          <w:p w14:paraId="2B3C5AA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19.</w:t>
            </w:r>
          </w:p>
        </w:tc>
        <w:tc>
          <w:tcPr>
            <w:tcW w:w="2054" w:type="dxa"/>
          </w:tcPr>
          <w:p w14:paraId="456DF874"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BREZOVICA </w:t>
            </w:r>
          </w:p>
        </w:tc>
        <w:tc>
          <w:tcPr>
            <w:tcW w:w="2054" w:type="dxa"/>
          </w:tcPr>
          <w:p w14:paraId="26E160C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Brezovička cesta 98a, 10257 Brezovica </w:t>
            </w:r>
          </w:p>
        </w:tc>
        <w:tc>
          <w:tcPr>
            <w:tcW w:w="1541" w:type="dxa"/>
          </w:tcPr>
          <w:p w14:paraId="2F4B1FB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400</w:t>
            </w:r>
          </w:p>
        </w:tc>
        <w:tc>
          <w:tcPr>
            <w:tcW w:w="1483" w:type="dxa"/>
          </w:tcPr>
          <w:p w14:paraId="700D874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1000</w:t>
            </w:r>
          </w:p>
        </w:tc>
        <w:tc>
          <w:tcPr>
            <w:tcW w:w="1255" w:type="dxa"/>
          </w:tcPr>
          <w:p w14:paraId="520A8A2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1995.</w:t>
            </w:r>
          </w:p>
        </w:tc>
      </w:tr>
      <w:tr w:rsidR="00CE628C" w:rsidRPr="004750F4" w14:paraId="05061AA5" w14:textId="77777777" w:rsidTr="0025690A">
        <w:tblPrEx>
          <w:tblCellMar>
            <w:top w:w="5" w:type="dxa"/>
          </w:tblCellMar>
        </w:tblPrEx>
        <w:trPr>
          <w:cantSplit/>
        </w:trPr>
        <w:tc>
          <w:tcPr>
            <w:tcW w:w="685" w:type="dxa"/>
          </w:tcPr>
          <w:p w14:paraId="018E994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20.</w:t>
            </w:r>
          </w:p>
        </w:tc>
        <w:tc>
          <w:tcPr>
            <w:tcW w:w="2054" w:type="dxa"/>
          </w:tcPr>
          <w:p w14:paraId="5699F035"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OSNOVNA ŠKOLA PREČKO</w:t>
            </w:r>
            <w:r w:rsidR="00E40AC8" w:rsidRPr="0032536A">
              <w:rPr>
                <w:rFonts w:ascii="Times New Roman" w:eastAsia="Times New Roman" w:hAnsi="Times New Roman" w:cs="Times New Roman"/>
                <w:color w:val="auto"/>
              </w:rPr>
              <w:t xml:space="preserve"> </w:t>
            </w:r>
          </w:p>
        </w:tc>
        <w:tc>
          <w:tcPr>
            <w:tcW w:w="2054" w:type="dxa"/>
          </w:tcPr>
          <w:p w14:paraId="6AA117CA"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Dekanići 6, Zagreb </w:t>
            </w:r>
          </w:p>
        </w:tc>
        <w:tc>
          <w:tcPr>
            <w:tcW w:w="1541" w:type="dxa"/>
          </w:tcPr>
          <w:p w14:paraId="411A935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590</w:t>
            </w:r>
          </w:p>
        </w:tc>
        <w:tc>
          <w:tcPr>
            <w:tcW w:w="1483" w:type="dxa"/>
          </w:tcPr>
          <w:p w14:paraId="3392A30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250</w:t>
            </w:r>
          </w:p>
        </w:tc>
        <w:tc>
          <w:tcPr>
            <w:tcW w:w="1255" w:type="dxa"/>
          </w:tcPr>
          <w:p w14:paraId="1B862A0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1970.</w:t>
            </w:r>
          </w:p>
        </w:tc>
      </w:tr>
      <w:tr w:rsidR="00CE628C" w:rsidRPr="004750F4" w14:paraId="4F8D0059" w14:textId="77777777" w:rsidTr="0025690A">
        <w:tblPrEx>
          <w:tblCellMar>
            <w:top w:w="5" w:type="dxa"/>
          </w:tblCellMar>
        </w:tblPrEx>
        <w:trPr>
          <w:cantSplit/>
        </w:trPr>
        <w:tc>
          <w:tcPr>
            <w:tcW w:w="685" w:type="dxa"/>
          </w:tcPr>
          <w:p w14:paraId="5638DAD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21.</w:t>
            </w:r>
          </w:p>
        </w:tc>
        <w:tc>
          <w:tcPr>
            <w:tcW w:w="2054" w:type="dxa"/>
          </w:tcPr>
          <w:p w14:paraId="5E30856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DOBRIŠE CESARIĆA </w:t>
            </w:r>
          </w:p>
        </w:tc>
        <w:tc>
          <w:tcPr>
            <w:tcW w:w="2054" w:type="dxa"/>
          </w:tcPr>
          <w:p w14:paraId="067BBB8F"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eastAsia="Times New Roman" w:hAnsi="Times New Roman" w:cs="Times New Roman"/>
                <w:color w:val="auto"/>
              </w:rPr>
              <w:t xml:space="preserve">K. Š. </w:t>
            </w:r>
            <w:r w:rsidRPr="0032536A">
              <w:rPr>
                <w:rFonts w:ascii="Times New Roman" w:eastAsia="Times New Roman" w:hAnsi="Times New Roman" w:cs="Times New Roman"/>
                <w:color w:val="auto"/>
              </w:rPr>
              <w:t>Gj</w:t>
            </w:r>
            <w:r w:rsidR="00900184" w:rsidRPr="0032536A">
              <w:rPr>
                <w:rFonts w:ascii="Times New Roman" w:eastAsia="Times New Roman" w:hAnsi="Times New Roman" w:cs="Times New Roman"/>
                <w:color w:val="auto"/>
              </w:rPr>
              <w:t xml:space="preserve">alskog 29, Zagreb </w:t>
            </w:r>
          </w:p>
        </w:tc>
        <w:tc>
          <w:tcPr>
            <w:tcW w:w="1541" w:type="dxa"/>
          </w:tcPr>
          <w:p w14:paraId="53D7145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700</w:t>
            </w:r>
          </w:p>
        </w:tc>
        <w:tc>
          <w:tcPr>
            <w:tcW w:w="1483" w:type="dxa"/>
          </w:tcPr>
          <w:p w14:paraId="7D33708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730</w:t>
            </w:r>
          </w:p>
        </w:tc>
        <w:tc>
          <w:tcPr>
            <w:tcW w:w="1255" w:type="dxa"/>
          </w:tcPr>
          <w:p w14:paraId="39716DC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1964.</w:t>
            </w:r>
          </w:p>
        </w:tc>
      </w:tr>
      <w:tr w:rsidR="00CE628C" w:rsidRPr="004750F4" w14:paraId="5A00534D" w14:textId="77777777" w:rsidTr="0025690A">
        <w:tblPrEx>
          <w:tblCellMar>
            <w:top w:w="5" w:type="dxa"/>
          </w:tblCellMar>
        </w:tblPrEx>
        <w:trPr>
          <w:cantSplit/>
        </w:trPr>
        <w:tc>
          <w:tcPr>
            <w:tcW w:w="685" w:type="dxa"/>
          </w:tcPr>
          <w:p w14:paraId="6F5331B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22.</w:t>
            </w:r>
          </w:p>
        </w:tc>
        <w:tc>
          <w:tcPr>
            <w:tcW w:w="2054" w:type="dxa"/>
          </w:tcPr>
          <w:p w14:paraId="65A836F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ČUČERJE </w:t>
            </w:r>
          </w:p>
        </w:tc>
        <w:tc>
          <w:tcPr>
            <w:tcW w:w="2054" w:type="dxa"/>
          </w:tcPr>
          <w:p w14:paraId="01508B34"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Čučerska cesta 382 </w:t>
            </w:r>
          </w:p>
        </w:tc>
        <w:tc>
          <w:tcPr>
            <w:tcW w:w="1541" w:type="dxa"/>
          </w:tcPr>
          <w:p w14:paraId="09F9009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400</w:t>
            </w:r>
          </w:p>
        </w:tc>
        <w:tc>
          <w:tcPr>
            <w:tcW w:w="1483" w:type="dxa"/>
          </w:tcPr>
          <w:p w14:paraId="30986B4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100</w:t>
            </w:r>
          </w:p>
        </w:tc>
        <w:tc>
          <w:tcPr>
            <w:tcW w:w="1255" w:type="dxa"/>
          </w:tcPr>
          <w:p w14:paraId="6257B67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1972.</w:t>
            </w:r>
          </w:p>
        </w:tc>
      </w:tr>
      <w:tr w:rsidR="00CE628C" w:rsidRPr="004750F4" w14:paraId="5CF18DB3" w14:textId="77777777" w:rsidTr="0025690A">
        <w:tblPrEx>
          <w:tblCellMar>
            <w:top w:w="5" w:type="dxa"/>
          </w:tblCellMar>
        </w:tblPrEx>
        <w:trPr>
          <w:cantSplit/>
        </w:trPr>
        <w:tc>
          <w:tcPr>
            <w:tcW w:w="685" w:type="dxa"/>
          </w:tcPr>
          <w:p w14:paraId="5988A58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lastRenderedPageBreak/>
              <w:t>23.</w:t>
            </w:r>
          </w:p>
        </w:tc>
        <w:tc>
          <w:tcPr>
            <w:tcW w:w="2054" w:type="dxa"/>
          </w:tcPr>
          <w:p w14:paraId="6A44511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ALOJZIJA STEPINCA </w:t>
            </w:r>
          </w:p>
        </w:tc>
        <w:tc>
          <w:tcPr>
            <w:tcW w:w="2054" w:type="dxa"/>
          </w:tcPr>
          <w:p w14:paraId="59E6C527"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Palinovečka 42, Zagreb </w:t>
            </w:r>
          </w:p>
        </w:tc>
        <w:tc>
          <w:tcPr>
            <w:tcW w:w="1541" w:type="dxa"/>
          </w:tcPr>
          <w:p w14:paraId="05264A0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500</w:t>
            </w:r>
          </w:p>
        </w:tc>
        <w:tc>
          <w:tcPr>
            <w:tcW w:w="1483" w:type="dxa"/>
          </w:tcPr>
          <w:p w14:paraId="28F3A93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w:t>
            </w:r>
          </w:p>
        </w:tc>
        <w:tc>
          <w:tcPr>
            <w:tcW w:w="1255" w:type="dxa"/>
          </w:tcPr>
          <w:p w14:paraId="26B0852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2013.</w:t>
            </w:r>
          </w:p>
        </w:tc>
      </w:tr>
      <w:tr w:rsidR="00CE628C" w:rsidRPr="004750F4" w14:paraId="66FD3B2D" w14:textId="77777777" w:rsidTr="00AC32CB">
        <w:tblPrEx>
          <w:tblCellMar>
            <w:top w:w="5" w:type="dxa"/>
          </w:tblCellMar>
        </w:tblPrEx>
        <w:trPr>
          <w:cantSplit/>
        </w:trPr>
        <w:tc>
          <w:tcPr>
            <w:tcW w:w="685" w:type="dxa"/>
          </w:tcPr>
          <w:p w14:paraId="39D5E60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24.</w:t>
            </w:r>
          </w:p>
        </w:tc>
        <w:tc>
          <w:tcPr>
            <w:tcW w:w="2054" w:type="dxa"/>
            <w:shd w:val="clear" w:color="auto" w:fill="D9D9D9" w:themeFill="background1" w:themeFillShade="D9"/>
          </w:tcPr>
          <w:p w14:paraId="5DE6070F"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IVANA GRANĐE </w:t>
            </w:r>
          </w:p>
        </w:tc>
        <w:tc>
          <w:tcPr>
            <w:tcW w:w="2054" w:type="dxa"/>
            <w:shd w:val="clear" w:color="auto" w:fill="D9D9D9" w:themeFill="background1" w:themeFillShade="D9"/>
          </w:tcPr>
          <w:p w14:paraId="5CA9C1F5"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Soblinečka 68, Soblinec </w:t>
            </w:r>
          </w:p>
        </w:tc>
        <w:tc>
          <w:tcPr>
            <w:tcW w:w="1541" w:type="dxa"/>
            <w:shd w:val="clear" w:color="auto" w:fill="D9D9D9" w:themeFill="background1" w:themeFillShade="D9"/>
          </w:tcPr>
          <w:p w14:paraId="7782C95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480</w:t>
            </w:r>
          </w:p>
        </w:tc>
        <w:tc>
          <w:tcPr>
            <w:tcW w:w="1483" w:type="dxa"/>
            <w:shd w:val="clear" w:color="auto" w:fill="D9D9D9" w:themeFill="background1" w:themeFillShade="D9"/>
          </w:tcPr>
          <w:p w14:paraId="6F72F9A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40</w:t>
            </w:r>
          </w:p>
        </w:tc>
        <w:tc>
          <w:tcPr>
            <w:tcW w:w="1255" w:type="dxa"/>
            <w:shd w:val="clear" w:color="auto" w:fill="D9D9D9" w:themeFill="background1" w:themeFillShade="D9"/>
          </w:tcPr>
          <w:p w14:paraId="28E1516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1958.</w:t>
            </w:r>
          </w:p>
        </w:tc>
      </w:tr>
      <w:tr w:rsidR="00CE628C" w:rsidRPr="004750F4" w14:paraId="10D0364D" w14:textId="77777777" w:rsidTr="00AC32CB">
        <w:tblPrEx>
          <w:tblCellMar>
            <w:top w:w="5" w:type="dxa"/>
          </w:tblCellMar>
        </w:tblPrEx>
        <w:trPr>
          <w:cantSplit/>
        </w:trPr>
        <w:tc>
          <w:tcPr>
            <w:tcW w:w="685" w:type="dxa"/>
          </w:tcPr>
          <w:p w14:paraId="1BD42E3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25.</w:t>
            </w:r>
          </w:p>
        </w:tc>
        <w:tc>
          <w:tcPr>
            <w:tcW w:w="2054" w:type="dxa"/>
            <w:shd w:val="clear" w:color="auto" w:fill="F2F2F2" w:themeFill="background1" w:themeFillShade="F2"/>
          </w:tcPr>
          <w:p w14:paraId="35FE2AB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PŠ Adamovec </w:t>
            </w:r>
          </w:p>
        </w:tc>
        <w:tc>
          <w:tcPr>
            <w:tcW w:w="2054" w:type="dxa"/>
            <w:shd w:val="clear" w:color="auto" w:fill="F2F2F2" w:themeFill="background1" w:themeFillShade="F2"/>
          </w:tcPr>
          <w:p w14:paraId="72BA2298"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eastAsia="Times New Roman" w:hAnsi="Times New Roman" w:cs="Times New Roman"/>
                <w:color w:val="auto"/>
              </w:rPr>
              <w:t xml:space="preserve">D. Domjanića 75, Adamovec </w:t>
            </w:r>
          </w:p>
        </w:tc>
        <w:tc>
          <w:tcPr>
            <w:tcW w:w="1541" w:type="dxa"/>
            <w:shd w:val="clear" w:color="auto" w:fill="F2F2F2" w:themeFill="background1" w:themeFillShade="F2"/>
          </w:tcPr>
          <w:p w14:paraId="69CE192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w:t>
            </w:r>
          </w:p>
        </w:tc>
        <w:tc>
          <w:tcPr>
            <w:tcW w:w="1483" w:type="dxa"/>
            <w:shd w:val="clear" w:color="auto" w:fill="F2F2F2" w:themeFill="background1" w:themeFillShade="F2"/>
          </w:tcPr>
          <w:p w14:paraId="22A8CC3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shd w:val="clear" w:color="auto" w:fill="F2F2F2" w:themeFill="background1" w:themeFillShade="F2"/>
          </w:tcPr>
          <w:p w14:paraId="40AEE69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1958.</w:t>
            </w:r>
          </w:p>
        </w:tc>
      </w:tr>
      <w:tr w:rsidR="00CE628C" w:rsidRPr="004750F4" w14:paraId="43D411EF" w14:textId="77777777" w:rsidTr="00AC32CB">
        <w:tblPrEx>
          <w:tblCellMar>
            <w:top w:w="5" w:type="dxa"/>
          </w:tblCellMar>
        </w:tblPrEx>
        <w:trPr>
          <w:cantSplit/>
        </w:trPr>
        <w:tc>
          <w:tcPr>
            <w:tcW w:w="685" w:type="dxa"/>
          </w:tcPr>
          <w:p w14:paraId="1EBFD17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26.</w:t>
            </w:r>
          </w:p>
        </w:tc>
        <w:tc>
          <w:tcPr>
            <w:tcW w:w="2054" w:type="dxa"/>
            <w:shd w:val="clear" w:color="auto" w:fill="F2F2F2" w:themeFill="background1" w:themeFillShade="F2"/>
          </w:tcPr>
          <w:p w14:paraId="3FD44DA6"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PŠ Glavnica Donja </w:t>
            </w:r>
          </w:p>
        </w:tc>
        <w:tc>
          <w:tcPr>
            <w:tcW w:w="2054" w:type="dxa"/>
            <w:shd w:val="clear" w:color="auto" w:fill="F2F2F2" w:themeFill="background1" w:themeFillShade="F2"/>
          </w:tcPr>
          <w:p w14:paraId="4EB3BDB5"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Glavnička cesta 26, Glavnica Donja</w:t>
            </w:r>
            <w:r w:rsidR="00E40AC8" w:rsidRPr="0032536A">
              <w:rPr>
                <w:rFonts w:ascii="Times New Roman" w:eastAsia="Times New Roman" w:hAnsi="Times New Roman" w:cs="Times New Roman"/>
                <w:color w:val="auto"/>
              </w:rPr>
              <w:t xml:space="preserve"> </w:t>
            </w:r>
          </w:p>
        </w:tc>
        <w:tc>
          <w:tcPr>
            <w:tcW w:w="1541" w:type="dxa"/>
            <w:shd w:val="clear" w:color="auto" w:fill="F2F2F2" w:themeFill="background1" w:themeFillShade="F2"/>
          </w:tcPr>
          <w:p w14:paraId="6081B1E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40</w:t>
            </w:r>
          </w:p>
        </w:tc>
        <w:tc>
          <w:tcPr>
            <w:tcW w:w="1483" w:type="dxa"/>
            <w:shd w:val="clear" w:color="auto" w:fill="F2F2F2" w:themeFill="background1" w:themeFillShade="F2"/>
          </w:tcPr>
          <w:p w14:paraId="6A91D88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shd w:val="clear" w:color="auto" w:fill="F2F2F2" w:themeFill="background1" w:themeFillShade="F2"/>
          </w:tcPr>
          <w:p w14:paraId="782BCFE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1928.</w:t>
            </w:r>
          </w:p>
        </w:tc>
      </w:tr>
      <w:tr w:rsidR="00CE628C" w:rsidRPr="004750F4" w14:paraId="6E50306E" w14:textId="77777777" w:rsidTr="00AC32CB">
        <w:tblPrEx>
          <w:tblCellMar>
            <w:top w:w="5" w:type="dxa"/>
          </w:tblCellMar>
        </w:tblPrEx>
        <w:trPr>
          <w:cantSplit/>
        </w:trPr>
        <w:tc>
          <w:tcPr>
            <w:tcW w:w="685" w:type="dxa"/>
          </w:tcPr>
          <w:p w14:paraId="39C0D41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27.</w:t>
            </w:r>
          </w:p>
        </w:tc>
        <w:tc>
          <w:tcPr>
            <w:tcW w:w="2054" w:type="dxa"/>
            <w:shd w:val="clear" w:color="auto" w:fill="F2F2F2" w:themeFill="background1" w:themeFillShade="F2"/>
          </w:tcPr>
          <w:p w14:paraId="35946CA3"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PŠ Moravče </w:t>
            </w:r>
          </w:p>
        </w:tc>
        <w:tc>
          <w:tcPr>
            <w:tcW w:w="2054" w:type="dxa"/>
            <w:shd w:val="clear" w:color="auto" w:fill="F2F2F2" w:themeFill="background1" w:themeFillShade="F2"/>
          </w:tcPr>
          <w:p w14:paraId="1A18889A"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Trg Sv. Trojstva 1,</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Moravče </w:t>
            </w:r>
          </w:p>
        </w:tc>
        <w:tc>
          <w:tcPr>
            <w:tcW w:w="1541" w:type="dxa"/>
            <w:shd w:val="clear" w:color="auto" w:fill="F2F2F2" w:themeFill="background1" w:themeFillShade="F2"/>
          </w:tcPr>
          <w:p w14:paraId="3A3D383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w:t>
            </w:r>
          </w:p>
        </w:tc>
        <w:tc>
          <w:tcPr>
            <w:tcW w:w="1483" w:type="dxa"/>
            <w:shd w:val="clear" w:color="auto" w:fill="F2F2F2" w:themeFill="background1" w:themeFillShade="F2"/>
          </w:tcPr>
          <w:p w14:paraId="59A164C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shd w:val="clear" w:color="auto" w:fill="F2F2F2" w:themeFill="background1" w:themeFillShade="F2"/>
          </w:tcPr>
          <w:p w14:paraId="1FA3E9E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1941.</w:t>
            </w:r>
          </w:p>
        </w:tc>
      </w:tr>
      <w:tr w:rsidR="00CE628C" w:rsidRPr="004750F4" w14:paraId="20EF9042" w14:textId="77777777" w:rsidTr="0025690A">
        <w:tblPrEx>
          <w:tblCellMar>
            <w:top w:w="5" w:type="dxa"/>
          </w:tblCellMar>
        </w:tblPrEx>
        <w:trPr>
          <w:cantSplit/>
        </w:trPr>
        <w:tc>
          <w:tcPr>
            <w:tcW w:w="685" w:type="dxa"/>
          </w:tcPr>
          <w:p w14:paraId="155EE80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28.</w:t>
            </w:r>
          </w:p>
        </w:tc>
        <w:tc>
          <w:tcPr>
            <w:tcW w:w="2054" w:type="dxa"/>
          </w:tcPr>
          <w:p w14:paraId="74F8C00A"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BOROVJE </w:t>
            </w:r>
          </w:p>
        </w:tc>
        <w:tc>
          <w:tcPr>
            <w:tcW w:w="2054" w:type="dxa"/>
          </w:tcPr>
          <w:p w14:paraId="05EC3BDE"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eastAsia="Times New Roman" w:hAnsi="Times New Roman" w:cs="Times New Roman"/>
                <w:color w:val="auto"/>
              </w:rPr>
              <w:t xml:space="preserve">Davora Zbiljskog 7, Zagreb </w:t>
            </w:r>
          </w:p>
        </w:tc>
        <w:tc>
          <w:tcPr>
            <w:tcW w:w="1541" w:type="dxa"/>
          </w:tcPr>
          <w:p w14:paraId="52C16D6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500</w:t>
            </w:r>
          </w:p>
        </w:tc>
        <w:tc>
          <w:tcPr>
            <w:tcW w:w="1483" w:type="dxa"/>
          </w:tcPr>
          <w:p w14:paraId="618F7D6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150</w:t>
            </w:r>
          </w:p>
        </w:tc>
        <w:tc>
          <w:tcPr>
            <w:tcW w:w="1255" w:type="dxa"/>
          </w:tcPr>
          <w:p w14:paraId="58CBE3D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2005.</w:t>
            </w:r>
          </w:p>
        </w:tc>
      </w:tr>
      <w:tr w:rsidR="00CE628C" w:rsidRPr="004750F4" w14:paraId="5DFF7BAE" w14:textId="77777777" w:rsidTr="0025690A">
        <w:tblPrEx>
          <w:tblCellMar>
            <w:top w:w="5" w:type="dxa"/>
          </w:tblCellMar>
        </w:tblPrEx>
        <w:trPr>
          <w:cantSplit/>
        </w:trPr>
        <w:tc>
          <w:tcPr>
            <w:tcW w:w="685" w:type="dxa"/>
          </w:tcPr>
          <w:p w14:paraId="217E0AD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29.</w:t>
            </w:r>
          </w:p>
        </w:tc>
        <w:tc>
          <w:tcPr>
            <w:tcW w:w="2054" w:type="dxa"/>
          </w:tcPr>
          <w:p w14:paraId="7B71E1C4"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OŠ</w:t>
            </w:r>
            <w:r w:rsidR="00E40AC8"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RAPSKA</w:t>
            </w:r>
            <w:r w:rsidR="00EE6A22" w:rsidRPr="0032536A">
              <w:rPr>
                <w:rFonts w:ascii="Times New Roman" w:eastAsia="Times New Roman" w:hAnsi="Times New Roman" w:cs="Times New Roman"/>
                <w:color w:val="auto"/>
              </w:rPr>
              <w:t xml:space="preserve"> </w:t>
            </w:r>
          </w:p>
        </w:tc>
        <w:tc>
          <w:tcPr>
            <w:tcW w:w="2054" w:type="dxa"/>
          </w:tcPr>
          <w:p w14:paraId="5AEF2758"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Rapska 3, Zagreb </w:t>
            </w:r>
          </w:p>
        </w:tc>
        <w:tc>
          <w:tcPr>
            <w:tcW w:w="1541" w:type="dxa"/>
          </w:tcPr>
          <w:p w14:paraId="23C540A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550</w:t>
            </w:r>
          </w:p>
        </w:tc>
        <w:tc>
          <w:tcPr>
            <w:tcW w:w="1483" w:type="dxa"/>
          </w:tcPr>
          <w:p w14:paraId="614DE67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130</w:t>
            </w:r>
          </w:p>
        </w:tc>
        <w:tc>
          <w:tcPr>
            <w:tcW w:w="1255" w:type="dxa"/>
          </w:tcPr>
          <w:p w14:paraId="048E312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1939.</w:t>
            </w:r>
          </w:p>
        </w:tc>
      </w:tr>
      <w:tr w:rsidR="00CE628C" w:rsidRPr="004750F4" w14:paraId="428BAFEA" w14:textId="77777777" w:rsidTr="0025690A">
        <w:tblPrEx>
          <w:tblCellMar>
            <w:top w:w="5" w:type="dxa"/>
          </w:tblCellMar>
        </w:tblPrEx>
        <w:trPr>
          <w:cantSplit/>
        </w:trPr>
        <w:tc>
          <w:tcPr>
            <w:tcW w:w="685" w:type="dxa"/>
          </w:tcPr>
          <w:p w14:paraId="2D38A0F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30.</w:t>
            </w:r>
          </w:p>
        </w:tc>
        <w:tc>
          <w:tcPr>
            <w:tcW w:w="2054" w:type="dxa"/>
          </w:tcPr>
          <w:p w14:paraId="708527D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MATKA LAGINJE </w:t>
            </w:r>
          </w:p>
        </w:tc>
        <w:tc>
          <w:tcPr>
            <w:tcW w:w="2054" w:type="dxa"/>
          </w:tcPr>
          <w:p w14:paraId="3F56F8DD"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Laginjina 13, Zagreb </w:t>
            </w:r>
          </w:p>
        </w:tc>
        <w:tc>
          <w:tcPr>
            <w:tcW w:w="1541" w:type="dxa"/>
          </w:tcPr>
          <w:p w14:paraId="06961D5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500</w:t>
            </w:r>
          </w:p>
        </w:tc>
        <w:tc>
          <w:tcPr>
            <w:tcW w:w="1483" w:type="dxa"/>
          </w:tcPr>
          <w:p w14:paraId="47EF568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300</w:t>
            </w:r>
          </w:p>
        </w:tc>
        <w:tc>
          <w:tcPr>
            <w:tcW w:w="1255" w:type="dxa"/>
          </w:tcPr>
          <w:p w14:paraId="43D7A2C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1967.</w:t>
            </w:r>
          </w:p>
        </w:tc>
      </w:tr>
      <w:tr w:rsidR="00CE628C" w:rsidRPr="004750F4" w14:paraId="67CE58FC" w14:textId="77777777" w:rsidTr="0025690A">
        <w:tblPrEx>
          <w:tblCellMar>
            <w:top w:w="5" w:type="dxa"/>
          </w:tblCellMar>
        </w:tblPrEx>
        <w:trPr>
          <w:cantSplit/>
        </w:trPr>
        <w:tc>
          <w:tcPr>
            <w:tcW w:w="685" w:type="dxa"/>
          </w:tcPr>
          <w:p w14:paraId="03E869C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31.</w:t>
            </w:r>
          </w:p>
        </w:tc>
        <w:tc>
          <w:tcPr>
            <w:tcW w:w="2054" w:type="dxa"/>
          </w:tcPr>
          <w:p w14:paraId="062E622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OŠ</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VJENCESLAVA NOVAKA </w:t>
            </w:r>
          </w:p>
        </w:tc>
        <w:tc>
          <w:tcPr>
            <w:tcW w:w="2054" w:type="dxa"/>
          </w:tcPr>
          <w:p w14:paraId="3C78B68E"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eastAsia="Times New Roman" w:hAnsi="Times New Roman" w:cs="Times New Roman"/>
                <w:color w:val="auto"/>
              </w:rPr>
              <w:t xml:space="preserve">Vile Velebita 15A </w:t>
            </w:r>
          </w:p>
        </w:tc>
        <w:tc>
          <w:tcPr>
            <w:tcW w:w="1541" w:type="dxa"/>
          </w:tcPr>
          <w:p w14:paraId="7E00427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620</w:t>
            </w:r>
          </w:p>
        </w:tc>
        <w:tc>
          <w:tcPr>
            <w:tcW w:w="1483" w:type="dxa"/>
          </w:tcPr>
          <w:p w14:paraId="6B03E4F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550</w:t>
            </w:r>
          </w:p>
        </w:tc>
        <w:tc>
          <w:tcPr>
            <w:tcW w:w="1255" w:type="dxa"/>
          </w:tcPr>
          <w:p w14:paraId="0F73C80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1971.</w:t>
            </w:r>
          </w:p>
        </w:tc>
      </w:tr>
      <w:tr w:rsidR="00CE628C" w:rsidRPr="004750F4" w14:paraId="0BF070E4" w14:textId="77777777" w:rsidTr="0025690A">
        <w:tblPrEx>
          <w:tblCellMar>
            <w:top w:w="5" w:type="dxa"/>
          </w:tblCellMar>
        </w:tblPrEx>
        <w:trPr>
          <w:cantSplit/>
        </w:trPr>
        <w:tc>
          <w:tcPr>
            <w:tcW w:w="685" w:type="dxa"/>
          </w:tcPr>
          <w:p w14:paraId="7238B99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32.</w:t>
            </w:r>
          </w:p>
        </w:tc>
        <w:tc>
          <w:tcPr>
            <w:tcW w:w="2054" w:type="dxa"/>
          </w:tcPr>
          <w:p w14:paraId="05342A2D"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ŽITNJAK </w:t>
            </w:r>
          </w:p>
        </w:tc>
        <w:tc>
          <w:tcPr>
            <w:tcW w:w="2054" w:type="dxa"/>
          </w:tcPr>
          <w:p w14:paraId="3D42B7DF"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I</w:t>
            </w:r>
            <w:r w:rsidR="00D20688" w:rsidRPr="0032536A">
              <w:rPr>
                <w:rFonts w:ascii="Times New Roman" w:eastAsia="Times New Roman" w:hAnsi="Times New Roman" w:cs="Times New Roman"/>
                <w:color w:val="auto"/>
              </w:rPr>
              <w:t>.</w:t>
            </w:r>
            <w:r w:rsidRPr="0032536A">
              <w:rPr>
                <w:rFonts w:ascii="Times New Roman" w:eastAsia="Times New Roman" w:hAnsi="Times New Roman" w:cs="Times New Roman"/>
                <w:color w:val="auto"/>
              </w:rPr>
              <w:t xml:space="preserve"> Petruševec 1, Zagreb </w:t>
            </w:r>
          </w:p>
        </w:tc>
        <w:tc>
          <w:tcPr>
            <w:tcW w:w="1541" w:type="dxa"/>
          </w:tcPr>
          <w:p w14:paraId="4394B05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700</w:t>
            </w:r>
          </w:p>
        </w:tc>
        <w:tc>
          <w:tcPr>
            <w:tcW w:w="1483" w:type="dxa"/>
          </w:tcPr>
          <w:p w14:paraId="3A3DDAA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100</w:t>
            </w:r>
          </w:p>
        </w:tc>
        <w:tc>
          <w:tcPr>
            <w:tcW w:w="1255" w:type="dxa"/>
          </w:tcPr>
          <w:p w14:paraId="71F981A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2000.</w:t>
            </w:r>
          </w:p>
        </w:tc>
      </w:tr>
      <w:tr w:rsidR="00CE628C" w:rsidRPr="004750F4" w14:paraId="2B5164CA" w14:textId="77777777" w:rsidTr="0025690A">
        <w:tblPrEx>
          <w:tblCellMar>
            <w:top w:w="5" w:type="dxa"/>
          </w:tblCellMar>
        </w:tblPrEx>
        <w:trPr>
          <w:cantSplit/>
        </w:trPr>
        <w:tc>
          <w:tcPr>
            <w:tcW w:w="685" w:type="dxa"/>
          </w:tcPr>
          <w:p w14:paraId="2227805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33.</w:t>
            </w:r>
          </w:p>
        </w:tc>
        <w:tc>
          <w:tcPr>
            <w:tcW w:w="2054" w:type="dxa"/>
          </w:tcPr>
          <w:p w14:paraId="6074701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VLADIMIRA NAZORA </w:t>
            </w:r>
          </w:p>
        </w:tc>
        <w:tc>
          <w:tcPr>
            <w:tcW w:w="2054" w:type="dxa"/>
          </w:tcPr>
          <w:p w14:paraId="6DFBEE73"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Jordanovac 23, Zagreb </w:t>
            </w:r>
          </w:p>
        </w:tc>
        <w:tc>
          <w:tcPr>
            <w:tcW w:w="1541" w:type="dxa"/>
          </w:tcPr>
          <w:p w14:paraId="74F7AD6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600</w:t>
            </w:r>
          </w:p>
        </w:tc>
        <w:tc>
          <w:tcPr>
            <w:tcW w:w="1483" w:type="dxa"/>
          </w:tcPr>
          <w:p w14:paraId="5CC463E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160</w:t>
            </w:r>
          </w:p>
        </w:tc>
        <w:tc>
          <w:tcPr>
            <w:tcW w:w="1255" w:type="dxa"/>
          </w:tcPr>
          <w:p w14:paraId="75391E6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1957.</w:t>
            </w:r>
          </w:p>
        </w:tc>
      </w:tr>
      <w:tr w:rsidR="00CE628C" w:rsidRPr="004750F4" w14:paraId="7707B7EE" w14:textId="77777777" w:rsidTr="0025690A">
        <w:tblPrEx>
          <w:tblCellMar>
            <w:top w:w="5" w:type="dxa"/>
          </w:tblCellMar>
        </w:tblPrEx>
        <w:trPr>
          <w:cantSplit/>
        </w:trPr>
        <w:tc>
          <w:tcPr>
            <w:tcW w:w="685" w:type="dxa"/>
          </w:tcPr>
          <w:p w14:paraId="6C94528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34.</w:t>
            </w:r>
          </w:p>
        </w:tc>
        <w:tc>
          <w:tcPr>
            <w:tcW w:w="2054" w:type="dxa"/>
          </w:tcPr>
          <w:p w14:paraId="112FDBC5"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IVER </w:t>
            </w:r>
          </w:p>
        </w:tc>
        <w:tc>
          <w:tcPr>
            <w:tcW w:w="2054" w:type="dxa"/>
          </w:tcPr>
          <w:p w14:paraId="740EC172"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eastAsia="Times New Roman" w:hAnsi="Times New Roman" w:cs="Times New Roman"/>
                <w:color w:val="auto"/>
              </w:rPr>
              <w:t>Mladena Halape 8,</w:t>
            </w:r>
            <w:r w:rsidR="00CE628C" w:rsidRPr="0032536A">
              <w:rPr>
                <w:rFonts w:ascii="Times New Roman" w:eastAsia="Times New Roman" w:hAnsi="Times New Roman" w:cs="Times New Roman"/>
                <w:color w:val="auto"/>
              </w:rPr>
              <w:t xml:space="preserve"> </w:t>
            </w:r>
            <w:r w:rsidR="00900184" w:rsidRPr="0032536A">
              <w:rPr>
                <w:rFonts w:ascii="Times New Roman" w:eastAsia="Times New Roman" w:hAnsi="Times New Roman" w:cs="Times New Roman"/>
                <w:color w:val="auto"/>
              </w:rPr>
              <w:t xml:space="preserve">10361 Sesvetski Kraljevec </w:t>
            </w:r>
          </w:p>
        </w:tc>
        <w:tc>
          <w:tcPr>
            <w:tcW w:w="1541" w:type="dxa"/>
          </w:tcPr>
          <w:p w14:paraId="75202B0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450</w:t>
            </w:r>
          </w:p>
        </w:tc>
        <w:tc>
          <w:tcPr>
            <w:tcW w:w="1483" w:type="dxa"/>
          </w:tcPr>
          <w:p w14:paraId="6E20564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100</w:t>
            </w:r>
          </w:p>
        </w:tc>
        <w:tc>
          <w:tcPr>
            <w:tcW w:w="1255" w:type="dxa"/>
          </w:tcPr>
          <w:p w14:paraId="699AE9C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2014.</w:t>
            </w:r>
          </w:p>
        </w:tc>
      </w:tr>
      <w:tr w:rsidR="00CE628C" w:rsidRPr="004750F4" w14:paraId="420372E0" w14:textId="77777777" w:rsidTr="0025690A">
        <w:tblPrEx>
          <w:tblCellMar>
            <w:top w:w="5" w:type="dxa"/>
          </w:tblCellMar>
        </w:tblPrEx>
        <w:trPr>
          <w:cantSplit/>
        </w:trPr>
        <w:tc>
          <w:tcPr>
            <w:tcW w:w="685" w:type="dxa"/>
          </w:tcPr>
          <w:p w14:paraId="7E28259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35.</w:t>
            </w:r>
          </w:p>
        </w:tc>
        <w:tc>
          <w:tcPr>
            <w:tcW w:w="2054" w:type="dxa"/>
          </w:tcPr>
          <w:p w14:paraId="6536DCB5"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OSNOVNA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ŠKOLA DR.</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VINKA ŽGANCA </w:t>
            </w:r>
          </w:p>
        </w:tc>
        <w:tc>
          <w:tcPr>
            <w:tcW w:w="2054" w:type="dxa"/>
          </w:tcPr>
          <w:p w14:paraId="04BDF748"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eastAsia="Times New Roman" w:hAnsi="Times New Roman" w:cs="Times New Roman"/>
                <w:color w:val="auto"/>
              </w:rPr>
              <w:t xml:space="preserve">Nede Krmpotić 7, Zagreb </w:t>
            </w:r>
          </w:p>
        </w:tc>
        <w:tc>
          <w:tcPr>
            <w:tcW w:w="1541" w:type="dxa"/>
          </w:tcPr>
          <w:p w14:paraId="06C42B6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900</w:t>
            </w:r>
          </w:p>
        </w:tc>
        <w:tc>
          <w:tcPr>
            <w:tcW w:w="1483" w:type="dxa"/>
          </w:tcPr>
          <w:p w14:paraId="2EC0A76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w:t>
            </w:r>
          </w:p>
        </w:tc>
        <w:tc>
          <w:tcPr>
            <w:tcW w:w="1255" w:type="dxa"/>
          </w:tcPr>
          <w:p w14:paraId="2FE3676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1976.</w:t>
            </w:r>
          </w:p>
        </w:tc>
      </w:tr>
      <w:tr w:rsidR="00CE628C" w:rsidRPr="004750F4" w14:paraId="388FC132" w14:textId="77777777" w:rsidTr="0025690A">
        <w:tblPrEx>
          <w:tblCellMar>
            <w:top w:w="5" w:type="dxa"/>
          </w:tblCellMar>
        </w:tblPrEx>
        <w:trPr>
          <w:cantSplit/>
        </w:trPr>
        <w:tc>
          <w:tcPr>
            <w:tcW w:w="685" w:type="dxa"/>
          </w:tcPr>
          <w:p w14:paraId="195AD0A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36.</w:t>
            </w:r>
          </w:p>
        </w:tc>
        <w:tc>
          <w:tcPr>
            <w:tcW w:w="2054" w:type="dxa"/>
          </w:tcPr>
          <w:p w14:paraId="4C03188A"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CVJETNO NASELJE </w:t>
            </w:r>
          </w:p>
        </w:tc>
        <w:tc>
          <w:tcPr>
            <w:tcW w:w="2054" w:type="dxa"/>
          </w:tcPr>
          <w:p w14:paraId="2DD154BA"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Cvjetna cesta 17, Zagreb </w:t>
            </w:r>
          </w:p>
        </w:tc>
        <w:tc>
          <w:tcPr>
            <w:tcW w:w="1541" w:type="dxa"/>
          </w:tcPr>
          <w:p w14:paraId="52AC414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410</w:t>
            </w:r>
          </w:p>
        </w:tc>
        <w:tc>
          <w:tcPr>
            <w:tcW w:w="1483" w:type="dxa"/>
          </w:tcPr>
          <w:p w14:paraId="3552301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250</w:t>
            </w:r>
          </w:p>
        </w:tc>
        <w:tc>
          <w:tcPr>
            <w:tcW w:w="1255" w:type="dxa"/>
          </w:tcPr>
          <w:p w14:paraId="2D0BCBA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1962.</w:t>
            </w:r>
          </w:p>
        </w:tc>
      </w:tr>
      <w:tr w:rsidR="00CE628C" w:rsidRPr="004750F4" w14:paraId="4FE7392A" w14:textId="77777777" w:rsidTr="0025690A">
        <w:tblPrEx>
          <w:tblCellMar>
            <w:top w:w="5" w:type="dxa"/>
          </w:tblCellMar>
        </w:tblPrEx>
        <w:trPr>
          <w:cantSplit/>
        </w:trPr>
        <w:tc>
          <w:tcPr>
            <w:tcW w:w="685" w:type="dxa"/>
          </w:tcPr>
          <w:p w14:paraId="7DF36F9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37.</w:t>
            </w:r>
          </w:p>
        </w:tc>
        <w:tc>
          <w:tcPr>
            <w:tcW w:w="2054" w:type="dxa"/>
          </w:tcPr>
          <w:p w14:paraId="7F0D8258"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OŠ GRIGOR VITEZ</w:t>
            </w:r>
            <w:r w:rsidR="00E40AC8" w:rsidRPr="0032536A">
              <w:rPr>
                <w:rFonts w:ascii="Times New Roman" w:eastAsia="Times New Roman" w:hAnsi="Times New Roman" w:cs="Times New Roman"/>
                <w:color w:val="auto"/>
              </w:rPr>
              <w:t xml:space="preserve"> </w:t>
            </w:r>
          </w:p>
        </w:tc>
        <w:tc>
          <w:tcPr>
            <w:tcW w:w="2054" w:type="dxa"/>
          </w:tcPr>
          <w:p w14:paraId="444E5FA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Kruge 46, Zagreb </w:t>
            </w:r>
          </w:p>
        </w:tc>
        <w:tc>
          <w:tcPr>
            <w:tcW w:w="1541" w:type="dxa"/>
          </w:tcPr>
          <w:p w14:paraId="0DB97DD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600</w:t>
            </w:r>
          </w:p>
        </w:tc>
        <w:tc>
          <w:tcPr>
            <w:tcW w:w="1483" w:type="dxa"/>
          </w:tcPr>
          <w:p w14:paraId="201D5C9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300</w:t>
            </w:r>
          </w:p>
        </w:tc>
        <w:tc>
          <w:tcPr>
            <w:tcW w:w="1255" w:type="dxa"/>
          </w:tcPr>
          <w:p w14:paraId="21763BF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1953.</w:t>
            </w:r>
          </w:p>
        </w:tc>
      </w:tr>
      <w:tr w:rsidR="00CE628C" w:rsidRPr="004750F4" w14:paraId="0FF03F0A" w14:textId="77777777" w:rsidTr="0025690A">
        <w:tblPrEx>
          <w:tblCellMar>
            <w:top w:w="5" w:type="dxa"/>
          </w:tblCellMar>
        </w:tblPrEx>
        <w:trPr>
          <w:cantSplit/>
        </w:trPr>
        <w:tc>
          <w:tcPr>
            <w:tcW w:w="685" w:type="dxa"/>
          </w:tcPr>
          <w:p w14:paraId="7488D03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38.</w:t>
            </w:r>
          </w:p>
        </w:tc>
        <w:tc>
          <w:tcPr>
            <w:tcW w:w="2054" w:type="dxa"/>
          </w:tcPr>
          <w:p w14:paraId="3FA853D3"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LUKA </w:t>
            </w:r>
          </w:p>
        </w:tc>
        <w:tc>
          <w:tcPr>
            <w:tcW w:w="2054" w:type="dxa"/>
          </w:tcPr>
          <w:p w14:paraId="37A4A616"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eastAsia="Times New Roman" w:hAnsi="Times New Roman" w:cs="Times New Roman"/>
                <w:color w:val="auto"/>
              </w:rPr>
              <w:t xml:space="preserve">Otona Ivekovića 16, Sesvete </w:t>
            </w:r>
          </w:p>
        </w:tc>
        <w:tc>
          <w:tcPr>
            <w:tcW w:w="1541" w:type="dxa"/>
          </w:tcPr>
          <w:p w14:paraId="42846B1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500</w:t>
            </w:r>
          </w:p>
        </w:tc>
        <w:tc>
          <w:tcPr>
            <w:tcW w:w="1483" w:type="dxa"/>
          </w:tcPr>
          <w:p w14:paraId="6D0C332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120</w:t>
            </w:r>
          </w:p>
        </w:tc>
        <w:tc>
          <w:tcPr>
            <w:tcW w:w="1255" w:type="dxa"/>
          </w:tcPr>
          <w:p w14:paraId="08145AE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1975.</w:t>
            </w:r>
          </w:p>
        </w:tc>
      </w:tr>
      <w:tr w:rsidR="00CE628C" w:rsidRPr="004750F4" w14:paraId="6C30B885" w14:textId="77777777" w:rsidTr="0025690A">
        <w:tblPrEx>
          <w:tblCellMar>
            <w:top w:w="5" w:type="dxa"/>
          </w:tblCellMar>
        </w:tblPrEx>
        <w:trPr>
          <w:cantSplit/>
        </w:trPr>
        <w:tc>
          <w:tcPr>
            <w:tcW w:w="685" w:type="dxa"/>
          </w:tcPr>
          <w:p w14:paraId="0EAF246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39.</w:t>
            </w:r>
          </w:p>
        </w:tc>
        <w:tc>
          <w:tcPr>
            <w:tcW w:w="2054" w:type="dxa"/>
          </w:tcPr>
          <w:p w14:paraId="70150924"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KRALJA TOMISLAVA </w:t>
            </w:r>
          </w:p>
        </w:tc>
        <w:tc>
          <w:tcPr>
            <w:tcW w:w="2054" w:type="dxa"/>
          </w:tcPr>
          <w:p w14:paraId="720C95F9"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Nova cesta 92, Zagreb </w:t>
            </w:r>
          </w:p>
        </w:tc>
        <w:tc>
          <w:tcPr>
            <w:tcW w:w="1541" w:type="dxa"/>
          </w:tcPr>
          <w:p w14:paraId="67E260E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500</w:t>
            </w:r>
          </w:p>
        </w:tc>
        <w:tc>
          <w:tcPr>
            <w:tcW w:w="1483" w:type="dxa"/>
          </w:tcPr>
          <w:p w14:paraId="72AB4F1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3106C7E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1928.</w:t>
            </w:r>
          </w:p>
        </w:tc>
      </w:tr>
      <w:tr w:rsidR="00CE628C" w:rsidRPr="004750F4" w14:paraId="33991EEA" w14:textId="77777777" w:rsidTr="0025690A">
        <w:tblPrEx>
          <w:tblCellMar>
            <w:top w:w="5" w:type="dxa"/>
          </w:tblCellMar>
        </w:tblPrEx>
        <w:trPr>
          <w:cantSplit/>
        </w:trPr>
        <w:tc>
          <w:tcPr>
            <w:tcW w:w="685" w:type="dxa"/>
          </w:tcPr>
          <w:p w14:paraId="2423B5F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40.</w:t>
            </w:r>
          </w:p>
        </w:tc>
        <w:tc>
          <w:tcPr>
            <w:tcW w:w="2054" w:type="dxa"/>
          </w:tcPr>
          <w:p w14:paraId="09086AB9"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OŠ</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F.</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K.</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FRANKOPANA </w:t>
            </w:r>
          </w:p>
        </w:tc>
        <w:tc>
          <w:tcPr>
            <w:tcW w:w="2054" w:type="dxa"/>
          </w:tcPr>
          <w:p w14:paraId="22F2F235"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Ivanićgradska 24, Zagreb </w:t>
            </w:r>
          </w:p>
        </w:tc>
        <w:tc>
          <w:tcPr>
            <w:tcW w:w="1541" w:type="dxa"/>
          </w:tcPr>
          <w:p w14:paraId="5D429B2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1000</w:t>
            </w:r>
          </w:p>
        </w:tc>
        <w:tc>
          <w:tcPr>
            <w:tcW w:w="1483" w:type="dxa"/>
          </w:tcPr>
          <w:p w14:paraId="5F47982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1000</w:t>
            </w:r>
          </w:p>
        </w:tc>
        <w:tc>
          <w:tcPr>
            <w:tcW w:w="1255" w:type="dxa"/>
          </w:tcPr>
          <w:p w14:paraId="58A4568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1952.</w:t>
            </w:r>
          </w:p>
        </w:tc>
      </w:tr>
      <w:tr w:rsidR="00CE628C" w:rsidRPr="004750F4" w14:paraId="21BF0D8F" w14:textId="77777777" w:rsidTr="0025690A">
        <w:tblPrEx>
          <w:tblCellMar>
            <w:top w:w="5" w:type="dxa"/>
          </w:tblCellMar>
        </w:tblPrEx>
        <w:trPr>
          <w:cantSplit/>
        </w:trPr>
        <w:tc>
          <w:tcPr>
            <w:tcW w:w="685" w:type="dxa"/>
          </w:tcPr>
          <w:p w14:paraId="1443B99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41.</w:t>
            </w:r>
          </w:p>
        </w:tc>
        <w:tc>
          <w:tcPr>
            <w:tcW w:w="2054" w:type="dxa"/>
          </w:tcPr>
          <w:p w14:paraId="0534CE99"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OŠ FRANA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GALOVIĆA, I.</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OŠ DUGAVE </w:t>
            </w:r>
          </w:p>
        </w:tc>
        <w:tc>
          <w:tcPr>
            <w:tcW w:w="2054" w:type="dxa"/>
          </w:tcPr>
          <w:p w14:paraId="55E68225"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Školski prilaz 7, 10010 Zagreb </w:t>
            </w:r>
          </w:p>
        </w:tc>
        <w:tc>
          <w:tcPr>
            <w:tcW w:w="1541" w:type="dxa"/>
          </w:tcPr>
          <w:p w14:paraId="071BB8F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1200</w:t>
            </w:r>
          </w:p>
        </w:tc>
        <w:tc>
          <w:tcPr>
            <w:tcW w:w="1483" w:type="dxa"/>
          </w:tcPr>
          <w:p w14:paraId="4D94527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400</w:t>
            </w:r>
          </w:p>
        </w:tc>
        <w:tc>
          <w:tcPr>
            <w:tcW w:w="1255" w:type="dxa"/>
          </w:tcPr>
          <w:p w14:paraId="4E2CA4E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1980.</w:t>
            </w:r>
          </w:p>
        </w:tc>
      </w:tr>
      <w:tr w:rsidR="00CE628C" w:rsidRPr="004750F4" w14:paraId="0FB5388D" w14:textId="77777777" w:rsidTr="0025690A">
        <w:tblPrEx>
          <w:tblCellMar>
            <w:top w:w="5" w:type="dxa"/>
          </w:tblCellMar>
        </w:tblPrEx>
        <w:trPr>
          <w:cantSplit/>
        </w:trPr>
        <w:tc>
          <w:tcPr>
            <w:tcW w:w="685" w:type="dxa"/>
          </w:tcPr>
          <w:p w14:paraId="3977E00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42.</w:t>
            </w:r>
          </w:p>
        </w:tc>
        <w:tc>
          <w:tcPr>
            <w:tcW w:w="2054" w:type="dxa"/>
          </w:tcPr>
          <w:p w14:paraId="46DAEF9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BANA JOSIPA JELAČIĆA </w:t>
            </w:r>
          </w:p>
        </w:tc>
        <w:tc>
          <w:tcPr>
            <w:tcW w:w="2054" w:type="dxa"/>
          </w:tcPr>
          <w:p w14:paraId="58258B41"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Podgradski odvojak 1,</w:t>
            </w:r>
            <w:r w:rsidR="00D20688"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Zagreb </w:t>
            </w:r>
          </w:p>
        </w:tc>
        <w:tc>
          <w:tcPr>
            <w:tcW w:w="1541" w:type="dxa"/>
          </w:tcPr>
          <w:p w14:paraId="335C26F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650</w:t>
            </w:r>
          </w:p>
        </w:tc>
        <w:tc>
          <w:tcPr>
            <w:tcW w:w="1483" w:type="dxa"/>
          </w:tcPr>
          <w:p w14:paraId="714E955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600</w:t>
            </w:r>
          </w:p>
        </w:tc>
        <w:tc>
          <w:tcPr>
            <w:tcW w:w="1255" w:type="dxa"/>
          </w:tcPr>
          <w:p w14:paraId="6EC4D1E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1957.</w:t>
            </w:r>
          </w:p>
        </w:tc>
      </w:tr>
      <w:tr w:rsidR="00CE628C" w:rsidRPr="004750F4" w14:paraId="0DDD86D9" w14:textId="77777777" w:rsidTr="0025690A">
        <w:tblPrEx>
          <w:tblCellMar>
            <w:top w:w="5" w:type="dxa"/>
          </w:tblCellMar>
        </w:tblPrEx>
        <w:trPr>
          <w:cantSplit/>
        </w:trPr>
        <w:tc>
          <w:tcPr>
            <w:tcW w:w="685" w:type="dxa"/>
          </w:tcPr>
          <w:p w14:paraId="3647448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43.</w:t>
            </w:r>
          </w:p>
        </w:tc>
        <w:tc>
          <w:tcPr>
            <w:tcW w:w="2054" w:type="dxa"/>
          </w:tcPr>
          <w:p w14:paraId="671CB79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PETAR ZRINSKI </w:t>
            </w:r>
          </w:p>
        </w:tc>
        <w:tc>
          <w:tcPr>
            <w:tcW w:w="2054" w:type="dxa"/>
          </w:tcPr>
          <w:p w14:paraId="53BB55A6"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Krajiška 9, 10000 Zagreb </w:t>
            </w:r>
          </w:p>
        </w:tc>
        <w:tc>
          <w:tcPr>
            <w:tcW w:w="1541" w:type="dxa"/>
          </w:tcPr>
          <w:p w14:paraId="54D1939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725</w:t>
            </w:r>
          </w:p>
        </w:tc>
        <w:tc>
          <w:tcPr>
            <w:tcW w:w="1483" w:type="dxa"/>
          </w:tcPr>
          <w:p w14:paraId="0717592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1000</w:t>
            </w:r>
          </w:p>
        </w:tc>
        <w:tc>
          <w:tcPr>
            <w:tcW w:w="1255" w:type="dxa"/>
          </w:tcPr>
          <w:p w14:paraId="25C4E6F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1890.</w:t>
            </w:r>
          </w:p>
        </w:tc>
      </w:tr>
      <w:tr w:rsidR="00CE628C" w:rsidRPr="004750F4" w14:paraId="3695EE78" w14:textId="77777777" w:rsidTr="0025690A">
        <w:tblPrEx>
          <w:tblCellMar>
            <w:top w:w="5" w:type="dxa"/>
          </w:tblCellMar>
        </w:tblPrEx>
        <w:trPr>
          <w:cantSplit/>
        </w:trPr>
        <w:tc>
          <w:tcPr>
            <w:tcW w:w="685" w:type="dxa"/>
          </w:tcPr>
          <w:p w14:paraId="068AE2A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44.</w:t>
            </w:r>
          </w:p>
        </w:tc>
        <w:tc>
          <w:tcPr>
            <w:tcW w:w="2054" w:type="dxa"/>
          </w:tcPr>
          <w:p w14:paraId="19255CB6"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NIKOLE TESLE </w:t>
            </w:r>
          </w:p>
        </w:tc>
        <w:tc>
          <w:tcPr>
            <w:tcW w:w="2054" w:type="dxa"/>
          </w:tcPr>
          <w:p w14:paraId="49626F4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Matetićeva 67, Zagreb </w:t>
            </w:r>
          </w:p>
        </w:tc>
        <w:tc>
          <w:tcPr>
            <w:tcW w:w="1541" w:type="dxa"/>
          </w:tcPr>
          <w:p w14:paraId="6053193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666</w:t>
            </w:r>
          </w:p>
        </w:tc>
        <w:tc>
          <w:tcPr>
            <w:tcW w:w="1483" w:type="dxa"/>
          </w:tcPr>
          <w:p w14:paraId="6EFAE51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245</w:t>
            </w:r>
          </w:p>
        </w:tc>
        <w:tc>
          <w:tcPr>
            <w:tcW w:w="1255" w:type="dxa"/>
          </w:tcPr>
          <w:p w14:paraId="2A3461B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1976.</w:t>
            </w:r>
          </w:p>
        </w:tc>
      </w:tr>
      <w:tr w:rsidR="00CE628C" w:rsidRPr="004750F4" w14:paraId="0C4A312C" w14:textId="77777777" w:rsidTr="0025690A">
        <w:tblPrEx>
          <w:tblCellMar>
            <w:top w:w="5" w:type="dxa"/>
          </w:tblCellMar>
        </w:tblPrEx>
        <w:trPr>
          <w:cantSplit/>
        </w:trPr>
        <w:tc>
          <w:tcPr>
            <w:tcW w:w="685" w:type="dxa"/>
          </w:tcPr>
          <w:p w14:paraId="30EA398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lastRenderedPageBreak/>
              <w:t>45.</w:t>
            </w:r>
          </w:p>
        </w:tc>
        <w:tc>
          <w:tcPr>
            <w:tcW w:w="2054" w:type="dxa"/>
          </w:tcPr>
          <w:p w14:paraId="24ADB1E8"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ŽUTI BRIJEG </w:t>
            </w:r>
          </w:p>
        </w:tc>
        <w:tc>
          <w:tcPr>
            <w:tcW w:w="2054" w:type="dxa"/>
          </w:tcPr>
          <w:p w14:paraId="368EDE29"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Vrtnjakovečka 8, 10040 Zagreb </w:t>
            </w:r>
          </w:p>
        </w:tc>
        <w:tc>
          <w:tcPr>
            <w:tcW w:w="1541" w:type="dxa"/>
          </w:tcPr>
          <w:p w14:paraId="21ED8C4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750</w:t>
            </w:r>
          </w:p>
        </w:tc>
        <w:tc>
          <w:tcPr>
            <w:tcW w:w="1483" w:type="dxa"/>
          </w:tcPr>
          <w:p w14:paraId="312C7C2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350</w:t>
            </w:r>
          </w:p>
        </w:tc>
        <w:tc>
          <w:tcPr>
            <w:tcW w:w="1255" w:type="dxa"/>
          </w:tcPr>
          <w:p w14:paraId="12A2D82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1983.</w:t>
            </w:r>
          </w:p>
        </w:tc>
      </w:tr>
      <w:tr w:rsidR="00CE628C" w:rsidRPr="004750F4" w14:paraId="22B6F7F2" w14:textId="77777777" w:rsidTr="0025690A">
        <w:tblPrEx>
          <w:tblCellMar>
            <w:top w:w="5" w:type="dxa"/>
          </w:tblCellMar>
        </w:tblPrEx>
        <w:trPr>
          <w:cantSplit/>
        </w:trPr>
        <w:tc>
          <w:tcPr>
            <w:tcW w:w="685" w:type="dxa"/>
          </w:tcPr>
          <w:p w14:paraId="154D2DE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46.</w:t>
            </w:r>
          </w:p>
        </w:tc>
        <w:tc>
          <w:tcPr>
            <w:tcW w:w="2054" w:type="dxa"/>
          </w:tcPr>
          <w:p w14:paraId="4CE6538D"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OŠ</w:t>
            </w:r>
            <w:r w:rsidR="00E40AC8"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ODRA </w:t>
            </w:r>
          </w:p>
        </w:tc>
        <w:tc>
          <w:tcPr>
            <w:tcW w:w="2054" w:type="dxa"/>
          </w:tcPr>
          <w:p w14:paraId="3B202C41"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Đačka 5, Zagreb </w:t>
            </w:r>
          </w:p>
        </w:tc>
        <w:tc>
          <w:tcPr>
            <w:tcW w:w="1541" w:type="dxa"/>
          </w:tcPr>
          <w:p w14:paraId="5C4E7FE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w:t>
            </w:r>
          </w:p>
        </w:tc>
        <w:tc>
          <w:tcPr>
            <w:tcW w:w="1483" w:type="dxa"/>
          </w:tcPr>
          <w:p w14:paraId="4A8D5C9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w:t>
            </w:r>
          </w:p>
        </w:tc>
        <w:tc>
          <w:tcPr>
            <w:tcW w:w="1255" w:type="dxa"/>
          </w:tcPr>
          <w:p w14:paraId="2C25017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1967.</w:t>
            </w:r>
          </w:p>
        </w:tc>
      </w:tr>
      <w:tr w:rsidR="00CE628C" w:rsidRPr="004750F4" w14:paraId="5060E28D" w14:textId="77777777" w:rsidTr="0025690A">
        <w:tblPrEx>
          <w:tblCellMar>
            <w:top w:w="5" w:type="dxa"/>
          </w:tblCellMar>
        </w:tblPrEx>
        <w:trPr>
          <w:cantSplit/>
        </w:trPr>
        <w:tc>
          <w:tcPr>
            <w:tcW w:w="685" w:type="dxa"/>
          </w:tcPr>
          <w:p w14:paraId="6052C91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47.</w:t>
            </w:r>
          </w:p>
        </w:tc>
        <w:tc>
          <w:tcPr>
            <w:tcW w:w="2054" w:type="dxa"/>
          </w:tcPr>
          <w:p w14:paraId="62F970D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TINA UJEVIĆA </w:t>
            </w:r>
          </w:p>
        </w:tc>
        <w:tc>
          <w:tcPr>
            <w:tcW w:w="2054" w:type="dxa"/>
          </w:tcPr>
          <w:p w14:paraId="1669C643"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Koturaška 75, Zagreb </w:t>
            </w:r>
          </w:p>
        </w:tc>
        <w:tc>
          <w:tcPr>
            <w:tcW w:w="1541" w:type="dxa"/>
          </w:tcPr>
          <w:p w14:paraId="72E7C4F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500</w:t>
            </w:r>
          </w:p>
        </w:tc>
        <w:tc>
          <w:tcPr>
            <w:tcW w:w="1483" w:type="dxa"/>
          </w:tcPr>
          <w:p w14:paraId="407D172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300</w:t>
            </w:r>
          </w:p>
        </w:tc>
        <w:tc>
          <w:tcPr>
            <w:tcW w:w="1255" w:type="dxa"/>
          </w:tcPr>
          <w:p w14:paraId="19EDBC6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1935.</w:t>
            </w:r>
          </w:p>
        </w:tc>
      </w:tr>
      <w:tr w:rsidR="00CE628C" w:rsidRPr="004750F4" w14:paraId="74F6C437" w14:textId="77777777" w:rsidTr="0025690A">
        <w:tblPrEx>
          <w:tblCellMar>
            <w:top w:w="5" w:type="dxa"/>
          </w:tblCellMar>
        </w:tblPrEx>
        <w:trPr>
          <w:cantSplit/>
        </w:trPr>
        <w:tc>
          <w:tcPr>
            <w:tcW w:w="685" w:type="dxa"/>
          </w:tcPr>
          <w:p w14:paraId="2FE02B1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48.</w:t>
            </w:r>
          </w:p>
        </w:tc>
        <w:tc>
          <w:tcPr>
            <w:tcW w:w="2054" w:type="dxa"/>
          </w:tcPr>
          <w:p w14:paraId="45E1F276"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OŠ</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VUKOMEREC </w:t>
            </w:r>
          </w:p>
        </w:tc>
        <w:tc>
          <w:tcPr>
            <w:tcW w:w="2054" w:type="dxa"/>
          </w:tcPr>
          <w:p w14:paraId="081F824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Porečka 7c, Zagreb </w:t>
            </w:r>
          </w:p>
        </w:tc>
        <w:tc>
          <w:tcPr>
            <w:tcW w:w="1541" w:type="dxa"/>
          </w:tcPr>
          <w:p w14:paraId="3BD6408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812</w:t>
            </w:r>
          </w:p>
        </w:tc>
        <w:tc>
          <w:tcPr>
            <w:tcW w:w="1483" w:type="dxa"/>
          </w:tcPr>
          <w:p w14:paraId="2576473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812</w:t>
            </w:r>
          </w:p>
        </w:tc>
        <w:tc>
          <w:tcPr>
            <w:tcW w:w="1255" w:type="dxa"/>
          </w:tcPr>
          <w:p w14:paraId="45980B5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1974.</w:t>
            </w:r>
          </w:p>
        </w:tc>
      </w:tr>
      <w:tr w:rsidR="00CE628C" w:rsidRPr="004750F4" w14:paraId="6F0B1E50" w14:textId="77777777" w:rsidTr="0025690A">
        <w:tblPrEx>
          <w:tblCellMar>
            <w:top w:w="5" w:type="dxa"/>
          </w:tblCellMar>
        </w:tblPrEx>
        <w:trPr>
          <w:cantSplit/>
        </w:trPr>
        <w:tc>
          <w:tcPr>
            <w:tcW w:w="685" w:type="dxa"/>
          </w:tcPr>
          <w:p w14:paraId="39D26F1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49.</w:t>
            </w:r>
          </w:p>
        </w:tc>
        <w:tc>
          <w:tcPr>
            <w:tcW w:w="2054" w:type="dxa"/>
          </w:tcPr>
          <w:p w14:paraId="58FD6C3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MARKUŠEVEC </w:t>
            </w:r>
          </w:p>
        </w:tc>
        <w:tc>
          <w:tcPr>
            <w:tcW w:w="2054" w:type="dxa"/>
          </w:tcPr>
          <w:p w14:paraId="0D2CB101"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Markuševečka cesta 160, Zagreb </w:t>
            </w:r>
          </w:p>
        </w:tc>
        <w:tc>
          <w:tcPr>
            <w:tcW w:w="1541" w:type="dxa"/>
          </w:tcPr>
          <w:p w14:paraId="068F29F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340</w:t>
            </w:r>
          </w:p>
        </w:tc>
        <w:tc>
          <w:tcPr>
            <w:tcW w:w="1483" w:type="dxa"/>
          </w:tcPr>
          <w:p w14:paraId="3D4A925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250</w:t>
            </w:r>
          </w:p>
        </w:tc>
        <w:tc>
          <w:tcPr>
            <w:tcW w:w="1255" w:type="dxa"/>
          </w:tcPr>
          <w:p w14:paraId="70DD261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1965.</w:t>
            </w:r>
          </w:p>
        </w:tc>
      </w:tr>
      <w:tr w:rsidR="00CE628C" w:rsidRPr="004750F4" w14:paraId="63754BF9" w14:textId="77777777" w:rsidTr="0025690A">
        <w:tblPrEx>
          <w:tblCellMar>
            <w:top w:w="5" w:type="dxa"/>
          </w:tblCellMar>
        </w:tblPrEx>
        <w:trPr>
          <w:cantSplit/>
        </w:trPr>
        <w:tc>
          <w:tcPr>
            <w:tcW w:w="685" w:type="dxa"/>
          </w:tcPr>
          <w:p w14:paraId="1896DAE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50.</w:t>
            </w:r>
          </w:p>
        </w:tc>
        <w:tc>
          <w:tcPr>
            <w:tcW w:w="2054" w:type="dxa"/>
          </w:tcPr>
          <w:p w14:paraId="6E5787EF"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MIROSLAVA KRLEŽE </w:t>
            </w:r>
          </w:p>
        </w:tc>
        <w:tc>
          <w:tcPr>
            <w:tcW w:w="2054" w:type="dxa"/>
          </w:tcPr>
          <w:p w14:paraId="2F06BD6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Kaptol 16, Zagreb </w:t>
            </w:r>
          </w:p>
        </w:tc>
        <w:tc>
          <w:tcPr>
            <w:tcW w:w="1541" w:type="dxa"/>
          </w:tcPr>
          <w:p w14:paraId="309C1F4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250</w:t>
            </w:r>
          </w:p>
        </w:tc>
        <w:tc>
          <w:tcPr>
            <w:tcW w:w="1483" w:type="dxa"/>
          </w:tcPr>
          <w:p w14:paraId="70680BD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250</w:t>
            </w:r>
          </w:p>
        </w:tc>
        <w:tc>
          <w:tcPr>
            <w:tcW w:w="1255" w:type="dxa"/>
          </w:tcPr>
          <w:p w14:paraId="629AB09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1878.</w:t>
            </w:r>
          </w:p>
        </w:tc>
      </w:tr>
      <w:tr w:rsidR="00CE628C" w:rsidRPr="004750F4" w14:paraId="65D661FB" w14:textId="77777777" w:rsidTr="0025690A">
        <w:tblPrEx>
          <w:tblCellMar>
            <w:top w:w="5" w:type="dxa"/>
          </w:tblCellMar>
        </w:tblPrEx>
        <w:trPr>
          <w:cantSplit/>
        </w:trPr>
        <w:tc>
          <w:tcPr>
            <w:tcW w:w="685" w:type="dxa"/>
          </w:tcPr>
          <w:p w14:paraId="25F0755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51.</w:t>
            </w:r>
          </w:p>
        </w:tc>
        <w:tc>
          <w:tcPr>
            <w:tcW w:w="2054" w:type="dxa"/>
          </w:tcPr>
          <w:p w14:paraId="14D32576"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STJEPANA BENCEKOVIĆA </w:t>
            </w:r>
          </w:p>
        </w:tc>
        <w:tc>
          <w:tcPr>
            <w:tcW w:w="2054" w:type="dxa"/>
          </w:tcPr>
          <w:p w14:paraId="0350EDF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Horvaćanski trg</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1,</w:t>
            </w:r>
            <w:r w:rsidR="00D20688"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10436 Rakov Potok </w:t>
            </w:r>
          </w:p>
        </w:tc>
        <w:tc>
          <w:tcPr>
            <w:tcW w:w="1541" w:type="dxa"/>
          </w:tcPr>
          <w:p w14:paraId="52C51AB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150</w:t>
            </w:r>
          </w:p>
        </w:tc>
        <w:tc>
          <w:tcPr>
            <w:tcW w:w="1483" w:type="dxa"/>
          </w:tcPr>
          <w:p w14:paraId="6E9F4C2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60</w:t>
            </w:r>
          </w:p>
        </w:tc>
        <w:tc>
          <w:tcPr>
            <w:tcW w:w="1255" w:type="dxa"/>
          </w:tcPr>
          <w:p w14:paraId="70396B4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1962.</w:t>
            </w:r>
          </w:p>
        </w:tc>
      </w:tr>
      <w:tr w:rsidR="00CE628C" w:rsidRPr="004750F4" w14:paraId="0CF14760" w14:textId="77777777" w:rsidTr="0025690A">
        <w:tblPrEx>
          <w:tblCellMar>
            <w:top w:w="5" w:type="dxa"/>
          </w:tblCellMar>
        </w:tblPrEx>
        <w:trPr>
          <w:cantSplit/>
        </w:trPr>
        <w:tc>
          <w:tcPr>
            <w:tcW w:w="685" w:type="dxa"/>
          </w:tcPr>
          <w:p w14:paraId="6C79C18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52.</w:t>
            </w:r>
          </w:p>
        </w:tc>
        <w:tc>
          <w:tcPr>
            <w:tcW w:w="2054" w:type="dxa"/>
          </w:tcPr>
          <w:p w14:paraId="16018493"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OSNOVNA ŠKOLA SVETA KLARA </w:t>
            </w:r>
          </w:p>
        </w:tc>
        <w:tc>
          <w:tcPr>
            <w:tcW w:w="2054" w:type="dxa"/>
          </w:tcPr>
          <w:p w14:paraId="5347C80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Mrkšina 42, Zagreb </w:t>
            </w:r>
          </w:p>
        </w:tc>
        <w:tc>
          <w:tcPr>
            <w:tcW w:w="1541" w:type="dxa"/>
          </w:tcPr>
          <w:p w14:paraId="03D293F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680</w:t>
            </w:r>
          </w:p>
        </w:tc>
        <w:tc>
          <w:tcPr>
            <w:tcW w:w="1483" w:type="dxa"/>
          </w:tcPr>
          <w:p w14:paraId="4082F3C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120</w:t>
            </w:r>
          </w:p>
        </w:tc>
        <w:tc>
          <w:tcPr>
            <w:tcW w:w="1255" w:type="dxa"/>
          </w:tcPr>
          <w:p w14:paraId="7ACFB21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1859.</w:t>
            </w:r>
          </w:p>
        </w:tc>
      </w:tr>
      <w:tr w:rsidR="00CE628C" w:rsidRPr="004750F4" w14:paraId="7C3937A0" w14:textId="77777777" w:rsidTr="0025690A">
        <w:tblPrEx>
          <w:tblCellMar>
            <w:top w:w="5" w:type="dxa"/>
          </w:tblCellMar>
        </w:tblPrEx>
        <w:trPr>
          <w:cantSplit/>
        </w:trPr>
        <w:tc>
          <w:tcPr>
            <w:tcW w:w="685" w:type="dxa"/>
          </w:tcPr>
          <w:p w14:paraId="1F4BE7F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53.</w:t>
            </w:r>
          </w:p>
        </w:tc>
        <w:tc>
          <w:tcPr>
            <w:tcW w:w="2054" w:type="dxa"/>
          </w:tcPr>
          <w:p w14:paraId="3E0DFFFD"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OSNOVNA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ŠKOLA IVANA FILIPOVIĆA </w:t>
            </w:r>
          </w:p>
        </w:tc>
        <w:tc>
          <w:tcPr>
            <w:tcW w:w="2054" w:type="dxa"/>
          </w:tcPr>
          <w:p w14:paraId="3A2254E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Filipovićeva 1, Zagreb </w:t>
            </w:r>
          </w:p>
        </w:tc>
        <w:tc>
          <w:tcPr>
            <w:tcW w:w="1541" w:type="dxa"/>
          </w:tcPr>
          <w:p w14:paraId="5220843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380</w:t>
            </w:r>
          </w:p>
        </w:tc>
        <w:tc>
          <w:tcPr>
            <w:tcW w:w="1483" w:type="dxa"/>
          </w:tcPr>
          <w:p w14:paraId="447C87A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180</w:t>
            </w:r>
          </w:p>
        </w:tc>
        <w:tc>
          <w:tcPr>
            <w:tcW w:w="1255" w:type="dxa"/>
          </w:tcPr>
          <w:p w14:paraId="786CAD1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1903.</w:t>
            </w:r>
          </w:p>
        </w:tc>
      </w:tr>
      <w:tr w:rsidR="00CE628C" w:rsidRPr="004750F4" w14:paraId="30184EF3" w14:textId="77777777" w:rsidTr="0025690A">
        <w:tblPrEx>
          <w:tblCellMar>
            <w:top w:w="5" w:type="dxa"/>
          </w:tblCellMar>
        </w:tblPrEx>
        <w:trPr>
          <w:cantSplit/>
        </w:trPr>
        <w:tc>
          <w:tcPr>
            <w:tcW w:w="685" w:type="dxa"/>
          </w:tcPr>
          <w:p w14:paraId="3A17E11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54.</w:t>
            </w:r>
          </w:p>
        </w:tc>
        <w:tc>
          <w:tcPr>
            <w:tcW w:w="2054" w:type="dxa"/>
          </w:tcPr>
          <w:p w14:paraId="41234C2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OŠ SILVIJA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STRAHIMIRA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KRANJČEVIĆA </w:t>
            </w:r>
          </w:p>
        </w:tc>
        <w:tc>
          <w:tcPr>
            <w:tcW w:w="2054" w:type="dxa"/>
          </w:tcPr>
          <w:p w14:paraId="022E6139"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Bogišićeva 13, Zagreb </w:t>
            </w:r>
          </w:p>
        </w:tc>
        <w:tc>
          <w:tcPr>
            <w:tcW w:w="1541" w:type="dxa"/>
          </w:tcPr>
          <w:p w14:paraId="4854796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800</w:t>
            </w:r>
          </w:p>
        </w:tc>
        <w:tc>
          <w:tcPr>
            <w:tcW w:w="1483" w:type="dxa"/>
          </w:tcPr>
          <w:p w14:paraId="6BC18ED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210</w:t>
            </w:r>
          </w:p>
        </w:tc>
        <w:tc>
          <w:tcPr>
            <w:tcW w:w="1255" w:type="dxa"/>
          </w:tcPr>
          <w:p w14:paraId="7B92216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1958.</w:t>
            </w:r>
          </w:p>
        </w:tc>
      </w:tr>
      <w:tr w:rsidR="00CE628C" w:rsidRPr="004750F4" w14:paraId="7ACB6A0D" w14:textId="77777777" w:rsidTr="0025690A">
        <w:tblPrEx>
          <w:tblCellMar>
            <w:top w:w="5" w:type="dxa"/>
          </w:tblCellMar>
        </w:tblPrEx>
        <w:trPr>
          <w:cantSplit/>
        </w:trPr>
        <w:tc>
          <w:tcPr>
            <w:tcW w:w="685" w:type="dxa"/>
          </w:tcPr>
          <w:p w14:paraId="2F9994B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55.</w:t>
            </w:r>
          </w:p>
        </w:tc>
        <w:tc>
          <w:tcPr>
            <w:tcW w:w="2054" w:type="dxa"/>
          </w:tcPr>
          <w:p w14:paraId="31EB4BE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OSNOVNA ŠKOLA NAD LIPOM </w:t>
            </w:r>
          </w:p>
        </w:tc>
        <w:tc>
          <w:tcPr>
            <w:tcW w:w="2054" w:type="dxa"/>
          </w:tcPr>
          <w:p w14:paraId="2ACAEC4D"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Nad lipom 13/1, Zagreb </w:t>
            </w:r>
          </w:p>
        </w:tc>
        <w:tc>
          <w:tcPr>
            <w:tcW w:w="1541" w:type="dxa"/>
          </w:tcPr>
          <w:p w14:paraId="45D81F9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120</w:t>
            </w:r>
          </w:p>
        </w:tc>
        <w:tc>
          <w:tcPr>
            <w:tcW w:w="1483" w:type="dxa"/>
          </w:tcPr>
          <w:p w14:paraId="0F40A0A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120</w:t>
            </w:r>
          </w:p>
        </w:tc>
        <w:tc>
          <w:tcPr>
            <w:tcW w:w="1255" w:type="dxa"/>
          </w:tcPr>
          <w:p w14:paraId="3D5ED98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1980.</w:t>
            </w:r>
          </w:p>
        </w:tc>
      </w:tr>
      <w:tr w:rsidR="00CE628C" w:rsidRPr="004750F4" w14:paraId="34A72606" w14:textId="77777777" w:rsidTr="0025690A">
        <w:tblPrEx>
          <w:tblCellMar>
            <w:top w:w="5" w:type="dxa"/>
          </w:tblCellMar>
        </w:tblPrEx>
        <w:trPr>
          <w:cantSplit/>
        </w:trPr>
        <w:tc>
          <w:tcPr>
            <w:tcW w:w="685" w:type="dxa"/>
          </w:tcPr>
          <w:p w14:paraId="68B0716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56.</w:t>
            </w:r>
          </w:p>
        </w:tc>
        <w:tc>
          <w:tcPr>
            <w:tcW w:w="2054" w:type="dxa"/>
          </w:tcPr>
          <w:p w14:paraId="53FB5FD9"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OŠ PANTOVČAK</w:t>
            </w:r>
            <w:r w:rsidR="00E40AC8" w:rsidRPr="0032536A">
              <w:rPr>
                <w:rFonts w:ascii="Times New Roman" w:eastAsia="Times New Roman" w:hAnsi="Times New Roman" w:cs="Times New Roman"/>
                <w:color w:val="auto"/>
              </w:rPr>
              <w:t xml:space="preserve"> </w:t>
            </w:r>
          </w:p>
        </w:tc>
        <w:tc>
          <w:tcPr>
            <w:tcW w:w="2054" w:type="dxa"/>
          </w:tcPr>
          <w:p w14:paraId="6D98E318"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Hercegovačka 108, Zagreb </w:t>
            </w:r>
          </w:p>
        </w:tc>
        <w:tc>
          <w:tcPr>
            <w:tcW w:w="1541" w:type="dxa"/>
          </w:tcPr>
          <w:p w14:paraId="1D4CF2B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400</w:t>
            </w:r>
          </w:p>
        </w:tc>
        <w:tc>
          <w:tcPr>
            <w:tcW w:w="1483" w:type="dxa"/>
          </w:tcPr>
          <w:p w14:paraId="2C0794E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39E8D7A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1907.</w:t>
            </w:r>
          </w:p>
        </w:tc>
      </w:tr>
      <w:tr w:rsidR="00CE628C" w:rsidRPr="004750F4" w14:paraId="1B23CA75" w14:textId="77777777" w:rsidTr="0025690A">
        <w:tblPrEx>
          <w:tblCellMar>
            <w:top w:w="5" w:type="dxa"/>
          </w:tblCellMar>
        </w:tblPrEx>
        <w:trPr>
          <w:cantSplit/>
        </w:trPr>
        <w:tc>
          <w:tcPr>
            <w:tcW w:w="685" w:type="dxa"/>
          </w:tcPr>
          <w:p w14:paraId="0B6A78A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57.</w:t>
            </w:r>
          </w:p>
        </w:tc>
        <w:tc>
          <w:tcPr>
            <w:tcW w:w="2054" w:type="dxa"/>
          </w:tcPr>
          <w:p w14:paraId="0EA3EC59"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BUKOVAC </w:t>
            </w:r>
          </w:p>
        </w:tc>
        <w:tc>
          <w:tcPr>
            <w:tcW w:w="2054" w:type="dxa"/>
          </w:tcPr>
          <w:p w14:paraId="41AEDCF6"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Trnac 42, Zagreb </w:t>
            </w:r>
          </w:p>
        </w:tc>
        <w:tc>
          <w:tcPr>
            <w:tcW w:w="1541" w:type="dxa"/>
          </w:tcPr>
          <w:p w14:paraId="6C5F9FE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800</w:t>
            </w:r>
          </w:p>
        </w:tc>
        <w:tc>
          <w:tcPr>
            <w:tcW w:w="1483" w:type="dxa"/>
          </w:tcPr>
          <w:p w14:paraId="2B867F9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w:t>
            </w:r>
          </w:p>
        </w:tc>
        <w:tc>
          <w:tcPr>
            <w:tcW w:w="1255" w:type="dxa"/>
          </w:tcPr>
          <w:p w14:paraId="61DA9F7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1967.</w:t>
            </w:r>
          </w:p>
        </w:tc>
      </w:tr>
      <w:tr w:rsidR="00CE628C" w:rsidRPr="004750F4" w14:paraId="562720E7" w14:textId="77777777" w:rsidTr="0025690A">
        <w:tblPrEx>
          <w:tblCellMar>
            <w:top w:w="5" w:type="dxa"/>
          </w:tblCellMar>
        </w:tblPrEx>
        <w:trPr>
          <w:cantSplit/>
        </w:trPr>
        <w:tc>
          <w:tcPr>
            <w:tcW w:w="685" w:type="dxa"/>
          </w:tcPr>
          <w:p w14:paraId="471AAF8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58.</w:t>
            </w:r>
          </w:p>
        </w:tc>
        <w:tc>
          <w:tcPr>
            <w:tcW w:w="2054" w:type="dxa"/>
          </w:tcPr>
          <w:p w14:paraId="65CC1997"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PETRA PRERADOVIĆA </w:t>
            </w:r>
          </w:p>
        </w:tc>
        <w:tc>
          <w:tcPr>
            <w:tcW w:w="2054" w:type="dxa"/>
          </w:tcPr>
          <w:p w14:paraId="61FEB05D"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Zapoljska 32, Zagreb </w:t>
            </w:r>
          </w:p>
        </w:tc>
        <w:tc>
          <w:tcPr>
            <w:tcW w:w="1541" w:type="dxa"/>
          </w:tcPr>
          <w:p w14:paraId="02C0B8F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500</w:t>
            </w:r>
          </w:p>
        </w:tc>
        <w:tc>
          <w:tcPr>
            <w:tcW w:w="1483" w:type="dxa"/>
          </w:tcPr>
          <w:p w14:paraId="368421F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160</w:t>
            </w:r>
          </w:p>
        </w:tc>
        <w:tc>
          <w:tcPr>
            <w:tcW w:w="1255" w:type="dxa"/>
          </w:tcPr>
          <w:p w14:paraId="0617B27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1968.</w:t>
            </w:r>
          </w:p>
        </w:tc>
      </w:tr>
      <w:tr w:rsidR="00CE628C" w:rsidRPr="004750F4" w14:paraId="2B2CDC01" w14:textId="77777777" w:rsidTr="0025690A">
        <w:tblPrEx>
          <w:tblCellMar>
            <w:top w:w="5" w:type="dxa"/>
          </w:tblCellMar>
        </w:tblPrEx>
        <w:trPr>
          <w:cantSplit/>
        </w:trPr>
        <w:tc>
          <w:tcPr>
            <w:tcW w:w="685" w:type="dxa"/>
          </w:tcPr>
          <w:p w14:paraId="3626204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59.</w:t>
            </w:r>
          </w:p>
        </w:tc>
        <w:tc>
          <w:tcPr>
            <w:tcW w:w="2054" w:type="dxa"/>
          </w:tcPr>
          <w:p w14:paraId="6FB1F067"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ANTUNA BRANKA ŠIMIĆA </w:t>
            </w:r>
          </w:p>
        </w:tc>
        <w:tc>
          <w:tcPr>
            <w:tcW w:w="2054" w:type="dxa"/>
          </w:tcPr>
          <w:p w14:paraId="186095B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Krotovica 15, 10040 Zagreb </w:t>
            </w:r>
          </w:p>
        </w:tc>
        <w:tc>
          <w:tcPr>
            <w:tcW w:w="1541" w:type="dxa"/>
          </w:tcPr>
          <w:p w14:paraId="4C5CF99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600</w:t>
            </w:r>
          </w:p>
        </w:tc>
        <w:tc>
          <w:tcPr>
            <w:tcW w:w="1483" w:type="dxa"/>
          </w:tcPr>
          <w:p w14:paraId="25DF8A0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w:t>
            </w:r>
          </w:p>
        </w:tc>
        <w:tc>
          <w:tcPr>
            <w:tcW w:w="1255" w:type="dxa"/>
          </w:tcPr>
          <w:p w14:paraId="0BBEA0D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1992.</w:t>
            </w:r>
          </w:p>
        </w:tc>
      </w:tr>
      <w:tr w:rsidR="00CE628C" w:rsidRPr="004750F4" w14:paraId="0E85D8A2" w14:textId="77777777" w:rsidTr="0025690A">
        <w:tblPrEx>
          <w:tblCellMar>
            <w:top w:w="5" w:type="dxa"/>
          </w:tblCellMar>
        </w:tblPrEx>
        <w:trPr>
          <w:cantSplit/>
        </w:trPr>
        <w:tc>
          <w:tcPr>
            <w:tcW w:w="685" w:type="dxa"/>
          </w:tcPr>
          <w:p w14:paraId="7300D6E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60.</w:t>
            </w:r>
          </w:p>
        </w:tc>
        <w:tc>
          <w:tcPr>
            <w:tcW w:w="2054" w:type="dxa"/>
          </w:tcPr>
          <w:p w14:paraId="0241FD4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RUDEŠ </w:t>
            </w:r>
          </w:p>
        </w:tc>
        <w:tc>
          <w:tcPr>
            <w:tcW w:w="2054" w:type="dxa"/>
          </w:tcPr>
          <w:p w14:paraId="389EECE7"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Jablanska 51, Zagreb </w:t>
            </w:r>
          </w:p>
        </w:tc>
        <w:tc>
          <w:tcPr>
            <w:tcW w:w="1541" w:type="dxa"/>
          </w:tcPr>
          <w:p w14:paraId="43F33EC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700</w:t>
            </w:r>
          </w:p>
        </w:tc>
        <w:tc>
          <w:tcPr>
            <w:tcW w:w="1483" w:type="dxa"/>
          </w:tcPr>
          <w:p w14:paraId="65BC0F2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600</w:t>
            </w:r>
          </w:p>
        </w:tc>
        <w:tc>
          <w:tcPr>
            <w:tcW w:w="1255" w:type="dxa"/>
          </w:tcPr>
          <w:p w14:paraId="7A9DB06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1987.</w:t>
            </w:r>
          </w:p>
        </w:tc>
      </w:tr>
      <w:tr w:rsidR="00CE628C" w:rsidRPr="004750F4" w14:paraId="77F07D91" w14:textId="77777777" w:rsidTr="0025690A">
        <w:tblPrEx>
          <w:tblCellMar>
            <w:top w:w="5" w:type="dxa"/>
          </w:tblCellMar>
        </w:tblPrEx>
        <w:trPr>
          <w:cantSplit/>
        </w:trPr>
        <w:tc>
          <w:tcPr>
            <w:tcW w:w="685" w:type="dxa"/>
          </w:tcPr>
          <w:p w14:paraId="3FD477B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61.</w:t>
            </w:r>
          </w:p>
        </w:tc>
        <w:tc>
          <w:tcPr>
            <w:tcW w:w="2054" w:type="dxa"/>
          </w:tcPr>
          <w:p w14:paraId="5501C8E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OSNOVNA ŠKOLA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GUSTAVA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KRKLECA </w:t>
            </w:r>
          </w:p>
        </w:tc>
        <w:tc>
          <w:tcPr>
            <w:tcW w:w="2054" w:type="dxa"/>
          </w:tcPr>
          <w:p w14:paraId="40841CF4"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eastAsia="Times New Roman" w:hAnsi="Times New Roman" w:cs="Times New Roman"/>
                <w:color w:val="auto"/>
              </w:rPr>
              <w:t xml:space="preserve">Božidara Magovca 103, Zagreb </w:t>
            </w:r>
          </w:p>
        </w:tc>
        <w:tc>
          <w:tcPr>
            <w:tcW w:w="1541" w:type="dxa"/>
          </w:tcPr>
          <w:p w14:paraId="2757A5D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1000</w:t>
            </w:r>
          </w:p>
        </w:tc>
        <w:tc>
          <w:tcPr>
            <w:tcW w:w="1483" w:type="dxa"/>
          </w:tcPr>
          <w:p w14:paraId="688203D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210</w:t>
            </w:r>
          </w:p>
        </w:tc>
        <w:tc>
          <w:tcPr>
            <w:tcW w:w="1255" w:type="dxa"/>
          </w:tcPr>
          <w:p w14:paraId="5EDA4E0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1977.</w:t>
            </w:r>
          </w:p>
        </w:tc>
      </w:tr>
      <w:tr w:rsidR="00CE628C" w:rsidRPr="004750F4" w14:paraId="3BD37470" w14:textId="77777777" w:rsidTr="0025690A">
        <w:tblPrEx>
          <w:tblCellMar>
            <w:top w:w="5" w:type="dxa"/>
          </w:tblCellMar>
        </w:tblPrEx>
        <w:trPr>
          <w:cantSplit/>
        </w:trPr>
        <w:tc>
          <w:tcPr>
            <w:tcW w:w="685" w:type="dxa"/>
          </w:tcPr>
          <w:p w14:paraId="600E1CC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62.</w:t>
            </w:r>
          </w:p>
        </w:tc>
        <w:tc>
          <w:tcPr>
            <w:tcW w:w="2054" w:type="dxa"/>
          </w:tcPr>
          <w:p w14:paraId="18722CB3"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GRAČANI </w:t>
            </w:r>
          </w:p>
        </w:tc>
        <w:tc>
          <w:tcPr>
            <w:tcW w:w="2054" w:type="dxa"/>
          </w:tcPr>
          <w:p w14:paraId="6F2989E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Gračani 4A,Zagreb </w:t>
            </w:r>
          </w:p>
        </w:tc>
        <w:tc>
          <w:tcPr>
            <w:tcW w:w="1541" w:type="dxa"/>
          </w:tcPr>
          <w:p w14:paraId="279CF3B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450</w:t>
            </w:r>
          </w:p>
        </w:tc>
        <w:tc>
          <w:tcPr>
            <w:tcW w:w="1483" w:type="dxa"/>
          </w:tcPr>
          <w:p w14:paraId="4B3F346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120</w:t>
            </w:r>
          </w:p>
        </w:tc>
        <w:tc>
          <w:tcPr>
            <w:tcW w:w="1255" w:type="dxa"/>
          </w:tcPr>
          <w:p w14:paraId="52CA741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1969.</w:t>
            </w:r>
          </w:p>
        </w:tc>
      </w:tr>
      <w:tr w:rsidR="00CE628C" w:rsidRPr="004750F4" w14:paraId="3FF6FE3E" w14:textId="77777777" w:rsidTr="0025690A">
        <w:tblPrEx>
          <w:tblCellMar>
            <w:top w:w="5" w:type="dxa"/>
          </w:tblCellMar>
        </w:tblPrEx>
        <w:trPr>
          <w:cantSplit/>
        </w:trPr>
        <w:tc>
          <w:tcPr>
            <w:tcW w:w="685" w:type="dxa"/>
          </w:tcPr>
          <w:p w14:paraId="3A26B25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63.</w:t>
            </w:r>
          </w:p>
        </w:tc>
        <w:tc>
          <w:tcPr>
            <w:tcW w:w="2054" w:type="dxa"/>
          </w:tcPr>
          <w:p w14:paraId="7995BD8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IVANA MAŽURANIĆA </w:t>
            </w:r>
          </w:p>
        </w:tc>
        <w:tc>
          <w:tcPr>
            <w:tcW w:w="2054" w:type="dxa"/>
          </w:tcPr>
          <w:p w14:paraId="0093D349"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Javorinska 5, Zagreb </w:t>
            </w:r>
          </w:p>
        </w:tc>
        <w:tc>
          <w:tcPr>
            <w:tcW w:w="1541" w:type="dxa"/>
          </w:tcPr>
          <w:p w14:paraId="421D4DB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600</w:t>
            </w:r>
          </w:p>
        </w:tc>
        <w:tc>
          <w:tcPr>
            <w:tcW w:w="1483" w:type="dxa"/>
          </w:tcPr>
          <w:p w14:paraId="793A65A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540</w:t>
            </w:r>
          </w:p>
        </w:tc>
        <w:tc>
          <w:tcPr>
            <w:tcW w:w="1255" w:type="dxa"/>
          </w:tcPr>
          <w:p w14:paraId="505AA19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1948.</w:t>
            </w:r>
          </w:p>
        </w:tc>
      </w:tr>
      <w:tr w:rsidR="00CE628C" w:rsidRPr="004750F4" w14:paraId="3AB83E96" w14:textId="77777777" w:rsidTr="0025690A">
        <w:tblPrEx>
          <w:tblCellMar>
            <w:top w:w="5" w:type="dxa"/>
          </w:tblCellMar>
        </w:tblPrEx>
        <w:trPr>
          <w:cantSplit/>
        </w:trPr>
        <w:tc>
          <w:tcPr>
            <w:tcW w:w="685" w:type="dxa"/>
          </w:tcPr>
          <w:p w14:paraId="0184742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64.</w:t>
            </w:r>
          </w:p>
        </w:tc>
        <w:tc>
          <w:tcPr>
            <w:tcW w:w="2054" w:type="dxa"/>
          </w:tcPr>
          <w:p w14:paraId="5169D284"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JULIJA KLOVIĆA </w:t>
            </w:r>
          </w:p>
        </w:tc>
        <w:tc>
          <w:tcPr>
            <w:tcW w:w="2054" w:type="dxa"/>
          </w:tcPr>
          <w:p w14:paraId="63BDE89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Nova cesta 133, Zagreb </w:t>
            </w:r>
          </w:p>
        </w:tc>
        <w:tc>
          <w:tcPr>
            <w:tcW w:w="1541" w:type="dxa"/>
          </w:tcPr>
          <w:p w14:paraId="07900D7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430</w:t>
            </w:r>
          </w:p>
        </w:tc>
        <w:tc>
          <w:tcPr>
            <w:tcW w:w="1483" w:type="dxa"/>
          </w:tcPr>
          <w:p w14:paraId="3C60912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5FAE3F1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1962.</w:t>
            </w:r>
          </w:p>
        </w:tc>
      </w:tr>
      <w:tr w:rsidR="00CE628C" w:rsidRPr="004750F4" w14:paraId="4F07DE33" w14:textId="77777777" w:rsidTr="0025690A">
        <w:tblPrEx>
          <w:tblCellMar>
            <w:top w:w="5" w:type="dxa"/>
          </w:tblCellMar>
        </w:tblPrEx>
        <w:trPr>
          <w:cantSplit/>
        </w:trPr>
        <w:tc>
          <w:tcPr>
            <w:tcW w:w="685" w:type="dxa"/>
          </w:tcPr>
          <w:p w14:paraId="4945CE6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65.</w:t>
            </w:r>
          </w:p>
        </w:tc>
        <w:tc>
          <w:tcPr>
            <w:tcW w:w="2054" w:type="dxa"/>
          </w:tcPr>
          <w:p w14:paraId="160CB51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OSNOVNA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GLAZBENA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ŠKOLA IVANA ZAJCA </w:t>
            </w:r>
          </w:p>
        </w:tc>
        <w:tc>
          <w:tcPr>
            <w:tcW w:w="2054" w:type="dxa"/>
          </w:tcPr>
          <w:p w14:paraId="008CF60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Zagreb, Ilica 227 </w:t>
            </w:r>
          </w:p>
        </w:tc>
        <w:tc>
          <w:tcPr>
            <w:tcW w:w="1541" w:type="dxa"/>
          </w:tcPr>
          <w:p w14:paraId="3AC6170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540</w:t>
            </w:r>
          </w:p>
        </w:tc>
        <w:tc>
          <w:tcPr>
            <w:tcW w:w="1483" w:type="dxa"/>
          </w:tcPr>
          <w:p w14:paraId="5C6DFD6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029FFF0A" w14:textId="77777777" w:rsidR="003F7A56" w:rsidRPr="0032536A" w:rsidRDefault="003F7A56" w:rsidP="00CE628C">
            <w:pPr>
              <w:spacing w:after="0" w:line="240" w:lineRule="auto"/>
              <w:ind w:left="0" w:right="0" w:firstLine="0"/>
              <w:jc w:val="center"/>
              <w:rPr>
                <w:rFonts w:ascii="Times New Roman" w:hAnsi="Times New Roman" w:cs="Times New Roman"/>
                <w:color w:val="auto"/>
              </w:rPr>
            </w:pPr>
          </w:p>
        </w:tc>
      </w:tr>
      <w:tr w:rsidR="00CE628C" w:rsidRPr="004750F4" w14:paraId="4B32E1F4" w14:textId="77777777" w:rsidTr="0025690A">
        <w:tblPrEx>
          <w:tblCellMar>
            <w:top w:w="5" w:type="dxa"/>
          </w:tblCellMar>
        </w:tblPrEx>
        <w:trPr>
          <w:cantSplit/>
        </w:trPr>
        <w:tc>
          <w:tcPr>
            <w:tcW w:w="685" w:type="dxa"/>
          </w:tcPr>
          <w:p w14:paraId="7BE433E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66.</w:t>
            </w:r>
          </w:p>
        </w:tc>
        <w:tc>
          <w:tcPr>
            <w:tcW w:w="2054" w:type="dxa"/>
          </w:tcPr>
          <w:p w14:paraId="7CA7180D"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TITUŠA BREZOVAČKOG </w:t>
            </w:r>
          </w:p>
        </w:tc>
        <w:tc>
          <w:tcPr>
            <w:tcW w:w="2054" w:type="dxa"/>
          </w:tcPr>
          <w:p w14:paraId="31529858"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Špansko 1 </w:t>
            </w:r>
          </w:p>
        </w:tc>
        <w:tc>
          <w:tcPr>
            <w:tcW w:w="1541" w:type="dxa"/>
          </w:tcPr>
          <w:p w14:paraId="48AB37E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1100</w:t>
            </w:r>
          </w:p>
        </w:tc>
        <w:tc>
          <w:tcPr>
            <w:tcW w:w="1483" w:type="dxa"/>
          </w:tcPr>
          <w:p w14:paraId="6B8D04F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600</w:t>
            </w:r>
          </w:p>
        </w:tc>
        <w:tc>
          <w:tcPr>
            <w:tcW w:w="1255" w:type="dxa"/>
          </w:tcPr>
          <w:p w14:paraId="1C0371D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2006.</w:t>
            </w:r>
          </w:p>
        </w:tc>
      </w:tr>
      <w:tr w:rsidR="00CE628C" w:rsidRPr="004750F4" w14:paraId="61776538" w14:textId="77777777" w:rsidTr="0025690A">
        <w:tblPrEx>
          <w:tblCellMar>
            <w:top w:w="5" w:type="dxa"/>
          </w:tblCellMar>
        </w:tblPrEx>
        <w:trPr>
          <w:cantSplit/>
        </w:trPr>
        <w:tc>
          <w:tcPr>
            <w:tcW w:w="685" w:type="dxa"/>
          </w:tcPr>
          <w:p w14:paraId="7A1324D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67.</w:t>
            </w:r>
          </w:p>
        </w:tc>
        <w:tc>
          <w:tcPr>
            <w:tcW w:w="2054" w:type="dxa"/>
          </w:tcPr>
          <w:p w14:paraId="4B79CFE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IVE ANDRIĆA </w:t>
            </w:r>
          </w:p>
        </w:tc>
        <w:tc>
          <w:tcPr>
            <w:tcW w:w="2054" w:type="dxa"/>
          </w:tcPr>
          <w:p w14:paraId="1B28E15A"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eastAsia="Times New Roman" w:hAnsi="Times New Roman" w:cs="Times New Roman"/>
                <w:color w:val="auto"/>
              </w:rPr>
              <w:t xml:space="preserve">Milovana Kovačevića 18 </w:t>
            </w:r>
          </w:p>
        </w:tc>
        <w:tc>
          <w:tcPr>
            <w:tcW w:w="1541" w:type="dxa"/>
          </w:tcPr>
          <w:p w14:paraId="0A5A01C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600</w:t>
            </w:r>
          </w:p>
        </w:tc>
        <w:tc>
          <w:tcPr>
            <w:tcW w:w="1483" w:type="dxa"/>
          </w:tcPr>
          <w:p w14:paraId="3A02FF1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150</w:t>
            </w:r>
          </w:p>
        </w:tc>
        <w:tc>
          <w:tcPr>
            <w:tcW w:w="1255" w:type="dxa"/>
          </w:tcPr>
          <w:p w14:paraId="2001005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1975.</w:t>
            </w:r>
          </w:p>
        </w:tc>
      </w:tr>
      <w:tr w:rsidR="00CE628C" w:rsidRPr="004750F4" w14:paraId="59EEF292" w14:textId="77777777" w:rsidTr="0025690A">
        <w:tblPrEx>
          <w:tblCellMar>
            <w:top w:w="5" w:type="dxa"/>
          </w:tblCellMar>
        </w:tblPrEx>
        <w:trPr>
          <w:cantSplit/>
        </w:trPr>
        <w:tc>
          <w:tcPr>
            <w:tcW w:w="685" w:type="dxa"/>
          </w:tcPr>
          <w:p w14:paraId="3C72FE1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lastRenderedPageBreak/>
              <w:t>68.</w:t>
            </w:r>
          </w:p>
        </w:tc>
        <w:tc>
          <w:tcPr>
            <w:tcW w:w="2054" w:type="dxa"/>
          </w:tcPr>
          <w:p w14:paraId="228AB603"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IZIDORA KRŠNJAVOG </w:t>
            </w:r>
          </w:p>
        </w:tc>
        <w:tc>
          <w:tcPr>
            <w:tcW w:w="2054" w:type="dxa"/>
          </w:tcPr>
          <w:p w14:paraId="3E755C05"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I. </w:t>
            </w:r>
            <w:r w:rsidR="00900184" w:rsidRPr="0032536A">
              <w:rPr>
                <w:rFonts w:ascii="Times New Roman" w:eastAsia="Times New Roman" w:hAnsi="Times New Roman" w:cs="Times New Roman"/>
                <w:color w:val="auto"/>
              </w:rPr>
              <w:t xml:space="preserve">Kršnjavoga 2, Zagreb </w:t>
            </w:r>
          </w:p>
        </w:tc>
        <w:tc>
          <w:tcPr>
            <w:tcW w:w="1541" w:type="dxa"/>
          </w:tcPr>
          <w:p w14:paraId="3757F7D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750</w:t>
            </w:r>
          </w:p>
        </w:tc>
        <w:tc>
          <w:tcPr>
            <w:tcW w:w="1483" w:type="dxa"/>
          </w:tcPr>
          <w:p w14:paraId="44CCE78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450</w:t>
            </w:r>
          </w:p>
        </w:tc>
        <w:tc>
          <w:tcPr>
            <w:tcW w:w="1255" w:type="dxa"/>
          </w:tcPr>
          <w:p w14:paraId="03D9E9E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1895.</w:t>
            </w:r>
          </w:p>
        </w:tc>
      </w:tr>
      <w:tr w:rsidR="00CE628C" w:rsidRPr="004750F4" w14:paraId="63F41B9C" w14:textId="77777777" w:rsidTr="0025690A">
        <w:tblPrEx>
          <w:tblCellMar>
            <w:top w:w="5" w:type="dxa"/>
          </w:tblCellMar>
        </w:tblPrEx>
        <w:trPr>
          <w:cantSplit/>
        </w:trPr>
        <w:tc>
          <w:tcPr>
            <w:tcW w:w="685" w:type="dxa"/>
          </w:tcPr>
          <w:p w14:paraId="3EDCB8F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69.</w:t>
            </w:r>
          </w:p>
        </w:tc>
        <w:tc>
          <w:tcPr>
            <w:tcW w:w="2054" w:type="dxa"/>
          </w:tcPr>
          <w:p w14:paraId="34B07AC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OSNOVNA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ŠKOLA BRAĆE</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RADIĆ </w:t>
            </w:r>
          </w:p>
        </w:tc>
        <w:tc>
          <w:tcPr>
            <w:tcW w:w="2054" w:type="dxa"/>
          </w:tcPr>
          <w:p w14:paraId="7161F93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Ulica Šenoine Branke</w:t>
            </w:r>
            <w:r w:rsidR="00E40AC8"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22, Zagreb </w:t>
            </w:r>
          </w:p>
        </w:tc>
        <w:tc>
          <w:tcPr>
            <w:tcW w:w="1541" w:type="dxa"/>
          </w:tcPr>
          <w:p w14:paraId="56A3325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530</w:t>
            </w:r>
          </w:p>
        </w:tc>
        <w:tc>
          <w:tcPr>
            <w:tcW w:w="1483" w:type="dxa"/>
          </w:tcPr>
          <w:p w14:paraId="4DCEE84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150</w:t>
            </w:r>
          </w:p>
        </w:tc>
        <w:tc>
          <w:tcPr>
            <w:tcW w:w="1255" w:type="dxa"/>
          </w:tcPr>
          <w:p w14:paraId="15B1E03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1967.</w:t>
            </w:r>
          </w:p>
        </w:tc>
      </w:tr>
      <w:tr w:rsidR="00CE628C" w:rsidRPr="004750F4" w14:paraId="2DBD698A" w14:textId="77777777" w:rsidTr="0025690A">
        <w:tblPrEx>
          <w:tblCellMar>
            <w:top w:w="5" w:type="dxa"/>
          </w:tblCellMar>
        </w:tblPrEx>
        <w:trPr>
          <w:cantSplit/>
        </w:trPr>
        <w:tc>
          <w:tcPr>
            <w:tcW w:w="685" w:type="dxa"/>
          </w:tcPr>
          <w:p w14:paraId="26D42A4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70.</w:t>
            </w:r>
          </w:p>
        </w:tc>
        <w:tc>
          <w:tcPr>
            <w:tcW w:w="2054" w:type="dxa"/>
          </w:tcPr>
          <w:p w14:paraId="3465DFBF"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AUGUSTA HARAMBAŠIĆA </w:t>
            </w:r>
          </w:p>
        </w:tc>
        <w:tc>
          <w:tcPr>
            <w:tcW w:w="2054" w:type="dxa"/>
          </w:tcPr>
          <w:p w14:paraId="43457DF3"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Harambašićeva 18, Zagreb </w:t>
            </w:r>
          </w:p>
        </w:tc>
        <w:tc>
          <w:tcPr>
            <w:tcW w:w="1541" w:type="dxa"/>
          </w:tcPr>
          <w:p w14:paraId="5BFDABC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400</w:t>
            </w:r>
          </w:p>
        </w:tc>
        <w:tc>
          <w:tcPr>
            <w:tcW w:w="1483" w:type="dxa"/>
          </w:tcPr>
          <w:p w14:paraId="2DB36BE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w:t>
            </w:r>
          </w:p>
        </w:tc>
        <w:tc>
          <w:tcPr>
            <w:tcW w:w="1255" w:type="dxa"/>
          </w:tcPr>
          <w:p w14:paraId="573F2D6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1913.</w:t>
            </w:r>
          </w:p>
        </w:tc>
      </w:tr>
      <w:tr w:rsidR="00CE628C" w:rsidRPr="004750F4" w14:paraId="39C357F6" w14:textId="77777777" w:rsidTr="0025690A">
        <w:tblPrEx>
          <w:tblCellMar>
            <w:top w:w="5" w:type="dxa"/>
          </w:tblCellMar>
        </w:tblPrEx>
        <w:trPr>
          <w:cantSplit/>
        </w:trPr>
        <w:tc>
          <w:tcPr>
            <w:tcW w:w="685" w:type="dxa"/>
          </w:tcPr>
          <w:p w14:paraId="5686918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71.</w:t>
            </w:r>
          </w:p>
        </w:tc>
        <w:tc>
          <w:tcPr>
            <w:tcW w:w="2054" w:type="dxa"/>
          </w:tcPr>
          <w:p w14:paraId="038A8D77"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DRAGUTINA TADIJANOVIĆA </w:t>
            </w:r>
          </w:p>
        </w:tc>
        <w:tc>
          <w:tcPr>
            <w:tcW w:w="2054" w:type="dxa"/>
          </w:tcPr>
          <w:p w14:paraId="7561CD64"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Bolnička 60A, 10090 Zagreb </w:t>
            </w:r>
          </w:p>
        </w:tc>
        <w:tc>
          <w:tcPr>
            <w:tcW w:w="1541" w:type="dxa"/>
          </w:tcPr>
          <w:p w14:paraId="44117A4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1000</w:t>
            </w:r>
          </w:p>
        </w:tc>
        <w:tc>
          <w:tcPr>
            <w:tcW w:w="1483" w:type="dxa"/>
          </w:tcPr>
          <w:p w14:paraId="6D8BCC1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800</w:t>
            </w:r>
          </w:p>
        </w:tc>
        <w:tc>
          <w:tcPr>
            <w:tcW w:w="1255" w:type="dxa"/>
          </w:tcPr>
          <w:p w14:paraId="27210B8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1980.</w:t>
            </w:r>
          </w:p>
        </w:tc>
      </w:tr>
      <w:tr w:rsidR="00CE628C" w:rsidRPr="004750F4" w14:paraId="5E9671E0" w14:textId="77777777" w:rsidTr="0025690A">
        <w:tblPrEx>
          <w:tblCellMar>
            <w:top w:w="5" w:type="dxa"/>
          </w:tblCellMar>
        </w:tblPrEx>
        <w:trPr>
          <w:cantSplit/>
        </w:trPr>
        <w:tc>
          <w:tcPr>
            <w:tcW w:w="685" w:type="dxa"/>
          </w:tcPr>
          <w:p w14:paraId="16125B2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72.</w:t>
            </w:r>
          </w:p>
        </w:tc>
        <w:tc>
          <w:tcPr>
            <w:tcW w:w="2054" w:type="dxa"/>
          </w:tcPr>
          <w:p w14:paraId="593E9D89"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REMETE </w:t>
            </w:r>
          </w:p>
        </w:tc>
        <w:tc>
          <w:tcPr>
            <w:tcW w:w="2054" w:type="dxa"/>
          </w:tcPr>
          <w:p w14:paraId="522E727A"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Remete 99a, Zagreb </w:t>
            </w:r>
          </w:p>
        </w:tc>
        <w:tc>
          <w:tcPr>
            <w:tcW w:w="1541" w:type="dxa"/>
          </w:tcPr>
          <w:p w14:paraId="5AEA86C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700</w:t>
            </w:r>
          </w:p>
        </w:tc>
        <w:tc>
          <w:tcPr>
            <w:tcW w:w="1483" w:type="dxa"/>
          </w:tcPr>
          <w:p w14:paraId="7240DBE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700</w:t>
            </w:r>
          </w:p>
        </w:tc>
        <w:tc>
          <w:tcPr>
            <w:tcW w:w="1255" w:type="dxa"/>
          </w:tcPr>
          <w:p w14:paraId="3D4015F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2005.</w:t>
            </w:r>
          </w:p>
        </w:tc>
      </w:tr>
      <w:tr w:rsidR="00CE628C" w:rsidRPr="004750F4" w14:paraId="1790235A" w14:textId="77777777" w:rsidTr="0025690A">
        <w:tblPrEx>
          <w:tblCellMar>
            <w:top w:w="5" w:type="dxa"/>
          </w:tblCellMar>
        </w:tblPrEx>
        <w:trPr>
          <w:cantSplit/>
        </w:trPr>
        <w:tc>
          <w:tcPr>
            <w:tcW w:w="685" w:type="dxa"/>
          </w:tcPr>
          <w:p w14:paraId="4C9B887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73.</w:t>
            </w:r>
          </w:p>
        </w:tc>
        <w:tc>
          <w:tcPr>
            <w:tcW w:w="2054" w:type="dxa"/>
          </w:tcPr>
          <w:p w14:paraId="05CF6B98"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OSNOVNA ŠKOLA VOLTINO </w:t>
            </w:r>
          </w:p>
        </w:tc>
        <w:tc>
          <w:tcPr>
            <w:tcW w:w="2054" w:type="dxa"/>
          </w:tcPr>
          <w:p w14:paraId="015F4D56"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Vinkovačka 1, Zagreb </w:t>
            </w:r>
          </w:p>
        </w:tc>
        <w:tc>
          <w:tcPr>
            <w:tcW w:w="1541" w:type="dxa"/>
          </w:tcPr>
          <w:p w14:paraId="402688A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550</w:t>
            </w:r>
          </w:p>
        </w:tc>
        <w:tc>
          <w:tcPr>
            <w:tcW w:w="1483" w:type="dxa"/>
          </w:tcPr>
          <w:p w14:paraId="215623A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00A3661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1964.</w:t>
            </w:r>
          </w:p>
        </w:tc>
      </w:tr>
      <w:tr w:rsidR="00CE628C" w:rsidRPr="004750F4" w14:paraId="767583D4" w14:textId="77777777" w:rsidTr="0025690A">
        <w:tblPrEx>
          <w:tblCellMar>
            <w:top w:w="5" w:type="dxa"/>
          </w:tblCellMar>
        </w:tblPrEx>
        <w:trPr>
          <w:cantSplit/>
        </w:trPr>
        <w:tc>
          <w:tcPr>
            <w:tcW w:w="685" w:type="dxa"/>
          </w:tcPr>
          <w:p w14:paraId="0FA8E08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74.</w:t>
            </w:r>
          </w:p>
        </w:tc>
        <w:tc>
          <w:tcPr>
            <w:tcW w:w="2054" w:type="dxa"/>
          </w:tcPr>
          <w:p w14:paraId="5CB98BA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OŠ IVANA MEŠTROVIĆA</w:t>
            </w:r>
            <w:r w:rsidR="00E40AC8" w:rsidRPr="0032536A">
              <w:rPr>
                <w:rFonts w:ascii="Times New Roman" w:eastAsia="Times New Roman" w:hAnsi="Times New Roman" w:cs="Times New Roman"/>
                <w:color w:val="auto"/>
              </w:rPr>
              <w:t xml:space="preserve"> </w:t>
            </w:r>
          </w:p>
        </w:tc>
        <w:tc>
          <w:tcPr>
            <w:tcW w:w="2054" w:type="dxa"/>
          </w:tcPr>
          <w:p w14:paraId="552FF64D"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eastAsia="Times New Roman" w:hAnsi="Times New Roman" w:cs="Times New Roman"/>
                <w:color w:val="auto"/>
              </w:rPr>
              <w:t>Martina Pušteka 1, Zagreb</w:t>
            </w:r>
            <w:r w:rsidR="00E40AC8" w:rsidRPr="0032536A">
              <w:rPr>
                <w:rFonts w:ascii="Times New Roman" w:eastAsia="Times New Roman" w:hAnsi="Times New Roman" w:cs="Times New Roman"/>
                <w:color w:val="auto"/>
              </w:rPr>
              <w:t xml:space="preserve"> </w:t>
            </w:r>
          </w:p>
        </w:tc>
        <w:tc>
          <w:tcPr>
            <w:tcW w:w="1541" w:type="dxa"/>
          </w:tcPr>
          <w:p w14:paraId="2C08BB9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700</w:t>
            </w:r>
          </w:p>
        </w:tc>
        <w:tc>
          <w:tcPr>
            <w:tcW w:w="1483" w:type="dxa"/>
          </w:tcPr>
          <w:p w14:paraId="661184F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Priprema 2100 obroka za 12 škola u Zagrebu</w:t>
            </w:r>
          </w:p>
        </w:tc>
        <w:tc>
          <w:tcPr>
            <w:tcW w:w="1255" w:type="dxa"/>
          </w:tcPr>
          <w:p w14:paraId="4926F44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1969.</w:t>
            </w:r>
          </w:p>
        </w:tc>
      </w:tr>
      <w:tr w:rsidR="00CE628C" w:rsidRPr="004750F4" w14:paraId="4A0D5DA4" w14:textId="77777777" w:rsidTr="0025690A">
        <w:tblPrEx>
          <w:tblCellMar>
            <w:top w:w="5" w:type="dxa"/>
          </w:tblCellMar>
        </w:tblPrEx>
        <w:trPr>
          <w:cantSplit/>
        </w:trPr>
        <w:tc>
          <w:tcPr>
            <w:tcW w:w="685" w:type="dxa"/>
          </w:tcPr>
          <w:p w14:paraId="154F65E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75.</w:t>
            </w:r>
          </w:p>
        </w:tc>
        <w:tc>
          <w:tcPr>
            <w:tcW w:w="2054" w:type="dxa"/>
          </w:tcPr>
          <w:p w14:paraId="22047156"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RETKOVEC </w:t>
            </w:r>
          </w:p>
        </w:tc>
        <w:tc>
          <w:tcPr>
            <w:tcW w:w="2054" w:type="dxa"/>
          </w:tcPr>
          <w:p w14:paraId="1F7CA8B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Aleja javora 2, Zagreb </w:t>
            </w:r>
          </w:p>
        </w:tc>
        <w:tc>
          <w:tcPr>
            <w:tcW w:w="1541" w:type="dxa"/>
          </w:tcPr>
          <w:p w14:paraId="0C6232D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1100</w:t>
            </w:r>
          </w:p>
        </w:tc>
        <w:tc>
          <w:tcPr>
            <w:tcW w:w="1483" w:type="dxa"/>
          </w:tcPr>
          <w:p w14:paraId="2E45A70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900</w:t>
            </w:r>
          </w:p>
        </w:tc>
        <w:tc>
          <w:tcPr>
            <w:tcW w:w="1255" w:type="dxa"/>
          </w:tcPr>
          <w:p w14:paraId="41252BC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1967.</w:t>
            </w:r>
          </w:p>
        </w:tc>
      </w:tr>
      <w:tr w:rsidR="00CE628C" w:rsidRPr="004750F4" w14:paraId="76598D12" w14:textId="77777777" w:rsidTr="0025690A">
        <w:tblPrEx>
          <w:tblCellMar>
            <w:top w:w="5" w:type="dxa"/>
          </w:tblCellMar>
        </w:tblPrEx>
        <w:trPr>
          <w:cantSplit/>
        </w:trPr>
        <w:tc>
          <w:tcPr>
            <w:tcW w:w="685" w:type="dxa"/>
          </w:tcPr>
          <w:p w14:paraId="7DCE291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76.</w:t>
            </w:r>
          </w:p>
        </w:tc>
        <w:tc>
          <w:tcPr>
            <w:tcW w:w="2054" w:type="dxa"/>
          </w:tcPr>
          <w:p w14:paraId="690ACF9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IVANA CANKARA </w:t>
            </w:r>
          </w:p>
        </w:tc>
        <w:tc>
          <w:tcPr>
            <w:tcW w:w="2054" w:type="dxa"/>
          </w:tcPr>
          <w:p w14:paraId="5EC9A559"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Cankareva 10, Zagreb </w:t>
            </w:r>
          </w:p>
        </w:tc>
        <w:tc>
          <w:tcPr>
            <w:tcW w:w="1541" w:type="dxa"/>
          </w:tcPr>
          <w:p w14:paraId="78D91F9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500</w:t>
            </w:r>
          </w:p>
        </w:tc>
        <w:tc>
          <w:tcPr>
            <w:tcW w:w="1483" w:type="dxa"/>
          </w:tcPr>
          <w:p w14:paraId="3C9E095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325</w:t>
            </w:r>
          </w:p>
        </w:tc>
        <w:tc>
          <w:tcPr>
            <w:tcW w:w="1255" w:type="dxa"/>
          </w:tcPr>
          <w:p w14:paraId="15DA64C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1957.</w:t>
            </w:r>
          </w:p>
        </w:tc>
      </w:tr>
      <w:tr w:rsidR="00CE628C" w:rsidRPr="004750F4" w14:paraId="5E79E5AE" w14:textId="77777777" w:rsidTr="0025690A">
        <w:tblPrEx>
          <w:tblCellMar>
            <w:top w:w="5" w:type="dxa"/>
          </w:tblCellMar>
        </w:tblPrEx>
        <w:trPr>
          <w:cantSplit/>
        </w:trPr>
        <w:tc>
          <w:tcPr>
            <w:tcW w:w="685" w:type="dxa"/>
          </w:tcPr>
          <w:p w14:paraId="6485D6C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77.</w:t>
            </w:r>
          </w:p>
        </w:tc>
        <w:tc>
          <w:tcPr>
            <w:tcW w:w="2054" w:type="dxa"/>
          </w:tcPr>
          <w:p w14:paraId="7D8CCDFA"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VRBANI </w:t>
            </w:r>
          </w:p>
        </w:tc>
        <w:tc>
          <w:tcPr>
            <w:tcW w:w="2054" w:type="dxa"/>
          </w:tcPr>
          <w:p w14:paraId="1DC6F98A"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Listopadska 8, Zagreb </w:t>
            </w:r>
          </w:p>
        </w:tc>
        <w:tc>
          <w:tcPr>
            <w:tcW w:w="1541" w:type="dxa"/>
          </w:tcPr>
          <w:p w14:paraId="755FF79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700</w:t>
            </w:r>
          </w:p>
        </w:tc>
        <w:tc>
          <w:tcPr>
            <w:tcW w:w="1483" w:type="dxa"/>
          </w:tcPr>
          <w:p w14:paraId="7DA9B77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250</w:t>
            </w:r>
          </w:p>
        </w:tc>
        <w:tc>
          <w:tcPr>
            <w:tcW w:w="1255" w:type="dxa"/>
          </w:tcPr>
          <w:p w14:paraId="72EF396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1992.</w:t>
            </w:r>
          </w:p>
        </w:tc>
      </w:tr>
      <w:tr w:rsidR="00CE628C" w:rsidRPr="004750F4" w14:paraId="416A7811" w14:textId="77777777" w:rsidTr="0025690A">
        <w:tblPrEx>
          <w:tblCellMar>
            <w:top w:w="5" w:type="dxa"/>
          </w:tblCellMar>
        </w:tblPrEx>
        <w:trPr>
          <w:cantSplit/>
        </w:trPr>
        <w:tc>
          <w:tcPr>
            <w:tcW w:w="685" w:type="dxa"/>
          </w:tcPr>
          <w:p w14:paraId="056D262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78.</w:t>
            </w:r>
          </w:p>
        </w:tc>
        <w:tc>
          <w:tcPr>
            <w:tcW w:w="2054" w:type="dxa"/>
          </w:tcPr>
          <w:p w14:paraId="475D1C6D"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MARIJE JURIĆ ZAGORKE </w:t>
            </w:r>
          </w:p>
        </w:tc>
        <w:tc>
          <w:tcPr>
            <w:tcW w:w="2054" w:type="dxa"/>
          </w:tcPr>
          <w:p w14:paraId="5A186A45"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Štefanovečka cesta 67 </w:t>
            </w:r>
          </w:p>
        </w:tc>
        <w:tc>
          <w:tcPr>
            <w:tcW w:w="1541" w:type="dxa"/>
          </w:tcPr>
          <w:p w14:paraId="75B1CFC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600</w:t>
            </w:r>
          </w:p>
        </w:tc>
        <w:tc>
          <w:tcPr>
            <w:tcW w:w="1483" w:type="dxa"/>
          </w:tcPr>
          <w:p w14:paraId="417BEE2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120</w:t>
            </w:r>
          </w:p>
        </w:tc>
        <w:tc>
          <w:tcPr>
            <w:tcW w:w="1255" w:type="dxa"/>
          </w:tcPr>
          <w:p w14:paraId="4A6C8D0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1964.</w:t>
            </w:r>
          </w:p>
        </w:tc>
      </w:tr>
      <w:tr w:rsidR="00CE628C" w:rsidRPr="004750F4" w14:paraId="4A3A78F0" w14:textId="77777777" w:rsidTr="0025690A">
        <w:tblPrEx>
          <w:tblCellMar>
            <w:top w:w="5" w:type="dxa"/>
          </w:tblCellMar>
        </w:tblPrEx>
        <w:trPr>
          <w:cantSplit/>
        </w:trPr>
        <w:tc>
          <w:tcPr>
            <w:tcW w:w="685" w:type="dxa"/>
          </w:tcPr>
          <w:p w14:paraId="2C8D050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79.</w:t>
            </w:r>
          </w:p>
        </w:tc>
        <w:tc>
          <w:tcPr>
            <w:tcW w:w="2054" w:type="dxa"/>
          </w:tcPr>
          <w:p w14:paraId="3907E4F8"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KUSTOŠIJA </w:t>
            </w:r>
          </w:p>
        </w:tc>
        <w:tc>
          <w:tcPr>
            <w:tcW w:w="2054" w:type="dxa"/>
          </w:tcPr>
          <w:p w14:paraId="7EE7D3B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Sokolska 7, Zagreb </w:t>
            </w:r>
          </w:p>
        </w:tc>
        <w:tc>
          <w:tcPr>
            <w:tcW w:w="1541" w:type="dxa"/>
          </w:tcPr>
          <w:p w14:paraId="1EB2C4B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450</w:t>
            </w:r>
          </w:p>
        </w:tc>
        <w:tc>
          <w:tcPr>
            <w:tcW w:w="1483" w:type="dxa"/>
          </w:tcPr>
          <w:p w14:paraId="4B3260C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600</w:t>
            </w:r>
          </w:p>
        </w:tc>
        <w:tc>
          <w:tcPr>
            <w:tcW w:w="1255" w:type="dxa"/>
          </w:tcPr>
          <w:p w14:paraId="66B85FA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1910.</w:t>
            </w:r>
          </w:p>
        </w:tc>
      </w:tr>
      <w:tr w:rsidR="00CE628C" w:rsidRPr="004750F4" w14:paraId="63F2B0B1" w14:textId="77777777" w:rsidTr="0025690A">
        <w:tblPrEx>
          <w:tblCellMar>
            <w:top w:w="5" w:type="dxa"/>
          </w:tblCellMar>
        </w:tblPrEx>
        <w:trPr>
          <w:cantSplit/>
        </w:trPr>
        <w:tc>
          <w:tcPr>
            <w:tcW w:w="685" w:type="dxa"/>
          </w:tcPr>
          <w:p w14:paraId="403E5EE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80.</w:t>
            </w:r>
          </w:p>
        </w:tc>
        <w:tc>
          <w:tcPr>
            <w:tcW w:w="2054" w:type="dxa"/>
          </w:tcPr>
          <w:p w14:paraId="33CBF4AD"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STENJEVEC </w:t>
            </w:r>
          </w:p>
        </w:tc>
        <w:tc>
          <w:tcPr>
            <w:tcW w:w="2054" w:type="dxa"/>
          </w:tcPr>
          <w:p w14:paraId="3276572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Bolnička 92, Zagreb </w:t>
            </w:r>
          </w:p>
        </w:tc>
        <w:tc>
          <w:tcPr>
            <w:tcW w:w="1541" w:type="dxa"/>
          </w:tcPr>
          <w:p w14:paraId="00F9755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450</w:t>
            </w:r>
          </w:p>
        </w:tc>
        <w:tc>
          <w:tcPr>
            <w:tcW w:w="1483" w:type="dxa"/>
          </w:tcPr>
          <w:p w14:paraId="7D184B9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450</w:t>
            </w:r>
          </w:p>
        </w:tc>
        <w:tc>
          <w:tcPr>
            <w:tcW w:w="1255" w:type="dxa"/>
          </w:tcPr>
          <w:p w14:paraId="28190C1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1960.</w:t>
            </w:r>
          </w:p>
        </w:tc>
      </w:tr>
      <w:tr w:rsidR="00CE628C" w:rsidRPr="004750F4" w14:paraId="4771B16E" w14:textId="77777777" w:rsidTr="0025690A">
        <w:tblPrEx>
          <w:tblCellMar>
            <w:top w:w="5" w:type="dxa"/>
          </w:tblCellMar>
        </w:tblPrEx>
        <w:trPr>
          <w:cantSplit/>
        </w:trPr>
        <w:tc>
          <w:tcPr>
            <w:tcW w:w="685" w:type="dxa"/>
          </w:tcPr>
          <w:p w14:paraId="70714F5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81.</w:t>
            </w:r>
          </w:p>
        </w:tc>
        <w:tc>
          <w:tcPr>
            <w:tcW w:w="2054" w:type="dxa"/>
          </w:tcPr>
          <w:p w14:paraId="45FCA82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OSNOVNA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ŠKOLA</w:t>
            </w:r>
            <w:r w:rsidR="00EE6A22"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DR.</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IVAN MERZ </w:t>
            </w:r>
          </w:p>
        </w:tc>
        <w:tc>
          <w:tcPr>
            <w:tcW w:w="2054" w:type="dxa"/>
          </w:tcPr>
          <w:p w14:paraId="08CC806C" w14:textId="77777777" w:rsidR="003F7A56" w:rsidRPr="0032536A" w:rsidRDefault="00EE48BB"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Ul. F. </w:t>
            </w:r>
            <w:r w:rsidR="00900184" w:rsidRPr="0032536A">
              <w:rPr>
                <w:rFonts w:ascii="Times New Roman" w:eastAsia="Times New Roman" w:hAnsi="Times New Roman" w:cs="Times New Roman"/>
                <w:color w:val="auto"/>
              </w:rPr>
              <w:t xml:space="preserve">Račkoga 4, Zagreb </w:t>
            </w:r>
          </w:p>
        </w:tc>
        <w:tc>
          <w:tcPr>
            <w:tcW w:w="1541" w:type="dxa"/>
          </w:tcPr>
          <w:p w14:paraId="286759F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510</w:t>
            </w:r>
          </w:p>
        </w:tc>
        <w:tc>
          <w:tcPr>
            <w:tcW w:w="1483" w:type="dxa"/>
          </w:tcPr>
          <w:p w14:paraId="1FF260E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280</w:t>
            </w:r>
          </w:p>
        </w:tc>
        <w:tc>
          <w:tcPr>
            <w:tcW w:w="1255" w:type="dxa"/>
          </w:tcPr>
          <w:p w14:paraId="307D069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1901.</w:t>
            </w:r>
          </w:p>
        </w:tc>
      </w:tr>
      <w:tr w:rsidR="00CE628C" w:rsidRPr="004750F4" w14:paraId="63F6B322" w14:textId="77777777" w:rsidTr="0025690A">
        <w:tblPrEx>
          <w:tblCellMar>
            <w:top w:w="5" w:type="dxa"/>
          </w:tblCellMar>
        </w:tblPrEx>
        <w:trPr>
          <w:cantSplit/>
        </w:trPr>
        <w:tc>
          <w:tcPr>
            <w:tcW w:w="685" w:type="dxa"/>
          </w:tcPr>
          <w:p w14:paraId="6FB0B11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82.</w:t>
            </w:r>
          </w:p>
        </w:tc>
        <w:tc>
          <w:tcPr>
            <w:tcW w:w="2054" w:type="dxa"/>
          </w:tcPr>
          <w:p w14:paraId="68876B71"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DAVORINA TRSTENJAKA </w:t>
            </w:r>
          </w:p>
        </w:tc>
        <w:tc>
          <w:tcPr>
            <w:tcW w:w="2054" w:type="dxa"/>
          </w:tcPr>
          <w:p w14:paraId="2E31BA06"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Krčka 3, Zagreb </w:t>
            </w:r>
          </w:p>
        </w:tc>
        <w:tc>
          <w:tcPr>
            <w:tcW w:w="1541" w:type="dxa"/>
          </w:tcPr>
          <w:p w14:paraId="44BA483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400</w:t>
            </w:r>
          </w:p>
        </w:tc>
        <w:tc>
          <w:tcPr>
            <w:tcW w:w="1483" w:type="dxa"/>
          </w:tcPr>
          <w:p w14:paraId="3970CC6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300</w:t>
            </w:r>
          </w:p>
        </w:tc>
        <w:tc>
          <w:tcPr>
            <w:tcW w:w="1255" w:type="dxa"/>
          </w:tcPr>
          <w:p w14:paraId="375F742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1956.</w:t>
            </w:r>
          </w:p>
        </w:tc>
      </w:tr>
      <w:tr w:rsidR="00CE628C" w:rsidRPr="004750F4" w14:paraId="1F9B2216" w14:textId="77777777" w:rsidTr="0025690A">
        <w:tblPrEx>
          <w:tblCellMar>
            <w:top w:w="5" w:type="dxa"/>
          </w:tblCellMar>
        </w:tblPrEx>
        <w:trPr>
          <w:cantSplit/>
        </w:trPr>
        <w:tc>
          <w:tcPr>
            <w:tcW w:w="685" w:type="dxa"/>
          </w:tcPr>
          <w:p w14:paraId="0A43127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83.</w:t>
            </w:r>
          </w:p>
        </w:tc>
        <w:tc>
          <w:tcPr>
            <w:tcW w:w="2054" w:type="dxa"/>
          </w:tcPr>
          <w:p w14:paraId="4A2752E4"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DRAGUTINA KUŠLANA </w:t>
            </w:r>
          </w:p>
        </w:tc>
        <w:tc>
          <w:tcPr>
            <w:tcW w:w="2054" w:type="dxa"/>
          </w:tcPr>
          <w:p w14:paraId="61A3C68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Kušlanova 52, Zagreb </w:t>
            </w:r>
          </w:p>
        </w:tc>
        <w:tc>
          <w:tcPr>
            <w:tcW w:w="1541" w:type="dxa"/>
          </w:tcPr>
          <w:p w14:paraId="6302F5E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380</w:t>
            </w:r>
          </w:p>
        </w:tc>
        <w:tc>
          <w:tcPr>
            <w:tcW w:w="1483" w:type="dxa"/>
          </w:tcPr>
          <w:p w14:paraId="039FFA0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380</w:t>
            </w:r>
          </w:p>
        </w:tc>
        <w:tc>
          <w:tcPr>
            <w:tcW w:w="1255" w:type="dxa"/>
          </w:tcPr>
          <w:p w14:paraId="2B48B6D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1936.</w:t>
            </w:r>
          </w:p>
        </w:tc>
      </w:tr>
      <w:tr w:rsidR="00CE628C" w:rsidRPr="004750F4" w14:paraId="5222D37C" w14:textId="77777777" w:rsidTr="0025690A">
        <w:tblPrEx>
          <w:tblCellMar>
            <w:top w:w="5" w:type="dxa"/>
          </w:tblCellMar>
        </w:tblPrEx>
        <w:trPr>
          <w:cantSplit/>
        </w:trPr>
        <w:tc>
          <w:tcPr>
            <w:tcW w:w="685" w:type="dxa"/>
          </w:tcPr>
          <w:p w14:paraId="1D77608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84.</w:t>
            </w:r>
          </w:p>
        </w:tc>
        <w:tc>
          <w:tcPr>
            <w:tcW w:w="2054" w:type="dxa"/>
          </w:tcPr>
          <w:p w14:paraId="07BE561D"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SESVETSKA SELA </w:t>
            </w:r>
          </w:p>
        </w:tc>
        <w:tc>
          <w:tcPr>
            <w:tcW w:w="2054" w:type="dxa"/>
          </w:tcPr>
          <w:p w14:paraId="2BFA45D1"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Letnička 5, 10 360 Sesvete </w:t>
            </w:r>
          </w:p>
        </w:tc>
        <w:tc>
          <w:tcPr>
            <w:tcW w:w="1541" w:type="dxa"/>
          </w:tcPr>
          <w:p w14:paraId="3B552E0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900</w:t>
            </w:r>
          </w:p>
        </w:tc>
        <w:tc>
          <w:tcPr>
            <w:tcW w:w="1483" w:type="dxa"/>
          </w:tcPr>
          <w:p w14:paraId="4DD2B65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900</w:t>
            </w:r>
          </w:p>
        </w:tc>
        <w:tc>
          <w:tcPr>
            <w:tcW w:w="1255" w:type="dxa"/>
          </w:tcPr>
          <w:p w14:paraId="27AA7A4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2007.</w:t>
            </w:r>
          </w:p>
        </w:tc>
      </w:tr>
      <w:tr w:rsidR="00CE628C" w:rsidRPr="004750F4" w14:paraId="2123C505" w14:textId="77777777" w:rsidTr="0025690A">
        <w:tblPrEx>
          <w:tblCellMar>
            <w:top w:w="5" w:type="dxa"/>
          </w:tblCellMar>
        </w:tblPrEx>
        <w:trPr>
          <w:cantSplit/>
        </w:trPr>
        <w:tc>
          <w:tcPr>
            <w:tcW w:w="685" w:type="dxa"/>
          </w:tcPr>
          <w:p w14:paraId="1D180B0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85.</w:t>
            </w:r>
          </w:p>
        </w:tc>
        <w:tc>
          <w:tcPr>
            <w:tcW w:w="2054" w:type="dxa"/>
          </w:tcPr>
          <w:p w14:paraId="3E6BA9E4"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SAVSKI GAJ </w:t>
            </w:r>
          </w:p>
        </w:tc>
        <w:tc>
          <w:tcPr>
            <w:tcW w:w="2054" w:type="dxa"/>
          </w:tcPr>
          <w:p w14:paraId="436158F5"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Remetinečka cesta 64a, 10020 Zagreb </w:t>
            </w:r>
          </w:p>
        </w:tc>
        <w:tc>
          <w:tcPr>
            <w:tcW w:w="1541" w:type="dxa"/>
          </w:tcPr>
          <w:p w14:paraId="089E93A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1000</w:t>
            </w:r>
          </w:p>
        </w:tc>
        <w:tc>
          <w:tcPr>
            <w:tcW w:w="1483" w:type="dxa"/>
          </w:tcPr>
          <w:p w14:paraId="4692858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300</w:t>
            </w:r>
          </w:p>
        </w:tc>
        <w:tc>
          <w:tcPr>
            <w:tcW w:w="1255" w:type="dxa"/>
          </w:tcPr>
          <w:p w14:paraId="7E1906B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2008.</w:t>
            </w:r>
          </w:p>
        </w:tc>
      </w:tr>
      <w:tr w:rsidR="00CE628C" w:rsidRPr="004750F4" w14:paraId="23F2330E" w14:textId="77777777" w:rsidTr="0025690A">
        <w:tblPrEx>
          <w:tblCellMar>
            <w:top w:w="5" w:type="dxa"/>
          </w:tblCellMar>
        </w:tblPrEx>
        <w:trPr>
          <w:cantSplit/>
        </w:trPr>
        <w:tc>
          <w:tcPr>
            <w:tcW w:w="685" w:type="dxa"/>
          </w:tcPr>
          <w:p w14:paraId="744A142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86.</w:t>
            </w:r>
          </w:p>
        </w:tc>
        <w:tc>
          <w:tcPr>
            <w:tcW w:w="2054" w:type="dxa"/>
          </w:tcPr>
          <w:p w14:paraId="58F4E78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ANTUNA MIHANOVIĆA </w:t>
            </w:r>
          </w:p>
        </w:tc>
        <w:tc>
          <w:tcPr>
            <w:tcW w:w="2054" w:type="dxa"/>
          </w:tcPr>
          <w:p w14:paraId="4661FBB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Dubečka 5, Zagreb </w:t>
            </w:r>
          </w:p>
        </w:tc>
        <w:tc>
          <w:tcPr>
            <w:tcW w:w="1541" w:type="dxa"/>
          </w:tcPr>
          <w:p w14:paraId="380313C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500</w:t>
            </w:r>
          </w:p>
        </w:tc>
        <w:tc>
          <w:tcPr>
            <w:tcW w:w="1483" w:type="dxa"/>
          </w:tcPr>
          <w:p w14:paraId="691B2AE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w:t>
            </w:r>
          </w:p>
        </w:tc>
        <w:tc>
          <w:tcPr>
            <w:tcW w:w="1255" w:type="dxa"/>
          </w:tcPr>
          <w:p w14:paraId="524B0B0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1973.</w:t>
            </w:r>
          </w:p>
        </w:tc>
      </w:tr>
      <w:tr w:rsidR="00CE628C" w:rsidRPr="004750F4" w14:paraId="4EEA9775" w14:textId="77777777" w:rsidTr="0025690A">
        <w:tblPrEx>
          <w:tblCellMar>
            <w:top w:w="5" w:type="dxa"/>
          </w:tblCellMar>
        </w:tblPrEx>
        <w:trPr>
          <w:cantSplit/>
        </w:trPr>
        <w:tc>
          <w:tcPr>
            <w:tcW w:w="685" w:type="dxa"/>
          </w:tcPr>
          <w:p w14:paraId="1D9D661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87.</w:t>
            </w:r>
          </w:p>
        </w:tc>
        <w:tc>
          <w:tcPr>
            <w:tcW w:w="2054" w:type="dxa"/>
          </w:tcPr>
          <w:p w14:paraId="3A618D0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OSNOVNA ŠKOLA ŠESTINE </w:t>
            </w:r>
          </w:p>
        </w:tc>
        <w:tc>
          <w:tcPr>
            <w:tcW w:w="2054" w:type="dxa"/>
          </w:tcPr>
          <w:p w14:paraId="4B6CA3E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Podrebernica 13 </w:t>
            </w:r>
          </w:p>
        </w:tc>
        <w:tc>
          <w:tcPr>
            <w:tcW w:w="1541" w:type="dxa"/>
          </w:tcPr>
          <w:p w14:paraId="21D9BF8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400</w:t>
            </w:r>
          </w:p>
        </w:tc>
        <w:tc>
          <w:tcPr>
            <w:tcW w:w="1483" w:type="dxa"/>
          </w:tcPr>
          <w:p w14:paraId="3994436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100</w:t>
            </w:r>
          </w:p>
        </w:tc>
        <w:tc>
          <w:tcPr>
            <w:tcW w:w="1255" w:type="dxa"/>
          </w:tcPr>
          <w:p w14:paraId="07EA9F3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1981.</w:t>
            </w:r>
          </w:p>
        </w:tc>
      </w:tr>
      <w:tr w:rsidR="00CE628C" w:rsidRPr="004750F4" w14:paraId="3FAEACC3" w14:textId="77777777" w:rsidTr="0025690A">
        <w:tblPrEx>
          <w:tblCellMar>
            <w:top w:w="5" w:type="dxa"/>
          </w:tblCellMar>
        </w:tblPrEx>
        <w:trPr>
          <w:cantSplit/>
        </w:trPr>
        <w:tc>
          <w:tcPr>
            <w:tcW w:w="685" w:type="dxa"/>
          </w:tcPr>
          <w:p w14:paraId="18C1503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88.</w:t>
            </w:r>
          </w:p>
        </w:tc>
        <w:tc>
          <w:tcPr>
            <w:tcW w:w="2054" w:type="dxa"/>
          </w:tcPr>
          <w:p w14:paraId="4B2F8A0D"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OSNOVNA ŠKOLA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MEDVEDGRAD</w:t>
            </w:r>
            <w:r w:rsidR="00E40AC8" w:rsidRPr="0032536A">
              <w:rPr>
                <w:rFonts w:ascii="Times New Roman" w:eastAsia="Times New Roman" w:hAnsi="Times New Roman" w:cs="Times New Roman"/>
                <w:color w:val="auto"/>
              </w:rPr>
              <w:t xml:space="preserve"> </w:t>
            </w:r>
          </w:p>
        </w:tc>
        <w:tc>
          <w:tcPr>
            <w:tcW w:w="2054" w:type="dxa"/>
          </w:tcPr>
          <w:p w14:paraId="79CFEB69"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Strma cesta 15, Zagreb </w:t>
            </w:r>
          </w:p>
        </w:tc>
        <w:tc>
          <w:tcPr>
            <w:tcW w:w="1541" w:type="dxa"/>
          </w:tcPr>
          <w:p w14:paraId="3887216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655</w:t>
            </w:r>
          </w:p>
        </w:tc>
        <w:tc>
          <w:tcPr>
            <w:tcW w:w="1483" w:type="dxa"/>
          </w:tcPr>
          <w:p w14:paraId="3319CC8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100</w:t>
            </w:r>
          </w:p>
        </w:tc>
        <w:tc>
          <w:tcPr>
            <w:tcW w:w="1255" w:type="dxa"/>
          </w:tcPr>
          <w:p w14:paraId="7FC83BE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1963.</w:t>
            </w:r>
          </w:p>
        </w:tc>
      </w:tr>
      <w:tr w:rsidR="00CE628C" w:rsidRPr="004750F4" w14:paraId="35E64D51" w14:textId="77777777" w:rsidTr="0025690A">
        <w:tblPrEx>
          <w:tblCellMar>
            <w:top w:w="5" w:type="dxa"/>
          </w:tblCellMar>
        </w:tblPrEx>
        <w:trPr>
          <w:cantSplit/>
        </w:trPr>
        <w:tc>
          <w:tcPr>
            <w:tcW w:w="685" w:type="dxa"/>
          </w:tcPr>
          <w:p w14:paraId="2B26965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89.</w:t>
            </w:r>
          </w:p>
        </w:tc>
        <w:tc>
          <w:tcPr>
            <w:tcW w:w="2054" w:type="dxa"/>
          </w:tcPr>
          <w:p w14:paraId="0261ADB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OSNOVNA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ŠKOLA GROFA JANKA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DRAŠKOVIĆA </w:t>
            </w:r>
          </w:p>
        </w:tc>
        <w:tc>
          <w:tcPr>
            <w:tcW w:w="2054" w:type="dxa"/>
          </w:tcPr>
          <w:p w14:paraId="78513A56"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Vrapčanska 7, Zagreb </w:t>
            </w:r>
          </w:p>
        </w:tc>
        <w:tc>
          <w:tcPr>
            <w:tcW w:w="1541" w:type="dxa"/>
          </w:tcPr>
          <w:p w14:paraId="5F37E9A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800</w:t>
            </w:r>
          </w:p>
        </w:tc>
        <w:tc>
          <w:tcPr>
            <w:tcW w:w="1483" w:type="dxa"/>
          </w:tcPr>
          <w:p w14:paraId="7F0CB37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300</w:t>
            </w:r>
          </w:p>
        </w:tc>
        <w:tc>
          <w:tcPr>
            <w:tcW w:w="1255" w:type="dxa"/>
          </w:tcPr>
          <w:p w14:paraId="254DD4B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1945.</w:t>
            </w:r>
          </w:p>
        </w:tc>
      </w:tr>
      <w:tr w:rsidR="00CE628C" w:rsidRPr="004750F4" w14:paraId="4A7FE2D1" w14:textId="77777777" w:rsidTr="0025690A">
        <w:tblPrEx>
          <w:tblCellMar>
            <w:top w:w="5" w:type="dxa"/>
          </w:tblCellMar>
        </w:tblPrEx>
        <w:trPr>
          <w:cantSplit/>
        </w:trPr>
        <w:tc>
          <w:tcPr>
            <w:tcW w:w="685" w:type="dxa"/>
          </w:tcPr>
          <w:p w14:paraId="5F30F84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lastRenderedPageBreak/>
              <w:t>90.</w:t>
            </w:r>
          </w:p>
        </w:tc>
        <w:tc>
          <w:tcPr>
            <w:tcW w:w="2054" w:type="dxa"/>
          </w:tcPr>
          <w:p w14:paraId="74B1FCE1"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OSNOVNA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ŠKOLA J.</w:t>
            </w:r>
            <w:r w:rsidR="0025690A"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J.</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STROSSMAYERA </w:t>
            </w:r>
          </w:p>
        </w:tc>
        <w:tc>
          <w:tcPr>
            <w:tcW w:w="2054" w:type="dxa"/>
          </w:tcPr>
          <w:p w14:paraId="6B3F474F"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Varšavska 18, Zagreb </w:t>
            </w:r>
          </w:p>
        </w:tc>
        <w:tc>
          <w:tcPr>
            <w:tcW w:w="1541" w:type="dxa"/>
          </w:tcPr>
          <w:p w14:paraId="759FA06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430</w:t>
            </w:r>
          </w:p>
        </w:tc>
        <w:tc>
          <w:tcPr>
            <w:tcW w:w="1483" w:type="dxa"/>
          </w:tcPr>
          <w:p w14:paraId="07D96F4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350</w:t>
            </w:r>
          </w:p>
        </w:tc>
        <w:tc>
          <w:tcPr>
            <w:tcW w:w="1255" w:type="dxa"/>
          </w:tcPr>
          <w:p w14:paraId="3B8DD06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1865.</w:t>
            </w:r>
          </w:p>
        </w:tc>
      </w:tr>
      <w:tr w:rsidR="00CE628C" w:rsidRPr="004750F4" w14:paraId="1028B5BC" w14:textId="77777777" w:rsidTr="0025690A">
        <w:tblPrEx>
          <w:tblCellMar>
            <w:top w:w="5" w:type="dxa"/>
          </w:tblCellMar>
        </w:tblPrEx>
        <w:trPr>
          <w:cantSplit/>
        </w:trPr>
        <w:tc>
          <w:tcPr>
            <w:tcW w:w="685" w:type="dxa"/>
          </w:tcPr>
          <w:p w14:paraId="272D540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91.</w:t>
            </w:r>
          </w:p>
        </w:tc>
        <w:tc>
          <w:tcPr>
            <w:tcW w:w="2054" w:type="dxa"/>
          </w:tcPr>
          <w:p w14:paraId="10FC694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OŠ K. Š.</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GJALSKOG </w:t>
            </w:r>
          </w:p>
        </w:tc>
        <w:tc>
          <w:tcPr>
            <w:tcW w:w="2054" w:type="dxa"/>
          </w:tcPr>
          <w:p w14:paraId="3E609EF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Mlinarska 35, Zagreb </w:t>
            </w:r>
          </w:p>
        </w:tc>
        <w:tc>
          <w:tcPr>
            <w:tcW w:w="1541" w:type="dxa"/>
          </w:tcPr>
          <w:p w14:paraId="1BC03EF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285</w:t>
            </w:r>
          </w:p>
        </w:tc>
        <w:tc>
          <w:tcPr>
            <w:tcW w:w="1483" w:type="dxa"/>
          </w:tcPr>
          <w:p w14:paraId="393BF7D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4C9F23A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1961.</w:t>
            </w:r>
          </w:p>
        </w:tc>
      </w:tr>
      <w:tr w:rsidR="00CE628C" w:rsidRPr="004750F4" w14:paraId="05D90F54" w14:textId="77777777" w:rsidTr="0025690A">
        <w:tblPrEx>
          <w:tblCellMar>
            <w:top w:w="5" w:type="dxa"/>
          </w:tblCellMar>
        </w:tblPrEx>
        <w:trPr>
          <w:cantSplit/>
        </w:trPr>
        <w:tc>
          <w:tcPr>
            <w:tcW w:w="685" w:type="dxa"/>
          </w:tcPr>
          <w:p w14:paraId="04D0B9E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92.</w:t>
            </w:r>
          </w:p>
        </w:tc>
        <w:tc>
          <w:tcPr>
            <w:tcW w:w="2054" w:type="dxa"/>
          </w:tcPr>
          <w:p w14:paraId="56779247"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OTOK </w:t>
            </w:r>
          </w:p>
        </w:tc>
        <w:tc>
          <w:tcPr>
            <w:tcW w:w="2054" w:type="dxa"/>
          </w:tcPr>
          <w:p w14:paraId="443387B5"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eastAsia="Times New Roman" w:hAnsi="Times New Roman" w:cs="Times New Roman"/>
                <w:color w:val="auto"/>
              </w:rPr>
              <w:t xml:space="preserve">Stjepana Gradića 4, Zagreb </w:t>
            </w:r>
          </w:p>
        </w:tc>
        <w:tc>
          <w:tcPr>
            <w:tcW w:w="1541" w:type="dxa"/>
          </w:tcPr>
          <w:p w14:paraId="07EA036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500</w:t>
            </w:r>
          </w:p>
        </w:tc>
        <w:tc>
          <w:tcPr>
            <w:tcW w:w="1483" w:type="dxa"/>
          </w:tcPr>
          <w:p w14:paraId="37910EF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w:t>
            </w:r>
          </w:p>
        </w:tc>
        <w:tc>
          <w:tcPr>
            <w:tcW w:w="1255" w:type="dxa"/>
          </w:tcPr>
          <w:p w14:paraId="52F7C1F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1984.</w:t>
            </w:r>
          </w:p>
        </w:tc>
      </w:tr>
      <w:tr w:rsidR="00CE628C" w:rsidRPr="004750F4" w14:paraId="3A4793D2" w14:textId="77777777" w:rsidTr="0025690A">
        <w:tblPrEx>
          <w:tblCellMar>
            <w:top w:w="5" w:type="dxa"/>
          </w:tblCellMar>
        </w:tblPrEx>
        <w:trPr>
          <w:cantSplit/>
        </w:trPr>
        <w:tc>
          <w:tcPr>
            <w:tcW w:w="685" w:type="dxa"/>
          </w:tcPr>
          <w:p w14:paraId="732DC0E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93.</w:t>
            </w:r>
          </w:p>
        </w:tc>
        <w:tc>
          <w:tcPr>
            <w:tcW w:w="2054" w:type="dxa"/>
          </w:tcPr>
          <w:p w14:paraId="3D4DA739"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MALEŠNICA </w:t>
            </w:r>
          </w:p>
        </w:tc>
        <w:tc>
          <w:tcPr>
            <w:tcW w:w="2054" w:type="dxa"/>
          </w:tcPr>
          <w:p w14:paraId="6714F8C4"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eastAsia="Times New Roman" w:hAnsi="Times New Roman" w:cs="Times New Roman"/>
                <w:color w:val="auto"/>
              </w:rPr>
              <w:t xml:space="preserve">A. T Mimare 36 </w:t>
            </w:r>
          </w:p>
        </w:tc>
        <w:tc>
          <w:tcPr>
            <w:tcW w:w="1541" w:type="dxa"/>
          </w:tcPr>
          <w:p w14:paraId="2A9866D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1100</w:t>
            </w:r>
          </w:p>
        </w:tc>
        <w:tc>
          <w:tcPr>
            <w:tcW w:w="1483" w:type="dxa"/>
          </w:tcPr>
          <w:p w14:paraId="33AE5F0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400</w:t>
            </w:r>
          </w:p>
        </w:tc>
        <w:tc>
          <w:tcPr>
            <w:tcW w:w="1255" w:type="dxa"/>
          </w:tcPr>
          <w:p w14:paraId="4380ABB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1991.</w:t>
            </w:r>
          </w:p>
        </w:tc>
      </w:tr>
      <w:tr w:rsidR="00CE628C" w:rsidRPr="004750F4" w14:paraId="74F5E5F3" w14:textId="77777777" w:rsidTr="0025690A">
        <w:tblPrEx>
          <w:tblCellMar>
            <w:top w:w="5" w:type="dxa"/>
          </w:tblCellMar>
        </w:tblPrEx>
        <w:trPr>
          <w:cantSplit/>
        </w:trPr>
        <w:tc>
          <w:tcPr>
            <w:tcW w:w="685" w:type="dxa"/>
          </w:tcPr>
          <w:p w14:paraId="66FEB60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94.</w:t>
            </w:r>
          </w:p>
        </w:tc>
        <w:tc>
          <w:tcPr>
            <w:tcW w:w="2054" w:type="dxa"/>
          </w:tcPr>
          <w:p w14:paraId="549B1DF6"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ŠPANSKO ORANICE </w:t>
            </w:r>
          </w:p>
        </w:tc>
        <w:tc>
          <w:tcPr>
            <w:tcW w:w="2054" w:type="dxa"/>
          </w:tcPr>
          <w:p w14:paraId="5DD94F44"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Dječji trg 1, Zagreb </w:t>
            </w:r>
          </w:p>
        </w:tc>
        <w:tc>
          <w:tcPr>
            <w:tcW w:w="1541" w:type="dxa"/>
          </w:tcPr>
          <w:p w14:paraId="74C2C8E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1000</w:t>
            </w:r>
          </w:p>
        </w:tc>
        <w:tc>
          <w:tcPr>
            <w:tcW w:w="1483" w:type="dxa"/>
          </w:tcPr>
          <w:p w14:paraId="6FA33B8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400</w:t>
            </w:r>
          </w:p>
        </w:tc>
        <w:tc>
          <w:tcPr>
            <w:tcW w:w="1255" w:type="dxa"/>
          </w:tcPr>
          <w:p w14:paraId="642EDD8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2007.</w:t>
            </w:r>
          </w:p>
        </w:tc>
      </w:tr>
      <w:tr w:rsidR="00CE628C" w:rsidRPr="004750F4" w14:paraId="5508D11D" w14:textId="77777777" w:rsidTr="0025690A">
        <w:tblPrEx>
          <w:tblCellMar>
            <w:top w:w="5" w:type="dxa"/>
          </w:tblCellMar>
        </w:tblPrEx>
        <w:trPr>
          <w:cantSplit/>
        </w:trPr>
        <w:tc>
          <w:tcPr>
            <w:tcW w:w="685" w:type="dxa"/>
          </w:tcPr>
          <w:p w14:paraId="18838DE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95.</w:t>
            </w:r>
          </w:p>
        </w:tc>
        <w:tc>
          <w:tcPr>
            <w:tcW w:w="2054" w:type="dxa"/>
          </w:tcPr>
          <w:p w14:paraId="09E846E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OSNOVNA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ŠKOLA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GRANEŠINA</w:t>
            </w:r>
            <w:r w:rsidR="00E40AC8" w:rsidRPr="0032536A">
              <w:rPr>
                <w:rFonts w:ascii="Times New Roman" w:eastAsia="Times New Roman" w:hAnsi="Times New Roman" w:cs="Times New Roman"/>
                <w:color w:val="auto"/>
              </w:rPr>
              <w:t xml:space="preserve"> </w:t>
            </w:r>
          </w:p>
        </w:tc>
        <w:tc>
          <w:tcPr>
            <w:tcW w:w="2054" w:type="dxa"/>
          </w:tcPr>
          <w:p w14:paraId="2EF550F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Granešina 1, Zagreb </w:t>
            </w:r>
          </w:p>
        </w:tc>
        <w:tc>
          <w:tcPr>
            <w:tcW w:w="1541" w:type="dxa"/>
          </w:tcPr>
          <w:p w14:paraId="14307C1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450</w:t>
            </w:r>
          </w:p>
        </w:tc>
        <w:tc>
          <w:tcPr>
            <w:tcW w:w="1483" w:type="dxa"/>
          </w:tcPr>
          <w:p w14:paraId="231515B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7AEF9A8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1948.</w:t>
            </w:r>
          </w:p>
        </w:tc>
      </w:tr>
      <w:tr w:rsidR="00CE628C" w:rsidRPr="004750F4" w14:paraId="45261BB6" w14:textId="77777777" w:rsidTr="0025690A">
        <w:tblPrEx>
          <w:tblCellMar>
            <w:top w:w="5" w:type="dxa"/>
          </w:tblCellMar>
        </w:tblPrEx>
        <w:trPr>
          <w:cantSplit/>
        </w:trPr>
        <w:tc>
          <w:tcPr>
            <w:tcW w:w="685" w:type="dxa"/>
          </w:tcPr>
          <w:p w14:paraId="4E4B20D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96.</w:t>
            </w:r>
          </w:p>
        </w:tc>
        <w:tc>
          <w:tcPr>
            <w:tcW w:w="2054" w:type="dxa"/>
          </w:tcPr>
          <w:p w14:paraId="3338F4F6"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DR. ANTE STARČEVIĆA </w:t>
            </w:r>
          </w:p>
        </w:tc>
        <w:tc>
          <w:tcPr>
            <w:tcW w:w="2054" w:type="dxa"/>
          </w:tcPr>
          <w:p w14:paraId="2B1A5510"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Pr="0032536A">
              <w:rPr>
                <w:rFonts w:ascii="Times New Roman" w:eastAsia="Times New Roman" w:hAnsi="Times New Roman" w:cs="Times New Roman"/>
                <w:color w:val="auto"/>
              </w:rPr>
              <w:t>sv</w:t>
            </w:r>
            <w:r w:rsidR="00900184" w:rsidRPr="0032536A">
              <w:rPr>
                <w:rFonts w:ascii="Times New Roman" w:eastAsia="Times New Roman" w:hAnsi="Times New Roman" w:cs="Times New Roman"/>
                <w:color w:val="auto"/>
              </w:rPr>
              <w:t xml:space="preserve">. Leopolda Mandića 55, Zagreb </w:t>
            </w:r>
          </w:p>
        </w:tc>
        <w:tc>
          <w:tcPr>
            <w:tcW w:w="1541" w:type="dxa"/>
          </w:tcPr>
          <w:p w14:paraId="2C3E1C8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500</w:t>
            </w:r>
          </w:p>
        </w:tc>
        <w:tc>
          <w:tcPr>
            <w:tcW w:w="1483" w:type="dxa"/>
          </w:tcPr>
          <w:p w14:paraId="65D95F7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500</w:t>
            </w:r>
          </w:p>
        </w:tc>
        <w:tc>
          <w:tcPr>
            <w:tcW w:w="1255" w:type="dxa"/>
          </w:tcPr>
          <w:p w14:paraId="5F2FBB0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1960.</w:t>
            </w:r>
          </w:p>
        </w:tc>
      </w:tr>
      <w:tr w:rsidR="00CE628C" w:rsidRPr="004750F4" w14:paraId="59D5B566" w14:textId="77777777" w:rsidTr="0025690A">
        <w:tblPrEx>
          <w:tblCellMar>
            <w:top w:w="5" w:type="dxa"/>
          </w:tblCellMar>
        </w:tblPrEx>
        <w:trPr>
          <w:cantSplit/>
        </w:trPr>
        <w:tc>
          <w:tcPr>
            <w:tcW w:w="685" w:type="dxa"/>
          </w:tcPr>
          <w:p w14:paraId="6201E2B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97.</w:t>
            </w:r>
          </w:p>
        </w:tc>
        <w:tc>
          <w:tcPr>
            <w:tcW w:w="2054" w:type="dxa"/>
          </w:tcPr>
          <w:p w14:paraId="7D6473C1"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SESVETSKA SOPNICA </w:t>
            </w:r>
          </w:p>
        </w:tc>
        <w:tc>
          <w:tcPr>
            <w:tcW w:w="2054" w:type="dxa"/>
          </w:tcPr>
          <w:p w14:paraId="11B9A01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Sopnička 69, Sesvete </w:t>
            </w:r>
          </w:p>
        </w:tc>
        <w:tc>
          <w:tcPr>
            <w:tcW w:w="1541" w:type="dxa"/>
          </w:tcPr>
          <w:p w14:paraId="193E3D7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350</w:t>
            </w:r>
          </w:p>
        </w:tc>
        <w:tc>
          <w:tcPr>
            <w:tcW w:w="1483" w:type="dxa"/>
          </w:tcPr>
          <w:p w14:paraId="03C9965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320</w:t>
            </w:r>
          </w:p>
        </w:tc>
        <w:tc>
          <w:tcPr>
            <w:tcW w:w="1255" w:type="dxa"/>
          </w:tcPr>
          <w:p w14:paraId="679853D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2007.</w:t>
            </w:r>
          </w:p>
        </w:tc>
      </w:tr>
      <w:tr w:rsidR="00CE628C" w:rsidRPr="004750F4" w14:paraId="55437F79" w14:textId="77777777" w:rsidTr="0025690A">
        <w:tblPrEx>
          <w:tblCellMar>
            <w:top w:w="5" w:type="dxa"/>
          </w:tblCellMar>
        </w:tblPrEx>
        <w:trPr>
          <w:cantSplit/>
        </w:trPr>
        <w:tc>
          <w:tcPr>
            <w:tcW w:w="685" w:type="dxa"/>
          </w:tcPr>
          <w:p w14:paraId="769CF6C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98.</w:t>
            </w:r>
          </w:p>
        </w:tc>
        <w:tc>
          <w:tcPr>
            <w:tcW w:w="2054" w:type="dxa"/>
          </w:tcPr>
          <w:p w14:paraId="7EB3F945"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LOVRE PL. MATAČIĆA </w:t>
            </w:r>
          </w:p>
        </w:tc>
        <w:tc>
          <w:tcPr>
            <w:tcW w:w="2054" w:type="dxa"/>
          </w:tcPr>
          <w:p w14:paraId="596EC945" w14:textId="77777777" w:rsidR="003F7A56" w:rsidRPr="0032536A" w:rsidRDefault="00EE48BB"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Ul. </w:t>
            </w:r>
            <w:r w:rsidR="00900184" w:rsidRPr="0032536A">
              <w:rPr>
                <w:rFonts w:ascii="Times New Roman" w:eastAsia="Times New Roman" w:hAnsi="Times New Roman" w:cs="Times New Roman"/>
                <w:color w:val="auto"/>
              </w:rPr>
              <w:t xml:space="preserve">Joze Laurenčića 1, Zagreb </w:t>
            </w:r>
          </w:p>
        </w:tc>
        <w:tc>
          <w:tcPr>
            <w:tcW w:w="1541" w:type="dxa"/>
          </w:tcPr>
          <w:p w14:paraId="0A2C49F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600</w:t>
            </w:r>
          </w:p>
        </w:tc>
        <w:tc>
          <w:tcPr>
            <w:tcW w:w="1483" w:type="dxa"/>
          </w:tcPr>
          <w:p w14:paraId="601F344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250</w:t>
            </w:r>
          </w:p>
        </w:tc>
        <w:tc>
          <w:tcPr>
            <w:tcW w:w="1255" w:type="dxa"/>
          </w:tcPr>
          <w:p w14:paraId="282602B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1963.</w:t>
            </w:r>
          </w:p>
        </w:tc>
      </w:tr>
      <w:tr w:rsidR="00CE628C" w:rsidRPr="004750F4" w14:paraId="6371CCC9" w14:textId="77777777" w:rsidTr="0025690A">
        <w:tblPrEx>
          <w:tblCellMar>
            <w:top w:w="5" w:type="dxa"/>
          </w:tblCellMar>
        </w:tblPrEx>
        <w:trPr>
          <w:cantSplit/>
        </w:trPr>
        <w:tc>
          <w:tcPr>
            <w:tcW w:w="685" w:type="dxa"/>
          </w:tcPr>
          <w:p w14:paraId="197E1FF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99.</w:t>
            </w:r>
          </w:p>
        </w:tc>
        <w:tc>
          <w:tcPr>
            <w:tcW w:w="2054" w:type="dxa"/>
          </w:tcPr>
          <w:p w14:paraId="169E47B7"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OTONA IVEKOVIĆA </w:t>
            </w:r>
          </w:p>
        </w:tc>
        <w:tc>
          <w:tcPr>
            <w:tcW w:w="2054" w:type="dxa"/>
          </w:tcPr>
          <w:p w14:paraId="5131F54C"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eastAsia="Times New Roman" w:hAnsi="Times New Roman" w:cs="Times New Roman"/>
                <w:color w:val="auto"/>
              </w:rPr>
              <w:t xml:space="preserve">Stjepana Pasanca 3, Zagreb </w:t>
            </w:r>
          </w:p>
        </w:tc>
        <w:tc>
          <w:tcPr>
            <w:tcW w:w="1541" w:type="dxa"/>
          </w:tcPr>
          <w:p w14:paraId="049C38D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520</w:t>
            </w:r>
          </w:p>
        </w:tc>
        <w:tc>
          <w:tcPr>
            <w:tcW w:w="1483" w:type="dxa"/>
          </w:tcPr>
          <w:p w14:paraId="783CFD2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150</w:t>
            </w:r>
          </w:p>
        </w:tc>
        <w:tc>
          <w:tcPr>
            <w:tcW w:w="1255" w:type="dxa"/>
          </w:tcPr>
          <w:p w14:paraId="56C8765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1969.</w:t>
            </w:r>
          </w:p>
        </w:tc>
      </w:tr>
      <w:tr w:rsidR="00CE628C" w:rsidRPr="004750F4" w14:paraId="735C5763" w14:textId="77777777" w:rsidTr="0025690A">
        <w:tblPrEx>
          <w:tblCellMar>
            <w:top w:w="5" w:type="dxa"/>
          </w:tblCellMar>
        </w:tblPrEx>
        <w:trPr>
          <w:cantSplit/>
        </w:trPr>
        <w:tc>
          <w:tcPr>
            <w:tcW w:w="685" w:type="dxa"/>
          </w:tcPr>
          <w:p w14:paraId="1FCA36A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100.</w:t>
            </w:r>
          </w:p>
        </w:tc>
        <w:tc>
          <w:tcPr>
            <w:tcW w:w="2054" w:type="dxa"/>
          </w:tcPr>
          <w:p w14:paraId="2B9F7345"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POLIKLINIKE SUVAG </w:t>
            </w:r>
          </w:p>
        </w:tc>
        <w:tc>
          <w:tcPr>
            <w:tcW w:w="2054" w:type="dxa"/>
          </w:tcPr>
          <w:p w14:paraId="1F15E64D"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Ulica kneza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Ljudevita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Posavskog 10, Zagreb </w:t>
            </w:r>
          </w:p>
        </w:tc>
        <w:tc>
          <w:tcPr>
            <w:tcW w:w="1541" w:type="dxa"/>
          </w:tcPr>
          <w:p w14:paraId="2630CF5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230</w:t>
            </w:r>
          </w:p>
        </w:tc>
        <w:tc>
          <w:tcPr>
            <w:tcW w:w="1483" w:type="dxa"/>
          </w:tcPr>
          <w:p w14:paraId="398F45B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50</w:t>
            </w:r>
          </w:p>
        </w:tc>
        <w:tc>
          <w:tcPr>
            <w:tcW w:w="1255" w:type="dxa"/>
          </w:tcPr>
          <w:p w14:paraId="4872B37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1927.</w:t>
            </w:r>
          </w:p>
        </w:tc>
      </w:tr>
      <w:tr w:rsidR="00CE628C" w:rsidRPr="004750F4" w14:paraId="17E13D3C" w14:textId="77777777" w:rsidTr="0025690A">
        <w:tblPrEx>
          <w:tblCellMar>
            <w:top w:w="5" w:type="dxa"/>
          </w:tblCellMar>
        </w:tblPrEx>
        <w:trPr>
          <w:cantSplit/>
        </w:trPr>
        <w:tc>
          <w:tcPr>
            <w:tcW w:w="685" w:type="dxa"/>
          </w:tcPr>
          <w:p w14:paraId="38916BC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101.</w:t>
            </w:r>
          </w:p>
        </w:tc>
        <w:tc>
          <w:tcPr>
            <w:tcW w:w="2054" w:type="dxa"/>
          </w:tcPr>
          <w:p w14:paraId="3DE059A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KAJZERICA </w:t>
            </w:r>
          </w:p>
        </w:tc>
        <w:tc>
          <w:tcPr>
            <w:tcW w:w="2054" w:type="dxa"/>
          </w:tcPr>
          <w:p w14:paraId="62DD3E60"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eastAsia="Times New Roman" w:hAnsi="Times New Roman" w:cs="Times New Roman"/>
                <w:color w:val="auto"/>
              </w:rPr>
              <w:t xml:space="preserve">Žarka Dolinara 9, 10020 Zagreb </w:t>
            </w:r>
          </w:p>
        </w:tc>
        <w:tc>
          <w:tcPr>
            <w:tcW w:w="1541" w:type="dxa"/>
          </w:tcPr>
          <w:p w14:paraId="5CAEE4B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600</w:t>
            </w:r>
          </w:p>
        </w:tc>
        <w:tc>
          <w:tcPr>
            <w:tcW w:w="1483" w:type="dxa"/>
          </w:tcPr>
          <w:p w14:paraId="3C89BD7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270</w:t>
            </w:r>
          </w:p>
        </w:tc>
        <w:tc>
          <w:tcPr>
            <w:tcW w:w="1255" w:type="dxa"/>
          </w:tcPr>
          <w:p w14:paraId="0B3553E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2014.</w:t>
            </w:r>
          </w:p>
        </w:tc>
      </w:tr>
      <w:tr w:rsidR="00CE628C" w:rsidRPr="004750F4" w14:paraId="12698978" w14:textId="77777777" w:rsidTr="0025690A">
        <w:tblPrEx>
          <w:tblCellMar>
            <w:top w:w="5" w:type="dxa"/>
            <w:bottom w:w="43" w:type="dxa"/>
          </w:tblCellMar>
        </w:tblPrEx>
        <w:trPr>
          <w:cantSplit/>
        </w:trPr>
        <w:tc>
          <w:tcPr>
            <w:tcW w:w="685" w:type="dxa"/>
          </w:tcPr>
          <w:p w14:paraId="36F6D8A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102.</w:t>
            </w:r>
          </w:p>
        </w:tc>
        <w:tc>
          <w:tcPr>
            <w:tcW w:w="2054" w:type="dxa"/>
          </w:tcPr>
          <w:p w14:paraId="36E143F3"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OSNOVNA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ŠKOLA IVANA GUNDULIĆA </w:t>
            </w:r>
          </w:p>
        </w:tc>
        <w:tc>
          <w:tcPr>
            <w:tcW w:w="2054" w:type="dxa"/>
          </w:tcPr>
          <w:p w14:paraId="7AF8823D"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Gundulićeva 23A </w:t>
            </w:r>
          </w:p>
        </w:tc>
        <w:tc>
          <w:tcPr>
            <w:tcW w:w="1541" w:type="dxa"/>
          </w:tcPr>
          <w:p w14:paraId="2AA94A8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300</w:t>
            </w:r>
          </w:p>
        </w:tc>
        <w:tc>
          <w:tcPr>
            <w:tcW w:w="1483" w:type="dxa"/>
          </w:tcPr>
          <w:p w14:paraId="3B9C29E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250</w:t>
            </w:r>
          </w:p>
        </w:tc>
        <w:tc>
          <w:tcPr>
            <w:tcW w:w="1255" w:type="dxa"/>
          </w:tcPr>
          <w:p w14:paraId="70FF6F9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1961.</w:t>
            </w:r>
          </w:p>
        </w:tc>
      </w:tr>
      <w:tr w:rsidR="00CE628C" w:rsidRPr="004750F4" w14:paraId="518D5C54" w14:textId="77777777" w:rsidTr="0025690A">
        <w:tblPrEx>
          <w:tblCellMar>
            <w:top w:w="5" w:type="dxa"/>
            <w:bottom w:w="43" w:type="dxa"/>
          </w:tblCellMar>
        </w:tblPrEx>
        <w:trPr>
          <w:cantSplit/>
        </w:trPr>
        <w:tc>
          <w:tcPr>
            <w:tcW w:w="685" w:type="dxa"/>
          </w:tcPr>
          <w:p w14:paraId="75CB735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103.</w:t>
            </w:r>
          </w:p>
        </w:tc>
        <w:tc>
          <w:tcPr>
            <w:tcW w:w="2054" w:type="dxa"/>
          </w:tcPr>
          <w:p w14:paraId="1913E98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AUGUSTA CESARCA </w:t>
            </w:r>
          </w:p>
        </w:tc>
        <w:tc>
          <w:tcPr>
            <w:tcW w:w="2054" w:type="dxa"/>
          </w:tcPr>
          <w:p w14:paraId="2BF1D61A"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II. Ferenčica 9A, Zagreb </w:t>
            </w:r>
          </w:p>
        </w:tc>
        <w:tc>
          <w:tcPr>
            <w:tcW w:w="1541" w:type="dxa"/>
          </w:tcPr>
          <w:p w14:paraId="77AF6DE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650</w:t>
            </w:r>
          </w:p>
        </w:tc>
        <w:tc>
          <w:tcPr>
            <w:tcW w:w="1483" w:type="dxa"/>
          </w:tcPr>
          <w:p w14:paraId="2018E5B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300</w:t>
            </w:r>
          </w:p>
        </w:tc>
        <w:tc>
          <w:tcPr>
            <w:tcW w:w="1255" w:type="dxa"/>
          </w:tcPr>
          <w:p w14:paraId="763104A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1960.</w:t>
            </w:r>
          </w:p>
        </w:tc>
      </w:tr>
      <w:tr w:rsidR="00CE628C" w:rsidRPr="004750F4" w14:paraId="4E209851" w14:textId="77777777" w:rsidTr="0025690A">
        <w:tblPrEx>
          <w:tblCellMar>
            <w:top w:w="5" w:type="dxa"/>
            <w:bottom w:w="43" w:type="dxa"/>
          </w:tblCellMar>
        </w:tblPrEx>
        <w:trPr>
          <w:cantSplit/>
        </w:trPr>
        <w:tc>
          <w:tcPr>
            <w:tcW w:w="685" w:type="dxa"/>
          </w:tcPr>
          <w:p w14:paraId="371BE98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104.</w:t>
            </w:r>
          </w:p>
        </w:tc>
        <w:tc>
          <w:tcPr>
            <w:tcW w:w="2054" w:type="dxa"/>
          </w:tcPr>
          <w:p w14:paraId="44DB49F8"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PAVLEKA MIŠKINE </w:t>
            </w:r>
          </w:p>
        </w:tc>
        <w:tc>
          <w:tcPr>
            <w:tcW w:w="2054" w:type="dxa"/>
          </w:tcPr>
          <w:p w14:paraId="2BB18C15"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Sveti Duh 24, Zagreb </w:t>
            </w:r>
          </w:p>
        </w:tc>
        <w:tc>
          <w:tcPr>
            <w:tcW w:w="1541" w:type="dxa"/>
          </w:tcPr>
          <w:p w14:paraId="5557C51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800</w:t>
            </w:r>
          </w:p>
        </w:tc>
        <w:tc>
          <w:tcPr>
            <w:tcW w:w="1483" w:type="dxa"/>
          </w:tcPr>
          <w:p w14:paraId="232FE2F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250</w:t>
            </w:r>
          </w:p>
        </w:tc>
        <w:tc>
          <w:tcPr>
            <w:tcW w:w="1255" w:type="dxa"/>
          </w:tcPr>
          <w:p w14:paraId="7F21C8C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1896.</w:t>
            </w:r>
          </w:p>
        </w:tc>
      </w:tr>
      <w:tr w:rsidR="00CE628C" w:rsidRPr="004750F4" w14:paraId="0FA75294" w14:textId="77777777" w:rsidTr="0025690A">
        <w:tblPrEx>
          <w:tblCellMar>
            <w:top w:w="5" w:type="dxa"/>
            <w:bottom w:w="43" w:type="dxa"/>
          </w:tblCellMar>
        </w:tblPrEx>
        <w:trPr>
          <w:cantSplit/>
        </w:trPr>
        <w:tc>
          <w:tcPr>
            <w:tcW w:w="685" w:type="dxa"/>
          </w:tcPr>
          <w:p w14:paraId="5380386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105.</w:t>
            </w:r>
          </w:p>
        </w:tc>
        <w:tc>
          <w:tcPr>
            <w:tcW w:w="2054" w:type="dxa"/>
          </w:tcPr>
          <w:p w14:paraId="7900FDF1"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HORVATI </w:t>
            </w:r>
          </w:p>
        </w:tc>
        <w:tc>
          <w:tcPr>
            <w:tcW w:w="2054" w:type="dxa"/>
          </w:tcPr>
          <w:p w14:paraId="361AF2A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Horvaćanska 6, Zagreb </w:t>
            </w:r>
          </w:p>
        </w:tc>
        <w:tc>
          <w:tcPr>
            <w:tcW w:w="1541" w:type="dxa"/>
          </w:tcPr>
          <w:p w14:paraId="42DC8E8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400</w:t>
            </w:r>
          </w:p>
        </w:tc>
        <w:tc>
          <w:tcPr>
            <w:tcW w:w="1483" w:type="dxa"/>
          </w:tcPr>
          <w:p w14:paraId="22545C9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100</w:t>
            </w:r>
          </w:p>
        </w:tc>
        <w:tc>
          <w:tcPr>
            <w:tcW w:w="1255" w:type="dxa"/>
          </w:tcPr>
          <w:p w14:paraId="197098E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1897.</w:t>
            </w:r>
          </w:p>
        </w:tc>
      </w:tr>
      <w:tr w:rsidR="00CE628C" w:rsidRPr="004750F4" w14:paraId="29E8483A" w14:textId="77777777" w:rsidTr="0025690A">
        <w:tblPrEx>
          <w:tblCellMar>
            <w:top w:w="5" w:type="dxa"/>
            <w:bottom w:w="43" w:type="dxa"/>
          </w:tblCellMar>
        </w:tblPrEx>
        <w:trPr>
          <w:cantSplit/>
        </w:trPr>
        <w:tc>
          <w:tcPr>
            <w:tcW w:w="685" w:type="dxa"/>
          </w:tcPr>
          <w:p w14:paraId="2117BE2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106.</w:t>
            </w:r>
          </w:p>
        </w:tc>
        <w:tc>
          <w:tcPr>
            <w:tcW w:w="2054" w:type="dxa"/>
          </w:tcPr>
          <w:p w14:paraId="26E59A9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OSNOVNA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GLAZBENA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ŠKOLA ZLATKA GRGOŠEVIĆA </w:t>
            </w:r>
          </w:p>
        </w:tc>
        <w:tc>
          <w:tcPr>
            <w:tcW w:w="2054" w:type="dxa"/>
          </w:tcPr>
          <w:p w14:paraId="51690300"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Ul</w:t>
            </w:r>
            <w:r w:rsidR="00900184" w:rsidRPr="0032536A">
              <w:rPr>
                <w:rFonts w:ascii="Times New Roman" w:eastAsia="Times New Roman" w:hAnsi="Times New Roman" w:cs="Times New Roman"/>
                <w:color w:val="auto"/>
              </w:rPr>
              <w:t>. I.</w:t>
            </w:r>
            <w:r w:rsidRPr="0032536A">
              <w:rPr>
                <w:rFonts w:ascii="Times New Roman" w:eastAsia="Times New Roman" w:hAnsi="Times New Roman" w:cs="Times New Roman"/>
                <w:color w:val="auto"/>
              </w:rPr>
              <w:t xml:space="preserve"> </w:t>
            </w:r>
            <w:r w:rsidR="00900184" w:rsidRPr="0032536A">
              <w:rPr>
                <w:rFonts w:ascii="Times New Roman" w:eastAsia="Times New Roman" w:hAnsi="Times New Roman" w:cs="Times New Roman"/>
                <w:color w:val="auto"/>
              </w:rPr>
              <w:t xml:space="preserve">G. Kovačića 19, 10360 Sesvete </w:t>
            </w:r>
          </w:p>
        </w:tc>
        <w:tc>
          <w:tcPr>
            <w:tcW w:w="1541" w:type="dxa"/>
          </w:tcPr>
          <w:p w14:paraId="44A4F6E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570</w:t>
            </w:r>
          </w:p>
        </w:tc>
        <w:tc>
          <w:tcPr>
            <w:tcW w:w="1483" w:type="dxa"/>
          </w:tcPr>
          <w:p w14:paraId="07A10F4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48D4E1D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1984.</w:t>
            </w:r>
          </w:p>
        </w:tc>
      </w:tr>
      <w:tr w:rsidR="00CE628C" w:rsidRPr="004750F4" w14:paraId="2CCD5185" w14:textId="77777777" w:rsidTr="0025690A">
        <w:tblPrEx>
          <w:tblCellMar>
            <w:top w:w="5" w:type="dxa"/>
            <w:bottom w:w="43" w:type="dxa"/>
          </w:tblCellMar>
        </w:tblPrEx>
        <w:trPr>
          <w:cantSplit/>
        </w:trPr>
        <w:tc>
          <w:tcPr>
            <w:tcW w:w="685" w:type="dxa"/>
          </w:tcPr>
          <w:p w14:paraId="4F27941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107.</w:t>
            </w:r>
          </w:p>
        </w:tc>
        <w:tc>
          <w:tcPr>
            <w:tcW w:w="2054" w:type="dxa"/>
          </w:tcPr>
          <w:p w14:paraId="3C69FB78"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MARINA DRŽIĆA </w:t>
            </w:r>
          </w:p>
        </w:tc>
        <w:tc>
          <w:tcPr>
            <w:tcW w:w="2054" w:type="dxa"/>
          </w:tcPr>
          <w:p w14:paraId="48E109C1"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Zagreb, Nalješkovićeva 4 </w:t>
            </w:r>
          </w:p>
        </w:tc>
        <w:tc>
          <w:tcPr>
            <w:tcW w:w="1541" w:type="dxa"/>
          </w:tcPr>
          <w:p w14:paraId="7C3FFED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450</w:t>
            </w:r>
          </w:p>
        </w:tc>
        <w:tc>
          <w:tcPr>
            <w:tcW w:w="1483" w:type="dxa"/>
          </w:tcPr>
          <w:p w14:paraId="3E1F594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650</w:t>
            </w:r>
          </w:p>
        </w:tc>
        <w:tc>
          <w:tcPr>
            <w:tcW w:w="1255" w:type="dxa"/>
          </w:tcPr>
          <w:p w14:paraId="53B0482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1959.</w:t>
            </w:r>
          </w:p>
        </w:tc>
      </w:tr>
      <w:tr w:rsidR="00CE628C" w:rsidRPr="004750F4" w14:paraId="7A200E5A" w14:textId="77777777" w:rsidTr="0025690A">
        <w:tblPrEx>
          <w:tblCellMar>
            <w:top w:w="5" w:type="dxa"/>
            <w:bottom w:w="43" w:type="dxa"/>
          </w:tblCellMar>
        </w:tblPrEx>
        <w:trPr>
          <w:cantSplit/>
        </w:trPr>
        <w:tc>
          <w:tcPr>
            <w:tcW w:w="685" w:type="dxa"/>
          </w:tcPr>
          <w:p w14:paraId="5BBD221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108.</w:t>
            </w:r>
          </w:p>
        </w:tc>
        <w:tc>
          <w:tcPr>
            <w:tcW w:w="2054" w:type="dxa"/>
          </w:tcPr>
          <w:p w14:paraId="01D2F20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JURE KAŠTELANA </w:t>
            </w:r>
          </w:p>
        </w:tc>
        <w:tc>
          <w:tcPr>
            <w:tcW w:w="2054" w:type="dxa"/>
          </w:tcPr>
          <w:p w14:paraId="149CC10E"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eastAsia="Times New Roman" w:hAnsi="Times New Roman" w:cs="Times New Roman"/>
                <w:color w:val="auto"/>
              </w:rPr>
              <w:t xml:space="preserve">Vladimira Ruždjaka 2a, 10000 Zagreb </w:t>
            </w:r>
          </w:p>
        </w:tc>
        <w:tc>
          <w:tcPr>
            <w:tcW w:w="1541" w:type="dxa"/>
          </w:tcPr>
          <w:p w14:paraId="5CA6F1E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300</w:t>
            </w:r>
          </w:p>
        </w:tc>
        <w:tc>
          <w:tcPr>
            <w:tcW w:w="1483" w:type="dxa"/>
          </w:tcPr>
          <w:p w14:paraId="0B9A33A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900</w:t>
            </w:r>
          </w:p>
        </w:tc>
        <w:tc>
          <w:tcPr>
            <w:tcW w:w="1255" w:type="dxa"/>
          </w:tcPr>
          <w:p w14:paraId="35BBA11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1967.</w:t>
            </w:r>
          </w:p>
        </w:tc>
      </w:tr>
      <w:tr w:rsidR="00CE628C" w:rsidRPr="004750F4" w14:paraId="328CD770" w14:textId="77777777" w:rsidTr="0025690A">
        <w:tblPrEx>
          <w:tblCellMar>
            <w:top w:w="5" w:type="dxa"/>
            <w:bottom w:w="43" w:type="dxa"/>
          </w:tblCellMar>
        </w:tblPrEx>
        <w:trPr>
          <w:cantSplit/>
        </w:trPr>
        <w:tc>
          <w:tcPr>
            <w:tcW w:w="685" w:type="dxa"/>
          </w:tcPr>
          <w:p w14:paraId="3AD37D7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109.</w:t>
            </w:r>
          </w:p>
        </w:tc>
        <w:tc>
          <w:tcPr>
            <w:tcW w:w="2054" w:type="dxa"/>
          </w:tcPr>
          <w:p w14:paraId="5E81384A"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TRNJANSKA </w:t>
            </w:r>
          </w:p>
        </w:tc>
        <w:tc>
          <w:tcPr>
            <w:tcW w:w="2054" w:type="dxa"/>
          </w:tcPr>
          <w:p w14:paraId="1E59449A"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Trnjanska cesta 99 </w:t>
            </w:r>
          </w:p>
        </w:tc>
        <w:tc>
          <w:tcPr>
            <w:tcW w:w="1541" w:type="dxa"/>
          </w:tcPr>
          <w:p w14:paraId="61A999F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250</w:t>
            </w:r>
          </w:p>
        </w:tc>
        <w:tc>
          <w:tcPr>
            <w:tcW w:w="1483" w:type="dxa"/>
          </w:tcPr>
          <w:p w14:paraId="42857B2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70</w:t>
            </w:r>
          </w:p>
        </w:tc>
        <w:tc>
          <w:tcPr>
            <w:tcW w:w="1255" w:type="dxa"/>
          </w:tcPr>
          <w:p w14:paraId="15D1F41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1899.</w:t>
            </w:r>
          </w:p>
        </w:tc>
      </w:tr>
      <w:tr w:rsidR="00CE628C" w:rsidRPr="004750F4" w14:paraId="449098D8" w14:textId="77777777" w:rsidTr="0025690A">
        <w:tblPrEx>
          <w:tblCellMar>
            <w:top w:w="5" w:type="dxa"/>
            <w:bottom w:w="43" w:type="dxa"/>
          </w:tblCellMar>
        </w:tblPrEx>
        <w:trPr>
          <w:cantSplit/>
        </w:trPr>
        <w:tc>
          <w:tcPr>
            <w:tcW w:w="685" w:type="dxa"/>
          </w:tcPr>
          <w:p w14:paraId="6031C46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lastRenderedPageBreak/>
              <w:t>110.</w:t>
            </w:r>
          </w:p>
        </w:tc>
        <w:tc>
          <w:tcPr>
            <w:tcW w:w="2054" w:type="dxa"/>
          </w:tcPr>
          <w:p w14:paraId="704929D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MATIJE GUPCA </w:t>
            </w:r>
          </w:p>
        </w:tc>
        <w:tc>
          <w:tcPr>
            <w:tcW w:w="2054" w:type="dxa"/>
          </w:tcPr>
          <w:p w14:paraId="41D614D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Zagreb, Davorina Bazjanca 2 </w:t>
            </w:r>
          </w:p>
        </w:tc>
        <w:tc>
          <w:tcPr>
            <w:tcW w:w="1541" w:type="dxa"/>
          </w:tcPr>
          <w:p w14:paraId="4CE939F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800</w:t>
            </w:r>
          </w:p>
        </w:tc>
        <w:tc>
          <w:tcPr>
            <w:tcW w:w="1483" w:type="dxa"/>
          </w:tcPr>
          <w:p w14:paraId="2A61A0B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1300</w:t>
            </w:r>
          </w:p>
        </w:tc>
        <w:tc>
          <w:tcPr>
            <w:tcW w:w="1255" w:type="dxa"/>
          </w:tcPr>
          <w:p w14:paraId="7E60044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1939.</w:t>
            </w:r>
          </w:p>
        </w:tc>
      </w:tr>
      <w:tr w:rsidR="00CE628C" w:rsidRPr="004750F4" w14:paraId="07439AD0" w14:textId="77777777" w:rsidTr="0025690A">
        <w:tblPrEx>
          <w:tblCellMar>
            <w:top w:w="5" w:type="dxa"/>
            <w:bottom w:w="43" w:type="dxa"/>
          </w:tblCellMar>
        </w:tblPrEx>
        <w:trPr>
          <w:cantSplit/>
        </w:trPr>
        <w:tc>
          <w:tcPr>
            <w:tcW w:w="685" w:type="dxa"/>
          </w:tcPr>
          <w:p w14:paraId="7A445EE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111.</w:t>
            </w:r>
          </w:p>
        </w:tc>
        <w:tc>
          <w:tcPr>
            <w:tcW w:w="2054" w:type="dxa"/>
          </w:tcPr>
          <w:p w14:paraId="2BFA766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OSNOVNA ŠKOLA ANTUNA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GUSTAVA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MATOŠA </w:t>
            </w:r>
          </w:p>
        </w:tc>
        <w:tc>
          <w:tcPr>
            <w:tcW w:w="2054" w:type="dxa"/>
          </w:tcPr>
          <w:p w14:paraId="429C176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Aleja Antuna Augustinčića 12, Zagreb </w:t>
            </w:r>
          </w:p>
        </w:tc>
        <w:tc>
          <w:tcPr>
            <w:tcW w:w="1541" w:type="dxa"/>
          </w:tcPr>
          <w:p w14:paraId="793B35D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720</w:t>
            </w:r>
          </w:p>
        </w:tc>
        <w:tc>
          <w:tcPr>
            <w:tcW w:w="1483" w:type="dxa"/>
          </w:tcPr>
          <w:p w14:paraId="6F8D6E5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455</w:t>
            </w:r>
          </w:p>
        </w:tc>
        <w:tc>
          <w:tcPr>
            <w:tcW w:w="1255" w:type="dxa"/>
          </w:tcPr>
          <w:p w14:paraId="1FCFF05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1969.</w:t>
            </w:r>
          </w:p>
        </w:tc>
      </w:tr>
      <w:tr w:rsidR="00CE628C" w:rsidRPr="004750F4" w14:paraId="1D616A26" w14:textId="77777777" w:rsidTr="0025690A">
        <w:tblPrEx>
          <w:tblCellMar>
            <w:top w:w="5" w:type="dxa"/>
            <w:bottom w:w="43" w:type="dxa"/>
          </w:tblCellMar>
        </w:tblPrEx>
        <w:trPr>
          <w:cantSplit/>
        </w:trPr>
        <w:tc>
          <w:tcPr>
            <w:tcW w:w="685" w:type="dxa"/>
          </w:tcPr>
          <w:p w14:paraId="4796DE4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112.</w:t>
            </w:r>
          </w:p>
        </w:tc>
        <w:tc>
          <w:tcPr>
            <w:tcW w:w="2054" w:type="dxa"/>
          </w:tcPr>
          <w:p w14:paraId="01DB076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LJUBLJANICA </w:t>
            </w:r>
          </w:p>
        </w:tc>
        <w:tc>
          <w:tcPr>
            <w:tcW w:w="2054" w:type="dxa"/>
          </w:tcPr>
          <w:p w14:paraId="4AB8465F"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Svetoivanska 33, Zagreb </w:t>
            </w:r>
          </w:p>
        </w:tc>
        <w:tc>
          <w:tcPr>
            <w:tcW w:w="1541" w:type="dxa"/>
          </w:tcPr>
          <w:p w14:paraId="1A7094B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300</w:t>
            </w:r>
          </w:p>
        </w:tc>
        <w:tc>
          <w:tcPr>
            <w:tcW w:w="1483" w:type="dxa"/>
          </w:tcPr>
          <w:p w14:paraId="6C04FD2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16718E0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1948.</w:t>
            </w:r>
          </w:p>
        </w:tc>
      </w:tr>
      <w:tr w:rsidR="00CE628C" w:rsidRPr="004750F4" w14:paraId="664A5CE2" w14:textId="77777777" w:rsidTr="0025690A">
        <w:tblPrEx>
          <w:tblCellMar>
            <w:top w:w="5" w:type="dxa"/>
            <w:bottom w:w="43" w:type="dxa"/>
          </w:tblCellMar>
        </w:tblPrEx>
        <w:trPr>
          <w:cantSplit/>
        </w:trPr>
        <w:tc>
          <w:tcPr>
            <w:tcW w:w="685" w:type="dxa"/>
          </w:tcPr>
          <w:p w14:paraId="3D31E69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113.</w:t>
            </w:r>
          </w:p>
        </w:tc>
        <w:tc>
          <w:tcPr>
            <w:tcW w:w="2054" w:type="dxa"/>
          </w:tcPr>
          <w:p w14:paraId="3E68A7F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LUČKO </w:t>
            </w:r>
          </w:p>
        </w:tc>
        <w:tc>
          <w:tcPr>
            <w:tcW w:w="2054" w:type="dxa"/>
          </w:tcPr>
          <w:p w14:paraId="50019363"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Puškarićeva 102,</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10250 Lučko </w:t>
            </w:r>
          </w:p>
        </w:tc>
        <w:tc>
          <w:tcPr>
            <w:tcW w:w="1541" w:type="dxa"/>
          </w:tcPr>
          <w:p w14:paraId="67802E2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800</w:t>
            </w:r>
          </w:p>
        </w:tc>
        <w:tc>
          <w:tcPr>
            <w:tcW w:w="1483" w:type="dxa"/>
          </w:tcPr>
          <w:p w14:paraId="3B78862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800</w:t>
            </w:r>
          </w:p>
        </w:tc>
        <w:tc>
          <w:tcPr>
            <w:tcW w:w="1255" w:type="dxa"/>
          </w:tcPr>
          <w:p w14:paraId="19BF988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1893.</w:t>
            </w:r>
          </w:p>
        </w:tc>
      </w:tr>
      <w:tr w:rsidR="00CE628C" w:rsidRPr="004750F4" w14:paraId="78B6A93E" w14:textId="77777777" w:rsidTr="0025690A">
        <w:tblPrEx>
          <w:tblCellMar>
            <w:top w:w="5" w:type="dxa"/>
            <w:bottom w:w="43" w:type="dxa"/>
          </w:tblCellMar>
        </w:tblPrEx>
        <w:trPr>
          <w:cantSplit/>
        </w:trPr>
        <w:tc>
          <w:tcPr>
            <w:tcW w:w="685" w:type="dxa"/>
          </w:tcPr>
          <w:p w14:paraId="4DDA4A0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114.</w:t>
            </w:r>
          </w:p>
        </w:tc>
        <w:tc>
          <w:tcPr>
            <w:tcW w:w="2054" w:type="dxa"/>
          </w:tcPr>
          <w:p w14:paraId="4A55E486"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JABUKOVAC </w:t>
            </w:r>
          </w:p>
        </w:tc>
        <w:tc>
          <w:tcPr>
            <w:tcW w:w="2054" w:type="dxa"/>
          </w:tcPr>
          <w:p w14:paraId="5C2CD28D"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Jabukovac 30, Zagreb </w:t>
            </w:r>
          </w:p>
        </w:tc>
        <w:tc>
          <w:tcPr>
            <w:tcW w:w="1541" w:type="dxa"/>
          </w:tcPr>
          <w:p w14:paraId="3E965E5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280</w:t>
            </w:r>
          </w:p>
        </w:tc>
        <w:tc>
          <w:tcPr>
            <w:tcW w:w="1483" w:type="dxa"/>
          </w:tcPr>
          <w:p w14:paraId="29ACFCE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120</w:t>
            </w:r>
          </w:p>
        </w:tc>
        <w:tc>
          <w:tcPr>
            <w:tcW w:w="1255" w:type="dxa"/>
          </w:tcPr>
          <w:p w14:paraId="6C6EFB9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1946.</w:t>
            </w:r>
          </w:p>
        </w:tc>
      </w:tr>
      <w:tr w:rsidR="00CE628C" w:rsidRPr="004750F4" w14:paraId="69AD666B" w14:textId="77777777" w:rsidTr="0025690A">
        <w:tblPrEx>
          <w:tblCellMar>
            <w:top w:w="5" w:type="dxa"/>
            <w:bottom w:w="43" w:type="dxa"/>
          </w:tblCellMar>
        </w:tblPrEx>
        <w:trPr>
          <w:cantSplit/>
        </w:trPr>
        <w:tc>
          <w:tcPr>
            <w:tcW w:w="685" w:type="dxa"/>
          </w:tcPr>
          <w:p w14:paraId="1287A43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115.</w:t>
            </w:r>
          </w:p>
        </w:tc>
        <w:tc>
          <w:tcPr>
            <w:tcW w:w="2054" w:type="dxa"/>
          </w:tcPr>
          <w:p w14:paraId="78B2983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JELKOVEC </w:t>
            </w:r>
          </w:p>
        </w:tc>
        <w:tc>
          <w:tcPr>
            <w:tcW w:w="2054" w:type="dxa"/>
          </w:tcPr>
          <w:p w14:paraId="7687049E"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eastAsia="Times New Roman" w:hAnsi="Times New Roman" w:cs="Times New Roman"/>
                <w:color w:val="auto"/>
              </w:rPr>
              <w:t xml:space="preserve">Dragana Plemenca 1, 10360 Sesvete </w:t>
            </w:r>
          </w:p>
        </w:tc>
        <w:tc>
          <w:tcPr>
            <w:tcW w:w="1541" w:type="dxa"/>
          </w:tcPr>
          <w:p w14:paraId="34C924E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600</w:t>
            </w:r>
          </w:p>
        </w:tc>
        <w:tc>
          <w:tcPr>
            <w:tcW w:w="1483" w:type="dxa"/>
          </w:tcPr>
          <w:p w14:paraId="23995D0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300</w:t>
            </w:r>
          </w:p>
        </w:tc>
        <w:tc>
          <w:tcPr>
            <w:tcW w:w="1255" w:type="dxa"/>
          </w:tcPr>
          <w:p w14:paraId="4D91B3D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2009.</w:t>
            </w:r>
          </w:p>
        </w:tc>
      </w:tr>
      <w:tr w:rsidR="00CE628C" w:rsidRPr="004750F4" w14:paraId="582659BF" w14:textId="77777777" w:rsidTr="0025690A">
        <w:tblPrEx>
          <w:tblCellMar>
            <w:top w:w="5" w:type="dxa"/>
            <w:bottom w:w="43" w:type="dxa"/>
          </w:tblCellMar>
        </w:tblPrEx>
        <w:trPr>
          <w:cantSplit/>
        </w:trPr>
        <w:tc>
          <w:tcPr>
            <w:tcW w:w="685" w:type="dxa"/>
          </w:tcPr>
          <w:p w14:paraId="3C3F07D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116.</w:t>
            </w:r>
          </w:p>
        </w:tc>
        <w:tc>
          <w:tcPr>
            <w:tcW w:w="2054" w:type="dxa"/>
          </w:tcPr>
          <w:p w14:paraId="591D7FD3"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ZAPRUĐE </w:t>
            </w:r>
          </w:p>
        </w:tc>
        <w:tc>
          <w:tcPr>
            <w:tcW w:w="2054" w:type="dxa"/>
          </w:tcPr>
          <w:p w14:paraId="5BBDB9F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Meštrovićev trg 8a </w:t>
            </w:r>
          </w:p>
        </w:tc>
        <w:tc>
          <w:tcPr>
            <w:tcW w:w="1541" w:type="dxa"/>
          </w:tcPr>
          <w:p w14:paraId="1894EDD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600</w:t>
            </w:r>
          </w:p>
        </w:tc>
        <w:tc>
          <w:tcPr>
            <w:tcW w:w="1483" w:type="dxa"/>
          </w:tcPr>
          <w:p w14:paraId="2474024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300</w:t>
            </w:r>
          </w:p>
        </w:tc>
        <w:tc>
          <w:tcPr>
            <w:tcW w:w="1255" w:type="dxa"/>
          </w:tcPr>
          <w:p w14:paraId="1189379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1965.</w:t>
            </w:r>
          </w:p>
        </w:tc>
      </w:tr>
      <w:tr w:rsidR="00CE628C" w:rsidRPr="004750F4" w14:paraId="7092CEB0" w14:textId="77777777" w:rsidTr="0025690A">
        <w:tblPrEx>
          <w:tblCellMar>
            <w:top w:w="5" w:type="dxa"/>
            <w:bottom w:w="43" w:type="dxa"/>
          </w:tblCellMar>
        </w:tblPrEx>
        <w:trPr>
          <w:cantSplit/>
        </w:trPr>
        <w:tc>
          <w:tcPr>
            <w:tcW w:w="685" w:type="dxa"/>
          </w:tcPr>
          <w:p w14:paraId="524DCF9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117.</w:t>
            </w:r>
          </w:p>
        </w:tc>
        <w:tc>
          <w:tcPr>
            <w:tcW w:w="2054" w:type="dxa"/>
          </w:tcPr>
          <w:p w14:paraId="0E21166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OŠ</w:t>
            </w:r>
            <w:r w:rsidR="00E40AC8"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ANTE KOVAČIĆA </w:t>
            </w:r>
          </w:p>
        </w:tc>
        <w:tc>
          <w:tcPr>
            <w:tcW w:w="2054" w:type="dxa"/>
          </w:tcPr>
          <w:p w14:paraId="2665BC7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Kotarnica 17, Zagreb </w:t>
            </w:r>
          </w:p>
        </w:tc>
        <w:tc>
          <w:tcPr>
            <w:tcW w:w="1541" w:type="dxa"/>
          </w:tcPr>
          <w:p w14:paraId="27FB366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500</w:t>
            </w:r>
          </w:p>
        </w:tc>
        <w:tc>
          <w:tcPr>
            <w:tcW w:w="1483" w:type="dxa"/>
          </w:tcPr>
          <w:p w14:paraId="6B6226B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500</w:t>
            </w:r>
          </w:p>
        </w:tc>
        <w:tc>
          <w:tcPr>
            <w:tcW w:w="1255" w:type="dxa"/>
          </w:tcPr>
          <w:p w14:paraId="2F732D0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1984.</w:t>
            </w:r>
          </w:p>
        </w:tc>
      </w:tr>
      <w:tr w:rsidR="00CE628C" w:rsidRPr="004750F4" w14:paraId="7E4837E8" w14:textId="77777777" w:rsidTr="0025690A">
        <w:tblPrEx>
          <w:tblCellMar>
            <w:top w:w="5" w:type="dxa"/>
            <w:bottom w:w="43" w:type="dxa"/>
          </w:tblCellMar>
        </w:tblPrEx>
        <w:trPr>
          <w:cantSplit/>
        </w:trPr>
        <w:tc>
          <w:tcPr>
            <w:tcW w:w="685" w:type="dxa"/>
          </w:tcPr>
          <w:p w14:paraId="4B1026C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118.</w:t>
            </w:r>
          </w:p>
        </w:tc>
        <w:tc>
          <w:tcPr>
            <w:tcW w:w="2054" w:type="dxa"/>
          </w:tcPr>
          <w:p w14:paraId="45AC8F69"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OŠ BRESTJE </w:t>
            </w:r>
          </w:p>
        </w:tc>
        <w:tc>
          <w:tcPr>
            <w:tcW w:w="2054" w:type="dxa"/>
          </w:tcPr>
          <w:p w14:paraId="0806974C"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Pr="0032536A">
              <w:rPr>
                <w:rFonts w:ascii="Times New Roman" w:eastAsia="Times New Roman" w:hAnsi="Times New Roman" w:cs="Times New Roman"/>
                <w:color w:val="auto"/>
              </w:rPr>
              <w:t xml:space="preserve">potočnica </w:t>
            </w:r>
            <w:r w:rsidR="00900184" w:rsidRPr="0032536A">
              <w:rPr>
                <w:rFonts w:ascii="Times New Roman" w:eastAsia="Times New Roman" w:hAnsi="Times New Roman" w:cs="Times New Roman"/>
                <w:color w:val="auto"/>
              </w:rPr>
              <w:t xml:space="preserve">8, Sesvete </w:t>
            </w:r>
          </w:p>
        </w:tc>
        <w:tc>
          <w:tcPr>
            <w:tcW w:w="1541" w:type="dxa"/>
          </w:tcPr>
          <w:p w14:paraId="7FE7048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1000</w:t>
            </w:r>
          </w:p>
        </w:tc>
        <w:tc>
          <w:tcPr>
            <w:tcW w:w="1483" w:type="dxa"/>
          </w:tcPr>
          <w:p w14:paraId="5CA527D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1000</w:t>
            </w:r>
          </w:p>
        </w:tc>
        <w:tc>
          <w:tcPr>
            <w:tcW w:w="1255" w:type="dxa"/>
          </w:tcPr>
          <w:p w14:paraId="46F69F4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1999.</w:t>
            </w:r>
          </w:p>
        </w:tc>
      </w:tr>
      <w:tr w:rsidR="00CE628C" w:rsidRPr="004750F4" w14:paraId="74F54259" w14:textId="77777777" w:rsidTr="0025690A">
        <w:tblPrEx>
          <w:tblCellMar>
            <w:top w:w="5" w:type="dxa"/>
            <w:bottom w:w="43" w:type="dxa"/>
          </w:tblCellMar>
        </w:tblPrEx>
        <w:trPr>
          <w:cantSplit/>
        </w:trPr>
        <w:tc>
          <w:tcPr>
            <w:tcW w:w="685" w:type="dxa"/>
          </w:tcPr>
          <w:p w14:paraId="3395C16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119.</w:t>
            </w:r>
          </w:p>
        </w:tc>
        <w:tc>
          <w:tcPr>
            <w:tcW w:w="2054" w:type="dxa"/>
          </w:tcPr>
          <w:p w14:paraId="132A866F"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 OSNOVNA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GLAZBENA ŠKOLA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RUDOLFA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MATZA </w:t>
            </w:r>
          </w:p>
        </w:tc>
        <w:tc>
          <w:tcPr>
            <w:tcW w:w="2054" w:type="dxa"/>
          </w:tcPr>
          <w:p w14:paraId="6174124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Selska 114, Zagreb </w:t>
            </w:r>
          </w:p>
        </w:tc>
        <w:tc>
          <w:tcPr>
            <w:tcW w:w="1541" w:type="dxa"/>
          </w:tcPr>
          <w:p w14:paraId="3CED682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435</w:t>
            </w:r>
          </w:p>
        </w:tc>
        <w:tc>
          <w:tcPr>
            <w:tcW w:w="1483" w:type="dxa"/>
          </w:tcPr>
          <w:p w14:paraId="7AC2B6B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1AE8EDB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1930.</w:t>
            </w:r>
          </w:p>
        </w:tc>
      </w:tr>
      <w:tr w:rsidR="00CE628C" w:rsidRPr="004750F4" w14:paraId="6EEB8CAA" w14:textId="77777777" w:rsidTr="0025690A">
        <w:tblPrEx>
          <w:tblCellMar>
            <w:top w:w="5" w:type="dxa"/>
            <w:bottom w:w="43" w:type="dxa"/>
          </w:tblCellMar>
        </w:tblPrEx>
        <w:trPr>
          <w:cantSplit/>
        </w:trPr>
        <w:tc>
          <w:tcPr>
            <w:tcW w:w="685" w:type="dxa"/>
          </w:tcPr>
          <w:p w14:paraId="7FFF569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120.</w:t>
            </w:r>
          </w:p>
        </w:tc>
        <w:tc>
          <w:tcPr>
            <w:tcW w:w="2054" w:type="dxa"/>
          </w:tcPr>
          <w:p w14:paraId="01AA3EF8"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 CENTAR ZA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ODGOJ I</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OBRAZOVANJE </w:t>
            </w:r>
            <w:r w:rsidR="0025690A" w:rsidRPr="0032536A">
              <w:rPr>
                <w:rFonts w:ascii="Times New Roman" w:eastAsia="Times New Roman" w:hAnsi="Times New Roman" w:cs="Times New Roman"/>
                <w:color w:val="auto"/>
              </w:rPr>
              <w:t>PREKRIŽJE</w:t>
            </w:r>
          </w:p>
        </w:tc>
        <w:tc>
          <w:tcPr>
            <w:tcW w:w="2054" w:type="dxa"/>
          </w:tcPr>
          <w:p w14:paraId="7B3E6EA8"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Tuškanac 15, Gornje Prekrižje 48 </w:t>
            </w:r>
          </w:p>
        </w:tc>
        <w:tc>
          <w:tcPr>
            <w:tcW w:w="1541" w:type="dxa"/>
          </w:tcPr>
          <w:p w14:paraId="2528169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190</w:t>
            </w:r>
          </w:p>
        </w:tc>
        <w:tc>
          <w:tcPr>
            <w:tcW w:w="1483" w:type="dxa"/>
          </w:tcPr>
          <w:p w14:paraId="0DF6C7D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w:t>
            </w:r>
          </w:p>
        </w:tc>
        <w:tc>
          <w:tcPr>
            <w:tcW w:w="1255" w:type="dxa"/>
          </w:tcPr>
          <w:p w14:paraId="4F5E478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1930.</w:t>
            </w:r>
          </w:p>
        </w:tc>
      </w:tr>
      <w:tr w:rsidR="00CE628C" w:rsidRPr="004750F4" w14:paraId="347F0002" w14:textId="77777777" w:rsidTr="0025690A">
        <w:tblPrEx>
          <w:tblCellMar>
            <w:top w:w="10" w:type="dxa"/>
            <w:bottom w:w="43" w:type="dxa"/>
          </w:tblCellMar>
        </w:tblPrEx>
        <w:trPr>
          <w:cantSplit/>
        </w:trPr>
        <w:tc>
          <w:tcPr>
            <w:tcW w:w="685" w:type="dxa"/>
          </w:tcPr>
          <w:p w14:paraId="5D80488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121.</w:t>
            </w:r>
          </w:p>
        </w:tc>
        <w:tc>
          <w:tcPr>
            <w:tcW w:w="2054" w:type="dxa"/>
          </w:tcPr>
          <w:p w14:paraId="1D6C0731"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CENTAR ZA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ODGOJ I</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OBRAZOVANJE DUBRAVA </w:t>
            </w:r>
          </w:p>
        </w:tc>
        <w:tc>
          <w:tcPr>
            <w:tcW w:w="2054" w:type="dxa"/>
          </w:tcPr>
          <w:p w14:paraId="545C9E98"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Prilaz Tomislava Špoljara 2, Zagreb </w:t>
            </w:r>
          </w:p>
        </w:tc>
        <w:tc>
          <w:tcPr>
            <w:tcW w:w="1541" w:type="dxa"/>
          </w:tcPr>
          <w:p w14:paraId="003D051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320</w:t>
            </w:r>
          </w:p>
        </w:tc>
        <w:tc>
          <w:tcPr>
            <w:tcW w:w="1483" w:type="dxa"/>
          </w:tcPr>
          <w:p w14:paraId="3FF9DF7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250</w:t>
            </w:r>
          </w:p>
        </w:tc>
        <w:tc>
          <w:tcPr>
            <w:tcW w:w="1255" w:type="dxa"/>
          </w:tcPr>
          <w:p w14:paraId="6FFF697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1966.</w:t>
            </w:r>
          </w:p>
        </w:tc>
      </w:tr>
      <w:tr w:rsidR="00CE628C" w:rsidRPr="004750F4" w14:paraId="13FAAB61" w14:textId="77777777" w:rsidTr="0025690A">
        <w:tblPrEx>
          <w:tblCellMar>
            <w:top w:w="10" w:type="dxa"/>
            <w:bottom w:w="43" w:type="dxa"/>
          </w:tblCellMar>
        </w:tblPrEx>
        <w:trPr>
          <w:cantSplit/>
        </w:trPr>
        <w:tc>
          <w:tcPr>
            <w:tcW w:w="685" w:type="dxa"/>
          </w:tcPr>
          <w:p w14:paraId="073022A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122.</w:t>
            </w:r>
          </w:p>
        </w:tc>
        <w:tc>
          <w:tcPr>
            <w:tcW w:w="2054" w:type="dxa"/>
          </w:tcPr>
          <w:p w14:paraId="5CAEE11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CENTAR ZA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ODGOJ I</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OBRAZOVANJE</w:t>
            </w:r>
            <w:r w:rsidR="00E40AC8" w:rsidRPr="0032536A">
              <w:rPr>
                <w:rFonts w:ascii="Times New Roman" w:eastAsia="Times New Roman" w:hAnsi="Times New Roman" w:cs="Times New Roman"/>
                <w:color w:val="auto"/>
              </w:rPr>
              <w:t xml:space="preserve"> </w:t>
            </w:r>
            <w:r w:rsidR="00EE6A22" w:rsidRPr="0032536A">
              <w:rPr>
                <w:rFonts w:ascii="Times New Roman" w:eastAsia="Times New Roman" w:hAnsi="Times New Roman" w:cs="Times New Roman"/>
                <w:color w:val="auto"/>
              </w:rPr>
              <w:t>"</w:t>
            </w:r>
            <w:r w:rsidRPr="0032536A">
              <w:rPr>
                <w:rFonts w:ascii="Times New Roman" w:eastAsia="Times New Roman" w:hAnsi="Times New Roman" w:cs="Times New Roman"/>
                <w:color w:val="auto"/>
              </w:rPr>
              <w:t>VINKO BEK</w:t>
            </w:r>
            <w:r w:rsidR="00EE6A22" w:rsidRPr="0032536A">
              <w:rPr>
                <w:rFonts w:ascii="Times New Roman" w:eastAsia="Times New Roman" w:hAnsi="Times New Roman" w:cs="Times New Roman"/>
                <w:color w:val="auto"/>
              </w:rPr>
              <w:t>"</w:t>
            </w:r>
            <w:r w:rsidRPr="0032536A">
              <w:rPr>
                <w:rFonts w:ascii="Times New Roman" w:eastAsia="Times New Roman" w:hAnsi="Times New Roman" w:cs="Times New Roman"/>
                <w:color w:val="auto"/>
              </w:rPr>
              <w:t xml:space="preserve"> </w:t>
            </w:r>
          </w:p>
        </w:tc>
        <w:tc>
          <w:tcPr>
            <w:tcW w:w="2054" w:type="dxa"/>
          </w:tcPr>
          <w:p w14:paraId="3BFD5F68"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Kušlanova 59a, Zagreb </w:t>
            </w:r>
          </w:p>
        </w:tc>
        <w:tc>
          <w:tcPr>
            <w:tcW w:w="1541" w:type="dxa"/>
          </w:tcPr>
          <w:p w14:paraId="0241F9E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35</w:t>
            </w:r>
          </w:p>
        </w:tc>
        <w:tc>
          <w:tcPr>
            <w:tcW w:w="1483" w:type="dxa"/>
          </w:tcPr>
          <w:p w14:paraId="381C62E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45</w:t>
            </w:r>
          </w:p>
        </w:tc>
        <w:tc>
          <w:tcPr>
            <w:tcW w:w="1255" w:type="dxa"/>
          </w:tcPr>
          <w:p w14:paraId="340A8E1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1963.</w:t>
            </w:r>
          </w:p>
        </w:tc>
      </w:tr>
      <w:tr w:rsidR="00CE628C" w:rsidRPr="004750F4" w14:paraId="78A5D409" w14:textId="77777777" w:rsidTr="0025690A">
        <w:tblPrEx>
          <w:tblCellMar>
            <w:top w:w="10" w:type="dxa"/>
            <w:bottom w:w="43" w:type="dxa"/>
          </w:tblCellMar>
        </w:tblPrEx>
        <w:trPr>
          <w:cantSplit/>
        </w:trPr>
        <w:tc>
          <w:tcPr>
            <w:tcW w:w="685" w:type="dxa"/>
          </w:tcPr>
          <w:p w14:paraId="128D6E9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123.</w:t>
            </w:r>
          </w:p>
        </w:tc>
        <w:tc>
          <w:tcPr>
            <w:tcW w:w="2054" w:type="dxa"/>
          </w:tcPr>
          <w:p w14:paraId="56D8AC9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CENTAR ZA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ODGOJ I</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OBRAZOVANJE</w:t>
            </w:r>
            <w:r w:rsidR="00CE628C" w:rsidRPr="0032536A">
              <w:rPr>
                <w:rFonts w:ascii="Times New Roman" w:eastAsia="Times New Roman" w:hAnsi="Times New Roman" w:cs="Times New Roman"/>
                <w:color w:val="auto"/>
              </w:rPr>
              <w:t xml:space="preserve"> </w:t>
            </w:r>
            <w:r w:rsidR="00D20688" w:rsidRPr="0032536A">
              <w:rPr>
                <w:rFonts w:ascii="Times New Roman" w:eastAsia="Times New Roman" w:hAnsi="Times New Roman" w:cs="Times New Roman"/>
                <w:color w:val="auto"/>
              </w:rPr>
              <w:t>"</w:t>
            </w:r>
            <w:r w:rsidRPr="0032536A">
              <w:rPr>
                <w:rFonts w:ascii="Times New Roman" w:eastAsia="Times New Roman" w:hAnsi="Times New Roman" w:cs="Times New Roman"/>
                <w:color w:val="auto"/>
              </w:rPr>
              <w:t>SLAVA RAŠKAJ</w:t>
            </w:r>
            <w:r w:rsidR="00D20688" w:rsidRPr="0032536A">
              <w:rPr>
                <w:rFonts w:ascii="Times New Roman" w:eastAsia="Times New Roman" w:hAnsi="Times New Roman" w:cs="Times New Roman"/>
                <w:color w:val="auto"/>
              </w:rPr>
              <w:t>"</w:t>
            </w:r>
          </w:p>
        </w:tc>
        <w:tc>
          <w:tcPr>
            <w:tcW w:w="2054" w:type="dxa"/>
          </w:tcPr>
          <w:p w14:paraId="5160E701"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eastAsia="Times New Roman" w:hAnsi="Times New Roman" w:cs="Times New Roman"/>
                <w:color w:val="auto"/>
              </w:rPr>
              <w:t>Vladimira Nazora 47,</w:t>
            </w:r>
            <w:r w:rsidR="00E40AC8" w:rsidRPr="0032536A">
              <w:rPr>
                <w:rFonts w:ascii="Times New Roman" w:eastAsia="Times New Roman" w:hAnsi="Times New Roman" w:cs="Times New Roman"/>
                <w:color w:val="auto"/>
              </w:rPr>
              <w:t xml:space="preserve"> </w:t>
            </w:r>
            <w:r w:rsidR="00900184" w:rsidRPr="0032536A">
              <w:rPr>
                <w:rFonts w:ascii="Times New Roman" w:eastAsia="Times New Roman" w:hAnsi="Times New Roman" w:cs="Times New Roman"/>
                <w:color w:val="auto"/>
              </w:rPr>
              <w:t xml:space="preserve">Zagreb </w:t>
            </w:r>
          </w:p>
        </w:tc>
        <w:tc>
          <w:tcPr>
            <w:tcW w:w="1541" w:type="dxa"/>
          </w:tcPr>
          <w:p w14:paraId="0D8AF14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400</w:t>
            </w:r>
          </w:p>
        </w:tc>
        <w:tc>
          <w:tcPr>
            <w:tcW w:w="1483" w:type="dxa"/>
          </w:tcPr>
          <w:p w14:paraId="2656D11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220</w:t>
            </w:r>
          </w:p>
        </w:tc>
        <w:tc>
          <w:tcPr>
            <w:tcW w:w="1255" w:type="dxa"/>
          </w:tcPr>
          <w:p w14:paraId="6BA01DD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1871.</w:t>
            </w:r>
          </w:p>
        </w:tc>
      </w:tr>
      <w:tr w:rsidR="00CE628C" w:rsidRPr="004750F4" w14:paraId="45800B8A" w14:textId="77777777" w:rsidTr="0025690A">
        <w:tblPrEx>
          <w:tblCellMar>
            <w:top w:w="10" w:type="dxa"/>
            <w:bottom w:w="43" w:type="dxa"/>
          </w:tblCellMar>
        </w:tblPrEx>
        <w:trPr>
          <w:cantSplit/>
        </w:trPr>
        <w:tc>
          <w:tcPr>
            <w:tcW w:w="685" w:type="dxa"/>
          </w:tcPr>
          <w:p w14:paraId="0CC4651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124.</w:t>
            </w:r>
          </w:p>
        </w:tc>
        <w:tc>
          <w:tcPr>
            <w:tcW w:w="2054" w:type="dxa"/>
          </w:tcPr>
          <w:p w14:paraId="6567EF83"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CENTAR ZA AUTIZAM </w:t>
            </w:r>
          </w:p>
        </w:tc>
        <w:tc>
          <w:tcPr>
            <w:tcW w:w="2054" w:type="dxa"/>
          </w:tcPr>
          <w:p w14:paraId="5F5C5698"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Zagreb, Ljevakovićeva 30a </w:t>
            </w:r>
          </w:p>
        </w:tc>
        <w:tc>
          <w:tcPr>
            <w:tcW w:w="1541" w:type="dxa"/>
          </w:tcPr>
          <w:p w14:paraId="7472F58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250</w:t>
            </w:r>
          </w:p>
        </w:tc>
        <w:tc>
          <w:tcPr>
            <w:tcW w:w="1483" w:type="dxa"/>
          </w:tcPr>
          <w:p w14:paraId="79426D5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330</w:t>
            </w:r>
          </w:p>
        </w:tc>
        <w:tc>
          <w:tcPr>
            <w:tcW w:w="1255" w:type="dxa"/>
          </w:tcPr>
          <w:p w14:paraId="0468DA0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1971.</w:t>
            </w:r>
          </w:p>
        </w:tc>
      </w:tr>
      <w:tr w:rsidR="00CE628C" w:rsidRPr="004750F4" w14:paraId="3F59CB5A" w14:textId="77777777" w:rsidTr="0025690A">
        <w:tblPrEx>
          <w:tblCellMar>
            <w:top w:w="10" w:type="dxa"/>
            <w:bottom w:w="43" w:type="dxa"/>
          </w:tblCellMar>
        </w:tblPrEx>
        <w:trPr>
          <w:cantSplit/>
        </w:trPr>
        <w:tc>
          <w:tcPr>
            <w:tcW w:w="685" w:type="dxa"/>
          </w:tcPr>
          <w:p w14:paraId="5C47894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lastRenderedPageBreak/>
              <w:t>125.</w:t>
            </w:r>
          </w:p>
        </w:tc>
        <w:tc>
          <w:tcPr>
            <w:tcW w:w="2054" w:type="dxa"/>
          </w:tcPr>
          <w:p w14:paraId="3F6AEC1F"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CENTAR ZA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ODGOJ I</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OBRAZOVANJE GOLJAK </w:t>
            </w:r>
          </w:p>
        </w:tc>
        <w:tc>
          <w:tcPr>
            <w:tcW w:w="2054" w:type="dxa"/>
          </w:tcPr>
          <w:p w14:paraId="03F12DF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Zagreb, lok. Goljak</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2. lok.</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Banjavčićeva 16, lok. Našička 5 </w:t>
            </w:r>
          </w:p>
        </w:tc>
        <w:tc>
          <w:tcPr>
            <w:tcW w:w="1541" w:type="dxa"/>
          </w:tcPr>
          <w:p w14:paraId="567E1CC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120 na sve tri lokacije</w:t>
            </w:r>
          </w:p>
        </w:tc>
        <w:tc>
          <w:tcPr>
            <w:tcW w:w="1483" w:type="dxa"/>
          </w:tcPr>
          <w:p w14:paraId="3F21C36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0D52DFA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 xml:space="preserve">Našička </w:t>
            </w:r>
            <w:r w:rsidR="00EE6A22" w:rsidRPr="0032536A">
              <w:rPr>
                <w:rFonts w:ascii="Times New Roman" w:eastAsia="Times New Roman" w:hAnsi="Times New Roman" w:cs="Times New Roman"/>
                <w:color w:val="auto"/>
              </w:rPr>
              <w:t>-</w:t>
            </w:r>
            <w:r w:rsidRPr="0032536A">
              <w:rPr>
                <w:rFonts w:ascii="Times New Roman" w:eastAsia="Times New Roman" w:hAnsi="Times New Roman" w:cs="Times New Roman"/>
                <w:color w:val="auto"/>
              </w:rPr>
              <w:t xml:space="preserve"> 2012. Goljak </w:t>
            </w:r>
            <w:r w:rsidR="00EE6A22" w:rsidRPr="0032536A">
              <w:rPr>
                <w:rFonts w:ascii="Times New Roman" w:eastAsia="Times New Roman" w:hAnsi="Times New Roman" w:cs="Times New Roman"/>
                <w:color w:val="auto"/>
              </w:rPr>
              <w:t>-</w:t>
            </w:r>
            <w:r w:rsidRPr="0032536A">
              <w:rPr>
                <w:rFonts w:ascii="Times New Roman" w:eastAsia="Times New Roman" w:hAnsi="Times New Roman" w:cs="Times New Roman"/>
                <w:color w:val="auto"/>
              </w:rPr>
              <w:t xml:space="preserve"> 1978.</w:t>
            </w:r>
          </w:p>
        </w:tc>
      </w:tr>
      <w:tr w:rsidR="00CE628C" w:rsidRPr="004750F4" w14:paraId="56E9ACF4" w14:textId="77777777" w:rsidTr="0025690A">
        <w:tblPrEx>
          <w:tblCellMar>
            <w:top w:w="10" w:type="dxa"/>
            <w:bottom w:w="43" w:type="dxa"/>
          </w:tblCellMar>
        </w:tblPrEx>
        <w:trPr>
          <w:cantSplit/>
        </w:trPr>
        <w:tc>
          <w:tcPr>
            <w:tcW w:w="4793" w:type="dxa"/>
            <w:gridSpan w:val="3"/>
            <w:shd w:val="clear" w:color="auto" w:fill="FFC000"/>
          </w:tcPr>
          <w:p w14:paraId="72DB077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UKUPNO</w:t>
            </w:r>
          </w:p>
        </w:tc>
        <w:tc>
          <w:tcPr>
            <w:tcW w:w="1541" w:type="dxa"/>
            <w:shd w:val="clear" w:color="auto" w:fill="FFC000"/>
          </w:tcPr>
          <w:p w14:paraId="57B992C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67493</w:t>
            </w:r>
          </w:p>
        </w:tc>
        <w:tc>
          <w:tcPr>
            <w:tcW w:w="1483" w:type="dxa"/>
            <w:shd w:val="clear" w:color="auto" w:fill="FFC000"/>
          </w:tcPr>
          <w:p w14:paraId="053FD72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39677</w:t>
            </w:r>
          </w:p>
        </w:tc>
        <w:tc>
          <w:tcPr>
            <w:tcW w:w="1255" w:type="dxa"/>
            <w:shd w:val="clear" w:color="auto" w:fill="FFC000"/>
          </w:tcPr>
          <w:p w14:paraId="7D2D88E5" w14:textId="77777777" w:rsidR="003F7A56" w:rsidRPr="0032536A" w:rsidRDefault="003F7A56" w:rsidP="00CE628C">
            <w:pPr>
              <w:spacing w:after="0" w:line="240" w:lineRule="auto"/>
              <w:ind w:left="0" w:right="0" w:firstLine="0"/>
              <w:jc w:val="center"/>
              <w:rPr>
                <w:rFonts w:ascii="Times New Roman" w:hAnsi="Times New Roman" w:cs="Times New Roman"/>
                <w:color w:val="auto"/>
              </w:rPr>
            </w:pPr>
          </w:p>
        </w:tc>
      </w:tr>
    </w:tbl>
    <w:p w14:paraId="5D9CFEE8" w14:textId="77777777" w:rsidR="0025690A" w:rsidRPr="0032536A" w:rsidRDefault="0025690A" w:rsidP="0025690A">
      <w:pPr>
        <w:spacing w:after="0" w:line="240" w:lineRule="auto"/>
        <w:ind w:left="0" w:right="0" w:firstLine="0"/>
        <w:jc w:val="left"/>
        <w:rPr>
          <w:rFonts w:ascii="Times New Roman" w:eastAsia="Times New Roman" w:hAnsi="Times New Roman" w:cs="Times New Roman"/>
          <w:color w:val="auto"/>
          <w:sz w:val="8"/>
        </w:rPr>
      </w:pPr>
    </w:p>
    <w:tbl>
      <w:tblPr>
        <w:tblStyle w:val="TableGrid"/>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 w:type="dxa"/>
          <w:left w:w="57" w:type="dxa"/>
          <w:bottom w:w="43" w:type="dxa"/>
          <w:right w:w="57" w:type="dxa"/>
        </w:tblCellMar>
        <w:tblLook w:val="04A0" w:firstRow="1" w:lastRow="0" w:firstColumn="1" w:lastColumn="0" w:noHBand="0" w:noVBand="1"/>
      </w:tblPr>
      <w:tblGrid>
        <w:gridCol w:w="685"/>
        <w:gridCol w:w="2054"/>
        <w:gridCol w:w="2054"/>
        <w:gridCol w:w="1541"/>
        <w:gridCol w:w="1483"/>
        <w:gridCol w:w="1255"/>
      </w:tblGrid>
      <w:tr w:rsidR="00CE628C" w:rsidRPr="004750F4" w14:paraId="03526701" w14:textId="77777777" w:rsidTr="0025690A">
        <w:trPr>
          <w:cantSplit/>
          <w:tblHeader/>
        </w:trPr>
        <w:tc>
          <w:tcPr>
            <w:tcW w:w="685" w:type="dxa"/>
            <w:shd w:val="clear" w:color="auto" w:fill="FFC000"/>
            <w:vAlign w:val="center"/>
          </w:tcPr>
          <w:p w14:paraId="6AEBE431" w14:textId="77777777" w:rsidR="003F7A56" w:rsidRPr="0032536A" w:rsidRDefault="00900184" w:rsidP="0025690A">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Red. broj</w:t>
            </w:r>
          </w:p>
        </w:tc>
        <w:tc>
          <w:tcPr>
            <w:tcW w:w="2054" w:type="dxa"/>
            <w:shd w:val="clear" w:color="auto" w:fill="FFC000"/>
            <w:vAlign w:val="center"/>
          </w:tcPr>
          <w:p w14:paraId="769E2ACD" w14:textId="77777777" w:rsidR="003F7A56" w:rsidRPr="0032536A" w:rsidRDefault="00900184" w:rsidP="0025690A">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Naziv ustanove</w:t>
            </w:r>
            <w:r w:rsidR="00CE628C" w:rsidRPr="0032536A">
              <w:rPr>
                <w:rFonts w:ascii="Times New Roman" w:eastAsia="Times New Roman" w:hAnsi="Times New Roman" w:cs="Times New Roman"/>
                <w:b/>
                <w:color w:val="auto"/>
              </w:rPr>
              <w:t xml:space="preserve"> </w:t>
            </w:r>
            <w:r w:rsidRPr="0032536A">
              <w:rPr>
                <w:rFonts w:ascii="Times New Roman" w:eastAsia="Times New Roman" w:hAnsi="Times New Roman" w:cs="Times New Roman"/>
                <w:b/>
                <w:color w:val="auto"/>
              </w:rPr>
              <w:t>(srednje škole)</w:t>
            </w:r>
          </w:p>
        </w:tc>
        <w:tc>
          <w:tcPr>
            <w:tcW w:w="2054" w:type="dxa"/>
            <w:shd w:val="clear" w:color="auto" w:fill="FFC000"/>
            <w:vAlign w:val="center"/>
          </w:tcPr>
          <w:p w14:paraId="2CDCF62E" w14:textId="77777777" w:rsidR="003F7A56" w:rsidRPr="0032536A" w:rsidRDefault="00900184" w:rsidP="0025690A">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Adresa ustanove</w:t>
            </w:r>
          </w:p>
        </w:tc>
        <w:tc>
          <w:tcPr>
            <w:tcW w:w="1541" w:type="dxa"/>
            <w:shd w:val="clear" w:color="auto" w:fill="FFC000"/>
            <w:vAlign w:val="center"/>
          </w:tcPr>
          <w:p w14:paraId="33DD185B" w14:textId="77777777" w:rsidR="003F7A56" w:rsidRPr="0032536A" w:rsidRDefault="00900184" w:rsidP="0025690A">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Kapacitet ustanove</w:t>
            </w:r>
            <w:r w:rsidR="00CE628C" w:rsidRPr="0032536A">
              <w:rPr>
                <w:rFonts w:ascii="Times New Roman" w:eastAsia="Times New Roman" w:hAnsi="Times New Roman" w:cs="Times New Roman"/>
                <w:b/>
                <w:color w:val="auto"/>
              </w:rPr>
              <w:t xml:space="preserve"> </w:t>
            </w:r>
            <w:r w:rsidRPr="0032536A">
              <w:rPr>
                <w:rFonts w:ascii="Times New Roman" w:eastAsia="Times New Roman" w:hAnsi="Times New Roman" w:cs="Times New Roman"/>
                <w:b/>
                <w:color w:val="auto"/>
              </w:rPr>
              <w:t>(maksimalan broj</w:t>
            </w:r>
            <w:r w:rsidR="00CE628C" w:rsidRPr="0032536A">
              <w:rPr>
                <w:rFonts w:ascii="Times New Roman" w:eastAsia="Times New Roman" w:hAnsi="Times New Roman" w:cs="Times New Roman"/>
                <w:b/>
                <w:color w:val="auto"/>
              </w:rPr>
              <w:t xml:space="preserve"> </w:t>
            </w:r>
            <w:r w:rsidRPr="0032536A">
              <w:rPr>
                <w:rFonts w:ascii="Times New Roman" w:eastAsia="Times New Roman" w:hAnsi="Times New Roman" w:cs="Times New Roman"/>
                <w:b/>
                <w:color w:val="auto"/>
              </w:rPr>
              <w:t>korisnika ustanove)</w:t>
            </w:r>
          </w:p>
        </w:tc>
        <w:tc>
          <w:tcPr>
            <w:tcW w:w="1483" w:type="dxa"/>
            <w:shd w:val="clear" w:color="auto" w:fill="FFC000"/>
            <w:vAlign w:val="center"/>
          </w:tcPr>
          <w:p w14:paraId="43FC2623" w14:textId="77777777" w:rsidR="003F7A56" w:rsidRPr="0032536A" w:rsidRDefault="00900184" w:rsidP="0025690A">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Kapacitet pripremanja</w:t>
            </w:r>
            <w:r w:rsidR="00CE628C" w:rsidRPr="0032536A">
              <w:rPr>
                <w:rFonts w:ascii="Times New Roman" w:eastAsia="Times New Roman" w:hAnsi="Times New Roman" w:cs="Times New Roman"/>
                <w:b/>
                <w:color w:val="auto"/>
              </w:rPr>
              <w:t xml:space="preserve"> </w:t>
            </w:r>
            <w:r w:rsidRPr="0032536A">
              <w:rPr>
                <w:rFonts w:ascii="Times New Roman" w:eastAsia="Times New Roman" w:hAnsi="Times New Roman" w:cs="Times New Roman"/>
                <w:b/>
                <w:color w:val="auto"/>
              </w:rPr>
              <w:t>hrane (broj</w:t>
            </w:r>
            <w:r w:rsidR="00CE628C" w:rsidRPr="0032536A">
              <w:rPr>
                <w:rFonts w:ascii="Times New Roman" w:eastAsia="Times New Roman" w:hAnsi="Times New Roman" w:cs="Times New Roman"/>
                <w:b/>
                <w:color w:val="auto"/>
              </w:rPr>
              <w:t xml:space="preserve"> </w:t>
            </w:r>
            <w:r w:rsidRPr="0032536A">
              <w:rPr>
                <w:rFonts w:ascii="Times New Roman" w:eastAsia="Times New Roman" w:hAnsi="Times New Roman" w:cs="Times New Roman"/>
                <w:b/>
                <w:color w:val="auto"/>
              </w:rPr>
              <w:t>obroka/dan koje</w:t>
            </w:r>
            <w:r w:rsidR="00CE628C" w:rsidRPr="0032536A">
              <w:rPr>
                <w:rFonts w:ascii="Times New Roman" w:eastAsia="Times New Roman" w:hAnsi="Times New Roman" w:cs="Times New Roman"/>
                <w:b/>
                <w:color w:val="auto"/>
              </w:rPr>
              <w:t xml:space="preserve"> </w:t>
            </w:r>
            <w:r w:rsidRPr="0032536A">
              <w:rPr>
                <w:rFonts w:ascii="Times New Roman" w:eastAsia="Times New Roman" w:hAnsi="Times New Roman" w:cs="Times New Roman"/>
                <w:b/>
                <w:color w:val="auto"/>
              </w:rPr>
              <w:t>ustanova može pripremiti</w:t>
            </w:r>
          </w:p>
        </w:tc>
        <w:tc>
          <w:tcPr>
            <w:tcW w:w="1255" w:type="dxa"/>
            <w:shd w:val="clear" w:color="auto" w:fill="FFC000"/>
            <w:vAlign w:val="center"/>
          </w:tcPr>
          <w:p w14:paraId="3B4FE6B4" w14:textId="77777777" w:rsidR="003F7A56" w:rsidRPr="0032536A" w:rsidRDefault="00EE48BB" w:rsidP="0025690A">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Godina izgradnje objekta</w:t>
            </w:r>
          </w:p>
        </w:tc>
      </w:tr>
      <w:tr w:rsidR="00CE628C" w:rsidRPr="004750F4" w14:paraId="126384CC" w14:textId="77777777" w:rsidTr="0025690A">
        <w:trPr>
          <w:cantSplit/>
        </w:trPr>
        <w:tc>
          <w:tcPr>
            <w:tcW w:w="685" w:type="dxa"/>
          </w:tcPr>
          <w:p w14:paraId="0B463C2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w:t>
            </w:r>
          </w:p>
        </w:tc>
        <w:tc>
          <w:tcPr>
            <w:tcW w:w="2054" w:type="dxa"/>
          </w:tcPr>
          <w:p w14:paraId="207E4CC9"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ŠKOLA ZA GRAFIKU, DIZAJN I</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MEDIJSKU</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PRODUKCIJU </w:t>
            </w:r>
          </w:p>
        </w:tc>
        <w:tc>
          <w:tcPr>
            <w:tcW w:w="2054" w:type="dxa"/>
          </w:tcPr>
          <w:p w14:paraId="2854705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Getaldićeva 2, Zagreb </w:t>
            </w:r>
          </w:p>
        </w:tc>
        <w:tc>
          <w:tcPr>
            <w:tcW w:w="1541" w:type="dxa"/>
          </w:tcPr>
          <w:p w14:paraId="4A67509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560</w:t>
            </w:r>
          </w:p>
        </w:tc>
        <w:tc>
          <w:tcPr>
            <w:tcW w:w="1483" w:type="dxa"/>
          </w:tcPr>
          <w:p w14:paraId="788BF79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2CA6B46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1962.</w:t>
            </w:r>
          </w:p>
        </w:tc>
      </w:tr>
      <w:tr w:rsidR="00CE628C" w:rsidRPr="004750F4" w14:paraId="7FF677A3" w14:textId="77777777" w:rsidTr="0025690A">
        <w:trPr>
          <w:cantSplit/>
        </w:trPr>
        <w:tc>
          <w:tcPr>
            <w:tcW w:w="685" w:type="dxa"/>
          </w:tcPr>
          <w:p w14:paraId="0EEA547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2.</w:t>
            </w:r>
          </w:p>
        </w:tc>
        <w:tc>
          <w:tcPr>
            <w:tcW w:w="2054" w:type="dxa"/>
          </w:tcPr>
          <w:p w14:paraId="4EB7F2B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ŠKOLA ZA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BALET I</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RITMIKU </w:t>
            </w:r>
          </w:p>
        </w:tc>
        <w:tc>
          <w:tcPr>
            <w:tcW w:w="2054" w:type="dxa"/>
          </w:tcPr>
          <w:p w14:paraId="01E80066"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Zagorska 16, Zagreb </w:t>
            </w:r>
          </w:p>
        </w:tc>
        <w:tc>
          <w:tcPr>
            <w:tcW w:w="1541" w:type="dxa"/>
          </w:tcPr>
          <w:p w14:paraId="3C64045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350</w:t>
            </w:r>
          </w:p>
        </w:tc>
        <w:tc>
          <w:tcPr>
            <w:tcW w:w="1483" w:type="dxa"/>
          </w:tcPr>
          <w:p w14:paraId="6406B1A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6FD95749" w14:textId="77777777" w:rsidR="003F7A56" w:rsidRPr="0032536A" w:rsidRDefault="003F7A56" w:rsidP="00CE628C">
            <w:pPr>
              <w:spacing w:after="0" w:line="240" w:lineRule="auto"/>
              <w:ind w:left="0" w:right="0" w:firstLine="0"/>
              <w:jc w:val="center"/>
              <w:rPr>
                <w:rFonts w:ascii="Times New Roman" w:hAnsi="Times New Roman" w:cs="Times New Roman"/>
                <w:color w:val="auto"/>
              </w:rPr>
            </w:pPr>
          </w:p>
        </w:tc>
      </w:tr>
      <w:tr w:rsidR="00CE628C" w:rsidRPr="004750F4" w14:paraId="1AD9B641" w14:textId="77777777" w:rsidTr="0025690A">
        <w:trPr>
          <w:cantSplit/>
        </w:trPr>
        <w:tc>
          <w:tcPr>
            <w:tcW w:w="685" w:type="dxa"/>
          </w:tcPr>
          <w:p w14:paraId="2D58AC9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3.</w:t>
            </w:r>
          </w:p>
        </w:tc>
        <w:tc>
          <w:tcPr>
            <w:tcW w:w="2054" w:type="dxa"/>
          </w:tcPr>
          <w:p w14:paraId="3DE2DB6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POŠTANSKA I</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TELEKOMUNIKA</w:t>
            </w:r>
            <w:r w:rsidR="00D20688" w:rsidRPr="0032536A">
              <w:rPr>
                <w:rFonts w:ascii="Times New Roman" w:eastAsia="Times New Roman" w:hAnsi="Times New Roman" w:cs="Times New Roman"/>
                <w:color w:val="auto"/>
              </w:rPr>
              <w:t>-</w:t>
            </w:r>
            <w:r w:rsidRPr="0032536A">
              <w:rPr>
                <w:rFonts w:ascii="Times New Roman" w:eastAsia="Times New Roman" w:hAnsi="Times New Roman" w:cs="Times New Roman"/>
                <w:color w:val="auto"/>
              </w:rPr>
              <w:t xml:space="preserve">CIJSKA ŠKOLA </w:t>
            </w:r>
          </w:p>
        </w:tc>
        <w:tc>
          <w:tcPr>
            <w:tcW w:w="2054" w:type="dxa"/>
          </w:tcPr>
          <w:p w14:paraId="4306D1A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Trg J. F. Kennedy</w:t>
            </w:r>
            <w:r w:rsidR="00D20688" w:rsidRPr="0032536A">
              <w:rPr>
                <w:rFonts w:ascii="Times New Roman" w:eastAsia="Times New Roman" w:hAnsi="Times New Roman" w:cs="Times New Roman"/>
                <w:color w:val="auto"/>
              </w:rPr>
              <w:t>j</w:t>
            </w:r>
            <w:r w:rsidRPr="0032536A">
              <w:rPr>
                <w:rFonts w:ascii="Times New Roman" w:eastAsia="Times New Roman" w:hAnsi="Times New Roman" w:cs="Times New Roman"/>
                <w:color w:val="auto"/>
              </w:rPr>
              <w:t xml:space="preserve">a 9, Zagreb </w:t>
            </w:r>
          </w:p>
        </w:tc>
        <w:tc>
          <w:tcPr>
            <w:tcW w:w="1541" w:type="dxa"/>
          </w:tcPr>
          <w:p w14:paraId="77A512E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525</w:t>
            </w:r>
          </w:p>
        </w:tc>
        <w:tc>
          <w:tcPr>
            <w:tcW w:w="1483" w:type="dxa"/>
          </w:tcPr>
          <w:p w14:paraId="12D447E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74D7EE3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1959.</w:t>
            </w:r>
          </w:p>
        </w:tc>
      </w:tr>
      <w:tr w:rsidR="00CE628C" w:rsidRPr="004750F4" w14:paraId="71A0C22C" w14:textId="77777777" w:rsidTr="0025690A">
        <w:trPr>
          <w:cantSplit/>
        </w:trPr>
        <w:tc>
          <w:tcPr>
            <w:tcW w:w="685" w:type="dxa"/>
          </w:tcPr>
          <w:p w14:paraId="2D31972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4.</w:t>
            </w:r>
          </w:p>
        </w:tc>
        <w:tc>
          <w:tcPr>
            <w:tcW w:w="2054" w:type="dxa"/>
          </w:tcPr>
          <w:p w14:paraId="6281A90F"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II. GIMNAZIJA </w:t>
            </w:r>
          </w:p>
        </w:tc>
        <w:tc>
          <w:tcPr>
            <w:tcW w:w="2054" w:type="dxa"/>
          </w:tcPr>
          <w:p w14:paraId="233F8D2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Križanićeva 4., Zagreb </w:t>
            </w:r>
          </w:p>
        </w:tc>
        <w:tc>
          <w:tcPr>
            <w:tcW w:w="1541" w:type="dxa"/>
          </w:tcPr>
          <w:p w14:paraId="5815D4F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710</w:t>
            </w:r>
          </w:p>
        </w:tc>
        <w:tc>
          <w:tcPr>
            <w:tcW w:w="1483" w:type="dxa"/>
          </w:tcPr>
          <w:p w14:paraId="58973D5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3D188B3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1932.</w:t>
            </w:r>
          </w:p>
        </w:tc>
      </w:tr>
      <w:tr w:rsidR="00CE628C" w:rsidRPr="004750F4" w14:paraId="7B8DF758" w14:textId="77777777" w:rsidTr="0025690A">
        <w:trPr>
          <w:cantSplit/>
        </w:trPr>
        <w:tc>
          <w:tcPr>
            <w:tcW w:w="685" w:type="dxa"/>
          </w:tcPr>
          <w:p w14:paraId="3F45F6F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5.</w:t>
            </w:r>
          </w:p>
        </w:tc>
        <w:tc>
          <w:tcPr>
            <w:tcW w:w="2054" w:type="dxa"/>
          </w:tcPr>
          <w:p w14:paraId="7A211C0D"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TEHNIČKA ŠKOLA ZAGREB </w:t>
            </w:r>
          </w:p>
        </w:tc>
        <w:tc>
          <w:tcPr>
            <w:tcW w:w="2054" w:type="dxa"/>
          </w:tcPr>
          <w:p w14:paraId="633E1E4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Palmotićeva 84, Zagreb </w:t>
            </w:r>
          </w:p>
        </w:tc>
        <w:tc>
          <w:tcPr>
            <w:tcW w:w="1541" w:type="dxa"/>
          </w:tcPr>
          <w:p w14:paraId="611B5D1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700</w:t>
            </w:r>
          </w:p>
        </w:tc>
        <w:tc>
          <w:tcPr>
            <w:tcW w:w="1483" w:type="dxa"/>
          </w:tcPr>
          <w:p w14:paraId="71CED4A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26C2003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1870.</w:t>
            </w:r>
          </w:p>
        </w:tc>
      </w:tr>
      <w:tr w:rsidR="00CE628C" w:rsidRPr="004750F4" w14:paraId="4B2A3FDA" w14:textId="77777777" w:rsidTr="0025690A">
        <w:trPr>
          <w:cantSplit/>
        </w:trPr>
        <w:tc>
          <w:tcPr>
            <w:tcW w:w="685" w:type="dxa"/>
          </w:tcPr>
          <w:p w14:paraId="1056D6D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6.</w:t>
            </w:r>
          </w:p>
        </w:tc>
        <w:tc>
          <w:tcPr>
            <w:tcW w:w="2054" w:type="dxa"/>
          </w:tcPr>
          <w:p w14:paraId="6E7DCBB3"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GLAZBENA ŠKOLA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VATROSLAVA LISINSKOG </w:t>
            </w:r>
          </w:p>
        </w:tc>
        <w:tc>
          <w:tcPr>
            <w:tcW w:w="2054" w:type="dxa"/>
          </w:tcPr>
          <w:p w14:paraId="6AFC960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Gundulićeva 4, Zagreb </w:t>
            </w:r>
          </w:p>
        </w:tc>
        <w:tc>
          <w:tcPr>
            <w:tcW w:w="1541" w:type="dxa"/>
          </w:tcPr>
          <w:p w14:paraId="77154CA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600</w:t>
            </w:r>
          </w:p>
        </w:tc>
        <w:tc>
          <w:tcPr>
            <w:tcW w:w="1483" w:type="dxa"/>
          </w:tcPr>
          <w:p w14:paraId="072AC47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0EBEDCD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1829.</w:t>
            </w:r>
          </w:p>
        </w:tc>
      </w:tr>
      <w:tr w:rsidR="00CE628C" w:rsidRPr="004750F4" w14:paraId="28C8658D" w14:textId="77777777" w:rsidTr="0025690A">
        <w:trPr>
          <w:cantSplit/>
        </w:trPr>
        <w:tc>
          <w:tcPr>
            <w:tcW w:w="685" w:type="dxa"/>
          </w:tcPr>
          <w:p w14:paraId="2EE066B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7.</w:t>
            </w:r>
          </w:p>
        </w:tc>
        <w:tc>
          <w:tcPr>
            <w:tcW w:w="2054" w:type="dxa"/>
          </w:tcPr>
          <w:p w14:paraId="71D03544"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INDUSTRIJSK</w:t>
            </w:r>
            <w:r w:rsidR="00D20688" w:rsidRPr="0032536A">
              <w:rPr>
                <w:rFonts w:ascii="Times New Roman" w:eastAsia="Times New Roman" w:hAnsi="Times New Roman" w:cs="Times New Roman"/>
                <w:color w:val="auto"/>
              </w:rPr>
              <w:t>A</w:t>
            </w:r>
            <w:r w:rsidRPr="0032536A">
              <w:rPr>
                <w:rFonts w:ascii="Times New Roman" w:eastAsia="Times New Roman" w:hAnsi="Times New Roman" w:cs="Times New Roman"/>
                <w:color w:val="auto"/>
              </w:rPr>
              <w:t xml:space="preserve"> STROJARSKA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ŠKOLA </w:t>
            </w:r>
          </w:p>
        </w:tc>
        <w:tc>
          <w:tcPr>
            <w:tcW w:w="2054" w:type="dxa"/>
          </w:tcPr>
          <w:p w14:paraId="5B986EE8"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Avenija Marina Držića 14, Zagreb </w:t>
            </w:r>
          </w:p>
        </w:tc>
        <w:tc>
          <w:tcPr>
            <w:tcW w:w="1541" w:type="dxa"/>
          </w:tcPr>
          <w:p w14:paraId="01E3A83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450</w:t>
            </w:r>
          </w:p>
        </w:tc>
        <w:tc>
          <w:tcPr>
            <w:tcW w:w="1483" w:type="dxa"/>
          </w:tcPr>
          <w:p w14:paraId="15B8984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65B696E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1964.</w:t>
            </w:r>
          </w:p>
        </w:tc>
      </w:tr>
      <w:tr w:rsidR="00CE628C" w:rsidRPr="004750F4" w14:paraId="518A0597" w14:textId="77777777" w:rsidTr="0025690A">
        <w:tblPrEx>
          <w:tblCellMar>
            <w:top w:w="5" w:type="dxa"/>
          </w:tblCellMar>
        </w:tblPrEx>
        <w:trPr>
          <w:cantSplit/>
        </w:trPr>
        <w:tc>
          <w:tcPr>
            <w:tcW w:w="685" w:type="dxa"/>
          </w:tcPr>
          <w:p w14:paraId="2AECA43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8.</w:t>
            </w:r>
          </w:p>
        </w:tc>
        <w:tc>
          <w:tcPr>
            <w:tcW w:w="2054" w:type="dxa"/>
          </w:tcPr>
          <w:p w14:paraId="5363E11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OBRTNIČKA I</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INDUSTRIJSKA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GRADITELJSKA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ŠKOLA </w:t>
            </w:r>
          </w:p>
        </w:tc>
        <w:tc>
          <w:tcPr>
            <w:tcW w:w="2054" w:type="dxa"/>
          </w:tcPr>
          <w:p w14:paraId="39BE06E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Avenija V.</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Holjevca 13, Zagreb </w:t>
            </w:r>
          </w:p>
        </w:tc>
        <w:tc>
          <w:tcPr>
            <w:tcW w:w="1541" w:type="dxa"/>
          </w:tcPr>
          <w:p w14:paraId="4A1C329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600</w:t>
            </w:r>
          </w:p>
        </w:tc>
        <w:tc>
          <w:tcPr>
            <w:tcW w:w="1483" w:type="dxa"/>
          </w:tcPr>
          <w:p w14:paraId="36CEE20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39C18EA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1964.</w:t>
            </w:r>
          </w:p>
        </w:tc>
      </w:tr>
      <w:tr w:rsidR="00CE628C" w:rsidRPr="004750F4" w14:paraId="7A9710F3" w14:textId="77777777" w:rsidTr="0025690A">
        <w:tblPrEx>
          <w:tblCellMar>
            <w:top w:w="5" w:type="dxa"/>
          </w:tblCellMar>
        </w:tblPrEx>
        <w:trPr>
          <w:cantSplit/>
        </w:trPr>
        <w:tc>
          <w:tcPr>
            <w:tcW w:w="685" w:type="dxa"/>
          </w:tcPr>
          <w:p w14:paraId="37054DC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9.</w:t>
            </w:r>
          </w:p>
        </w:tc>
        <w:tc>
          <w:tcPr>
            <w:tcW w:w="2054" w:type="dxa"/>
          </w:tcPr>
          <w:p w14:paraId="618639B7"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GRADITELJSKA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TEHNIČKA ŠKOLA </w:t>
            </w:r>
          </w:p>
        </w:tc>
        <w:tc>
          <w:tcPr>
            <w:tcW w:w="2054" w:type="dxa"/>
          </w:tcPr>
          <w:p w14:paraId="7560FA91"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Avenija Većeslava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Holjevca 17, Zagreb </w:t>
            </w:r>
          </w:p>
        </w:tc>
        <w:tc>
          <w:tcPr>
            <w:tcW w:w="1541" w:type="dxa"/>
          </w:tcPr>
          <w:p w14:paraId="24798BC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1000</w:t>
            </w:r>
            <w:r w:rsidR="00EE6A22" w:rsidRPr="0032536A">
              <w:rPr>
                <w:rFonts w:ascii="Times New Roman" w:eastAsia="Times New Roman" w:hAnsi="Times New Roman" w:cs="Times New Roman"/>
                <w:color w:val="auto"/>
              </w:rPr>
              <w:t>-</w:t>
            </w:r>
            <w:r w:rsidRPr="0032536A">
              <w:rPr>
                <w:rFonts w:ascii="Times New Roman" w:eastAsia="Times New Roman" w:hAnsi="Times New Roman" w:cs="Times New Roman"/>
                <w:color w:val="auto"/>
              </w:rPr>
              <w:t>1500</w:t>
            </w:r>
          </w:p>
        </w:tc>
        <w:tc>
          <w:tcPr>
            <w:tcW w:w="1483" w:type="dxa"/>
          </w:tcPr>
          <w:p w14:paraId="65F3475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4105122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1964.</w:t>
            </w:r>
          </w:p>
        </w:tc>
      </w:tr>
      <w:tr w:rsidR="00CE628C" w:rsidRPr="004750F4" w14:paraId="63CD6F07" w14:textId="77777777" w:rsidTr="0025690A">
        <w:tblPrEx>
          <w:tblCellMar>
            <w:top w:w="5" w:type="dxa"/>
          </w:tblCellMar>
        </w:tblPrEx>
        <w:trPr>
          <w:cantSplit/>
        </w:trPr>
        <w:tc>
          <w:tcPr>
            <w:tcW w:w="685" w:type="dxa"/>
          </w:tcPr>
          <w:p w14:paraId="10723AD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10.</w:t>
            </w:r>
          </w:p>
        </w:tc>
        <w:tc>
          <w:tcPr>
            <w:tcW w:w="2054" w:type="dxa"/>
          </w:tcPr>
          <w:p w14:paraId="0948B1B6"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ŠPORTSKA GIMNAZIJA </w:t>
            </w:r>
          </w:p>
        </w:tc>
        <w:tc>
          <w:tcPr>
            <w:tcW w:w="2054" w:type="dxa"/>
          </w:tcPr>
          <w:p w14:paraId="44D657E7"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Selska cesta 119, Zagreb </w:t>
            </w:r>
          </w:p>
        </w:tc>
        <w:tc>
          <w:tcPr>
            <w:tcW w:w="1541" w:type="dxa"/>
          </w:tcPr>
          <w:p w14:paraId="6DF7090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450</w:t>
            </w:r>
          </w:p>
        </w:tc>
        <w:tc>
          <w:tcPr>
            <w:tcW w:w="1483" w:type="dxa"/>
          </w:tcPr>
          <w:p w14:paraId="3921BEF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150</w:t>
            </w:r>
          </w:p>
        </w:tc>
        <w:tc>
          <w:tcPr>
            <w:tcW w:w="1255" w:type="dxa"/>
          </w:tcPr>
          <w:p w14:paraId="5EA7BB6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1948.</w:t>
            </w:r>
          </w:p>
        </w:tc>
      </w:tr>
      <w:tr w:rsidR="00CE628C" w:rsidRPr="004750F4" w14:paraId="4374A343" w14:textId="77777777" w:rsidTr="0025690A">
        <w:tblPrEx>
          <w:tblCellMar>
            <w:top w:w="5" w:type="dxa"/>
          </w:tblCellMar>
        </w:tblPrEx>
        <w:trPr>
          <w:cantSplit/>
        </w:trPr>
        <w:tc>
          <w:tcPr>
            <w:tcW w:w="685" w:type="dxa"/>
          </w:tcPr>
          <w:p w14:paraId="5B294F1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11.</w:t>
            </w:r>
          </w:p>
        </w:tc>
        <w:tc>
          <w:tcPr>
            <w:tcW w:w="2054" w:type="dxa"/>
          </w:tcPr>
          <w:p w14:paraId="5ACCD0C5"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GEODETSKA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ŠKOLA </w:t>
            </w:r>
          </w:p>
        </w:tc>
        <w:tc>
          <w:tcPr>
            <w:tcW w:w="2054" w:type="dxa"/>
          </w:tcPr>
          <w:p w14:paraId="7E71E91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Av. Većeslava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Holjevca 15, Novi Zagreb </w:t>
            </w:r>
          </w:p>
        </w:tc>
        <w:tc>
          <w:tcPr>
            <w:tcW w:w="1541" w:type="dxa"/>
          </w:tcPr>
          <w:p w14:paraId="7308C55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w:t>
            </w:r>
          </w:p>
        </w:tc>
        <w:tc>
          <w:tcPr>
            <w:tcW w:w="1483" w:type="dxa"/>
          </w:tcPr>
          <w:p w14:paraId="32868ED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6F23976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1965.</w:t>
            </w:r>
          </w:p>
        </w:tc>
      </w:tr>
      <w:tr w:rsidR="00CE628C" w:rsidRPr="004750F4" w14:paraId="6CDCA486" w14:textId="77777777" w:rsidTr="0025690A">
        <w:tblPrEx>
          <w:tblCellMar>
            <w:top w:w="5" w:type="dxa"/>
          </w:tblCellMar>
        </w:tblPrEx>
        <w:trPr>
          <w:cantSplit/>
        </w:trPr>
        <w:tc>
          <w:tcPr>
            <w:tcW w:w="685" w:type="dxa"/>
          </w:tcPr>
          <w:p w14:paraId="6CA80E9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lastRenderedPageBreak/>
              <w:t>12.</w:t>
            </w:r>
          </w:p>
        </w:tc>
        <w:tc>
          <w:tcPr>
            <w:tcW w:w="2054" w:type="dxa"/>
          </w:tcPr>
          <w:p w14:paraId="06449B1D" w14:textId="77777777" w:rsidR="003F7A56" w:rsidRPr="0032536A" w:rsidRDefault="00900184" w:rsidP="00D20688">
            <w:pPr>
              <w:spacing w:after="0" w:line="240" w:lineRule="auto"/>
              <w:ind w:left="0" w:right="-57"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GORNJOGRADSKA GIMNAZIJA </w:t>
            </w:r>
          </w:p>
        </w:tc>
        <w:tc>
          <w:tcPr>
            <w:tcW w:w="2054" w:type="dxa"/>
          </w:tcPr>
          <w:p w14:paraId="10FF5C83"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Trg Katarine Zrinske, Zagreb </w:t>
            </w:r>
          </w:p>
        </w:tc>
        <w:tc>
          <w:tcPr>
            <w:tcW w:w="1541" w:type="dxa"/>
          </w:tcPr>
          <w:p w14:paraId="2F8CD12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670</w:t>
            </w:r>
          </w:p>
        </w:tc>
        <w:tc>
          <w:tcPr>
            <w:tcW w:w="1483" w:type="dxa"/>
          </w:tcPr>
          <w:p w14:paraId="48417F0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13B39EB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1607.</w:t>
            </w:r>
          </w:p>
        </w:tc>
      </w:tr>
      <w:tr w:rsidR="00CE628C" w:rsidRPr="004750F4" w14:paraId="3EA5E3F1" w14:textId="77777777" w:rsidTr="0025690A">
        <w:tblPrEx>
          <w:tblCellMar>
            <w:top w:w="5" w:type="dxa"/>
          </w:tblCellMar>
        </w:tblPrEx>
        <w:trPr>
          <w:cantSplit/>
        </w:trPr>
        <w:tc>
          <w:tcPr>
            <w:tcW w:w="685" w:type="dxa"/>
          </w:tcPr>
          <w:p w14:paraId="67A0A4E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13.</w:t>
            </w:r>
          </w:p>
        </w:tc>
        <w:tc>
          <w:tcPr>
            <w:tcW w:w="2054" w:type="dxa"/>
          </w:tcPr>
          <w:p w14:paraId="18E35EC8"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KLASIČNA GIMNAZIJA </w:t>
            </w:r>
          </w:p>
        </w:tc>
        <w:tc>
          <w:tcPr>
            <w:tcW w:w="2054" w:type="dxa"/>
          </w:tcPr>
          <w:p w14:paraId="65B7D3DA"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Križanićeva 4a, Zagreb </w:t>
            </w:r>
          </w:p>
        </w:tc>
        <w:tc>
          <w:tcPr>
            <w:tcW w:w="1541" w:type="dxa"/>
          </w:tcPr>
          <w:p w14:paraId="5847510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850</w:t>
            </w:r>
          </w:p>
        </w:tc>
        <w:tc>
          <w:tcPr>
            <w:tcW w:w="1483" w:type="dxa"/>
          </w:tcPr>
          <w:p w14:paraId="42FD270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04D01AE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1932.</w:t>
            </w:r>
          </w:p>
        </w:tc>
      </w:tr>
      <w:tr w:rsidR="00CE628C" w:rsidRPr="004750F4" w14:paraId="5A0EA690" w14:textId="77777777" w:rsidTr="0025690A">
        <w:tblPrEx>
          <w:tblCellMar>
            <w:top w:w="5" w:type="dxa"/>
          </w:tblCellMar>
        </w:tblPrEx>
        <w:trPr>
          <w:cantSplit/>
        </w:trPr>
        <w:tc>
          <w:tcPr>
            <w:tcW w:w="685" w:type="dxa"/>
          </w:tcPr>
          <w:p w14:paraId="7D26795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14.</w:t>
            </w:r>
          </w:p>
        </w:tc>
        <w:tc>
          <w:tcPr>
            <w:tcW w:w="2054" w:type="dxa"/>
          </w:tcPr>
          <w:p w14:paraId="4809711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ELEKTROSTRO</w:t>
            </w:r>
            <w:r w:rsidR="00D20688" w:rsidRPr="0032536A">
              <w:rPr>
                <w:rFonts w:ascii="Times New Roman" w:eastAsia="Times New Roman" w:hAnsi="Times New Roman" w:cs="Times New Roman"/>
                <w:color w:val="auto"/>
              </w:rPr>
              <w:t>-</w:t>
            </w:r>
            <w:r w:rsidRPr="0032536A">
              <w:rPr>
                <w:rFonts w:ascii="Times New Roman" w:eastAsia="Times New Roman" w:hAnsi="Times New Roman" w:cs="Times New Roman"/>
                <w:color w:val="auto"/>
              </w:rPr>
              <w:t>JARSKA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OBRTNIČKA ŠKOLA </w:t>
            </w:r>
          </w:p>
        </w:tc>
        <w:tc>
          <w:tcPr>
            <w:tcW w:w="2054" w:type="dxa"/>
          </w:tcPr>
          <w:p w14:paraId="2D45716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Selska cesta 83, Zagreb </w:t>
            </w:r>
          </w:p>
        </w:tc>
        <w:tc>
          <w:tcPr>
            <w:tcW w:w="1541" w:type="dxa"/>
          </w:tcPr>
          <w:p w14:paraId="5C1D412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700</w:t>
            </w:r>
          </w:p>
        </w:tc>
        <w:tc>
          <w:tcPr>
            <w:tcW w:w="1483" w:type="dxa"/>
          </w:tcPr>
          <w:p w14:paraId="69597E3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294BBFE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1948.</w:t>
            </w:r>
          </w:p>
        </w:tc>
      </w:tr>
      <w:tr w:rsidR="00CE628C" w:rsidRPr="004750F4" w14:paraId="070F73BD" w14:textId="77777777" w:rsidTr="0025690A">
        <w:tblPrEx>
          <w:tblCellMar>
            <w:top w:w="5" w:type="dxa"/>
          </w:tblCellMar>
        </w:tblPrEx>
        <w:trPr>
          <w:cantSplit/>
        </w:trPr>
        <w:tc>
          <w:tcPr>
            <w:tcW w:w="685" w:type="dxa"/>
          </w:tcPr>
          <w:p w14:paraId="7F18B66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15.</w:t>
            </w:r>
          </w:p>
        </w:tc>
        <w:tc>
          <w:tcPr>
            <w:tcW w:w="2054" w:type="dxa"/>
          </w:tcPr>
          <w:p w14:paraId="72199FC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X. GIMNAZIJA </w:t>
            </w:r>
            <w:r w:rsidR="00D20688" w:rsidRPr="0032536A">
              <w:rPr>
                <w:rFonts w:ascii="Times New Roman" w:eastAsia="Times New Roman" w:hAnsi="Times New Roman" w:cs="Times New Roman"/>
                <w:color w:val="auto"/>
              </w:rPr>
              <w:t>"</w:t>
            </w:r>
            <w:r w:rsidRPr="0032536A">
              <w:rPr>
                <w:rFonts w:ascii="Times New Roman" w:eastAsia="Times New Roman" w:hAnsi="Times New Roman" w:cs="Times New Roman"/>
                <w:color w:val="auto"/>
              </w:rPr>
              <w:t>IVAN SUPEK</w:t>
            </w:r>
            <w:r w:rsidR="00D20688" w:rsidRPr="0032536A">
              <w:rPr>
                <w:rFonts w:ascii="Times New Roman" w:eastAsia="Times New Roman" w:hAnsi="Times New Roman" w:cs="Times New Roman"/>
                <w:color w:val="auto"/>
              </w:rPr>
              <w:t>"</w:t>
            </w:r>
          </w:p>
        </w:tc>
        <w:tc>
          <w:tcPr>
            <w:tcW w:w="2054" w:type="dxa"/>
          </w:tcPr>
          <w:p w14:paraId="5C1438FD"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Klaićeva 7, Zagreb </w:t>
            </w:r>
          </w:p>
        </w:tc>
        <w:tc>
          <w:tcPr>
            <w:tcW w:w="1541" w:type="dxa"/>
          </w:tcPr>
          <w:p w14:paraId="0EDB20B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1200/škola dijeli prostore</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sa školom </w:t>
            </w:r>
            <w:r w:rsidR="00EE6A22" w:rsidRPr="0032536A">
              <w:rPr>
                <w:rFonts w:ascii="Times New Roman" w:eastAsia="Times New Roman" w:hAnsi="Times New Roman" w:cs="Times New Roman"/>
                <w:color w:val="auto"/>
              </w:rPr>
              <w:t>-</w:t>
            </w:r>
            <w:r w:rsidRPr="0032536A">
              <w:rPr>
                <w:rFonts w:ascii="Times New Roman" w:eastAsia="Times New Roman" w:hAnsi="Times New Roman" w:cs="Times New Roman"/>
                <w:color w:val="auto"/>
              </w:rPr>
              <w:t xml:space="preserve"> Tesla</w:t>
            </w:r>
          </w:p>
        </w:tc>
        <w:tc>
          <w:tcPr>
            <w:tcW w:w="1483" w:type="dxa"/>
          </w:tcPr>
          <w:p w14:paraId="07821DE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25C1636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1947.</w:t>
            </w:r>
          </w:p>
        </w:tc>
      </w:tr>
      <w:tr w:rsidR="00CE628C" w:rsidRPr="004750F4" w14:paraId="4515DEFE" w14:textId="77777777" w:rsidTr="0025690A">
        <w:tblPrEx>
          <w:tblCellMar>
            <w:top w:w="5" w:type="dxa"/>
          </w:tblCellMar>
        </w:tblPrEx>
        <w:trPr>
          <w:cantSplit/>
        </w:trPr>
        <w:tc>
          <w:tcPr>
            <w:tcW w:w="685" w:type="dxa"/>
          </w:tcPr>
          <w:p w14:paraId="76D7BCC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16.</w:t>
            </w:r>
          </w:p>
        </w:tc>
        <w:tc>
          <w:tcPr>
            <w:tcW w:w="2054" w:type="dxa"/>
          </w:tcPr>
          <w:p w14:paraId="4D72E594"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ŠKOLA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SUVREMENOG PLESA ANE</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MALETIĆ </w:t>
            </w:r>
          </w:p>
        </w:tc>
        <w:tc>
          <w:tcPr>
            <w:tcW w:w="2054" w:type="dxa"/>
          </w:tcPr>
          <w:p w14:paraId="4BDE483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Laginjina 13, Zagreb </w:t>
            </w:r>
          </w:p>
        </w:tc>
        <w:tc>
          <w:tcPr>
            <w:tcW w:w="1541" w:type="dxa"/>
          </w:tcPr>
          <w:p w14:paraId="2984491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300</w:t>
            </w:r>
          </w:p>
        </w:tc>
        <w:tc>
          <w:tcPr>
            <w:tcW w:w="1483" w:type="dxa"/>
          </w:tcPr>
          <w:p w14:paraId="52F476D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077F98C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1967.</w:t>
            </w:r>
          </w:p>
        </w:tc>
      </w:tr>
      <w:tr w:rsidR="00CE628C" w:rsidRPr="004750F4" w14:paraId="29AFBC1E" w14:textId="77777777" w:rsidTr="0025690A">
        <w:tblPrEx>
          <w:tblCellMar>
            <w:top w:w="5" w:type="dxa"/>
          </w:tblCellMar>
        </w:tblPrEx>
        <w:trPr>
          <w:cantSplit/>
        </w:trPr>
        <w:tc>
          <w:tcPr>
            <w:tcW w:w="685" w:type="dxa"/>
          </w:tcPr>
          <w:p w14:paraId="73188D0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17.</w:t>
            </w:r>
          </w:p>
        </w:tc>
        <w:tc>
          <w:tcPr>
            <w:tcW w:w="2054" w:type="dxa"/>
          </w:tcPr>
          <w:p w14:paraId="0FE79F83"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ELEKTROTEHNIČ</w:t>
            </w:r>
            <w:r w:rsidR="00D20688" w:rsidRPr="0032536A">
              <w:rPr>
                <w:rFonts w:ascii="Times New Roman" w:eastAsia="Times New Roman" w:hAnsi="Times New Roman" w:cs="Times New Roman"/>
                <w:color w:val="auto"/>
              </w:rPr>
              <w:t>-</w:t>
            </w:r>
            <w:r w:rsidRPr="0032536A">
              <w:rPr>
                <w:rFonts w:ascii="Times New Roman" w:eastAsia="Times New Roman" w:hAnsi="Times New Roman" w:cs="Times New Roman"/>
                <w:color w:val="auto"/>
              </w:rPr>
              <w:t xml:space="preserve">KA ŠKOLA </w:t>
            </w:r>
          </w:p>
        </w:tc>
        <w:tc>
          <w:tcPr>
            <w:tcW w:w="2054" w:type="dxa"/>
          </w:tcPr>
          <w:p w14:paraId="43DF2734"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Konavoska 2, Zagreb </w:t>
            </w:r>
          </w:p>
        </w:tc>
        <w:tc>
          <w:tcPr>
            <w:tcW w:w="1541" w:type="dxa"/>
          </w:tcPr>
          <w:p w14:paraId="62EFBBB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400</w:t>
            </w:r>
          </w:p>
        </w:tc>
        <w:tc>
          <w:tcPr>
            <w:tcW w:w="1483" w:type="dxa"/>
          </w:tcPr>
          <w:p w14:paraId="22018D2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309044E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1959.</w:t>
            </w:r>
          </w:p>
        </w:tc>
      </w:tr>
      <w:tr w:rsidR="00CE628C" w:rsidRPr="004750F4" w14:paraId="34A82AF9" w14:textId="77777777" w:rsidTr="0025690A">
        <w:tblPrEx>
          <w:tblCellMar>
            <w:top w:w="5" w:type="dxa"/>
          </w:tblCellMar>
        </w:tblPrEx>
        <w:trPr>
          <w:cantSplit/>
        </w:trPr>
        <w:tc>
          <w:tcPr>
            <w:tcW w:w="685" w:type="dxa"/>
          </w:tcPr>
          <w:p w14:paraId="55D083D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18.</w:t>
            </w:r>
          </w:p>
        </w:tc>
        <w:tc>
          <w:tcPr>
            <w:tcW w:w="2054" w:type="dxa"/>
          </w:tcPr>
          <w:p w14:paraId="3B5ED11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STROJARSK</w:t>
            </w:r>
            <w:r w:rsidR="00D20688" w:rsidRPr="0032536A">
              <w:rPr>
                <w:rFonts w:ascii="Times New Roman" w:eastAsia="Times New Roman" w:hAnsi="Times New Roman" w:cs="Times New Roman"/>
                <w:color w:val="auto"/>
              </w:rPr>
              <w:t>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TEHNIČKA ŠKOLA FRANA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BOŠNJAKOVIĆA </w:t>
            </w:r>
          </w:p>
        </w:tc>
        <w:tc>
          <w:tcPr>
            <w:tcW w:w="2054" w:type="dxa"/>
          </w:tcPr>
          <w:p w14:paraId="3F88D845"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Konavoska 2, Zagreb </w:t>
            </w:r>
          </w:p>
        </w:tc>
        <w:tc>
          <w:tcPr>
            <w:tcW w:w="1541" w:type="dxa"/>
          </w:tcPr>
          <w:p w14:paraId="7FDD924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400</w:t>
            </w:r>
          </w:p>
        </w:tc>
        <w:tc>
          <w:tcPr>
            <w:tcW w:w="1483" w:type="dxa"/>
          </w:tcPr>
          <w:p w14:paraId="7241850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5698880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1959.</w:t>
            </w:r>
          </w:p>
        </w:tc>
      </w:tr>
      <w:tr w:rsidR="00CE628C" w:rsidRPr="004750F4" w14:paraId="641E770F" w14:textId="77777777" w:rsidTr="0025690A">
        <w:tblPrEx>
          <w:tblCellMar>
            <w:top w:w="5" w:type="dxa"/>
          </w:tblCellMar>
        </w:tblPrEx>
        <w:trPr>
          <w:cantSplit/>
        </w:trPr>
        <w:tc>
          <w:tcPr>
            <w:tcW w:w="685" w:type="dxa"/>
          </w:tcPr>
          <w:p w14:paraId="32855A8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19.</w:t>
            </w:r>
          </w:p>
        </w:tc>
        <w:tc>
          <w:tcPr>
            <w:tcW w:w="2054" w:type="dxa"/>
          </w:tcPr>
          <w:p w14:paraId="40EF2FEF"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GIMNAZIJA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LUCIJANA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VRANJANINA </w:t>
            </w:r>
          </w:p>
        </w:tc>
        <w:tc>
          <w:tcPr>
            <w:tcW w:w="2054" w:type="dxa"/>
          </w:tcPr>
          <w:p w14:paraId="330EA876"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Trg hrvatskih</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pavlina 1,</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10090 Zagreb </w:t>
            </w:r>
          </w:p>
        </w:tc>
        <w:tc>
          <w:tcPr>
            <w:tcW w:w="1541" w:type="dxa"/>
          </w:tcPr>
          <w:p w14:paraId="5461790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830</w:t>
            </w:r>
          </w:p>
        </w:tc>
        <w:tc>
          <w:tcPr>
            <w:tcW w:w="1483" w:type="dxa"/>
          </w:tcPr>
          <w:p w14:paraId="3A6CEA4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7F65168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1990.</w:t>
            </w:r>
          </w:p>
        </w:tc>
      </w:tr>
      <w:tr w:rsidR="00CE628C" w:rsidRPr="004750F4" w14:paraId="0D5B44E0" w14:textId="77777777" w:rsidTr="0025690A">
        <w:tblPrEx>
          <w:tblCellMar>
            <w:top w:w="5" w:type="dxa"/>
          </w:tblCellMar>
        </w:tblPrEx>
        <w:trPr>
          <w:cantSplit/>
        </w:trPr>
        <w:tc>
          <w:tcPr>
            <w:tcW w:w="685" w:type="dxa"/>
          </w:tcPr>
          <w:p w14:paraId="7FCA6CD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20.</w:t>
            </w:r>
          </w:p>
        </w:tc>
        <w:tc>
          <w:tcPr>
            <w:tcW w:w="2054" w:type="dxa"/>
          </w:tcPr>
          <w:p w14:paraId="13BF4224"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VETERINARSKA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ŠKOLA </w:t>
            </w:r>
          </w:p>
        </w:tc>
        <w:tc>
          <w:tcPr>
            <w:tcW w:w="2054" w:type="dxa"/>
          </w:tcPr>
          <w:p w14:paraId="2B590944"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eastAsia="Times New Roman" w:hAnsi="Times New Roman" w:cs="Times New Roman"/>
                <w:color w:val="auto"/>
              </w:rPr>
              <w:t xml:space="preserve">Gjure Prejca 2, Zagreb </w:t>
            </w:r>
          </w:p>
        </w:tc>
        <w:tc>
          <w:tcPr>
            <w:tcW w:w="1541" w:type="dxa"/>
          </w:tcPr>
          <w:p w14:paraId="11C5334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400</w:t>
            </w:r>
          </w:p>
        </w:tc>
        <w:tc>
          <w:tcPr>
            <w:tcW w:w="1483" w:type="dxa"/>
          </w:tcPr>
          <w:p w14:paraId="554DA9E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1F7CAF3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1984.</w:t>
            </w:r>
          </w:p>
        </w:tc>
      </w:tr>
      <w:tr w:rsidR="00CE628C" w:rsidRPr="004750F4" w14:paraId="49E407C2" w14:textId="77777777" w:rsidTr="0025690A">
        <w:tblPrEx>
          <w:tblCellMar>
            <w:top w:w="5" w:type="dxa"/>
          </w:tblCellMar>
        </w:tblPrEx>
        <w:trPr>
          <w:cantSplit/>
        </w:trPr>
        <w:tc>
          <w:tcPr>
            <w:tcW w:w="685" w:type="dxa"/>
          </w:tcPr>
          <w:p w14:paraId="016E021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21.</w:t>
            </w:r>
          </w:p>
        </w:tc>
        <w:tc>
          <w:tcPr>
            <w:tcW w:w="2054" w:type="dxa"/>
          </w:tcPr>
          <w:p w14:paraId="745224F5"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XV. GIMNAZIJA </w:t>
            </w:r>
          </w:p>
        </w:tc>
        <w:tc>
          <w:tcPr>
            <w:tcW w:w="2054" w:type="dxa"/>
          </w:tcPr>
          <w:p w14:paraId="0E60C298"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Jordanovac 8, Zagreb </w:t>
            </w:r>
          </w:p>
        </w:tc>
        <w:tc>
          <w:tcPr>
            <w:tcW w:w="1541" w:type="dxa"/>
          </w:tcPr>
          <w:p w14:paraId="3115FC5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1200</w:t>
            </w:r>
          </w:p>
        </w:tc>
        <w:tc>
          <w:tcPr>
            <w:tcW w:w="1483" w:type="dxa"/>
          </w:tcPr>
          <w:p w14:paraId="337E552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w:t>
            </w:r>
          </w:p>
        </w:tc>
        <w:tc>
          <w:tcPr>
            <w:tcW w:w="1255" w:type="dxa"/>
          </w:tcPr>
          <w:p w14:paraId="1095477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1976.</w:t>
            </w:r>
          </w:p>
        </w:tc>
      </w:tr>
      <w:tr w:rsidR="00CE628C" w:rsidRPr="004750F4" w14:paraId="7C0F1478" w14:textId="77777777" w:rsidTr="0025690A">
        <w:tblPrEx>
          <w:tblCellMar>
            <w:top w:w="5" w:type="dxa"/>
          </w:tblCellMar>
        </w:tblPrEx>
        <w:trPr>
          <w:cantSplit/>
        </w:trPr>
        <w:tc>
          <w:tcPr>
            <w:tcW w:w="685" w:type="dxa"/>
          </w:tcPr>
          <w:p w14:paraId="4C0A81A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22.</w:t>
            </w:r>
          </w:p>
        </w:tc>
        <w:tc>
          <w:tcPr>
            <w:tcW w:w="2054" w:type="dxa"/>
          </w:tcPr>
          <w:p w14:paraId="4A1CDE4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ŠKOLA ZA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MEDICINSKE</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SESTRE VRAPČE </w:t>
            </w:r>
          </w:p>
        </w:tc>
        <w:tc>
          <w:tcPr>
            <w:tcW w:w="2054" w:type="dxa"/>
          </w:tcPr>
          <w:p w14:paraId="50871D6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Bolnička cesta 32, Zagreb </w:t>
            </w:r>
          </w:p>
        </w:tc>
        <w:tc>
          <w:tcPr>
            <w:tcW w:w="1541" w:type="dxa"/>
          </w:tcPr>
          <w:p w14:paraId="6A7F142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420</w:t>
            </w:r>
          </w:p>
        </w:tc>
        <w:tc>
          <w:tcPr>
            <w:tcW w:w="1483" w:type="dxa"/>
          </w:tcPr>
          <w:p w14:paraId="283567C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23D9F81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1879.</w:t>
            </w:r>
          </w:p>
        </w:tc>
      </w:tr>
      <w:tr w:rsidR="00CE628C" w:rsidRPr="004750F4" w14:paraId="158C18FF" w14:textId="77777777" w:rsidTr="0025690A">
        <w:tblPrEx>
          <w:tblCellMar>
            <w:top w:w="5" w:type="dxa"/>
          </w:tblCellMar>
        </w:tblPrEx>
        <w:trPr>
          <w:cantSplit/>
        </w:trPr>
        <w:tc>
          <w:tcPr>
            <w:tcW w:w="685" w:type="dxa"/>
          </w:tcPr>
          <w:p w14:paraId="69912D7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23.</w:t>
            </w:r>
          </w:p>
        </w:tc>
        <w:tc>
          <w:tcPr>
            <w:tcW w:w="2054" w:type="dxa"/>
          </w:tcPr>
          <w:p w14:paraId="0189069F"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VII. GIMNAZIJA </w:t>
            </w:r>
          </w:p>
        </w:tc>
        <w:tc>
          <w:tcPr>
            <w:tcW w:w="2054" w:type="dxa"/>
          </w:tcPr>
          <w:p w14:paraId="00CFA894"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Križanićeva 4, Zagreb </w:t>
            </w:r>
          </w:p>
        </w:tc>
        <w:tc>
          <w:tcPr>
            <w:tcW w:w="1541" w:type="dxa"/>
          </w:tcPr>
          <w:p w14:paraId="3982ECB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700</w:t>
            </w:r>
          </w:p>
        </w:tc>
        <w:tc>
          <w:tcPr>
            <w:tcW w:w="1483" w:type="dxa"/>
          </w:tcPr>
          <w:p w14:paraId="6EBF06B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3172A0B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1932.</w:t>
            </w:r>
          </w:p>
        </w:tc>
      </w:tr>
      <w:tr w:rsidR="00CE628C" w:rsidRPr="004750F4" w14:paraId="25D6C791" w14:textId="77777777" w:rsidTr="0025690A">
        <w:tblPrEx>
          <w:tblCellMar>
            <w:top w:w="5" w:type="dxa"/>
          </w:tblCellMar>
        </w:tblPrEx>
        <w:trPr>
          <w:cantSplit/>
        </w:trPr>
        <w:tc>
          <w:tcPr>
            <w:tcW w:w="685" w:type="dxa"/>
          </w:tcPr>
          <w:p w14:paraId="3AA7AEE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24.</w:t>
            </w:r>
          </w:p>
        </w:tc>
        <w:tc>
          <w:tcPr>
            <w:tcW w:w="2054" w:type="dxa"/>
          </w:tcPr>
          <w:p w14:paraId="4DEE8E17"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IV. GIMNAZIJA </w:t>
            </w:r>
          </w:p>
        </w:tc>
        <w:tc>
          <w:tcPr>
            <w:tcW w:w="2054" w:type="dxa"/>
          </w:tcPr>
          <w:p w14:paraId="53CDF9F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Ulica Žarka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Dolinara 9, 10020 Zagreb </w:t>
            </w:r>
          </w:p>
        </w:tc>
        <w:tc>
          <w:tcPr>
            <w:tcW w:w="1541" w:type="dxa"/>
          </w:tcPr>
          <w:p w14:paraId="1FFAA0D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500</w:t>
            </w:r>
          </w:p>
        </w:tc>
        <w:tc>
          <w:tcPr>
            <w:tcW w:w="1483" w:type="dxa"/>
          </w:tcPr>
          <w:p w14:paraId="6CF92F7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2E9F06D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1992.</w:t>
            </w:r>
          </w:p>
        </w:tc>
      </w:tr>
      <w:tr w:rsidR="00CE628C" w:rsidRPr="004750F4" w14:paraId="0213B914" w14:textId="77777777" w:rsidTr="0025690A">
        <w:tblPrEx>
          <w:tblCellMar>
            <w:top w:w="5" w:type="dxa"/>
          </w:tblCellMar>
        </w:tblPrEx>
        <w:trPr>
          <w:cantSplit/>
        </w:trPr>
        <w:tc>
          <w:tcPr>
            <w:tcW w:w="685" w:type="dxa"/>
          </w:tcPr>
          <w:p w14:paraId="3BB2CE8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25.</w:t>
            </w:r>
          </w:p>
        </w:tc>
        <w:tc>
          <w:tcPr>
            <w:tcW w:w="2054" w:type="dxa"/>
          </w:tcPr>
          <w:p w14:paraId="55A919F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XVIII.</w:t>
            </w:r>
            <w:r w:rsidR="00D20688"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GIMNAZIJA </w:t>
            </w:r>
          </w:p>
        </w:tc>
        <w:tc>
          <w:tcPr>
            <w:tcW w:w="2054" w:type="dxa"/>
          </w:tcPr>
          <w:p w14:paraId="53569A55"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Mesićeva 35, Zagreb </w:t>
            </w:r>
          </w:p>
        </w:tc>
        <w:tc>
          <w:tcPr>
            <w:tcW w:w="1541" w:type="dxa"/>
          </w:tcPr>
          <w:p w14:paraId="3C6B9B2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OŠ I. G.</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Kovačića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prijavila broj</w:t>
            </w:r>
          </w:p>
        </w:tc>
        <w:tc>
          <w:tcPr>
            <w:tcW w:w="1483" w:type="dxa"/>
          </w:tcPr>
          <w:p w14:paraId="072BECB5" w14:textId="77777777" w:rsidR="003F7A56" w:rsidRPr="0032536A" w:rsidRDefault="003F7A56" w:rsidP="00CE628C">
            <w:pPr>
              <w:spacing w:after="0" w:line="240" w:lineRule="auto"/>
              <w:ind w:left="0" w:right="0" w:firstLine="0"/>
              <w:jc w:val="center"/>
              <w:rPr>
                <w:rFonts w:ascii="Times New Roman" w:hAnsi="Times New Roman" w:cs="Times New Roman"/>
                <w:color w:val="auto"/>
              </w:rPr>
            </w:pPr>
          </w:p>
        </w:tc>
        <w:tc>
          <w:tcPr>
            <w:tcW w:w="1255" w:type="dxa"/>
          </w:tcPr>
          <w:p w14:paraId="3B247E7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1955.</w:t>
            </w:r>
          </w:p>
        </w:tc>
      </w:tr>
      <w:tr w:rsidR="00CE628C" w:rsidRPr="004750F4" w14:paraId="119D343F" w14:textId="77777777" w:rsidTr="0025690A">
        <w:tblPrEx>
          <w:tblCellMar>
            <w:top w:w="5" w:type="dxa"/>
          </w:tblCellMar>
        </w:tblPrEx>
        <w:trPr>
          <w:cantSplit/>
        </w:trPr>
        <w:tc>
          <w:tcPr>
            <w:tcW w:w="685" w:type="dxa"/>
          </w:tcPr>
          <w:p w14:paraId="49AFE9B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26.</w:t>
            </w:r>
          </w:p>
        </w:tc>
        <w:tc>
          <w:tcPr>
            <w:tcW w:w="2054" w:type="dxa"/>
          </w:tcPr>
          <w:p w14:paraId="7CA4F255"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TEHNIČKA ŠKOLA RUĐERA BOŠKOVIĆA </w:t>
            </w:r>
          </w:p>
        </w:tc>
        <w:tc>
          <w:tcPr>
            <w:tcW w:w="2054" w:type="dxa"/>
          </w:tcPr>
          <w:p w14:paraId="5EF19F36"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Getaldićeva 4, Zagreb </w:t>
            </w:r>
          </w:p>
        </w:tc>
        <w:tc>
          <w:tcPr>
            <w:tcW w:w="1541" w:type="dxa"/>
          </w:tcPr>
          <w:p w14:paraId="7675D00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1120</w:t>
            </w:r>
          </w:p>
        </w:tc>
        <w:tc>
          <w:tcPr>
            <w:tcW w:w="1483" w:type="dxa"/>
          </w:tcPr>
          <w:p w14:paraId="20BA8E9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1120</w:t>
            </w:r>
          </w:p>
        </w:tc>
        <w:tc>
          <w:tcPr>
            <w:tcW w:w="1255" w:type="dxa"/>
          </w:tcPr>
          <w:p w14:paraId="2FFCD5A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1960.</w:t>
            </w:r>
          </w:p>
        </w:tc>
      </w:tr>
      <w:tr w:rsidR="00CE628C" w:rsidRPr="004750F4" w14:paraId="03836BE3" w14:textId="77777777" w:rsidTr="0025690A">
        <w:tblPrEx>
          <w:tblCellMar>
            <w:top w:w="5" w:type="dxa"/>
          </w:tblCellMar>
        </w:tblPrEx>
        <w:trPr>
          <w:cantSplit/>
        </w:trPr>
        <w:tc>
          <w:tcPr>
            <w:tcW w:w="685" w:type="dxa"/>
          </w:tcPr>
          <w:p w14:paraId="56EA20C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27.</w:t>
            </w:r>
          </w:p>
        </w:tc>
        <w:tc>
          <w:tcPr>
            <w:tcW w:w="2054" w:type="dxa"/>
          </w:tcPr>
          <w:p w14:paraId="6EF8BF4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XI.</w:t>
            </w:r>
            <w:r w:rsidR="00D20688"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GIMNAZIJA </w:t>
            </w:r>
          </w:p>
        </w:tc>
        <w:tc>
          <w:tcPr>
            <w:tcW w:w="2054" w:type="dxa"/>
          </w:tcPr>
          <w:p w14:paraId="57CF9F4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Savska cesta 77, Zagreb </w:t>
            </w:r>
          </w:p>
        </w:tc>
        <w:tc>
          <w:tcPr>
            <w:tcW w:w="1541" w:type="dxa"/>
          </w:tcPr>
          <w:p w14:paraId="531D2F9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460</w:t>
            </w:r>
          </w:p>
        </w:tc>
        <w:tc>
          <w:tcPr>
            <w:tcW w:w="1483" w:type="dxa"/>
          </w:tcPr>
          <w:p w14:paraId="21B7AFC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1EDF9C7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1939.</w:t>
            </w:r>
          </w:p>
        </w:tc>
      </w:tr>
      <w:tr w:rsidR="00CE628C" w:rsidRPr="004750F4" w14:paraId="5AAEA0E6" w14:textId="77777777" w:rsidTr="0025690A">
        <w:tblPrEx>
          <w:tblCellMar>
            <w:top w:w="5" w:type="dxa"/>
          </w:tblCellMar>
        </w:tblPrEx>
        <w:trPr>
          <w:cantSplit/>
        </w:trPr>
        <w:tc>
          <w:tcPr>
            <w:tcW w:w="685" w:type="dxa"/>
          </w:tcPr>
          <w:p w14:paraId="63CE9C5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lastRenderedPageBreak/>
              <w:t>28.</w:t>
            </w:r>
          </w:p>
        </w:tc>
        <w:tc>
          <w:tcPr>
            <w:tcW w:w="2054" w:type="dxa"/>
          </w:tcPr>
          <w:p w14:paraId="085063EA"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SREDNJA ŠKOLA JELKOVEC </w:t>
            </w:r>
          </w:p>
        </w:tc>
        <w:tc>
          <w:tcPr>
            <w:tcW w:w="2054" w:type="dxa"/>
          </w:tcPr>
          <w:p w14:paraId="0F15C53A"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eastAsia="Times New Roman" w:hAnsi="Times New Roman" w:cs="Times New Roman"/>
                <w:color w:val="auto"/>
              </w:rPr>
              <w:t>Vladimira</w:t>
            </w:r>
            <w:r w:rsidR="00CE628C" w:rsidRPr="0032536A">
              <w:rPr>
                <w:rFonts w:ascii="Times New Roman" w:eastAsia="Times New Roman" w:hAnsi="Times New Roman" w:cs="Times New Roman"/>
                <w:color w:val="auto"/>
              </w:rPr>
              <w:t xml:space="preserve"> </w:t>
            </w:r>
            <w:r w:rsidR="00900184" w:rsidRPr="0032536A">
              <w:rPr>
                <w:rFonts w:ascii="Times New Roman" w:eastAsia="Times New Roman" w:hAnsi="Times New Roman" w:cs="Times New Roman"/>
                <w:color w:val="auto"/>
              </w:rPr>
              <w:t xml:space="preserve">Stahuljaka 1, Sesvete </w:t>
            </w:r>
          </w:p>
        </w:tc>
        <w:tc>
          <w:tcPr>
            <w:tcW w:w="1541" w:type="dxa"/>
          </w:tcPr>
          <w:p w14:paraId="513C04E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550</w:t>
            </w:r>
          </w:p>
        </w:tc>
        <w:tc>
          <w:tcPr>
            <w:tcW w:w="1483" w:type="dxa"/>
          </w:tcPr>
          <w:p w14:paraId="0695130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20077F6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2014.</w:t>
            </w:r>
          </w:p>
        </w:tc>
      </w:tr>
      <w:tr w:rsidR="00CE628C" w:rsidRPr="004750F4" w14:paraId="622E02E2" w14:textId="77777777" w:rsidTr="0025690A">
        <w:tblPrEx>
          <w:tblCellMar>
            <w:top w:w="5" w:type="dxa"/>
          </w:tblCellMar>
        </w:tblPrEx>
        <w:trPr>
          <w:cantSplit/>
        </w:trPr>
        <w:tc>
          <w:tcPr>
            <w:tcW w:w="685" w:type="dxa"/>
          </w:tcPr>
          <w:p w14:paraId="785F90A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29.</w:t>
            </w:r>
          </w:p>
        </w:tc>
        <w:tc>
          <w:tcPr>
            <w:tcW w:w="2054" w:type="dxa"/>
          </w:tcPr>
          <w:p w14:paraId="053CAB7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PRVA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EKONOMSKA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ŠKOLA </w:t>
            </w:r>
          </w:p>
        </w:tc>
        <w:tc>
          <w:tcPr>
            <w:tcW w:w="2054" w:type="dxa"/>
          </w:tcPr>
          <w:p w14:paraId="0389A2A9"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Medulićeva 33, Zagreb </w:t>
            </w:r>
          </w:p>
        </w:tc>
        <w:tc>
          <w:tcPr>
            <w:tcW w:w="1541" w:type="dxa"/>
          </w:tcPr>
          <w:p w14:paraId="5231DEF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500</w:t>
            </w:r>
          </w:p>
        </w:tc>
        <w:tc>
          <w:tcPr>
            <w:tcW w:w="1483" w:type="dxa"/>
          </w:tcPr>
          <w:p w14:paraId="5E44BFE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0E8367B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1892.</w:t>
            </w:r>
          </w:p>
        </w:tc>
      </w:tr>
      <w:tr w:rsidR="00CE628C" w:rsidRPr="004750F4" w14:paraId="04F08227" w14:textId="77777777" w:rsidTr="0025690A">
        <w:tblPrEx>
          <w:tblCellMar>
            <w:top w:w="5" w:type="dxa"/>
          </w:tblCellMar>
        </w:tblPrEx>
        <w:trPr>
          <w:cantSplit/>
        </w:trPr>
        <w:tc>
          <w:tcPr>
            <w:tcW w:w="685" w:type="dxa"/>
          </w:tcPr>
          <w:p w14:paraId="1A31958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30.</w:t>
            </w:r>
          </w:p>
        </w:tc>
        <w:tc>
          <w:tcPr>
            <w:tcW w:w="2054" w:type="dxa"/>
          </w:tcPr>
          <w:p w14:paraId="7B425ECA"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ŠKOLA ZA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CESTOVNI</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PROMET </w:t>
            </w:r>
          </w:p>
        </w:tc>
        <w:tc>
          <w:tcPr>
            <w:tcW w:w="2054" w:type="dxa"/>
          </w:tcPr>
          <w:p w14:paraId="3C3B6A29"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Trg J.</w:t>
            </w:r>
            <w:r w:rsidR="00D20688"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F. Kennedyja 8, 10000 Zagreb </w:t>
            </w:r>
          </w:p>
        </w:tc>
        <w:tc>
          <w:tcPr>
            <w:tcW w:w="1541" w:type="dxa"/>
          </w:tcPr>
          <w:p w14:paraId="4E648D9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850</w:t>
            </w:r>
          </w:p>
        </w:tc>
        <w:tc>
          <w:tcPr>
            <w:tcW w:w="1483" w:type="dxa"/>
          </w:tcPr>
          <w:p w14:paraId="0299E7B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655B91A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1957.</w:t>
            </w:r>
          </w:p>
        </w:tc>
      </w:tr>
      <w:tr w:rsidR="00CE628C" w:rsidRPr="004750F4" w14:paraId="2E10C86C" w14:textId="77777777" w:rsidTr="0025690A">
        <w:tblPrEx>
          <w:tblCellMar>
            <w:top w:w="5" w:type="dxa"/>
          </w:tblCellMar>
        </w:tblPrEx>
        <w:trPr>
          <w:cantSplit/>
        </w:trPr>
        <w:tc>
          <w:tcPr>
            <w:tcW w:w="685" w:type="dxa"/>
          </w:tcPr>
          <w:p w14:paraId="19BDD6A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31.</w:t>
            </w:r>
          </w:p>
        </w:tc>
        <w:tc>
          <w:tcPr>
            <w:tcW w:w="2054" w:type="dxa"/>
          </w:tcPr>
          <w:p w14:paraId="22E09F4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I. TEHNIČKA ŠKOLA TESLA </w:t>
            </w:r>
          </w:p>
        </w:tc>
        <w:tc>
          <w:tcPr>
            <w:tcW w:w="2054" w:type="dxa"/>
          </w:tcPr>
          <w:p w14:paraId="1E4A719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Klaićeva 7, Zagreb </w:t>
            </w:r>
          </w:p>
        </w:tc>
        <w:tc>
          <w:tcPr>
            <w:tcW w:w="1541" w:type="dxa"/>
          </w:tcPr>
          <w:p w14:paraId="28F51DD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1200/dijeli prostor s X.</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Gimnazijom</w:t>
            </w:r>
          </w:p>
        </w:tc>
        <w:tc>
          <w:tcPr>
            <w:tcW w:w="1483" w:type="dxa"/>
          </w:tcPr>
          <w:p w14:paraId="5E87062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7D046E8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1947.</w:t>
            </w:r>
          </w:p>
        </w:tc>
      </w:tr>
      <w:tr w:rsidR="00CE628C" w:rsidRPr="004750F4" w14:paraId="7361A94D" w14:textId="77777777" w:rsidTr="0025690A">
        <w:tblPrEx>
          <w:tblCellMar>
            <w:top w:w="5" w:type="dxa"/>
          </w:tblCellMar>
        </w:tblPrEx>
        <w:trPr>
          <w:cantSplit/>
        </w:trPr>
        <w:tc>
          <w:tcPr>
            <w:tcW w:w="685" w:type="dxa"/>
          </w:tcPr>
          <w:p w14:paraId="54E5A47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32.</w:t>
            </w:r>
          </w:p>
        </w:tc>
        <w:tc>
          <w:tcPr>
            <w:tcW w:w="2054" w:type="dxa"/>
          </w:tcPr>
          <w:p w14:paraId="08E40D4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TREĆA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EKONOMSKA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ŠKOLA </w:t>
            </w:r>
          </w:p>
        </w:tc>
        <w:tc>
          <w:tcPr>
            <w:tcW w:w="2054" w:type="dxa"/>
          </w:tcPr>
          <w:p w14:paraId="2FDF1E29"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Trg J. F. Kennedyja 5, Zagreb</w:t>
            </w:r>
            <w:r w:rsidR="00E40AC8" w:rsidRPr="0032536A">
              <w:rPr>
                <w:rFonts w:ascii="Times New Roman" w:eastAsia="Times New Roman" w:hAnsi="Times New Roman" w:cs="Times New Roman"/>
                <w:color w:val="auto"/>
              </w:rPr>
              <w:t xml:space="preserve"> </w:t>
            </w:r>
          </w:p>
        </w:tc>
        <w:tc>
          <w:tcPr>
            <w:tcW w:w="1541" w:type="dxa"/>
          </w:tcPr>
          <w:p w14:paraId="1D94E6E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550</w:t>
            </w:r>
          </w:p>
        </w:tc>
        <w:tc>
          <w:tcPr>
            <w:tcW w:w="1483" w:type="dxa"/>
          </w:tcPr>
          <w:p w14:paraId="746B2E3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4ED8EF5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1958.</w:t>
            </w:r>
          </w:p>
        </w:tc>
      </w:tr>
      <w:tr w:rsidR="00CE628C" w:rsidRPr="004750F4" w14:paraId="1F3084C9" w14:textId="77777777" w:rsidTr="0025690A">
        <w:tblPrEx>
          <w:tblCellMar>
            <w:top w:w="5" w:type="dxa"/>
          </w:tblCellMar>
        </w:tblPrEx>
        <w:trPr>
          <w:cantSplit/>
        </w:trPr>
        <w:tc>
          <w:tcPr>
            <w:tcW w:w="685" w:type="dxa"/>
          </w:tcPr>
          <w:p w14:paraId="04A8D5A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33.</w:t>
            </w:r>
          </w:p>
        </w:tc>
        <w:tc>
          <w:tcPr>
            <w:tcW w:w="2054" w:type="dxa"/>
          </w:tcPr>
          <w:p w14:paraId="5C182F45"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ŠKOLA ZA KLASIČNI BALET </w:t>
            </w:r>
          </w:p>
        </w:tc>
        <w:tc>
          <w:tcPr>
            <w:tcW w:w="2054" w:type="dxa"/>
          </w:tcPr>
          <w:p w14:paraId="26DA433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Ilirski trg 9, Zagreb </w:t>
            </w:r>
          </w:p>
        </w:tc>
        <w:tc>
          <w:tcPr>
            <w:tcW w:w="1541" w:type="dxa"/>
          </w:tcPr>
          <w:p w14:paraId="1E520E1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w:t>
            </w:r>
          </w:p>
        </w:tc>
        <w:tc>
          <w:tcPr>
            <w:tcW w:w="1483" w:type="dxa"/>
          </w:tcPr>
          <w:p w14:paraId="4CF46D0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5806FD4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1985.</w:t>
            </w:r>
          </w:p>
        </w:tc>
      </w:tr>
      <w:tr w:rsidR="00CE628C" w:rsidRPr="004750F4" w14:paraId="0F584008" w14:textId="77777777" w:rsidTr="0025690A">
        <w:tblPrEx>
          <w:tblCellMar>
            <w:top w:w="5" w:type="dxa"/>
          </w:tblCellMar>
        </w:tblPrEx>
        <w:trPr>
          <w:cantSplit/>
        </w:trPr>
        <w:tc>
          <w:tcPr>
            <w:tcW w:w="685" w:type="dxa"/>
          </w:tcPr>
          <w:p w14:paraId="2362D8A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34.</w:t>
            </w:r>
          </w:p>
        </w:tc>
        <w:tc>
          <w:tcPr>
            <w:tcW w:w="2054" w:type="dxa"/>
          </w:tcPr>
          <w:p w14:paraId="221D6884"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DRVODJELJSKA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ŠKOLA </w:t>
            </w:r>
          </w:p>
        </w:tc>
        <w:tc>
          <w:tcPr>
            <w:tcW w:w="2054" w:type="dxa"/>
          </w:tcPr>
          <w:p w14:paraId="5D3F4321"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Savska cesta 86, Zagreb </w:t>
            </w:r>
          </w:p>
        </w:tc>
        <w:tc>
          <w:tcPr>
            <w:tcW w:w="1541" w:type="dxa"/>
          </w:tcPr>
          <w:p w14:paraId="5EFF252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460</w:t>
            </w:r>
          </w:p>
        </w:tc>
        <w:tc>
          <w:tcPr>
            <w:tcW w:w="1483" w:type="dxa"/>
          </w:tcPr>
          <w:p w14:paraId="7D410CA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43903BF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1955.</w:t>
            </w:r>
          </w:p>
        </w:tc>
      </w:tr>
      <w:tr w:rsidR="00CE628C" w:rsidRPr="004750F4" w14:paraId="7A6F96FA" w14:textId="77777777" w:rsidTr="0025690A">
        <w:tblPrEx>
          <w:tblCellMar>
            <w:top w:w="5" w:type="dxa"/>
          </w:tblCellMar>
        </w:tblPrEx>
        <w:trPr>
          <w:cantSplit/>
        </w:trPr>
        <w:tc>
          <w:tcPr>
            <w:tcW w:w="685" w:type="dxa"/>
          </w:tcPr>
          <w:p w14:paraId="479D1E3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35.</w:t>
            </w:r>
          </w:p>
        </w:tc>
        <w:tc>
          <w:tcPr>
            <w:tcW w:w="2054" w:type="dxa"/>
          </w:tcPr>
          <w:p w14:paraId="719CFD5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PREHRAMBENO</w:t>
            </w:r>
            <w:r w:rsidR="00D20688" w:rsidRPr="0032536A">
              <w:rPr>
                <w:rFonts w:ascii="Times New Roman" w:eastAsia="Times New Roman" w:hAnsi="Times New Roman" w:cs="Times New Roman"/>
                <w:color w:val="auto"/>
              </w:rPr>
              <w:t>-</w:t>
            </w:r>
            <w:r w:rsidRPr="0032536A">
              <w:rPr>
                <w:rFonts w:ascii="Times New Roman" w:eastAsia="Times New Roman" w:hAnsi="Times New Roman" w:cs="Times New Roman"/>
                <w:color w:val="auto"/>
              </w:rPr>
              <w:t xml:space="preserve">TEHNOLOŠKA ŠKOLA </w:t>
            </w:r>
          </w:p>
        </w:tc>
        <w:tc>
          <w:tcPr>
            <w:tcW w:w="2054" w:type="dxa"/>
          </w:tcPr>
          <w:p w14:paraId="2EB0F3BD"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eastAsia="Times New Roman" w:hAnsi="Times New Roman" w:cs="Times New Roman"/>
                <w:color w:val="auto"/>
              </w:rPr>
              <w:t xml:space="preserve">Gjure Prejca 2 </w:t>
            </w:r>
          </w:p>
        </w:tc>
        <w:tc>
          <w:tcPr>
            <w:tcW w:w="1541" w:type="dxa"/>
          </w:tcPr>
          <w:p w14:paraId="5583656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490</w:t>
            </w:r>
          </w:p>
        </w:tc>
        <w:tc>
          <w:tcPr>
            <w:tcW w:w="1483" w:type="dxa"/>
          </w:tcPr>
          <w:p w14:paraId="2CD65F7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3719F8E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1984.</w:t>
            </w:r>
          </w:p>
        </w:tc>
      </w:tr>
      <w:tr w:rsidR="00CE628C" w:rsidRPr="004750F4" w14:paraId="372A59DA" w14:textId="77777777" w:rsidTr="0025690A">
        <w:tblPrEx>
          <w:tblCellMar>
            <w:top w:w="5" w:type="dxa"/>
          </w:tblCellMar>
        </w:tblPrEx>
        <w:trPr>
          <w:cantSplit/>
        </w:trPr>
        <w:tc>
          <w:tcPr>
            <w:tcW w:w="685" w:type="dxa"/>
          </w:tcPr>
          <w:p w14:paraId="25FFF0D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36.</w:t>
            </w:r>
          </w:p>
        </w:tc>
        <w:tc>
          <w:tcPr>
            <w:tcW w:w="2054" w:type="dxa"/>
          </w:tcPr>
          <w:p w14:paraId="66C6C02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XVI. GIMNAZIJA </w:t>
            </w:r>
          </w:p>
        </w:tc>
        <w:tc>
          <w:tcPr>
            <w:tcW w:w="2054" w:type="dxa"/>
          </w:tcPr>
          <w:p w14:paraId="71C71293"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Križanićeva 4a </w:t>
            </w:r>
          </w:p>
        </w:tc>
        <w:tc>
          <w:tcPr>
            <w:tcW w:w="1541" w:type="dxa"/>
          </w:tcPr>
          <w:p w14:paraId="7D20934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850</w:t>
            </w:r>
          </w:p>
        </w:tc>
        <w:tc>
          <w:tcPr>
            <w:tcW w:w="1483" w:type="dxa"/>
          </w:tcPr>
          <w:p w14:paraId="65BDF63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439B481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1932.</w:t>
            </w:r>
          </w:p>
        </w:tc>
      </w:tr>
      <w:tr w:rsidR="00CE628C" w:rsidRPr="004750F4" w14:paraId="02214290" w14:textId="77777777" w:rsidTr="0025690A">
        <w:tblPrEx>
          <w:tblCellMar>
            <w:top w:w="5" w:type="dxa"/>
          </w:tblCellMar>
        </w:tblPrEx>
        <w:trPr>
          <w:cantSplit/>
        </w:trPr>
        <w:tc>
          <w:tcPr>
            <w:tcW w:w="685" w:type="dxa"/>
          </w:tcPr>
          <w:p w14:paraId="6EC5C77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37.</w:t>
            </w:r>
          </w:p>
        </w:tc>
        <w:tc>
          <w:tcPr>
            <w:tcW w:w="2054" w:type="dxa"/>
          </w:tcPr>
          <w:p w14:paraId="34817D04"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POLJOPRIVREDNA ŠKOLA </w:t>
            </w:r>
          </w:p>
        </w:tc>
        <w:tc>
          <w:tcPr>
            <w:tcW w:w="2054" w:type="dxa"/>
          </w:tcPr>
          <w:p w14:paraId="66A5CE34"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eastAsia="Times New Roman" w:hAnsi="Times New Roman" w:cs="Times New Roman"/>
                <w:color w:val="auto"/>
              </w:rPr>
              <w:t xml:space="preserve">Gjure Prejca 2, Zagreb </w:t>
            </w:r>
          </w:p>
        </w:tc>
        <w:tc>
          <w:tcPr>
            <w:tcW w:w="1541" w:type="dxa"/>
          </w:tcPr>
          <w:p w14:paraId="01E4933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600</w:t>
            </w:r>
          </w:p>
        </w:tc>
        <w:tc>
          <w:tcPr>
            <w:tcW w:w="1483" w:type="dxa"/>
          </w:tcPr>
          <w:p w14:paraId="38F11F5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154B3AF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1984.</w:t>
            </w:r>
          </w:p>
        </w:tc>
      </w:tr>
      <w:tr w:rsidR="00CE628C" w:rsidRPr="004750F4" w14:paraId="076CE31D" w14:textId="77777777" w:rsidTr="0025690A">
        <w:tblPrEx>
          <w:tblCellMar>
            <w:top w:w="5" w:type="dxa"/>
          </w:tblCellMar>
        </w:tblPrEx>
        <w:trPr>
          <w:cantSplit/>
        </w:trPr>
        <w:tc>
          <w:tcPr>
            <w:tcW w:w="685" w:type="dxa"/>
          </w:tcPr>
          <w:p w14:paraId="5103505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38.</w:t>
            </w:r>
          </w:p>
        </w:tc>
        <w:tc>
          <w:tcPr>
            <w:tcW w:w="2054" w:type="dxa"/>
          </w:tcPr>
          <w:p w14:paraId="072D5AF9"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GLAZBENA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ŠKOLA BLAGOJA BERSE </w:t>
            </w:r>
          </w:p>
        </w:tc>
        <w:tc>
          <w:tcPr>
            <w:tcW w:w="2054" w:type="dxa"/>
          </w:tcPr>
          <w:p w14:paraId="7207AC44"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Britanski trg 5, Zagreb </w:t>
            </w:r>
          </w:p>
        </w:tc>
        <w:tc>
          <w:tcPr>
            <w:tcW w:w="1541" w:type="dxa"/>
          </w:tcPr>
          <w:p w14:paraId="2B68942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500</w:t>
            </w:r>
          </w:p>
        </w:tc>
        <w:tc>
          <w:tcPr>
            <w:tcW w:w="1483" w:type="dxa"/>
          </w:tcPr>
          <w:p w14:paraId="66097CB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1501F6F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1991.</w:t>
            </w:r>
          </w:p>
        </w:tc>
      </w:tr>
      <w:tr w:rsidR="00CE628C" w:rsidRPr="004750F4" w14:paraId="2ABE55D0" w14:textId="77777777" w:rsidTr="0025690A">
        <w:tblPrEx>
          <w:tblCellMar>
            <w:top w:w="5" w:type="dxa"/>
          </w:tblCellMar>
        </w:tblPrEx>
        <w:trPr>
          <w:cantSplit/>
        </w:trPr>
        <w:tc>
          <w:tcPr>
            <w:tcW w:w="685" w:type="dxa"/>
          </w:tcPr>
          <w:p w14:paraId="7751808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39.</w:t>
            </w:r>
          </w:p>
        </w:tc>
        <w:tc>
          <w:tcPr>
            <w:tcW w:w="2054" w:type="dxa"/>
          </w:tcPr>
          <w:p w14:paraId="0CBD0008"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GIMNAZIJA SESVETE </w:t>
            </w:r>
          </w:p>
        </w:tc>
        <w:tc>
          <w:tcPr>
            <w:tcW w:w="2054" w:type="dxa"/>
          </w:tcPr>
          <w:p w14:paraId="49B6FAE9"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Bistrički 7, Sesvete </w:t>
            </w:r>
          </w:p>
        </w:tc>
        <w:tc>
          <w:tcPr>
            <w:tcW w:w="1541" w:type="dxa"/>
          </w:tcPr>
          <w:p w14:paraId="0BC4ABD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650</w:t>
            </w:r>
          </w:p>
        </w:tc>
        <w:tc>
          <w:tcPr>
            <w:tcW w:w="1483" w:type="dxa"/>
          </w:tcPr>
          <w:p w14:paraId="13011FD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2D30231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1999.</w:t>
            </w:r>
          </w:p>
        </w:tc>
      </w:tr>
      <w:tr w:rsidR="00CE628C" w:rsidRPr="004750F4" w14:paraId="737F6ED9" w14:textId="77777777" w:rsidTr="0025690A">
        <w:tblPrEx>
          <w:tblCellMar>
            <w:top w:w="5" w:type="dxa"/>
          </w:tblCellMar>
        </w:tblPrEx>
        <w:trPr>
          <w:cantSplit/>
        </w:trPr>
        <w:tc>
          <w:tcPr>
            <w:tcW w:w="685" w:type="dxa"/>
          </w:tcPr>
          <w:p w14:paraId="62EED21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40.</w:t>
            </w:r>
          </w:p>
        </w:tc>
        <w:tc>
          <w:tcPr>
            <w:tcW w:w="2054" w:type="dxa"/>
          </w:tcPr>
          <w:p w14:paraId="7EFED22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XII. GIMNAZIJA </w:t>
            </w:r>
          </w:p>
        </w:tc>
        <w:tc>
          <w:tcPr>
            <w:tcW w:w="2054" w:type="dxa"/>
          </w:tcPr>
          <w:p w14:paraId="10D06661"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Gjure Prejca 2, 10040 Zagreb </w:t>
            </w:r>
          </w:p>
        </w:tc>
        <w:tc>
          <w:tcPr>
            <w:tcW w:w="1541" w:type="dxa"/>
          </w:tcPr>
          <w:p w14:paraId="25F44CD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550</w:t>
            </w:r>
          </w:p>
        </w:tc>
        <w:tc>
          <w:tcPr>
            <w:tcW w:w="1483" w:type="dxa"/>
          </w:tcPr>
          <w:p w14:paraId="28339C8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5F08E67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1984.</w:t>
            </w:r>
          </w:p>
        </w:tc>
      </w:tr>
      <w:tr w:rsidR="00CE628C" w:rsidRPr="004750F4" w14:paraId="739B4F1F" w14:textId="77777777" w:rsidTr="0025690A">
        <w:tblPrEx>
          <w:tblCellMar>
            <w:top w:w="5" w:type="dxa"/>
          </w:tblCellMar>
        </w:tblPrEx>
        <w:trPr>
          <w:cantSplit/>
        </w:trPr>
        <w:tc>
          <w:tcPr>
            <w:tcW w:w="685" w:type="dxa"/>
          </w:tcPr>
          <w:p w14:paraId="7ACC7D6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41.</w:t>
            </w:r>
          </w:p>
        </w:tc>
        <w:tc>
          <w:tcPr>
            <w:tcW w:w="2054" w:type="dxa"/>
          </w:tcPr>
          <w:p w14:paraId="11F4D5E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ŠKOLA ZA PRIMALJE </w:t>
            </w:r>
          </w:p>
        </w:tc>
        <w:tc>
          <w:tcPr>
            <w:tcW w:w="2054" w:type="dxa"/>
          </w:tcPr>
          <w:p w14:paraId="78BDE86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Vinogradska cesta 29, Zagreb </w:t>
            </w:r>
          </w:p>
        </w:tc>
        <w:tc>
          <w:tcPr>
            <w:tcW w:w="1541" w:type="dxa"/>
          </w:tcPr>
          <w:p w14:paraId="2888FB0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400</w:t>
            </w:r>
          </w:p>
        </w:tc>
        <w:tc>
          <w:tcPr>
            <w:tcW w:w="1483" w:type="dxa"/>
          </w:tcPr>
          <w:p w14:paraId="2A13061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36DDBCA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1972.</w:t>
            </w:r>
          </w:p>
        </w:tc>
      </w:tr>
      <w:tr w:rsidR="00CE628C" w:rsidRPr="004750F4" w14:paraId="4849A4F3" w14:textId="77777777" w:rsidTr="0025690A">
        <w:tblPrEx>
          <w:tblCellMar>
            <w:top w:w="5" w:type="dxa"/>
          </w:tblCellMar>
        </w:tblPrEx>
        <w:trPr>
          <w:cantSplit/>
        </w:trPr>
        <w:tc>
          <w:tcPr>
            <w:tcW w:w="685" w:type="dxa"/>
          </w:tcPr>
          <w:p w14:paraId="28374D2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42.</w:t>
            </w:r>
          </w:p>
        </w:tc>
        <w:tc>
          <w:tcPr>
            <w:tcW w:w="2054" w:type="dxa"/>
          </w:tcPr>
          <w:p w14:paraId="6C97926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UGOSTITELJSKO</w:t>
            </w:r>
            <w:r w:rsidR="00D20688" w:rsidRPr="0032536A">
              <w:rPr>
                <w:rFonts w:ascii="Times New Roman" w:eastAsia="Times New Roman" w:hAnsi="Times New Roman" w:cs="Times New Roman"/>
                <w:color w:val="auto"/>
              </w:rPr>
              <w:t>-</w:t>
            </w:r>
            <w:r w:rsidRPr="0032536A">
              <w:rPr>
                <w:rFonts w:ascii="Times New Roman" w:eastAsia="Times New Roman" w:hAnsi="Times New Roman" w:cs="Times New Roman"/>
                <w:color w:val="auto"/>
              </w:rPr>
              <w:t xml:space="preserve">TURISTIČKO UČILIŠTE </w:t>
            </w:r>
          </w:p>
        </w:tc>
        <w:tc>
          <w:tcPr>
            <w:tcW w:w="2054" w:type="dxa"/>
          </w:tcPr>
          <w:p w14:paraId="0DD967D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Kombolova 2a </w:t>
            </w:r>
          </w:p>
        </w:tc>
        <w:tc>
          <w:tcPr>
            <w:tcW w:w="1541" w:type="dxa"/>
          </w:tcPr>
          <w:p w14:paraId="68709F7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1000</w:t>
            </w:r>
          </w:p>
        </w:tc>
        <w:tc>
          <w:tcPr>
            <w:tcW w:w="1483" w:type="dxa"/>
          </w:tcPr>
          <w:p w14:paraId="43A21FE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2000</w:t>
            </w:r>
          </w:p>
        </w:tc>
        <w:tc>
          <w:tcPr>
            <w:tcW w:w="1255" w:type="dxa"/>
          </w:tcPr>
          <w:p w14:paraId="3DAD9C1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1997.</w:t>
            </w:r>
          </w:p>
        </w:tc>
      </w:tr>
      <w:tr w:rsidR="00CE628C" w:rsidRPr="004750F4" w14:paraId="759461CF" w14:textId="77777777" w:rsidTr="0025690A">
        <w:tblPrEx>
          <w:tblCellMar>
            <w:top w:w="5" w:type="dxa"/>
          </w:tblCellMar>
        </w:tblPrEx>
        <w:trPr>
          <w:cantSplit/>
        </w:trPr>
        <w:tc>
          <w:tcPr>
            <w:tcW w:w="685" w:type="dxa"/>
          </w:tcPr>
          <w:p w14:paraId="4C49D78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43.</w:t>
            </w:r>
          </w:p>
        </w:tc>
        <w:tc>
          <w:tcPr>
            <w:tcW w:w="2054" w:type="dxa"/>
          </w:tcPr>
          <w:p w14:paraId="47DDC99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OBRTNIČKA ŠKOLA ZA OSOBNE</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USLUGE </w:t>
            </w:r>
          </w:p>
        </w:tc>
        <w:tc>
          <w:tcPr>
            <w:tcW w:w="2054" w:type="dxa"/>
          </w:tcPr>
          <w:p w14:paraId="228C134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Savska 23, Zagreb </w:t>
            </w:r>
          </w:p>
        </w:tc>
        <w:tc>
          <w:tcPr>
            <w:tcW w:w="1541" w:type="dxa"/>
          </w:tcPr>
          <w:p w14:paraId="72CD629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400</w:t>
            </w:r>
          </w:p>
        </w:tc>
        <w:tc>
          <w:tcPr>
            <w:tcW w:w="1483" w:type="dxa"/>
          </w:tcPr>
          <w:p w14:paraId="4C4B163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77A0F99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1924.</w:t>
            </w:r>
          </w:p>
        </w:tc>
      </w:tr>
      <w:tr w:rsidR="00CE628C" w:rsidRPr="004750F4" w14:paraId="4DDC4A1C" w14:textId="77777777" w:rsidTr="0025690A">
        <w:tblPrEx>
          <w:tblCellMar>
            <w:top w:w="5" w:type="dxa"/>
          </w:tblCellMar>
        </w:tblPrEx>
        <w:trPr>
          <w:cantSplit/>
        </w:trPr>
        <w:tc>
          <w:tcPr>
            <w:tcW w:w="685" w:type="dxa"/>
          </w:tcPr>
          <w:p w14:paraId="58792C8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44.</w:t>
            </w:r>
          </w:p>
        </w:tc>
        <w:tc>
          <w:tcPr>
            <w:tcW w:w="2054" w:type="dxa"/>
          </w:tcPr>
          <w:p w14:paraId="3BADE0E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STROJARSKA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TEHNIČKA ŠKOLA FAUSTA VRANČIĆA </w:t>
            </w:r>
          </w:p>
        </w:tc>
        <w:tc>
          <w:tcPr>
            <w:tcW w:w="2054" w:type="dxa"/>
          </w:tcPr>
          <w:p w14:paraId="189AD28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Avenija Marina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Držića 14 </w:t>
            </w:r>
          </w:p>
        </w:tc>
        <w:tc>
          <w:tcPr>
            <w:tcW w:w="1541" w:type="dxa"/>
          </w:tcPr>
          <w:p w14:paraId="068BEE4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750</w:t>
            </w:r>
          </w:p>
        </w:tc>
        <w:tc>
          <w:tcPr>
            <w:tcW w:w="1483" w:type="dxa"/>
          </w:tcPr>
          <w:p w14:paraId="41419E3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0D60990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1960.</w:t>
            </w:r>
          </w:p>
        </w:tc>
      </w:tr>
      <w:tr w:rsidR="00CE628C" w:rsidRPr="004750F4" w14:paraId="5441817D" w14:textId="77777777" w:rsidTr="0025690A">
        <w:tblPrEx>
          <w:tblCellMar>
            <w:top w:w="5" w:type="dxa"/>
          </w:tblCellMar>
        </w:tblPrEx>
        <w:trPr>
          <w:cantSplit/>
        </w:trPr>
        <w:tc>
          <w:tcPr>
            <w:tcW w:w="685" w:type="dxa"/>
          </w:tcPr>
          <w:p w14:paraId="1713EB7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lastRenderedPageBreak/>
              <w:t>45.</w:t>
            </w:r>
          </w:p>
        </w:tc>
        <w:tc>
          <w:tcPr>
            <w:tcW w:w="2054" w:type="dxa"/>
          </w:tcPr>
          <w:p w14:paraId="723CFF28"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UPRAVNA ŠKOLA ZAGREB </w:t>
            </w:r>
          </w:p>
        </w:tc>
        <w:tc>
          <w:tcPr>
            <w:tcW w:w="2054" w:type="dxa"/>
          </w:tcPr>
          <w:p w14:paraId="291593F3"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Prilaz baruna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Filipovića 30, Zagreb </w:t>
            </w:r>
          </w:p>
        </w:tc>
        <w:tc>
          <w:tcPr>
            <w:tcW w:w="1541" w:type="dxa"/>
          </w:tcPr>
          <w:p w14:paraId="3BD992D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450</w:t>
            </w:r>
          </w:p>
        </w:tc>
        <w:tc>
          <w:tcPr>
            <w:tcW w:w="1483" w:type="dxa"/>
          </w:tcPr>
          <w:p w14:paraId="24E3197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375508D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1962.</w:t>
            </w:r>
          </w:p>
        </w:tc>
      </w:tr>
      <w:tr w:rsidR="00CE628C" w:rsidRPr="004750F4" w14:paraId="026CFCE5" w14:textId="77777777" w:rsidTr="0025690A">
        <w:tblPrEx>
          <w:tblCellMar>
            <w:top w:w="5" w:type="dxa"/>
          </w:tblCellMar>
        </w:tblPrEx>
        <w:trPr>
          <w:cantSplit/>
        </w:trPr>
        <w:tc>
          <w:tcPr>
            <w:tcW w:w="685" w:type="dxa"/>
          </w:tcPr>
          <w:p w14:paraId="701180A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46.</w:t>
            </w:r>
          </w:p>
        </w:tc>
        <w:tc>
          <w:tcPr>
            <w:tcW w:w="2054" w:type="dxa"/>
          </w:tcPr>
          <w:p w14:paraId="6A80BA17"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ISLAMSKA GIMNAZIJA DR. AHMEDA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SMAJLOVIĆA </w:t>
            </w:r>
          </w:p>
        </w:tc>
        <w:tc>
          <w:tcPr>
            <w:tcW w:w="2054" w:type="dxa"/>
          </w:tcPr>
          <w:p w14:paraId="676FEC47"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Prilaz Safvet</w:t>
            </w:r>
            <w:r w:rsidR="00EE6A22" w:rsidRPr="0032536A">
              <w:rPr>
                <w:rFonts w:ascii="Times New Roman" w:eastAsia="Times New Roman" w:hAnsi="Times New Roman" w:cs="Times New Roman"/>
                <w:color w:val="auto"/>
              </w:rPr>
              <w:t>-</w:t>
            </w:r>
            <w:r w:rsidRPr="0032536A">
              <w:rPr>
                <w:rFonts w:ascii="Times New Roman" w:eastAsia="Times New Roman" w:hAnsi="Times New Roman" w:cs="Times New Roman"/>
                <w:color w:val="auto"/>
              </w:rPr>
              <w:t xml:space="preserve">bega Bašagića 1, Zagreb </w:t>
            </w:r>
          </w:p>
        </w:tc>
        <w:tc>
          <w:tcPr>
            <w:tcW w:w="1541" w:type="dxa"/>
          </w:tcPr>
          <w:p w14:paraId="4BC85D8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w:t>
            </w:r>
          </w:p>
        </w:tc>
        <w:tc>
          <w:tcPr>
            <w:tcW w:w="1483" w:type="dxa"/>
          </w:tcPr>
          <w:p w14:paraId="60B8AF9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200</w:t>
            </w:r>
          </w:p>
        </w:tc>
        <w:tc>
          <w:tcPr>
            <w:tcW w:w="1255" w:type="dxa"/>
          </w:tcPr>
          <w:p w14:paraId="283488B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1987.</w:t>
            </w:r>
          </w:p>
        </w:tc>
      </w:tr>
      <w:tr w:rsidR="00CE628C" w:rsidRPr="004750F4" w14:paraId="529D8482" w14:textId="77777777" w:rsidTr="0025690A">
        <w:tblPrEx>
          <w:tblCellMar>
            <w:top w:w="5" w:type="dxa"/>
          </w:tblCellMar>
        </w:tblPrEx>
        <w:trPr>
          <w:cantSplit/>
        </w:trPr>
        <w:tc>
          <w:tcPr>
            <w:tcW w:w="685" w:type="dxa"/>
          </w:tcPr>
          <w:p w14:paraId="2A2E83B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47.</w:t>
            </w:r>
          </w:p>
        </w:tc>
        <w:tc>
          <w:tcPr>
            <w:tcW w:w="2054" w:type="dxa"/>
          </w:tcPr>
          <w:p w14:paraId="557F782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III. GIMNAZIJA </w:t>
            </w:r>
          </w:p>
        </w:tc>
        <w:tc>
          <w:tcPr>
            <w:tcW w:w="2054" w:type="dxa"/>
          </w:tcPr>
          <w:p w14:paraId="1631EA0F"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Kušlanova 52 </w:t>
            </w:r>
          </w:p>
        </w:tc>
        <w:tc>
          <w:tcPr>
            <w:tcW w:w="1541" w:type="dxa"/>
          </w:tcPr>
          <w:p w14:paraId="13ECEC2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700</w:t>
            </w:r>
          </w:p>
        </w:tc>
        <w:tc>
          <w:tcPr>
            <w:tcW w:w="1483" w:type="dxa"/>
          </w:tcPr>
          <w:p w14:paraId="032CA8E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63586EB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1937.</w:t>
            </w:r>
          </w:p>
        </w:tc>
      </w:tr>
      <w:tr w:rsidR="00CE628C" w:rsidRPr="004750F4" w14:paraId="7C7378BD" w14:textId="77777777" w:rsidTr="0025690A">
        <w:tblPrEx>
          <w:tblCellMar>
            <w:top w:w="5" w:type="dxa"/>
          </w:tblCellMar>
        </w:tblPrEx>
        <w:trPr>
          <w:cantSplit/>
        </w:trPr>
        <w:tc>
          <w:tcPr>
            <w:tcW w:w="685" w:type="dxa"/>
          </w:tcPr>
          <w:p w14:paraId="7FF1480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48.</w:t>
            </w:r>
          </w:p>
        </w:tc>
        <w:tc>
          <w:tcPr>
            <w:tcW w:w="2054" w:type="dxa"/>
          </w:tcPr>
          <w:p w14:paraId="6664A4A8"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V. GIMNAZIJA </w:t>
            </w:r>
          </w:p>
        </w:tc>
        <w:tc>
          <w:tcPr>
            <w:tcW w:w="2054" w:type="dxa"/>
          </w:tcPr>
          <w:p w14:paraId="3E0DADC1"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Klaićeva 1, Zagreb </w:t>
            </w:r>
          </w:p>
        </w:tc>
        <w:tc>
          <w:tcPr>
            <w:tcW w:w="1541" w:type="dxa"/>
          </w:tcPr>
          <w:p w14:paraId="2DCF8E1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800</w:t>
            </w:r>
          </w:p>
        </w:tc>
        <w:tc>
          <w:tcPr>
            <w:tcW w:w="1483" w:type="dxa"/>
          </w:tcPr>
          <w:p w14:paraId="0E8B056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065B6D0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1938.</w:t>
            </w:r>
          </w:p>
        </w:tc>
      </w:tr>
      <w:tr w:rsidR="00CE628C" w:rsidRPr="004750F4" w14:paraId="2AD93BB7" w14:textId="77777777" w:rsidTr="0025690A">
        <w:tblPrEx>
          <w:tblCellMar>
            <w:top w:w="5" w:type="dxa"/>
          </w:tblCellMar>
        </w:tblPrEx>
        <w:trPr>
          <w:cantSplit/>
        </w:trPr>
        <w:tc>
          <w:tcPr>
            <w:tcW w:w="685" w:type="dxa"/>
          </w:tcPr>
          <w:p w14:paraId="74EBF5E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49.</w:t>
            </w:r>
          </w:p>
        </w:tc>
        <w:tc>
          <w:tcPr>
            <w:tcW w:w="2054" w:type="dxa"/>
          </w:tcPr>
          <w:p w14:paraId="1B447F19"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SREDNJA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ŠKOLA</w:t>
            </w:r>
            <w:r w:rsidR="00D20688" w:rsidRPr="0032536A">
              <w:rPr>
                <w:rFonts w:ascii="Times New Roman" w:eastAsia="Times New Roman" w:hAnsi="Times New Roman" w:cs="Times New Roman"/>
                <w:color w:val="auto"/>
              </w:rPr>
              <w:t xml:space="preserve"> </w:t>
            </w:r>
            <w:r w:rsidR="00EE6A22" w:rsidRPr="0032536A">
              <w:rPr>
                <w:rFonts w:ascii="Times New Roman" w:eastAsia="Times New Roman" w:hAnsi="Times New Roman" w:cs="Times New Roman"/>
                <w:color w:val="auto"/>
              </w:rPr>
              <w:t>-</w:t>
            </w:r>
            <w:r w:rsidR="00D20688"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CENTAR ZA ODGOJ I</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OBRAZOVANJE </w:t>
            </w:r>
          </w:p>
        </w:tc>
        <w:tc>
          <w:tcPr>
            <w:tcW w:w="2054" w:type="dxa"/>
          </w:tcPr>
          <w:p w14:paraId="2DCCAB23"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Zagorska 14, Zagreb </w:t>
            </w:r>
          </w:p>
        </w:tc>
        <w:tc>
          <w:tcPr>
            <w:tcW w:w="1541" w:type="dxa"/>
          </w:tcPr>
          <w:p w14:paraId="1FCE3B6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300</w:t>
            </w:r>
          </w:p>
        </w:tc>
        <w:tc>
          <w:tcPr>
            <w:tcW w:w="1483" w:type="dxa"/>
          </w:tcPr>
          <w:p w14:paraId="45C8ADA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100</w:t>
            </w:r>
          </w:p>
        </w:tc>
        <w:tc>
          <w:tcPr>
            <w:tcW w:w="1255" w:type="dxa"/>
          </w:tcPr>
          <w:p w14:paraId="3EBB19C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1992.</w:t>
            </w:r>
          </w:p>
        </w:tc>
      </w:tr>
      <w:tr w:rsidR="00CE628C" w:rsidRPr="004750F4" w14:paraId="7E6BC0F6" w14:textId="77777777" w:rsidTr="0025690A">
        <w:tblPrEx>
          <w:tblCellMar>
            <w:top w:w="5" w:type="dxa"/>
          </w:tblCellMar>
        </w:tblPrEx>
        <w:trPr>
          <w:cantSplit/>
        </w:trPr>
        <w:tc>
          <w:tcPr>
            <w:tcW w:w="685" w:type="dxa"/>
          </w:tcPr>
          <w:p w14:paraId="6AD4B37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50.</w:t>
            </w:r>
          </w:p>
        </w:tc>
        <w:tc>
          <w:tcPr>
            <w:tcW w:w="2054" w:type="dxa"/>
          </w:tcPr>
          <w:p w14:paraId="7CF4FFB1"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I. GIMNAZIJA</w:t>
            </w:r>
            <w:r w:rsidR="00E40AC8" w:rsidRPr="0032536A">
              <w:rPr>
                <w:rFonts w:ascii="Times New Roman" w:eastAsia="Times New Roman" w:hAnsi="Times New Roman" w:cs="Times New Roman"/>
                <w:color w:val="auto"/>
              </w:rPr>
              <w:t xml:space="preserve"> </w:t>
            </w:r>
          </w:p>
        </w:tc>
        <w:tc>
          <w:tcPr>
            <w:tcW w:w="2054" w:type="dxa"/>
          </w:tcPr>
          <w:p w14:paraId="5E021D1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Avenija Dubrovnik 36, 10010 Zagreb </w:t>
            </w:r>
          </w:p>
        </w:tc>
        <w:tc>
          <w:tcPr>
            <w:tcW w:w="1541" w:type="dxa"/>
          </w:tcPr>
          <w:p w14:paraId="1221E11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150</w:t>
            </w:r>
          </w:p>
        </w:tc>
        <w:tc>
          <w:tcPr>
            <w:tcW w:w="1483" w:type="dxa"/>
          </w:tcPr>
          <w:p w14:paraId="38C4962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68C23B5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1993.</w:t>
            </w:r>
          </w:p>
        </w:tc>
      </w:tr>
      <w:tr w:rsidR="00CE628C" w:rsidRPr="004750F4" w14:paraId="042D2123" w14:textId="77777777" w:rsidTr="0025690A">
        <w:tblPrEx>
          <w:tblCellMar>
            <w:top w:w="5" w:type="dxa"/>
          </w:tblCellMar>
        </w:tblPrEx>
        <w:trPr>
          <w:cantSplit/>
        </w:trPr>
        <w:tc>
          <w:tcPr>
            <w:tcW w:w="685" w:type="dxa"/>
          </w:tcPr>
          <w:p w14:paraId="06D6925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51.</w:t>
            </w:r>
          </w:p>
        </w:tc>
        <w:tc>
          <w:tcPr>
            <w:tcW w:w="2054" w:type="dxa"/>
          </w:tcPr>
          <w:p w14:paraId="70B88F2F"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Gimnazija i ekonomska škola Benedikta Kotruljevića, s pravom javnosti </w:t>
            </w:r>
          </w:p>
        </w:tc>
        <w:tc>
          <w:tcPr>
            <w:tcW w:w="2054" w:type="dxa"/>
          </w:tcPr>
          <w:p w14:paraId="7359E2C6"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Sveti</w:t>
            </w:r>
            <w:r w:rsidR="00E40AC8"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Duh 129, Zagreb </w:t>
            </w:r>
          </w:p>
        </w:tc>
        <w:tc>
          <w:tcPr>
            <w:tcW w:w="1541" w:type="dxa"/>
          </w:tcPr>
          <w:p w14:paraId="5A5DCAE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320</w:t>
            </w:r>
          </w:p>
        </w:tc>
        <w:tc>
          <w:tcPr>
            <w:tcW w:w="1483" w:type="dxa"/>
          </w:tcPr>
          <w:p w14:paraId="5B3ECFD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13B7907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1935.</w:t>
            </w:r>
          </w:p>
        </w:tc>
      </w:tr>
      <w:tr w:rsidR="00CE628C" w:rsidRPr="004750F4" w14:paraId="530DE1A6" w14:textId="77777777" w:rsidTr="0025690A">
        <w:tblPrEx>
          <w:tblCellMar>
            <w:top w:w="5" w:type="dxa"/>
          </w:tblCellMar>
        </w:tblPrEx>
        <w:trPr>
          <w:cantSplit/>
        </w:trPr>
        <w:tc>
          <w:tcPr>
            <w:tcW w:w="685" w:type="dxa"/>
          </w:tcPr>
          <w:p w14:paraId="525CE64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52.</w:t>
            </w:r>
          </w:p>
        </w:tc>
        <w:tc>
          <w:tcPr>
            <w:tcW w:w="2054" w:type="dxa"/>
          </w:tcPr>
          <w:p w14:paraId="50FAEBDD"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IX. GIMNAZIJA </w:t>
            </w:r>
          </w:p>
        </w:tc>
        <w:tc>
          <w:tcPr>
            <w:tcW w:w="2054" w:type="dxa"/>
          </w:tcPr>
          <w:p w14:paraId="45374E5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Dobojska 12, Zagreb </w:t>
            </w:r>
          </w:p>
        </w:tc>
        <w:tc>
          <w:tcPr>
            <w:tcW w:w="1541" w:type="dxa"/>
          </w:tcPr>
          <w:p w14:paraId="75C5E76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560</w:t>
            </w:r>
          </w:p>
        </w:tc>
        <w:tc>
          <w:tcPr>
            <w:tcW w:w="1483" w:type="dxa"/>
          </w:tcPr>
          <w:p w14:paraId="444C2FC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39D2478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1955.</w:t>
            </w:r>
          </w:p>
        </w:tc>
      </w:tr>
      <w:tr w:rsidR="00CE628C" w:rsidRPr="004750F4" w14:paraId="660934A2" w14:textId="77777777" w:rsidTr="0025690A">
        <w:tblPrEx>
          <w:tblCellMar>
            <w:top w:w="5" w:type="dxa"/>
          </w:tblCellMar>
        </w:tblPrEx>
        <w:trPr>
          <w:cantSplit/>
        </w:trPr>
        <w:tc>
          <w:tcPr>
            <w:tcW w:w="685" w:type="dxa"/>
          </w:tcPr>
          <w:p w14:paraId="5696899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53.</w:t>
            </w:r>
          </w:p>
        </w:tc>
        <w:tc>
          <w:tcPr>
            <w:tcW w:w="2054" w:type="dxa"/>
          </w:tcPr>
          <w:p w14:paraId="6828B84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ŠKOLA ZA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MEDICINSKE SESTRE</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MLINARSKA </w:t>
            </w:r>
          </w:p>
        </w:tc>
        <w:tc>
          <w:tcPr>
            <w:tcW w:w="2054" w:type="dxa"/>
          </w:tcPr>
          <w:p w14:paraId="7D332B06"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Mlinarska 34, Zagreb </w:t>
            </w:r>
          </w:p>
        </w:tc>
        <w:tc>
          <w:tcPr>
            <w:tcW w:w="1541" w:type="dxa"/>
          </w:tcPr>
          <w:p w14:paraId="2F06893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104</w:t>
            </w:r>
          </w:p>
        </w:tc>
        <w:tc>
          <w:tcPr>
            <w:tcW w:w="1483" w:type="dxa"/>
          </w:tcPr>
          <w:p w14:paraId="28CA6BD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300</w:t>
            </w:r>
          </w:p>
        </w:tc>
        <w:tc>
          <w:tcPr>
            <w:tcW w:w="1255" w:type="dxa"/>
          </w:tcPr>
          <w:p w14:paraId="789778F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1972.</w:t>
            </w:r>
          </w:p>
        </w:tc>
      </w:tr>
      <w:tr w:rsidR="00CE628C" w:rsidRPr="004750F4" w14:paraId="05AFEE3C" w14:textId="77777777" w:rsidTr="0025690A">
        <w:tblPrEx>
          <w:tblCellMar>
            <w:top w:w="5" w:type="dxa"/>
          </w:tblCellMar>
        </w:tblPrEx>
        <w:trPr>
          <w:cantSplit/>
        </w:trPr>
        <w:tc>
          <w:tcPr>
            <w:tcW w:w="685" w:type="dxa"/>
          </w:tcPr>
          <w:p w14:paraId="0A352A0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54.</w:t>
            </w:r>
          </w:p>
        </w:tc>
        <w:tc>
          <w:tcPr>
            <w:tcW w:w="2054" w:type="dxa"/>
          </w:tcPr>
          <w:p w14:paraId="34994B9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III. GIMNAZIJA </w:t>
            </w:r>
          </w:p>
        </w:tc>
        <w:tc>
          <w:tcPr>
            <w:tcW w:w="2054" w:type="dxa"/>
          </w:tcPr>
          <w:p w14:paraId="77F4E665"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Kušlanova 52 </w:t>
            </w:r>
          </w:p>
        </w:tc>
        <w:tc>
          <w:tcPr>
            <w:tcW w:w="1541" w:type="dxa"/>
          </w:tcPr>
          <w:p w14:paraId="0937A00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720</w:t>
            </w:r>
          </w:p>
        </w:tc>
        <w:tc>
          <w:tcPr>
            <w:tcW w:w="1483" w:type="dxa"/>
          </w:tcPr>
          <w:p w14:paraId="3603501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3825300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1937.</w:t>
            </w:r>
          </w:p>
        </w:tc>
      </w:tr>
      <w:tr w:rsidR="00CE628C" w:rsidRPr="004750F4" w14:paraId="0FF29656" w14:textId="77777777" w:rsidTr="0025690A">
        <w:tblPrEx>
          <w:tblCellMar>
            <w:top w:w="5" w:type="dxa"/>
          </w:tblCellMar>
        </w:tblPrEx>
        <w:trPr>
          <w:cantSplit/>
        </w:trPr>
        <w:tc>
          <w:tcPr>
            <w:tcW w:w="685" w:type="dxa"/>
          </w:tcPr>
          <w:p w14:paraId="4953330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55.</w:t>
            </w:r>
          </w:p>
        </w:tc>
        <w:tc>
          <w:tcPr>
            <w:tcW w:w="2054" w:type="dxa"/>
          </w:tcPr>
          <w:p w14:paraId="17D9C5CD"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PRIRODOSLOVNA ŠKOLA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VLADIMIRA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PRELOGA </w:t>
            </w:r>
          </w:p>
        </w:tc>
        <w:tc>
          <w:tcPr>
            <w:tcW w:w="2054" w:type="dxa"/>
          </w:tcPr>
          <w:p w14:paraId="188601A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Ulica grada Vukovara 269 </w:t>
            </w:r>
          </w:p>
        </w:tc>
        <w:tc>
          <w:tcPr>
            <w:tcW w:w="1541" w:type="dxa"/>
          </w:tcPr>
          <w:p w14:paraId="67FADFC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1200</w:t>
            </w:r>
          </w:p>
        </w:tc>
        <w:tc>
          <w:tcPr>
            <w:tcW w:w="1483" w:type="dxa"/>
          </w:tcPr>
          <w:p w14:paraId="1E689DC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2E79C11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1964.</w:t>
            </w:r>
          </w:p>
        </w:tc>
      </w:tr>
      <w:tr w:rsidR="00CE628C" w:rsidRPr="004750F4" w14:paraId="2A4BFE76" w14:textId="77777777" w:rsidTr="0025690A">
        <w:tblPrEx>
          <w:tblCellMar>
            <w:top w:w="5" w:type="dxa"/>
          </w:tblCellMar>
        </w:tblPrEx>
        <w:trPr>
          <w:cantSplit/>
        </w:trPr>
        <w:tc>
          <w:tcPr>
            <w:tcW w:w="685" w:type="dxa"/>
          </w:tcPr>
          <w:p w14:paraId="687E0D1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56.</w:t>
            </w:r>
          </w:p>
        </w:tc>
        <w:tc>
          <w:tcPr>
            <w:tcW w:w="2054" w:type="dxa"/>
          </w:tcPr>
          <w:p w14:paraId="46C875B5"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GIMNAZIJA MARUL </w:t>
            </w:r>
          </w:p>
        </w:tc>
        <w:tc>
          <w:tcPr>
            <w:tcW w:w="2054" w:type="dxa"/>
          </w:tcPr>
          <w:p w14:paraId="1358787F"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Vodnikova 12, Zagreb </w:t>
            </w:r>
          </w:p>
        </w:tc>
        <w:tc>
          <w:tcPr>
            <w:tcW w:w="1541" w:type="dxa"/>
          </w:tcPr>
          <w:p w14:paraId="44136E8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300</w:t>
            </w:r>
          </w:p>
        </w:tc>
        <w:tc>
          <w:tcPr>
            <w:tcW w:w="1483" w:type="dxa"/>
          </w:tcPr>
          <w:p w14:paraId="3883714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259D9AE5" w14:textId="44781FC9" w:rsidR="003F7A56" w:rsidRPr="0032536A" w:rsidRDefault="003F7A56" w:rsidP="00CE628C">
            <w:pPr>
              <w:spacing w:after="0" w:line="240" w:lineRule="auto"/>
              <w:ind w:left="0" w:right="0" w:firstLine="0"/>
              <w:jc w:val="center"/>
              <w:rPr>
                <w:rFonts w:ascii="Times New Roman" w:hAnsi="Times New Roman" w:cs="Times New Roman"/>
                <w:color w:val="auto"/>
              </w:rPr>
            </w:pPr>
          </w:p>
        </w:tc>
      </w:tr>
      <w:tr w:rsidR="00CE628C" w:rsidRPr="004750F4" w14:paraId="7A286E6F" w14:textId="77777777" w:rsidTr="0025690A">
        <w:tblPrEx>
          <w:tblCellMar>
            <w:top w:w="5" w:type="dxa"/>
          </w:tblCellMar>
        </w:tblPrEx>
        <w:trPr>
          <w:cantSplit/>
        </w:trPr>
        <w:tc>
          <w:tcPr>
            <w:tcW w:w="685" w:type="dxa"/>
          </w:tcPr>
          <w:p w14:paraId="406DC25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57.</w:t>
            </w:r>
          </w:p>
        </w:tc>
        <w:tc>
          <w:tcPr>
            <w:tcW w:w="2054" w:type="dxa"/>
          </w:tcPr>
          <w:p w14:paraId="4DC57CC4"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PRIVATNA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GIMNAZIJA I</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UMJETNIČKA ŠKOLA </w:t>
            </w:r>
          </w:p>
        </w:tc>
        <w:tc>
          <w:tcPr>
            <w:tcW w:w="2054" w:type="dxa"/>
          </w:tcPr>
          <w:p w14:paraId="2C503A07"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Selska cesta 119 </w:t>
            </w:r>
          </w:p>
        </w:tc>
        <w:tc>
          <w:tcPr>
            <w:tcW w:w="1541" w:type="dxa"/>
          </w:tcPr>
          <w:p w14:paraId="1CCEFBA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175</w:t>
            </w:r>
          </w:p>
        </w:tc>
        <w:tc>
          <w:tcPr>
            <w:tcW w:w="1483" w:type="dxa"/>
          </w:tcPr>
          <w:p w14:paraId="4B9A139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70EE1F0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1948.</w:t>
            </w:r>
          </w:p>
        </w:tc>
      </w:tr>
      <w:tr w:rsidR="00CE628C" w:rsidRPr="004750F4" w14:paraId="13E36B5D" w14:textId="77777777" w:rsidTr="0025690A">
        <w:tblPrEx>
          <w:tblCellMar>
            <w:top w:w="5" w:type="dxa"/>
          </w:tblCellMar>
        </w:tblPrEx>
        <w:trPr>
          <w:cantSplit/>
        </w:trPr>
        <w:tc>
          <w:tcPr>
            <w:tcW w:w="685" w:type="dxa"/>
          </w:tcPr>
          <w:p w14:paraId="7C2188F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58.</w:t>
            </w:r>
          </w:p>
        </w:tc>
        <w:tc>
          <w:tcPr>
            <w:tcW w:w="2054" w:type="dxa"/>
          </w:tcPr>
          <w:p w14:paraId="2D8F5FB1"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GIMNAZIJA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TITUŠA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BREZOVAČKOG </w:t>
            </w:r>
          </w:p>
        </w:tc>
        <w:tc>
          <w:tcPr>
            <w:tcW w:w="2054" w:type="dxa"/>
          </w:tcPr>
          <w:p w14:paraId="7056D08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Habdelićeva 1, 10000 Zagreb </w:t>
            </w:r>
          </w:p>
        </w:tc>
        <w:tc>
          <w:tcPr>
            <w:tcW w:w="1541" w:type="dxa"/>
          </w:tcPr>
          <w:p w14:paraId="4D8BCDD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500</w:t>
            </w:r>
          </w:p>
        </w:tc>
        <w:tc>
          <w:tcPr>
            <w:tcW w:w="1483" w:type="dxa"/>
          </w:tcPr>
          <w:p w14:paraId="0763E36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1E17D8C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1631.</w:t>
            </w:r>
          </w:p>
        </w:tc>
      </w:tr>
      <w:tr w:rsidR="00CE628C" w:rsidRPr="004750F4" w14:paraId="58CDE5D2" w14:textId="77777777" w:rsidTr="0025690A">
        <w:tblPrEx>
          <w:tblCellMar>
            <w:top w:w="5" w:type="dxa"/>
            <w:bottom w:w="0" w:type="dxa"/>
          </w:tblCellMar>
        </w:tblPrEx>
        <w:trPr>
          <w:cantSplit/>
        </w:trPr>
        <w:tc>
          <w:tcPr>
            <w:tcW w:w="685" w:type="dxa"/>
          </w:tcPr>
          <w:p w14:paraId="169A7CF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59.</w:t>
            </w:r>
          </w:p>
        </w:tc>
        <w:tc>
          <w:tcPr>
            <w:tcW w:w="2054" w:type="dxa"/>
          </w:tcPr>
          <w:p w14:paraId="3FB7FF3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XIII. GIMNAZIJA </w:t>
            </w:r>
          </w:p>
        </w:tc>
        <w:tc>
          <w:tcPr>
            <w:tcW w:w="2054" w:type="dxa"/>
          </w:tcPr>
          <w:p w14:paraId="10C5EC3F"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Avenija V. Holjevca</w:t>
            </w:r>
            <w:r w:rsidR="00E40AC8"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17 </w:t>
            </w:r>
          </w:p>
        </w:tc>
        <w:tc>
          <w:tcPr>
            <w:tcW w:w="1541" w:type="dxa"/>
          </w:tcPr>
          <w:p w14:paraId="1404E08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660</w:t>
            </w:r>
          </w:p>
        </w:tc>
        <w:tc>
          <w:tcPr>
            <w:tcW w:w="1483" w:type="dxa"/>
          </w:tcPr>
          <w:p w14:paraId="1A25E13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3A3D32A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1963.</w:t>
            </w:r>
          </w:p>
        </w:tc>
      </w:tr>
      <w:tr w:rsidR="00CE628C" w:rsidRPr="004750F4" w14:paraId="343A49FF" w14:textId="77777777" w:rsidTr="0025690A">
        <w:tblPrEx>
          <w:tblCellMar>
            <w:top w:w="5" w:type="dxa"/>
            <w:bottom w:w="0" w:type="dxa"/>
          </w:tblCellMar>
        </w:tblPrEx>
        <w:trPr>
          <w:cantSplit/>
        </w:trPr>
        <w:tc>
          <w:tcPr>
            <w:tcW w:w="685" w:type="dxa"/>
          </w:tcPr>
          <w:p w14:paraId="6DF6945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60.</w:t>
            </w:r>
          </w:p>
        </w:tc>
        <w:tc>
          <w:tcPr>
            <w:tcW w:w="2054" w:type="dxa"/>
          </w:tcPr>
          <w:p w14:paraId="27A67CE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HOTELIJERSKO</w:t>
            </w:r>
            <w:r w:rsidR="00D20688" w:rsidRPr="0032536A">
              <w:rPr>
                <w:rFonts w:ascii="Times New Roman" w:eastAsia="Times New Roman" w:hAnsi="Times New Roman" w:cs="Times New Roman"/>
                <w:color w:val="auto"/>
              </w:rPr>
              <w:t>-</w:t>
            </w:r>
            <w:r w:rsidRPr="0032536A">
              <w:rPr>
                <w:rFonts w:ascii="Times New Roman" w:eastAsia="Times New Roman" w:hAnsi="Times New Roman" w:cs="Times New Roman"/>
                <w:color w:val="auto"/>
              </w:rPr>
              <w:t>TURISTIČKO</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UČILIŠTE </w:t>
            </w:r>
          </w:p>
        </w:tc>
        <w:tc>
          <w:tcPr>
            <w:tcW w:w="2054" w:type="dxa"/>
          </w:tcPr>
          <w:p w14:paraId="391301A3"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Frankopanska 8, Zagreb </w:t>
            </w:r>
          </w:p>
        </w:tc>
        <w:tc>
          <w:tcPr>
            <w:tcW w:w="1541" w:type="dxa"/>
          </w:tcPr>
          <w:p w14:paraId="2932A1E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450</w:t>
            </w:r>
          </w:p>
        </w:tc>
        <w:tc>
          <w:tcPr>
            <w:tcW w:w="1483" w:type="dxa"/>
          </w:tcPr>
          <w:p w14:paraId="1679228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402DB30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1892.</w:t>
            </w:r>
          </w:p>
        </w:tc>
      </w:tr>
      <w:tr w:rsidR="00CE628C" w:rsidRPr="004750F4" w14:paraId="4DA0C966" w14:textId="77777777" w:rsidTr="0025690A">
        <w:tblPrEx>
          <w:tblCellMar>
            <w:top w:w="5" w:type="dxa"/>
            <w:bottom w:w="0" w:type="dxa"/>
          </w:tblCellMar>
        </w:tblPrEx>
        <w:trPr>
          <w:cantSplit/>
        </w:trPr>
        <w:tc>
          <w:tcPr>
            <w:tcW w:w="685" w:type="dxa"/>
          </w:tcPr>
          <w:p w14:paraId="3B357A6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lastRenderedPageBreak/>
              <w:t>61.</w:t>
            </w:r>
          </w:p>
        </w:tc>
        <w:tc>
          <w:tcPr>
            <w:tcW w:w="2054" w:type="dxa"/>
          </w:tcPr>
          <w:p w14:paraId="0DA689AF"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OPĆA PRIVATNA GIMNAZIJA </w:t>
            </w:r>
          </w:p>
        </w:tc>
        <w:tc>
          <w:tcPr>
            <w:tcW w:w="2054" w:type="dxa"/>
          </w:tcPr>
          <w:p w14:paraId="48FCA92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Gajeva 22, Zagreb </w:t>
            </w:r>
          </w:p>
        </w:tc>
        <w:tc>
          <w:tcPr>
            <w:tcW w:w="1541" w:type="dxa"/>
          </w:tcPr>
          <w:p w14:paraId="1FF15DC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80</w:t>
            </w:r>
          </w:p>
        </w:tc>
        <w:tc>
          <w:tcPr>
            <w:tcW w:w="1483" w:type="dxa"/>
          </w:tcPr>
          <w:p w14:paraId="09A7B91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027495B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1873.</w:t>
            </w:r>
          </w:p>
        </w:tc>
      </w:tr>
      <w:tr w:rsidR="00CE628C" w:rsidRPr="004750F4" w14:paraId="24CA257F" w14:textId="77777777" w:rsidTr="0025690A">
        <w:tblPrEx>
          <w:tblCellMar>
            <w:top w:w="5" w:type="dxa"/>
            <w:bottom w:w="0" w:type="dxa"/>
          </w:tblCellMar>
        </w:tblPrEx>
        <w:trPr>
          <w:cantSplit/>
        </w:trPr>
        <w:tc>
          <w:tcPr>
            <w:tcW w:w="685" w:type="dxa"/>
          </w:tcPr>
          <w:p w14:paraId="2C5B3D2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62.</w:t>
            </w:r>
          </w:p>
        </w:tc>
        <w:tc>
          <w:tcPr>
            <w:tcW w:w="2054" w:type="dxa"/>
          </w:tcPr>
          <w:p w14:paraId="4346C023"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Privatna umjetnička gimnazija s pravom javnosti </w:t>
            </w:r>
          </w:p>
        </w:tc>
        <w:tc>
          <w:tcPr>
            <w:tcW w:w="2054" w:type="dxa"/>
          </w:tcPr>
          <w:p w14:paraId="0C45E1E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Sjedište: Tuškanac 77,</w:t>
            </w:r>
            <w:r w:rsidR="00E40AC8"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razredni odjeli:</w:t>
            </w:r>
            <w:r w:rsidR="00D20688"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Gundulićeva 55 </w:t>
            </w:r>
          </w:p>
        </w:tc>
        <w:tc>
          <w:tcPr>
            <w:tcW w:w="1541" w:type="dxa"/>
          </w:tcPr>
          <w:p w14:paraId="6FF8E11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140</w:t>
            </w:r>
          </w:p>
        </w:tc>
        <w:tc>
          <w:tcPr>
            <w:tcW w:w="1483" w:type="dxa"/>
          </w:tcPr>
          <w:p w14:paraId="39E01EB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66068FD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 xml:space="preserve">Tuškanac </w:t>
            </w:r>
            <w:r w:rsidR="00EE6A22" w:rsidRPr="0032536A">
              <w:rPr>
                <w:rFonts w:ascii="Times New Roman" w:eastAsia="Times New Roman" w:hAnsi="Times New Roman" w:cs="Times New Roman"/>
                <w:color w:val="auto"/>
              </w:rPr>
              <w:t>-</w:t>
            </w:r>
            <w:r w:rsidRPr="0032536A">
              <w:rPr>
                <w:rFonts w:ascii="Times New Roman" w:eastAsia="Times New Roman" w:hAnsi="Times New Roman" w:cs="Times New Roman"/>
                <w:color w:val="auto"/>
              </w:rPr>
              <w:t xml:space="preserve"> 1878.</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Gundulićeva </w:t>
            </w:r>
            <w:r w:rsidR="00EE6A22" w:rsidRPr="0032536A">
              <w:rPr>
                <w:rFonts w:ascii="Times New Roman" w:eastAsia="Times New Roman" w:hAnsi="Times New Roman" w:cs="Times New Roman"/>
                <w:color w:val="auto"/>
              </w:rPr>
              <w:t>-</w:t>
            </w:r>
            <w:r w:rsidRPr="0032536A">
              <w:rPr>
                <w:rFonts w:ascii="Times New Roman" w:eastAsia="Times New Roman" w:hAnsi="Times New Roman" w:cs="Times New Roman"/>
                <w:color w:val="auto"/>
              </w:rPr>
              <w:t xml:space="preserve"> 1904.</w:t>
            </w:r>
          </w:p>
        </w:tc>
      </w:tr>
      <w:tr w:rsidR="00CE628C" w:rsidRPr="004750F4" w14:paraId="46C28A21" w14:textId="77777777" w:rsidTr="0025690A">
        <w:tblPrEx>
          <w:tblCellMar>
            <w:top w:w="5" w:type="dxa"/>
            <w:bottom w:w="0" w:type="dxa"/>
          </w:tblCellMar>
        </w:tblPrEx>
        <w:trPr>
          <w:cantSplit/>
        </w:trPr>
        <w:tc>
          <w:tcPr>
            <w:tcW w:w="685" w:type="dxa"/>
          </w:tcPr>
          <w:p w14:paraId="7A0D378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63.</w:t>
            </w:r>
          </w:p>
        </w:tc>
        <w:tc>
          <w:tcPr>
            <w:tcW w:w="2054" w:type="dxa"/>
          </w:tcPr>
          <w:p w14:paraId="681901D3"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I. </w:t>
            </w:r>
            <w:r w:rsidR="00D20688" w:rsidRPr="0032536A">
              <w:rPr>
                <w:rFonts w:ascii="Times New Roman" w:eastAsia="Times New Roman" w:hAnsi="Times New Roman" w:cs="Times New Roman"/>
                <w:color w:val="auto"/>
              </w:rPr>
              <w:t xml:space="preserve">srednja </w:t>
            </w:r>
            <w:r w:rsidRPr="0032536A">
              <w:rPr>
                <w:rFonts w:ascii="Times New Roman" w:eastAsia="Times New Roman" w:hAnsi="Times New Roman" w:cs="Times New Roman"/>
                <w:color w:val="auto"/>
              </w:rPr>
              <w:t xml:space="preserve">informatička škola s pravom javnosti </w:t>
            </w:r>
          </w:p>
        </w:tc>
        <w:tc>
          <w:tcPr>
            <w:tcW w:w="2054" w:type="dxa"/>
          </w:tcPr>
          <w:p w14:paraId="2267E12F"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Vrhovec 48, Zagreb </w:t>
            </w:r>
          </w:p>
        </w:tc>
        <w:tc>
          <w:tcPr>
            <w:tcW w:w="1541" w:type="dxa"/>
          </w:tcPr>
          <w:p w14:paraId="0636804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46</w:t>
            </w:r>
          </w:p>
        </w:tc>
        <w:tc>
          <w:tcPr>
            <w:tcW w:w="1483" w:type="dxa"/>
          </w:tcPr>
          <w:p w14:paraId="73E3B9B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0259B6B2" w14:textId="7774CA50" w:rsidR="003F7A56" w:rsidRPr="0032536A" w:rsidRDefault="003F7A56" w:rsidP="00CE628C">
            <w:pPr>
              <w:spacing w:after="0" w:line="240" w:lineRule="auto"/>
              <w:ind w:left="0" w:right="0" w:firstLine="0"/>
              <w:jc w:val="center"/>
              <w:rPr>
                <w:rFonts w:ascii="Times New Roman" w:hAnsi="Times New Roman" w:cs="Times New Roman"/>
                <w:color w:val="auto"/>
              </w:rPr>
            </w:pPr>
          </w:p>
        </w:tc>
      </w:tr>
      <w:tr w:rsidR="00CE628C" w:rsidRPr="004750F4" w14:paraId="3F3FF255" w14:textId="77777777" w:rsidTr="0025690A">
        <w:tblPrEx>
          <w:tblCellMar>
            <w:top w:w="5" w:type="dxa"/>
            <w:bottom w:w="0" w:type="dxa"/>
          </w:tblCellMar>
        </w:tblPrEx>
        <w:trPr>
          <w:cantSplit/>
        </w:trPr>
        <w:tc>
          <w:tcPr>
            <w:tcW w:w="685" w:type="dxa"/>
          </w:tcPr>
          <w:p w14:paraId="3039E81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64.</w:t>
            </w:r>
          </w:p>
        </w:tc>
        <w:tc>
          <w:tcPr>
            <w:tcW w:w="2054" w:type="dxa"/>
          </w:tcPr>
          <w:p w14:paraId="388870A6"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DRUGA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EKONOMSKA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ŠKOLA </w:t>
            </w:r>
          </w:p>
        </w:tc>
        <w:tc>
          <w:tcPr>
            <w:tcW w:w="2054" w:type="dxa"/>
          </w:tcPr>
          <w:p w14:paraId="65566B0A"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Dobojska 12,</w:t>
            </w:r>
            <w:r w:rsidR="00D20688"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Zagreb </w:t>
            </w:r>
          </w:p>
        </w:tc>
        <w:tc>
          <w:tcPr>
            <w:tcW w:w="1541" w:type="dxa"/>
          </w:tcPr>
          <w:p w14:paraId="3F555D9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680</w:t>
            </w:r>
          </w:p>
        </w:tc>
        <w:tc>
          <w:tcPr>
            <w:tcW w:w="1483" w:type="dxa"/>
          </w:tcPr>
          <w:p w14:paraId="48F32B9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33DCF8C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1955.</w:t>
            </w:r>
          </w:p>
        </w:tc>
      </w:tr>
      <w:tr w:rsidR="00CE628C" w:rsidRPr="004750F4" w14:paraId="0E536982" w14:textId="77777777" w:rsidTr="0025690A">
        <w:tblPrEx>
          <w:tblCellMar>
            <w:top w:w="5" w:type="dxa"/>
            <w:bottom w:w="0" w:type="dxa"/>
          </w:tblCellMar>
        </w:tblPrEx>
        <w:trPr>
          <w:cantSplit/>
        </w:trPr>
        <w:tc>
          <w:tcPr>
            <w:tcW w:w="685" w:type="dxa"/>
          </w:tcPr>
          <w:p w14:paraId="1340882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65.</w:t>
            </w:r>
          </w:p>
        </w:tc>
        <w:tc>
          <w:tcPr>
            <w:tcW w:w="2054" w:type="dxa"/>
          </w:tcPr>
          <w:p w14:paraId="2DB377B7"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ŠKOLA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PRIMIJENJENE</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UMJETNOSTI I DIZAJNA </w:t>
            </w:r>
          </w:p>
        </w:tc>
        <w:tc>
          <w:tcPr>
            <w:tcW w:w="2054" w:type="dxa"/>
          </w:tcPr>
          <w:p w14:paraId="59046884"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Trg Republike</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Hrvatske 11, Zagreb </w:t>
            </w:r>
          </w:p>
        </w:tc>
        <w:tc>
          <w:tcPr>
            <w:tcW w:w="1541" w:type="dxa"/>
          </w:tcPr>
          <w:p w14:paraId="192A834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800</w:t>
            </w:r>
          </w:p>
        </w:tc>
        <w:tc>
          <w:tcPr>
            <w:tcW w:w="1483" w:type="dxa"/>
          </w:tcPr>
          <w:p w14:paraId="0EFAB67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43361F1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1891.</w:t>
            </w:r>
          </w:p>
        </w:tc>
      </w:tr>
      <w:tr w:rsidR="00CE628C" w:rsidRPr="004750F4" w14:paraId="6F2E962F" w14:textId="77777777" w:rsidTr="0025690A">
        <w:tblPrEx>
          <w:tblCellMar>
            <w:top w:w="5" w:type="dxa"/>
            <w:bottom w:w="0" w:type="dxa"/>
          </w:tblCellMar>
        </w:tblPrEx>
        <w:trPr>
          <w:cantSplit/>
        </w:trPr>
        <w:tc>
          <w:tcPr>
            <w:tcW w:w="685" w:type="dxa"/>
          </w:tcPr>
          <w:p w14:paraId="310363E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66.</w:t>
            </w:r>
          </w:p>
        </w:tc>
        <w:tc>
          <w:tcPr>
            <w:tcW w:w="2054" w:type="dxa"/>
          </w:tcPr>
          <w:p w14:paraId="6A1BD62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ŠKOLA ZA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MONTAŽU</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INSTALACIJA I</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METALNIH</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KONSTRUKCIJA </w:t>
            </w:r>
          </w:p>
        </w:tc>
        <w:tc>
          <w:tcPr>
            <w:tcW w:w="2054" w:type="dxa"/>
          </w:tcPr>
          <w:p w14:paraId="48F28196"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Sveti</w:t>
            </w:r>
            <w:r w:rsidR="00E40AC8"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Duh 129, Zagreb </w:t>
            </w:r>
          </w:p>
        </w:tc>
        <w:tc>
          <w:tcPr>
            <w:tcW w:w="1541" w:type="dxa"/>
          </w:tcPr>
          <w:p w14:paraId="1A6229E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470</w:t>
            </w:r>
          </w:p>
        </w:tc>
        <w:tc>
          <w:tcPr>
            <w:tcW w:w="1483" w:type="dxa"/>
          </w:tcPr>
          <w:p w14:paraId="42EEC85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5D89166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1935.</w:t>
            </w:r>
          </w:p>
        </w:tc>
      </w:tr>
      <w:tr w:rsidR="00CE628C" w:rsidRPr="004750F4" w14:paraId="4859CA17" w14:textId="77777777" w:rsidTr="0025690A">
        <w:tblPrEx>
          <w:tblCellMar>
            <w:top w:w="5" w:type="dxa"/>
            <w:bottom w:w="0" w:type="dxa"/>
          </w:tblCellMar>
        </w:tblPrEx>
        <w:trPr>
          <w:cantSplit/>
        </w:trPr>
        <w:tc>
          <w:tcPr>
            <w:tcW w:w="685" w:type="dxa"/>
          </w:tcPr>
          <w:p w14:paraId="69447E8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67.</w:t>
            </w:r>
          </w:p>
        </w:tc>
        <w:tc>
          <w:tcPr>
            <w:tcW w:w="2054" w:type="dxa"/>
          </w:tcPr>
          <w:p w14:paraId="03B82CF6"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TRGOVAČKA ŠKOLA </w:t>
            </w:r>
          </w:p>
        </w:tc>
        <w:tc>
          <w:tcPr>
            <w:tcW w:w="2054" w:type="dxa"/>
          </w:tcPr>
          <w:p w14:paraId="4BA19A41"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Trg J. F. Kennedyja br. 4, Zagreb </w:t>
            </w:r>
          </w:p>
        </w:tc>
        <w:tc>
          <w:tcPr>
            <w:tcW w:w="1541" w:type="dxa"/>
          </w:tcPr>
          <w:p w14:paraId="11A794F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800</w:t>
            </w:r>
          </w:p>
        </w:tc>
        <w:tc>
          <w:tcPr>
            <w:tcW w:w="1483" w:type="dxa"/>
          </w:tcPr>
          <w:p w14:paraId="650BA4E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0AC1D01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1956.</w:t>
            </w:r>
          </w:p>
        </w:tc>
      </w:tr>
      <w:tr w:rsidR="00CE628C" w:rsidRPr="004750F4" w14:paraId="3F9A323B" w14:textId="77777777" w:rsidTr="0025690A">
        <w:tblPrEx>
          <w:tblCellMar>
            <w:top w:w="5" w:type="dxa"/>
            <w:bottom w:w="0" w:type="dxa"/>
          </w:tblCellMar>
        </w:tblPrEx>
        <w:trPr>
          <w:cantSplit/>
        </w:trPr>
        <w:tc>
          <w:tcPr>
            <w:tcW w:w="685" w:type="dxa"/>
          </w:tcPr>
          <w:p w14:paraId="37AAC13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68.</w:t>
            </w:r>
          </w:p>
        </w:tc>
        <w:tc>
          <w:tcPr>
            <w:tcW w:w="2054" w:type="dxa"/>
          </w:tcPr>
          <w:p w14:paraId="2CC3A4FD"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GLAZBENA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ŠKOLA ZLATKA BALOKOVIĆA </w:t>
            </w:r>
          </w:p>
        </w:tc>
        <w:tc>
          <w:tcPr>
            <w:tcW w:w="2054" w:type="dxa"/>
          </w:tcPr>
          <w:p w14:paraId="689D4C5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Ivanićgradska 41a, Zagreb </w:t>
            </w:r>
          </w:p>
        </w:tc>
        <w:tc>
          <w:tcPr>
            <w:tcW w:w="1541" w:type="dxa"/>
          </w:tcPr>
          <w:p w14:paraId="7587461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325</w:t>
            </w:r>
          </w:p>
        </w:tc>
        <w:tc>
          <w:tcPr>
            <w:tcW w:w="1483" w:type="dxa"/>
          </w:tcPr>
          <w:p w14:paraId="6198533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2BBE539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1984.</w:t>
            </w:r>
          </w:p>
        </w:tc>
      </w:tr>
      <w:tr w:rsidR="00CE628C" w:rsidRPr="004750F4" w14:paraId="6E8E5FAC" w14:textId="77777777" w:rsidTr="0025690A">
        <w:tblPrEx>
          <w:tblCellMar>
            <w:top w:w="5" w:type="dxa"/>
            <w:bottom w:w="0" w:type="dxa"/>
          </w:tblCellMar>
        </w:tblPrEx>
        <w:trPr>
          <w:cantSplit/>
        </w:trPr>
        <w:tc>
          <w:tcPr>
            <w:tcW w:w="685" w:type="dxa"/>
          </w:tcPr>
          <w:p w14:paraId="1985E1D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69.</w:t>
            </w:r>
          </w:p>
        </w:tc>
        <w:tc>
          <w:tcPr>
            <w:tcW w:w="2054" w:type="dxa"/>
          </w:tcPr>
          <w:p w14:paraId="4036D2B9"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ZDRAVSTVENO</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UČILIŠTE </w:t>
            </w:r>
          </w:p>
        </w:tc>
        <w:tc>
          <w:tcPr>
            <w:tcW w:w="2054" w:type="dxa"/>
          </w:tcPr>
          <w:p w14:paraId="123ECB37"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Medvedgradska 55, Zagreb </w:t>
            </w:r>
          </w:p>
        </w:tc>
        <w:tc>
          <w:tcPr>
            <w:tcW w:w="1541" w:type="dxa"/>
          </w:tcPr>
          <w:p w14:paraId="0E06C5D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870</w:t>
            </w:r>
          </w:p>
        </w:tc>
        <w:tc>
          <w:tcPr>
            <w:tcW w:w="1483" w:type="dxa"/>
          </w:tcPr>
          <w:p w14:paraId="34DF855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7E0A5C9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1963.</w:t>
            </w:r>
          </w:p>
        </w:tc>
      </w:tr>
      <w:tr w:rsidR="00CE628C" w:rsidRPr="004750F4" w14:paraId="2F131CE9" w14:textId="77777777" w:rsidTr="0025690A">
        <w:tblPrEx>
          <w:tblCellMar>
            <w:top w:w="5" w:type="dxa"/>
            <w:bottom w:w="0" w:type="dxa"/>
          </w:tblCellMar>
        </w:tblPrEx>
        <w:trPr>
          <w:cantSplit/>
        </w:trPr>
        <w:tc>
          <w:tcPr>
            <w:tcW w:w="685" w:type="dxa"/>
          </w:tcPr>
          <w:p w14:paraId="66F9357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70.</w:t>
            </w:r>
          </w:p>
        </w:tc>
        <w:tc>
          <w:tcPr>
            <w:tcW w:w="2054" w:type="dxa"/>
          </w:tcPr>
          <w:p w14:paraId="0184999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GLAZBENA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ŠKOLA PAVLA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MARKOVCA </w:t>
            </w:r>
          </w:p>
        </w:tc>
        <w:tc>
          <w:tcPr>
            <w:tcW w:w="2054" w:type="dxa"/>
          </w:tcPr>
          <w:p w14:paraId="57058974"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Trg žrtava fašizma 9, 10000 Zagreb </w:t>
            </w:r>
          </w:p>
        </w:tc>
        <w:tc>
          <w:tcPr>
            <w:tcW w:w="1541" w:type="dxa"/>
          </w:tcPr>
          <w:p w14:paraId="0A76FF3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483" w:type="dxa"/>
          </w:tcPr>
          <w:p w14:paraId="12287D6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36607FC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1927.</w:t>
            </w:r>
          </w:p>
        </w:tc>
      </w:tr>
      <w:tr w:rsidR="00CE628C" w:rsidRPr="004750F4" w14:paraId="60F5CF60" w14:textId="77777777" w:rsidTr="0025690A">
        <w:tblPrEx>
          <w:tblCellMar>
            <w:top w:w="5" w:type="dxa"/>
            <w:bottom w:w="0" w:type="dxa"/>
          </w:tblCellMar>
        </w:tblPrEx>
        <w:trPr>
          <w:cantSplit/>
        </w:trPr>
        <w:tc>
          <w:tcPr>
            <w:tcW w:w="685" w:type="dxa"/>
          </w:tcPr>
          <w:p w14:paraId="0B48D6C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71.</w:t>
            </w:r>
          </w:p>
        </w:tc>
        <w:tc>
          <w:tcPr>
            <w:tcW w:w="2054" w:type="dxa"/>
          </w:tcPr>
          <w:p w14:paraId="0464A315"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GLAZBENO</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UČILIŠTE ELLY BAŠIĆ </w:t>
            </w:r>
          </w:p>
        </w:tc>
        <w:tc>
          <w:tcPr>
            <w:tcW w:w="2054" w:type="dxa"/>
          </w:tcPr>
          <w:p w14:paraId="23D109BD"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Mlinarska 25, Zagreb </w:t>
            </w:r>
          </w:p>
        </w:tc>
        <w:tc>
          <w:tcPr>
            <w:tcW w:w="1541" w:type="dxa"/>
          </w:tcPr>
          <w:p w14:paraId="256F587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100</w:t>
            </w:r>
          </w:p>
        </w:tc>
        <w:tc>
          <w:tcPr>
            <w:tcW w:w="1483" w:type="dxa"/>
          </w:tcPr>
          <w:p w14:paraId="3BA1F85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4FC202E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1938.</w:t>
            </w:r>
          </w:p>
        </w:tc>
      </w:tr>
      <w:tr w:rsidR="00CE628C" w:rsidRPr="004750F4" w14:paraId="3F173849" w14:textId="77777777" w:rsidTr="0025690A">
        <w:tblPrEx>
          <w:tblCellMar>
            <w:top w:w="5" w:type="dxa"/>
            <w:bottom w:w="0" w:type="dxa"/>
          </w:tblCellMar>
        </w:tblPrEx>
        <w:trPr>
          <w:cantSplit/>
        </w:trPr>
        <w:tc>
          <w:tcPr>
            <w:tcW w:w="685" w:type="dxa"/>
          </w:tcPr>
          <w:p w14:paraId="51217AF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72.</w:t>
            </w:r>
          </w:p>
        </w:tc>
        <w:tc>
          <w:tcPr>
            <w:tcW w:w="2054" w:type="dxa"/>
          </w:tcPr>
          <w:p w14:paraId="0C76BDC2"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GLAZBENA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ŠKOLA ZLATKA GRGOŠEVIĆA </w:t>
            </w:r>
          </w:p>
        </w:tc>
        <w:tc>
          <w:tcPr>
            <w:tcW w:w="2054" w:type="dxa"/>
          </w:tcPr>
          <w:p w14:paraId="425A6A28"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Ulica I.</w:t>
            </w:r>
            <w:r w:rsidR="00D20688"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G. Kovačića 19, Sesvete </w:t>
            </w:r>
          </w:p>
        </w:tc>
        <w:tc>
          <w:tcPr>
            <w:tcW w:w="1541" w:type="dxa"/>
          </w:tcPr>
          <w:p w14:paraId="21A7609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570</w:t>
            </w:r>
          </w:p>
        </w:tc>
        <w:tc>
          <w:tcPr>
            <w:tcW w:w="1483" w:type="dxa"/>
          </w:tcPr>
          <w:p w14:paraId="2D31557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58A7F96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1984.</w:t>
            </w:r>
          </w:p>
        </w:tc>
      </w:tr>
      <w:tr w:rsidR="00CE628C" w:rsidRPr="004750F4" w14:paraId="4453D5A5" w14:textId="77777777" w:rsidTr="0025690A">
        <w:tblPrEx>
          <w:tblCellMar>
            <w:top w:w="5" w:type="dxa"/>
            <w:bottom w:w="0" w:type="dxa"/>
          </w:tblCellMar>
        </w:tblPrEx>
        <w:trPr>
          <w:cantSplit/>
        </w:trPr>
        <w:tc>
          <w:tcPr>
            <w:tcW w:w="685" w:type="dxa"/>
          </w:tcPr>
          <w:p w14:paraId="78D722E1"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73.</w:t>
            </w:r>
          </w:p>
        </w:tc>
        <w:tc>
          <w:tcPr>
            <w:tcW w:w="2054" w:type="dxa"/>
          </w:tcPr>
          <w:p w14:paraId="7062143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PRIVATNA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ŠKOLA</w:t>
            </w:r>
            <w:r w:rsidR="00CE628C" w:rsidRPr="0032536A">
              <w:rPr>
                <w:rFonts w:ascii="Times New Roman" w:eastAsia="Times New Roman" w:hAnsi="Times New Roman" w:cs="Times New Roman"/>
                <w:color w:val="auto"/>
              </w:rPr>
              <w:t xml:space="preserve"> </w:t>
            </w:r>
            <w:r w:rsidR="00EE6A22" w:rsidRPr="0032536A">
              <w:rPr>
                <w:rFonts w:ascii="Times New Roman" w:eastAsia="Times New Roman" w:hAnsi="Times New Roman" w:cs="Times New Roman"/>
                <w:color w:val="auto"/>
              </w:rPr>
              <w:t>"</w:t>
            </w:r>
            <w:r w:rsidRPr="0032536A">
              <w:rPr>
                <w:rFonts w:ascii="Times New Roman" w:eastAsia="Times New Roman" w:hAnsi="Times New Roman" w:cs="Times New Roman"/>
                <w:color w:val="auto"/>
              </w:rPr>
              <w:t>LINIGRA</w:t>
            </w:r>
            <w:r w:rsidR="00EE6A22" w:rsidRPr="0032536A">
              <w:rPr>
                <w:rFonts w:ascii="Times New Roman" w:eastAsia="Times New Roman" w:hAnsi="Times New Roman" w:cs="Times New Roman"/>
                <w:color w:val="auto"/>
              </w:rPr>
              <w:t>"</w:t>
            </w:r>
            <w:r w:rsidRPr="0032536A">
              <w:rPr>
                <w:rFonts w:ascii="Times New Roman" w:eastAsia="Times New Roman" w:hAnsi="Times New Roman" w:cs="Times New Roman"/>
                <w:color w:val="auto"/>
              </w:rPr>
              <w:t xml:space="preserve"> </w:t>
            </w:r>
          </w:p>
        </w:tc>
        <w:tc>
          <w:tcPr>
            <w:tcW w:w="2054" w:type="dxa"/>
          </w:tcPr>
          <w:p w14:paraId="7DAD586A" w14:textId="77777777" w:rsidR="003F7A56" w:rsidRPr="0032536A" w:rsidRDefault="00D20688" w:rsidP="00CE628C">
            <w:pPr>
              <w:spacing w:after="0" w:line="240" w:lineRule="auto"/>
              <w:ind w:left="0" w:right="0" w:firstLine="0"/>
              <w:jc w:val="left"/>
              <w:rPr>
                <w:rFonts w:ascii="Times New Roman" w:hAnsi="Times New Roman" w:cs="Times New Roman"/>
                <w:color w:val="auto"/>
              </w:rPr>
            </w:pPr>
            <w:r w:rsidRPr="0032536A">
              <w:rPr>
                <w:rFonts w:ascii="Times New Roman" w:hAnsi="Times New Roman" w:cs="Times New Roman"/>
                <w:color w:val="auto"/>
              </w:rPr>
              <w:t xml:space="preserve">Ul. </w:t>
            </w:r>
            <w:r w:rsidR="00900184" w:rsidRPr="0032536A">
              <w:rPr>
                <w:rFonts w:ascii="Times New Roman" w:eastAsia="Times New Roman" w:hAnsi="Times New Roman" w:cs="Times New Roman"/>
                <w:color w:val="auto"/>
              </w:rPr>
              <w:t xml:space="preserve">Gjure Szaba 4, Črnomerec, Zagreb </w:t>
            </w:r>
          </w:p>
        </w:tc>
        <w:tc>
          <w:tcPr>
            <w:tcW w:w="1541" w:type="dxa"/>
          </w:tcPr>
          <w:p w14:paraId="7E25D8C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85</w:t>
            </w:r>
          </w:p>
        </w:tc>
        <w:tc>
          <w:tcPr>
            <w:tcW w:w="1483" w:type="dxa"/>
          </w:tcPr>
          <w:p w14:paraId="0CF98D3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5CABC28F" w14:textId="73B6BCDB" w:rsidR="003F7A56" w:rsidRPr="0032536A" w:rsidRDefault="003F7A56" w:rsidP="00CE628C">
            <w:pPr>
              <w:spacing w:after="0" w:line="240" w:lineRule="auto"/>
              <w:ind w:left="0" w:right="0" w:firstLine="0"/>
              <w:jc w:val="center"/>
              <w:rPr>
                <w:rFonts w:ascii="Times New Roman" w:hAnsi="Times New Roman" w:cs="Times New Roman"/>
                <w:color w:val="auto"/>
              </w:rPr>
            </w:pPr>
          </w:p>
        </w:tc>
      </w:tr>
      <w:tr w:rsidR="00CE628C" w:rsidRPr="004750F4" w14:paraId="74A5D49A" w14:textId="77777777" w:rsidTr="0025690A">
        <w:tblPrEx>
          <w:tblCellMar>
            <w:top w:w="5" w:type="dxa"/>
            <w:bottom w:w="0" w:type="dxa"/>
          </w:tblCellMar>
        </w:tblPrEx>
        <w:trPr>
          <w:cantSplit/>
        </w:trPr>
        <w:tc>
          <w:tcPr>
            <w:tcW w:w="685" w:type="dxa"/>
          </w:tcPr>
          <w:p w14:paraId="5F37F1C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74.</w:t>
            </w:r>
          </w:p>
        </w:tc>
        <w:tc>
          <w:tcPr>
            <w:tcW w:w="2054" w:type="dxa"/>
          </w:tcPr>
          <w:p w14:paraId="00437381"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PRIVATNA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GIMNAZIJA I</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EKONOMSKO</w:t>
            </w:r>
            <w:r w:rsidR="00D20688" w:rsidRPr="0032536A">
              <w:rPr>
                <w:rFonts w:ascii="Times New Roman" w:eastAsia="Times New Roman" w:hAnsi="Times New Roman" w:cs="Times New Roman"/>
                <w:color w:val="auto"/>
              </w:rPr>
              <w:t>-</w:t>
            </w:r>
            <w:r w:rsidRPr="0032536A">
              <w:rPr>
                <w:rFonts w:ascii="Times New Roman" w:eastAsia="Times New Roman" w:hAnsi="Times New Roman" w:cs="Times New Roman"/>
                <w:color w:val="auto"/>
              </w:rPr>
              <w:t>INFORMATIČKA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ŠKOLA</w:t>
            </w:r>
            <w:r w:rsidR="00CE628C" w:rsidRPr="0032536A">
              <w:rPr>
                <w:rFonts w:ascii="Times New Roman" w:eastAsia="Times New Roman" w:hAnsi="Times New Roman" w:cs="Times New Roman"/>
                <w:color w:val="auto"/>
              </w:rPr>
              <w:t xml:space="preserve"> </w:t>
            </w:r>
            <w:r w:rsidR="00EE6A22" w:rsidRPr="0032536A">
              <w:rPr>
                <w:rFonts w:ascii="Times New Roman" w:eastAsia="Times New Roman" w:hAnsi="Times New Roman" w:cs="Times New Roman"/>
                <w:color w:val="auto"/>
              </w:rPr>
              <w:t>"</w:t>
            </w:r>
            <w:r w:rsidRPr="0032536A">
              <w:rPr>
                <w:rFonts w:ascii="Times New Roman" w:eastAsia="Times New Roman" w:hAnsi="Times New Roman" w:cs="Times New Roman"/>
                <w:color w:val="auto"/>
              </w:rPr>
              <w:t>FUTURA</w:t>
            </w:r>
            <w:r w:rsidR="00EE6A22" w:rsidRPr="0032536A">
              <w:rPr>
                <w:rFonts w:ascii="Times New Roman" w:eastAsia="Times New Roman" w:hAnsi="Times New Roman" w:cs="Times New Roman"/>
                <w:color w:val="auto"/>
              </w:rPr>
              <w:t>"</w:t>
            </w:r>
            <w:r w:rsidRPr="0032536A">
              <w:rPr>
                <w:rFonts w:ascii="Times New Roman" w:eastAsia="Times New Roman" w:hAnsi="Times New Roman" w:cs="Times New Roman"/>
                <w:color w:val="auto"/>
              </w:rPr>
              <w:t xml:space="preserve"> </w:t>
            </w:r>
          </w:p>
        </w:tc>
        <w:tc>
          <w:tcPr>
            <w:tcW w:w="2054" w:type="dxa"/>
          </w:tcPr>
          <w:p w14:paraId="36B2DA48"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Budakova 1d </w:t>
            </w:r>
          </w:p>
        </w:tc>
        <w:tc>
          <w:tcPr>
            <w:tcW w:w="1541" w:type="dxa"/>
          </w:tcPr>
          <w:p w14:paraId="066CBB6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250</w:t>
            </w:r>
          </w:p>
        </w:tc>
        <w:tc>
          <w:tcPr>
            <w:tcW w:w="1483" w:type="dxa"/>
          </w:tcPr>
          <w:p w14:paraId="145E059C"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0</w:t>
            </w:r>
          </w:p>
        </w:tc>
        <w:tc>
          <w:tcPr>
            <w:tcW w:w="1255" w:type="dxa"/>
          </w:tcPr>
          <w:p w14:paraId="7609E512"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1983.</w:t>
            </w:r>
          </w:p>
        </w:tc>
      </w:tr>
      <w:tr w:rsidR="00CE628C" w:rsidRPr="004750F4" w14:paraId="46E0993F" w14:textId="77777777" w:rsidTr="0025690A">
        <w:tblPrEx>
          <w:tblCellMar>
            <w:top w:w="5" w:type="dxa"/>
            <w:bottom w:w="0" w:type="dxa"/>
          </w:tblCellMar>
        </w:tblPrEx>
        <w:trPr>
          <w:cantSplit/>
        </w:trPr>
        <w:tc>
          <w:tcPr>
            <w:tcW w:w="685" w:type="dxa"/>
            <w:shd w:val="clear" w:color="auto" w:fill="FFC000"/>
          </w:tcPr>
          <w:p w14:paraId="18DA1BE6" w14:textId="77777777" w:rsidR="003F7A56" w:rsidRPr="0032536A" w:rsidRDefault="003F7A56" w:rsidP="00CE628C">
            <w:pPr>
              <w:spacing w:after="0" w:line="240" w:lineRule="auto"/>
              <w:ind w:left="0" w:right="0" w:firstLine="0"/>
              <w:jc w:val="center"/>
              <w:rPr>
                <w:rFonts w:ascii="Times New Roman" w:hAnsi="Times New Roman" w:cs="Times New Roman"/>
                <w:color w:val="auto"/>
              </w:rPr>
            </w:pPr>
          </w:p>
        </w:tc>
        <w:tc>
          <w:tcPr>
            <w:tcW w:w="4108" w:type="dxa"/>
            <w:gridSpan w:val="2"/>
            <w:shd w:val="clear" w:color="auto" w:fill="FFC000"/>
          </w:tcPr>
          <w:p w14:paraId="026CF517"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b/>
                <w:color w:val="auto"/>
              </w:rPr>
              <w:t xml:space="preserve">UKUPNO </w:t>
            </w:r>
          </w:p>
        </w:tc>
        <w:tc>
          <w:tcPr>
            <w:tcW w:w="1541" w:type="dxa"/>
            <w:shd w:val="clear" w:color="auto" w:fill="FFC000"/>
          </w:tcPr>
          <w:p w14:paraId="29031F1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38650</w:t>
            </w:r>
          </w:p>
        </w:tc>
        <w:tc>
          <w:tcPr>
            <w:tcW w:w="1483" w:type="dxa"/>
            <w:shd w:val="clear" w:color="auto" w:fill="FFC000"/>
          </w:tcPr>
          <w:p w14:paraId="77CD785F"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4070</w:t>
            </w:r>
          </w:p>
        </w:tc>
        <w:tc>
          <w:tcPr>
            <w:tcW w:w="1255" w:type="dxa"/>
            <w:shd w:val="clear" w:color="auto" w:fill="FFC000"/>
          </w:tcPr>
          <w:p w14:paraId="208FC761" w14:textId="77777777" w:rsidR="003F7A56" w:rsidRPr="0032536A" w:rsidRDefault="003F7A56" w:rsidP="00CE628C">
            <w:pPr>
              <w:spacing w:after="0" w:line="240" w:lineRule="auto"/>
              <w:ind w:left="0" w:right="0" w:firstLine="0"/>
              <w:jc w:val="center"/>
              <w:rPr>
                <w:rFonts w:ascii="Times New Roman" w:hAnsi="Times New Roman" w:cs="Times New Roman"/>
                <w:color w:val="auto"/>
              </w:rPr>
            </w:pPr>
          </w:p>
        </w:tc>
      </w:tr>
    </w:tbl>
    <w:p w14:paraId="3163EAE4" w14:textId="77777777" w:rsidR="0025690A" w:rsidRPr="0032536A" w:rsidRDefault="0025690A" w:rsidP="0025690A">
      <w:pPr>
        <w:spacing w:after="0" w:line="240" w:lineRule="auto"/>
        <w:ind w:left="0" w:right="0" w:firstLine="0"/>
        <w:jc w:val="left"/>
        <w:rPr>
          <w:rFonts w:ascii="Times New Roman" w:eastAsia="Times New Roman" w:hAnsi="Times New Roman" w:cs="Times New Roman"/>
          <w:color w:val="auto"/>
          <w:sz w:val="8"/>
        </w:rPr>
      </w:pPr>
    </w:p>
    <w:tbl>
      <w:tblPr>
        <w:tblStyle w:val="TableGrid"/>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 w:type="dxa"/>
          <w:left w:w="57" w:type="dxa"/>
          <w:right w:w="57" w:type="dxa"/>
        </w:tblCellMar>
        <w:tblLook w:val="04A0" w:firstRow="1" w:lastRow="0" w:firstColumn="1" w:lastColumn="0" w:noHBand="0" w:noVBand="1"/>
      </w:tblPr>
      <w:tblGrid>
        <w:gridCol w:w="685"/>
        <w:gridCol w:w="2054"/>
        <w:gridCol w:w="2054"/>
        <w:gridCol w:w="1541"/>
        <w:gridCol w:w="1483"/>
        <w:gridCol w:w="1255"/>
      </w:tblGrid>
      <w:tr w:rsidR="00CE628C" w:rsidRPr="004750F4" w14:paraId="104B9336" w14:textId="77777777" w:rsidTr="0025690A">
        <w:trPr>
          <w:cantSplit/>
        </w:trPr>
        <w:tc>
          <w:tcPr>
            <w:tcW w:w="685" w:type="dxa"/>
            <w:shd w:val="clear" w:color="auto" w:fill="FFC000"/>
            <w:vAlign w:val="center"/>
          </w:tcPr>
          <w:p w14:paraId="613700F9" w14:textId="77777777" w:rsidR="003F7A56" w:rsidRPr="0032536A" w:rsidRDefault="00900184" w:rsidP="0025690A">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lastRenderedPageBreak/>
              <w:t>Red. broj</w:t>
            </w:r>
          </w:p>
        </w:tc>
        <w:tc>
          <w:tcPr>
            <w:tcW w:w="2054" w:type="dxa"/>
            <w:shd w:val="clear" w:color="auto" w:fill="FFC000"/>
            <w:vAlign w:val="center"/>
          </w:tcPr>
          <w:p w14:paraId="162D29A0" w14:textId="77777777" w:rsidR="003F7A56" w:rsidRPr="0032536A" w:rsidRDefault="00900184" w:rsidP="0025690A">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Naziv ustanove (učenički domovi)</w:t>
            </w:r>
          </w:p>
        </w:tc>
        <w:tc>
          <w:tcPr>
            <w:tcW w:w="2054" w:type="dxa"/>
            <w:shd w:val="clear" w:color="auto" w:fill="FFC000"/>
            <w:vAlign w:val="center"/>
          </w:tcPr>
          <w:p w14:paraId="5DA29872" w14:textId="77777777" w:rsidR="003F7A56" w:rsidRPr="0032536A" w:rsidRDefault="00900184" w:rsidP="0025690A">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Adresa ustanove</w:t>
            </w:r>
          </w:p>
        </w:tc>
        <w:tc>
          <w:tcPr>
            <w:tcW w:w="1541" w:type="dxa"/>
            <w:shd w:val="clear" w:color="auto" w:fill="FFC000"/>
            <w:vAlign w:val="center"/>
          </w:tcPr>
          <w:p w14:paraId="41BF2588" w14:textId="77777777" w:rsidR="003F7A56" w:rsidRPr="0032536A" w:rsidRDefault="00EE48BB" w:rsidP="0025690A">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Kapacitet ustanove (maksimalan broj korisnika ustanove)</w:t>
            </w:r>
          </w:p>
        </w:tc>
        <w:tc>
          <w:tcPr>
            <w:tcW w:w="1483" w:type="dxa"/>
            <w:shd w:val="clear" w:color="auto" w:fill="FFC000"/>
            <w:vAlign w:val="center"/>
          </w:tcPr>
          <w:p w14:paraId="5D0F9D42" w14:textId="77777777" w:rsidR="003F7A56" w:rsidRPr="0032536A" w:rsidRDefault="00EE48BB" w:rsidP="0025690A">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Kapacitet pripremanja hrane (broj obroka/dan koje ustanova može pripremiti</w:t>
            </w:r>
          </w:p>
        </w:tc>
        <w:tc>
          <w:tcPr>
            <w:tcW w:w="1255" w:type="dxa"/>
            <w:shd w:val="clear" w:color="auto" w:fill="FFC000"/>
            <w:vAlign w:val="center"/>
          </w:tcPr>
          <w:p w14:paraId="3B10D86D" w14:textId="77777777" w:rsidR="003F7A56" w:rsidRPr="0032536A" w:rsidRDefault="00EE48BB" w:rsidP="0025690A">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Godina izgradnje objekta</w:t>
            </w:r>
          </w:p>
        </w:tc>
      </w:tr>
      <w:tr w:rsidR="00CE628C" w:rsidRPr="004750F4" w14:paraId="0648185C" w14:textId="77777777" w:rsidTr="0025690A">
        <w:trPr>
          <w:cantSplit/>
        </w:trPr>
        <w:tc>
          <w:tcPr>
            <w:tcW w:w="685" w:type="dxa"/>
          </w:tcPr>
          <w:p w14:paraId="3E5B284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w:t>
            </w:r>
          </w:p>
        </w:tc>
        <w:tc>
          <w:tcPr>
            <w:tcW w:w="2054" w:type="dxa"/>
          </w:tcPr>
          <w:p w14:paraId="4A250555"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UČENIČKI DOM DORA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PEJAČEVIĆ </w:t>
            </w:r>
          </w:p>
        </w:tc>
        <w:tc>
          <w:tcPr>
            <w:tcW w:w="2054" w:type="dxa"/>
          </w:tcPr>
          <w:p w14:paraId="094A6A0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Trg. J.</w:t>
            </w:r>
            <w:r w:rsidR="00D20688"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F. Kennedy</w:t>
            </w:r>
            <w:r w:rsidR="00D20688" w:rsidRPr="0032536A">
              <w:rPr>
                <w:rFonts w:ascii="Times New Roman" w:eastAsia="Times New Roman" w:hAnsi="Times New Roman" w:cs="Times New Roman"/>
                <w:color w:val="auto"/>
              </w:rPr>
              <w:t>j</w:t>
            </w:r>
            <w:r w:rsidRPr="0032536A">
              <w:rPr>
                <w:rFonts w:ascii="Times New Roman" w:eastAsia="Times New Roman" w:hAnsi="Times New Roman" w:cs="Times New Roman"/>
                <w:color w:val="auto"/>
              </w:rPr>
              <w:t xml:space="preserve">a 3 </w:t>
            </w:r>
          </w:p>
        </w:tc>
        <w:tc>
          <w:tcPr>
            <w:tcW w:w="1541" w:type="dxa"/>
          </w:tcPr>
          <w:p w14:paraId="06D2EB8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120</w:t>
            </w:r>
          </w:p>
        </w:tc>
        <w:tc>
          <w:tcPr>
            <w:tcW w:w="1483" w:type="dxa"/>
          </w:tcPr>
          <w:p w14:paraId="64A1A6F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120</w:t>
            </w:r>
          </w:p>
        </w:tc>
        <w:tc>
          <w:tcPr>
            <w:tcW w:w="1255" w:type="dxa"/>
          </w:tcPr>
          <w:p w14:paraId="288EB87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1959.</w:t>
            </w:r>
          </w:p>
        </w:tc>
      </w:tr>
      <w:tr w:rsidR="00CE628C" w:rsidRPr="004750F4" w14:paraId="54CA4C06" w14:textId="77777777" w:rsidTr="0025690A">
        <w:trPr>
          <w:cantSplit/>
        </w:trPr>
        <w:tc>
          <w:tcPr>
            <w:tcW w:w="685" w:type="dxa"/>
          </w:tcPr>
          <w:p w14:paraId="16DB347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2.</w:t>
            </w:r>
          </w:p>
        </w:tc>
        <w:tc>
          <w:tcPr>
            <w:tcW w:w="2054" w:type="dxa"/>
          </w:tcPr>
          <w:p w14:paraId="7277EE00"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UČENIČKI DOM FRANJ</w:t>
            </w:r>
            <w:r w:rsidR="00D20688" w:rsidRPr="0032536A">
              <w:rPr>
                <w:rFonts w:ascii="Times New Roman" w:eastAsia="Times New Roman" w:hAnsi="Times New Roman" w:cs="Times New Roman"/>
                <w:color w:val="auto"/>
              </w:rPr>
              <w:t>E</w:t>
            </w:r>
            <w:r w:rsidRPr="0032536A">
              <w:rPr>
                <w:rFonts w:ascii="Times New Roman" w:eastAsia="Times New Roman" w:hAnsi="Times New Roman" w:cs="Times New Roman"/>
                <w:color w:val="auto"/>
              </w:rPr>
              <w:t xml:space="preserve"> BUČAR</w:t>
            </w:r>
            <w:r w:rsidR="00D20688" w:rsidRPr="0032536A">
              <w:rPr>
                <w:rFonts w:ascii="Times New Roman" w:eastAsia="Times New Roman" w:hAnsi="Times New Roman" w:cs="Times New Roman"/>
                <w:color w:val="auto"/>
              </w:rPr>
              <w:t>A</w:t>
            </w:r>
          </w:p>
        </w:tc>
        <w:tc>
          <w:tcPr>
            <w:tcW w:w="2054" w:type="dxa"/>
          </w:tcPr>
          <w:p w14:paraId="7DF2681D"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Trnjanska 33, Zagreb </w:t>
            </w:r>
          </w:p>
        </w:tc>
        <w:tc>
          <w:tcPr>
            <w:tcW w:w="1541" w:type="dxa"/>
          </w:tcPr>
          <w:p w14:paraId="579112F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240</w:t>
            </w:r>
          </w:p>
        </w:tc>
        <w:tc>
          <w:tcPr>
            <w:tcW w:w="1483" w:type="dxa"/>
          </w:tcPr>
          <w:p w14:paraId="7390DC3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350</w:t>
            </w:r>
          </w:p>
        </w:tc>
        <w:tc>
          <w:tcPr>
            <w:tcW w:w="1255" w:type="dxa"/>
          </w:tcPr>
          <w:p w14:paraId="175C8E4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1967.</w:t>
            </w:r>
          </w:p>
        </w:tc>
      </w:tr>
      <w:tr w:rsidR="00CE628C" w:rsidRPr="004750F4" w14:paraId="282923EB" w14:textId="77777777" w:rsidTr="0025690A">
        <w:trPr>
          <w:cantSplit/>
        </w:trPr>
        <w:tc>
          <w:tcPr>
            <w:tcW w:w="685" w:type="dxa"/>
          </w:tcPr>
          <w:p w14:paraId="6FD3580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3.</w:t>
            </w:r>
          </w:p>
        </w:tc>
        <w:tc>
          <w:tcPr>
            <w:tcW w:w="2054" w:type="dxa"/>
          </w:tcPr>
          <w:p w14:paraId="19E5A458"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UČENIČKI DOM IVANA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MAŽURANIĆA </w:t>
            </w:r>
          </w:p>
        </w:tc>
        <w:tc>
          <w:tcPr>
            <w:tcW w:w="2054" w:type="dxa"/>
          </w:tcPr>
          <w:p w14:paraId="19DE91A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Trg A.,</w:t>
            </w:r>
            <w:r w:rsidR="00D20688"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I. i V.</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Mažuranića 12 </w:t>
            </w:r>
          </w:p>
        </w:tc>
        <w:tc>
          <w:tcPr>
            <w:tcW w:w="1541" w:type="dxa"/>
          </w:tcPr>
          <w:p w14:paraId="0A8734D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112</w:t>
            </w:r>
          </w:p>
        </w:tc>
        <w:tc>
          <w:tcPr>
            <w:tcW w:w="1483" w:type="dxa"/>
          </w:tcPr>
          <w:p w14:paraId="0002451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330</w:t>
            </w:r>
          </w:p>
        </w:tc>
        <w:tc>
          <w:tcPr>
            <w:tcW w:w="1255" w:type="dxa"/>
          </w:tcPr>
          <w:p w14:paraId="722247C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1931.</w:t>
            </w:r>
          </w:p>
        </w:tc>
      </w:tr>
      <w:tr w:rsidR="00CE628C" w:rsidRPr="004750F4" w14:paraId="16C7AA1A" w14:textId="77777777" w:rsidTr="0025690A">
        <w:trPr>
          <w:cantSplit/>
        </w:trPr>
        <w:tc>
          <w:tcPr>
            <w:tcW w:w="685" w:type="dxa"/>
          </w:tcPr>
          <w:p w14:paraId="4D53C8A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4.</w:t>
            </w:r>
          </w:p>
        </w:tc>
        <w:tc>
          <w:tcPr>
            <w:tcW w:w="2054" w:type="dxa"/>
          </w:tcPr>
          <w:p w14:paraId="2245D084"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UČENIČKI DOM ANTE BRUNE</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BUŠIĆA </w:t>
            </w:r>
          </w:p>
        </w:tc>
        <w:tc>
          <w:tcPr>
            <w:tcW w:w="2054" w:type="dxa"/>
          </w:tcPr>
          <w:p w14:paraId="6B5D189D"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Gajeva 31, Zagreb </w:t>
            </w:r>
          </w:p>
        </w:tc>
        <w:tc>
          <w:tcPr>
            <w:tcW w:w="1541" w:type="dxa"/>
          </w:tcPr>
          <w:p w14:paraId="6D8635D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105</w:t>
            </w:r>
          </w:p>
        </w:tc>
        <w:tc>
          <w:tcPr>
            <w:tcW w:w="1483" w:type="dxa"/>
          </w:tcPr>
          <w:p w14:paraId="50CD8926"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315</w:t>
            </w:r>
          </w:p>
        </w:tc>
        <w:tc>
          <w:tcPr>
            <w:tcW w:w="1255" w:type="dxa"/>
          </w:tcPr>
          <w:p w14:paraId="7813484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1883.</w:t>
            </w:r>
          </w:p>
        </w:tc>
      </w:tr>
      <w:tr w:rsidR="00CE628C" w:rsidRPr="004750F4" w14:paraId="101DAB26" w14:textId="77777777" w:rsidTr="0025690A">
        <w:trPr>
          <w:cantSplit/>
        </w:trPr>
        <w:tc>
          <w:tcPr>
            <w:tcW w:w="685" w:type="dxa"/>
          </w:tcPr>
          <w:p w14:paraId="04D55BD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5.</w:t>
            </w:r>
          </w:p>
        </w:tc>
        <w:tc>
          <w:tcPr>
            <w:tcW w:w="2054" w:type="dxa"/>
          </w:tcPr>
          <w:p w14:paraId="08305FD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UČENIČKI DOM MAKSIMIR </w:t>
            </w:r>
          </w:p>
        </w:tc>
        <w:tc>
          <w:tcPr>
            <w:tcW w:w="2054" w:type="dxa"/>
          </w:tcPr>
          <w:p w14:paraId="42DA22D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Trg. J.</w:t>
            </w:r>
            <w:r w:rsidR="00D21FF1"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F. Kennedy</w:t>
            </w:r>
            <w:r w:rsidR="00D21FF1" w:rsidRPr="0032536A">
              <w:rPr>
                <w:rFonts w:ascii="Times New Roman" w:eastAsia="Times New Roman" w:hAnsi="Times New Roman" w:cs="Times New Roman"/>
                <w:color w:val="auto"/>
              </w:rPr>
              <w:t>j</w:t>
            </w:r>
            <w:r w:rsidRPr="0032536A">
              <w:rPr>
                <w:rFonts w:ascii="Times New Roman" w:eastAsia="Times New Roman" w:hAnsi="Times New Roman" w:cs="Times New Roman"/>
                <w:color w:val="auto"/>
              </w:rPr>
              <w:t xml:space="preserve">a 9 </w:t>
            </w:r>
          </w:p>
        </w:tc>
        <w:tc>
          <w:tcPr>
            <w:tcW w:w="1541" w:type="dxa"/>
          </w:tcPr>
          <w:p w14:paraId="457824A5" w14:textId="77777777" w:rsidR="003F7A56" w:rsidRPr="0032536A" w:rsidRDefault="00CE628C"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 xml:space="preserve"> </w:t>
            </w:r>
            <w:r w:rsidR="00900184" w:rsidRPr="0032536A">
              <w:rPr>
                <w:rFonts w:ascii="Times New Roman" w:eastAsia="Times New Roman" w:hAnsi="Times New Roman" w:cs="Times New Roman"/>
                <w:color w:val="auto"/>
              </w:rPr>
              <w:t>176</w:t>
            </w:r>
          </w:p>
        </w:tc>
        <w:tc>
          <w:tcPr>
            <w:tcW w:w="1483" w:type="dxa"/>
          </w:tcPr>
          <w:p w14:paraId="2D2295C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176</w:t>
            </w:r>
          </w:p>
        </w:tc>
        <w:tc>
          <w:tcPr>
            <w:tcW w:w="1255" w:type="dxa"/>
          </w:tcPr>
          <w:p w14:paraId="22D9945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1958.</w:t>
            </w:r>
          </w:p>
        </w:tc>
      </w:tr>
      <w:tr w:rsidR="00CE628C" w:rsidRPr="004750F4" w14:paraId="41314F3C" w14:textId="77777777" w:rsidTr="0025690A">
        <w:trPr>
          <w:cantSplit/>
        </w:trPr>
        <w:tc>
          <w:tcPr>
            <w:tcW w:w="685" w:type="dxa"/>
          </w:tcPr>
          <w:p w14:paraId="5D3B91D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6.</w:t>
            </w:r>
          </w:p>
        </w:tc>
        <w:tc>
          <w:tcPr>
            <w:tcW w:w="2054" w:type="dxa"/>
          </w:tcPr>
          <w:p w14:paraId="5156D86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UČENIČKI DOM NOVI ZAGREB</w:t>
            </w:r>
            <w:r w:rsidR="00E40AC8" w:rsidRPr="0032536A">
              <w:rPr>
                <w:rFonts w:ascii="Times New Roman" w:eastAsia="Times New Roman" w:hAnsi="Times New Roman" w:cs="Times New Roman"/>
                <w:color w:val="auto"/>
              </w:rPr>
              <w:t xml:space="preserve"> </w:t>
            </w:r>
          </w:p>
        </w:tc>
        <w:tc>
          <w:tcPr>
            <w:tcW w:w="2054" w:type="dxa"/>
          </w:tcPr>
          <w:p w14:paraId="0BB96F9E"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Zagreb, Av.</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Većeslava Holjevca 3 </w:t>
            </w:r>
          </w:p>
        </w:tc>
        <w:tc>
          <w:tcPr>
            <w:tcW w:w="1541" w:type="dxa"/>
          </w:tcPr>
          <w:p w14:paraId="63FBC5B5" w14:textId="77777777" w:rsidR="003F7A56" w:rsidRPr="0032536A" w:rsidRDefault="00CE628C"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 xml:space="preserve"> </w:t>
            </w:r>
            <w:r w:rsidR="00900184" w:rsidRPr="0032536A">
              <w:rPr>
                <w:rFonts w:ascii="Times New Roman" w:eastAsia="Times New Roman" w:hAnsi="Times New Roman" w:cs="Times New Roman"/>
                <w:color w:val="auto"/>
              </w:rPr>
              <w:t>700</w:t>
            </w:r>
          </w:p>
        </w:tc>
        <w:tc>
          <w:tcPr>
            <w:tcW w:w="1483" w:type="dxa"/>
          </w:tcPr>
          <w:p w14:paraId="4CDC8B4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2100</w:t>
            </w:r>
          </w:p>
        </w:tc>
        <w:tc>
          <w:tcPr>
            <w:tcW w:w="1255" w:type="dxa"/>
          </w:tcPr>
          <w:p w14:paraId="43D799B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1963.</w:t>
            </w:r>
          </w:p>
        </w:tc>
      </w:tr>
      <w:tr w:rsidR="00CE628C" w:rsidRPr="004750F4" w14:paraId="295A712D" w14:textId="77777777" w:rsidTr="0025690A">
        <w:trPr>
          <w:cantSplit/>
        </w:trPr>
        <w:tc>
          <w:tcPr>
            <w:tcW w:w="685" w:type="dxa"/>
          </w:tcPr>
          <w:p w14:paraId="1BB9826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7.</w:t>
            </w:r>
          </w:p>
        </w:tc>
        <w:tc>
          <w:tcPr>
            <w:tcW w:w="2054" w:type="dxa"/>
          </w:tcPr>
          <w:p w14:paraId="36CC2F1D"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UČENIČKI DOM</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HRVATSKI UČITELJSKI KONVIKT </w:t>
            </w:r>
          </w:p>
        </w:tc>
        <w:tc>
          <w:tcPr>
            <w:tcW w:w="2054" w:type="dxa"/>
          </w:tcPr>
          <w:p w14:paraId="52383DE1"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Klaićeva 56, Zagreb </w:t>
            </w:r>
          </w:p>
        </w:tc>
        <w:tc>
          <w:tcPr>
            <w:tcW w:w="1541" w:type="dxa"/>
          </w:tcPr>
          <w:p w14:paraId="52AAD27B"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210</w:t>
            </w:r>
          </w:p>
        </w:tc>
        <w:tc>
          <w:tcPr>
            <w:tcW w:w="1483" w:type="dxa"/>
          </w:tcPr>
          <w:p w14:paraId="7E59882E"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210</w:t>
            </w:r>
          </w:p>
        </w:tc>
        <w:tc>
          <w:tcPr>
            <w:tcW w:w="1255" w:type="dxa"/>
          </w:tcPr>
          <w:p w14:paraId="4BCA423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1892.</w:t>
            </w:r>
          </w:p>
        </w:tc>
      </w:tr>
      <w:tr w:rsidR="00CE628C" w:rsidRPr="004750F4" w14:paraId="40A03680" w14:textId="77777777" w:rsidTr="0025690A">
        <w:trPr>
          <w:cantSplit/>
        </w:trPr>
        <w:tc>
          <w:tcPr>
            <w:tcW w:w="685" w:type="dxa"/>
          </w:tcPr>
          <w:p w14:paraId="0DB48C3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8.</w:t>
            </w:r>
          </w:p>
        </w:tc>
        <w:tc>
          <w:tcPr>
            <w:tcW w:w="2054" w:type="dxa"/>
          </w:tcPr>
          <w:p w14:paraId="6274BF2C"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DOM UČENIKA</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SREDNJIH</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ŠKOLA A.</w:t>
            </w:r>
            <w:r w:rsidR="00D21FF1"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G.</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MATOŠ </w:t>
            </w:r>
          </w:p>
        </w:tc>
        <w:tc>
          <w:tcPr>
            <w:tcW w:w="2054" w:type="dxa"/>
          </w:tcPr>
          <w:p w14:paraId="33D6F1F9"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Trg Marka Marulića 6 </w:t>
            </w:r>
          </w:p>
        </w:tc>
        <w:tc>
          <w:tcPr>
            <w:tcW w:w="1541" w:type="dxa"/>
          </w:tcPr>
          <w:p w14:paraId="580DA204"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82</w:t>
            </w:r>
          </w:p>
        </w:tc>
        <w:tc>
          <w:tcPr>
            <w:tcW w:w="1483" w:type="dxa"/>
          </w:tcPr>
          <w:p w14:paraId="1E0D550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82</w:t>
            </w:r>
          </w:p>
        </w:tc>
        <w:tc>
          <w:tcPr>
            <w:tcW w:w="1255" w:type="dxa"/>
          </w:tcPr>
          <w:p w14:paraId="00831A9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1925.</w:t>
            </w:r>
          </w:p>
        </w:tc>
      </w:tr>
      <w:tr w:rsidR="00CE628C" w:rsidRPr="004750F4" w14:paraId="7087DBF2" w14:textId="77777777" w:rsidTr="0025690A">
        <w:trPr>
          <w:cantSplit/>
        </w:trPr>
        <w:tc>
          <w:tcPr>
            <w:tcW w:w="685" w:type="dxa"/>
          </w:tcPr>
          <w:p w14:paraId="5D579AF3"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9.</w:t>
            </w:r>
          </w:p>
        </w:tc>
        <w:tc>
          <w:tcPr>
            <w:tcW w:w="2054" w:type="dxa"/>
          </w:tcPr>
          <w:p w14:paraId="04E04867"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UČENIČKI DOM TINA UJEVIĆA </w:t>
            </w:r>
          </w:p>
        </w:tc>
        <w:tc>
          <w:tcPr>
            <w:tcW w:w="2054" w:type="dxa"/>
          </w:tcPr>
          <w:p w14:paraId="2B464F04"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Av. Gojka Šuška 4, Zagreb </w:t>
            </w:r>
          </w:p>
        </w:tc>
        <w:tc>
          <w:tcPr>
            <w:tcW w:w="1541" w:type="dxa"/>
          </w:tcPr>
          <w:p w14:paraId="43521DC0"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250</w:t>
            </w:r>
          </w:p>
        </w:tc>
        <w:tc>
          <w:tcPr>
            <w:tcW w:w="1483" w:type="dxa"/>
          </w:tcPr>
          <w:p w14:paraId="404C2BA9"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900</w:t>
            </w:r>
          </w:p>
        </w:tc>
        <w:tc>
          <w:tcPr>
            <w:tcW w:w="1255" w:type="dxa"/>
          </w:tcPr>
          <w:p w14:paraId="4533D53A"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1992.</w:t>
            </w:r>
          </w:p>
        </w:tc>
      </w:tr>
      <w:tr w:rsidR="00CE628C" w:rsidRPr="004750F4" w14:paraId="20BED0CF" w14:textId="77777777" w:rsidTr="0025690A">
        <w:trPr>
          <w:cantSplit/>
        </w:trPr>
        <w:tc>
          <w:tcPr>
            <w:tcW w:w="685" w:type="dxa"/>
          </w:tcPr>
          <w:p w14:paraId="270DD6D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10.</w:t>
            </w:r>
          </w:p>
        </w:tc>
        <w:tc>
          <w:tcPr>
            <w:tcW w:w="2054" w:type="dxa"/>
          </w:tcPr>
          <w:p w14:paraId="58F8B12D"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UČENIČKI DOM MARIJE</w:t>
            </w:r>
            <w:r w:rsidR="00CE628C" w:rsidRPr="0032536A">
              <w:rPr>
                <w:rFonts w:ascii="Times New Roman" w:eastAsia="Times New Roman" w:hAnsi="Times New Roman" w:cs="Times New Roman"/>
                <w:color w:val="auto"/>
              </w:rPr>
              <w:t xml:space="preserve"> </w:t>
            </w:r>
            <w:r w:rsidRPr="0032536A">
              <w:rPr>
                <w:rFonts w:ascii="Times New Roman" w:eastAsia="Times New Roman" w:hAnsi="Times New Roman" w:cs="Times New Roman"/>
                <w:color w:val="auto"/>
              </w:rPr>
              <w:t xml:space="preserve">JAMBRIŠAK </w:t>
            </w:r>
          </w:p>
        </w:tc>
        <w:tc>
          <w:tcPr>
            <w:tcW w:w="2054" w:type="dxa"/>
          </w:tcPr>
          <w:p w14:paraId="57B203D5"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color w:val="auto"/>
              </w:rPr>
              <w:t xml:space="preserve">Opatička 14, Zagreb </w:t>
            </w:r>
          </w:p>
        </w:tc>
        <w:tc>
          <w:tcPr>
            <w:tcW w:w="1541" w:type="dxa"/>
          </w:tcPr>
          <w:p w14:paraId="6349DF3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173</w:t>
            </w:r>
          </w:p>
        </w:tc>
        <w:tc>
          <w:tcPr>
            <w:tcW w:w="1483" w:type="dxa"/>
          </w:tcPr>
          <w:p w14:paraId="24051CD8"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173</w:t>
            </w:r>
          </w:p>
        </w:tc>
        <w:tc>
          <w:tcPr>
            <w:tcW w:w="1255" w:type="dxa"/>
          </w:tcPr>
          <w:p w14:paraId="73305877"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color w:val="auto"/>
              </w:rPr>
              <w:t>1779.</w:t>
            </w:r>
          </w:p>
        </w:tc>
      </w:tr>
      <w:tr w:rsidR="00CE628C" w:rsidRPr="004750F4" w14:paraId="36B00F09" w14:textId="77777777" w:rsidTr="0025690A">
        <w:trPr>
          <w:cantSplit/>
        </w:trPr>
        <w:tc>
          <w:tcPr>
            <w:tcW w:w="685" w:type="dxa"/>
            <w:shd w:val="clear" w:color="auto" w:fill="FFC000"/>
          </w:tcPr>
          <w:p w14:paraId="535D472D" w14:textId="77777777" w:rsidR="003F7A56" w:rsidRPr="0032536A" w:rsidRDefault="003F7A56" w:rsidP="00CE628C">
            <w:pPr>
              <w:spacing w:after="0" w:line="240" w:lineRule="auto"/>
              <w:ind w:left="0" w:right="0" w:firstLine="0"/>
              <w:jc w:val="center"/>
              <w:rPr>
                <w:rFonts w:ascii="Times New Roman" w:hAnsi="Times New Roman" w:cs="Times New Roman"/>
                <w:color w:val="auto"/>
              </w:rPr>
            </w:pPr>
          </w:p>
        </w:tc>
        <w:tc>
          <w:tcPr>
            <w:tcW w:w="4108" w:type="dxa"/>
            <w:gridSpan w:val="2"/>
            <w:shd w:val="clear" w:color="auto" w:fill="FFC000"/>
          </w:tcPr>
          <w:p w14:paraId="3C80691B" w14:textId="77777777" w:rsidR="003F7A56" w:rsidRPr="0032536A" w:rsidRDefault="00900184" w:rsidP="00CE628C">
            <w:pPr>
              <w:spacing w:after="0" w:line="240" w:lineRule="auto"/>
              <w:ind w:left="0" w:right="0" w:firstLine="0"/>
              <w:jc w:val="left"/>
              <w:rPr>
                <w:rFonts w:ascii="Times New Roman" w:hAnsi="Times New Roman" w:cs="Times New Roman"/>
                <w:color w:val="auto"/>
              </w:rPr>
            </w:pPr>
            <w:r w:rsidRPr="0032536A">
              <w:rPr>
                <w:rFonts w:ascii="Times New Roman" w:eastAsia="Times New Roman" w:hAnsi="Times New Roman" w:cs="Times New Roman"/>
                <w:b/>
                <w:color w:val="auto"/>
              </w:rPr>
              <w:t xml:space="preserve">UKUPNO </w:t>
            </w:r>
          </w:p>
        </w:tc>
        <w:tc>
          <w:tcPr>
            <w:tcW w:w="1541" w:type="dxa"/>
            <w:shd w:val="clear" w:color="auto" w:fill="FFC000"/>
          </w:tcPr>
          <w:p w14:paraId="254D0FE5"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2168</w:t>
            </w:r>
          </w:p>
        </w:tc>
        <w:tc>
          <w:tcPr>
            <w:tcW w:w="1483" w:type="dxa"/>
            <w:shd w:val="clear" w:color="auto" w:fill="FFC000"/>
          </w:tcPr>
          <w:p w14:paraId="18678AED" w14:textId="77777777" w:rsidR="003F7A56" w:rsidRPr="0032536A" w:rsidRDefault="00900184" w:rsidP="00CE628C">
            <w:pPr>
              <w:spacing w:after="0" w:line="240" w:lineRule="auto"/>
              <w:ind w:left="0" w:right="0" w:firstLine="0"/>
              <w:jc w:val="center"/>
              <w:rPr>
                <w:rFonts w:ascii="Times New Roman" w:hAnsi="Times New Roman" w:cs="Times New Roman"/>
                <w:color w:val="auto"/>
              </w:rPr>
            </w:pPr>
            <w:r w:rsidRPr="0032536A">
              <w:rPr>
                <w:rFonts w:ascii="Times New Roman" w:eastAsia="Times New Roman" w:hAnsi="Times New Roman" w:cs="Times New Roman"/>
                <w:b/>
                <w:color w:val="auto"/>
              </w:rPr>
              <w:t>4756</w:t>
            </w:r>
          </w:p>
        </w:tc>
        <w:tc>
          <w:tcPr>
            <w:tcW w:w="1255" w:type="dxa"/>
            <w:shd w:val="clear" w:color="auto" w:fill="FFC000"/>
          </w:tcPr>
          <w:p w14:paraId="57496B8E" w14:textId="77777777" w:rsidR="003F7A56" w:rsidRPr="0032536A" w:rsidRDefault="003F7A56" w:rsidP="00CE628C">
            <w:pPr>
              <w:spacing w:after="0" w:line="240" w:lineRule="auto"/>
              <w:ind w:left="0" w:right="0" w:firstLine="0"/>
              <w:jc w:val="center"/>
              <w:rPr>
                <w:rFonts w:ascii="Times New Roman" w:hAnsi="Times New Roman" w:cs="Times New Roman"/>
                <w:color w:val="auto"/>
              </w:rPr>
            </w:pPr>
          </w:p>
        </w:tc>
      </w:tr>
    </w:tbl>
    <w:p w14:paraId="1B3DAE0E" w14:textId="77777777" w:rsidR="00395E37" w:rsidRPr="0032536A" w:rsidRDefault="00900184" w:rsidP="00D21FF1">
      <w:pPr>
        <w:spacing w:after="0" w:line="240" w:lineRule="auto"/>
        <w:ind w:left="-113" w:right="-113" w:firstLine="0"/>
        <w:jc w:val="center"/>
        <w:rPr>
          <w:rFonts w:ascii="Times New Roman" w:eastAsia="Calibri" w:hAnsi="Times New Roman" w:cs="Times New Roman"/>
          <w:i/>
          <w:color w:val="auto"/>
          <w:sz w:val="20"/>
        </w:rPr>
      </w:pPr>
      <w:r w:rsidRPr="0032536A">
        <w:rPr>
          <w:rFonts w:ascii="Times New Roman" w:eastAsia="Calibri" w:hAnsi="Times New Roman" w:cs="Times New Roman"/>
          <w:i/>
          <w:color w:val="auto"/>
          <w:sz w:val="20"/>
        </w:rPr>
        <w:t xml:space="preserve">Izvor: Gradski ured za obrazovanje; godine izgradnje </w:t>
      </w:r>
      <w:r w:rsidR="00EE6A22" w:rsidRPr="0032536A">
        <w:rPr>
          <w:rFonts w:ascii="Times New Roman" w:eastAsia="Calibri" w:hAnsi="Times New Roman" w:cs="Times New Roman"/>
          <w:i/>
          <w:color w:val="auto"/>
          <w:sz w:val="20"/>
        </w:rPr>
        <w:t>-</w:t>
      </w:r>
      <w:r w:rsidRPr="0032536A">
        <w:rPr>
          <w:rFonts w:ascii="Times New Roman" w:eastAsia="Calibri" w:hAnsi="Times New Roman" w:cs="Times New Roman"/>
          <w:i/>
          <w:color w:val="auto"/>
          <w:sz w:val="20"/>
        </w:rPr>
        <w:t xml:space="preserve"> Gradski ured za imovinsko</w:t>
      </w:r>
      <w:r w:rsidR="00EE6A22" w:rsidRPr="0032536A">
        <w:rPr>
          <w:rFonts w:ascii="Times New Roman" w:eastAsia="Calibri" w:hAnsi="Times New Roman" w:cs="Times New Roman"/>
          <w:i/>
          <w:color w:val="auto"/>
          <w:sz w:val="20"/>
        </w:rPr>
        <w:t>-</w:t>
      </w:r>
      <w:r w:rsidRPr="0032536A">
        <w:rPr>
          <w:rFonts w:ascii="Times New Roman" w:eastAsia="Calibri" w:hAnsi="Times New Roman" w:cs="Times New Roman"/>
          <w:i/>
          <w:color w:val="auto"/>
          <w:sz w:val="20"/>
        </w:rPr>
        <w:t xml:space="preserve">pravne poslove i imovinu </w:t>
      </w:r>
      <w:r w:rsidR="0025690A" w:rsidRPr="0032536A">
        <w:rPr>
          <w:rFonts w:ascii="Times New Roman" w:eastAsia="Calibri" w:hAnsi="Times New Roman" w:cs="Times New Roman"/>
          <w:i/>
          <w:color w:val="auto"/>
          <w:sz w:val="20"/>
        </w:rPr>
        <w:t>Grada</w:t>
      </w:r>
      <w:bookmarkStart w:id="22" w:name="_Toc2938542"/>
    </w:p>
    <w:p w14:paraId="284B0423" w14:textId="77777777" w:rsidR="00CE628C" w:rsidRDefault="00CE628C" w:rsidP="00395E37">
      <w:pPr>
        <w:spacing w:after="0" w:line="240" w:lineRule="auto"/>
        <w:ind w:right="0"/>
        <w:rPr>
          <w:rFonts w:ascii="Times New Roman" w:hAnsi="Times New Roman" w:cs="Times New Roman"/>
          <w:sz w:val="24"/>
        </w:rPr>
      </w:pPr>
    </w:p>
    <w:p w14:paraId="60EA7D44" w14:textId="77777777" w:rsidR="00E40AC8" w:rsidRPr="00395E37" w:rsidRDefault="00900184" w:rsidP="00395E37">
      <w:pPr>
        <w:spacing w:after="0" w:line="240" w:lineRule="auto"/>
        <w:ind w:left="0" w:right="0" w:firstLine="709"/>
        <w:rPr>
          <w:rFonts w:ascii="Times New Roman" w:hAnsi="Times New Roman" w:cs="Times New Roman"/>
          <w:b/>
          <w:sz w:val="24"/>
        </w:rPr>
      </w:pPr>
      <w:r w:rsidRPr="00F061D5">
        <w:rPr>
          <w:rFonts w:ascii="Times New Roman" w:hAnsi="Times New Roman" w:cs="Times New Roman"/>
          <w:b/>
          <w:sz w:val="24"/>
        </w:rPr>
        <w:t>2.2.4. Broj kućanstava</w:t>
      </w:r>
      <w:bookmarkEnd w:id="22"/>
    </w:p>
    <w:p w14:paraId="48437499" w14:textId="6F892C0B" w:rsidR="00EB7724" w:rsidRDefault="00EB7724" w:rsidP="00EB7724">
      <w:pPr>
        <w:spacing w:after="0" w:line="240" w:lineRule="auto"/>
        <w:ind w:left="0" w:right="0" w:firstLine="709"/>
        <w:rPr>
          <w:rFonts w:ascii="Times New Roman" w:hAnsi="Times New Roman" w:cs="Times New Roman"/>
          <w:color w:val="auto"/>
          <w:sz w:val="24"/>
        </w:rPr>
      </w:pPr>
      <w:r w:rsidRPr="00EB7724">
        <w:rPr>
          <w:rFonts w:ascii="Times New Roman" w:hAnsi="Times New Roman" w:cs="Times New Roman"/>
          <w:color w:val="auto"/>
          <w:sz w:val="24"/>
        </w:rPr>
        <w:t>Prema prvim rezultatima Popisa stanovništva, kućanstava i stanova 2021. (Popis 2021.) ukupan broj stanovnika u Gradu</w:t>
      </w:r>
      <w:r>
        <w:rPr>
          <w:rFonts w:ascii="Times New Roman" w:hAnsi="Times New Roman" w:cs="Times New Roman"/>
          <w:color w:val="auto"/>
          <w:sz w:val="24"/>
        </w:rPr>
        <w:t xml:space="preserve"> </w:t>
      </w:r>
      <w:r w:rsidRPr="00EB7724">
        <w:rPr>
          <w:rFonts w:ascii="Times New Roman" w:hAnsi="Times New Roman" w:cs="Times New Roman"/>
          <w:color w:val="auto"/>
          <w:sz w:val="24"/>
        </w:rPr>
        <w:t>Zagrebu iznosio je 769 944 osoba, broj privatnih kućanstava bio je 299 792, a stambenih jedinica 393 433.</w:t>
      </w:r>
      <w:r>
        <w:rPr>
          <w:rFonts w:ascii="Times New Roman" w:hAnsi="Times New Roman" w:cs="Times New Roman"/>
          <w:color w:val="auto"/>
          <w:sz w:val="24"/>
        </w:rPr>
        <w:t xml:space="preserve"> </w:t>
      </w:r>
      <w:r w:rsidRPr="00EB7724">
        <w:rPr>
          <w:rFonts w:ascii="Times New Roman" w:hAnsi="Times New Roman" w:cs="Times New Roman"/>
          <w:color w:val="auto"/>
          <w:sz w:val="24"/>
        </w:rPr>
        <w:t>Usporede li se privremeni podaci Popisa 2021. s konačnim podacima Popisa stanovništva, kućanstava i stanova 2011.</w:t>
      </w:r>
      <w:r>
        <w:rPr>
          <w:rFonts w:ascii="Times New Roman" w:hAnsi="Times New Roman" w:cs="Times New Roman"/>
          <w:color w:val="auto"/>
          <w:sz w:val="24"/>
        </w:rPr>
        <w:t xml:space="preserve"> </w:t>
      </w:r>
      <w:r w:rsidRPr="00EB7724">
        <w:rPr>
          <w:rFonts w:ascii="Times New Roman" w:hAnsi="Times New Roman" w:cs="Times New Roman"/>
          <w:color w:val="auto"/>
          <w:sz w:val="24"/>
        </w:rPr>
        <w:t>(Popis 2011.), broj stanovnika u Gradu Zagrebu smanjio se za 2,5%, odnosno za 20 073 osobe, broj privatnih kućanstava</w:t>
      </w:r>
      <w:r>
        <w:rPr>
          <w:rFonts w:ascii="Times New Roman" w:hAnsi="Times New Roman" w:cs="Times New Roman"/>
          <w:color w:val="auto"/>
          <w:sz w:val="24"/>
        </w:rPr>
        <w:t xml:space="preserve"> </w:t>
      </w:r>
      <w:r w:rsidRPr="00EB7724">
        <w:rPr>
          <w:rFonts w:ascii="Times New Roman" w:hAnsi="Times New Roman" w:cs="Times New Roman"/>
          <w:color w:val="auto"/>
          <w:sz w:val="24"/>
        </w:rPr>
        <w:t>smanjen je za 1,2%, odnosno za 3 649 kućanstava, dok se ukupan broj stambenih jedinica povećao za 2,4%, odnosno</w:t>
      </w:r>
      <w:r>
        <w:rPr>
          <w:rFonts w:ascii="Times New Roman" w:hAnsi="Times New Roman" w:cs="Times New Roman"/>
          <w:color w:val="auto"/>
          <w:sz w:val="24"/>
        </w:rPr>
        <w:t xml:space="preserve"> </w:t>
      </w:r>
      <w:r w:rsidRPr="00EB7724">
        <w:rPr>
          <w:rFonts w:ascii="Times New Roman" w:hAnsi="Times New Roman" w:cs="Times New Roman"/>
          <w:color w:val="auto"/>
          <w:sz w:val="24"/>
        </w:rPr>
        <w:t>za 9 100 stambenih jedinica.</w:t>
      </w:r>
      <w:r w:rsidR="00900184" w:rsidRPr="0032536A">
        <w:rPr>
          <w:rFonts w:ascii="Times New Roman" w:hAnsi="Times New Roman" w:cs="Times New Roman"/>
          <w:color w:val="auto"/>
          <w:sz w:val="24"/>
        </w:rPr>
        <w:t>Broj kućanstava rastao je brže od broja stanovnika što se odrazilo na smanjenje prosječnog broja članova kućanstava u Gradu Zagrebu s 2,83 u 2001. na 2,60 u 2011. Neproporcionalan rast broja kućanstava u odnosu na broj stanovnika rezultat je intenzivne izgradnje stambenih objekata, osobito u razdoblju od 2004. do 2010. godine. U strukturi kućanstava izrazito prevladavaju obiteljska kućanstva. Udio instituci</w:t>
      </w:r>
      <w:r w:rsidR="00D50A9D" w:rsidRPr="0032536A">
        <w:rPr>
          <w:rFonts w:ascii="Times New Roman" w:hAnsi="Times New Roman" w:cs="Times New Roman"/>
          <w:color w:val="auto"/>
          <w:sz w:val="24"/>
        </w:rPr>
        <w:t xml:space="preserve">jskih </w:t>
      </w:r>
      <w:r w:rsidR="00900184" w:rsidRPr="0032536A">
        <w:rPr>
          <w:rFonts w:ascii="Times New Roman" w:hAnsi="Times New Roman" w:cs="Times New Roman"/>
          <w:color w:val="auto"/>
          <w:sz w:val="24"/>
        </w:rPr>
        <w:t>kućanstava, to jest onih sastavljenih od osoba koje žive u ustanovama za trajno zbrinjavanje djece i odraslih, u bolnicama za trajni smještaj neizlječivih bolesnika, samostanima, objektima vojske, policije, pravosuđa i drugih vrlo je malen (2011. je bio ispod 0,37</w:t>
      </w:r>
      <w:r w:rsidR="00E05F09" w:rsidRPr="0032536A">
        <w:rPr>
          <w:rFonts w:ascii="Times New Roman" w:hAnsi="Times New Roman" w:cs="Times New Roman"/>
          <w:color w:val="auto"/>
          <w:sz w:val="24"/>
        </w:rPr>
        <w:t> %</w:t>
      </w:r>
      <w:r w:rsidR="00900184" w:rsidRPr="0032536A">
        <w:rPr>
          <w:rFonts w:ascii="Times New Roman" w:hAnsi="Times New Roman" w:cs="Times New Roman"/>
          <w:color w:val="auto"/>
          <w:sz w:val="24"/>
        </w:rPr>
        <w:t>). Njihov broj ipak bilježi postupan porast te ih je 2011. u Gradu Zagrebu bilo 215, s ukupno 8.745 osoba.</w:t>
      </w:r>
    </w:p>
    <w:p w14:paraId="28D01D73" w14:textId="4800E1E2" w:rsidR="00C324E8" w:rsidRDefault="00900184" w:rsidP="0078362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lastRenderedPageBreak/>
        <w:t>Sva kućanstva na području Grada Zagreba izložena su određenim prijetnjama koje se obrađuju u Procjeni rizika</w:t>
      </w:r>
      <w:r w:rsidR="00D856CC">
        <w:rPr>
          <w:rFonts w:ascii="Times New Roman" w:hAnsi="Times New Roman" w:cs="Times New Roman"/>
          <w:sz w:val="24"/>
        </w:rPr>
        <w:t>, ali</w:t>
      </w:r>
      <w:r w:rsidRPr="005142C4">
        <w:rPr>
          <w:rFonts w:ascii="Times New Roman" w:hAnsi="Times New Roman" w:cs="Times New Roman"/>
          <w:sz w:val="24"/>
        </w:rPr>
        <w:t xml:space="preserve"> ne na jednak način i ne jednakom vjerojatnošću. Zbog veličine područja Grada Zagreba i nepostojanja detaljnijih baza podataka broj kućanstava koji je najugroženiji zbog prijetnji koje se obrađuju u ovoj </w:t>
      </w:r>
      <w:r w:rsidR="00D50A9D">
        <w:rPr>
          <w:rFonts w:ascii="Times New Roman" w:hAnsi="Times New Roman" w:cs="Times New Roman"/>
          <w:sz w:val="24"/>
        </w:rPr>
        <w:t>p</w:t>
      </w:r>
      <w:r w:rsidR="00F92182" w:rsidRPr="005142C4">
        <w:rPr>
          <w:rFonts w:ascii="Times New Roman" w:hAnsi="Times New Roman" w:cs="Times New Roman"/>
          <w:sz w:val="24"/>
        </w:rPr>
        <w:t xml:space="preserve">rocjeni </w:t>
      </w:r>
      <w:r w:rsidRPr="005142C4">
        <w:rPr>
          <w:rFonts w:ascii="Times New Roman" w:hAnsi="Times New Roman" w:cs="Times New Roman"/>
          <w:sz w:val="24"/>
        </w:rPr>
        <w:t>rizika promatrat će se s obzirom na sveukupnost stanovništva na području jedne gradske četvrti uzimajući u obzir specifičnost područja unutar te gradske četvrti (npr. blizina vodotoka, potresni rizik, blizina industrijskih zona i sl.)</w:t>
      </w:r>
    </w:p>
    <w:p w14:paraId="64E67098" w14:textId="777A5AB8" w:rsidR="003E5482" w:rsidRDefault="003E5482" w:rsidP="00783622">
      <w:pPr>
        <w:spacing w:after="0" w:line="240" w:lineRule="auto"/>
        <w:ind w:left="0" w:right="0" w:firstLine="709"/>
        <w:rPr>
          <w:rFonts w:ascii="Times New Roman" w:hAnsi="Times New Roman" w:cs="Times New Roman"/>
          <w:sz w:val="24"/>
        </w:rPr>
      </w:pPr>
    </w:p>
    <w:p w14:paraId="7EF29159" w14:textId="4DE5DEF7" w:rsidR="00E40AC8" w:rsidRPr="0032536A" w:rsidRDefault="00900184" w:rsidP="009D5EFE">
      <w:pPr>
        <w:spacing w:line="240" w:lineRule="auto"/>
        <w:ind w:left="0" w:right="0" w:firstLine="0"/>
        <w:jc w:val="center"/>
        <w:rPr>
          <w:rFonts w:ascii="Times New Roman" w:hAnsi="Times New Roman" w:cs="Times New Roman"/>
          <w:b/>
          <w:color w:val="auto"/>
          <w:sz w:val="24"/>
        </w:rPr>
      </w:pPr>
      <w:r w:rsidRPr="0032536A">
        <w:rPr>
          <w:rFonts w:ascii="Times New Roman" w:hAnsi="Times New Roman" w:cs="Times New Roman"/>
          <w:b/>
          <w:color w:val="auto"/>
          <w:sz w:val="24"/>
        </w:rPr>
        <w:t>Tablica 1</w:t>
      </w:r>
      <w:r w:rsidR="00E12671">
        <w:rPr>
          <w:rFonts w:ascii="Times New Roman" w:hAnsi="Times New Roman" w:cs="Times New Roman"/>
          <w:b/>
          <w:color w:val="auto"/>
          <w:sz w:val="24"/>
        </w:rPr>
        <w:t>3</w:t>
      </w:r>
      <w:r w:rsidRPr="0032536A">
        <w:rPr>
          <w:rFonts w:ascii="Times New Roman" w:hAnsi="Times New Roman" w:cs="Times New Roman"/>
          <w:b/>
          <w:color w:val="auto"/>
          <w:sz w:val="24"/>
        </w:rPr>
        <w:t>. Broj kućanstava po gradskim četvrtima Grada Zagreba 2001. i 2011.</w:t>
      </w:r>
    </w:p>
    <w:p w14:paraId="4E2B02C1" w14:textId="77777777" w:rsidR="00E40AC8" w:rsidRPr="0032536A" w:rsidRDefault="00900184" w:rsidP="00D21FF1">
      <w:pPr>
        <w:spacing w:after="0" w:line="240" w:lineRule="auto"/>
        <w:ind w:left="0" w:right="0" w:firstLine="0"/>
        <w:jc w:val="center"/>
        <w:rPr>
          <w:rFonts w:ascii="Times New Roman" w:hAnsi="Times New Roman" w:cs="Times New Roman"/>
          <w:b/>
          <w:color w:val="auto"/>
          <w:sz w:val="24"/>
        </w:rPr>
      </w:pPr>
      <w:r w:rsidRPr="0032536A">
        <w:rPr>
          <w:rFonts w:ascii="Times New Roman" w:hAnsi="Times New Roman" w:cs="Times New Roman"/>
          <w:noProof/>
          <w:color w:val="auto"/>
          <w:sz w:val="24"/>
        </w:rPr>
        <w:drawing>
          <wp:inline distT="0" distB="0" distL="0" distR="0" wp14:anchorId="37018233" wp14:editId="4FECB6F1">
            <wp:extent cx="5003320" cy="3856639"/>
            <wp:effectExtent l="0" t="0" r="6985" b="0"/>
            <wp:docPr id="21951" name="Picture 21951"/>
            <wp:cNvGraphicFramePr/>
            <a:graphic xmlns:a="http://schemas.openxmlformats.org/drawingml/2006/main">
              <a:graphicData uri="http://schemas.openxmlformats.org/drawingml/2006/picture">
                <pic:pic xmlns:pic="http://schemas.openxmlformats.org/drawingml/2006/picture">
                  <pic:nvPicPr>
                    <pic:cNvPr id="21951" name="Picture 21951"/>
                    <pic:cNvPicPr/>
                  </pic:nvPicPr>
                  <pic:blipFill>
                    <a:blip r:embed="rId19">
                      <a:extLst>
                        <a:ext uri="{28A0092B-C50C-407E-A947-70E740481C1C}">
                          <a14:useLocalDpi xmlns:a14="http://schemas.microsoft.com/office/drawing/2010/main" val="0"/>
                        </a:ext>
                      </a:extLst>
                    </a:blip>
                    <a:stretch>
                      <a:fillRect/>
                    </a:stretch>
                  </pic:blipFill>
                  <pic:spPr>
                    <a:xfrm>
                      <a:off x="0" y="0"/>
                      <a:ext cx="5013402" cy="3864411"/>
                    </a:xfrm>
                    <a:prstGeom prst="rect">
                      <a:avLst/>
                    </a:prstGeom>
                  </pic:spPr>
                </pic:pic>
              </a:graphicData>
            </a:graphic>
          </wp:inline>
        </w:drawing>
      </w:r>
    </w:p>
    <w:p w14:paraId="63157A7B" w14:textId="77777777" w:rsidR="00E40AC8" w:rsidRPr="0032536A" w:rsidRDefault="00900184" w:rsidP="005142C4">
      <w:pPr>
        <w:spacing w:after="0" w:line="240" w:lineRule="auto"/>
        <w:ind w:left="0" w:right="0" w:firstLine="0"/>
        <w:jc w:val="center"/>
        <w:rPr>
          <w:rFonts w:ascii="Times New Roman" w:eastAsia="Calibri" w:hAnsi="Times New Roman" w:cs="Times New Roman"/>
          <w:b/>
          <w:i/>
          <w:color w:val="auto"/>
          <w:sz w:val="20"/>
        </w:rPr>
      </w:pPr>
      <w:r w:rsidRPr="0032536A">
        <w:rPr>
          <w:rFonts w:ascii="Times New Roman" w:eastAsia="Calibri" w:hAnsi="Times New Roman" w:cs="Times New Roman"/>
          <w:i/>
          <w:color w:val="auto"/>
          <w:sz w:val="20"/>
        </w:rPr>
        <w:t>Izvor: Zavod za prostorno uređenje Grada Zagreba na temelju podataka Državnog zavoda za statistiku</w:t>
      </w:r>
    </w:p>
    <w:p w14:paraId="4A08AEC1" w14:textId="77777777" w:rsidR="00D21FF1" w:rsidRPr="00D21FF1" w:rsidRDefault="00D21FF1" w:rsidP="005142C4">
      <w:pPr>
        <w:spacing w:after="0" w:line="240" w:lineRule="auto"/>
        <w:ind w:left="0" w:right="0" w:firstLine="0"/>
        <w:rPr>
          <w:rFonts w:ascii="Times New Roman" w:hAnsi="Times New Roman" w:cs="Times New Roman"/>
          <w:sz w:val="24"/>
        </w:rPr>
      </w:pPr>
    </w:p>
    <w:p w14:paraId="4A24F56F" w14:textId="588FA3F2" w:rsidR="00E40AC8" w:rsidRPr="005142C4" w:rsidRDefault="00900184" w:rsidP="00D21FF1">
      <w:pPr>
        <w:spacing w:after="0" w:line="240" w:lineRule="auto"/>
        <w:ind w:left="0" w:right="0" w:firstLine="709"/>
        <w:rPr>
          <w:rFonts w:ascii="Times New Roman" w:hAnsi="Times New Roman" w:cs="Times New Roman"/>
          <w:sz w:val="24"/>
        </w:rPr>
      </w:pPr>
      <w:r w:rsidRPr="005142C4">
        <w:rPr>
          <w:rFonts w:ascii="Times New Roman" w:hAnsi="Times New Roman" w:cs="Times New Roman"/>
          <w:b/>
          <w:sz w:val="24"/>
        </w:rPr>
        <w:t>Razoran potres</w:t>
      </w:r>
      <w:r w:rsidRPr="005142C4">
        <w:rPr>
          <w:rFonts w:ascii="Times New Roman" w:hAnsi="Times New Roman" w:cs="Times New Roman"/>
          <w:sz w:val="24"/>
        </w:rPr>
        <w:t xml:space="preserve"> </w:t>
      </w:r>
      <w:r w:rsidR="00D50A9D">
        <w:rPr>
          <w:rFonts w:ascii="Times New Roman" w:hAnsi="Times New Roman" w:cs="Times New Roman"/>
          <w:sz w:val="24"/>
        </w:rPr>
        <w:t xml:space="preserve">je </w:t>
      </w:r>
      <w:r w:rsidRPr="005142C4">
        <w:rPr>
          <w:rFonts w:ascii="Times New Roman" w:hAnsi="Times New Roman" w:cs="Times New Roman"/>
          <w:sz w:val="24"/>
        </w:rPr>
        <w:t>najveć</w:t>
      </w:r>
      <w:r w:rsidR="00D50A9D">
        <w:rPr>
          <w:rFonts w:ascii="Times New Roman" w:hAnsi="Times New Roman" w:cs="Times New Roman"/>
          <w:sz w:val="24"/>
        </w:rPr>
        <w:t>a</w:t>
      </w:r>
      <w:r w:rsidRPr="005142C4">
        <w:rPr>
          <w:rFonts w:ascii="Times New Roman" w:hAnsi="Times New Roman" w:cs="Times New Roman"/>
          <w:sz w:val="24"/>
        </w:rPr>
        <w:t xml:space="preserve"> prijetnj</w:t>
      </w:r>
      <w:r w:rsidR="00D50A9D">
        <w:rPr>
          <w:rFonts w:ascii="Times New Roman" w:hAnsi="Times New Roman" w:cs="Times New Roman"/>
          <w:sz w:val="24"/>
        </w:rPr>
        <w:t>a</w:t>
      </w:r>
      <w:r w:rsidRPr="005142C4">
        <w:rPr>
          <w:rFonts w:ascii="Times New Roman" w:hAnsi="Times New Roman" w:cs="Times New Roman"/>
          <w:sz w:val="24"/>
        </w:rPr>
        <w:t xml:space="preserve"> na području Grada Zagreba. Najugroženije su gradske četvrti </w:t>
      </w:r>
      <w:r w:rsidRPr="005142C4">
        <w:rPr>
          <w:rFonts w:ascii="Times New Roman" w:hAnsi="Times New Roman" w:cs="Times New Roman"/>
          <w:b/>
          <w:sz w:val="24"/>
        </w:rPr>
        <w:t xml:space="preserve">Donji </w:t>
      </w:r>
      <w:r w:rsidR="00DC3612" w:rsidRPr="005142C4">
        <w:rPr>
          <w:rFonts w:ascii="Times New Roman" w:hAnsi="Times New Roman" w:cs="Times New Roman"/>
          <w:b/>
          <w:sz w:val="24"/>
        </w:rPr>
        <w:t>grad</w:t>
      </w:r>
      <w:r w:rsidRPr="005142C4">
        <w:rPr>
          <w:rFonts w:ascii="Times New Roman" w:hAnsi="Times New Roman" w:cs="Times New Roman"/>
          <w:sz w:val="24"/>
        </w:rPr>
        <w:t xml:space="preserve">, </w:t>
      </w:r>
      <w:r w:rsidRPr="005142C4">
        <w:rPr>
          <w:rFonts w:ascii="Times New Roman" w:hAnsi="Times New Roman" w:cs="Times New Roman"/>
          <w:b/>
          <w:sz w:val="24"/>
        </w:rPr>
        <w:t xml:space="preserve">Gornji </w:t>
      </w:r>
      <w:r w:rsidR="00DC3612" w:rsidRPr="005142C4">
        <w:rPr>
          <w:rFonts w:ascii="Times New Roman" w:hAnsi="Times New Roman" w:cs="Times New Roman"/>
          <w:b/>
          <w:sz w:val="24"/>
        </w:rPr>
        <w:t xml:space="preserve">grad </w:t>
      </w:r>
      <w:r w:rsidR="00EE6A22" w:rsidRPr="005142C4">
        <w:rPr>
          <w:rFonts w:ascii="Times New Roman" w:hAnsi="Times New Roman" w:cs="Times New Roman"/>
          <w:b/>
          <w:sz w:val="24"/>
        </w:rPr>
        <w:t>-</w:t>
      </w:r>
      <w:r w:rsidRPr="005142C4">
        <w:rPr>
          <w:rFonts w:ascii="Times New Roman" w:hAnsi="Times New Roman" w:cs="Times New Roman"/>
          <w:b/>
          <w:sz w:val="24"/>
        </w:rPr>
        <w:t xml:space="preserve"> Medveščak, Črnomerec i Maksimir</w:t>
      </w:r>
      <w:r w:rsidRPr="005142C4">
        <w:rPr>
          <w:rFonts w:ascii="Times New Roman" w:hAnsi="Times New Roman" w:cs="Times New Roman"/>
          <w:sz w:val="24"/>
        </w:rPr>
        <w:t xml:space="preserve"> zbog velikog broja objekata koji neće izdržati razoran potres, te starosne strukture stanovništva (otežana evakuacija zbog slabije pokretljivosti i uskih ulica koje mogu biti zakrčene ruševinama). Najmanje ugroženo područje od razornog potresa je područje </w:t>
      </w:r>
      <w:r w:rsidR="00D50A9D">
        <w:rPr>
          <w:rFonts w:ascii="Times New Roman" w:hAnsi="Times New Roman" w:cs="Times New Roman"/>
          <w:sz w:val="24"/>
        </w:rPr>
        <w:t>G</w:t>
      </w:r>
      <w:r w:rsidRPr="005142C4">
        <w:rPr>
          <w:rFonts w:ascii="Times New Roman" w:hAnsi="Times New Roman" w:cs="Times New Roman"/>
          <w:sz w:val="24"/>
        </w:rPr>
        <w:t>radske četvrti Brezovica u kojoj je i značajno povoljnija starosna struktura stanovništva</w:t>
      </w:r>
      <w:r w:rsidR="00852D87">
        <w:rPr>
          <w:rFonts w:ascii="Times New Roman" w:hAnsi="Times New Roman" w:cs="Times New Roman"/>
          <w:sz w:val="24"/>
        </w:rPr>
        <w:t>,</w:t>
      </w:r>
      <w:r w:rsidRPr="005142C4">
        <w:rPr>
          <w:rFonts w:ascii="Times New Roman" w:hAnsi="Times New Roman" w:cs="Times New Roman"/>
          <w:sz w:val="24"/>
        </w:rPr>
        <w:t xml:space="preserve"> a i stambeni objekti su novijeg datuma izgradnje.</w:t>
      </w:r>
    </w:p>
    <w:p w14:paraId="06E87C91" w14:textId="65F816B1" w:rsidR="00E40AC8" w:rsidRPr="005142C4" w:rsidRDefault="00900184" w:rsidP="00D21FF1">
      <w:pPr>
        <w:spacing w:after="0" w:line="240" w:lineRule="auto"/>
        <w:ind w:left="0" w:right="0" w:firstLine="709"/>
        <w:rPr>
          <w:rFonts w:ascii="Times New Roman" w:hAnsi="Times New Roman" w:cs="Times New Roman"/>
          <w:sz w:val="24"/>
        </w:rPr>
      </w:pPr>
      <w:r w:rsidRPr="005142C4">
        <w:rPr>
          <w:rFonts w:ascii="Times New Roman" w:hAnsi="Times New Roman" w:cs="Times New Roman"/>
          <w:b/>
          <w:sz w:val="24"/>
        </w:rPr>
        <w:t>Poplava</w:t>
      </w:r>
      <w:r w:rsidR="00D50A9D">
        <w:rPr>
          <w:rFonts w:ascii="Times New Roman" w:hAnsi="Times New Roman" w:cs="Times New Roman"/>
          <w:b/>
          <w:sz w:val="24"/>
        </w:rPr>
        <w:t xml:space="preserve"> </w:t>
      </w:r>
      <w:r w:rsidR="00D50A9D" w:rsidRPr="00D50A9D">
        <w:rPr>
          <w:rFonts w:ascii="Times New Roman" w:hAnsi="Times New Roman" w:cs="Times New Roman"/>
          <w:sz w:val="24"/>
        </w:rPr>
        <w:t xml:space="preserve">je </w:t>
      </w:r>
      <w:r w:rsidRPr="00D50A9D">
        <w:rPr>
          <w:rFonts w:ascii="Times New Roman" w:hAnsi="Times New Roman" w:cs="Times New Roman"/>
          <w:sz w:val="24"/>
        </w:rPr>
        <w:t>najveć</w:t>
      </w:r>
      <w:r w:rsidR="00D50A9D" w:rsidRPr="00D50A9D">
        <w:rPr>
          <w:rFonts w:ascii="Times New Roman" w:hAnsi="Times New Roman" w:cs="Times New Roman"/>
          <w:sz w:val="24"/>
        </w:rPr>
        <w:t>a</w:t>
      </w:r>
      <w:r w:rsidRPr="005142C4">
        <w:rPr>
          <w:rFonts w:ascii="Times New Roman" w:hAnsi="Times New Roman" w:cs="Times New Roman"/>
          <w:sz w:val="24"/>
        </w:rPr>
        <w:t xml:space="preserve"> prijetnj</w:t>
      </w:r>
      <w:r w:rsidR="00D50A9D">
        <w:rPr>
          <w:rFonts w:ascii="Times New Roman" w:hAnsi="Times New Roman" w:cs="Times New Roman"/>
          <w:sz w:val="24"/>
        </w:rPr>
        <w:t>a</w:t>
      </w:r>
      <w:r w:rsidRPr="005142C4">
        <w:rPr>
          <w:rFonts w:ascii="Times New Roman" w:hAnsi="Times New Roman" w:cs="Times New Roman"/>
          <w:sz w:val="24"/>
        </w:rPr>
        <w:t xml:space="preserve"> u gradskim četvrtima </w:t>
      </w:r>
      <w:r w:rsidRPr="005142C4">
        <w:rPr>
          <w:rFonts w:ascii="Times New Roman" w:hAnsi="Times New Roman" w:cs="Times New Roman"/>
          <w:b/>
          <w:sz w:val="24"/>
        </w:rPr>
        <w:t>Stenjevec</w:t>
      </w:r>
      <w:r w:rsidRPr="005142C4">
        <w:rPr>
          <w:rFonts w:ascii="Times New Roman" w:hAnsi="Times New Roman" w:cs="Times New Roman"/>
          <w:sz w:val="24"/>
        </w:rPr>
        <w:t xml:space="preserve">, </w:t>
      </w:r>
      <w:r w:rsidRPr="005142C4">
        <w:rPr>
          <w:rFonts w:ascii="Times New Roman" w:hAnsi="Times New Roman" w:cs="Times New Roman"/>
          <w:b/>
          <w:sz w:val="24"/>
        </w:rPr>
        <w:t xml:space="preserve">Trešnjevka </w:t>
      </w:r>
      <w:r w:rsidR="00EE6A22" w:rsidRPr="005142C4">
        <w:rPr>
          <w:rFonts w:ascii="Times New Roman" w:hAnsi="Times New Roman" w:cs="Times New Roman"/>
          <w:b/>
          <w:sz w:val="24"/>
        </w:rPr>
        <w:t>-</w:t>
      </w:r>
      <w:r w:rsidRPr="005142C4">
        <w:rPr>
          <w:rFonts w:ascii="Times New Roman" w:hAnsi="Times New Roman" w:cs="Times New Roman"/>
          <w:b/>
          <w:sz w:val="24"/>
        </w:rPr>
        <w:t xml:space="preserve"> jug</w:t>
      </w:r>
      <w:r w:rsidRPr="005142C4">
        <w:rPr>
          <w:rFonts w:ascii="Times New Roman" w:hAnsi="Times New Roman" w:cs="Times New Roman"/>
          <w:sz w:val="24"/>
        </w:rPr>
        <w:t xml:space="preserve">, </w:t>
      </w:r>
      <w:r w:rsidRPr="005142C4">
        <w:rPr>
          <w:rFonts w:ascii="Times New Roman" w:hAnsi="Times New Roman" w:cs="Times New Roman"/>
          <w:b/>
          <w:sz w:val="24"/>
        </w:rPr>
        <w:t>Trnje</w:t>
      </w:r>
      <w:r w:rsidRPr="005142C4">
        <w:rPr>
          <w:rFonts w:ascii="Times New Roman" w:hAnsi="Times New Roman" w:cs="Times New Roman"/>
          <w:sz w:val="24"/>
        </w:rPr>
        <w:t xml:space="preserve">, </w:t>
      </w:r>
      <w:r w:rsidRPr="005142C4">
        <w:rPr>
          <w:rFonts w:ascii="Times New Roman" w:hAnsi="Times New Roman" w:cs="Times New Roman"/>
          <w:b/>
          <w:sz w:val="24"/>
        </w:rPr>
        <w:t xml:space="preserve">Peščenica </w:t>
      </w:r>
      <w:r w:rsidR="00EE6A22" w:rsidRPr="005142C4">
        <w:rPr>
          <w:rFonts w:ascii="Times New Roman" w:hAnsi="Times New Roman" w:cs="Times New Roman"/>
          <w:b/>
          <w:sz w:val="24"/>
        </w:rPr>
        <w:t>-</w:t>
      </w:r>
      <w:r w:rsidRPr="005142C4">
        <w:rPr>
          <w:rFonts w:ascii="Times New Roman" w:hAnsi="Times New Roman" w:cs="Times New Roman"/>
          <w:b/>
          <w:sz w:val="24"/>
        </w:rPr>
        <w:t xml:space="preserve"> Žitnjak</w:t>
      </w:r>
      <w:r w:rsidRPr="005142C4">
        <w:rPr>
          <w:rFonts w:ascii="Times New Roman" w:hAnsi="Times New Roman" w:cs="Times New Roman"/>
          <w:sz w:val="24"/>
        </w:rPr>
        <w:t xml:space="preserve">, </w:t>
      </w:r>
      <w:r w:rsidRPr="005142C4">
        <w:rPr>
          <w:rFonts w:ascii="Times New Roman" w:hAnsi="Times New Roman" w:cs="Times New Roman"/>
          <w:b/>
          <w:sz w:val="24"/>
        </w:rPr>
        <w:t xml:space="preserve">Novi Zagreb </w:t>
      </w:r>
      <w:r w:rsidR="00EE6A22" w:rsidRPr="005142C4">
        <w:rPr>
          <w:rFonts w:ascii="Times New Roman" w:hAnsi="Times New Roman" w:cs="Times New Roman"/>
          <w:b/>
          <w:sz w:val="24"/>
        </w:rPr>
        <w:t>-</w:t>
      </w:r>
      <w:r w:rsidRPr="005142C4">
        <w:rPr>
          <w:rFonts w:ascii="Times New Roman" w:hAnsi="Times New Roman" w:cs="Times New Roman"/>
          <w:b/>
          <w:sz w:val="24"/>
        </w:rPr>
        <w:t xml:space="preserve"> zapad</w:t>
      </w:r>
      <w:r w:rsidRPr="005142C4">
        <w:rPr>
          <w:rFonts w:ascii="Times New Roman" w:hAnsi="Times New Roman" w:cs="Times New Roman"/>
          <w:sz w:val="24"/>
        </w:rPr>
        <w:t xml:space="preserve"> i </w:t>
      </w:r>
      <w:r w:rsidRPr="005142C4">
        <w:rPr>
          <w:rFonts w:ascii="Times New Roman" w:hAnsi="Times New Roman" w:cs="Times New Roman"/>
          <w:b/>
          <w:sz w:val="24"/>
        </w:rPr>
        <w:t xml:space="preserve">Novi Zagreb </w:t>
      </w:r>
      <w:r w:rsidR="00EE6A22" w:rsidRPr="005142C4">
        <w:rPr>
          <w:rFonts w:ascii="Times New Roman" w:hAnsi="Times New Roman" w:cs="Times New Roman"/>
          <w:b/>
          <w:sz w:val="24"/>
        </w:rPr>
        <w:t>-</w:t>
      </w:r>
      <w:r w:rsidRPr="005142C4">
        <w:rPr>
          <w:rFonts w:ascii="Times New Roman" w:hAnsi="Times New Roman" w:cs="Times New Roman"/>
          <w:b/>
          <w:sz w:val="24"/>
        </w:rPr>
        <w:t xml:space="preserve"> istok</w:t>
      </w:r>
      <w:r w:rsidRPr="005142C4">
        <w:rPr>
          <w:rFonts w:ascii="Times New Roman" w:hAnsi="Times New Roman" w:cs="Times New Roman"/>
          <w:sz w:val="24"/>
        </w:rPr>
        <w:t>. Najlošija je situacija na području Gradske četvrti Trnje jer se upravo tu nalazi najveći broj prizemnica koje su najizloženije poplavljivanju</w:t>
      </w:r>
      <w:r w:rsidR="001A04FA">
        <w:rPr>
          <w:rFonts w:ascii="Times New Roman" w:hAnsi="Times New Roman" w:cs="Times New Roman"/>
          <w:sz w:val="24"/>
        </w:rPr>
        <w:t>,</w:t>
      </w:r>
      <w:r w:rsidRPr="005142C4">
        <w:rPr>
          <w:rFonts w:ascii="Times New Roman" w:hAnsi="Times New Roman" w:cs="Times New Roman"/>
          <w:sz w:val="24"/>
        </w:rPr>
        <w:t xml:space="preserve"> dok se na području Novog Zagreba uglavnom radi o visokogradnji pa je situacija što se tiče mogućeg stradavanja stanovništva nešto povoljnija. Prijetnj</w:t>
      </w:r>
      <w:r w:rsidR="00D50A9D">
        <w:rPr>
          <w:rFonts w:ascii="Times New Roman" w:hAnsi="Times New Roman" w:cs="Times New Roman"/>
          <w:sz w:val="24"/>
        </w:rPr>
        <w:t xml:space="preserve">a su </w:t>
      </w:r>
      <w:r w:rsidRPr="005142C4">
        <w:rPr>
          <w:rFonts w:ascii="Times New Roman" w:hAnsi="Times New Roman" w:cs="Times New Roman"/>
          <w:sz w:val="24"/>
        </w:rPr>
        <w:t>i bujični potoci u podsljemenskoj zoni</w:t>
      </w:r>
      <w:r w:rsidR="00151209">
        <w:rPr>
          <w:rFonts w:ascii="Times New Roman" w:hAnsi="Times New Roman" w:cs="Times New Roman"/>
          <w:sz w:val="24"/>
        </w:rPr>
        <w:t>,</w:t>
      </w:r>
      <w:r w:rsidRPr="005142C4">
        <w:rPr>
          <w:rFonts w:ascii="Times New Roman" w:hAnsi="Times New Roman" w:cs="Times New Roman"/>
          <w:sz w:val="24"/>
        </w:rPr>
        <w:t xml:space="preserve"> a od njih je najugroženije područje Gradske četvrti </w:t>
      </w:r>
      <w:r w:rsidRPr="005142C4">
        <w:rPr>
          <w:rFonts w:ascii="Times New Roman" w:hAnsi="Times New Roman" w:cs="Times New Roman"/>
          <w:b/>
          <w:sz w:val="24"/>
        </w:rPr>
        <w:t>Gornja Dubrava</w:t>
      </w:r>
      <w:r w:rsidRPr="005142C4">
        <w:rPr>
          <w:rFonts w:ascii="Times New Roman" w:hAnsi="Times New Roman" w:cs="Times New Roman"/>
          <w:sz w:val="24"/>
        </w:rPr>
        <w:t>. Zbog postojanja zaštitnih objekata (nasip i retencije) radi se o maloj vjerojatnosti poplavljivanja.</w:t>
      </w:r>
    </w:p>
    <w:p w14:paraId="1FFF86F7" w14:textId="77777777" w:rsidR="00E40AC8" w:rsidRPr="005142C4" w:rsidRDefault="00900184" w:rsidP="00D21FF1">
      <w:pPr>
        <w:spacing w:after="0" w:line="240" w:lineRule="auto"/>
        <w:ind w:left="0" w:right="0" w:firstLine="709"/>
        <w:rPr>
          <w:rFonts w:ascii="Times New Roman" w:hAnsi="Times New Roman" w:cs="Times New Roman"/>
          <w:sz w:val="24"/>
        </w:rPr>
      </w:pPr>
      <w:r w:rsidRPr="005142C4">
        <w:rPr>
          <w:rFonts w:ascii="Times New Roman" w:hAnsi="Times New Roman" w:cs="Times New Roman"/>
          <w:b/>
          <w:sz w:val="24"/>
        </w:rPr>
        <w:lastRenderedPageBreak/>
        <w:t>Industrijske nesreće</w:t>
      </w:r>
      <w:r w:rsidRPr="005142C4">
        <w:rPr>
          <w:rFonts w:ascii="Times New Roman" w:hAnsi="Times New Roman" w:cs="Times New Roman"/>
          <w:sz w:val="24"/>
        </w:rPr>
        <w:t xml:space="preserve"> najveć</w:t>
      </w:r>
      <w:r w:rsidR="00D50A9D">
        <w:rPr>
          <w:rFonts w:ascii="Times New Roman" w:hAnsi="Times New Roman" w:cs="Times New Roman"/>
          <w:sz w:val="24"/>
        </w:rPr>
        <w:t xml:space="preserve">a su </w:t>
      </w:r>
      <w:r w:rsidRPr="005142C4">
        <w:rPr>
          <w:rFonts w:ascii="Times New Roman" w:hAnsi="Times New Roman" w:cs="Times New Roman"/>
          <w:sz w:val="24"/>
        </w:rPr>
        <w:t>prijetnj</w:t>
      </w:r>
      <w:r w:rsidR="00D50A9D">
        <w:rPr>
          <w:rFonts w:ascii="Times New Roman" w:hAnsi="Times New Roman" w:cs="Times New Roman"/>
          <w:sz w:val="24"/>
        </w:rPr>
        <w:t>a</w:t>
      </w:r>
      <w:r w:rsidR="00F92182">
        <w:rPr>
          <w:rFonts w:ascii="Times New Roman" w:hAnsi="Times New Roman" w:cs="Times New Roman"/>
          <w:sz w:val="24"/>
        </w:rPr>
        <w:t xml:space="preserve"> </w:t>
      </w:r>
      <w:r w:rsidRPr="005142C4">
        <w:rPr>
          <w:rFonts w:ascii="Times New Roman" w:hAnsi="Times New Roman" w:cs="Times New Roman"/>
          <w:sz w:val="24"/>
        </w:rPr>
        <w:t xml:space="preserve">na području Gradske četvrti </w:t>
      </w:r>
      <w:r w:rsidRPr="005142C4">
        <w:rPr>
          <w:rFonts w:ascii="Times New Roman" w:hAnsi="Times New Roman" w:cs="Times New Roman"/>
          <w:b/>
          <w:sz w:val="24"/>
        </w:rPr>
        <w:t xml:space="preserve">Peščenica </w:t>
      </w:r>
      <w:r w:rsidR="00EE6A22" w:rsidRPr="005142C4">
        <w:rPr>
          <w:rFonts w:ascii="Times New Roman" w:hAnsi="Times New Roman" w:cs="Times New Roman"/>
          <w:b/>
          <w:sz w:val="24"/>
        </w:rPr>
        <w:t>-</w:t>
      </w:r>
      <w:r w:rsidRPr="005142C4">
        <w:rPr>
          <w:rFonts w:ascii="Times New Roman" w:hAnsi="Times New Roman" w:cs="Times New Roman"/>
          <w:b/>
          <w:sz w:val="24"/>
        </w:rPr>
        <w:t xml:space="preserve"> Žitnjak </w:t>
      </w:r>
      <w:r w:rsidRPr="005142C4">
        <w:rPr>
          <w:rFonts w:ascii="Times New Roman" w:hAnsi="Times New Roman" w:cs="Times New Roman"/>
          <w:sz w:val="24"/>
        </w:rPr>
        <w:t>(TE</w:t>
      </w:r>
      <w:r w:rsidR="00EE6A22" w:rsidRPr="005142C4">
        <w:rPr>
          <w:rFonts w:ascii="Times New Roman" w:hAnsi="Times New Roman" w:cs="Times New Roman"/>
          <w:sz w:val="24"/>
        </w:rPr>
        <w:t>-</w:t>
      </w:r>
      <w:r w:rsidRPr="005142C4">
        <w:rPr>
          <w:rFonts w:ascii="Times New Roman" w:hAnsi="Times New Roman" w:cs="Times New Roman"/>
          <w:sz w:val="24"/>
        </w:rPr>
        <w:t>TO, INA Maziva) jer s</w:t>
      </w:r>
      <w:r w:rsidR="004B4C62">
        <w:rPr>
          <w:rFonts w:ascii="Times New Roman" w:hAnsi="Times New Roman" w:cs="Times New Roman"/>
          <w:sz w:val="24"/>
        </w:rPr>
        <w:t>u</w:t>
      </w:r>
      <w:r w:rsidR="00F92182">
        <w:rPr>
          <w:rFonts w:ascii="Times New Roman" w:hAnsi="Times New Roman" w:cs="Times New Roman"/>
          <w:sz w:val="24"/>
        </w:rPr>
        <w:t xml:space="preserve"> upravo tu </w:t>
      </w:r>
      <w:r w:rsidR="00D50A9D">
        <w:rPr>
          <w:rFonts w:ascii="Times New Roman" w:hAnsi="Times New Roman" w:cs="Times New Roman"/>
          <w:sz w:val="24"/>
        </w:rPr>
        <w:t>koncentrirani</w:t>
      </w:r>
      <w:r w:rsidR="00F92182">
        <w:rPr>
          <w:rFonts w:ascii="Times New Roman" w:hAnsi="Times New Roman" w:cs="Times New Roman"/>
          <w:sz w:val="24"/>
        </w:rPr>
        <w:t xml:space="preserve"> različiti </w:t>
      </w:r>
      <w:r w:rsidRPr="005142C4">
        <w:rPr>
          <w:rFonts w:ascii="Times New Roman" w:hAnsi="Times New Roman" w:cs="Times New Roman"/>
          <w:sz w:val="24"/>
        </w:rPr>
        <w:t>industrijski objekt</w:t>
      </w:r>
      <w:r w:rsidR="00D50A9D">
        <w:rPr>
          <w:rFonts w:ascii="Times New Roman" w:hAnsi="Times New Roman" w:cs="Times New Roman"/>
          <w:sz w:val="24"/>
        </w:rPr>
        <w:t>i</w:t>
      </w:r>
      <w:r w:rsidRPr="005142C4">
        <w:rPr>
          <w:rFonts w:ascii="Times New Roman" w:hAnsi="Times New Roman" w:cs="Times New Roman"/>
          <w:sz w:val="24"/>
        </w:rPr>
        <w:t xml:space="preserve"> u kojima je moguć nastanak domino</w:t>
      </w:r>
      <w:r w:rsidR="00BE413F">
        <w:rPr>
          <w:rFonts w:ascii="Times New Roman" w:hAnsi="Times New Roman" w:cs="Times New Roman"/>
          <w:sz w:val="24"/>
        </w:rPr>
        <w:t>-</w:t>
      </w:r>
      <w:r w:rsidRPr="005142C4">
        <w:rPr>
          <w:rFonts w:ascii="Times New Roman" w:hAnsi="Times New Roman" w:cs="Times New Roman"/>
          <w:sz w:val="24"/>
        </w:rPr>
        <w:t>efekta i prenošenja opasnosti na ostale susjedne objekte.</w:t>
      </w:r>
    </w:p>
    <w:p w14:paraId="28E985BA" w14:textId="77777777" w:rsidR="00E40AC8" w:rsidRPr="005142C4" w:rsidRDefault="00900184" w:rsidP="00D21FF1">
      <w:pPr>
        <w:spacing w:after="0" w:line="240" w:lineRule="auto"/>
        <w:ind w:left="0" w:right="0" w:firstLine="709"/>
        <w:rPr>
          <w:rFonts w:ascii="Times New Roman" w:hAnsi="Times New Roman" w:cs="Times New Roman"/>
          <w:sz w:val="24"/>
        </w:rPr>
      </w:pPr>
      <w:r w:rsidRPr="005142C4">
        <w:rPr>
          <w:rFonts w:ascii="Times New Roman" w:hAnsi="Times New Roman" w:cs="Times New Roman"/>
          <w:b/>
          <w:sz w:val="24"/>
        </w:rPr>
        <w:t>Ekstremnim temperaturama</w:t>
      </w:r>
      <w:r w:rsidRPr="005142C4">
        <w:rPr>
          <w:rFonts w:ascii="Times New Roman" w:hAnsi="Times New Roman" w:cs="Times New Roman"/>
          <w:sz w:val="24"/>
        </w:rPr>
        <w:t xml:space="preserve"> u slučaju toplinskih valova izložena su sva područja u Gradu Zagrebu podjednako. Malo je povoljnije stanje u podsljemenskoj zoni iznad 300 m nadmorske visine zbog utjecaja nadmorske visine i zelenila koje ublažava zagrijavanje.</w:t>
      </w:r>
    </w:p>
    <w:p w14:paraId="21BBFBCD" w14:textId="3C165240" w:rsidR="00E40AC8" w:rsidRDefault="00900184" w:rsidP="00D21FF1">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I kada je riječ o </w:t>
      </w:r>
      <w:r w:rsidRPr="005142C4">
        <w:rPr>
          <w:rFonts w:ascii="Times New Roman" w:hAnsi="Times New Roman" w:cs="Times New Roman"/>
          <w:b/>
          <w:sz w:val="24"/>
        </w:rPr>
        <w:t>epidemijama i pandemijama</w:t>
      </w:r>
      <w:r w:rsidRPr="005142C4">
        <w:rPr>
          <w:rFonts w:ascii="Times New Roman" w:hAnsi="Times New Roman" w:cs="Times New Roman"/>
          <w:sz w:val="24"/>
        </w:rPr>
        <w:t xml:space="preserve"> jednako je ugroženo stanovništvo na čitavom području Grada Zagreba, iako kao kritične točke unosa patogena mo</w:t>
      </w:r>
      <w:r w:rsidR="00DC3612">
        <w:rPr>
          <w:rFonts w:ascii="Times New Roman" w:hAnsi="Times New Roman" w:cs="Times New Roman"/>
          <w:sz w:val="24"/>
        </w:rPr>
        <w:t>gu se</w:t>
      </w:r>
      <w:r w:rsidRPr="005142C4">
        <w:rPr>
          <w:rFonts w:ascii="Times New Roman" w:hAnsi="Times New Roman" w:cs="Times New Roman"/>
          <w:sz w:val="24"/>
        </w:rPr>
        <w:t xml:space="preserve"> izdvojiti Zračn</w:t>
      </w:r>
      <w:r w:rsidR="00DC3612">
        <w:rPr>
          <w:rFonts w:ascii="Times New Roman" w:hAnsi="Times New Roman" w:cs="Times New Roman"/>
          <w:sz w:val="24"/>
        </w:rPr>
        <w:t>a</w:t>
      </w:r>
      <w:r w:rsidRPr="005142C4">
        <w:rPr>
          <w:rFonts w:ascii="Times New Roman" w:hAnsi="Times New Roman" w:cs="Times New Roman"/>
          <w:sz w:val="24"/>
        </w:rPr>
        <w:t xml:space="preserve"> luk</w:t>
      </w:r>
      <w:r w:rsidR="00DC3612">
        <w:rPr>
          <w:rFonts w:ascii="Times New Roman" w:hAnsi="Times New Roman" w:cs="Times New Roman"/>
          <w:sz w:val="24"/>
        </w:rPr>
        <w:t>a</w:t>
      </w:r>
      <w:r w:rsidRPr="005142C4">
        <w:rPr>
          <w:rFonts w:ascii="Times New Roman" w:hAnsi="Times New Roman" w:cs="Times New Roman"/>
          <w:sz w:val="24"/>
        </w:rPr>
        <w:t xml:space="preserve"> </w:t>
      </w:r>
      <w:r w:rsidR="00EE6A22" w:rsidRPr="005142C4">
        <w:rPr>
          <w:rFonts w:ascii="Times New Roman" w:hAnsi="Times New Roman" w:cs="Times New Roman"/>
          <w:sz w:val="24"/>
        </w:rPr>
        <w:t>"</w:t>
      </w:r>
      <w:r w:rsidRPr="00740B83">
        <w:rPr>
          <w:rFonts w:ascii="Times New Roman" w:hAnsi="Times New Roman" w:cs="Times New Roman"/>
          <w:sz w:val="24"/>
        </w:rPr>
        <w:t>Dr. Franjo Tuđman</w:t>
      </w:r>
      <w:r w:rsidR="00EE6A22" w:rsidRPr="005142C4">
        <w:rPr>
          <w:rFonts w:ascii="Times New Roman" w:hAnsi="Times New Roman" w:cs="Times New Roman"/>
          <w:sz w:val="24"/>
        </w:rPr>
        <w:t>"</w:t>
      </w:r>
      <w:r w:rsidRPr="005142C4">
        <w:rPr>
          <w:rFonts w:ascii="Times New Roman" w:hAnsi="Times New Roman" w:cs="Times New Roman"/>
          <w:sz w:val="24"/>
        </w:rPr>
        <w:t>, željeznički i autobusni kolodvor</w:t>
      </w:r>
      <w:r w:rsidR="008C46D2">
        <w:rPr>
          <w:rFonts w:ascii="Times New Roman" w:hAnsi="Times New Roman" w:cs="Times New Roman"/>
          <w:sz w:val="24"/>
        </w:rPr>
        <w:t>,</w:t>
      </w:r>
      <w:r w:rsidRPr="005142C4">
        <w:rPr>
          <w:rFonts w:ascii="Times New Roman" w:hAnsi="Times New Roman" w:cs="Times New Roman"/>
          <w:sz w:val="24"/>
        </w:rPr>
        <w:t xml:space="preserve"> a kao nešto rizičnija područja gradske četvrti Donji </w:t>
      </w:r>
      <w:r w:rsidR="00DC3612" w:rsidRPr="005142C4">
        <w:rPr>
          <w:rFonts w:ascii="Times New Roman" w:hAnsi="Times New Roman" w:cs="Times New Roman"/>
          <w:sz w:val="24"/>
        </w:rPr>
        <w:t xml:space="preserve">grad </w:t>
      </w:r>
      <w:r w:rsidRPr="005142C4">
        <w:rPr>
          <w:rFonts w:ascii="Times New Roman" w:hAnsi="Times New Roman" w:cs="Times New Roman"/>
          <w:sz w:val="24"/>
        </w:rPr>
        <w:t xml:space="preserve">i Gornji </w:t>
      </w:r>
      <w:r w:rsidR="00DC3612" w:rsidRPr="005142C4">
        <w:rPr>
          <w:rFonts w:ascii="Times New Roman" w:hAnsi="Times New Roman" w:cs="Times New Roman"/>
          <w:sz w:val="24"/>
        </w:rPr>
        <w:t>grad</w:t>
      </w:r>
      <w:r w:rsidR="00EE6A22" w:rsidRPr="005142C4">
        <w:rPr>
          <w:rFonts w:ascii="Times New Roman" w:hAnsi="Times New Roman" w:cs="Times New Roman"/>
          <w:sz w:val="24"/>
        </w:rPr>
        <w:t>-</w:t>
      </w:r>
      <w:r w:rsidRPr="005142C4">
        <w:rPr>
          <w:rFonts w:ascii="Times New Roman" w:hAnsi="Times New Roman" w:cs="Times New Roman"/>
          <w:sz w:val="24"/>
        </w:rPr>
        <w:t>Medveščak zbog prosječno najstarijeg stanovništva, a navedena populacija podložnija</w:t>
      </w:r>
      <w:r w:rsidR="00D50A9D">
        <w:rPr>
          <w:rFonts w:ascii="Times New Roman" w:hAnsi="Times New Roman" w:cs="Times New Roman"/>
          <w:sz w:val="24"/>
        </w:rPr>
        <w:t xml:space="preserve"> je</w:t>
      </w:r>
      <w:r w:rsidRPr="005142C4">
        <w:rPr>
          <w:rFonts w:ascii="Times New Roman" w:hAnsi="Times New Roman" w:cs="Times New Roman"/>
          <w:sz w:val="24"/>
        </w:rPr>
        <w:t xml:space="preserve"> fatalnom ishodu u slučaju zaraza.</w:t>
      </w:r>
    </w:p>
    <w:p w14:paraId="43B7A909" w14:textId="77777777" w:rsidR="00312376" w:rsidRPr="0032536A" w:rsidRDefault="00C87F60" w:rsidP="00312376">
      <w:pPr>
        <w:spacing w:after="0" w:line="240" w:lineRule="auto"/>
        <w:ind w:left="0" w:right="0" w:firstLine="709"/>
        <w:rPr>
          <w:rFonts w:ascii="Times New Roman" w:hAnsi="Times New Roman" w:cs="Times New Roman"/>
          <w:color w:val="auto"/>
          <w:sz w:val="24"/>
        </w:rPr>
      </w:pPr>
      <w:r w:rsidRPr="0032536A">
        <w:rPr>
          <w:rFonts w:ascii="Times New Roman" w:hAnsi="Times New Roman" w:cs="Times New Roman"/>
          <w:color w:val="auto"/>
          <w:sz w:val="24"/>
        </w:rPr>
        <w:t>Najugroženij</w:t>
      </w:r>
      <w:r w:rsidR="00312376" w:rsidRPr="0032536A">
        <w:rPr>
          <w:rFonts w:ascii="Times New Roman" w:hAnsi="Times New Roman" w:cs="Times New Roman"/>
          <w:color w:val="auto"/>
          <w:sz w:val="24"/>
        </w:rPr>
        <w:t>a</w:t>
      </w:r>
      <w:r w:rsidRPr="0032536A">
        <w:rPr>
          <w:rFonts w:ascii="Times New Roman" w:hAnsi="Times New Roman" w:cs="Times New Roman"/>
          <w:color w:val="auto"/>
          <w:sz w:val="24"/>
        </w:rPr>
        <w:t xml:space="preserve"> područj</w:t>
      </w:r>
      <w:r w:rsidR="00312376" w:rsidRPr="0032536A">
        <w:rPr>
          <w:rFonts w:ascii="Times New Roman" w:hAnsi="Times New Roman" w:cs="Times New Roman"/>
          <w:color w:val="auto"/>
          <w:sz w:val="24"/>
        </w:rPr>
        <w:t>a</w:t>
      </w:r>
      <w:r w:rsidRPr="0032536A">
        <w:rPr>
          <w:rFonts w:ascii="Times New Roman" w:hAnsi="Times New Roman" w:cs="Times New Roman"/>
          <w:color w:val="auto"/>
          <w:sz w:val="24"/>
        </w:rPr>
        <w:t xml:space="preserve"> grada u slučaju nastanka izvanrednog događaja u </w:t>
      </w:r>
      <w:r w:rsidRPr="0032536A">
        <w:rPr>
          <w:rFonts w:ascii="Times New Roman" w:hAnsi="Times New Roman" w:cs="Times New Roman"/>
          <w:b/>
          <w:color w:val="auto"/>
          <w:sz w:val="24"/>
        </w:rPr>
        <w:t>Nuklearnoj elektrani Krško</w:t>
      </w:r>
      <w:r w:rsidRPr="0032536A">
        <w:rPr>
          <w:rFonts w:ascii="Times New Roman" w:hAnsi="Times New Roman" w:cs="Times New Roman"/>
          <w:color w:val="auto"/>
          <w:sz w:val="24"/>
        </w:rPr>
        <w:t xml:space="preserve"> </w:t>
      </w:r>
      <w:r w:rsidR="00312376" w:rsidRPr="0032536A">
        <w:rPr>
          <w:rFonts w:ascii="Times New Roman" w:hAnsi="Times New Roman" w:cs="Times New Roman"/>
          <w:color w:val="auto"/>
          <w:sz w:val="24"/>
        </w:rPr>
        <w:t xml:space="preserve">su područja gradskih četvrti Podsused - Vrapče i Stenjevec budući se nalaze najbliže izvoru opasnosti. </w:t>
      </w:r>
    </w:p>
    <w:p w14:paraId="77DC95A2" w14:textId="77777777" w:rsidR="00312376" w:rsidRPr="0032536A" w:rsidRDefault="00312376" w:rsidP="00312376">
      <w:pPr>
        <w:spacing w:after="0" w:line="240" w:lineRule="auto"/>
        <w:ind w:left="0" w:right="0" w:firstLine="709"/>
        <w:rPr>
          <w:rFonts w:ascii="Times New Roman" w:hAnsi="Times New Roman" w:cs="Times New Roman"/>
          <w:color w:val="auto"/>
          <w:sz w:val="24"/>
        </w:rPr>
      </w:pPr>
      <w:r w:rsidRPr="0032536A">
        <w:rPr>
          <w:rFonts w:ascii="Times New Roman" w:hAnsi="Times New Roman" w:cs="Times New Roman"/>
          <w:color w:val="auto"/>
          <w:sz w:val="24"/>
        </w:rPr>
        <w:t xml:space="preserve">Prostornim planom uređenja Grada Zagreba evidentiran je i označen dio terena kao pretežito nestabilno područje, a određuje ga linija Ilica-Jurišićeva-Vlaška-Maksimirska-Dubrava kao južna granica, te granica Parka prirode Medvednica kao sjeverna granica. </w:t>
      </w:r>
      <w:r w:rsidRPr="0032536A">
        <w:rPr>
          <w:rFonts w:ascii="Times New Roman" w:hAnsi="Times New Roman" w:cs="Times New Roman"/>
          <w:b/>
          <w:color w:val="auto"/>
          <w:sz w:val="24"/>
        </w:rPr>
        <w:t>Klizišta</w:t>
      </w:r>
      <w:r w:rsidRPr="0032536A">
        <w:rPr>
          <w:rFonts w:ascii="Times New Roman" w:hAnsi="Times New Roman" w:cs="Times New Roman"/>
          <w:color w:val="auto"/>
          <w:sz w:val="24"/>
        </w:rPr>
        <w:t xml:space="preserve"> </w:t>
      </w:r>
      <w:r w:rsidR="00F5149C" w:rsidRPr="0032536A">
        <w:rPr>
          <w:rFonts w:ascii="Times New Roman" w:hAnsi="Times New Roman" w:cs="Times New Roman"/>
          <w:color w:val="auto"/>
          <w:sz w:val="24"/>
        </w:rPr>
        <w:t xml:space="preserve">stoga </w:t>
      </w:r>
      <w:r w:rsidRPr="0032536A">
        <w:rPr>
          <w:rFonts w:ascii="Times New Roman" w:hAnsi="Times New Roman" w:cs="Times New Roman"/>
          <w:color w:val="auto"/>
          <w:sz w:val="24"/>
        </w:rPr>
        <w:t>predstavljaju najveću prijetnju na području gradskih četvrti: Gornji grad – Medveščak, Črnomerec, Gornja Dubrava, Maksimir, Podsljeme, Podsused – Vrapče i Sesvete.</w:t>
      </w:r>
    </w:p>
    <w:p w14:paraId="6465601C" w14:textId="08C415BA" w:rsidR="00C87F60" w:rsidRPr="0032536A" w:rsidRDefault="00312376" w:rsidP="00312376">
      <w:pPr>
        <w:spacing w:after="0" w:line="240" w:lineRule="auto"/>
        <w:ind w:left="0" w:right="0" w:firstLine="709"/>
        <w:rPr>
          <w:rFonts w:ascii="Times New Roman" w:hAnsi="Times New Roman" w:cs="Times New Roman"/>
          <w:color w:val="auto"/>
          <w:sz w:val="24"/>
        </w:rPr>
      </w:pPr>
      <w:r w:rsidRPr="0032536A">
        <w:rPr>
          <w:rFonts w:ascii="Times New Roman" w:hAnsi="Times New Roman" w:cs="Times New Roman"/>
          <w:color w:val="auto"/>
          <w:sz w:val="24"/>
        </w:rPr>
        <w:t xml:space="preserve">U slučaju nastanka </w:t>
      </w:r>
      <w:r w:rsidRPr="0032536A">
        <w:rPr>
          <w:rFonts w:ascii="Times New Roman" w:hAnsi="Times New Roman" w:cs="Times New Roman"/>
          <w:b/>
          <w:color w:val="auto"/>
          <w:sz w:val="24"/>
        </w:rPr>
        <w:t>nesreće na odlagalištu otpada</w:t>
      </w:r>
      <w:r w:rsidRPr="0032536A">
        <w:rPr>
          <w:rFonts w:ascii="Times New Roman" w:hAnsi="Times New Roman" w:cs="Times New Roman"/>
          <w:color w:val="auto"/>
          <w:sz w:val="24"/>
        </w:rPr>
        <w:t xml:space="preserve"> </w:t>
      </w:r>
      <w:r w:rsidR="00792948">
        <w:rPr>
          <w:rFonts w:ascii="Times New Roman" w:hAnsi="Times New Roman" w:cs="Times New Roman"/>
          <w:color w:val="auto"/>
          <w:sz w:val="24"/>
        </w:rPr>
        <w:t>Prudinec-</w:t>
      </w:r>
      <w:r w:rsidRPr="0032536A">
        <w:rPr>
          <w:rFonts w:ascii="Times New Roman" w:hAnsi="Times New Roman" w:cs="Times New Roman"/>
          <w:color w:val="auto"/>
          <w:sz w:val="24"/>
        </w:rPr>
        <w:t>Jakuševec koji je najveće odlagalište otpada na području Grada Zagreba, najugroženija su područja gradskih četvrti Novi Zagreb - istok i Peščenica - Žitnjak.</w:t>
      </w:r>
    </w:p>
    <w:p w14:paraId="2025008B" w14:textId="77777777" w:rsidR="00E40AC8" w:rsidRDefault="00900184" w:rsidP="00D21FF1">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S obzirom na sve navedene prijetnje može</w:t>
      </w:r>
      <w:r w:rsidR="00302468">
        <w:rPr>
          <w:rFonts w:ascii="Times New Roman" w:hAnsi="Times New Roman" w:cs="Times New Roman"/>
          <w:sz w:val="24"/>
        </w:rPr>
        <w:t xml:space="preserve"> se</w:t>
      </w:r>
      <w:r w:rsidRPr="005142C4">
        <w:rPr>
          <w:rFonts w:ascii="Times New Roman" w:hAnsi="Times New Roman" w:cs="Times New Roman"/>
          <w:sz w:val="24"/>
        </w:rPr>
        <w:t xml:space="preserve"> zaključiti da je najugroženija stara jezgra Grada Zagreba (odnosno samo </w:t>
      </w:r>
      <w:r w:rsidR="00302468">
        <w:rPr>
          <w:rFonts w:ascii="Times New Roman" w:hAnsi="Times New Roman" w:cs="Times New Roman"/>
          <w:sz w:val="24"/>
        </w:rPr>
        <w:t xml:space="preserve">gradsko </w:t>
      </w:r>
      <w:r w:rsidRPr="005142C4">
        <w:rPr>
          <w:rFonts w:ascii="Times New Roman" w:hAnsi="Times New Roman" w:cs="Times New Roman"/>
          <w:sz w:val="24"/>
        </w:rPr>
        <w:t>središte) zbog dva osnovna razloga: starost</w:t>
      </w:r>
      <w:r w:rsidR="00D06B37">
        <w:rPr>
          <w:rFonts w:ascii="Times New Roman" w:hAnsi="Times New Roman" w:cs="Times New Roman"/>
          <w:sz w:val="24"/>
        </w:rPr>
        <w:t>i</w:t>
      </w:r>
      <w:r w:rsidRPr="005142C4">
        <w:rPr>
          <w:rFonts w:ascii="Times New Roman" w:hAnsi="Times New Roman" w:cs="Times New Roman"/>
          <w:sz w:val="24"/>
        </w:rPr>
        <w:t xml:space="preserve"> građevina i starosn</w:t>
      </w:r>
      <w:r w:rsidR="00302468">
        <w:rPr>
          <w:rFonts w:ascii="Times New Roman" w:hAnsi="Times New Roman" w:cs="Times New Roman"/>
          <w:sz w:val="24"/>
        </w:rPr>
        <w:t>e</w:t>
      </w:r>
      <w:r w:rsidRPr="005142C4">
        <w:rPr>
          <w:rFonts w:ascii="Times New Roman" w:hAnsi="Times New Roman" w:cs="Times New Roman"/>
          <w:sz w:val="24"/>
        </w:rPr>
        <w:t xml:space="preserve"> </w:t>
      </w:r>
      <w:r w:rsidRPr="0032536A">
        <w:rPr>
          <w:rFonts w:ascii="Times New Roman" w:hAnsi="Times New Roman" w:cs="Times New Roman"/>
          <w:color w:val="auto"/>
          <w:sz w:val="24"/>
        </w:rPr>
        <w:t>struktur</w:t>
      </w:r>
      <w:r w:rsidR="00302468" w:rsidRPr="0032536A">
        <w:rPr>
          <w:rFonts w:ascii="Times New Roman" w:hAnsi="Times New Roman" w:cs="Times New Roman"/>
          <w:color w:val="auto"/>
          <w:sz w:val="24"/>
        </w:rPr>
        <w:t>e</w:t>
      </w:r>
      <w:r w:rsidRPr="0032536A">
        <w:rPr>
          <w:rFonts w:ascii="Times New Roman" w:hAnsi="Times New Roman" w:cs="Times New Roman"/>
          <w:color w:val="auto"/>
          <w:sz w:val="24"/>
        </w:rPr>
        <w:t xml:space="preserve"> stanovništva (prosjek godina </w:t>
      </w:r>
      <w:r w:rsidR="00EE6A22" w:rsidRPr="0032536A">
        <w:rPr>
          <w:rFonts w:ascii="Times New Roman" w:hAnsi="Times New Roman" w:cs="Times New Roman"/>
          <w:color w:val="auto"/>
          <w:sz w:val="24"/>
        </w:rPr>
        <w:t>-</w:t>
      </w:r>
      <w:r w:rsidRPr="0032536A">
        <w:rPr>
          <w:rFonts w:ascii="Times New Roman" w:hAnsi="Times New Roman" w:cs="Times New Roman"/>
          <w:color w:val="auto"/>
          <w:sz w:val="24"/>
        </w:rPr>
        <w:t xml:space="preserve"> 47), dakle radi se o cca </w:t>
      </w:r>
      <w:r w:rsidRPr="0032536A">
        <w:rPr>
          <w:rFonts w:ascii="Times New Roman" w:hAnsi="Times New Roman" w:cs="Times New Roman"/>
          <w:b/>
          <w:color w:val="auto"/>
          <w:sz w:val="24"/>
        </w:rPr>
        <w:t>29</w:t>
      </w:r>
      <w:r w:rsidR="00D21FF1" w:rsidRPr="0032536A">
        <w:rPr>
          <w:rFonts w:ascii="Times New Roman" w:hAnsi="Times New Roman" w:cs="Times New Roman"/>
          <w:b/>
          <w:color w:val="auto"/>
          <w:sz w:val="24"/>
        </w:rPr>
        <w:t> </w:t>
      </w:r>
      <w:r w:rsidRPr="0032536A">
        <w:rPr>
          <w:rFonts w:ascii="Times New Roman" w:hAnsi="Times New Roman" w:cs="Times New Roman"/>
          <w:b/>
          <w:color w:val="auto"/>
          <w:sz w:val="24"/>
        </w:rPr>
        <w:t>664</w:t>
      </w:r>
      <w:r w:rsidRPr="0032536A">
        <w:rPr>
          <w:rFonts w:ascii="Times New Roman" w:hAnsi="Times New Roman" w:cs="Times New Roman"/>
          <w:color w:val="auto"/>
          <w:sz w:val="24"/>
        </w:rPr>
        <w:t xml:space="preserve"> kućanstva (pre</w:t>
      </w:r>
      <w:r w:rsidR="00D50A9D" w:rsidRPr="0032536A">
        <w:rPr>
          <w:rFonts w:ascii="Times New Roman" w:hAnsi="Times New Roman" w:cs="Times New Roman"/>
          <w:color w:val="auto"/>
          <w:sz w:val="24"/>
        </w:rPr>
        <w:t>ma popisu stanovništva iz 2011.</w:t>
      </w:r>
      <w:r w:rsidR="00442E8E" w:rsidRPr="0032536A">
        <w:rPr>
          <w:rFonts w:ascii="Times New Roman" w:hAnsi="Times New Roman" w:cs="Times New Roman"/>
          <w:color w:val="auto"/>
          <w:sz w:val="24"/>
        </w:rPr>
        <w:t xml:space="preserve"> godine</w:t>
      </w:r>
      <w:r w:rsidRPr="0032536A">
        <w:rPr>
          <w:rFonts w:ascii="Times New Roman" w:hAnsi="Times New Roman" w:cs="Times New Roman"/>
          <w:color w:val="auto"/>
          <w:sz w:val="24"/>
        </w:rPr>
        <w:t>).</w:t>
      </w:r>
    </w:p>
    <w:p w14:paraId="46929D54" w14:textId="77777777" w:rsidR="00D21FF1" w:rsidRPr="005142C4" w:rsidRDefault="00D21FF1" w:rsidP="005142C4">
      <w:pPr>
        <w:spacing w:after="0" w:line="240" w:lineRule="auto"/>
        <w:ind w:left="0" w:right="0" w:firstLine="0"/>
        <w:rPr>
          <w:rFonts w:ascii="Times New Roman" w:hAnsi="Times New Roman" w:cs="Times New Roman"/>
          <w:sz w:val="24"/>
        </w:rPr>
      </w:pPr>
    </w:p>
    <w:p w14:paraId="01AA6846" w14:textId="77777777" w:rsidR="00E40AC8" w:rsidRPr="0032536A" w:rsidRDefault="00900184" w:rsidP="00D21FF1">
      <w:pPr>
        <w:spacing w:after="0" w:line="240" w:lineRule="auto"/>
        <w:ind w:left="0" w:right="0" w:firstLine="709"/>
        <w:rPr>
          <w:rFonts w:ascii="Times New Roman" w:hAnsi="Times New Roman" w:cs="Times New Roman"/>
          <w:b/>
          <w:color w:val="auto"/>
          <w:sz w:val="24"/>
        </w:rPr>
      </w:pPr>
      <w:bookmarkStart w:id="23" w:name="_Toc2938543"/>
      <w:r w:rsidRPr="0032536A">
        <w:rPr>
          <w:rFonts w:ascii="Times New Roman" w:hAnsi="Times New Roman" w:cs="Times New Roman"/>
          <w:b/>
          <w:color w:val="auto"/>
          <w:sz w:val="24"/>
        </w:rPr>
        <w:t>2.2.5. Broj članova obitelji po kućanstvu</w:t>
      </w:r>
      <w:bookmarkEnd w:id="23"/>
    </w:p>
    <w:p w14:paraId="016F0739" w14:textId="29CFAD01" w:rsidR="00E40AC8" w:rsidRPr="0032536A" w:rsidRDefault="00900184" w:rsidP="00D21FF1">
      <w:pPr>
        <w:spacing w:after="0" w:line="240" w:lineRule="auto"/>
        <w:ind w:left="0" w:right="0" w:firstLine="709"/>
        <w:rPr>
          <w:rFonts w:ascii="Times New Roman" w:hAnsi="Times New Roman" w:cs="Times New Roman"/>
          <w:color w:val="auto"/>
          <w:sz w:val="24"/>
        </w:rPr>
      </w:pPr>
      <w:r w:rsidRPr="0032536A">
        <w:rPr>
          <w:rFonts w:ascii="Times New Roman" w:hAnsi="Times New Roman" w:cs="Times New Roman"/>
          <w:color w:val="auto"/>
          <w:sz w:val="24"/>
        </w:rPr>
        <w:t xml:space="preserve">Na području Grada Zagreba najveći je postotak dvočlanih kućanstava. U </w:t>
      </w:r>
      <w:r w:rsidR="00302468" w:rsidRPr="0032536A">
        <w:rPr>
          <w:rFonts w:ascii="Times New Roman" w:hAnsi="Times New Roman" w:cs="Times New Roman"/>
          <w:color w:val="auto"/>
          <w:sz w:val="24"/>
        </w:rPr>
        <w:t xml:space="preserve">gradskim </w:t>
      </w:r>
      <w:r w:rsidRPr="0032536A">
        <w:rPr>
          <w:rFonts w:ascii="Times New Roman" w:hAnsi="Times New Roman" w:cs="Times New Roman"/>
          <w:color w:val="auto"/>
          <w:sz w:val="24"/>
        </w:rPr>
        <w:t>četvrtima prosječan broj članova obiteljskih kućanstava najveći je u Brezovic</w:t>
      </w:r>
      <w:r w:rsidR="00302468" w:rsidRPr="0032536A">
        <w:rPr>
          <w:rFonts w:ascii="Times New Roman" w:hAnsi="Times New Roman" w:cs="Times New Roman"/>
          <w:color w:val="auto"/>
          <w:sz w:val="24"/>
        </w:rPr>
        <w:t>i</w:t>
      </w:r>
      <w:r w:rsidRPr="0032536A">
        <w:rPr>
          <w:rFonts w:ascii="Times New Roman" w:hAnsi="Times New Roman" w:cs="Times New Roman"/>
          <w:color w:val="auto"/>
          <w:sz w:val="24"/>
        </w:rPr>
        <w:t>, Sesvet</w:t>
      </w:r>
      <w:r w:rsidR="00302468" w:rsidRPr="0032536A">
        <w:rPr>
          <w:rFonts w:ascii="Times New Roman" w:hAnsi="Times New Roman" w:cs="Times New Roman"/>
          <w:color w:val="auto"/>
          <w:sz w:val="24"/>
        </w:rPr>
        <w:t>ama</w:t>
      </w:r>
      <w:r w:rsidRPr="0032536A">
        <w:rPr>
          <w:rFonts w:ascii="Times New Roman" w:hAnsi="Times New Roman" w:cs="Times New Roman"/>
          <w:color w:val="auto"/>
          <w:sz w:val="24"/>
        </w:rPr>
        <w:t xml:space="preserve"> i Donj</w:t>
      </w:r>
      <w:r w:rsidR="00302468" w:rsidRPr="0032536A">
        <w:rPr>
          <w:rFonts w:ascii="Times New Roman" w:hAnsi="Times New Roman" w:cs="Times New Roman"/>
          <w:color w:val="auto"/>
          <w:sz w:val="24"/>
        </w:rPr>
        <w:t>oj</w:t>
      </w:r>
      <w:r w:rsidRPr="0032536A">
        <w:rPr>
          <w:rFonts w:ascii="Times New Roman" w:hAnsi="Times New Roman" w:cs="Times New Roman"/>
          <w:color w:val="auto"/>
          <w:sz w:val="24"/>
        </w:rPr>
        <w:t xml:space="preserve"> Dubrav</w:t>
      </w:r>
      <w:r w:rsidR="00302468" w:rsidRPr="0032536A">
        <w:rPr>
          <w:rFonts w:ascii="Times New Roman" w:hAnsi="Times New Roman" w:cs="Times New Roman"/>
          <w:color w:val="auto"/>
          <w:sz w:val="24"/>
        </w:rPr>
        <w:t>i</w:t>
      </w:r>
      <w:r w:rsidR="0063461E">
        <w:rPr>
          <w:rFonts w:ascii="Times New Roman" w:hAnsi="Times New Roman" w:cs="Times New Roman"/>
          <w:color w:val="auto"/>
          <w:sz w:val="24"/>
        </w:rPr>
        <w:t>,</w:t>
      </w:r>
      <w:r w:rsidRPr="0032536A">
        <w:rPr>
          <w:rFonts w:ascii="Times New Roman" w:hAnsi="Times New Roman" w:cs="Times New Roman"/>
          <w:color w:val="auto"/>
          <w:sz w:val="24"/>
        </w:rPr>
        <w:t xml:space="preserve"> a najmanji u Donj</w:t>
      </w:r>
      <w:r w:rsidR="00302468" w:rsidRPr="0032536A">
        <w:rPr>
          <w:rFonts w:ascii="Times New Roman" w:hAnsi="Times New Roman" w:cs="Times New Roman"/>
          <w:color w:val="auto"/>
          <w:sz w:val="24"/>
        </w:rPr>
        <w:t>em</w:t>
      </w:r>
      <w:r w:rsidRPr="0032536A">
        <w:rPr>
          <w:rFonts w:ascii="Times New Roman" w:hAnsi="Times New Roman" w:cs="Times New Roman"/>
          <w:color w:val="auto"/>
          <w:sz w:val="24"/>
        </w:rPr>
        <w:t xml:space="preserve"> </w:t>
      </w:r>
      <w:r w:rsidR="00302468" w:rsidRPr="0032536A">
        <w:rPr>
          <w:rFonts w:ascii="Times New Roman" w:hAnsi="Times New Roman" w:cs="Times New Roman"/>
          <w:color w:val="auto"/>
          <w:sz w:val="24"/>
        </w:rPr>
        <w:t xml:space="preserve">gradu, </w:t>
      </w:r>
      <w:r w:rsidRPr="0032536A">
        <w:rPr>
          <w:rFonts w:ascii="Times New Roman" w:hAnsi="Times New Roman" w:cs="Times New Roman"/>
          <w:color w:val="auto"/>
          <w:sz w:val="24"/>
        </w:rPr>
        <w:t>Gornj</w:t>
      </w:r>
      <w:r w:rsidR="00302468" w:rsidRPr="0032536A">
        <w:rPr>
          <w:rFonts w:ascii="Times New Roman" w:hAnsi="Times New Roman" w:cs="Times New Roman"/>
          <w:color w:val="auto"/>
          <w:sz w:val="24"/>
        </w:rPr>
        <w:t>em</w:t>
      </w:r>
      <w:r w:rsidRPr="0032536A">
        <w:rPr>
          <w:rFonts w:ascii="Times New Roman" w:hAnsi="Times New Roman" w:cs="Times New Roman"/>
          <w:color w:val="auto"/>
          <w:sz w:val="24"/>
        </w:rPr>
        <w:t xml:space="preserve"> </w:t>
      </w:r>
      <w:r w:rsidR="00302468" w:rsidRPr="0032536A">
        <w:rPr>
          <w:rFonts w:ascii="Times New Roman" w:hAnsi="Times New Roman" w:cs="Times New Roman"/>
          <w:color w:val="auto"/>
          <w:sz w:val="24"/>
        </w:rPr>
        <w:t>gradu</w:t>
      </w:r>
      <w:r w:rsidR="00151209">
        <w:rPr>
          <w:rFonts w:ascii="Times New Roman" w:hAnsi="Times New Roman" w:cs="Times New Roman"/>
          <w:color w:val="auto"/>
          <w:sz w:val="24"/>
        </w:rPr>
        <w:t xml:space="preserve"> -</w:t>
      </w:r>
      <w:r w:rsidR="00C324E8" w:rsidRPr="0032536A">
        <w:rPr>
          <w:rFonts w:ascii="Times New Roman" w:hAnsi="Times New Roman" w:cs="Times New Roman"/>
          <w:color w:val="auto"/>
          <w:sz w:val="24"/>
        </w:rPr>
        <w:t xml:space="preserve"> </w:t>
      </w:r>
      <w:r w:rsidRPr="0032536A">
        <w:rPr>
          <w:rFonts w:ascii="Times New Roman" w:hAnsi="Times New Roman" w:cs="Times New Roman"/>
          <w:color w:val="auto"/>
          <w:sz w:val="24"/>
        </w:rPr>
        <w:t>Medveščak</w:t>
      </w:r>
      <w:r w:rsidR="00C324E8" w:rsidRPr="0032536A">
        <w:rPr>
          <w:rFonts w:ascii="Times New Roman" w:hAnsi="Times New Roman" w:cs="Times New Roman"/>
          <w:color w:val="auto"/>
          <w:sz w:val="24"/>
        </w:rPr>
        <w:t>u</w:t>
      </w:r>
      <w:r w:rsidRPr="0032536A">
        <w:rPr>
          <w:rFonts w:ascii="Times New Roman" w:hAnsi="Times New Roman" w:cs="Times New Roman"/>
          <w:color w:val="auto"/>
          <w:sz w:val="24"/>
        </w:rPr>
        <w:t xml:space="preserve"> i Trnj</w:t>
      </w:r>
      <w:r w:rsidR="00302468" w:rsidRPr="0032536A">
        <w:rPr>
          <w:rFonts w:ascii="Times New Roman" w:hAnsi="Times New Roman" w:cs="Times New Roman"/>
          <w:color w:val="auto"/>
          <w:sz w:val="24"/>
        </w:rPr>
        <w:t>u</w:t>
      </w:r>
      <w:r w:rsidRPr="0032536A">
        <w:rPr>
          <w:rFonts w:ascii="Times New Roman" w:hAnsi="Times New Roman" w:cs="Times New Roman"/>
          <w:color w:val="auto"/>
          <w:sz w:val="24"/>
        </w:rPr>
        <w:t>.</w:t>
      </w:r>
    </w:p>
    <w:p w14:paraId="1B74B542" w14:textId="77777777" w:rsidR="00E40AC8" w:rsidRPr="0032536A" w:rsidRDefault="00E40AC8" w:rsidP="005142C4">
      <w:pPr>
        <w:spacing w:after="0" w:line="240" w:lineRule="auto"/>
        <w:ind w:left="0" w:right="0" w:firstLine="0"/>
        <w:jc w:val="left"/>
        <w:rPr>
          <w:rFonts w:ascii="Times New Roman" w:hAnsi="Times New Roman" w:cs="Times New Roman"/>
          <w:color w:val="auto"/>
          <w:sz w:val="24"/>
        </w:rPr>
      </w:pPr>
    </w:p>
    <w:p w14:paraId="675A5B24" w14:textId="77777777" w:rsidR="00E40AC8" w:rsidRPr="0032536A" w:rsidRDefault="00900184" w:rsidP="005142C4">
      <w:pPr>
        <w:spacing w:after="0" w:line="240" w:lineRule="auto"/>
        <w:ind w:left="0" w:right="0" w:firstLine="0"/>
        <w:jc w:val="center"/>
        <w:rPr>
          <w:rFonts w:ascii="Times New Roman" w:hAnsi="Times New Roman" w:cs="Times New Roman"/>
          <w:b/>
          <w:color w:val="auto"/>
          <w:sz w:val="24"/>
        </w:rPr>
      </w:pPr>
      <w:r w:rsidRPr="0032536A">
        <w:rPr>
          <w:rFonts w:ascii="Times New Roman" w:hAnsi="Times New Roman" w:cs="Times New Roman"/>
          <w:b/>
          <w:color w:val="auto"/>
          <w:sz w:val="24"/>
        </w:rPr>
        <w:t>Grafikon 3. Obiteljska kućanstva prema broju članova, Popis 2011.</w:t>
      </w:r>
    </w:p>
    <w:p w14:paraId="10676DA7" w14:textId="77777777" w:rsidR="00024AD9" w:rsidRPr="0032536A" w:rsidRDefault="00024AD9" w:rsidP="00024AD9">
      <w:pPr>
        <w:spacing w:after="0" w:line="240" w:lineRule="auto"/>
        <w:ind w:left="0" w:right="0" w:firstLine="0"/>
        <w:rPr>
          <w:rFonts w:ascii="Times New Roman" w:hAnsi="Times New Roman" w:cs="Times New Roman"/>
          <w:color w:val="auto"/>
          <w:sz w:val="24"/>
          <w:szCs w:val="20"/>
        </w:rPr>
      </w:pPr>
    </w:p>
    <w:p w14:paraId="6AE65B4F" w14:textId="7F81C79A" w:rsidR="00E40AC8" w:rsidRPr="0032536A" w:rsidRDefault="00D87A48" w:rsidP="0032536A">
      <w:pPr>
        <w:spacing w:after="0" w:line="240" w:lineRule="auto"/>
        <w:ind w:left="0" w:right="0" w:firstLine="0"/>
        <w:jc w:val="center"/>
        <w:rPr>
          <w:rFonts w:ascii="Times New Roman" w:hAnsi="Times New Roman" w:cs="Times New Roman"/>
          <w:color w:val="auto"/>
          <w:sz w:val="24"/>
        </w:rPr>
      </w:pPr>
      <w:r w:rsidRPr="0032536A">
        <w:rPr>
          <w:noProof/>
          <w:color w:val="auto"/>
        </w:rPr>
        <w:drawing>
          <wp:inline distT="0" distB="0" distL="0" distR="0" wp14:anchorId="7073CF6D" wp14:editId="4AA1CBB6">
            <wp:extent cx="3048000" cy="2648585"/>
            <wp:effectExtent l="0" t="0" r="0" b="0"/>
            <wp:docPr id="3" name="Chart 3">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EB0B2FC" w14:textId="6ADCB147" w:rsidR="00151209" w:rsidRPr="00302468" w:rsidRDefault="00900184" w:rsidP="005C5D4C">
      <w:pPr>
        <w:spacing w:after="0" w:line="240" w:lineRule="auto"/>
        <w:ind w:left="0" w:right="0" w:firstLine="0"/>
        <w:jc w:val="center"/>
        <w:rPr>
          <w:rFonts w:ascii="Times New Roman" w:hAnsi="Times New Roman" w:cs="Times New Roman"/>
          <w:sz w:val="24"/>
        </w:rPr>
      </w:pPr>
      <w:r w:rsidRPr="0032536A">
        <w:rPr>
          <w:rFonts w:ascii="Times New Roman" w:eastAsia="Calibri" w:hAnsi="Times New Roman" w:cs="Times New Roman"/>
          <w:i/>
          <w:color w:val="auto"/>
          <w:sz w:val="20"/>
        </w:rPr>
        <w:t>Izvor: Statistički ljetopis Grada Zagreba</w:t>
      </w:r>
      <w:r w:rsidR="007F144E" w:rsidRPr="0032536A">
        <w:rPr>
          <w:rFonts w:ascii="Times New Roman" w:eastAsia="Calibri" w:hAnsi="Times New Roman" w:cs="Times New Roman"/>
          <w:i/>
          <w:color w:val="auto"/>
          <w:sz w:val="20"/>
        </w:rPr>
        <w:t xml:space="preserve"> 2021.</w:t>
      </w:r>
      <w:bookmarkStart w:id="24" w:name="_Toc2938544"/>
    </w:p>
    <w:p w14:paraId="0BE85AD9" w14:textId="77777777" w:rsidR="009D5EFE" w:rsidRDefault="009D5EFE" w:rsidP="00302468">
      <w:pPr>
        <w:spacing w:after="0" w:line="240" w:lineRule="auto"/>
        <w:ind w:left="0" w:right="0" w:firstLine="709"/>
        <w:rPr>
          <w:rFonts w:ascii="Times New Roman" w:hAnsi="Times New Roman" w:cs="Times New Roman"/>
          <w:b/>
          <w:sz w:val="24"/>
        </w:rPr>
      </w:pPr>
    </w:p>
    <w:p w14:paraId="08A1C94C" w14:textId="4638CB9F" w:rsidR="00E40AC8" w:rsidRPr="00302468" w:rsidRDefault="00900184" w:rsidP="00302468">
      <w:pPr>
        <w:spacing w:after="0" w:line="240" w:lineRule="auto"/>
        <w:ind w:left="0" w:right="0" w:firstLine="709"/>
        <w:rPr>
          <w:rFonts w:ascii="Times New Roman" w:hAnsi="Times New Roman" w:cs="Times New Roman"/>
          <w:b/>
          <w:sz w:val="24"/>
        </w:rPr>
      </w:pPr>
      <w:r w:rsidRPr="00302468">
        <w:rPr>
          <w:rFonts w:ascii="Times New Roman" w:hAnsi="Times New Roman" w:cs="Times New Roman"/>
          <w:b/>
          <w:sz w:val="24"/>
        </w:rPr>
        <w:t>2.2.6. Broj, vrsta (namjena) i starost građevina</w:t>
      </w:r>
      <w:bookmarkEnd w:id="24"/>
    </w:p>
    <w:p w14:paraId="38A2E744" w14:textId="3CF1CB07" w:rsidR="00E40AC8" w:rsidRPr="0032536A" w:rsidRDefault="00A22605" w:rsidP="00302468">
      <w:pPr>
        <w:spacing w:after="0" w:line="240" w:lineRule="auto"/>
        <w:ind w:left="0" w:right="0" w:firstLine="709"/>
        <w:rPr>
          <w:rFonts w:ascii="Times New Roman" w:hAnsi="Times New Roman" w:cs="Times New Roman"/>
          <w:color w:val="auto"/>
          <w:sz w:val="24"/>
        </w:rPr>
      </w:pPr>
      <w:r w:rsidRPr="0032536A">
        <w:rPr>
          <w:rFonts w:ascii="Times New Roman" w:hAnsi="Times New Roman" w:cs="Times New Roman"/>
          <w:color w:val="auto"/>
          <w:sz w:val="24"/>
        </w:rPr>
        <w:t>Popisom stanovništva 2021. na području Grada Zagreba evidentirana su 393.433 stana, što je gustoća od 613,5 stana/km</w:t>
      </w:r>
      <w:r w:rsidRPr="0032536A">
        <w:rPr>
          <w:rFonts w:ascii="Times New Roman" w:hAnsi="Times New Roman" w:cs="Times New Roman"/>
          <w:color w:val="auto"/>
          <w:sz w:val="24"/>
          <w:vertAlign w:val="superscript"/>
        </w:rPr>
        <w:t>2</w:t>
      </w:r>
      <w:r w:rsidRPr="0032536A">
        <w:rPr>
          <w:rFonts w:ascii="Times New Roman" w:hAnsi="Times New Roman" w:cs="Times New Roman"/>
          <w:color w:val="auto"/>
          <w:sz w:val="24"/>
        </w:rPr>
        <w:t xml:space="preserve">. </w:t>
      </w:r>
      <w:r w:rsidR="00900184" w:rsidRPr="0032536A">
        <w:rPr>
          <w:rFonts w:ascii="Times New Roman" w:hAnsi="Times New Roman" w:cs="Times New Roman"/>
          <w:color w:val="auto"/>
          <w:sz w:val="24"/>
        </w:rPr>
        <w:t>Odnos broja stambenih jedinica 2001. i 2011. po četvrtima Grada Zagreba očekivano pokazuje najmanji porast u središnjim, a znatno veći u rubnim gradskim četvrtima.</w:t>
      </w:r>
    </w:p>
    <w:p w14:paraId="5C8EDF10" w14:textId="77777777" w:rsidR="00E40AC8" w:rsidRDefault="00900184" w:rsidP="00302468">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Površine, građevine i druge zahvate u prostoru koji su od znač</w:t>
      </w:r>
      <w:r w:rsidR="00302468">
        <w:rPr>
          <w:rFonts w:ascii="Times New Roman" w:hAnsi="Times New Roman" w:cs="Times New Roman"/>
          <w:sz w:val="24"/>
        </w:rPr>
        <w:t>en</w:t>
      </w:r>
      <w:r w:rsidRPr="005142C4">
        <w:rPr>
          <w:rFonts w:ascii="Times New Roman" w:hAnsi="Times New Roman" w:cs="Times New Roman"/>
          <w:sz w:val="24"/>
        </w:rPr>
        <w:t xml:space="preserve">ja za državu posebnom uredbom određuje Vlada Republike Hrvatske. Prema Uredbi o određivanju građevina, drugih zahvata u prostoru i površina državnog i regionalnog (područnog) značaja od građevina Ministarstva unutarnjih poslova, onima državnog značaja smatraju se građevine </w:t>
      </w:r>
      <w:r w:rsidR="00D50A9D">
        <w:rPr>
          <w:rFonts w:ascii="Times New Roman" w:hAnsi="Times New Roman" w:cs="Times New Roman"/>
          <w:sz w:val="24"/>
        </w:rPr>
        <w:t>po</w:t>
      </w:r>
      <w:r w:rsidR="00F92182">
        <w:rPr>
          <w:rFonts w:ascii="Times New Roman" w:hAnsi="Times New Roman" w:cs="Times New Roman"/>
          <w:sz w:val="24"/>
        </w:rPr>
        <w:t xml:space="preserve">vezane </w:t>
      </w:r>
      <w:r w:rsidR="00D50A9D">
        <w:rPr>
          <w:rFonts w:ascii="Times New Roman" w:hAnsi="Times New Roman" w:cs="Times New Roman"/>
          <w:sz w:val="24"/>
        </w:rPr>
        <w:t>s</w:t>
      </w:r>
      <w:r w:rsidR="00F92182">
        <w:rPr>
          <w:rFonts w:ascii="Times New Roman" w:hAnsi="Times New Roman" w:cs="Times New Roman"/>
          <w:sz w:val="24"/>
        </w:rPr>
        <w:t xml:space="preserve"> </w:t>
      </w:r>
      <w:r w:rsidRPr="005142C4">
        <w:rPr>
          <w:rFonts w:ascii="Times New Roman" w:hAnsi="Times New Roman" w:cs="Times New Roman"/>
          <w:sz w:val="24"/>
        </w:rPr>
        <w:t>nadzor</w:t>
      </w:r>
      <w:r w:rsidR="00D50A9D">
        <w:rPr>
          <w:rFonts w:ascii="Times New Roman" w:hAnsi="Times New Roman" w:cs="Times New Roman"/>
          <w:sz w:val="24"/>
        </w:rPr>
        <w:t>om</w:t>
      </w:r>
      <w:r w:rsidRPr="005142C4">
        <w:rPr>
          <w:rFonts w:ascii="Times New Roman" w:hAnsi="Times New Roman" w:cs="Times New Roman"/>
          <w:sz w:val="24"/>
        </w:rPr>
        <w:t xml:space="preserve"> granice, prihvatilišta za tražitelje azila te zatvori, kaznionice i odgojni zavodi. Građevine iz prve od navedenih skupina na području Grada Zagreba ne postoje. Od građevina iz druge skupine u Zagrebu djeluje prihvatilište za tražitelje međunarodne zaštite (azila) u nekadašnjem hotelu Porin u novozagrebačkom naselju Dugave. Iz treće skupine građevina, u zagrebačkom naselju Remetinec nalazi se zatvor, a nedaleko od kompleksa MUP</w:t>
      </w:r>
      <w:r w:rsidR="00EE6A22" w:rsidRPr="005142C4">
        <w:rPr>
          <w:rFonts w:ascii="Times New Roman" w:hAnsi="Times New Roman" w:cs="Times New Roman"/>
          <w:sz w:val="24"/>
        </w:rPr>
        <w:t>-</w:t>
      </w:r>
      <w:r w:rsidRPr="005142C4">
        <w:rPr>
          <w:rFonts w:ascii="Times New Roman" w:hAnsi="Times New Roman" w:cs="Times New Roman"/>
          <w:sz w:val="24"/>
        </w:rPr>
        <w:t>a na Svetošimunskoj cesti zatvorska bolnica. Ostale građevine od državnog značaja koje se nalaze na području Grada Zagreba navedene su u Tablici 15.</w:t>
      </w:r>
    </w:p>
    <w:p w14:paraId="70104DF7" w14:textId="77777777" w:rsidR="00302468" w:rsidRPr="005142C4" w:rsidRDefault="00302468" w:rsidP="00302468">
      <w:pPr>
        <w:spacing w:after="0" w:line="240" w:lineRule="auto"/>
        <w:ind w:right="0"/>
        <w:rPr>
          <w:rFonts w:ascii="Times New Roman" w:hAnsi="Times New Roman" w:cs="Times New Roman"/>
          <w:sz w:val="24"/>
        </w:rPr>
      </w:pPr>
    </w:p>
    <w:p w14:paraId="3C8BDED0" w14:textId="6699E53D" w:rsidR="00E40AC8" w:rsidRPr="0032536A" w:rsidRDefault="00900184" w:rsidP="009D5EFE">
      <w:pPr>
        <w:spacing w:line="240" w:lineRule="auto"/>
        <w:ind w:left="0" w:right="0" w:firstLine="0"/>
        <w:jc w:val="center"/>
        <w:rPr>
          <w:rFonts w:ascii="Times New Roman" w:hAnsi="Times New Roman" w:cs="Times New Roman"/>
          <w:b/>
          <w:color w:val="auto"/>
          <w:sz w:val="24"/>
        </w:rPr>
      </w:pPr>
      <w:r w:rsidRPr="0032536A">
        <w:rPr>
          <w:rFonts w:ascii="Times New Roman" w:hAnsi="Times New Roman" w:cs="Times New Roman"/>
          <w:b/>
          <w:color w:val="auto"/>
          <w:sz w:val="24"/>
        </w:rPr>
        <w:t>Tablica 1</w:t>
      </w:r>
      <w:r w:rsidR="00E12671">
        <w:rPr>
          <w:rFonts w:ascii="Times New Roman" w:hAnsi="Times New Roman" w:cs="Times New Roman"/>
          <w:b/>
          <w:color w:val="auto"/>
          <w:sz w:val="24"/>
        </w:rPr>
        <w:t>4</w:t>
      </w:r>
      <w:r w:rsidRPr="0032536A">
        <w:rPr>
          <w:rFonts w:ascii="Times New Roman" w:hAnsi="Times New Roman" w:cs="Times New Roman"/>
          <w:b/>
          <w:color w:val="auto"/>
          <w:sz w:val="24"/>
        </w:rPr>
        <w:t>. Odnos broja stanovnika, kućanstava i stambenih jedinica u Gradu Zagrebu 2001. i 2011.</w:t>
      </w:r>
    </w:p>
    <w:p w14:paraId="703C2F59" w14:textId="77777777" w:rsidR="00E40AC8" w:rsidRPr="0032536A" w:rsidRDefault="00900184" w:rsidP="00302468">
      <w:pPr>
        <w:spacing w:after="0" w:line="240" w:lineRule="auto"/>
        <w:ind w:left="0" w:right="0" w:firstLine="0"/>
        <w:jc w:val="center"/>
        <w:rPr>
          <w:rFonts w:ascii="Times New Roman" w:hAnsi="Times New Roman" w:cs="Times New Roman"/>
          <w:color w:val="auto"/>
          <w:sz w:val="24"/>
        </w:rPr>
      </w:pPr>
      <w:r w:rsidRPr="0032536A">
        <w:rPr>
          <w:rFonts w:ascii="Times New Roman" w:hAnsi="Times New Roman" w:cs="Times New Roman"/>
          <w:noProof/>
          <w:color w:val="auto"/>
          <w:sz w:val="24"/>
        </w:rPr>
        <w:drawing>
          <wp:inline distT="0" distB="0" distL="0" distR="0" wp14:anchorId="74A65195" wp14:editId="4C450C7A">
            <wp:extent cx="5448112" cy="2362200"/>
            <wp:effectExtent l="0" t="0" r="635" b="0"/>
            <wp:docPr id="22228" name="Picture 22228"/>
            <wp:cNvGraphicFramePr/>
            <a:graphic xmlns:a="http://schemas.openxmlformats.org/drawingml/2006/main">
              <a:graphicData uri="http://schemas.openxmlformats.org/drawingml/2006/picture">
                <pic:pic xmlns:pic="http://schemas.openxmlformats.org/drawingml/2006/picture">
                  <pic:nvPicPr>
                    <pic:cNvPr id="22228" name="Picture 2222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54491" cy="2408324"/>
                    </a:xfrm>
                    <a:prstGeom prst="rect">
                      <a:avLst/>
                    </a:prstGeom>
                  </pic:spPr>
                </pic:pic>
              </a:graphicData>
            </a:graphic>
          </wp:inline>
        </w:drawing>
      </w:r>
    </w:p>
    <w:p w14:paraId="4FF15CA5" w14:textId="77777777" w:rsidR="00E40AC8" w:rsidRPr="0032536A" w:rsidRDefault="00900184" w:rsidP="005142C4">
      <w:pPr>
        <w:spacing w:after="0" w:line="240" w:lineRule="auto"/>
        <w:ind w:left="0" w:right="0" w:firstLine="0"/>
        <w:jc w:val="center"/>
        <w:rPr>
          <w:rFonts w:ascii="Times New Roman" w:eastAsia="Calibri" w:hAnsi="Times New Roman" w:cs="Times New Roman"/>
          <w:i/>
          <w:color w:val="auto"/>
          <w:sz w:val="20"/>
        </w:rPr>
      </w:pPr>
      <w:r w:rsidRPr="0032536A">
        <w:rPr>
          <w:rFonts w:ascii="Times New Roman" w:eastAsia="Calibri" w:hAnsi="Times New Roman" w:cs="Times New Roman"/>
          <w:i/>
          <w:color w:val="auto"/>
          <w:sz w:val="20"/>
        </w:rPr>
        <w:t>Izvor: Zavod za prostorno uređenje Grada Zagreba</w:t>
      </w:r>
    </w:p>
    <w:p w14:paraId="797C14C2" w14:textId="77777777" w:rsidR="00900184" w:rsidRPr="0032536A" w:rsidRDefault="00900184" w:rsidP="005142C4">
      <w:pPr>
        <w:spacing w:after="0" w:line="240" w:lineRule="auto"/>
        <w:ind w:left="0" w:right="0" w:firstLine="0"/>
        <w:rPr>
          <w:rFonts w:ascii="Times New Roman" w:hAnsi="Times New Roman" w:cs="Times New Roman"/>
          <w:color w:val="auto"/>
          <w:sz w:val="24"/>
        </w:rPr>
      </w:pPr>
    </w:p>
    <w:p w14:paraId="62C2F305" w14:textId="32A4B3E0" w:rsidR="00E40AC8" w:rsidRPr="0032536A" w:rsidRDefault="00900184" w:rsidP="003435D0">
      <w:pPr>
        <w:spacing w:line="240" w:lineRule="auto"/>
        <w:ind w:left="0" w:right="0" w:firstLine="0"/>
        <w:jc w:val="center"/>
        <w:rPr>
          <w:rFonts w:ascii="Times New Roman" w:hAnsi="Times New Roman" w:cs="Times New Roman"/>
          <w:b/>
          <w:color w:val="auto"/>
          <w:sz w:val="24"/>
        </w:rPr>
      </w:pPr>
      <w:r w:rsidRPr="0032536A">
        <w:rPr>
          <w:rFonts w:ascii="Times New Roman" w:hAnsi="Times New Roman" w:cs="Times New Roman"/>
          <w:b/>
          <w:color w:val="auto"/>
          <w:sz w:val="24"/>
        </w:rPr>
        <w:lastRenderedPageBreak/>
        <w:t>Tablica 1</w:t>
      </w:r>
      <w:r w:rsidR="00E12671">
        <w:rPr>
          <w:rFonts w:ascii="Times New Roman" w:hAnsi="Times New Roman" w:cs="Times New Roman"/>
          <w:b/>
          <w:color w:val="auto"/>
          <w:sz w:val="24"/>
        </w:rPr>
        <w:t>5</w:t>
      </w:r>
      <w:r w:rsidRPr="0032536A">
        <w:rPr>
          <w:rFonts w:ascii="Times New Roman" w:hAnsi="Times New Roman" w:cs="Times New Roman"/>
          <w:b/>
          <w:color w:val="auto"/>
          <w:sz w:val="24"/>
        </w:rPr>
        <w:t xml:space="preserve">. Odnos broja stanova po </w:t>
      </w:r>
      <w:r w:rsidR="00D50A9D" w:rsidRPr="0032536A">
        <w:rPr>
          <w:rFonts w:ascii="Times New Roman" w:hAnsi="Times New Roman" w:cs="Times New Roman"/>
          <w:b/>
          <w:color w:val="auto"/>
          <w:sz w:val="24"/>
        </w:rPr>
        <w:t>g</w:t>
      </w:r>
      <w:r w:rsidRPr="0032536A">
        <w:rPr>
          <w:rFonts w:ascii="Times New Roman" w:hAnsi="Times New Roman" w:cs="Times New Roman"/>
          <w:b/>
          <w:color w:val="auto"/>
          <w:sz w:val="24"/>
        </w:rPr>
        <w:t>radskim četvrtima Grada Zagreba 2001. i 2011.</w:t>
      </w:r>
      <w:r w:rsidRPr="0032536A">
        <w:rPr>
          <w:rFonts w:ascii="Times New Roman" w:hAnsi="Times New Roman" w:cs="Times New Roman"/>
          <w:noProof/>
          <w:color w:val="auto"/>
          <w:sz w:val="24"/>
        </w:rPr>
        <w:drawing>
          <wp:inline distT="0" distB="0" distL="0" distR="0" wp14:anchorId="0134B4CF" wp14:editId="44281009">
            <wp:extent cx="5467736" cy="3200400"/>
            <wp:effectExtent l="0" t="0" r="0" b="0"/>
            <wp:docPr id="22241" name="Picture 22241"/>
            <wp:cNvGraphicFramePr/>
            <a:graphic xmlns:a="http://schemas.openxmlformats.org/drawingml/2006/main">
              <a:graphicData uri="http://schemas.openxmlformats.org/drawingml/2006/picture">
                <pic:pic xmlns:pic="http://schemas.openxmlformats.org/drawingml/2006/picture">
                  <pic:nvPicPr>
                    <pic:cNvPr id="22241" name="Picture 2224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46473" cy="3246486"/>
                    </a:xfrm>
                    <a:prstGeom prst="rect">
                      <a:avLst/>
                    </a:prstGeom>
                  </pic:spPr>
                </pic:pic>
              </a:graphicData>
            </a:graphic>
          </wp:inline>
        </w:drawing>
      </w:r>
    </w:p>
    <w:p w14:paraId="6BF1FC14" w14:textId="77777777" w:rsidR="00E40AC8" w:rsidRPr="00F066A9" w:rsidRDefault="00900184" w:rsidP="005142C4">
      <w:pPr>
        <w:spacing w:after="0" w:line="240" w:lineRule="auto"/>
        <w:ind w:left="0" w:right="0" w:firstLine="0"/>
        <w:jc w:val="center"/>
        <w:rPr>
          <w:rFonts w:ascii="Times New Roman" w:eastAsia="Calibri" w:hAnsi="Times New Roman" w:cs="Times New Roman"/>
          <w:i/>
          <w:color w:val="FF0000"/>
          <w:sz w:val="20"/>
        </w:rPr>
      </w:pPr>
      <w:r w:rsidRPr="0032536A">
        <w:rPr>
          <w:rFonts w:ascii="Times New Roman" w:eastAsia="Calibri" w:hAnsi="Times New Roman" w:cs="Times New Roman"/>
          <w:i/>
          <w:color w:val="auto"/>
          <w:sz w:val="20"/>
        </w:rPr>
        <w:t>Izvor: Zavod za prostorno uređenje Grada Zagreba</w:t>
      </w:r>
    </w:p>
    <w:p w14:paraId="3D606F5F" w14:textId="77777777" w:rsidR="00302468" w:rsidRPr="00302468" w:rsidRDefault="00302468" w:rsidP="00302468">
      <w:pPr>
        <w:spacing w:after="0" w:line="240" w:lineRule="auto"/>
        <w:ind w:left="0" w:right="0" w:firstLine="0"/>
        <w:rPr>
          <w:rFonts w:ascii="Times New Roman" w:hAnsi="Times New Roman" w:cs="Times New Roman"/>
          <w:sz w:val="24"/>
        </w:rPr>
      </w:pPr>
    </w:p>
    <w:p w14:paraId="2AFC8918" w14:textId="54AE5A07" w:rsidR="00E40AC8" w:rsidRDefault="00302468" w:rsidP="00AC32CB">
      <w:pPr>
        <w:spacing w:after="160" w:line="259" w:lineRule="auto"/>
        <w:ind w:left="0" w:right="0" w:firstLine="0"/>
        <w:jc w:val="center"/>
        <w:rPr>
          <w:rFonts w:ascii="Times New Roman" w:hAnsi="Times New Roman" w:cs="Times New Roman"/>
          <w:b/>
          <w:sz w:val="24"/>
        </w:rPr>
      </w:pPr>
      <w:r>
        <w:rPr>
          <w:rFonts w:ascii="Times New Roman" w:hAnsi="Times New Roman" w:cs="Times New Roman"/>
          <w:b/>
          <w:sz w:val="24"/>
        </w:rPr>
        <w:br w:type="page"/>
      </w:r>
      <w:r w:rsidR="00900184" w:rsidRPr="00302468">
        <w:rPr>
          <w:rFonts w:ascii="Times New Roman" w:hAnsi="Times New Roman" w:cs="Times New Roman"/>
          <w:b/>
          <w:sz w:val="24"/>
        </w:rPr>
        <w:lastRenderedPageBreak/>
        <w:t>Tablica 1</w:t>
      </w:r>
      <w:r w:rsidR="00E12671">
        <w:rPr>
          <w:rFonts w:ascii="Times New Roman" w:hAnsi="Times New Roman" w:cs="Times New Roman"/>
          <w:b/>
          <w:sz w:val="24"/>
        </w:rPr>
        <w:t>6</w:t>
      </w:r>
      <w:r w:rsidR="00900184" w:rsidRPr="00302468">
        <w:rPr>
          <w:rFonts w:ascii="Times New Roman" w:hAnsi="Times New Roman" w:cs="Times New Roman"/>
          <w:b/>
          <w:sz w:val="24"/>
        </w:rPr>
        <w:t>. Pregled područja i građevina državnog značaja unutar administrativnog obuhvata Grada Zagreba</w:t>
      </w:r>
    </w:p>
    <w:p w14:paraId="49A7F84B" w14:textId="77777777" w:rsidR="003F7A56" w:rsidRPr="005142C4" w:rsidRDefault="00900184" w:rsidP="00302468">
      <w:pPr>
        <w:spacing w:after="0" w:line="240" w:lineRule="auto"/>
        <w:ind w:left="0" w:right="0" w:firstLine="0"/>
        <w:jc w:val="center"/>
        <w:rPr>
          <w:rFonts w:ascii="Times New Roman" w:hAnsi="Times New Roman" w:cs="Times New Roman"/>
          <w:sz w:val="24"/>
        </w:rPr>
      </w:pPr>
      <w:r w:rsidRPr="005142C4">
        <w:rPr>
          <w:rFonts w:ascii="Times New Roman" w:hAnsi="Times New Roman" w:cs="Times New Roman"/>
          <w:noProof/>
          <w:sz w:val="24"/>
        </w:rPr>
        <w:drawing>
          <wp:inline distT="0" distB="0" distL="0" distR="0" wp14:anchorId="20167995" wp14:editId="194304D9">
            <wp:extent cx="5274860" cy="4238252"/>
            <wp:effectExtent l="0" t="0" r="2540" b="0"/>
            <wp:docPr id="22314" name="Picture 22314"/>
            <wp:cNvGraphicFramePr/>
            <a:graphic xmlns:a="http://schemas.openxmlformats.org/drawingml/2006/main">
              <a:graphicData uri="http://schemas.openxmlformats.org/drawingml/2006/picture">
                <pic:pic xmlns:pic="http://schemas.openxmlformats.org/drawingml/2006/picture">
                  <pic:nvPicPr>
                    <pic:cNvPr id="22314" name="Picture 2231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84407" cy="4245923"/>
                    </a:xfrm>
                    <a:prstGeom prst="rect">
                      <a:avLst/>
                    </a:prstGeom>
                  </pic:spPr>
                </pic:pic>
              </a:graphicData>
            </a:graphic>
          </wp:inline>
        </w:drawing>
      </w:r>
    </w:p>
    <w:p w14:paraId="4BED312F" w14:textId="77777777" w:rsidR="00E40AC8" w:rsidRPr="00302468" w:rsidRDefault="00900184" w:rsidP="005142C4">
      <w:pPr>
        <w:spacing w:after="0" w:line="240" w:lineRule="auto"/>
        <w:ind w:left="0" w:right="0" w:firstLine="0"/>
        <w:jc w:val="center"/>
        <w:rPr>
          <w:rFonts w:ascii="Times New Roman" w:eastAsia="Calibri" w:hAnsi="Times New Roman" w:cs="Times New Roman"/>
          <w:i/>
          <w:sz w:val="20"/>
        </w:rPr>
      </w:pPr>
      <w:r w:rsidRPr="00302468">
        <w:rPr>
          <w:rFonts w:ascii="Times New Roman" w:eastAsia="Calibri" w:hAnsi="Times New Roman" w:cs="Times New Roman"/>
          <w:i/>
          <w:sz w:val="20"/>
        </w:rPr>
        <w:t>Izvor: Izvješće o stanju u prostoru Grada Zagreba za razdoblje 2013</w:t>
      </w:r>
      <w:r w:rsidR="00302468">
        <w:rPr>
          <w:rFonts w:ascii="Times New Roman" w:eastAsia="Calibri" w:hAnsi="Times New Roman" w:cs="Times New Roman"/>
          <w:i/>
          <w:sz w:val="20"/>
        </w:rPr>
        <w:t xml:space="preserve">. </w:t>
      </w:r>
      <w:r w:rsidR="00EE6A22" w:rsidRPr="00302468">
        <w:rPr>
          <w:rFonts w:ascii="Times New Roman" w:eastAsia="Calibri" w:hAnsi="Times New Roman" w:cs="Times New Roman"/>
          <w:i/>
          <w:sz w:val="20"/>
        </w:rPr>
        <w:t>-</w:t>
      </w:r>
      <w:r w:rsidR="00302468">
        <w:rPr>
          <w:rFonts w:ascii="Times New Roman" w:eastAsia="Calibri" w:hAnsi="Times New Roman" w:cs="Times New Roman"/>
          <w:i/>
          <w:sz w:val="20"/>
        </w:rPr>
        <w:t xml:space="preserve"> </w:t>
      </w:r>
      <w:r w:rsidRPr="00302468">
        <w:rPr>
          <w:rFonts w:ascii="Times New Roman" w:eastAsia="Calibri" w:hAnsi="Times New Roman" w:cs="Times New Roman"/>
          <w:i/>
          <w:sz w:val="20"/>
        </w:rPr>
        <w:t>2016.</w:t>
      </w:r>
    </w:p>
    <w:p w14:paraId="6584AD0A" w14:textId="77777777" w:rsidR="00302468" w:rsidRDefault="00302468" w:rsidP="005142C4">
      <w:pPr>
        <w:spacing w:after="0" w:line="240" w:lineRule="auto"/>
        <w:ind w:left="0" w:right="0" w:firstLine="0"/>
        <w:rPr>
          <w:rFonts w:ascii="Times New Roman" w:hAnsi="Times New Roman" w:cs="Times New Roman"/>
          <w:sz w:val="24"/>
        </w:rPr>
      </w:pPr>
    </w:p>
    <w:p w14:paraId="2DEF5816" w14:textId="77777777" w:rsidR="00E40AC8" w:rsidRDefault="00900184" w:rsidP="00302468">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Detaljni inventar stambenih zgrada </w:t>
      </w:r>
      <w:r w:rsidR="00302468">
        <w:rPr>
          <w:rFonts w:ascii="Times New Roman" w:hAnsi="Times New Roman" w:cs="Times New Roman"/>
          <w:sz w:val="24"/>
        </w:rPr>
        <w:t>u odnosu</w:t>
      </w:r>
      <w:r w:rsidR="004C7674">
        <w:rPr>
          <w:rFonts w:ascii="Times New Roman" w:hAnsi="Times New Roman" w:cs="Times New Roman"/>
          <w:sz w:val="24"/>
        </w:rPr>
        <w:t xml:space="preserve"> na</w:t>
      </w:r>
      <w:r w:rsidRPr="005142C4">
        <w:rPr>
          <w:rFonts w:ascii="Times New Roman" w:hAnsi="Times New Roman" w:cs="Times New Roman"/>
          <w:sz w:val="24"/>
        </w:rPr>
        <w:t xml:space="preserve"> godinu gradnje za područje Grada Zagreba ne postoji. Postoje samo podaci Državnoga zavoda za statistiku (popis iz 2011. g.) u kojima je naveden broj stanova izgrađenih u određenim razdobljima. Pritom treba uzeti u obzir da se administrativno područje Grada Zagreba tijekom godina mijenjalo i da se broj stanova u razdoblju od 2011. do 2018. povećao. Iz grafikona je vidljivo da je glavnina zgrada izgrađena u razdoblju od 1965. do 1984. godine.</w:t>
      </w:r>
    </w:p>
    <w:p w14:paraId="52131CB5" w14:textId="77777777" w:rsidR="00302468" w:rsidRPr="005142C4" w:rsidRDefault="00302468" w:rsidP="00302468">
      <w:pPr>
        <w:spacing w:after="0" w:line="240" w:lineRule="auto"/>
        <w:ind w:right="0"/>
        <w:rPr>
          <w:rFonts w:ascii="Times New Roman" w:hAnsi="Times New Roman" w:cs="Times New Roman"/>
          <w:sz w:val="24"/>
        </w:rPr>
      </w:pPr>
    </w:p>
    <w:p w14:paraId="424127FE" w14:textId="77777777" w:rsidR="00E40AC8" w:rsidRPr="005142C4" w:rsidRDefault="00900184" w:rsidP="003C7393">
      <w:pPr>
        <w:spacing w:after="240" w:line="240" w:lineRule="auto"/>
        <w:ind w:left="0" w:right="0" w:firstLine="0"/>
        <w:jc w:val="center"/>
        <w:rPr>
          <w:rFonts w:ascii="Times New Roman" w:hAnsi="Times New Roman" w:cs="Times New Roman"/>
          <w:b/>
          <w:sz w:val="24"/>
        </w:rPr>
      </w:pPr>
      <w:r w:rsidRPr="00302468">
        <w:rPr>
          <w:rFonts w:ascii="Times New Roman" w:hAnsi="Times New Roman" w:cs="Times New Roman"/>
          <w:b/>
          <w:sz w:val="24"/>
        </w:rPr>
        <w:t>Grafikon 4. Godine izgradnje stanova u Zagrebu</w:t>
      </w:r>
    </w:p>
    <w:p w14:paraId="58A805C0" w14:textId="77777777" w:rsidR="00E40AC8" w:rsidRPr="005142C4" w:rsidRDefault="00900184" w:rsidP="00302468">
      <w:pPr>
        <w:spacing w:after="0" w:line="240" w:lineRule="auto"/>
        <w:ind w:left="0" w:right="0" w:firstLine="0"/>
        <w:jc w:val="center"/>
        <w:rPr>
          <w:rFonts w:ascii="Times New Roman" w:hAnsi="Times New Roman" w:cs="Times New Roman"/>
          <w:sz w:val="24"/>
        </w:rPr>
      </w:pPr>
      <w:r w:rsidRPr="005142C4">
        <w:rPr>
          <w:rFonts w:ascii="Times New Roman" w:hAnsi="Times New Roman" w:cs="Times New Roman"/>
          <w:noProof/>
          <w:sz w:val="24"/>
        </w:rPr>
        <w:drawing>
          <wp:inline distT="0" distB="0" distL="0" distR="0" wp14:anchorId="3B1DC9C1" wp14:editId="00D1D18D">
            <wp:extent cx="4060190" cy="1892935"/>
            <wp:effectExtent l="0" t="0" r="0" b="0"/>
            <wp:docPr id="22306" name="Picture 22306"/>
            <wp:cNvGraphicFramePr/>
            <a:graphic xmlns:a="http://schemas.openxmlformats.org/drawingml/2006/main">
              <a:graphicData uri="http://schemas.openxmlformats.org/drawingml/2006/picture">
                <pic:pic xmlns:pic="http://schemas.openxmlformats.org/drawingml/2006/picture">
                  <pic:nvPicPr>
                    <pic:cNvPr id="22306" name="Picture 22306"/>
                    <pic:cNvPicPr/>
                  </pic:nvPicPr>
                  <pic:blipFill>
                    <a:blip r:embed="rId24"/>
                    <a:stretch>
                      <a:fillRect/>
                    </a:stretch>
                  </pic:blipFill>
                  <pic:spPr>
                    <a:xfrm>
                      <a:off x="0" y="0"/>
                      <a:ext cx="4060190" cy="1892935"/>
                    </a:xfrm>
                    <a:prstGeom prst="rect">
                      <a:avLst/>
                    </a:prstGeom>
                  </pic:spPr>
                </pic:pic>
              </a:graphicData>
            </a:graphic>
          </wp:inline>
        </w:drawing>
      </w:r>
    </w:p>
    <w:p w14:paraId="40F185B8" w14:textId="77777777" w:rsidR="00E40AC8" w:rsidRDefault="00900184" w:rsidP="005142C4">
      <w:pPr>
        <w:spacing w:after="0" w:line="240" w:lineRule="auto"/>
        <w:ind w:left="0" w:right="0" w:firstLine="0"/>
        <w:jc w:val="center"/>
        <w:rPr>
          <w:rFonts w:ascii="Times New Roman" w:eastAsia="Calibri" w:hAnsi="Times New Roman" w:cs="Times New Roman"/>
          <w:i/>
          <w:sz w:val="20"/>
        </w:rPr>
      </w:pPr>
      <w:r w:rsidRPr="00302468">
        <w:rPr>
          <w:rFonts w:ascii="Times New Roman" w:eastAsia="Calibri" w:hAnsi="Times New Roman" w:cs="Times New Roman"/>
          <w:i/>
          <w:sz w:val="20"/>
        </w:rPr>
        <w:t>Izvor: Procjena ugroženosti stanovništva, materijalnih i kulturnih dobara i okoliša od katastrofa i velikih nesreća za područje Grada Zagreba</w:t>
      </w:r>
    </w:p>
    <w:p w14:paraId="0CA3BE10" w14:textId="77777777" w:rsidR="00E40AC8" w:rsidRDefault="00900184" w:rsidP="00302468">
      <w:pPr>
        <w:spacing w:after="0" w:line="240" w:lineRule="auto"/>
        <w:ind w:right="0"/>
        <w:rPr>
          <w:rFonts w:ascii="Times New Roman" w:hAnsi="Times New Roman" w:cs="Times New Roman"/>
          <w:b/>
          <w:sz w:val="24"/>
        </w:rPr>
      </w:pPr>
      <w:bookmarkStart w:id="25" w:name="_Toc2938545"/>
      <w:r w:rsidRPr="00302468">
        <w:rPr>
          <w:rFonts w:ascii="Times New Roman" w:hAnsi="Times New Roman" w:cs="Times New Roman"/>
          <w:b/>
          <w:sz w:val="24"/>
        </w:rPr>
        <w:lastRenderedPageBreak/>
        <w:t>2.3. Ekonomsko</w:t>
      </w:r>
      <w:r w:rsidR="00EE6A22" w:rsidRPr="00302468">
        <w:rPr>
          <w:rFonts w:ascii="Times New Roman" w:hAnsi="Times New Roman" w:cs="Times New Roman"/>
          <w:b/>
          <w:sz w:val="24"/>
        </w:rPr>
        <w:t>-</w:t>
      </w:r>
      <w:r w:rsidRPr="00302468">
        <w:rPr>
          <w:rFonts w:ascii="Times New Roman" w:hAnsi="Times New Roman" w:cs="Times New Roman"/>
          <w:b/>
          <w:sz w:val="24"/>
        </w:rPr>
        <w:t>politički pokazatelji</w:t>
      </w:r>
      <w:bookmarkEnd w:id="25"/>
    </w:p>
    <w:p w14:paraId="00BF139B" w14:textId="77777777" w:rsidR="00302468" w:rsidRPr="00302468" w:rsidRDefault="00302468" w:rsidP="00302468">
      <w:pPr>
        <w:spacing w:after="0" w:line="240" w:lineRule="auto"/>
        <w:ind w:right="0"/>
        <w:rPr>
          <w:rFonts w:ascii="Times New Roman" w:hAnsi="Times New Roman" w:cs="Times New Roman"/>
          <w:sz w:val="24"/>
        </w:rPr>
      </w:pPr>
    </w:p>
    <w:p w14:paraId="3D5FBFBB" w14:textId="79414186" w:rsidR="00E40AC8" w:rsidRDefault="00900184" w:rsidP="00D21FF1">
      <w:pPr>
        <w:spacing w:after="0" w:line="240" w:lineRule="auto"/>
        <w:ind w:left="0" w:right="0" w:firstLine="709"/>
        <w:rPr>
          <w:rFonts w:ascii="Times New Roman" w:hAnsi="Times New Roman" w:cs="Times New Roman"/>
          <w:b/>
          <w:color w:val="auto"/>
          <w:sz w:val="24"/>
        </w:rPr>
      </w:pPr>
      <w:bookmarkStart w:id="26" w:name="_Toc2938546"/>
      <w:r w:rsidRPr="0032536A">
        <w:rPr>
          <w:rFonts w:ascii="Times New Roman" w:hAnsi="Times New Roman" w:cs="Times New Roman"/>
          <w:b/>
          <w:color w:val="auto"/>
          <w:sz w:val="24"/>
        </w:rPr>
        <w:t>2.3.1. Broj zaposlenih i mjesta zaposlenja</w:t>
      </w:r>
      <w:bookmarkEnd w:id="26"/>
    </w:p>
    <w:p w14:paraId="1D4B3909" w14:textId="1636485A" w:rsidR="00E40AC8" w:rsidRPr="0032536A" w:rsidRDefault="00900184" w:rsidP="00302468">
      <w:pPr>
        <w:spacing w:after="0" w:line="240" w:lineRule="auto"/>
        <w:ind w:left="0" w:right="0" w:firstLine="709"/>
        <w:rPr>
          <w:rFonts w:ascii="Times New Roman" w:hAnsi="Times New Roman" w:cs="Times New Roman"/>
          <w:color w:val="auto"/>
          <w:sz w:val="24"/>
        </w:rPr>
      </w:pPr>
      <w:r w:rsidRPr="0032536A">
        <w:rPr>
          <w:rFonts w:ascii="Times New Roman" w:hAnsi="Times New Roman" w:cs="Times New Roman"/>
          <w:color w:val="auto"/>
          <w:sz w:val="24"/>
        </w:rPr>
        <w:t>U Tablici 1</w:t>
      </w:r>
      <w:r w:rsidR="00A16D0A">
        <w:rPr>
          <w:rFonts w:ascii="Times New Roman" w:hAnsi="Times New Roman" w:cs="Times New Roman"/>
          <w:color w:val="auto"/>
          <w:sz w:val="24"/>
        </w:rPr>
        <w:t>7</w:t>
      </w:r>
      <w:r w:rsidRPr="0032536A">
        <w:rPr>
          <w:rFonts w:ascii="Times New Roman" w:hAnsi="Times New Roman" w:cs="Times New Roman"/>
          <w:color w:val="auto"/>
          <w:sz w:val="24"/>
        </w:rPr>
        <w:t xml:space="preserve">. </w:t>
      </w:r>
      <w:r w:rsidR="0067249B">
        <w:rPr>
          <w:rFonts w:ascii="Times New Roman" w:hAnsi="Times New Roman" w:cs="Times New Roman"/>
          <w:color w:val="auto"/>
          <w:sz w:val="24"/>
        </w:rPr>
        <w:t xml:space="preserve">prikazan je </w:t>
      </w:r>
      <w:r w:rsidR="0067249B" w:rsidRPr="00850AFE">
        <w:rPr>
          <w:rFonts w:ascii="Times New Roman" w:hAnsi="Times New Roman" w:cs="Times New Roman"/>
          <w:color w:val="auto"/>
          <w:sz w:val="24"/>
        </w:rPr>
        <w:t>broj zaposlenih prema područjima nacionalne klasifikacije djelatnosti</w:t>
      </w:r>
      <w:r w:rsidR="00A16D0A">
        <w:rPr>
          <w:rFonts w:ascii="Times New Roman" w:hAnsi="Times New Roman" w:cs="Times New Roman"/>
          <w:color w:val="auto"/>
          <w:sz w:val="24"/>
        </w:rPr>
        <w:t>,</w:t>
      </w:r>
      <w:r w:rsidR="0067249B" w:rsidRPr="0067249B">
        <w:rPr>
          <w:rFonts w:ascii="Times New Roman" w:hAnsi="Times New Roman" w:cs="Times New Roman"/>
          <w:color w:val="auto"/>
          <w:sz w:val="24"/>
        </w:rPr>
        <w:t xml:space="preserve"> </w:t>
      </w:r>
      <w:r w:rsidR="0067249B">
        <w:rPr>
          <w:rFonts w:ascii="Times New Roman" w:hAnsi="Times New Roman" w:cs="Times New Roman"/>
          <w:color w:val="auto"/>
          <w:sz w:val="24"/>
        </w:rPr>
        <w:t>a u Tablici 1</w:t>
      </w:r>
      <w:r w:rsidR="00A16D0A">
        <w:rPr>
          <w:rFonts w:ascii="Times New Roman" w:hAnsi="Times New Roman" w:cs="Times New Roman"/>
          <w:color w:val="auto"/>
          <w:sz w:val="24"/>
        </w:rPr>
        <w:t>8</w:t>
      </w:r>
      <w:r w:rsidR="0067249B">
        <w:rPr>
          <w:rFonts w:ascii="Times New Roman" w:hAnsi="Times New Roman" w:cs="Times New Roman"/>
          <w:color w:val="auto"/>
          <w:sz w:val="24"/>
        </w:rPr>
        <w:t xml:space="preserve">. </w:t>
      </w:r>
      <w:r w:rsidRPr="0032536A">
        <w:rPr>
          <w:rFonts w:ascii="Times New Roman" w:hAnsi="Times New Roman" w:cs="Times New Roman"/>
          <w:color w:val="auto"/>
          <w:sz w:val="24"/>
        </w:rPr>
        <w:t xml:space="preserve">prikazan je broj zaposlenih na </w:t>
      </w:r>
      <w:r w:rsidR="00302468" w:rsidRPr="0032536A">
        <w:rPr>
          <w:rFonts w:ascii="Times New Roman" w:hAnsi="Times New Roman" w:cs="Times New Roman"/>
          <w:color w:val="auto"/>
          <w:sz w:val="24"/>
        </w:rPr>
        <w:t xml:space="preserve">području </w:t>
      </w:r>
      <w:r w:rsidRPr="0032536A">
        <w:rPr>
          <w:rFonts w:ascii="Times New Roman" w:hAnsi="Times New Roman" w:cs="Times New Roman"/>
          <w:color w:val="auto"/>
          <w:sz w:val="24"/>
        </w:rPr>
        <w:t>Grada Zagreba</w:t>
      </w:r>
      <w:r w:rsidR="0067249B">
        <w:rPr>
          <w:rFonts w:ascii="Times New Roman" w:hAnsi="Times New Roman" w:cs="Times New Roman"/>
          <w:color w:val="auto"/>
          <w:sz w:val="24"/>
        </w:rPr>
        <w:t>.</w:t>
      </w:r>
    </w:p>
    <w:p w14:paraId="6BDFD62F" w14:textId="77777777" w:rsidR="00302468" w:rsidRPr="00302468" w:rsidRDefault="00302468" w:rsidP="0067249B">
      <w:pPr>
        <w:spacing w:after="0" w:line="240" w:lineRule="auto"/>
        <w:ind w:left="0" w:right="0" w:firstLine="0"/>
        <w:rPr>
          <w:rFonts w:ascii="Times New Roman" w:hAnsi="Times New Roman" w:cs="Times New Roman"/>
          <w:sz w:val="24"/>
        </w:rPr>
      </w:pPr>
    </w:p>
    <w:p w14:paraId="0528C948" w14:textId="718C82B2" w:rsidR="00E40AC8" w:rsidRPr="00816F38" w:rsidRDefault="00900184" w:rsidP="009D5EFE">
      <w:pPr>
        <w:spacing w:line="240" w:lineRule="auto"/>
        <w:ind w:left="0" w:right="0" w:firstLine="0"/>
        <w:jc w:val="center"/>
        <w:rPr>
          <w:rFonts w:ascii="Times New Roman" w:hAnsi="Times New Roman" w:cs="Times New Roman"/>
          <w:b/>
          <w:color w:val="auto"/>
          <w:sz w:val="24"/>
        </w:rPr>
      </w:pPr>
      <w:r w:rsidRPr="00816F38">
        <w:rPr>
          <w:rFonts w:ascii="Times New Roman" w:hAnsi="Times New Roman" w:cs="Times New Roman"/>
          <w:b/>
          <w:color w:val="auto"/>
          <w:sz w:val="24"/>
        </w:rPr>
        <w:t>Tablica 1</w:t>
      </w:r>
      <w:r w:rsidR="00E12671">
        <w:rPr>
          <w:rFonts w:ascii="Times New Roman" w:hAnsi="Times New Roman" w:cs="Times New Roman"/>
          <w:b/>
          <w:color w:val="auto"/>
          <w:sz w:val="24"/>
        </w:rPr>
        <w:t>7</w:t>
      </w:r>
      <w:r w:rsidRPr="00816F38">
        <w:rPr>
          <w:rFonts w:ascii="Times New Roman" w:hAnsi="Times New Roman" w:cs="Times New Roman"/>
          <w:b/>
          <w:color w:val="auto"/>
          <w:sz w:val="24"/>
        </w:rPr>
        <w:t>. Zaposleni prema područjima NKD</w:t>
      </w:r>
      <w:r w:rsidR="00EE6A22" w:rsidRPr="00816F38">
        <w:rPr>
          <w:rFonts w:ascii="Times New Roman" w:hAnsi="Times New Roman" w:cs="Times New Roman"/>
          <w:b/>
          <w:color w:val="auto"/>
          <w:sz w:val="24"/>
        </w:rPr>
        <w:t>-</w:t>
      </w:r>
      <w:r w:rsidRPr="00816F38">
        <w:rPr>
          <w:rFonts w:ascii="Times New Roman" w:hAnsi="Times New Roman" w:cs="Times New Roman"/>
          <w:b/>
          <w:color w:val="auto"/>
          <w:sz w:val="24"/>
        </w:rPr>
        <w:t>a</w:t>
      </w:r>
    </w:p>
    <w:p w14:paraId="0E6FE07E" w14:textId="2F3D842B" w:rsidR="003F7A56" w:rsidRPr="00BC12D6" w:rsidRDefault="007C0D6C" w:rsidP="00302468">
      <w:pPr>
        <w:spacing w:after="0" w:line="240" w:lineRule="auto"/>
        <w:ind w:left="0" w:right="0" w:firstLine="0"/>
        <w:jc w:val="center"/>
        <w:rPr>
          <w:rFonts w:ascii="Times New Roman" w:hAnsi="Times New Roman" w:cs="Times New Roman"/>
          <w:color w:val="FF0000"/>
          <w:sz w:val="24"/>
        </w:rPr>
      </w:pPr>
      <w:r>
        <w:rPr>
          <w:rFonts w:ascii="Times New Roman" w:hAnsi="Times New Roman" w:cs="Times New Roman"/>
          <w:noProof/>
          <w:color w:val="FF0000"/>
          <w:sz w:val="24"/>
        </w:rPr>
        <w:drawing>
          <wp:inline distT="0" distB="0" distL="0" distR="0" wp14:anchorId="364E16BC" wp14:editId="1B935E57">
            <wp:extent cx="5761355" cy="6753225"/>
            <wp:effectExtent l="0" t="0" r="0" b="9525"/>
            <wp:docPr id="27647" name="Picture 27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1355" cy="6753225"/>
                    </a:xfrm>
                    <a:prstGeom prst="rect">
                      <a:avLst/>
                    </a:prstGeom>
                    <a:noFill/>
                  </pic:spPr>
                </pic:pic>
              </a:graphicData>
            </a:graphic>
          </wp:inline>
        </w:drawing>
      </w:r>
    </w:p>
    <w:p w14:paraId="75040BE0" w14:textId="466D62B7" w:rsidR="00302468" w:rsidRPr="00816F38" w:rsidRDefault="00900184" w:rsidP="00ED440B">
      <w:pPr>
        <w:spacing w:after="0" w:line="240" w:lineRule="auto"/>
        <w:ind w:left="0" w:right="0" w:firstLine="0"/>
        <w:jc w:val="center"/>
        <w:rPr>
          <w:rFonts w:ascii="Times New Roman" w:eastAsia="Calibri" w:hAnsi="Times New Roman" w:cs="Times New Roman"/>
          <w:i/>
          <w:color w:val="auto"/>
          <w:sz w:val="20"/>
        </w:rPr>
      </w:pPr>
      <w:r w:rsidRPr="00816F38">
        <w:rPr>
          <w:rFonts w:ascii="Times New Roman" w:eastAsia="Calibri" w:hAnsi="Times New Roman" w:cs="Times New Roman"/>
          <w:i/>
          <w:color w:val="auto"/>
          <w:sz w:val="20"/>
        </w:rPr>
        <w:t>Izvor: Statistički ljetopis Grada Zagreba</w:t>
      </w:r>
      <w:r w:rsidR="00F15061" w:rsidRPr="00816F38">
        <w:rPr>
          <w:rFonts w:ascii="Times New Roman" w:eastAsia="Calibri" w:hAnsi="Times New Roman" w:cs="Times New Roman"/>
          <w:i/>
          <w:color w:val="auto"/>
          <w:sz w:val="20"/>
        </w:rPr>
        <w:t xml:space="preserve"> 2021.</w:t>
      </w:r>
    </w:p>
    <w:p w14:paraId="758495C1" w14:textId="75C853F2" w:rsidR="0067249B" w:rsidRDefault="0067249B" w:rsidP="00ED440B">
      <w:pPr>
        <w:spacing w:after="0" w:line="240" w:lineRule="auto"/>
        <w:ind w:left="0" w:right="0" w:firstLine="0"/>
        <w:jc w:val="center"/>
        <w:rPr>
          <w:rFonts w:ascii="Times New Roman" w:eastAsia="Calibri" w:hAnsi="Times New Roman" w:cs="Times New Roman"/>
          <w:i/>
          <w:color w:val="FF0000"/>
          <w:sz w:val="20"/>
        </w:rPr>
      </w:pPr>
    </w:p>
    <w:p w14:paraId="3C1AD5A0" w14:textId="2FE7590A" w:rsidR="0067249B" w:rsidRDefault="0067249B" w:rsidP="00B65ED2">
      <w:pPr>
        <w:spacing w:after="0" w:line="240" w:lineRule="auto"/>
        <w:ind w:left="0" w:right="0" w:firstLine="0"/>
        <w:rPr>
          <w:rFonts w:ascii="Times New Roman" w:eastAsia="Calibri" w:hAnsi="Times New Roman" w:cs="Times New Roman"/>
          <w:i/>
          <w:color w:val="FF0000"/>
          <w:sz w:val="20"/>
        </w:rPr>
      </w:pPr>
    </w:p>
    <w:p w14:paraId="594F94B2" w14:textId="079151F0" w:rsidR="00A16D0A" w:rsidRDefault="00A16D0A" w:rsidP="00B65ED2">
      <w:pPr>
        <w:spacing w:after="0" w:line="240" w:lineRule="auto"/>
        <w:ind w:left="0" w:right="0" w:firstLine="0"/>
        <w:rPr>
          <w:rFonts w:ascii="Times New Roman" w:eastAsia="Calibri" w:hAnsi="Times New Roman" w:cs="Times New Roman"/>
          <w:i/>
          <w:color w:val="FF0000"/>
          <w:sz w:val="20"/>
        </w:rPr>
      </w:pPr>
    </w:p>
    <w:p w14:paraId="6D010CCC" w14:textId="77777777" w:rsidR="009D5EFE" w:rsidRDefault="009D5EFE" w:rsidP="00B65ED2">
      <w:pPr>
        <w:spacing w:after="0" w:line="240" w:lineRule="auto"/>
        <w:ind w:left="0" w:right="0" w:firstLine="0"/>
        <w:rPr>
          <w:rFonts w:ascii="Times New Roman" w:eastAsia="Calibri" w:hAnsi="Times New Roman" w:cs="Times New Roman"/>
          <w:i/>
          <w:color w:val="FF0000"/>
          <w:sz w:val="20"/>
        </w:rPr>
      </w:pPr>
    </w:p>
    <w:p w14:paraId="58930C48" w14:textId="3AED811B" w:rsidR="0067249B" w:rsidRPr="00E12671" w:rsidRDefault="0067249B" w:rsidP="00ED440B">
      <w:pPr>
        <w:spacing w:after="0" w:line="240" w:lineRule="auto"/>
        <w:ind w:left="0" w:right="0" w:firstLine="0"/>
        <w:jc w:val="center"/>
        <w:rPr>
          <w:rFonts w:ascii="Times New Roman" w:eastAsia="Calibri" w:hAnsi="Times New Roman" w:cs="Times New Roman"/>
          <w:b/>
          <w:color w:val="auto"/>
          <w:sz w:val="24"/>
          <w:szCs w:val="24"/>
        </w:rPr>
      </w:pPr>
      <w:r w:rsidRPr="00E12671">
        <w:rPr>
          <w:rFonts w:ascii="Times New Roman" w:eastAsia="Calibri" w:hAnsi="Times New Roman" w:cs="Times New Roman"/>
          <w:b/>
          <w:color w:val="auto"/>
          <w:sz w:val="24"/>
          <w:szCs w:val="24"/>
        </w:rPr>
        <w:lastRenderedPageBreak/>
        <w:t>Tablica 1</w:t>
      </w:r>
      <w:r w:rsidR="00E12671" w:rsidRPr="00E12671">
        <w:rPr>
          <w:rFonts w:ascii="Times New Roman" w:eastAsia="Calibri" w:hAnsi="Times New Roman" w:cs="Times New Roman"/>
          <w:b/>
          <w:color w:val="auto"/>
          <w:sz w:val="24"/>
          <w:szCs w:val="24"/>
        </w:rPr>
        <w:t>8</w:t>
      </w:r>
      <w:r w:rsidRPr="00E12671">
        <w:rPr>
          <w:rFonts w:ascii="Times New Roman" w:eastAsia="Calibri" w:hAnsi="Times New Roman" w:cs="Times New Roman"/>
          <w:b/>
          <w:color w:val="auto"/>
          <w:sz w:val="24"/>
          <w:szCs w:val="24"/>
        </w:rPr>
        <w:t>. Broj zaposlenih na području Grada Zagreba</w:t>
      </w:r>
    </w:p>
    <w:p w14:paraId="034ABBA0" w14:textId="650CA9C9" w:rsidR="0067249B" w:rsidRDefault="0067249B" w:rsidP="00ED440B">
      <w:pPr>
        <w:spacing w:after="0" w:line="240" w:lineRule="auto"/>
        <w:ind w:left="0" w:right="0" w:firstLine="0"/>
        <w:jc w:val="center"/>
        <w:rPr>
          <w:rFonts w:ascii="Times New Roman" w:eastAsia="Calibri" w:hAnsi="Times New Roman" w:cs="Times New Roman"/>
          <w:i/>
          <w:color w:val="FF0000"/>
          <w:sz w:val="20"/>
        </w:rPr>
      </w:pPr>
      <w:r w:rsidRPr="007C0D6C">
        <w:rPr>
          <w:rFonts w:ascii="Calibri" w:eastAsia="Calibri" w:hAnsi="Calibri" w:cs="Times New Roman"/>
          <w:noProof/>
          <w:color w:val="auto"/>
        </w:rPr>
        <w:drawing>
          <wp:inline distT="0" distB="0" distL="0" distR="0" wp14:anchorId="31DA7ADC" wp14:editId="660FFA92">
            <wp:extent cx="5760720" cy="23844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2384425"/>
                    </a:xfrm>
                    <a:prstGeom prst="rect">
                      <a:avLst/>
                    </a:prstGeom>
                    <a:noFill/>
                    <a:ln>
                      <a:noFill/>
                    </a:ln>
                  </pic:spPr>
                </pic:pic>
              </a:graphicData>
            </a:graphic>
          </wp:inline>
        </w:drawing>
      </w:r>
    </w:p>
    <w:p w14:paraId="374882DE" w14:textId="31C4B6B2" w:rsidR="00ED440B" w:rsidRPr="00816F38" w:rsidRDefault="0067249B" w:rsidP="00ED440B">
      <w:pPr>
        <w:spacing w:after="0" w:line="240" w:lineRule="auto"/>
        <w:ind w:left="0" w:right="0" w:firstLine="0"/>
        <w:jc w:val="center"/>
        <w:rPr>
          <w:rFonts w:ascii="Times New Roman" w:eastAsia="Calibri" w:hAnsi="Times New Roman" w:cs="Times New Roman"/>
          <w:i/>
          <w:color w:val="auto"/>
          <w:sz w:val="20"/>
        </w:rPr>
      </w:pPr>
      <w:r w:rsidRPr="00816F38">
        <w:rPr>
          <w:rFonts w:ascii="Times New Roman" w:eastAsia="Calibri" w:hAnsi="Times New Roman" w:cs="Times New Roman"/>
          <w:i/>
          <w:color w:val="auto"/>
          <w:sz w:val="20"/>
        </w:rPr>
        <w:t>Izvor: Statistički ljetopis Grada Zagreba 2021.</w:t>
      </w:r>
    </w:p>
    <w:p w14:paraId="62A18D80" w14:textId="77777777" w:rsidR="0067249B" w:rsidRPr="00ED440B" w:rsidRDefault="0067249B" w:rsidP="00ED440B">
      <w:pPr>
        <w:spacing w:after="0" w:line="240" w:lineRule="auto"/>
        <w:ind w:left="0" w:right="0" w:firstLine="0"/>
        <w:jc w:val="center"/>
        <w:rPr>
          <w:rFonts w:ascii="Times New Roman" w:eastAsia="Calibri" w:hAnsi="Times New Roman" w:cs="Times New Roman"/>
          <w:i/>
          <w:color w:val="FF0000"/>
          <w:sz w:val="20"/>
        </w:rPr>
      </w:pPr>
    </w:p>
    <w:p w14:paraId="73D1471A" w14:textId="77777777" w:rsidR="00E40AC8" w:rsidRPr="00D21FF1" w:rsidRDefault="00900184" w:rsidP="00D21FF1">
      <w:pPr>
        <w:spacing w:after="0" w:line="240" w:lineRule="auto"/>
        <w:ind w:left="0" w:right="0" w:firstLine="709"/>
        <w:rPr>
          <w:rFonts w:ascii="Times New Roman" w:hAnsi="Times New Roman" w:cs="Times New Roman"/>
          <w:b/>
          <w:sz w:val="24"/>
        </w:rPr>
      </w:pPr>
      <w:bookmarkStart w:id="27" w:name="_Toc2938547"/>
      <w:r w:rsidRPr="00D21FF1">
        <w:rPr>
          <w:rFonts w:ascii="Times New Roman" w:hAnsi="Times New Roman" w:cs="Times New Roman"/>
          <w:b/>
          <w:sz w:val="24"/>
        </w:rPr>
        <w:t>2.3.2. Broj primatelja socijalnih, mirovinskih i sličnih naknada</w:t>
      </w:r>
      <w:bookmarkEnd w:id="27"/>
    </w:p>
    <w:p w14:paraId="3EA1A316" w14:textId="15977261" w:rsidR="00E40AC8" w:rsidRDefault="00900184" w:rsidP="00302468">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Socijalna skrb organizirana je djelatnost od javnog interesa za Republiku Hrvatsku cilj </w:t>
      </w:r>
      <w:r w:rsidR="00302468">
        <w:rPr>
          <w:rFonts w:ascii="Times New Roman" w:hAnsi="Times New Roman" w:cs="Times New Roman"/>
          <w:sz w:val="24"/>
        </w:rPr>
        <w:t xml:space="preserve">koje je </w:t>
      </w:r>
      <w:r w:rsidRPr="005142C4">
        <w:rPr>
          <w:rFonts w:ascii="Times New Roman" w:hAnsi="Times New Roman" w:cs="Times New Roman"/>
          <w:sz w:val="24"/>
        </w:rPr>
        <w:t>pružanje pomoći socijalno ugroženim osobama te osobama u nepovoljnim osobnim ili obiteljskim okolnostima, a uključuje prevenciju, promicanje promjena, pomoć u zadovoljavanju osnovnih životnih potreba i potporu pojedincu, obitelji i skupinama radi unapređenja kvalitete života i osnaživanja korisnika u samostalnom zadovoljavanju osnovnih životnih potreba te njihova aktivnog uključivanja u društvo.</w:t>
      </w:r>
    </w:p>
    <w:p w14:paraId="6537E848" w14:textId="77777777" w:rsidR="00814BE5" w:rsidRPr="00814BE5" w:rsidRDefault="00814BE5" w:rsidP="00814BE5">
      <w:pPr>
        <w:spacing w:after="0" w:line="240" w:lineRule="auto"/>
        <w:ind w:left="0" w:right="0" w:firstLine="709"/>
        <w:rPr>
          <w:rFonts w:ascii="Times New Roman" w:hAnsi="Times New Roman" w:cs="Times New Roman"/>
          <w:sz w:val="24"/>
        </w:rPr>
      </w:pPr>
      <w:r w:rsidRPr="00814BE5">
        <w:rPr>
          <w:rFonts w:ascii="Times New Roman" w:hAnsi="Times New Roman" w:cs="Times New Roman"/>
          <w:sz w:val="24"/>
        </w:rPr>
        <w:t>Centri za socijalnu skrb odnosno podružnice socijalne skrbi ustanove su koje, prema Zakonu o socijalnoj skrbi, pružaju stručnu i socijalnu pomoć u raznim oblicima osobama kojima je pomoć potrebna.</w:t>
      </w:r>
    </w:p>
    <w:p w14:paraId="1486773B" w14:textId="3B8255B3" w:rsidR="00814BE5" w:rsidRDefault="00814BE5" w:rsidP="00814BE5">
      <w:pPr>
        <w:spacing w:after="0" w:line="240" w:lineRule="auto"/>
        <w:ind w:left="0" w:right="0" w:firstLine="709"/>
        <w:rPr>
          <w:rFonts w:ascii="Times New Roman" w:hAnsi="Times New Roman" w:cs="Times New Roman"/>
          <w:sz w:val="24"/>
        </w:rPr>
      </w:pPr>
      <w:r w:rsidRPr="00814BE5">
        <w:rPr>
          <w:rFonts w:ascii="Times New Roman" w:hAnsi="Times New Roman" w:cs="Times New Roman"/>
          <w:sz w:val="24"/>
        </w:rPr>
        <w:t>Korisnikom socijalne skrbi smatra se svaka osoba koja se u tijeku izvještajne godine, jedanput ili više puta, koristila nekim od oblika socijalne skrbi. Korisnici socijalne skrbi određuju se zakonom. U Tablici 1</w:t>
      </w:r>
      <w:r w:rsidR="00A1617B">
        <w:rPr>
          <w:rFonts w:ascii="Times New Roman" w:hAnsi="Times New Roman" w:cs="Times New Roman"/>
          <w:sz w:val="24"/>
        </w:rPr>
        <w:t>9</w:t>
      </w:r>
      <w:r w:rsidRPr="00814BE5">
        <w:rPr>
          <w:rFonts w:ascii="Times New Roman" w:hAnsi="Times New Roman" w:cs="Times New Roman"/>
          <w:sz w:val="24"/>
        </w:rPr>
        <w:t>. prikazan je broj stanovnika Grada Zagreba koji primaju socijalnu i sličnu naknadu.</w:t>
      </w:r>
    </w:p>
    <w:p w14:paraId="7D78DD2E" w14:textId="57D4A9E4" w:rsidR="00814BE5" w:rsidRPr="005B784F" w:rsidRDefault="00814BE5" w:rsidP="00816F38">
      <w:pPr>
        <w:spacing w:after="0" w:line="240" w:lineRule="auto"/>
        <w:ind w:left="0" w:right="0" w:firstLine="709"/>
        <w:rPr>
          <w:rFonts w:ascii="Times New Roman" w:hAnsi="Times New Roman" w:cs="Times New Roman"/>
          <w:color w:val="auto"/>
          <w:sz w:val="24"/>
        </w:rPr>
      </w:pPr>
      <w:r w:rsidRPr="005B784F">
        <w:rPr>
          <w:rFonts w:ascii="Times New Roman" w:hAnsi="Times New Roman" w:cs="Times New Roman"/>
          <w:color w:val="auto"/>
          <w:sz w:val="24"/>
        </w:rPr>
        <w:t xml:space="preserve">ESSPROS (Europski sustav integrirane statistike socijalne zaštite) jest harmonizirani sustav koji pruža sredstvo analize i usporedbu financijskih tokova socijalne zaštite. Sadrži bazu podataka o izdacima i primicima socijalne zaštite i socijalnih naknada u državama članicama Europske unije. </w:t>
      </w:r>
    </w:p>
    <w:p w14:paraId="51CB9334" w14:textId="734EC55C" w:rsidR="00814BE5" w:rsidRDefault="00814BE5" w:rsidP="005B784F">
      <w:pPr>
        <w:spacing w:after="0" w:line="240" w:lineRule="auto"/>
        <w:ind w:left="0" w:right="0" w:firstLine="709"/>
        <w:rPr>
          <w:rFonts w:ascii="Times New Roman" w:hAnsi="Times New Roman" w:cs="Times New Roman"/>
          <w:sz w:val="24"/>
        </w:rPr>
      </w:pPr>
      <w:r w:rsidRPr="00814BE5">
        <w:rPr>
          <w:rFonts w:ascii="Times New Roman" w:hAnsi="Times New Roman" w:cs="Times New Roman"/>
          <w:sz w:val="24"/>
        </w:rPr>
        <w:t>Socijalna zaštita obuhvaća sve intervencije (stvarno pružanje novčanih ili nenovčanih naknada, njihovo financiranje i s njima povezane administrativne troškove) javnih ili</w:t>
      </w:r>
      <w:r>
        <w:rPr>
          <w:rFonts w:ascii="Times New Roman" w:hAnsi="Times New Roman" w:cs="Times New Roman"/>
          <w:sz w:val="24"/>
        </w:rPr>
        <w:t xml:space="preserve"> </w:t>
      </w:r>
      <w:r w:rsidRPr="00814BE5">
        <w:rPr>
          <w:rFonts w:ascii="Times New Roman" w:hAnsi="Times New Roman" w:cs="Times New Roman"/>
          <w:sz w:val="24"/>
        </w:rPr>
        <w:t>privatnih tijela namijenjene ublažavanju financijskog opterećenja kućanstava i pojedinaca od utvrđenog niza rizika i potreba, pod uvjetom da ne postoji istodobna uzajamna ni pojedinačna protučinidba.</w:t>
      </w:r>
    </w:p>
    <w:p w14:paraId="3412EE75" w14:textId="774FA481" w:rsidR="00814BE5" w:rsidRDefault="00814BE5" w:rsidP="00814BE5">
      <w:pPr>
        <w:spacing w:after="0" w:line="240" w:lineRule="auto"/>
        <w:ind w:left="0" w:right="0" w:firstLine="709"/>
        <w:rPr>
          <w:rFonts w:ascii="Times New Roman" w:hAnsi="Times New Roman" w:cs="Times New Roman"/>
          <w:sz w:val="24"/>
        </w:rPr>
      </w:pPr>
      <w:r w:rsidRPr="00814BE5">
        <w:rPr>
          <w:rFonts w:ascii="Times New Roman" w:hAnsi="Times New Roman" w:cs="Times New Roman"/>
          <w:sz w:val="24"/>
        </w:rPr>
        <w:t>Izdaci socijalne zaštite prema ekonomskoj vrsti (pokazatelj razloga izdatka) prema</w:t>
      </w:r>
      <w:r>
        <w:rPr>
          <w:rFonts w:ascii="Times New Roman" w:hAnsi="Times New Roman" w:cs="Times New Roman"/>
          <w:sz w:val="24"/>
        </w:rPr>
        <w:t xml:space="preserve"> </w:t>
      </w:r>
      <w:r w:rsidRPr="00814BE5">
        <w:rPr>
          <w:rFonts w:ascii="Times New Roman" w:hAnsi="Times New Roman" w:cs="Times New Roman"/>
          <w:sz w:val="24"/>
        </w:rPr>
        <w:t>ESSPROS-ovoj metodologiji razvrstani su u tri glavne kategorije izdataka. Prvu čine izdaci za socijalne naknade, tj. sredstva koja se dostavljaju korisnicima u obliku novca ili dobara i usluga. Druga kategorija izdataka odnosi se na administrativne troškove programa kojima upravlja institucionalna jedinica (lokalna uprava). Treća kategorija obuhvaća prijenos sredstava nevladinim organizacijama koje su pod kontrolom lokalne jedinice, a u cilju financiranja specifičnih projekata i/ili programa koji se odnose na socijalnu zaštitu koju vode.</w:t>
      </w:r>
    </w:p>
    <w:p w14:paraId="4566E6D1" w14:textId="0B0CA7D6" w:rsidR="00814BE5" w:rsidRDefault="00814BE5" w:rsidP="00814BE5">
      <w:pPr>
        <w:spacing w:after="0" w:line="240" w:lineRule="auto"/>
        <w:ind w:left="0" w:right="0" w:firstLine="709"/>
        <w:rPr>
          <w:rFonts w:ascii="Times New Roman" w:hAnsi="Times New Roman" w:cs="Times New Roman"/>
          <w:sz w:val="24"/>
        </w:rPr>
      </w:pPr>
    </w:p>
    <w:p w14:paraId="7F8F6E0B" w14:textId="3C7D89C4" w:rsidR="001567FC" w:rsidRDefault="001567FC" w:rsidP="00814BE5">
      <w:pPr>
        <w:spacing w:after="0" w:line="240" w:lineRule="auto"/>
        <w:ind w:left="0" w:right="0" w:firstLine="709"/>
        <w:rPr>
          <w:rFonts w:ascii="Times New Roman" w:hAnsi="Times New Roman" w:cs="Times New Roman"/>
          <w:sz w:val="24"/>
        </w:rPr>
      </w:pPr>
    </w:p>
    <w:p w14:paraId="371B0217" w14:textId="222BF6B0" w:rsidR="001567FC" w:rsidRDefault="001567FC" w:rsidP="00814BE5">
      <w:pPr>
        <w:spacing w:after="0" w:line="240" w:lineRule="auto"/>
        <w:ind w:left="0" w:right="0" w:firstLine="709"/>
        <w:rPr>
          <w:rFonts w:ascii="Times New Roman" w:hAnsi="Times New Roman" w:cs="Times New Roman"/>
          <w:sz w:val="24"/>
        </w:rPr>
      </w:pPr>
    </w:p>
    <w:p w14:paraId="0BA3789C" w14:textId="77777777" w:rsidR="001567FC" w:rsidRDefault="001567FC" w:rsidP="00814BE5">
      <w:pPr>
        <w:spacing w:after="0" w:line="240" w:lineRule="auto"/>
        <w:ind w:left="0" w:right="0" w:firstLine="709"/>
        <w:rPr>
          <w:rFonts w:ascii="Times New Roman" w:hAnsi="Times New Roman" w:cs="Times New Roman"/>
          <w:sz w:val="24"/>
        </w:rPr>
      </w:pPr>
    </w:p>
    <w:p w14:paraId="47FC1411" w14:textId="77777777" w:rsidR="009D5EFE" w:rsidRDefault="00814BE5" w:rsidP="009D5EFE">
      <w:pPr>
        <w:tabs>
          <w:tab w:val="left" w:pos="4185"/>
        </w:tabs>
        <w:spacing w:line="240" w:lineRule="auto"/>
        <w:ind w:left="0" w:right="0" w:firstLine="709"/>
        <w:jc w:val="center"/>
        <w:rPr>
          <w:rFonts w:ascii="Times New Roman" w:hAnsi="Times New Roman" w:cs="Times New Roman"/>
          <w:b/>
          <w:sz w:val="24"/>
        </w:rPr>
      </w:pPr>
      <w:r w:rsidRPr="00E12671">
        <w:rPr>
          <w:rFonts w:ascii="Times New Roman" w:hAnsi="Times New Roman" w:cs="Times New Roman"/>
          <w:b/>
          <w:sz w:val="24"/>
        </w:rPr>
        <w:lastRenderedPageBreak/>
        <w:t>Tablica 1</w:t>
      </w:r>
      <w:r w:rsidR="00E12671" w:rsidRPr="00E12671">
        <w:rPr>
          <w:rFonts w:ascii="Times New Roman" w:hAnsi="Times New Roman" w:cs="Times New Roman"/>
          <w:b/>
          <w:sz w:val="24"/>
        </w:rPr>
        <w:t>9</w:t>
      </w:r>
      <w:r w:rsidRPr="00E12671">
        <w:rPr>
          <w:rFonts w:ascii="Times New Roman" w:hAnsi="Times New Roman" w:cs="Times New Roman"/>
          <w:b/>
          <w:sz w:val="24"/>
        </w:rPr>
        <w:t>. Socijalne pomoći i usluge Grada Zagreba</w:t>
      </w:r>
    </w:p>
    <w:p w14:paraId="11A3F8EC" w14:textId="380F8F5F" w:rsidR="000827D3" w:rsidRDefault="00814BE5" w:rsidP="009D5EFE">
      <w:pPr>
        <w:tabs>
          <w:tab w:val="left" w:pos="4185"/>
        </w:tabs>
        <w:spacing w:line="240" w:lineRule="auto"/>
        <w:ind w:left="0" w:right="0" w:firstLine="0"/>
        <w:jc w:val="center"/>
        <w:rPr>
          <w:rFonts w:ascii="Times New Roman" w:hAnsi="Times New Roman" w:cs="Times New Roman"/>
          <w:sz w:val="24"/>
        </w:rPr>
      </w:pPr>
      <w:r>
        <w:rPr>
          <w:rFonts w:ascii="Times New Roman" w:hAnsi="Times New Roman" w:cs="Times New Roman"/>
          <w:noProof/>
          <w:sz w:val="24"/>
        </w:rPr>
        <w:drawing>
          <wp:inline distT="0" distB="0" distL="0" distR="0" wp14:anchorId="7CD85422" wp14:editId="64F600AB">
            <wp:extent cx="5913755" cy="618807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13755" cy="6188075"/>
                    </a:xfrm>
                    <a:prstGeom prst="rect">
                      <a:avLst/>
                    </a:prstGeom>
                    <a:noFill/>
                  </pic:spPr>
                </pic:pic>
              </a:graphicData>
            </a:graphic>
          </wp:inline>
        </w:drawing>
      </w:r>
    </w:p>
    <w:p w14:paraId="7629FDD7" w14:textId="576D2FC7" w:rsidR="00E552E7" w:rsidRPr="005B784F" w:rsidRDefault="00E552E7" w:rsidP="00814BE5">
      <w:pPr>
        <w:spacing w:after="0" w:line="240" w:lineRule="auto"/>
        <w:ind w:left="0" w:right="0" w:firstLine="0"/>
        <w:jc w:val="center"/>
        <w:rPr>
          <w:rFonts w:ascii="Times New Roman" w:eastAsia="Calibri" w:hAnsi="Times New Roman" w:cs="Times New Roman"/>
          <w:i/>
          <w:color w:val="auto"/>
          <w:sz w:val="20"/>
        </w:rPr>
      </w:pPr>
      <w:r w:rsidRPr="005B784F">
        <w:rPr>
          <w:rFonts w:ascii="Times New Roman" w:eastAsia="Calibri" w:hAnsi="Times New Roman" w:cs="Times New Roman"/>
          <w:i/>
          <w:color w:val="auto"/>
          <w:sz w:val="20"/>
        </w:rPr>
        <w:t>Izvor: Statistički ljetopis Grada Zagreba 2021.</w:t>
      </w:r>
    </w:p>
    <w:p w14:paraId="6B1FA3EA" w14:textId="77777777" w:rsidR="00A1617B" w:rsidRDefault="00A1617B" w:rsidP="00814BE5">
      <w:pPr>
        <w:spacing w:after="0" w:line="240" w:lineRule="auto"/>
        <w:ind w:left="0" w:right="0" w:firstLine="709"/>
        <w:rPr>
          <w:rFonts w:ascii="Times New Roman" w:hAnsi="Times New Roman" w:cs="Times New Roman"/>
          <w:sz w:val="24"/>
        </w:rPr>
      </w:pPr>
    </w:p>
    <w:p w14:paraId="301E253B" w14:textId="279DC873" w:rsidR="00814BE5" w:rsidRDefault="00814BE5" w:rsidP="00814BE5">
      <w:pPr>
        <w:spacing w:after="0" w:line="240" w:lineRule="auto"/>
        <w:ind w:left="0" w:right="0" w:firstLine="709"/>
        <w:rPr>
          <w:rFonts w:ascii="Times New Roman" w:hAnsi="Times New Roman" w:cs="Times New Roman"/>
          <w:sz w:val="24"/>
        </w:rPr>
      </w:pPr>
      <w:r w:rsidRPr="00814BE5">
        <w:rPr>
          <w:rFonts w:ascii="Times New Roman" w:hAnsi="Times New Roman" w:cs="Times New Roman"/>
          <w:sz w:val="24"/>
        </w:rPr>
        <w:t>Naknade socijalne zaštite prema funkcijama su po ESSPROS-ovoj metodologiji razvrstane u osam funkcija socijalne zaštite:</w:t>
      </w:r>
    </w:p>
    <w:p w14:paraId="0F871D08" w14:textId="77777777" w:rsidR="00814BE5" w:rsidRPr="00814BE5" w:rsidRDefault="00814BE5" w:rsidP="00814BE5">
      <w:pPr>
        <w:spacing w:after="0" w:line="240" w:lineRule="auto"/>
        <w:ind w:left="0" w:right="0" w:firstLine="709"/>
        <w:rPr>
          <w:rFonts w:ascii="Times New Roman" w:hAnsi="Times New Roman" w:cs="Times New Roman"/>
          <w:sz w:val="24"/>
        </w:rPr>
      </w:pPr>
      <w:r>
        <w:rPr>
          <w:rFonts w:ascii="Times New Roman" w:hAnsi="Times New Roman" w:cs="Times New Roman"/>
          <w:sz w:val="24"/>
        </w:rPr>
        <w:t xml:space="preserve">1. </w:t>
      </w:r>
      <w:r w:rsidRPr="00814BE5">
        <w:rPr>
          <w:rFonts w:ascii="Times New Roman" w:hAnsi="Times New Roman" w:cs="Times New Roman"/>
          <w:sz w:val="24"/>
        </w:rPr>
        <w:t>Bolest/zdravstvena skrb obuhvaća održavanje prihoda i novčanu potporu u vezi s fizičkom ili duševnom bolešću, isključujući invaliditet. Zdravstvena skrb obuhvaća održavanje, povrat ili poboljšanje zdravlja zaštićenih osoba bez obzira na uzrok poremećaja.</w:t>
      </w:r>
    </w:p>
    <w:p w14:paraId="4D717227" w14:textId="77777777" w:rsidR="00814BE5" w:rsidRPr="00814BE5" w:rsidRDefault="00814BE5" w:rsidP="00814BE5">
      <w:pPr>
        <w:spacing w:after="0" w:line="240" w:lineRule="auto"/>
        <w:ind w:left="0" w:right="0" w:firstLine="709"/>
        <w:rPr>
          <w:rFonts w:ascii="Times New Roman" w:hAnsi="Times New Roman" w:cs="Times New Roman"/>
          <w:sz w:val="24"/>
        </w:rPr>
      </w:pPr>
      <w:r w:rsidRPr="00814BE5">
        <w:rPr>
          <w:rFonts w:ascii="Times New Roman" w:hAnsi="Times New Roman" w:cs="Times New Roman"/>
          <w:sz w:val="24"/>
        </w:rPr>
        <w:t>2.  Invaliditet obuhvaća održavanje prihoda te novčanu ili nenovčanu potporu, osim zdravstvene skrbi, u vezi s nemogućnošću fizički ili mentalno hendikepiranih osoba da se bave ekonomskim i društvenim aktivnostima.</w:t>
      </w:r>
    </w:p>
    <w:p w14:paraId="14352F7E" w14:textId="77777777" w:rsidR="00814BE5" w:rsidRPr="00814BE5" w:rsidRDefault="00814BE5" w:rsidP="00814BE5">
      <w:pPr>
        <w:spacing w:after="0" w:line="240" w:lineRule="auto"/>
        <w:ind w:left="0" w:right="0" w:firstLine="709"/>
        <w:rPr>
          <w:rFonts w:ascii="Times New Roman" w:hAnsi="Times New Roman" w:cs="Times New Roman"/>
          <w:sz w:val="24"/>
        </w:rPr>
      </w:pPr>
      <w:r w:rsidRPr="00814BE5">
        <w:rPr>
          <w:rFonts w:ascii="Times New Roman" w:hAnsi="Times New Roman" w:cs="Times New Roman"/>
          <w:sz w:val="24"/>
        </w:rPr>
        <w:t>3.  Starost obuhvaća održavanje prihoda te novčane ili nenovčane potpore, osim zdravstvene skrbi, u vezi sa starošću.</w:t>
      </w:r>
    </w:p>
    <w:p w14:paraId="576BA8C6" w14:textId="77777777" w:rsidR="00814BE5" w:rsidRPr="00814BE5" w:rsidRDefault="00814BE5" w:rsidP="00814BE5">
      <w:pPr>
        <w:spacing w:after="0" w:line="240" w:lineRule="auto"/>
        <w:ind w:left="0" w:right="0" w:firstLine="709"/>
        <w:rPr>
          <w:rFonts w:ascii="Times New Roman" w:hAnsi="Times New Roman" w:cs="Times New Roman"/>
          <w:sz w:val="24"/>
        </w:rPr>
      </w:pPr>
      <w:r w:rsidRPr="00814BE5">
        <w:rPr>
          <w:rFonts w:ascii="Times New Roman" w:hAnsi="Times New Roman" w:cs="Times New Roman"/>
          <w:sz w:val="24"/>
        </w:rPr>
        <w:lastRenderedPageBreak/>
        <w:t>4.  Preživjeli uzdržavani članovi obuhvaća održavanje prihoda te novčane ili nenovčane potpore u vezi sa smrću člana obitelji.</w:t>
      </w:r>
    </w:p>
    <w:p w14:paraId="58369004" w14:textId="77777777" w:rsidR="00814BE5" w:rsidRPr="00814BE5" w:rsidRDefault="00814BE5" w:rsidP="00814BE5">
      <w:pPr>
        <w:spacing w:after="0" w:line="240" w:lineRule="auto"/>
        <w:ind w:left="0" w:right="0" w:firstLine="709"/>
        <w:rPr>
          <w:rFonts w:ascii="Times New Roman" w:hAnsi="Times New Roman" w:cs="Times New Roman"/>
          <w:sz w:val="24"/>
        </w:rPr>
      </w:pPr>
      <w:r w:rsidRPr="00814BE5">
        <w:rPr>
          <w:rFonts w:ascii="Times New Roman" w:hAnsi="Times New Roman" w:cs="Times New Roman"/>
          <w:sz w:val="24"/>
        </w:rPr>
        <w:t>5.  Obitelj/djeca obuhvaća novčane ili nenovčane potpore, osim zdravstvene skrbi, u vezi s troškovima trudnoće, poroda i posvajanja, odgoja djece te skrbi za ostale članove obitelji.</w:t>
      </w:r>
    </w:p>
    <w:p w14:paraId="403FCC5C" w14:textId="77777777" w:rsidR="00814BE5" w:rsidRPr="00814BE5" w:rsidRDefault="00814BE5" w:rsidP="00814BE5">
      <w:pPr>
        <w:spacing w:after="0" w:line="240" w:lineRule="auto"/>
        <w:ind w:left="0" w:right="0" w:firstLine="709"/>
        <w:rPr>
          <w:rFonts w:ascii="Times New Roman" w:hAnsi="Times New Roman" w:cs="Times New Roman"/>
          <w:sz w:val="24"/>
        </w:rPr>
      </w:pPr>
      <w:r w:rsidRPr="00814BE5">
        <w:rPr>
          <w:rFonts w:ascii="Times New Roman" w:hAnsi="Times New Roman" w:cs="Times New Roman"/>
          <w:sz w:val="24"/>
        </w:rPr>
        <w:t>6.   Nezaposlenost obuhvaća održavanje prihoda te novčane ili nenovčane potpore u vezi s nezaposlenošću.</w:t>
      </w:r>
    </w:p>
    <w:p w14:paraId="6A8FB644" w14:textId="77777777" w:rsidR="00814BE5" w:rsidRPr="00814BE5" w:rsidRDefault="00814BE5" w:rsidP="00814BE5">
      <w:pPr>
        <w:spacing w:after="0" w:line="240" w:lineRule="auto"/>
        <w:ind w:left="0" w:right="0" w:firstLine="709"/>
        <w:rPr>
          <w:rFonts w:ascii="Times New Roman" w:hAnsi="Times New Roman" w:cs="Times New Roman"/>
          <w:sz w:val="24"/>
        </w:rPr>
      </w:pPr>
      <w:r w:rsidRPr="00814BE5">
        <w:rPr>
          <w:rFonts w:ascii="Times New Roman" w:hAnsi="Times New Roman" w:cs="Times New Roman"/>
          <w:sz w:val="24"/>
        </w:rPr>
        <w:t>7.   Stanovanje obuhvaća pomoć u podmirenju troškova stanovanja.</w:t>
      </w:r>
    </w:p>
    <w:p w14:paraId="26504E88" w14:textId="77777777" w:rsidR="00814BE5" w:rsidRDefault="00814BE5" w:rsidP="00814BE5">
      <w:pPr>
        <w:spacing w:after="0" w:line="240" w:lineRule="auto"/>
        <w:ind w:left="0" w:right="0" w:firstLine="709"/>
        <w:rPr>
          <w:rFonts w:ascii="Times New Roman" w:hAnsi="Times New Roman" w:cs="Times New Roman"/>
          <w:sz w:val="24"/>
        </w:rPr>
      </w:pPr>
      <w:r w:rsidRPr="00814BE5">
        <w:rPr>
          <w:rFonts w:ascii="Times New Roman" w:hAnsi="Times New Roman" w:cs="Times New Roman"/>
          <w:sz w:val="24"/>
        </w:rPr>
        <w:t>8.   Socijalna isključenost koja nije drugdje klasificirana obuhvaća novčane ili nenovčane potpore, osim zdravstvene skrbi, koje su specifično namijenjene suzbijanju socijalne isključenosti kada ona nije pokrivena ostalim funkcijama.</w:t>
      </w:r>
    </w:p>
    <w:p w14:paraId="2A91A73B" w14:textId="122FBD15" w:rsidR="00302468" w:rsidRDefault="00302468" w:rsidP="00302468">
      <w:pPr>
        <w:spacing w:after="0" w:line="240" w:lineRule="auto"/>
        <w:ind w:left="0" w:right="0" w:firstLine="0"/>
        <w:rPr>
          <w:rFonts w:ascii="Times New Roman" w:hAnsi="Times New Roman" w:cs="Times New Roman"/>
          <w:color w:val="FF0000"/>
          <w:sz w:val="24"/>
        </w:rPr>
      </w:pPr>
    </w:p>
    <w:p w14:paraId="30C93C34" w14:textId="5C146AD7" w:rsidR="003F7A56" w:rsidRPr="00E12671" w:rsidRDefault="00814BE5" w:rsidP="009D5EFE">
      <w:pPr>
        <w:spacing w:line="240" w:lineRule="auto"/>
        <w:ind w:left="0" w:right="0" w:firstLine="0"/>
        <w:jc w:val="center"/>
        <w:rPr>
          <w:rFonts w:ascii="Times New Roman" w:hAnsi="Times New Roman" w:cs="Times New Roman"/>
          <w:b/>
          <w:color w:val="auto"/>
          <w:sz w:val="24"/>
        </w:rPr>
      </w:pPr>
      <w:r w:rsidRPr="00E12671">
        <w:rPr>
          <w:rFonts w:ascii="Times New Roman" w:hAnsi="Times New Roman" w:cs="Times New Roman"/>
          <w:b/>
          <w:color w:val="auto"/>
          <w:sz w:val="24"/>
        </w:rPr>
        <w:t xml:space="preserve">Tablica </w:t>
      </w:r>
      <w:r w:rsidR="00E12671" w:rsidRPr="00E12671">
        <w:rPr>
          <w:rFonts w:ascii="Times New Roman" w:hAnsi="Times New Roman" w:cs="Times New Roman"/>
          <w:b/>
          <w:color w:val="auto"/>
          <w:sz w:val="24"/>
        </w:rPr>
        <w:t>20</w:t>
      </w:r>
      <w:r w:rsidRPr="00E12671">
        <w:rPr>
          <w:rFonts w:ascii="Times New Roman" w:hAnsi="Times New Roman" w:cs="Times New Roman"/>
          <w:b/>
          <w:color w:val="auto"/>
          <w:sz w:val="24"/>
        </w:rPr>
        <w:t>. Izdaci socijalne zaštite prema metodologiji ESSPROS-a</w:t>
      </w:r>
    </w:p>
    <w:p w14:paraId="4392C1CF" w14:textId="76A017AE" w:rsidR="00814BE5" w:rsidRPr="00ED440B" w:rsidRDefault="00814BE5" w:rsidP="001567FC">
      <w:pPr>
        <w:spacing w:after="0" w:line="240" w:lineRule="auto"/>
        <w:ind w:left="0" w:right="0" w:firstLine="0"/>
        <w:jc w:val="center"/>
        <w:rPr>
          <w:rFonts w:ascii="Times New Roman" w:hAnsi="Times New Roman" w:cs="Times New Roman"/>
          <w:color w:val="FF0000"/>
          <w:sz w:val="24"/>
        </w:rPr>
      </w:pPr>
      <w:r w:rsidRPr="00814BE5">
        <w:rPr>
          <w:noProof/>
        </w:rPr>
        <w:drawing>
          <wp:inline distT="0" distB="0" distL="0" distR="0" wp14:anchorId="694AACC1" wp14:editId="5B13E87B">
            <wp:extent cx="5598795" cy="318450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0019" cy="3190884"/>
                    </a:xfrm>
                    <a:prstGeom prst="rect">
                      <a:avLst/>
                    </a:prstGeom>
                    <a:noFill/>
                    <a:ln>
                      <a:noFill/>
                    </a:ln>
                  </pic:spPr>
                </pic:pic>
              </a:graphicData>
            </a:graphic>
          </wp:inline>
        </w:drawing>
      </w:r>
    </w:p>
    <w:p w14:paraId="6C4EA22E" w14:textId="27F678AA" w:rsidR="00302468" w:rsidRPr="005B784F" w:rsidRDefault="00900184" w:rsidP="005B784F">
      <w:pPr>
        <w:spacing w:after="0" w:line="240" w:lineRule="auto"/>
        <w:ind w:left="0" w:right="0" w:firstLine="0"/>
        <w:jc w:val="center"/>
        <w:rPr>
          <w:rFonts w:ascii="Times New Roman" w:hAnsi="Times New Roman" w:cs="Times New Roman"/>
          <w:b/>
          <w:color w:val="auto"/>
          <w:sz w:val="24"/>
        </w:rPr>
      </w:pPr>
      <w:bookmarkStart w:id="28" w:name="_Hlk105749162"/>
      <w:r w:rsidRPr="005B784F">
        <w:rPr>
          <w:rFonts w:ascii="Times New Roman" w:eastAsia="Calibri" w:hAnsi="Times New Roman" w:cs="Times New Roman"/>
          <w:i/>
          <w:color w:val="auto"/>
          <w:sz w:val="20"/>
        </w:rPr>
        <w:t>Izvor: Statistički ljetopis Grada Zagreba</w:t>
      </w:r>
      <w:r w:rsidR="00ED3FBF" w:rsidRPr="005B784F">
        <w:rPr>
          <w:rFonts w:ascii="Times New Roman" w:eastAsia="Calibri" w:hAnsi="Times New Roman" w:cs="Times New Roman"/>
          <w:i/>
          <w:color w:val="auto"/>
          <w:sz w:val="20"/>
        </w:rPr>
        <w:t xml:space="preserve"> 2021.</w:t>
      </w:r>
      <w:bookmarkEnd w:id="28"/>
    </w:p>
    <w:p w14:paraId="1ED81CA1" w14:textId="77777777" w:rsidR="00114CAB" w:rsidRDefault="00114CAB" w:rsidP="00302468">
      <w:pPr>
        <w:spacing w:after="0" w:line="240" w:lineRule="auto"/>
        <w:ind w:left="0" w:right="0" w:firstLine="0"/>
        <w:jc w:val="center"/>
        <w:rPr>
          <w:rFonts w:ascii="Times New Roman" w:hAnsi="Times New Roman" w:cs="Times New Roman"/>
          <w:b/>
          <w:color w:val="auto"/>
          <w:sz w:val="24"/>
        </w:rPr>
      </w:pPr>
    </w:p>
    <w:p w14:paraId="1FB0BBEB" w14:textId="5A0221D0" w:rsidR="00E40AC8" w:rsidRPr="005B784F" w:rsidRDefault="00900184" w:rsidP="00401D9A">
      <w:pPr>
        <w:spacing w:line="240" w:lineRule="auto"/>
        <w:ind w:left="0" w:right="0" w:firstLine="0"/>
        <w:jc w:val="center"/>
        <w:rPr>
          <w:rFonts w:ascii="Times New Roman" w:hAnsi="Times New Roman" w:cs="Times New Roman"/>
          <w:b/>
          <w:color w:val="auto"/>
          <w:sz w:val="24"/>
        </w:rPr>
      </w:pPr>
      <w:r w:rsidRPr="005B784F">
        <w:rPr>
          <w:rFonts w:ascii="Times New Roman" w:hAnsi="Times New Roman" w:cs="Times New Roman"/>
          <w:b/>
          <w:color w:val="auto"/>
          <w:sz w:val="24"/>
        </w:rPr>
        <w:t xml:space="preserve">Tablica </w:t>
      </w:r>
      <w:r w:rsidR="00E12671">
        <w:rPr>
          <w:rFonts w:ascii="Times New Roman" w:hAnsi="Times New Roman" w:cs="Times New Roman"/>
          <w:b/>
          <w:color w:val="auto"/>
          <w:sz w:val="24"/>
        </w:rPr>
        <w:t>21</w:t>
      </w:r>
      <w:r w:rsidRPr="005B784F">
        <w:rPr>
          <w:rFonts w:ascii="Times New Roman" w:hAnsi="Times New Roman" w:cs="Times New Roman"/>
          <w:b/>
          <w:color w:val="auto"/>
          <w:sz w:val="24"/>
        </w:rPr>
        <w:t xml:space="preserve">. </w:t>
      </w:r>
      <w:r w:rsidR="00DA1055" w:rsidRPr="005B784F">
        <w:rPr>
          <w:rFonts w:ascii="Times New Roman" w:hAnsi="Times New Roman" w:cs="Times New Roman"/>
          <w:b/>
          <w:color w:val="auto"/>
          <w:sz w:val="24"/>
        </w:rPr>
        <w:t xml:space="preserve">Državna </w:t>
      </w:r>
      <w:r w:rsidRPr="005B784F">
        <w:rPr>
          <w:rFonts w:ascii="Times New Roman" w:hAnsi="Times New Roman" w:cs="Times New Roman"/>
          <w:b/>
          <w:color w:val="auto"/>
          <w:sz w:val="24"/>
        </w:rPr>
        <w:t>davanja za djecu</w:t>
      </w:r>
    </w:p>
    <w:p w14:paraId="7C2588D7" w14:textId="25299939" w:rsidR="00302468" w:rsidRPr="00ED440B" w:rsidRDefault="00814BE5" w:rsidP="001567FC">
      <w:pPr>
        <w:spacing w:after="0" w:line="240" w:lineRule="auto"/>
        <w:ind w:left="0" w:right="0" w:firstLine="0"/>
        <w:jc w:val="center"/>
        <w:rPr>
          <w:rFonts w:ascii="Times New Roman" w:eastAsia="Calibri" w:hAnsi="Times New Roman" w:cs="Times New Roman"/>
          <w:i/>
          <w:color w:val="FF0000"/>
          <w:sz w:val="20"/>
        </w:rPr>
      </w:pPr>
      <w:r w:rsidRPr="00814BE5">
        <w:rPr>
          <w:noProof/>
        </w:rPr>
        <w:drawing>
          <wp:inline distT="0" distB="0" distL="0" distR="0" wp14:anchorId="181B1639" wp14:editId="6AE1BF51">
            <wp:extent cx="5465445" cy="2732723"/>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1817" cy="2740909"/>
                    </a:xfrm>
                    <a:prstGeom prst="rect">
                      <a:avLst/>
                    </a:prstGeom>
                    <a:noFill/>
                    <a:ln>
                      <a:noFill/>
                    </a:ln>
                  </pic:spPr>
                </pic:pic>
              </a:graphicData>
            </a:graphic>
          </wp:inline>
        </w:drawing>
      </w:r>
    </w:p>
    <w:p w14:paraId="58DAFB41" w14:textId="490C7F0B" w:rsidR="00302468" w:rsidRPr="005B784F" w:rsidRDefault="00900184" w:rsidP="005B784F">
      <w:pPr>
        <w:spacing w:after="0" w:line="240" w:lineRule="auto"/>
        <w:ind w:left="0" w:right="0" w:firstLine="0"/>
        <w:jc w:val="center"/>
        <w:rPr>
          <w:rFonts w:ascii="Times New Roman" w:hAnsi="Times New Roman" w:cs="Times New Roman"/>
          <w:color w:val="auto"/>
          <w:sz w:val="24"/>
        </w:rPr>
      </w:pPr>
      <w:r w:rsidRPr="005B784F">
        <w:rPr>
          <w:rFonts w:ascii="Times New Roman" w:eastAsia="Calibri" w:hAnsi="Times New Roman" w:cs="Times New Roman"/>
          <w:i/>
          <w:color w:val="auto"/>
          <w:sz w:val="20"/>
        </w:rPr>
        <w:t>Izvor: Statistički ljetopis Grada Zagreba</w:t>
      </w:r>
      <w:r w:rsidR="00ED3FBF" w:rsidRPr="005B784F">
        <w:rPr>
          <w:rFonts w:ascii="Times New Roman" w:eastAsia="Calibri" w:hAnsi="Times New Roman" w:cs="Times New Roman"/>
          <w:i/>
          <w:color w:val="auto"/>
          <w:sz w:val="20"/>
        </w:rPr>
        <w:t xml:space="preserve"> 2021</w:t>
      </w:r>
      <w:r w:rsidRPr="005B784F">
        <w:rPr>
          <w:rFonts w:ascii="Times New Roman" w:eastAsia="Calibri" w:hAnsi="Times New Roman" w:cs="Times New Roman"/>
          <w:i/>
          <w:color w:val="auto"/>
          <w:sz w:val="20"/>
        </w:rPr>
        <w:t>.</w:t>
      </w:r>
    </w:p>
    <w:p w14:paraId="63E5CE9E" w14:textId="77777777" w:rsidR="00E40AC8" w:rsidRPr="005B784F" w:rsidRDefault="00900184" w:rsidP="00302468">
      <w:pPr>
        <w:spacing w:after="0" w:line="240" w:lineRule="auto"/>
        <w:ind w:left="0" w:right="0" w:firstLine="709"/>
        <w:rPr>
          <w:rFonts w:ascii="Times New Roman" w:hAnsi="Times New Roman" w:cs="Times New Roman"/>
          <w:color w:val="auto"/>
          <w:sz w:val="24"/>
        </w:rPr>
      </w:pPr>
      <w:r w:rsidRPr="005B784F">
        <w:rPr>
          <w:rFonts w:ascii="Times New Roman" w:hAnsi="Times New Roman" w:cs="Times New Roman"/>
          <w:color w:val="auto"/>
          <w:sz w:val="24"/>
        </w:rPr>
        <w:lastRenderedPageBreak/>
        <w:t xml:space="preserve">Gledamo li broj novčanih pomoći Centra za socijalnu skrb Zagreb, </w:t>
      </w:r>
      <w:r w:rsidR="0047770A" w:rsidRPr="005B784F">
        <w:rPr>
          <w:rFonts w:ascii="Times New Roman" w:hAnsi="Times New Roman" w:cs="Times New Roman"/>
          <w:color w:val="auto"/>
          <w:sz w:val="24"/>
        </w:rPr>
        <w:t xml:space="preserve">podružnice </w:t>
      </w:r>
      <w:r w:rsidRPr="005B784F">
        <w:rPr>
          <w:rFonts w:ascii="Times New Roman" w:hAnsi="Times New Roman" w:cs="Times New Roman"/>
          <w:color w:val="auto"/>
          <w:sz w:val="24"/>
        </w:rPr>
        <w:t xml:space="preserve">Dubrava, Trešnjevka, Peščenica i Novi Zagreb imaju najveći udio korisnika zajamčene minimalne naknade, dok </w:t>
      </w:r>
      <w:r w:rsidR="0047770A" w:rsidRPr="005B784F">
        <w:rPr>
          <w:rFonts w:ascii="Times New Roman" w:hAnsi="Times New Roman" w:cs="Times New Roman"/>
          <w:color w:val="auto"/>
          <w:sz w:val="24"/>
        </w:rPr>
        <w:t xml:space="preserve">podružnice </w:t>
      </w:r>
      <w:r w:rsidRPr="005B784F">
        <w:rPr>
          <w:rFonts w:ascii="Times New Roman" w:hAnsi="Times New Roman" w:cs="Times New Roman"/>
          <w:color w:val="auto"/>
          <w:sz w:val="24"/>
        </w:rPr>
        <w:t xml:space="preserve">Črnomerec, Gornji </w:t>
      </w:r>
      <w:r w:rsidR="0047770A" w:rsidRPr="005B784F">
        <w:rPr>
          <w:rFonts w:ascii="Times New Roman" w:hAnsi="Times New Roman" w:cs="Times New Roman"/>
          <w:color w:val="auto"/>
          <w:sz w:val="24"/>
        </w:rPr>
        <w:t>grad</w:t>
      </w:r>
      <w:r w:rsidRPr="005B784F">
        <w:rPr>
          <w:rFonts w:ascii="Times New Roman" w:hAnsi="Times New Roman" w:cs="Times New Roman"/>
          <w:color w:val="auto"/>
          <w:sz w:val="24"/>
        </w:rPr>
        <w:t xml:space="preserve">, Maksimir i Trnje imaju najmanji udio korisnika </w:t>
      </w:r>
      <w:r w:rsidR="0047770A" w:rsidRPr="005B784F">
        <w:rPr>
          <w:rFonts w:ascii="Times New Roman" w:hAnsi="Times New Roman" w:cs="Times New Roman"/>
          <w:color w:val="auto"/>
          <w:sz w:val="24"/>
        </w:rPr>
        <w:t xml:space="preserve">te </w:t>
      </w:r>
      <w:r w:rsidRPr="005B784F">
        <w:rPr>
          <w:rFonts w:ascii="Times New Roman" w:hAnsi="Times New Roman" w:cs="Times New Roman"/>
          <w:color w:val="auto"/>
          <w:sz w:val="24"/>
        </w:rPr>
        <w:t xml:space="preserve">naknade. Nadalje, najveći broj korisnika jednokratne novčane naknade u 2016. imale su </w:t>
      </w:r>
      <w:r w:rsidR="0047770A" w:rsidRPr="005B784F">
        <w:rPr>
          <w:rFonts w:ascii="Times New Roman" w:hAnsi="Times New Roman" w:cs="Times New Roman"/>
          <w:color w:val="auto"/>
          <w:sz w:val="24"/>
        </w:rPr>
        <w:t xml:space="preserve">podružnice </w:t>
      </w:r>
      <w:r w:rsidRPr="005B784F">
        <w:rPr>
          <w:rFonts w:ascii="Times New Roman" w:hAnsi="Times New Roman" w:cs="Times New Roman"/>
          <w:color w:val="auto"/>
          <w:sz w:val="24"/>
        </w:rPr>
        <w:t xml:space="preserve">Dubrava, Susedgrad, Trešnjevka i Sesvete, a </w:t>
      </w:r>
      <w:r w:rsidR="0047770A" w:rsidRPr="005B784F">
        <w:rPr>
          <w:rFonts w:ascii="Times New Roman" w:hAnsi="Times New Roman" w:cs="Times New Roman"/>
          <w:color w:val="auto"/>
          <w:sz w:val="24"/>
        </w:rPr>
        <w:t xml:space="preserve">podružnice </w:t>
      </w:r>
      <w:r w:rsidRPr="005B784F">
        <w:rPr>
          <w:rFonts w:ascii="Times New Roman" w:hAnsi="Times New Roman" w:cs="Times New Roman"/>
          <w:color w:val="auto"/>
          <w:sz w:val="24"/>
        </w:rPr>
        <w:t xml:space="preserve">Donji </w:t>
      </w:r>
      <w:r w:rsidR="0047770A" w:rsidRPr="005B784F">
        <w:rPr>
          <w:rFonts w:ascii="Times New Roman" w:hAnsi="Times New Roman" w:cs="Times New Roman"/>
          <w:color w:val="auto"/>
          <w:sz w:val="24"/>
        </w:rPr>
        <w:t>grad</w:t>
      </w:r>
      <w:r w:rsidRPr="005B784F">
        <w:rPr>
          <w:rFonts w:ascii="Times New Roman" w:hAnsi="Times New Roman" w:cs="Times New Roman"/>
          <w:color w:val="auto"/>
          <w:sz w:val="24"/>
        </w:rPr>
        <w:t xml:space="preserve">, Gornji </w:t>
      </w:r>
      <w:r w:rsidR="0047770A" w:rsidRPr="005B784F">
        <w:rPr>
          <w:rFonts w:ascii="Times New Roman" w:hAnsi="Times New Roman" w:cs="Times New Roman"/>
          <w:color w:val="auto"/>
          <w:sz w:val="24"/>
        </w:rPr>
        <w:t xml:space="preserve">grad </w:t>
      </w:r>
      <w:r w:rsidRPr="005B784F">
        <w:rPr>
          <w:rFonts w:ascii="Times New Roman" w:hAnsi="Times New Roman" w:cs="Times New Roman"/>
          <w:color w:val="auto"/>
          <w:sz w:val="24"/>
        </w:rPr>
        <w:t>i Trnje najmanji udio.</w:t>
      </w:r>
    </w:p>
    <w:p w14:paraId="023473B8" w14:textId="77777777" w:rsidR="00302468" w:rsidRPr="005142C4" w:rsidRDefault="00302468" w:rsidP="00302468">
      <w:pPr>
        <w:spacing w:after="0" w:line="240" w:lineRule="auto"/>
        <w:ind w:right="0"/>
        <w:rPr>
          <w:rFonts w:ascii="Times New Roman" w:hAnsi="Times New Roman" w:cs="Times New Roman"/>
          <w:sz w:val="24"/>
        </w:rPr>
      </w:pPr>
    </w:p>
    <w:p w14:paraId="35CEE1F8" w14:textId="71266163" w:rsidR="00024AD9" w:rsidRPr="00ED440B" w:rsidRDefault="00900184" w:rsidP="00401D9A">
      <w:pPr>
        <w:spacing w:line="240" w:lineRule="auto"/>
        <w:ind w:left="0" w:right="0" w:firstLine="0"/>
        <w:jc w:val="center"/>
        <w:rPr>
          <w:rFonts w:ascii="Times New Roman" w:hAnsi="Times New Roman" w:cs="Times New Roman"/>
          <w:color w:val="FF0000"/>
          <w:sz w:val="24"/>
          <w:szCs w:val="20"/>
        </w:rPr>
      </w:pPr>
      <w:r w:rsidRPr="005B784F">
        <w:rPr>
          <w:rFonts w:ascii="Times New Roman" w:hAnsi="Times New Roman" w:cs="Times New Roman"/>
          <w:b/>
          <w:color w:val="auto"/>
          <w:sz w:val="24"/>
        </w:rPr>
        <w:t>Grafikon 5. Obuhvaćenost stanovništva zajamčenom minimalnom naknadom i</w:t>
      </w:r>
      <w:r w:rsidR="00BA4C89" w:rsidRPr="005B784F">
        <w:rPr>
          <w:rFonts w:ascii="Times New Roman" w:hAnsi="Times New Roman" w:cs="Times New Roman"/>
          <w:b/>
          <w:color w:val="auto"/>
          <w:sz w:val="24"/>
        </w:rPr>
        <w:t xml:space="preserve"> jednokratnom naknadom u 2016. </w:t>
      </w:r>
    </w:p>
    <w:p w14:paraId="5CBFC99F" w14:textId="77777777" w:rsidR="00E40AC8" w:rsidRPr="00ED440B" w:rsidRDefault="00900184" w:rsidP="00757E67">
      <w:pPr>
        <w:spacing w:after="0" w:line="240" w:lineRule="auto"/>
        <w:ind w:left="0" w:right="0" w:firstLine="0"/>
        <w:jc w:val="center"/>
        <w:rPr>
          <w:rFonts w:ascii="Times New Roman" w:hAnsi="Times New Roman" w:cs="Times New Roman"/>
          <w:b/>
          <w:color w:val="FF0000"/>
          <w:sz w:val="24"/>
        </w:rPr>
      </w:pPr>
      <w:r w:rsidRPr="00ED440B">
        <w:rPr>
          <w:rFonts w:ascii="Times New Roman" w:hAnsi="Times New Roman" w:cs="Times New Roman"/>
          <w:noProof/>
          <w:color w:val="FF0000"/>
          <w:sz w:val="24"/>
        </w:rPr>
        <w:drawing>
          <wp:inline distT="0" distB="0" distL="0" distR="0" wp14:anchorId="2D3DF0D1" wp14:editId="3C4C4D3B">
            <wp:extent cx="5781287" cy="3159457"/>
            <wp:effectExtent l="0" t="0" r="0" b="3175"/>
            <wp:docPr id="22479" name="Picture 22479"/>
            <wp:cNvGraphicFramePr/>
            <a:graphic xmlns:a="http://schemas.openxmlformats.org/drawingml/2006/main">
              <a:graphicData uri="http://schemas.openxmlformats.org/drawingml/2006/picture">
                <pic:pic xmlns:pic="http://schemas.openxmlformats.org/drawingml/2006/picture">
                  <pic:nvPicPr>
                    <pic:cNvPr id="22479" name="Picture 2247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10716" cy="3175540"/>
                    </a:xfrm>
                    <a:prstGeom prst="rect">
                      <a:avLst/>
                    </a:prstGeom>
                  </pic:spPr>
                </pic:pic>
              </a:graphicData>
            </a:graphic>
          </wp:inline>
        </w:drawing>
      </w:r>
    </w:p>
    <w:p w14:paraId="44A6D37F" w14:textId="77777777" w:rsidR="00E40AC8" w:rsidRPr="005B784F" w:rsidRDefault="00900184" w:rsidP="005142C4">
      <w:pPr>
        <w:spacing w:after="0" w:line="240" w:lineRule="auto"/>
        <w:ind w:left="0" w:right="0" w:firstLine="0"/>
        <w:jc w:val="center"/>
        <w:rPr>
          <w:rFonts w:ascii="Times New Roman" w:eastAsia="Calibri" w:hAnsi="Times New Roman" w:cs="Times New Roman"/>
          <w:i/>
          <w:color w:val="auto"/>
          <w:sz w:val="20"/>
        </w:rPr>
      </w:pPr>
      <w:r w:rsidRPr="005B784F">
        <w:rPr>
          <w:rFonts w:ascii="Times New Roman" w:eastAsia="Calibri" w:hAnsi="Times New Roman" w:cs="Times New Roman"/>
          <w:i/>
          <w:color w:val="auto"/>
          <w:sz w:val="20"/>
        </w:rPr>
        <w:t xml:space="preserve">Izvor: Socijalna slika Grada Zagreba 2016. </w:t>
      </w:r>
    </w:p>
    <w:p w14:paraId="4F0C76D8" w14:textId="77777777" w:rsidR="00E40AC8" w:rsidRPr="005142C4" w:rsidRDefault="00E40AC8" w:rsidP="005142C4">
      <w:pPr>
        <w:spacing w:after="0" w:line="240" w:lineRule="auto"/>
        <w:ind w:left="0" w:right="0" w:firstLine="0"/>
        <w:jc w:val="left"/>
        <w:rPr>
          <w:rFonts w:ascii="Times New Roman" w:hAnsi="Times New Roman" w:cs="Times New Roman"/>
          <w:sz w:val="24"/>
        </w:rPr>
      </w:pPr>
    </w:p>
    <w:p w14:paraId="2C380FCA" w14:textId="0B15CF18" w:rsidR="00E40AC8" w:rsidRDefault="00900184" w:rsidP="00302468">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Mirovinski staž obuhvaća staž prema Zakonu o mirovinskom osiguranju na temelju kojeg se ostvaruju prava iz mirovinskog osiguranja. U sljedećoj tablici prikazan je broj stanovnika Grada Zagreba koji primaju mirovinsku naknadu.</w:t>
      </w:r>
    </w:p>
    <w:p w14:paraId="5EB68975" w14:textId="77777777" w:rsidR="007D53EA" w:rsidRPr="005142C4" w:rsidRDefault="007D53EA" w:rsidP="00302468">
      <w:pPr>
        <w:spacing w:after="0" w:line="240" w:lineRule="auto"/>
        <w:ind w:left="0" w:right="0" w:firstLine="709"/>
        <w:rPr>
          <w:rFonts w:ascii="Times New Roman" w:hAnsi="Times New Roman" w:cs="Times New Roman"/>
          <w:sz w:val="24"/>
        </w:rPr>
      </w:pPr>
    </w:p>
    <w:p w14:paraId="7DC2919E" w14:textId="0D961E3A" w:rsidR="00E40AC8" w:rsidRPr="005142C4" w:rsidRDefault="007D53EA" w:rsidP="00401D9A">
      <w:pPr>
        <w:spacing w:line="240" w:lineRule="auto"/>
        <w:ind w:left="0" w:right="0" w:firstLine="0"/>
        <w:jc w:val="center"/>
        <w:rPr>
          <w:rFonts w:ascii="Times New Roman" w:hAnsi="Times New Roman" w:cs="Times New Roman"/>
          <w:sz w:val="24"/>
        </w:rPr>
      </w:pPr>
      <w:r w:rsidRPr="007D53EA">
        <w:rPr>
          <w:rFonts w:ascii="Times New Roman" w:hAnsi="Times New Roman" w:cs="Times New Roman"/>
          <w:b/>
          <w:sz w:val="24"/>
        </w:rPr>
        <w:t>Tablica 2</w:t>
      </w:r>
      <w:r w:rsidR="00B86C93">
        <w:rPr>
          <w:rFonts w:ascii="Times New Roman" w:hAnsi="Times New Roman" w:cs="Times New Roman"/>
          <w:b/>
          <w:sz w:val="24"/>
        </w:rPr>
        <w:t>2</w:t>
      </w:r>
      <w:r w:rsidRPr="007D53EA">
        <w:rPr>
          <w:rFonts w:ascii="Times New Roman" w:hAnsi="Times New Roman" w:cs="Times New Roman"/>
          <w:b/>
          <w:sz w:val="24"/>
        </w:rPr>
        <w:t>. Korisnici mirovina prema Zakonu o mirovinskom osiguranju, osnovama osiguranja i spolu</w:t>
      </w:r>
    </w:p>
    <w:tbl>
      <w:tblPr>
        <w:tblW w:w="8740" w:type="dxa"/>
        <w:tblLook w:val="04A0" w:firstRow="1" w:lastRow="0" w:firstColumn="1" w:lastColumn="0" w:noHBand="0" w:noVBand="1"/>
      </w:tblPr>
      <w:tblGrid>
        <w:gridCol w:w="314"/>
        <w:gridCol w:w="2452"/>
        <w:gridCol w:w="986"/>
        <w:gridCol w:w="1088"/>
        <w:gridCol w:w="986"/>
        <w:gridCol w:w="986"/>
        <w:gridCol w:w="1088"/>
        <w:gridCol w:w="986"/>
      </w:tblGrid>
      <w:tr w:rsidR="007D53EA" w:rsidRPr="007D53EA" w14:paraId="2E7C2CB0" w14:textId="77777777" w:rsidTr="007D53EA">
        <w:trPr>
          <w:trHeight w:val="390"/>
        </w:trPr>
        <w:tc>
          <w:tcPr>
            <w:tcW w:w="2620" w:type="dxa"/>
            <w:gridSpan w:val="2"/>
            <w:tcBorders>
              <w:top w:val="single" w:sz="4" w:space="0" w:color="auto"/>
              <w:left w:val="nil"/>
              <w:bottom w:val="nil"/>
              <w:right w:val="single" w:sz="4" w:space="0" w:color="000000"/>
            </w:tcBorders>
            <w:shd w:val="clear" w:color="auto" w:fill="auto"/>
            <w:noWrap/>
            <w:vAlign w:val="bottom"/>
            <w:hideMark/>
          </w:tcPr>
          <w:p w14:paraId="1816FFA2" w14:textId="77777777" w:rsidR="007D53EA" w:rsidRPr="007D53EA" w:rsidRDefault="007D53EA" w:rsidP="007D53EA">
            <w:pPr>
              <w:spacing w:after="0" w:line="240" w:lineRule="auto"/>
              <w:ind w:left="0" w:right="0" w:firstLine="0"/>
              <w:jc w:val="center"/>
              <w:rPr>
                <w:rFonts w:ascii="Calibri" w:eastAsia="Times New Roman" w:hAnsi="Calibri" w:cs="Calibri"/>
                <w:color w:val="auto"/>
              </w:rPr>
            </w:pPr>
            <w:r w:rsidRPr="007D53EA">
              <w:rPr>
                <w:rFonts w:ascii="Calibri" w:eastAsia="Times New Roman" w:hAnsi="Calibri" w:cs="Calibri"/>
                <w:color w:val="auto"/>
              </w:rPr>
              <w:t> </w:t>
            </w:r>
          </w:p>
        </w:tc>
        <w:tc>
          <w:tcPr>
            <w:tcW w:w="306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4559B827" w14:textId="77777777" w:rsidR="007D53EA" w:rsidRPr="007D53EA" w:rsidRDefault="007D53EA" w:rsidP="007D53EA">
            <w:pPr>
              <w:spacing w:after="0" w:line="240" w:lineRule="auto"/>
              <w:ind w:left="0" w:right="0" w:firstLine="0"/>
              <w:jc w:val="center"/>
              <w:rPr>
                <w:rFonts w:ascii="Calibri" w:eastAsia="Times New Roman" w:hAnsi="Calibri" w:cs="Calibri"/>
                <w:color w:val="auto"/>
              </w:rPr>
            </w:pPr>
            <w:r w:rsidRPr="007D53EA">
              <w:rPr>
                <w:rFonts w:ascii="Calibri" w:eastAsia="Times New Roman" w:hAnsi="Calibri" w:cs="Calibri"/>
                <w:color w:val="auto"/>
              </w:rPr>
              <w:t>2019.</w:t>
            </w:r>
          </w:p>
        </w:tc>
        <w:tc>
          <w:tcPr>
            <w:tcW w:w="3060" w:type="dxa"/>
            <w:gridSpan w:val="3"/>
            <w:tcBorders>
              <w:top w:val="single" w:sz="4" w:space="0" w:color="auto"/>
              <w:left w:val="nil"/>
              <w:bottom w:val="single" w:sz="4" w:space="0" w:color="auto"/>
              <w:right w:val="nil"/>
            </w:tcBorders>
            <w:shd w:val="clear" w:color="auto" w:fill="auto"/>
            <w:noWrap/>
            <w:vAlign w:val="center"/>
            <w:hideMark/>
          </w:tcPr>
          <w:p w14:paraId="1DFA82E4" w14:textId="77777777" w:rsidR="007D53EA" w:rsidRPr="007D53EA" w:rsidRDefault="007D53EA" w:rsidP="007D53EA">
            <w:pPr>
              <w:spacing w:after="0" w:line="240" w:lineRule="auto"/>
              <w:ind w:left="0" w:right="0" w:firstLine="0"/>
              <w:jc w:val="center"/>
              <w:rPr>
                <w:rFonts w:ascii="Calibri" w:eastAsia="Times New Roman" w:hAnsi="Calibri" w:cs="Calibri"/>
                <w:color w:val="auto"/>
              </w:rPr>
            </w:pPr>
            <w:r w:rsidRPr="007D53EA">
              <w:rPr>
                <w:rFonts w:ascii="Calibri" w:eastAsia="Times New Roman" w:hAnsi="Calibri" w:cs="Calibri"/>
                <w:color w:val="auto"/>
              </w:rPr>
              <w:t>2020.</w:t>
            </w:r>
          </w:p>
        </w:tc>
      </w:tr>
      <w:tr w:rsidR="007D53EA" w:rsidRPr="007D53EA" w14:paraId="479C843A" w14:textId="77777777" w:rsidTr="007D53EA">
        <w:trPr>
          <w:trHeight w:val="390"/>
        </w:trPr>
        <w:tc>
          <w:tcPr>
            <w:tcW w:w="168" w:type="dxa"/>
            <w:tcBorders>
              <w:top w:val="nil"/>
              <w:left w:val="nil"/>
              <w:bottom w:val="single" w:sz="4" w:space="0" w:color="auto"/>
              <w:right w:val="nil"/>
            </w:tcBorders>
            <w:shd w:val="clear" w:color="auto" w:fill="auto"/>
            <w:noWrap/>
            <w:vAlign w:val="bottom"/>
            <w:hideMark/>
          </w:tcPr>
          <w:p w14:paraId="6CCB16D4" w14:textId="77777777" w:rsidR="007D53EA" w:rsidRPr="007D53EA" w:rsidRDefault="007D53EA" w:rsidP="007D53EA">
            <w:pPr>
              <w:spacing w:after="0" w:line="240" w:lineRule="auto"/>
              <w:ind w:left="0" w:right="0" w:firstLine="0"/>
              <w:jc w:val="center"/>
              <w:rPr>
                <w:rFonts w:ascii="Calibri" w:eastAsia="Times New Roman" w:hAnsi="Calibri" w:cs="Calibri"/>
                <w:color w:val="auto"/>
              </w:rPr>
            </w:pPr>
            <w:r w:rsidRPr="007D53EA">
              <w:rPr>
                <w:rFonts w:ascii="Calibri" w:eastAsia="Times New Roman" w:hAnsi="Calibri" w:cs="Calibri"/>
                <w:color w:val="auto"/>
              </w:rPr>
              <w:t> </w:t>
            </w:r>
          </w:p>
        </w:tc>
        <w:tc>
          <w:tcPr>
            <w:tcW w:w="2452" w:type="dxa"/>
            <w:tcBorders>
              <w:top w:val="nil"/>
              <w:left w:val="nil"/>
              <w:bottom w:val="single" w:sz="4" w:space="0" w:color="auto"/>
              <w:right w:val="single" w:sz="4" w:space="0" w:color="auto"/>
            </w:tcBorders>
            <w:shd w:val="clear" w:color="auto" w:fill="auto"/>
            <w:noWrap/>
            <w:vAlign w:val="bottom"/>
            <w:hideMark/>
          </w:tcPr>
          <w:p w14:paraId="4637BA60" w14:textId="77777777" w:rsidR="007D53EA" w:rsidRPr="007D53EA" w:rsidRDefault="007D53EA" w:rsidP="007D53EA">
            <w:pPr>
              <w:spacing w:after="0" w:line="240" w:lineRule="auto"/>
              <w:ind w:left="0" w:right="0" w:firstLine="0"/>
              <w:jc w:val="center"/>
              <w:rPr>
                <w:rFonts w:ascii="Calibri" w:eastAsia="Times New Roman" w:hAnsi="Calibri" w:cs="Calibri"/>
                <w:color w:val="auto"/>
              </w:rPr>
            </w:pPr>
            <w:r w:rsidRPr="007D53EA">
              <w:rPr>
                <w:rFonts w:ascii="Calibri" w:eastAsia="Times New Roman" w:hAnsi="Calibri" w:cs="Calibri"/>
                <w:color w:val="auto"/>
              </w:rPr>
              <w:t> </w:t>
            </w:r>
          </w:p>
        </w:tc>
        <w:tc>
          <w:tcPr>
            <w:tcW w:w="986" w:type="dxa"/>
            <w:tcBorders>
              <w:top w:val="nil"/>
              <w:left w:val="nil"/>
              <w:bottom w:val="single" w:sz="4" w:space="0" w:color="auto"/>
              <w:right w:val="single" w:sz="4" w:space="0" w:color="auto"/>
            </w:tcBorders>
            <w:shd w:val="clear" w:color="auto" w:fill="auto"/>
            <w:noWrap/>
            <w:vAlign w:val="center"/>
            <w:hideMark/>
          </w:tcPr>
          <w:p w14:paraId="62F5DC59" w14:textId="77777777" w:rsidR="007D53EA" w:rsidRPr="007D53EA" w:rsidRDefault="007D53EA" w:rsidP="007D53EA">
            <w:pPr>
              <w:spacing w:after="0" w:line="240" w:lineRule="auto"/>
              <w:ind w:left="0" w:right="0" w:firstLine="0"/>
              <w:jc w:val="center"/>
              <w:rPr>
                <w:rFonts w:ascii="Calibri" w:eastAsia="Times New Roman" w:hAnsi="Calibri" w:cs="Calibri"/>
                <w:color w:val="auto"/>
              </w:rPr>
            </w:pPr>
            <w:r w:rsidRPr="007D53EA">
              <w:rPr>
                <w:rFonts w:ascii="Calibri" w:eastAsia="Times New Roman" w:hAnsi="Calibri" w:cs="Calibri"/>
                <w:color w:val="auto"/>
              </w:rPr>
              <w:t>ukupno</w:t>
            </w:r>
          </w:p>
        </w:tc>
        <w:tc>
          <w:tcPr>
            <w:tcW w:w="1088" w:type="dxa"/>
            <w:tcBorders>
              <w:top w:val="nil"/>
              <w:left w:val="nil"/>
              <w:bottom w:val="single" w:sz="4" w:space="0" w:color="auto"/>
              <w:right w:val="single" w:sz="4" w:space="0" w:color="auto"/>
            </w:tcBorders>
            <w:shd w:val="clear" w:color="auto" w:fill="auto"/>
            <w:noWrap/>
            <w:vAlign w:val="center"/>
            <w:hideMark/>
          </w:tcPr>
          <w:p w14:paraId="0D133C9E" w14:textId="77777777" w:rsidR="007D53EA" w:rsidRPr="007D53EA" w:rsidRDefault="007D53EA" w:rsidP="007D53EA">
            <w:pPr>
              <w:spacing w:after="0" w:line="240" w:lineRule="auto"/>
              <w:ind w:left="0" w:right="0" w:firstLine="0"/>
              <w:jc w:val="center"/>
              <w:rPr>
                <w:rFonts w:ascii="Calibri" w:eastAsia="Times New Roman" w:hAnsi="Calibri" w:cs="Calibri"/>
                <w:color w:val="auto"/>
              </w:rPr>
            </w:pPr>
            <w:r w:rsidRPr="007D53EA">
              <w:rPr>
                <w:rFonts w:ascii="Calibri" w:eastAsia="Times New Roman" w:hAnsi="Calibri" w:cs="Calibri"/>
                <w:color w:val="auto"/>
              </w:rPr>
              <w:t>muškarci</w:t>
            </w:r>
          </w:p>
        </w:tc>
        <w:tc>
          <w:tcPr>
            <w:tcW w:w="986" w:type="dxa"/>
            <w:tcBorders>
              <w:top w:val="nil"/>
              <w:left w:val="nil"/>
              <w:bottom w:val="single" w:sz="4" w:space="0" w:color="auto"/>
              <w:right w:val="nil"/>
            </w:tcBorders>
            <w:shd w:val="clear" w:color="auto" w:fill="auto"/>
            <w:noWrap/>
            <w:vAlign w:val="center"/>
            <w:hideMark/>
          </w:tcPr>
          <w:p w14:paraId="36093DA9" w14:textId="77777777" w:rsidR="007D53EA" w:rsidRPr="007D53EA" w:rsidRDefault="007D53EA" w:rsidP="007D53EA">
            <w:pPr>
              <w:spacing w:after="0" w:line="240" w:lineRule="auto"/>
              <w:ind w:left="0" w:right="0" w:firstLine="0"/>
              <w:jc w:val="center"/>
              <w:rPr>
                <w:rFonts w:ascii="Calibri" w:eastAsia="Times New Roman" w:hAnsi="Calibri" w:cs="Calibri"/>
                <w:color w:val="auto"/>
              </w:rPr>
            </w:pPr>
            <w:r w:rsidRPr="007D53EA">
              <w:rPr>
                <w:rFonts w:ascii="Calibri" w:eastAsia="Times New Roman" w:hAnsi="Calibri" w:cs="Calibri"/>
                <w:color w:val="auto"/>
              </w:rPr>
              <w:t>žene</w:t>
            </w:r>
          </w:p>
        </w:tc>
        <w:tc>
          <w:tcPr>
            <w:tcW w:w="986" w:type="dxa"/>
            <w:tcBorders>
              <w:top w:val="nil"/>
              <w:left w:val="single" w:sz="4" w:space="0" w:color="auto"/>
              <w:bottom w:val="single" w:sz="4" w:space="0" w:color="auto"/>
              <w:right w:val="nil"/>
            </w:tcBorders>
            <w:shd w:val="clear" w:color="auto" w:fill="auto"/>
            <w:noWrap/>
            <w:vAlign w:val="center"/>
            <w:hideMark/>
          </w:tcPr>
          <w:p w14:paraId="1B8F4215" w14:textId="77777777" w:rsidR="007D53EA" w:rsidRPr="007D53EA" w:rsidRDefault="007D53EA" w:rsidP="007D53EA">
            <w:pPr>
              <w:spacing w:after="0" w:line="240" w:lineRule="auto"/>
              <w:ind w:left="0" w:right="0" w:firstLine="0"/>
              <w:jc w:val="center"/>
              <w:rPr>
                <w:rFonts w:ascii="Calibri" w:eastAsia="Times New Roman" w:hAnsi="Calibri" w:cs="Calibri"/>
                <w:color w:val="auto"/>
              </w:rPr>
            </w:pPr>
            <w:r w:rsidRPr="007D53EA">
              <w:rPr>
                <w:rFonts w:ascii="Calibri" w:eastAsia="Times New Roman" w:hAnsi="Calibri" w:cs="Calibri"/>
                <w:color w:val="auto"/>
              </w:rPr>
              <w:t>ukupno</w:t>
            </w:r>
          </w:p>
        </w:tc>
        <w:tc>
          <w:tcPr>
            <w:tcW w:w="1088" w:type="dxa"/>
            <w:tcBorders>
              <w:top w:val="nil"/>
              <w:left w:val="single" w:sz="4" w:space="0" w:color="auto"/>
              <w:bottom w:val="single" w:sz="4" w:space="0" w:color="auto"/>
              <w:right w:val="single" w:sz="4" w:space="0" w:color="auto"/>
            </w:tcBorders>
            <w:shd w:val="clear" w:color="auto" w:fill="auto"/>
            <w:noWrap/>
            <w:vAlign w:val="center"/>
            <w:hideMark/>
          </w:tcPr>
          <w:p w14:paraId="61E6D041" w14:textId="77777777" w:rsidR="007D53EA" w:rsidRPr="007D53EA" w:rsidRDefault="007D53EA" w:rsidP="007D53EA">
            <w:pPr>
              <w:spacing w:after="0" w:line="240" w:lineRule="auto"/>
              <w:ind w:left="0" w:right="0" w:firstLine="0"/>
              <w:jc w:val="center"/>
              <w:rPr>
                <w:rFonts w:ascii="Calibri" w:eastAsia="Times New Roman" w:hAnsi="Calibri" w:cs="Calibri"/>
                <w:color w:val="auto"/>
              </w:rPr>
            </w:pPr>
            <w:r w:rsidRPr="007D53EA">
              <w:rPr>
                <w:rFonts w:ascii="Calibri" w:eastAsia="Times New Roman" w:hAnsi="Calibri" w:cs="Calibri"/>
                <w:color w:val="auto"/>
              </w:rPr>
              <w:t>muškarci</w:t>
            </w:r>
          </w:p>
        </w:tc>
        <w:tc>
          <w:tcPr>
            <w:tcW w:w="986" w:type="dxa"/>
            <w:tcBorders>
              <w:top w:val="nil"/>
              <w:left w:val="nil"/>
              <w:bottom w:val="single" w:sz="4" w:space="0" w:color="auto"/>
              <w:right w:val="nil"/>
            </w:tcBorders>
            <w:shd w:val="clear" w:color="auto" w:fill="auto"/>
            <w:noWrap/>
            <w:vAlign w:val="center"/>
            <w:hideMark/>
          </w:tcPr>
          <w:p w14:paraId="6ED04964" w14:textId="77777777" w:rsidR="007D53EA" w:rsidRPr="007D53EA" w:rsidRDefault="007D53EA" w:rsidP="007D53EA">
            <w:pPr>
              <w:spacing w:after="0" w:line="240" w:lineRule="auto"/>
              <w:ind w:left="0" w:right="0" w:firstLine="0"/>
              <w:jc w:val="center"/>
              <w:rPr>
                <w:rFonts w:ascii="Calibri" w:eastAsia="Times New Roman" w:hAnsi="Calibri" w:cs="Calibri"/>
                <w:color w:val="auto"/>
              </w:rPr>
            </w:pPr>
            <w:r w:rsidRPr="007D53EA">
              <w:rPr>
                <w:rFonts w:ascii="Calibri" w:eastAsia="Times New Roman" w:hAnsi="Calibri" w:cs="Calibri"/>
                <w:color w:val="auto"/>
              </w:rPr>
              <w:t>žene</w:t>
            </w:r>
          </w:p>
        </w:tc>
      </w:tr>
      <w:tr w:rsidR="007D53EA" w:rsidRPr="007D53EA" w14:paraId="36226037" w14:textId="77777777" w:rsidTr="007D53EA">
        <w:trPr>
          <w:trHeight w:val="570"/>
        </w:trPr>
        <w:tc>
          <w:tcPr>
            <w:tcW w:w="168" w:type="dxa"/>
            <w:tcBorders>
              <w:top w:val="nil"/>
              <w:left w:val="nil"/>
              <w:bottom w:val="nil"/>
              <w:right w:val="nil"/>
            </w:tcBorders>
            <w:shd w:val="clear" w:color="auto" w:fill="auto"/>
            <w:noWrap/>
            <w:vAlign w:val="bottom"/>
            <w:hideMark/>
          </w:tcPr>
          <w:p w14:paraId="5A898B7F" w14:textId="77777777" w:rsidR="007D53EA" w:rsidRPr="007D53EA" w:rsidRDefault="007D53EA" w:rsidP="007D53EA">
            <w:pPr>
              <w:spacing w:after="0" w:line="240" w:lineRule="auto"/>
              <w:ind w:left="0" w:right="0" w:firstLine="0"/>
              <w:jc w:val="center"/>
              <w:rPr>
                <w:rFonts w:ascii="Calibri" w:eastAsia="Times New Roman" w:hAnsi="Calibri" w:cs="Calibri"/>
                <w:color w:val="auto"/>
              </w:rPr>
            </w:pPr>
          </w:p>
        </w:tc>
        <w:tc>
          <w:tcPr>
            <w:tcW w:w="2452" w:type="dxa"/>
            <w:tcBorders>
              <w:top w:val="nil"/>
              <w:left w:val="nil"/>
              <w:bottom w:val="nil"/>
              <w:right w:val="nil"/>
            </w:tcBorders>
            <w:shd w:val="clear" w:color="auto" w:fill="auto"/>
            <w:noWrap/>
            <w:vAlign w:val="bottom"/>
            <w:hideMark/>
          </w:tcPr>
          <w:p w14:paraId="69B96C96" w14:textId="77777777" w:rsidR="007D53EA" w:rsidRPr="007D53EA" w:rsidRDefault="007D53EA" w:rsidP="007D53EA">
            <w:pPr>
              <w:spacing w:after="0" w:line="240" w:lineRule="auto"/>
              <w:ind w:left="0" w:right="0" w:firstLine="0"/>
              <w:jc w:val="center"/>
              <w:rPr>
                <w:rFonts w:ascii="Times New Roman" w:eastAsia="Times New Roman" w:hAnsi="Times New Roman" w:cs="Times New Roman"/>
                <w:color w:val="auto"/>
                <w:sz w:val="20"/>
                <w:szCs w:val="20"/>
              </w:rPr>
            </w:pPr>
          </w:p>
        </w:tc>
        <w:tc>
          <w:tcPr>
            <w:tcW w:w="6120" w:type="dxa"/>
            <w:gridSpan w:val="6"/>
            <w:tcBorders>
              <w:top w:val="single" w:sz="4" w:space="0" w:color="auto"/>
              <w:left w:val="nil"/>
              <w:bottom w:val="nil"/>
              <w:right w:val="nil"/>
            </w:tcBorders>
            <w:shd w:val="clear" w:color="auto" w:fill="auto"/>
            <w:noWrap/>
            <w:vAlign w:val="bottom"/>
            <w:hideMark/>
          </w:tcPr>
          <w:p w14:paraId="0987B473" w14:textId="77777777" w:rsidR="007D53EA" w:rsidRPr="007D53EA" w:rsidRDefault="007D53EA" w:rsidP="007D53EA">
            <w:pPr>
              <w:spacing w:after="0" w:line="240" w:lineRule="auto"/>
              <w:ind w:left="0" w:right="0" w:firstLine="0"/>
              <w:jc w:val="center"/>
              <w:rPr>
                <w:rFonts w:ascii="Calibri" w:eastAsia="Times New Roman" w:hAnsi="Calibri" w:cs="Calibri"/>
                <w:b/>
                <w:bCs/>
                <w:color w:val="auto"/>
              </w:rPr>
            </w:pPr>
            <w:r w:rsidRPr="007D53EA">
              <w:rPr>
                <w:rFonts w:ascii="Calibri" w:eastAsia="Times New Roman" w:hAnsi="Calibri" w:cs="Calibri"/>
                <w:b/>
                <w:bCs/>
                <w:color w:val="auto"/>
              </w:rPr>
              <w:t>Radnici i s njima izjednačene osobe</w:t>
            </w:r>
          </w:p>
        </w:tc>
      </w:tr>
      <w:tr w:rsidR="007D53EA" w:rsidRPr="007D53EA" w14:paraId="37404354" w14:textId="77777777" w:rsidTr="007D53EA">
        <w:trPr>
          <w:trHeight w:val="315"/>
        </w:trPr>
        <w:tc>
          <w:tcPr>
            <w:tcW w:w="2620" w:type="dxa"/>
            <w:gridSpan w:val="2"/>
            <w:tcBorders>
              <w:top w:val="nil"/>
              <w:left w:val="nil"/>
              <w:bottom w:val="nil"/>
              <w:right w:val="nil"/>
            </w:tcBorders>
            <w:shd w:val="clear" w:color="auto" w:fill="auto"/>
            <w:noWrap/>
            <w:vAlign w:val="bottom"/>
            <w:hideMark/>
          </w:tcPr>
          <w:p w14:paraId="5FD1FFE9" w14:textId="77777777" w:rsidR="007D53EA" w:rsidRPr="007D53EA" w:rsidRDefault="007D53EA" w:rsidP="007D53EA">
            <w:pPr>
              <w:spacing w:after="0" w:line="240" w:lineRule="auto"/>
              <w:ind w:left="0" w:right="0" w:firstLine="0"/>
              <w:jc w:val="left"/>
              <w:rPr>
                <w:rFonts w:ascii="Calibri" w:eastAsia="Times New Roman" w:hAnsi="Calibri" w:cs="Calibri"/>
                <w:b/>
                <w:bCs/>
                <w:color w:val="auto"/>
              </w:rPr>
            </w:pPr>
            <w:r w:rsidRPr="007D53EA">
              <w:rPr>
                <w:rFonts w:ascii="Calibri" w:eastAsia="Times New Roman" w:hAnsi="Calibri" w:cs="Calibri"/>
                <w:b/>
                <w:bCs/>
                <w:color w:val="auto"/>
              </w:rPr>
              <w:t>Ukupno</w:t>
            </w:r>
          </w:p>
        </w:tc>
        <w:tc>
          <w:tcPr>
            <w:tcW w:w="986" w:type="dxa"/>
            <w:tcBorders>
              <w:top w:val="nil"/>
              <w:left w:val="nil"/>
              <w:bottom w:val="nil"/>
              <w:right w:val="nil"/>
            </w:tcBorders>
            <w:shd w:val="clear" w:color="auto" w:fill="auto"/>
            <w:noWrap/>
            <w:vAlign w:val="bottom"/>
            <w:hideMark/>
          </w:tcPr>
          <w:p w14:paraId="165376FF" w14:textId="77777777" w:rsidR="007D53EA" w:rsidRPr="007D53EA" w:rsidRDefault="007D53EA" w:rsidP="007D53EA">
            <w:pPr>
              <w:spacing w:after="0" w:line="240" w:lineRule="auto"/>
              <w:ind w:left="0" w:right="0" w:firstLine="0"/>
              <w:jc w:val="left"/>
              <w:rPr>
                <w:rFonts w:ascii="Calibri" w:eastAsia="Times New Roman" w:hAnsi="Calibri" w:cs="Calibri"/>
                <w:b/>
                <w:bCs/>
                <w:color w:val="auto"/>
              </w:rPr>
            </w:pPr>
          </w:p>
        </w:tc>
        <w:tc>
          <w:tcPr>
            <w:tcW w:w="1088" w:type="dxa"/>
            <w:tcBorders>
              <w:top w:val="nil"/>
              <w:left w:val="nil"/>
              <w:bottom w:val="nil"/>
              <w:right w:val="nil"/>
            </w:tcBorders>
            <w:shd w:val="clear" w:color="auto" w:fill="auto"/>
            <w:noWrap/>
            <w:vAlign w:val="bottom"/>
            <w:hideMark/>
          </w:tcPr>
          <w:p w14:paraId="1B08D6F3"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3D2AF89A"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348FFAFF"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1088" w:type="dxa"/>
            <w:tcBorders>
              <w:top w:val="nil"/>
              <w:left w:val="nil"/>
              <w:bottom w:val="nil"/>
              <w:right w:val="nil"/>
            </w:tcBorders>
            <w:shd w:val="clear" w:color="auto" w:fill="auto"/>
            <w:noWrap/>
            <w:vAlign w:val="bottom"/>
            <w:hideMark/>
          </w:tcPr>
          <w:p w14:paraId="129CD451"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2589EC70"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r>
      <w:tr w:rsidR="007D53EA" w:rsidRPr="007D53EA" w14:paraId="0F5B043A" w14:textId="77777777" w:rsidTr="007D53EA">
        <w:trPr>
          <w:trHeight w:val="345"/>
        </w:trPr>
        <w:tc>
          <w:tcPr>
            <w:tcW w:w="168" w:type="dxa"/>
            <w:tcBorders>
              <w:top w:val="nil"/>
              <w:left w:val="nil"/>
              <w:bottom w:val="nil"/>
              <w:right w:val="nil"/>
            </w:tcBorders>
            <w:shd w:val="clear" w:color="auto" w:fill="auto"/>
            <w:noWrap/>
            <w:vAlign w:val="bottom"/>
            <w:hideMark/>
          </w:tcPr>
          <w:p w14:paraId="3763C1A9"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2452" w:type="dxa"/>
            <w:tcBorders>
              <w:top w:val="nil"/>
              <w:left w:val="nil"/>
              <w:bottom w:val="nil"/>
              <w:right w:val="single" w:sz="4" w:space="0" w:color="auto"/>
            </w:tcBorders>
            <w:shd w:val="clear" w:color="auto" w:fill="auto"/>
            <w:noWrap/>
            <w:vAlign w:val="bottom"/>
            <w:hideMark/>
          </w:tcPr>
          <w:p w14:paraId="09094990" w14:textId="77777777" w:rsidR="007D53EA" w:rsidRPr="007D53EA" w:rsidRDefault="007D53EA" w:rsidP="007D53EA">
            <w:pPr>
              <w:spacing w:after="0" w:line="240" w:lineRule="auto"/>
              <w:ind w:left="0" w:right="0" w:firstLine="0"/>
              <w:jc w:val="left"/>
              <w:rPr>
                <w:rFonts w:ascii="Calibri" w:eastAsia="Times New Roman" w:hAnsi="Calibri" w:cs="Calibri"/>
                <w:color w:val="auto"/>
              </w:rPr>
            </w:pPr>
            <w:r w:rsidRPr="007D53EA">
              <w:rPr>
                <w:rFonts w:ascii="Calibri" w:eastAsia="Times New Roman" w:hAnsi="Calibri" w:cs="Calibri"/>
                <w:color w:val="auto"/>
              </w:rPr>
              <w:t>Broj korisnika</w:t>
            </w:r>
          </w:p>
        </w:tc>
        <w:tc>
          <w:tcPr>
            <w:tcW w:w="986" w:type="dxa"/>
            <w:tcBorders>
              <w:top w:val="nil"/>
              <w:left w:val="nil"/>
              <w:bottom w:val="nil"/>
              <w:right w:val="nil"/>
            </w:tcBorders>
            <w:shd w:val="clear" w:color="auto" w:fill="auto"/>
            <w:noWrap/>
            <w:vAlign w:val="bottom"/>
            <w:hideMark/>
          </w:tcPr>
          <w:p w14:paraId="4457D2A2"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185.863</w:t>
            </w:r>
          </w:p>
        </w:tc>
        <w:tc>
          <w:tcPr>
            <w:tcW w:w="1088" w:type="dxa"/>
            <w:tcBorders>
              <w:top w:val="nil"/>
              <w:left w:val="nil"/>
              <w:bottom w:val="nil"/>
              <w:right w:val="nil"/>
            </w:tcBorders>
            <w:shd w:val="clear" w:color="auto" w:fill="auto"/>
            <w:noWrap/>
            <w:vAlign w:val="bottom"/>
            <w:hideMark/>
          </w:tcPr>
          <w:p w14:paraId="783868F7"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70.838</w:t>
            </w:r>
          </w:p>
        </w:tc>
        <w:tc>
          <w:tcPr>
            <w:tcW w:w="986" w:type="dxa"/>
            <w:tcBorders>
              <w:top w:val="nil"/>
              <w:left w:val="nil"/>
              <w:bottom w:val="nil"/>
              <w:right w:val="nil"/>
            </w:tcBorders>
            <w:shd w:val="clear" w:color="auto" w:fill="auto"/>
            <w:noWrap/>
            <w:vAlign w:val="bottom"/>
            <w:hideMark/>
          </w:tcPr>
          <w:p w14:paraId="271FBCF3"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115.025</w:t>
            </w:r>
          </w:p>
        </w:tc>
        <w:tc>
          <w:tcPr>
            <w:tcW w:w="986" w:type="dxa"/>
            <w:tcBorders>
              <w:top w:val="nil"/>
              <w:left w:val="nil"/>
              <w:bottom w:val="nil"/>
              <w:right w:val="nil"/>
            </w:tcBorders>
            <w:shd w:val="clear" w:color="auto" w:fill="auto"/>
            <w:noWrap/>
            <w:vAlign w:val="bottom"/>
            <w:hideMark/>
          </w:tcPr>
          <w:p w14:paraId="07A07B71"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184.653</w:t>
            </w:r>
          </w:p>
        </w:tc>
        <w:tc>
          <w:tcPr>
            <w:tcW w:w="1088" w:type="dxa"/>
            <w:tcBorders>
              <w:top w:val="nil"/>
              <w:left w:val="nil"/>
              <w:bottom w:val="nil"/>
              <w:right w:val="nil"/>
            </w:tcBorders>
            <w:shd w:val="clear" w:color="auto" w:fill="auto"/>
            <w:noWrap/>
            <w:vAlign w:val="bottom"/>
            <w:hideMark/>
          </w:tcPr>
          <w:p w14:paraId="32AC4444"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70.376</w:t>
            </w:r>
          </w:p>
        </w:tc>
        <w:tc>
          <w:tcPr>
            <w:tcW w:w="986" w:type="dxa"/>
            <w:tcBorders>
              <w:top w:val="nil"/>
              <w:left w:val="nil"/>
              <w:bottom w:val="nil"/>
              <w:right w:val="nil"/>
            </w:tcBorders>
            <w:shd w:val="clear" w:color="auto" w:fill="auto"/>
            <w:noWrap/>
            <w:vAlign w:val="bottom"/>
            <w:hideMark/>
          </w:tcPr>
          <w:p w14:paraId="15C3B09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114.277</w:t>
            </w:r>
          </w:p>
        </w:tc>
      </w:tr>
      <w:tr w:rsidR="007D53EA" w:rsidRPr="007D53EA" w14:paraId="1F5007E9" w14:textId="77777777" w:rsidTr="007D53EA">
        <w:trPr>
          <w:trHeight w:val="315"/>
        </w:trPr>
        <w:tc>
          <w:tcPr>
            <w:tcW w:w="168" w:type="dxa"/>
            <w:tcBorders>
              <w:top w:val="nil"/>
              <w:left w:val="nil"/>
              <w:bottom w:val="nil"/>
              <w:right w:val="nil"/>
            </w:tcBorders>
            <w:shd w:val="clear" w:color="auto" w:fill="auto"/>
            <w:noWrap/>
            <w:vAlign w:val="bottom"/>
            <w:hideMark/>
          </w:tcPr>
          <w:p w14:paraId="31BDD759"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noWrap/>
            <w:vAlign w:val="bottom"/>
            <w:hideMark/>
          </w:tcPr>
          <w:p w14:paraId="5AFB4699" w14:textId="77777777" w:rsidR="007D53EA" w:rsidRPr="007D53EA" w:rsidRDefault="007D53EA" w:rsidP="007D53EA">
            <w:pPr>
              <w:spacing w:after="0" w:line="240" w:lineRule="auto"/>
              <w:ind w:left="0" w:right="0" w:firstLine="0"/>
              <w:jc w:val="left"/>
              <w:rPr>
                <w:rFonts w:ascii="Calibri" w:eastAsia="Times New Roman" w:hAnsi="Calibri" w:cs="Calibri"/>
                <w:color w:val="auto"/>
                <w:sz w:val="20"/>
                <w:szCs w:val="20"/>
              </w:rPr>
            </w:pPr>
            <w:r w:rsidRPr="007D53EA">
              <w:rPr>
                <w:rFonts w:ascii="Calibri" w:eastAsia="Times New Roman" w:hAnsi="Calibri" w:cs="Calibri"/>
                <w:color w:val="auto"/>
              </w:rPr>
              <w:t>Prosječan staž</w:t>
            </w:r>
          </w:p>
        </w:tc>
        <w:tc>
          <w:tcPr>
            <w:tcW w:w="986" w:type="dxa"/>
            <w:tcBorders>
              <w:top w:val="nil"/>
              <w:left w:val="nil"/>
              <w:bottom w:val="nil"/>
              <w:right w:val="nil"/>
            </w:tcBorders>
            <w:shd w:val="clear" w:color="auto" w:fill="auto"/>
            <w:noWrap/>
            <w:vAlign w:val="bottom"/>
            <w:hideMark/>
          </w:tcPr>
          <w:p w14:paraId="74D0508B"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33</w:t>
            </w:r>
          </w:p>
        </w:tc>
        <w:tc>
          <w:tcPr>
            <w:tcW w:w="1088" w:type="dxa"/>
            <w:tcBorders>
              <w:top w:val="nil"/>
              <w:left w:val="nil"/>
              <w:bottom w:val="nil"/>
              <w:right w:val="nil"/>
            </w:tcBorders>
            <w:shd w:val="clear" w:color="auto" w:fill="auto"/>
            <w:noWrap/>
            <w:vAlign w:val="bottom"/>
            <w:hideMark/>
          </w:tcPr>
          <w:p w14:paraId="76AED316"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34</w:t>
            </w:r>
          </w:p>
        </w:tc>
        <w:tc>
          <w:tcPr>
            <w:tcW w:w="986" w:type="dxa"/>
            <w:tcBorders>
              <w:top w:val="nil"/>
              <w:left w:val="nil"/>
              <w:bottom w:val="nil"/>
              <w:right w:val="nil"/>
            </w:tcBorders>
            <w:shd w:val="clear" w:color="auto" w:fill="auto"/>
            <w:noWrap/>
            <w:vAlign w:val="bottom"/>
            <w:hideMark/>
          </w:tcPr>
          <w:p w14:paraId="2BE4F718"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32</w:t>
            </w:r>
          </w:p>
        </w:tc>
        <w:tc>
          <w:tcPr>
            <w:tcW w:w="986" w:type="dxa"/>
            <w:tcBorders>
              <w:top w:val="nil"/>
              <w:left w:val="nil"/>
              <w:bottom w:val="nil"/>
              <w:right w:val="nil"/>
            </w:tcBorders>
            <w:shd w:val="clear" w:color="auto" w:fill="auto"/>
            <w:noWrap/>
            <w:vAlign w:val="bottom"/>
            <w:hideMark/>
          </w:tcPr>
          <w:p w14:paraId="09E81031"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33</w:t>
            </w:r>
          </w:p>
        </w:tc>
        <w:tc>
          <w:tcPr>
            <w:tcW w:w="1088" w:type="dxa"/>
            <w:tcBorders>
              <w:top w:val="nil"/>
              <w:left w:val="nil"/>
              <w:bottom w:val="nil"/>
              <w:right w:val="nil"/>
            </w:tcBorders>
            <w:shd w:val="clear" w:color="auto" w:fill="auto"/>
            <w:noWrap/>
            <w:vAlign w:val="bottom"/>
            <w:hideMark/>
          </w:tcPr>
          <w:p w14:paraId="26C1CB52"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34</w:t>
            </w:r>
          </w:p>
        </w:tc>
        <w:tc>
          <w:tcPr>
            <w:tcW w:w="986" w:type="dxa"/>
            <w:tcBorders>
              <w:top w:val="nil"/>
              <w:left w:val="nil"/>
              <w:bottom w:val="nil"/>
              <w:right w:val="nil"/>
            </w:tcBorders>
            <w:shd w:val="clear" w:color="auto" w:fill="auto"/>
            <w:noWrap/>
            <w:vAlign w:val="bottom"/>
            <w:hideMark/>
          </w:tcPr>
          <w:p w14:paraId="73A1C002"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32</w:t>
            </w:r>
          </w:p>
        </w:tc>
      </w:tr>
      <w:tr w:rsidR="007D53EA" w:rsidRPr="007D53EA" w14:paraId="2B1C8B50" w14:textId="77777777" w:rsidTr="007D53EA">
        <w:trPr>
          <w:trHeight w:val="645"/>
        </w:trPr>
        <w:tc>
          <w:tcPr>
            <w:tcW w:w="168" w:type="dxa"/>
            <w:tcBorders>
              <w:top w:val="nil"/>
              <w:left w:val="nil"/>
              <w:bottom w:val="nil"/>
              <w:right w:val="nil"/>
            </w:tcBorders>
            <w:shd w:val="clear" w:color="auto" w:fill="auto"/>
            <w:noWrap/>
            <w:vAlign w:val="bottom"/>
            <w:hideMark/>
          </w:tcPr>
          <w:p w14:paraId="5C4C40C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vAlign w:val="center"/>
            <w:hideMark/>
          </w:tcPr>
          <w:p w14:paraId="745EB310" w14:textId="77777777" w:rsidR="007D53EA" w:rsidRPr="007D53EA" w:rsidRDefault="007D53EA" w:rsidP="007D53EA">
            <w:pPr>
              <w:spacing w:after="0" w:line="240" w:lineRule="auto"/>
              <w:ind w:left="0" w:right="0" w:firstLine="0"/>
              <w:jc w:val="left"/>
              <w:rPr>
                <w:rFonts w:ascii="Calibri" w:eastAsia="Times New Roman" w:hAnsi="Calibri" w:cs="Calibri"/>
                <w:color w:val="auto"/>
              </w:rPr>
            </w:pPr>
            <w:r w:rsidRPr="007D53EA">
              <w:rPr>
                <w:rFonts w:ascii="Calibri" w:eastAsia="Times New Roman" w:hAnsi="Calibri" w:cs="Calibri"/>
                <w:color w:val="auto"/>
              </w:rPr>
              <w:t>Prosječna mjesečna mirovina u kunama</w:t>
            </w:r>
            <w:r w:rsidRPr="007D53EA">
              <w:rPr>
                <w:rFonts w:ascii="Calibri" w:eastAsia="Times New Roman" w:hAnsi="Calibri" w:cs="Calibri"/>
                <w:color w:val="auto"/>
                <w:vertAlign w:val="superscript"/>
              </w:rPr>
              <w:t>1)</w:t>
            </w:r>
          </w:p>
        </w:tc>
        <w:tc>
          <w:tcPr>
            <w:tcW w:w="986" w:type="dxa"/>
            <w:tcBorders>
              <w:top w:val="nil"/>
              <w:left w:val="nil"/>
              <w:bottom w:val="nil"/>
              <w:right w:val="nil"/>
            </w:tcBorders>
            <w:shd w:val="clear" w:color="auto" w:fill="auto"/>
            <w:noWrap/>
            <w:vAlign w:val="center"/>
            <w:hideMark/>
          </w:tcPr>
          <w:p w14:paraId="70086EA9"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3.363</w:t>
            </w:r>
          </w:p>
        </w:tc>
        <w:tc>
          <w:tcPr>
            <w:tcW w:w="1088" w:type="dxa"/>
            <w:tcBorders>
              <w:top w:val="nil"/>
              <w:left w:val="nil"/>
              <w:bottom w:val="nil"/>
              <w:right w:val="nil"/>
            </w:tcBorders>
            <w:shd w:val="clear" w:color="auto" w:fill="auto"/>
            <w:noWrap/>
            <w:vAlign w:val="center"/>
            <w:hideMark/>
          </w:tcPr>
          <w:p w14:paraId="0E8A415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3.707</w:t>
            </w:r>
          </w:p>
        </w:tc>
        <w:tc>
          <w:tcPr>
            <w:tcW w:w="986" w:type="dxa"/>
            <w:tcBorders>
              <w:top w:val="nil"/>
              <w:left w:val="nil"/>
              <w:bottom w:val="nil"/>
              <w:right w:val="nil"/>
            </w:tcBorders>
            <w:shd w:val="clear" w:color="auto" w:fill="auto"/>
            <w:noWrap/>
            <w:vAlign w:val="center"/>
            <w:hideMark/>
          </w:tcPr>
          <w:p w14:paraId="68FA128D"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3.151</w:t>
            </w:r>
          </w:p>
        </w:tc>
        <w:tc>
          <w:tcPr>
            <w:tcW w:w="986" w:type="dxa"/>
            <w:tcBorders>
              <w:top w:val="nil"/>
              <w:left w:val="nil"/>
              <w:bottom w:val="nil"/>
              <w:right w:val="nil"/>
            </w:tcBorders>
            <w:shd w:val="clear" w:color="auto" w:fill="auto"/>
            <w:noWrap/>
            <w:vAlign w:val="center"/>
            <w:hideMark/>
          </w:tcPr>
          <w:p w14:paraId="5CA6AAE6"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3.450</w:t>
            </w:r>
          </w:p>
        </w:tc>
        <w:tc>
          <w:tcPr>
            <w:tcW w:w="1088" w:type="dxa"/>
            <w:tcBorders>
              <w:top w:val="nil"/>
              <w:left w:val="nil"/>
              <w:bottom w:val="nil"/>
              <w:right w:val="nil"/>
            </w:tcBorders>
            <w:shd w:val="clear" w:color="auto" w:fill="auto"/>
            <w:noWrap/>
            <w:vAlign w:val="center"/>
            <w:hideMark/>
          </w:tcPr>
          <w:p w14:paraId="00F7272E"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3.794</w:t>
            </w:r>
          </w:p>
        </w:tc>
        <w:tc>
          <w:tcPr>
            <w:tcW w:w="986" w:type="dxa"/>
            <w:tcBorders>
              <w:top w:val="nil"/>
              <w:left w:val="nil"/>
              <w:bottom w:val="nil"/>
              <w:right w:val="nil"/>
            </w:tcBorders>
            <w:shd w:val="clear" w:color="auto" w:fill="auto"/>
            <w:noWrap/>
            <w:vAlign w:val="center"/>
            <w:hideMark/>
          </w:tcPr>
          <w:p w14:paraId="24A6B939"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3.239</w:t>
            </w:r>
          </w:p>
        </w:tc>
      </w:tr>
      <w:tr w:rsidR="007D53EA" w:rsidRPr="007D53EA" w14:paraId="28A63AB9" w14:textId="77777777" w:rsidTr="007D53EA">
        <w:trPr>
          <w:trHeight w:val="360"/>
        </w:trPr>
        <w:tc>
          <w:tcPr>
            <w:tcW w:w="2620" w:type="dxa"/>
            <w:gridSpan w:val="2"/>
            <w:tcBorders>
              <w:top w:val="nil"/>
              <w:left w:val="nil"/>
              <w:bottom w:val="nil"/>
              <w:right w:val="nil"/>
            </w:tcBorders>
            <w:shd w:val="clear" w:color="auto" w:fill="auto"/>
            <w:noWrap/>
            <w:vAlign w:val="bottom"/>
            <w:hideMark/>
          </w:tcPr>
          <w:p w14:paraId="0119459C" w14:textId="77777777" w:rsidR="007D53EA" w:rsidRPr="007D53EA" w:rsidRDefault="007D53EA" w:rsidP="007D53EA">
            <w:pPr>
              <w:spacing w:after="0" w:line="240" w:lineRule="auto"/>
              <w:ind w:left="0" w:right="0" w:firstLine="0"/>
              <w:jc w:val="left"/>
              <w:rPr>
                <w:rFonts w:ascii="Calibri" w:eastAsia="Times New Roman" w:hAnsi="Calibri" w:cs="Calibri"/>
                <w:b/>
                <w:bCs/>
                <w:color w:val="auto"/>
              </w:rPr>
            </w:pPr>
            <w:r w:rsidRPr="007D53EA">
              <w:rPr>
                <w:rFonts w:ascii="Calibri" w:eastAsia="Times New Roman" w:hAnsi="Calibri" w:cs="Calibri"/>
                <w:b/>
                <w:bCs/>
                <w:color w:val="auto"/>
              </w:rPr>
              <w:t>Starosna</w:t>
            </w:r>
          </w:p>
        </w:tc>
        <w:tc>
          <w:tcPr>
            <w:tcW w:w="986" w:type="dxa"/>
            <w:tcBorders>
              <w:top w:val="nil"/>
              <w:left w:val="nil"/>
              <w:bottom w:val="nil"/>
              <w:right w:val="nil"/>
            </w:tcBorders>
            <w:shd w:val="clear" w:color="auto" w:fill="auto"/>
            <w:noWrap/>
            <w:vAlign w:val="bottom"/>
            <w:hideMark/>
          </w:tcPr>
          <w:p w14:paraId="41901CB8" w14:textId="77777777" w:rsidR="007D53EA" w:rsidRPr="007D53EA" w:rsidRDefault="007D53EA" w:rsidP="007D53EA">
            <w:pPr>
              <w:spacing w:after="0" w:line="240" w:lineRule="auto"/>
              <w:ind w:left="0" w:right="0" w:firstLine="0"/>
              <w:jc w:val="left"/>
              <w:rPr>
                <w:rFonts w:ascii="Calibri" w:eastAsia="Times New Roman" w:hAnsi="Calibri" w:cs="Calibri"/>
                <w:b/>
                <w:bCs/>
                <w:color w:val="auto"/>
              </w:rPr>
            </w:pPr>
          </w:p>
        </w:tc>
        <w:tc>
          <w:tcPr>
            <w:tcW w:w="1088" w:type="dxa"/>
            <w:tcBorders>
              <w:top w:val="nil"/>
              <w:left w:val="nil"/>
              <w:bottom w:val="nil"/>
              <w:right w:val="nil"/>
            </w:tcBorders>
            <w:shd w:val="clear" w:color="auto" w:fill="auto"/>
            <w:noWrap/>
            <w:vAlign w:val="bottom"/>
            <w:hideMark/>
          </w:tcPr>
          <w:p w14:paraId="50AA9307"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3AD74883"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7005A2AD"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1088" w:type="dxa"/>
            <w:tcBorders>
              <w:top w:val="nil"/>
              <w:left w:val="nil"/>
              <w:bottom w:val="nil"/>
              <w:right w:val="nil"/>
            </w:tcBorders>
            <w:shd w:val="clear" w:color="auto" w:fill="auto"/>
            <w:noWrap/>
            <w:vAlign w:val="bottom"/>
            <w:hideMark/>
          </w:tcPr>
          <w:p w14:paraId="233EC5EE"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3A3BF156"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r>
      <w:tr w:rsidR="007D53EA" w:rsidRPr="007D53EA" w14:paraId="0532EA36" w14:textId="77777777" w:rsidTr="007D53EA">
        <w:trPr>
          <w:trHeight w:val="345"/>
        </w:trPr>
        <w:tc>
          <w:tcPr>
            <w:tcW w:w="168" w:type="dxa"/>
            <w:tcBorders>
              <w:top w:val="nil"/>
              <w:left w:val="nil"/>
              <w:bottom w:val="nil"/>
              <w:right w:val="nil"/>
            </w:tcBorders>
            <w:shd w:val="clear" w:color="auto" w:fill="auto"/>
            <w:noWrap/>
            <w:vAlign w:val="bottom"/>
            <w:hideMark/>
          </w:tcPr>
          <w:p w14:paraId="0C2793D1"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2452" w:type="dxa"/>
            <w:tcBorders>
              <w:top w:val="nil"/>
              <w:left w:val="nil"/>
              <w:bottom w:val="nil"/>
              <w:right w:val="single" w:sz="4" w:space="0" w:color="auto"/>
            </w:tcBorders>
            <w:shd w:val="clear" w:color="auto" w:fill="auto"/>
            <w:noWrap/>
            <w:vAlign w:val="bottom"/>
            <w:hideMark/>
          </w:tcPr>
          <w:p w14:paraId="655E6CC6" w14:textId="77777777" w:rsidR="007D53EA" w:rsidRPr="007D53EA" w:rsidRDefault="007D53EA" w:rsidP="007D53EA">
            <w:pPr>
              <w:spacing w:after="0" w:line="240" w:lineRule="auto"/>
              <w:ind w:left="0" w:right="0" w:firstLine="0"/>
              <w:jc w:val="left"/>
              <w:rPr>
                <w:rFonts w:ascii="Calibri" w:eastAsia="Times New Roman" w:hAnsi="Calibri" w:cs="Calibri"/>
                <w:color w:val="auto"/>
              </w:rPr>
            </w:pPr>
            <w:r w:rsidRPr="007D53EA">
              <w:rPr>
                <w:rFonts w:ascii="Calibri" w:eastAsia="Times New Roman" w:hAnsi="Calibri" w:cs="Calibri"/>
                <w:color w:val="auto"/>
              </w:rPr>
              <w:t>Broj korisnika</w:t>
            </w:r>
          </w:p>
        </w:tc>
        <w:tc>
          <w:tcPr>
            <w:tcW w:w="986" w:type="dxa"/>
            <w:tcBorders>
              <w:top w:val="nil"/>
              <w:left w:val="nil"/>
              <w:bottom w:val="nil"/>
              <w:right w:val="nil"/>
            </w:tcBorders>
            <w:shd w:val="clear" w:color="auto" w:fill="auto"/>
            <w:noWrap/>
            <w:vAlign w:val="bottom"/>
            <w:hideMark/>
          </w:tcPr>
          <w:p w14:paraId="727FDC71"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144.762</w:t>
            </w:r>
          </w:p>
        </w:tc>
        <w:tc>
          <w:tcPr>
            <w:tcW w:w="1088" w:type="dxa"/>
            <w:tcBorders>
              <w:top w:val="nil"/>
              <w:left w:val="nil"/>
              <w:bottom w:val="nil"/>
              <w:right w:val="nil"/>
            </w:tcBorders>
            <w:shd w:val="clear" w:color="auto" w:fill="auto"/>
            <w:noWrap/>
            <w:vAlign w:val="bottom"/>
            <w:hideMark/>
          </w:tcPr>
          <w:p w14:paraId="2E38C633"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59.358</w:t>
            </w:r>
          </w:p>
        </w:tc>
        <w:tc>
          <w:tcPr>
            <w:tcW w:w="986" w:type="dxa"/>
            <w:tcBorders>
              <w:top w:val="nil"/>
              <w:left w:val="nil"/>
              <w:bottom w:val="nil"/>
              <w:right w:val="nil"/>
            </w:tcBorders>
            <w:shd w:val="clear" w:color="auto" w:fill="auto"/>
            <w:noWrap/>
            <w:vAlign w:val="bottom"/>
            <w:hideMark/>
          </w:tcPr>
          <w:p w14:paraId="531862C6"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85.404</w:t>
            </w:r>
          </w:p>
        </w:tc>
        <w:tc>
          <w:tcPr>
            <w:tcW w:w="986" w:type="dxa"/>
            <w:tcBorders>
              <w:top w:val="nil"/>
              <w:left w:val="nil"/>
              <w:bottom w:val="nil"/>
              <w:right w:val="nil"/>
            </w:tcBorders>
            <w:shd w:val="clear" w:color="auto" w:fill="auto"/>
            <w:noWrap/>
            <w:vAlign w:val="bottom"/>
            <w:hideMark/>
          </w:tcPr>
          <w:p w14:paraId="6992345F"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145.010</w:t>
            </w:r>
          </w:p>
        </w:tc>
        <w:tc>
          <w:tcPr>
            <w:tcW w:w="1088" w:type="dxa"/>
            <w:tcBorders>
              <w:top w:val="nil"/>
              <w:left w:val="nil"/>
              <w:bottom w:val="nil"/>
              <w:right w:val="nil"/>
            </w:tcBorders>
            <w:shd w:val="clear" w:color="auto" w:fill="auto"/>
            <w:noWrap/>
            <w:vAlign w:val="bottom"/>
            <w:hideMark/>
          </w:tcPr>
          <w:p w14:paraId="28F016AD"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59.350</w:t>
            </w:r>
          </w:p>
        </w:tc>
        <w:tc>
          <w:tcPr>
            <w:tcW w:w="986" w:type="dxa"/>
            <w:tcBorders>
              <w:top w:val="nil"/>
              <w:left w:val="nil"/>
              <w:bottom w:val="nil"/>
              <w:right w:val="nil"/>
            </w:tcBorders>
            <w:shd w:val="clear" w:color="auto" w:fill="auto"/>
            <w:noWrap/>
            <w:vAlign w:val="bottom"/>
            <w:hideMark/>
          </w:tcPr>
          <w:p w14:paraId="1DA2AF7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85.660</w:t>
            </w:r>
          </w:p>
        </w:tc>
      </w:tr>
      <w:tr w:rsidR="007D53EA" w:rsidRPr="007D53EA" w14:paraId="47D5A249" w14:textId="77777777" w:rsidTr="007D53EA">
        <w:trPr>
          <w:trHeight w:val="315"/>
        </w:trPr>
        <w:tc>
          <w:tcPr>
            <w:tcW w:w="168" w:type="dxa"/>
            <w:tcBorders>
              <w:top w:val="nil"/>
              <w:left w:val="nil"/>
              <w:bottom w:val="nil"/>
              <w:right w:val="nil"/>
            </w:tcBorders>
            <w:shd w:val="clear" w:color="auto" w:fill="auto"/>
            <w:noWrap/>
            <w:vAlign w:val="bottom"/>
            <w:hideMark/>
          </w:tcPr>
          <w:p w14:paraId="0D4FDC02"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noWrap/>
            <w:vAlign w:val="bottom"/>
            <w:hideMark/>
          </w:tcPr>
          <w:p w14:paraId="4BB7E9A8" w14:textId="77777777" w:rsidR="007D53EA" w:rsidRPr="007D53EA" w:rsidRDefault="007D53EA" w:rsidP="007D53EA">
            <w:pPr>
              <w:spacing w:after="0" w:line="240" w:lineRule="auto"/>
              <w:ind w:left="0" w:right="0" w:firstLine="0"/>
              <w:jc w:val="left"/>
              <w:rPr>
                <w:rFonts w:ascii="Calibri" w:eastAsia="Times New Roman" w:hAnsi="Calibri" w:cs="Calibri"/>
                <w:color w:val="auto"/>
                <w:sz w:val="20"/>
                <w:szCs w:val="20"/>
              </w:rPr>
            </w:pPr>
            <w:r w:rsidRPr="007D53EA">
              <w:rPr>
                <w:rFonts w:ascii="Calibri" w:eastAsia="Times New Roman" w:hAnsi="Calibri" w:cs="Calibri"/>
                <w:color w:val="auto"/>
              </w:rPr>
              <w:t>Prosječan staž</w:t>
            </w:r>
          </w:p>
        </w:tc>
        <w:tc>
          <w:tcPr>
            <w:tcW w:w="986" w:type="dxa"/>
            <w:tcBorders>
              <w:top w:val="nil"/>
              <w:left w:val="nil"/>
              <w:bottom w:val="nil"/>
              <w:right w:val="nil"/>
            </w:tcBorders>
            <w:shd w:val="clear" w:color="auto" w:fill="auto"/>
            <w:noWrap/>
            <w:vAlign w:val="bottom"/>
            <w:hideMark/>
          </w:tcPr>
          <w:p w14:paraId="698B9CF5"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34</w:t>
            </w:r>
          </w:p>
        </w:tc>
        <w:tc>
          <w:tcPr>
            <w:tcW w:w="1088" w:type="dxa"/>
            <w:tcBorders>
              <w:top w:val="nil"/>
              <w:left w:val="nil"/>
              <w:bottom w:val="nil"/>
              <w:right w:val="nil"/>
            </w:tcBorders>
            <w:shd w:val="clear" w:color="auto" w:fill="auto"/>
            <w:noWrap/>
            <w:vAlign w:val="bottom"/>
            <w:hideMark/>
          </w:tcPr>
          <w:p w14:paraId="2C11556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36</w:t>
            </w:r>
          </w:p>
        </w:tc>
        <w:tc>
          <w:tcPr>
            <w:tcW w:w="986" w:type="dxa"/>
            <w:tcBorders>
              <w:top w:val="nil"/>
              <w:left w:val="nil"/>
              <w:bottom w:val="nil"/>
              <w:right w:val="nil"/>
            </w:tcBorders>
            <w:shd w:val="clear" w:color="auto" w:fill="auto"/>
            <w:noWrap/>
            <w:vAlign w:val="bottom"/>
            <w:hideMark/>
          </w:tcPr>
          <w:p w14:paraId="3006D1B9"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33</w:t>
            </w:r>
          </w:p>
        </w:tc>
        <w:tc>
          <w:tcPr>
            <w:tcW w:w="986" w:type="dxa"/>
            <w:tcBorders>
              <w:top w:val="nil"/>
              <w:left w:val="nil"/>
              <w:bottom w:val="nil"/>
              <w:right w:val="nil"/>
            </w:tcBorders>
            <w:shd w:val="clear" w:color="auto" w:fill="auto"/>
            <w:noWrap/>
            <w:vAlign w:val="bottom"/>
            <w:hideMark/>
          </w:tcPr>
          <w:p w14:paraId="10A8769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34</w:t>
            </w:r>
          </w:p>
        </w:tc>
        <w:tc>
          <w:tcPr>
            <w:tcW w:w="1088" w:type="dxa"/>
            <w:tcBorders>
              <w:top w:val="nil"/>
              <w:left w:val="nil"/>
              <w:bottom w:val="nil"/>
              <w:right w:val="nil"/>
            </w:tcBorders>
            <w:shd w:val="clear" w:color="auto" w:fill="auto"/>
            <w:noWrap/>
            <w:vAlign w:val="bottom"/>
            <w:hideMark/>
          </w:tcPr>
          <w:p w14:paraId="29DAEE54"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36</w:t>
            </w:r>
          </w:p>
        </w:tc>
        <w:tc>
          <w:tcPr>
            <w:tcW w:w="986" w:type="dxa"/>
            <w:tcBorders>
              <w:top w:val="nil"/>
              <w:left w:val="nil"/>
              <w:bottom w:val="nil"/>
              <w:right w:val="nil"/>
            </w:tcBorders>
            <w:shd w:val="clear" w:color="auto" w:fill="auto"/>
            <w:noWrap/>
            <w:vAlign w:val="bottom"/>
            <w:hideMark/>
          </w:tcPr>
          <w:p w14:paraId="4EF5D412"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33</w:t>
            </w:r>
          </w:p>
        </w:tc>
      </w:tr>
      <w:tr w:rsidR="007D53EA" w:rsidRPr="007D53EA" w14:paraId="67A494A4" w14:textId="77777777" w:rsidTr="007D53EA">
        <w:trPr>
          <w:trHeight w:val="645"/>
        </w:trPr>
        <w:tc>
          <w:tcPr>
            <w:tcW w:w="168" w:type="dxa"/>
            <w:tcBorders>
              <w:top w:val="nil"/>
              <w:left w:val="nil"/>
              <w:bottom w:val="nil"/>
              <w:right w:val="nil"/>
            </w:tcBorders>
            <w:shd w:val="clear" w:color="auto" w:fill="auto"/>
            <w:noWrap/>
            <w:vAlign w:val="bottom"/>
            <w:hideMark/>
          </w:tcPr>
          <w:p w14:paraId="69BFAC00"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vAlign w:val="center"/>
            <w:hideMark/>
          </w:tcPr>
          <w:p w14:paraId="793661E6" w14:textId="77777777" w:rsidR="007D53EA" w:rsidRPr="007D53EA" w:rsidRDefault="007D53EA" w:rsidP="007D53EA">
            <w:pPr>
              <w:spacing w:after="0" w:line="240" w:lineRule="auto"/>
              <w:ind w:left="0" w:right="0" w:firstLine="0"/>
              <w:jc w:val="left"/>
              <w:rPr>
                <w:rFonts w:ascii="Calibri" w:eastAsia="Times New Roman" w:hAnsi="Calibri" w:cs="Calibri"/>
                <w:color w:val="auto"/>
              </w:rPr>
            </w:pPr>
            <w:r w:rsidRPr="007D53EA">
              <w:rPr>
                <w:rFonts w:ascii="Calibri" w:eastAsia="Times New Roman" w:hAnsi="Calibri" w:cs="Calibri"/>
                <w:color w:val="auto"/>
              </w:rPr>
              <w:t>Prosječna mjesečna mirovina u kunama</w:t>
            </w:r>
            <w:r w:rsidRPr="007D53EA">
              <w:rPr>
                <w:rFonts w:ascii="Calibri" w:eastAsia="Times New Roman" w:hAnsi="Calibri" w:cs="Calibri"/>
                <w:color w:val="auto"/>
                <w:vertAlign w:val="superscript"/>
              </w:rPr>
              <w:t>1)</w:t>
            </w:r>
          </w:p>
        </w:tc>
        <w:tc>
          <w:tcPr>
            <w:tcW w:w="986" w:type="dxa"/>
            <w:tcBorders>
              <w:top w:val="nil"/>
              <w:left w:val="nil"/>
              <w:bottom w:val="nil"/>
              <w:right w:val="nil"/>
            </w:tcBorders>
            <w:shd w:val="clear" w:color="auto" w:fill="auto"/>
            <w:noWrap/>
            <w:vAlign w:val="center"/>
            <w:hideMark/>
          </w:tcPr>
          <w:p w14:paraId="3656B5F5"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3.563</w:t>
            </w:r>
          </w:p>
        </w:tc>
        <w:tc>
          <w:tcPr>
            <w:tcW w:w="1088" w:type="dxa"/>
            <w:tcBorders>
              <w:top w:val="nil"/>
              <w:left w:val="nil"/>
              <w:bottom w:val="nil"/>
              <w:right w:val="nil"/>
            </w:tcBorders>
            <w:shd w:val="clear" w:color="auto" w:fill="auto"/>
            <w:noWrap/>
            <w:vAlign w:val="center"/>
            <w:hideMark/>
          </w:tcPr>
          <w:p w14:paraId="378F4628"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3.958</w:t>
            </w:r>
          </w:p>
        </w:tc>
        <w:tc>
          <w:tcPr>
            <w:tcW w:w="986" w:type="dxa"/>
            <w:tcBorders>
              <w:top w:val="nil"/>
              <w:left w:val="nil"/>
              <w:bottom w:val="nil"/>
              <w:right w:val="nil"/>
            </w:tcBorders>
            <w:shd w:val="clear" w:color="auto" w:fill="auto"/>
            <w:noWrap/>
            <w:vAlign w:val="center"/>
            <w:hideMark/>
          </w:tcPr>
          <w:p w14:paraId="0E833152"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3.289</w:t>
            </w:r>
          </w:p>
        </w:tc>
        <w:tc>
          <w:tcPr>
            <w:tcW w:w="986" w:type="dxa"/>
            <w:tcBorders>
              <w:top w:val="nil"/>
              <w:left w:val="nil"/>
              <w:bottom w:val="nil"/>
              <w:right w:val="nil"/>
            </w:tcBorders>
            <w:shd w:val="clear" w:color="auto" w:fill="auto"/>
            <w:noWrap/>
            <w:vAlign w:val="center"/>
            <w:hideMark/>
          </w:tcPr>
          <w:p w14:paraId="5A07C086"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3.651</w:t>
            </w:r>
          </w:p>
        </w:tc>
        <w:tc>
          <w:tcPr>
            <w:tcW w:w="1088" w:type="dxa"/>
            <w:tcBorders>
              <w:top w:val="nil"/>
              <w:left w:val="nil"/>
              <w:bottom w:val="nil"/>
              <w:right w:val="nil"/>
            </w:tcBorders>
            <w:shd w:val="clear" w:color="auto" w:fill="auto"/>
            <w:noWrap/>
            <w:vAlign w:val="center"/>
            <w:hideMark/>
          </w:tcPr>
          <w:p w14:paraId="7671B52F"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4.044</w:t>
            </w:r>
          </w:p>
        </w:tc>
        <w:tc>
          <w:tcPr>
            <w:tcW w:w="986" w:type="dxa"/>
            <w:tcBorders>
              <w:top w:val="nil"/>
              <w:left w:val="nil"/>
              <w:bottom w:val="nil"/>
              <w:right w:val="nil"/>
            </w:tcBorders>
            <w:shd w:val="clear" w:color="auto" w:fill="auto"/>
            <w:noWrap/>
            <w:vAlign w:val="center"/>
            <w:hideMark/>
          </w:tcPr>
          <w:p w14:paraId="0340CA7B"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3.379</w:t>
            </w:r>
          </w:p>
        </w:tc>
      </w:tr>
      <w:tr w:rsidR="007D53EA" w:rsidRPr="007D53EA" w14:paraId="5EFD6526" w14:textId="77777777" w:rsidTr="007D53EA">
        <w:trPr>
          <w:trHeight w:val="360"/>
        </w:trPr>
        <w:tc>
          <w:tcPr>
            <w:tcW w:w="2620" w:type="dxa"/>
            <w:gridSpan w:val="2"/>
            <w:tcBorders>
              <w:top w:val="nil"/>
              <w:left w:val="nil"/>
              <w:bottom w:val="nil"/>
              <w:right w:val="nil"/>
            </w:tcBorders>
            <w:shd w:val="clear" w:color="auto" w:fill="auto"/>
            <w:noWrap/>
            <w:vAlign w:val="bottom"/>
            <w:hideMark/>
          </w:tcPr>
          <w:p w14:paraId="2FE74E1E" w14:textId="77777777" w:rsidR="007D53EA" w:rsidRPr="007D53EA" w:rsidRDefault="007D53EA" w:rsidP="007D53EA">
            <w:pPr>
              <w:spacing w:after="0" w:line="240" w:lineRule="auto"/>
              <w:ind w:left="0" w:right="0" w:firstLine="0"/>
              <w:jc w:val="left"/>
              <w:rPr>
                <w:rFonts w:ascii="Calibri" w:eastAsia="Times New Roman" w:hAnsi="Calibri" w:cs="Calibri"/>
                <w:b/>
                <w:bCs/>
                <w:color w:val="auto"/>
              </w:rPr>
            </w:pPr>
            <w:r w:rsidRPr="007D53EA">
              <w:rPr>
                <w:rFonts w:ascii="Calibri" w:eastAsia="Times New Roman" w:hAnsi="Calibri" w:cs="Calibri"/>
                <w:b/>
                <w:bCs/>
                <w:color w:val="auto"/>
              </w:rPr>
              <w:t>Invalidska</w:t>
            </w:r>
          </w:p>
        </w:tc>
        <w:tc>
          <w:tcPr>
            <w:tcW w:w="986" w:type="dxa"/>
            <w:tcBorders>
              <w:top w:val="nil"/>
              <w:left w:val="nil"/>
              <w:bottom w:val="nil"/>
              <w:right w:val="nil"/>
            </w:tcBorders>
            <w:shd w:val="clear" w:color="auto" w:fill="auto"/>
            <w:noWrap/>
            <w:vAlign w:val="bottom"/>
            <w:hideMark/>
          </w:tcPr>
          <w:p w14:paraId="57ACAD03" w14:textId="77777777" w:rsidR="007D53EA" w:rsidRPr="007D53EA" w:rsidRDefault="007D53EA" w:rsidP="007D53EA">
            <w:pPr>
              <w:spacing w:after="0" w:line="240" w:lineRule="auto"/>
              <w:ind w:left="0" w:right="0" w:firstLine="0"/>
              <w:jc w:val="left"/>
              <w:rPr>
                <w:rFonts w:ascii="Calibri" w:eastAsia="Times New Roman" w:hAnsi="Calibri" w:cs="Calibri"/>
                <w:b/>
                <w:bCs/>
                <w:color w:val="auto"/>
              </w:rPr>
            </w:pPr>
          </w:p>
        </w:tc>
        <w:tc>
          <w:tcPr>
            <w:tcW w:w="1088" w:type="dxa"/>
            <w:tcBorders>
              <w:top w:val="nil"/>
              <w:left w:val="nil"/>
              <w:bottom w:val="nil"/>
              <w:right w:val="nil"/>
            </w:tcBorders>
            <w:shd w:val="clear" w:color="auto" w:fill="auto"/>
            <w:noWrap/>
            <w:vAlign w:val="bottom"/>
            <w:hideMark/>
          </w:tcPr>
          <w:p w14:paraId="16763D4F"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511AC4C8"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0AFC18A2"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1088" w:type="dxa"/>
            <w:tcBorders>
              <w:top w:val="nil"/>
              <w:left w:val="nil"/>
              <w:bottom w:val="nil"/>
              <w:right w:val="nil"/>
            </w:tcBorders>
            <w:shd w:val="clear" w:color="auto" w:fill="auto"/>
            <w:noWrap/>
            <w:vAlign w:val="bottom"/>
            <w:hideMark/>
          </w:tcPr>
          <w:p w14:paraId="0449A884"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18D28322"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r>
      <w:tr w:rsidR="007D53EA" w:rsidRPr="007D53EA" w14:paraId="7980FEAB" w14:textId="77777777" w:rsidTr="007D53EA">
        <w:trPr>
          <w:trHeight w:val="345"/>
        </w:trPr>
        <w:tc>
          <w:tcPr>
            <w:tcW w:w="168" w:type="dxa"/>
            <w:tcBorders>
              <w:top w:val="nil"/>
              <w:left w:val="nil"/>
              <w:bottom w:val="nil"/>
              <w:right w:val="nil"/>
            </w:tcBorders>
            <w:shd w:val="clear" w:color="auto" w:fill="auto"/>
            <w:noWrap/>
            <w:vAlign w:val="bottom"/>
            <w:hideMark/>
          </w:tcPr>
          <w:p w14:paraId="3A1E4CAE"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2452" w:type="dxa"/>
            <w:tcBorders>
              <w:top w:val="nil"/>
              <w:left w:val="nil"/>
              <w:bottom w:val="nil"/>
              <w:right w:val="single" w:sz="4" w:space="0" w:color="auto"/>
            </w:tcBorders>
            <w:shd w:val="clear" w:color="auto" w:fill="auto"/>
            <w:noWrap/>
            <w:vAlign w:val="bottom"/>
            <w:hideMark/>
          </w:tcPr>
          <w:p w14:paraId="37707BF0" w14:textId="77777777" w:rsidR="007D53EA" w:rsidRPr="007D53EA" w:rsidRDefault="007D53EA" w:rsidP="007D53EA">
            <w:pPr>
              <w:spacing w:after="0" w:line="240" w:lineRule="auto"/>
              <w:ind w:left="0" w:right="0" w:firstLine="0"/>
              <w:jc w:val="left"/>
              <w:rPr>
                <w:rFonts w:ascii="Calibri" w:eastAsia="Times New Roman" w:hAnsi="Calibri" w:cs="Calibri"/>
                <w:color w:val="auto"/>
              </w:rPr>
            </w:pPr>
            <w:r w:rsidRPr="007D53EA">
              <w:rPr>
                <w:rFonts w:ascii="Calibri" w:eastAsia="Times New Roman" w:hAnsi="Calibri" w:cs="Calibri"/>
                <w:color w:val="auto"/>
              </w:rPr>
              <w:t>Broj korisnika</w:t>
            </w:r>
          </w:p>
        </w:tc>
        <w:tc>
          <w:tcPr>
            <w:tcW w:w="986" w:type="dxa"/>
            <w:tcBorders>
              <w:top w:val="nil"/>
              <w:left w:val="nil"/>
              <w:bottom w:val="nil"/>
              <w:right w:val="nil"/>
            </w:tcBorders>
            <w:shd w:val="clear" w:color="auto" w:fill="auto"/>
            <w:noWrap/>
            <w:vAlign w:val="bottom"/>
            <w:hideMark/>
          </w:tcPr>
          <w:p w14:paraId="714F8006"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16.169</w:t>
            </w:r>
          </w:p>
        </w:tc>
        <w:tc>
          <w:tcPr>
            <w:tcW w:w="1088" w:type="dxa"/>
            <w:tcBorders>
              <w:top w:val="nil"/>
              <w:left w:val="nil"/>
              <w:bottom w:val="nil"/>
              <w:right w:val="nil"/>
            </w:tcBorders>
            <w:shd w:val="clear" w:color="auto" w:fill="auto"/>
            <w:noWrap/>
            <w:vAlign w:val="bottom"/>
            <w:hideMark/>
          </w:tcPr>
          <w:p w14:paraId="11EF5E38"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8.998</w:t>
            </w:r>
          </w:p>
        </w:tc>
        <w:tc>
          <w:tcPr>
            <w:tcW w:w="986" w:type="dxa"/>
            <w:tcBorders>
              <w:top w:val="nil"/>
              <w:left w:val="nil"/>
              <w:bottom w:val="nil"/>
              <w:right w:val="nil"/>
            </w:tcBorders>
            <w:shd w:val="clear" w:color="auto" w:fill="auto"/>
            <w:noWrap/>
            <w:vAlign w:val="bottom"/>
            <w:hideMark/>
          </w:tcPr>
          <w:p w14:paraId="26FE3D86"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7.171</w:t>
            </w:r>
          </w:p>
        </w:tc>
        <w:tc>
          <w:tcPr>
            <w:tcW w:w="986" w:type="dxa"/>
            <w:tcBorders>
              <w:top w:val="nil"/>
              <w:left w:val="nil"/>
              <w:bottom w:val="nil"/>
              <w:right w:val="nil"/>
            </w:tcBorders>
            <w:shd w:val="clear" w:color="auto" w:fill="auto"/>
            <w:noWrap/>
            <w:vAlign w:val="bottom"/>
            <w:hideMark/>
          </w:tcPr>
          <w:p w14:paraId="028AF37B"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15.272</w:t>
            </w:r>
          </w:p>
        </w:tc>
        <w:tc>
          <w:tcPr>
            <w:tcW w:w="1088" w:type="dxa"/>
            <w:tcBorders>
              <w:top w:val="nil"/>
              <w:left w:val="nil"/>
              <w:bottom w:val="nil"/>
              <w:right w:val="nil"/>
            </w:tcBorders>
            <w:shd w:val="clear" w:color="auto" w:fill="auto"/>
            <w:noWrap/>
            <w:vAlign w:val="bottom"/>
            <w:hideMark/>
          </w:tcPr>
          <w:p w14:paraId="27AB7932"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8.517</w:t>
            </w:r>
          </w:p>
        </w:tc>
        <w:tc>
          <w:tcPr>
            <w:tcW w:w="986" w:type="dxa"/>
            <w:tcBorders>
              <w:top w:val="nil"/>
              <w:left w:val="nil"/>
              <w:bottom w:val="nil"/>
              <w:right w:val="nil"/>
            </w:tcBorders>
            <w:shd w:val="clear" w:color="auto" w:fill="auto"/>
            <w:noWrap/>
            <w:vAlign w:val="bottom"/>
            <w:hideMark/>
          </w:tcPr>
          <w:p w14:paraId="78553FE4"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6.755</w:t>
            </w:r>
          </w:p>
        </w:tc>
      </w:tr>
      <w:tr w:rsidR="007D53EA" w:rsidRPr="007D53EA" w14:paraId="4F95A9A4" w14:textId="77777777" w:rsidTr="007D53EA">
        <w:trPr>
          <w:trHeight w:val="315"/>
        </w:trPr>
        <w:tc>
          <w:tcPr>
            <w:tcW w:w="168" w:type="dxa"/>
            <w:tcBorders>
              <w:top w:val="nil"/>
              <w:left w:val="nil"/>
              <w:bottom w:val="nil"/>
              <w:right w:val="nil"/>
            </w:tcBorders>
            <w:shd w:val="clear" w:color="auto" w:fill="auto"/>
            <w:noWrap/>
            <w:vAlign w:val="bottom"/>
            <w:hideMark/>
          </w:tcPr>
          <w:p w14:paraId="64B6D53D"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noWrap/>
            <w:vAlign w:val="bottom"/>
            <w:hideMark/>
          </w:tcPr>
          <w:p w14:paraId="551F6D62" w14:textId="77777777" w:rsidR="007D53EA" w:rsidRPr="007D53EA" w:rsidRDefault="007D53EA" w:rsidP="007D53EA">
            <w:pPr>
              <w:spacing w:after="0" w:line="240" w:lineRule="auto"/>
              <w:ind w:left="0" w:right="0" w:firstLine="0"/>
              <w:jc w:val="left"/>
              <w:rPr>
                <w:rFonts w:ascii="Calibri" w:eastAsia="Times New Roman" w:hAnsi="Calibri" w:cs="Calibri"/>
                <w:color w:val="auto"/>
                <w:sz w:val="20"/>
                <w:szCs w:val="20"/>
              </w:rPr>
            </w:pPr>
            <w:r w:rsidRPr="007D53EA">
              <w:rPr>
                <w:rFonts w:ascii="Calibri" w:eastAsia="Times New Roman" w:hAnsi="Calibri" w:cs="Calibri"/>
                <w:color w:val="auto"/>
              </w:rPr>
              <w:t>Prosječan staž</w:t>
            </w:r>
          </w:p>
        </w:tc>
        <w:tc>
          <w:tcPr>
            <w:tcW w:w="986" w:type="dxa"/>
            <w:tcBorders>
              <w:top w:val="nil"/>
              <w:left w:val="nil"/>
              <w:bottom w:val="nil"/>
              <w:right w:val="nil"/>
            </w:tcBorders>
            <w:shd w:val="clear" w:color="auto" w:fill="auto"/>
            <w:noWrap/>
            <w:vAlign w:val="bottom"/>
            <w:hideMark/>
          </w:tcPr>
          <w:p w14:paraId="31B43BD8"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22</w:t>
            </w:r>
          </w:p>
        </w:tc>
        <w:tc>
          <w:tcPr>
            <w:tcW w:w="1088" w:type="dxa"/>
            <w:tcBorders>
              <w:top w:val="nil"/>
              <w:left w:val="nil"/>
              <w:bottom w:val="nil"/>
              <w:right w:val="nil"/>
            </w:tcBorders>
            <w:shd w:val="clear" w:color="auto" w:fill="auto"/>
            <w:noWrap/>
            <w:vAlign w:val="bottom"/>
            <w:hideMark/>
          </w:tcPr>
          <w:p w14:paraId="6A688EE1"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23</w:t>
            </w:r>
          </w:p>
        </w:tc>
        <w:tc>
          <w:tcPr>
            <w:tcW w:w="986" w:type="dxa"/>
            <w:tcBorders>
              <w:top w:val="nil"/>
              <w:left w:val="nil"/>
              <w:bottom w:val="nil"/>
              <w:right w:val="nil"/>
            </w:tcBorders>
            <w:shd w:val="clear" w:color="auto" w:fill="auto"/>
            <w:noWrap/>
            <w:vAlign w:val="bottom"/>
            <w:hideMark/>
          </w:tcPr>
          <w:p w14:paraId="483E3D88"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21</w:t>
            </w:r>
          </w:p>
        </w:tc>
        <w:tc>
          <w:tcPr>
            <w:tcW w:w="986" w:type="dxa"/>
            <w:tcBorders>
              <w:top w:val="nil"/>
              <w:left w:val="nil"/>
              <w:bottom w:val="nil"/>
              <w:right w:val="nil"/>
            </w:tcBorders>
            <w:shd w:val="clear" w:color="auto" w:fill="auto"/>
            <w:noWrap/>
            <w:vAlign w:val="bottom"/>
            <w:hideMark/>
          </w:tcPr>
          <w:p w14:paraId="16CB648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22</w:t>
            </w:r>
          </w:p>
        </w:tc>
        <w:tc>
          <w:tcPr>
            <w:tcW w:w="1088" w:type="dxa"/>
            <w:tcBorders>
              <w:top w:val="nil"/>
              <w:left w:val="nil"/>
              <w:bottom w:val="nil"/>
              <w:right w:val="nil"/>
            </w:tcBorders>
            <w:shd w:val="clear" w:color="auto" w:fill="auto"/>
            <w:noWrap/>
            <w:vAlign w:val="bottom"/>
            <w:hideMark/>
          </w:tcPr>
          <w:p w14:paraId="13DD160B"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22</w:t>
            </w:r>
          </w:p>
        </w:tc>
        <w:tc>
          <w:tcPr>
            <w:tcW w:w="986" w:type="dxa"/>
            <w:tcBorders>
              <w:top w:val="nil"/>
              <w:left w:val="nil"/>
              <w:bottom w:val="nil"/>
              <w:right w:val="nil"/>
            </w:tcBorders>
            <w:shd w:val="clear" w:color="auto" w:fill="auto"/>
            <w:noWrap/>
            <w:vAlign w:val="bottom"/>
            <w:hideMark/>
          </w:tcPr>
          <w:p w14:paraId="23A36CE7"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22</w:t>
            </w:r>
          </w:p>
        </w:tc>
      </w:tr>
      <w:tr w:rsidR="007D53EA" w:rsidRPr="007D53EA" w14:paraId="40DF7639" w14:textId="77777777" w:rsidTr="007D53EA">
        <w:trPr>
          <w:trHeight w:val="645"/>
        </w:trPr>
        <w:tc>
          <w:tcPr>
            <w:tcW w:w="168" w:type="dxa"/>
            <w:tcBorders>
              <w:top w:val="nil"/>
              <w:left w:val="nil"/>
              <w:bottom w:val="nil"/>
              <w:right w:val="nil"/>
            </w:tcBorders>
            <w:shd w:val="clear" w:color="auto" w:fill="auto"/>
            <w:noWrap/>
            <w:vAlign w:val="bottom"/>
            <w:hideMark/>
          </w:tcPr>
          <w:p w14:paraId="3B99DC9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vAlign w:val="center"/>
            <w:hideMark/>
          </w:tcPr>
          <w:p w14:paraId="18B112F5" w14:textId="77777777" w:rsidR="007D53EA" w:rsidRPr="007D53EA" w:rsidRDefault="007D53EA" w:rsidP="007D53EA">
            <w:pPr>
              <w:spacing w:after="0" w:line="240" w:lineRule="auto"/>
              <w:ind w:left="0" w:right="0" w:firstLine="0"/>
              <w:jc w:val="left"/>
              <w:rPr>
                <w:rFonts w:ascii="Calibri" w:eastAsia="Times New Roman" w:hAnsi="Calibri" w:cs="Calibri"/>
                <w:color w:val="auto"/>
              </w:rPr>
            </w:pPr>
            <w:r w:rsidRPr="007D53EA">
              <w:rPr>
                <w:rFonts w:ascii="Calibri" w:eastAsia="Times New Roman" w:hAnsi="Calibri" w:cs="Calibri"/>
                <w:color w:val="auto"/>
              </w:rPr>
              <w:t>Prosječna mjesečna mirovina u kunama</w:t>
            </w:r>
            <w:r w:rsidRPr="007D53EA">
              <w:rPr>
                <w:rFonts w:ascii="Calibri" w:eastAsia="Times New Roman" w:hAnsi="Calibri" w:cs="Calibri"/>
                <w:color w:val="auto"/>
                <w:vertAlign w:val="superscript"/>
              </w:rPr>
              <w:t>1)</w:t>
            </w:r>
          </w:p>
        </w:tc>
        <w:tc>
          <w:tcPr>
            <w:tcW w:w="986" w:type="dxa"/>
            <w:tcBorders>
              <w:top w:val="nil"/>
              <w:left w:val="nil"/>
              <w:bottom w:val="nil"/>
              <w:right w:val="nil"/>
            </w:tcBorders>
            <w:shd w:val="clear" w:color="auto" w:fill="auto"/>
            <w:noWrap/>
            <w:vAlign w:val="center"/>
            <w:hideMark/>
          </w:tcPr>
          <w:p w14:paraId="5C310304"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2.265</w:t>
            </w:r>
          </w:p>
        </w:tc>
        <w:tc>
          <w:tcPr>
            <w:tcW w:w="1088" w:type="dxa"/>
            <w:tcBorders>
              <w:top w:val="nil"/>
              <w:left w:val="nil"/>
              <w:bottom w:val="nil"/>
              <w:right w:val="nil"/>
            </w:tcBorders>
            <w:shd w:val="clear" w:color="auto" w:fill="auto"/>
            <w:noWrap/>
            <w:vAlign w:val="center"/>
            <w:hideMark/>
          </w:tcPr>
          <w:p w14:paraId="5F4D8B44"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2.422</w:t>
            </w:r>
          </w:p>
        </w:tc>
        <w:tc>
          <w:tcPr>
            <w:tcW w:w="986" w:type="dxa"/>
            <w:tcBorders>
              <w:top w:val="nil"/>
              <w:left w:val="nil"/>
              <w:bottom w:val="nil"/>
              <w:right w:val="nil"/>
            </w:tcBorders>
            <w:shd w:val="clear" w:color="auto" w:fill="auto"/>
            <w:noWrap/>
            <w:vAlign w:val="center"/>
            <w:hideMark/>
          </w:tcPr>
          <w:p w14:paraId="3CE48F3D"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2.068</w:t>
            </w:r>
          </w:p>
        </w:tc>
        <w:tc>
          <w:tcPr>
            <w:tcW w:w="986" w:type="dxa"/>
            <w:tcBorders>
              <w:top w:val="nil"/>
              <w:left w:val="nil"/>
              <w:bottom w:val="nil"/>
              <w:right w:val="nil"/>
            </w:tcBorders>
            <w:shd w:val="clear" w:color="auto" w:fill="auto"/>
            <w:noWrap/>
            <w:vAlign w:val="center"/>
            <w:hideMark/>
          </w:tcPr>
          <w:p w14:paraId="2757E157"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2.299</w:t>
            </w:r>
          </w:p>
        </w:tc>
        <w:tc>
          <w:tcPr>
            <w:tcW w:w="1088" w:type="dxa"/>
            <w:tcBorders>
              <w:top w:val="nil"/>
              <w:left w:val="nil"/>
              <w:bottom w:val="nil"/>
              <w:right w:val="nil"/>
            </w:tcBorders>
            <w:shd w:val="clear" w:color="auto" w:fill="auto"/>
            <w:noWrap/>
            <w:vAlign w:val="center"/>
            <w:hideMark/>
          </w:tcPr>
          <w:p w14:paraId="716C99B3"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2.459</w:t>
            </w:r>
          </w:p>
        </w:tc>
        <w:tc>
          <w:tcPr>
            <w:tcW w:w="986" w:type="dxa"/>
            <w:tcBorders>
              <w:top w:val="nil"/>
              <w:left w:val="nil"/>
              <w:bottom w:val="nil"/>
              <w:right w:val="nil"/>
            </w:tcBorders>
            <w:shd w:val="clear" w:color="auto" w:fill="auto"/>
            <w:noWrap/>
            <w:vAlign w:val="center"/>
            <w:hideMark/>
          </w:tcPr>
          <w:p w14:paraId="6E5152B9"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2.097</w:t>
            </w:r>
          </w:p>
        </w:tc>
      </w:tr>
      <w:tr w:rsidR="007D53EA" w:rsidRPr="007D53EA" w14:paraId="31761BDB" w14:textId="77777777" w:rsidTr="007D53EA">
        <w:trPr>
          <w:trHeight w:val="360"/>
        </w:trPr>
        <w:tc>
          <w:tcPr>
            <w:tcW w:w="2620" w:type="dxa"/>
            <w:gridSpan w:val="2"/>
            <w:tcBorders>
              <w:top w:val="nil"/>
              <w:left w:val="nil"/>
              <w:bottom w:val="nil"/>
              <w:right w:val="nil"/>
            </w:tcBorders>
            <w:shd w:val="clear" w:color="auto" w:fill="auto"/>
            <w:noWrap/>
            <w:vAlign w:val="bottom"/>
            <w:hideMark/>
          </w:tcPr>
          <w:p w14:paraId="57C73BA7" w14:textId="77777777" w:rsidR="007D53EA" w:rsidRPr="007D53EA" w:rsidRDefault="007D53EA" w:rsidP="007D53EA">
            <w:pPr>
              <w:spacing w:after="0" w:line="240" w:lineRule="auto"/>
              <w:ind w:left="0" w:right="0" w:firstLine="0"/>
              <w:jc w:val="left"/>
              <w:rPr>
                <w:rFonts w:ascii="Calibri" w:eastAsia="Times New Roman" w:hAnsi="Calibri" w:cs="Calibri"/>
                <w:b/>
                <w:bCs/>
                <w:color w:val="auto"/>
              </w:rPr>
            </w:pPr>
            <w:r w:rsidRPr="007D53EA">
              <w:rPr>
                <w:rFonts w:ascii="Calibri" w:eastAsia="Times New Roman" w:hAnsi="Calibri" w:cs="Calibri"/>
                <w:b/>
                <w:bCs/>
                <w:color w:val="auto"/>
              </w:rPr>
              <w:t>Obiteljska</w:t>
            </w:r>
            <w:r w:rsidRPr="007D53EA">
              <w:rPr>
                <w:rFonts w:ascii="Calibri" w:eastAsia="Times New Roman" w:hAnsi="Calibri" w:cs="Calibri"/>
                <w:b/>
                <w:bCs/>
                <w:color w:val="auto"/>
                <w:vertAlign w:val="superscript"/>
              </w:rPr>
              <w:t>2)</w:t>
            </w:r>
          </w:p>
        </w:tc>
        <w:tc>
          <w:tcPr>
            <w:tcW w:w="986" w:type="dxa"/>
            <w:tcBorders>
              <w:top w:val="nil"/>
              <w:left w:val="nil"/>
              <w:bottom w:val="nil"/>
              <w:right w:val="nil"/>
            </w:tcBorders>
            <w:shd w:val="clear" w:color="auto" w:fill="auto"/>
            <w:noWrap/>
            <w:vAlign w:val="bottom"/>
            <w:hideMark/>
          </w:tcPr>
          <w:p w14:paraId="1148526F" w14:textId="77777777" w:rsidR="007D53EA" w:rsidRPr="007D53EA" w:rsidRDefault="007D53EA" w:rsidP="007D53EA">
            <w:pPr>
              <w:spacing w:after="0" w:line="240" w:lineRule="auto"/>
              <w:ind w:left="0" w:right="0" w:firstLine="0"/>
              <w:jc w:val="left"/>
              <w:rPr>
                <w:rFonts w:ascii="Calibri" w:eastAsia="Times New Roman" w:hAnsi="Calibri" w:cs="Calibri"/>
                <w:b/>
                <w:bCs/>
                <w:color w:val="auto"/>
              </w:rPr>
            </w:pPr>
          </w:p>
        </w:tc>
        <w:tc>
          <w:tcPr>
            <w:tcW w:w="1088" w:type="dxa"/>
            <w:tcBorders>
              <w:top w:val="nil"/>
              <w:left w:val="nil"/>
              <w:bottom w:val="nil"/>
              <w:right w:val="nil"/>
            </w:tcBorders>
            <w:shd w:val="clear" w:color="auto" w:fill="auto"/>
            <w:noWrap/>
            <w:vAlign w:val="bottom"/>
            <w:hideMark/>
          </w:tcPr>
          <w:p w14:paraId="1E8F1ADB"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730615AD"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4B7A910C"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1088" w:type="dxa"/>
            <w:tcBorders>
              <w:top w:val="nil"/>
              <w:left w:val="nil"/>
              <w:bottom w:val="nil"/>
              <w:right w:val="nil"/>
            </w:tcBorders>
            <w:shd w:val="clear" w:color="auto" w:fill="auto"/>
            <w:noWrap/>
            <w:vAlign w:val="bottom"/>
            <w:hideMark/>
          </w:tcPr>
          <w:p w14:paraId="381B554C"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0BA41995"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r>
      <w:tr w:rsidR="007D53EA" w:rsidRPr="007D53EA" w14:paraId="51E5DD6B" w14:textId="77777777" w:rsidTr="007D53EA">
        <w:trPr>
          <w:trHeight w:val="345"/>
        </w:trPr>
        <w:tc>
          <w:tcPr>
            <w:tcW w:w="168" w:type="dxa"/>
            <w:tcBorders>
              <w:top w:val="nil"/>
              <w:left w:val="nil"/>
              <w:bottom w:val="nil"/>
              <w:right w:val="nil"/>
            </w:tcBorders>
            <w:shd w:val="clear" w:color="auto" w:fill="auto"/>
            <w:noWrap/>
            <w:vAlign w:val="bottom"/>
            <w:hideMark/>
          </w:tcPr>
          <w:p w14:paraId="1B177947"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2452" w:type="dxa"/>
            <w:tcBorders>
              <w:top w:val="nil"/>
              <w:left w:val="nil"/>
              <w:bottom w:val="nil"/>
              <w:right w:val="single" w:sz="4" w:space="0" w:color="auto"/>
            </w:tcBorders>
            <w:shd w:val="clear" w:color="auto" w:fill="auto"/>
            <w:noWrap/>
            <w:vAlign w:val="bottom"/>
            <w:hideMark/>
          </w:tcPr>
          <w:p w14:paraId="6E944EAA" w14:textId="77777777" w:rsidR="007D53EA" w:rsidRPr="007D53EA" w:rsidRDefault="007D53EA" w:rsidP="007D53EA">
            <w:pPr>
              <w:spacing w:after="0" w:line="240" w:lineRule="auto"/>
              <w:ind w:left="0" w:right="0" w:firstLine="0"/>
              <w:jc w:val="left"/>
              <w:rPr>
                <w:rFonts w:ascii="Calibri" w:eastAsia="Times New Roman" w:hAnsi="Calibri" w:cs="Calibri"/>
                <w:color w:val="auto"/>
              </w:rPr>
            </w:pPr>
            <w:r w:rsidRPr="007D53EA">
              <w:rPr>
                <w:rFonts w:ascii="Calibri" w:eastAsia="Times New Roman" w:hAnsi="Calibri" w:cs="Calibri"/>
                <w:color w:val="auto"/>
              </w:rPr>
              <w:t>Broj korisnika</w:t>
            </w:r>
          </w:p>
        </w:tc>
        <w:tc>
          <w:tcPr>
            <w:tcW w:w="986" w:type="dxa"/>
            <w:tcBorders>
              <w:top w:val="nil"/>
              <w:left w:val="nil"/>
              <w:bottom w:val="nil"/>
              <w:right w:val="nil"/>
            </w:tcBorders>
            <w:shd w:val="clear" w:color="auto" w:fill="auto"/>
            <w:noWrap/>
            <w:vAlign w:val="bottom"/>
            <w:hideMark/>
          </w:tcPr>
          <w:p w14:paraId="4A9AC099"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24.932</w:t>
            </w:r>
          </w:p>
        </w:tc>
        <w:tc>
          <w:tcPr>
            <w:tcW w:w="1088" w:type="dxa"/>
            <w:tcBorders>
              <w:top w:val="nil"/>
              <w:left w:val="nil"/>
              <w:bottom w:val="nil"/>
              <w:right w:val="nil"/>
            </w:tcBorders>
            <w:shd w:val="clear" w:color="auto" w:fill="auto"/>
            <w:noWrap/>
            <w:vAlign w:val="bottom"/>
            <w:hideMark/>
          </w:tcPr>
          <w:p w14:paraId="2DDB9CB4"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2.482</w:t>
            </w:r>
          </w:p>
        </w:tc>
        <w:tc>
          <w:tcPr>
            <w:tcW w:w="986" w:type="dxa"/>
            <w:tcBorders>
              <w:top w:val="nil"/>
              <w:left w:val="nil"/>
              <w:bottom w:val="nil"/>
              <w:right w:val="nil"/>
            </w:tcBorders>
            <w:shd w:val="clear" w:color="auto" w:fill="auto"/>
            <w:noWrap/>
            <w:vAlign w:val="bottom"/>
            <w:hideMark/>
          </w:tcPr>
          <w:p w14:paraId="5D17672D"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22.450</w:t>
            </w:r>
          </w:p>
        </w:tc>
        <w:tc>
          <w:tcPr>
            <w:tcW w:w="986" w:type="dxa"/>
            <w:tcBorders>
              <w:top w:val="nil"/>
              <w:left w:val="nil"/>
              <w:bottom w:val="nil"/>
              <w:right w:val="nil"/>
            </w:tcBorders>
            <w:shd w:val="clear" w:color="auto" w:fill="auto"/>
            <w:noWrap/>
            <w:vAlign w:val="bottom"/>
            <w:hideMark/>
          </w:tcPr>
          <w:p w14:paraId="65DE159E"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24.371</w:t>
            </w:r>
          </w:p>
        </w:tc>
        <w:tc>
          <w:tcPr>
            <w:tcW w:w="1088" w:type="dxa"/>
            <w:tcBorders>
              <w:top w:val="nil"/>
              <w:left w:val="nil"/>
              <w:bottom w:val="nil"/>
              <w:right w:val="nil"/>
            </w:tcBorders>
            <w:shd w:val="clear" w:color="auto" w:fill="auto"/>
            <w:noWrap/>
            <w:vAlign w:val="bottom"/>
            <w:hideMark/>
          </w:tcPr>
          <w:p w14:paraId="13F03A4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2.509</w:t>
            </w:r>
          </w:p>
        </w:tc>
        <w:tc>
          <w:tcPr>
            <w:tcW w:w="986" w:type="dxa"/>
            <w:tcBorders>
              <w:top w:val="nil"/>
              <w:left w:val="nil"/>
              <w:bottom w:val="nil"/>
              <w:right w:val="nil"/>
            </w:tcBorders>
            <w:shd w:val="clear" w:color="auto" w:fill="auto"/>
            <w:noWrap/>
            <w:vAlign w:val="bottom"/>
            <w:hideMark/>
          </w:tcPr>
          <w:p w14:paraId="01F93EAB"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21.862</w:t>
            </w:r>
          </w:p>
        </w:tc>
      </w:tr>
      <w:tr w:rsidR="007D53EA" w:rsidRPr="007D53EA" w14:paraId="658A482D" w14:textId="77777777" w:rsidTr="007D53EA">
        <w:trPr>
          <w:trHeight w:val="315"/>
        </w:trPr>
        <w:tc>
          <w:tcPr>
            <w:tcW w:w="168" w:type="dxa"/>
            <w:tcBorders>
              <w:top w:val="nil"/>
              <w:left w:val="nil"/>
              <w:bottom w:val="nil"/>
              <w:right w:val="nil"/>
            </w:tcBorders>
            <w:shd w:val="clear" w:color="auto" w:fill="auto"/>
            <w:noWrap/>
            <w:vAlign w:val="bottom"/>
            <w:hideMark/>
          </w:tcPr>
          <w:p w14:paraId="7A6C2DA8"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noWrap/>
            <w:vAlign w:val="bottom"/>
            <w:hideMark/>
          </w:tcPr>
          <w:p w14:paraId="23208A6E" w14:textId="77777777" w:rsidR="007D53EA" w:rsidRPr="007D53EA" w:rsidRDefault="007D53EA" w:rsidP="007D53EA">
            <w:pPr>
              <w:spacing w:after="0" w:line="240" w:lineRule="auto"/>
              <w:ind w:left="0" w:right="0" w:firstLine="0"/>
              <w:jc w:val="left"/>
              <w:rPr>
                <w:rFonts w:ascii="Calibri" w:eastAsia="Times New Roman" w:hAnsi="Calibri" w:cs="Calibri"/>
                <w:color w:val="auto"/>
                <w:sz w:val="20"/>
                <w:szCs w:val="20"/>
              </w:rPr>
            </w:pPr>
            <w:r w:rsidRPr="007D53EA">
              <w:rPr>
                <w:rFonts w:ascii="Calibri" w:eastAsia="Times New Roman" w:hAnsi="Calibri" w:cs="Calibri"/>
                <w:color w:val="auto"/>
              </w:rPr>
              <w:t>Prosječan staž</w:t>
            </w:r>
          </w:p>
        </w:tc>
        <w:tc>
          <w:tcPr>
            <w:tcW w:w="986" w:type="dxa"/>
            <w:tcBorders>
              <w:top w:val="nil"/>
              <w:left w:val="nil"/>
              <w:bottom w:val="nil"/>
              <w:right w:val="nil"/>
            </w:tcBorders>
            <w:shd w:val="clear" w:color="auto" w:fill="auto"/>
            <w:noWrap/>
            <w:vAlign w:val="bottom"/>
            <w:hideMark/>
          </w:tcPr>
          <w:p w14:paraId="326B764D"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31</w:t>
            </w:r>
          </w:p>
        </w:tc>
        <w:tc>
          <w:tcPr>
            <w:tcW w:w="1088" w:type="dxa"/>
            <w:tcBorders>
              <w:top w:val="nil"/>
              <w:left w:val="nil"/>
              <w:bottom w:val="nil"/>
              <w:right w:val="nil"/>
            </w:tcBorders>
            <w:shd w:val="clear" w:color="auto" w:fill="auto"/>
            <w:noWrap/>
            <w:vAlign w:val="bottom"/>
            <w:hideMark/>
          </w:tcPr>
          <w:p w14:paraId="5FA647BB"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26</w:t>
            </w:r>
          </w:p>
        </w:tc>
        <w:tc>
          <w:tcPr>
            <w:tcW w:w="986" w:type="dxa"/>
            <w:tcBorders>
              <w:top w:val="nil"/>
              <w:left w:val="nil"/>
              <w:bottom w:val="nil"/>
              <w:right w:val="nil"/>
            </w:tcBorders>
            <w:shd w:val="clear" w:color="auto" w:fill="auto"/>
            <w:noWrap/>
            <w:vAlign w:val="bottom"/>
            <w:hideMark/>
          </w:tcPr>
          <w:p w14:paraId="091AB005"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32</w:t>
            </w:r>
          </w:p>
        </w:tc>
        <w:tc>
          <w:tcPr>
            <w:tcW w:w="986" w:type="dxa"/>
            <w:tcBorders>
              <w:top w:val="nil"/>
              <w:left w:val="nil"/>
              <w:bottom w:val="nil"/>
              <w:right w:val="nil"/>
            </w:tcBorders>
            <w:shd w:val="clear" w:color="auto" w:fill="auto"/>
            <w:noWrap/>
            <w:vAlign w:val="bottom"/>
            <w:hideMark/>
          </w:tcPr>
          <w:p w14:paraId="5FDF768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32</w:t>
            </w:r>
          </w:p>
        </w:tc>
        <w:tc>
          <w:tcPr>
            <w:tcW w:w="1088" w:type="dxa"/>
            <w:tcBorders>
              <w:top w:val="nil"/>
              <w:left w:val="nil"/>
              <w:bottom w:val="nil"/>
              <w:right w:val="nil"/>
            </w:tcBorders>
            <w:shd w:val="clear" w:color="auto" w:fill="auto"/>
            <w:noWrap/>
            <w:vAlign w:val="bottom"/>
            <w:hideMark/>
          </w:tcPr>
          <w:p w14:paraId="1AD3C4AF"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26</w:t>
            </w:r>
          </w:p>
        </w:tc>
        <w:tc>
          <w:tcPr>
            <w:tcW w:w="986" w:type="dxa"/>
            <w:tcBorders>
              <w:top w:val="nil"/>
              <w:left w:val="nil"/>
              <w:bottom w:val="nil"/>
              <w:right w:val="nil"/>
            </w:tcBorders>
            <w:shd w:val="clear" w:color="auto" w:fill="auto"/>
            <w:noWrap/>
            <w:vAlign w:val="bottom"/>
            <w:hideMark/>
          </w:tcPr>
          <w:p w14:paraId="492D2FA9"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32</w:t>
            </w:r>
          </w:p>
        </w:tc>
      </w:tr>
      <w:tr w:rsidR="007D53EA" w:rsidRPr="007D53EA" w14:paraId="03FAD3BD" w14:textId="77777777" w:rsidTr="007D53EA">
        <w:trPr>
          <w:trHeight w:val="645"/>
        </w:trPr>
        <w:tc>
          <w:tcPr>
            <w:tcW w:w="168" w:type="dxa"/>
            <w:tcBorders>
              <w:top w:val="nil"/>
              <w:left w:val="nil"/>
              <w:bottom w:val="nil"/>
              <w:right w:val="nil"/>
            </w:tcBorders>
            <w:shd w:val="clear" w:color="auto" w:fill="auto"/>
            <w:noWrap/>
            <w:vAlign w:val="bottom"/>
            <w:hideMark/>
          </w:tcPr>
          <w:p w14:paraId="04FFC1C4"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vAlign w:val="center"/>
            <w:hideMark/>
          </w:tcPr>
          <w:p w14:paraId="62B92064" w14:textId="77777777" w:rsidR="007D53EA" w:rsidRPr="007D53EA" w:rsidRDefault="007D53EA" w:rsidP="007D53EA">
            <w:pPr>
              <w:spacing w:after="0" w:line="240" w:lineRule="auto"/>
              <w:ind w:left="0" w:right="0" w:firstLine="0"/>
              <w:jc w:val="left"/>
              <w:rPr>
                <w:rFonts w:ascii="Calibri" w:eastAsia="Times New Roman" w:hAnsi="Calibri" w:cs="Calibri"/>
                <w:color w:val="auto"/>
              </w:rPr>
            </w:pPr>
            <w:r w:rsidRPr="007D53EA">
              <w:rPr>
                <w:rFonts w:ascii="Calibri" w:eastAsia="Times New Roman" w:hAnsi="Calibri" w:cs="Calibri"/>
                <w:color w:val="auto"/>
              </w:rPr>
              <w:t>Prosječna mjesečna mirovina u kunama</w:t>
            </w:r>
            <w:r w:rsidRPr="007D53EA">
              <w:rPr>
                <w:rFonts w:ascii="Calibri" w:eastAsia="Times New Roman" w:hAnsi="Calibri" w:cs="Calibri"/>
                <w:color w:val="auto"/>
                <w:vertAlign w:val="superscript"/>
              </w:rPr>
              <w:t>1)</w:t>
            </w:r>
          </w:p>
        </w:tc>
        <w:tc>
          <w:tcPr>
            <w:tcW w:w="986" w:type="dxa"/>
            <w:tcBorders>
              <w:top w:val="nil"/>
              <w:left w:val="nil"/>
              <w:bottom w:val="nil"/>
              <w:right w:val="nil"/>
            </w:tcBorders>
            <w:shd w:val="clear" w:color="auto" w:fill="auto"/>
            <w:noWrap/>
            <w:vAlign w:val="center"/>
            <w:hideMark/>
          </w:tcPr>
          <w:p w14:paraId="731C9243"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2.909</w:t>
            </w:r>
          </w:p>
        </w:tc>
        <w:tc>
          <w:tcPr>
            <w:tcW w:w="1088" w:type="dxa"/>
            <w:tcBorders>
              <w:top w:val="nil"/>
              <w:left w:val="nil"/>
              <w:bottom w:val="nil"/>
              <w:right w:val="nil"/>
            </w:tcBorders>
            <w:shd w:val="clear" w:color="auto" w:fill="auto"/>
            <w:noWrap/>
            <w:vAlign w:val="center"/>
            <w:hideMark/>
          </w:tcPr>
          <w:p w14:paraId="2A2410C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2.359</w:t>
            </w:r>
          </w:p>
        </w:tc>
        <w:tc>
          <w:tcPr>
            <w:tcW w:w="986" w:type="dxa"/>
            <w:tcBorders>
              <w:top w:val="nil"/>
              <w:left w:val="nil"/>
              <w:bottom w:val="nil"/>
              <w:right w:val="nil"/>
            </w:tcBorders>
            <w:shd w:val="clear" w:color="auto" w:fill="auto"/>
            <w:noWrap/>
            <w:vAlign w:val="center"/>
            <w:hideMark/>
          </w:tcPr>
          <w:p w14:paraId="44A530B6"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2.969</w:t>
            </w:r>
          </w:p>
        </w:tc>
        <w:tc>
          <w:tcPr>
            <w:tcW w:w="986" w:type="dxa"/>
            <w:tcBorders>
              <w:top w:val="nil"/>
              <w:left w:val="nil"/>
              <w:bottom w:val="nil"/>
              <w:right w:val="nil"/>
            </w:tcBorders>
            <w:shd w:val="clear" w:color="auto" w:fill="auto"/>
            <w:noWrap/>
            <w:vAlign w:val="center"/>
            <w:hideMark/>
          </w:tcPr>
          <w:p w14:paraId="104A7E5A"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2.977</w:t>
            </w:r>
          </w:p>
        </w:tc>
        <w:tc>
          <w:tcPr>
            <w:tcW w:w="1088" w:type="dxa"/>
            <w:tcBorders>
              <w:top w:val="nil"/>
              <w:left w:val="nil"/>
              <w:bottom w:val="nil"/>
              <w:right w:val="nil"/>
            </w:tcBorders>
            <w:shd w:val="clear" w:color="auto" w:fill="auto"/>
            <w:noWrap/>
            <w:vAlign w:val="center"/>
            <w:hideMark/>
          </w:tcPr>
          <w:p w14:paraId="14DDFA12"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2.406</w:t>
            </w:r>
          </w:p>
        </w:tc>
        <w:tc>
          <w:tcPr>
            <w:tcW w:w="986" w:type="dxa"/>
            <w:tcBorders>
              <w:top w:val="nil"/>
              <w:left w:val="nil"/>
              <w:bottom w:val="nil"/>
              <w:right w:val="nil"/>
            </w:tcBorders>
            <w:shd w:val="clear" w:color="auto" w:fill="auto"/>
            <w:noWrap/>
            <w:vAlign w:val="center"/>
            <w:hideMark/>
          </w:tcPr>
          <w:p w14:paraId="22CF40EF"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3.043</w:t>
            </w:r>
          </w:p>
        </w:tc>
      </w:tr>
      <w:tr w:rsidR="007D53EA" w:rsidRPr="007D53EA" w14:paraId="0296DA94" w14:textId="77777777" w:rsidTr="007D53EA">
        <w:trPr>
          <w:trHeight w:val="570"/>
        </w:trPr>
        <w:tc>
          <w:tcPr>
            <w:tcW w:w="168" w:type="dxa"/>
            <w:tcBorders>
              <w:top w:val="nil"/>
              <w:left w:val="nil"/>
              <w:bottom w:val="nil"/>
              <w:right w:val="nil"/>
            </w:tcBorders>
            <w:shd w:val="clear" w:color="auto" w:fill="auto"/>
            <w:noWrap/>
            <w:vAlign w:val="bottom"/>
            <w:hideMark/>
          </w:tcPr>
          <w:p w14:paraId="4899B501"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nil"/>
            </w:tcBorders>
            <w:shd w:val="clear" w:color="auto" w:fill="auto"/>
            <w:vAlign w:val="center"/>
            <w:hideMark/>
          </w:tcPr>
          <w:p w14:paraId="4BC1BBCF"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6120" w:type="dxa"/>
            <w:gridSpan w:val="6"/>
            <w:tcBorders>
              <w:top w:val="nil"/>
              <w:left w:val="nil"/>
              <w:bottom w:val="nil"/>
              <w:right w:val="nil"/>
            </w:tcBorders>
            <w:shd w:val="clear" w:color="auto" w:fill="auto"/>
            <w:noWrap/>
            <w:vAlign w:val="bottom"/>
            <w:hideMark/>
          </w:tcPr>
          <w:p w14:paraId="624EC2DF" w14:textId="77777777" w:rsidR="007D53EA" w:rsidRPr="007D53EA" w:rsidRDefault="007D53EA" w:rsidP="007D53EA">
            <w:pPr>
              <w:spacing w:after="0" w:line="240" w:lineRule="auto"/>
              <w:ind w:left="0" w:right="0" w:firstLine="0"/>
              <w:jc w:val="center"/>
              <w:rPr>
                <w:rFonts w:ascii="Calibri" w:eastAsia="Times New Roman" w:hAnsi="Calibri" w:cs="Calibri"/>
                <w:b/>
                <w:bCs/>
                <w:color w:val="auto"/>
              </w:rPr>
            </w:pPr>
            <w:r w:rsidRPr="007D53EA">
              <w:rPr>
                <w:rFonts w:ascii="Calibri" w:eastAsia="Times New Roman" w:hAnsi="Calibri" w:cs="Calibri"/>
                <w:b/>
                <w:bCs/>
                <w:color w:val="auto"/>
              </w:rPr>
              <w:t>Obrtnici</w:t>
            </w:r>
          </w:p>
        </w:tc>
      </w:tr>
      <w:tr w:rsidR="007D53EA" w:rsidRPr="007D53EA" w14:paraId="0896D8BF" w14:textId="77777777" w:rsidTr="007D53EA">
        <w:trPr>
          <w:trHeight w:val="315"/>
        </w:trPr>
        <w:tc>
          <w:tcPr>
            <w:tcW w:w="2620" w:type="dxa"/>
            <w:gridSpan w:val="2"/>
            <w:tcBorders>
              <w:top w:val="nil"/>
              <w:left w:val="nil"/>
              <w:bottom w:val="nil"/>
              <w:right w:val="nil"/>
            </w:tcBorders>
            <w:shd w:val="clear" w:color="auto" w:fill="auto"/>
            <w:noWrap/>
            <w:vAlign w:val="bottom"/>
            <w:hideMark/>
          </w:tcPr>
          <w:p w14:paraId="704C1304" w14:textId="77777777" w:rsidR="007D53EA" w:rsidRPr="007D53EA" w:rsidRDefault="007D53EA" w:rsidP="007D53EA">
            <w:pPr>
              <w:spacing w:after="0" w:line="240" w:lineRule="auto"/>
              <w:ind w:left="0" w:right="0" w:firstLine="0"/>
              <w:jc w:val="left"/>
              <w:rPr>
                <w:rFonts w:ascii="Calibri" w:eastAsia="Times New Roman" w:hAnsi="Calibri" w:cs="Calibri"/>
                <w:b/>
                <w:bCs/>
                <w:color w:val="auto"/>
              </w:rPr>
            </w:pPr>
            <w:r w:rsidRPr="007D53EA">
              <w:rPr>
                <w:rFonts w:ascii="Calibri" w:eastAsia="Times New Roman" w:hAnsi="Calibri" w:cs="Calibri"/>
                <w:b/>
                <w:bCs/>
                <w:color w:val="auto"/>
              </w:rPr>
              <w:t>Ukupno</w:t>
            </w:r>
          </w:p>
        </w:tc>
        <w:tc>
          <w:tcPr>
            <w:tcW w:w="986" w:type="dxa"/>
            <w:tcBorders>
              <w:top w:val="nil"/>
              <w:left w:val="nil"/>
              <w:bottom w:val="nil"/>
              <w:right w:val="nil"/>
            </w:tcBorders>
            <w:shd w:val="clear" w:color="auto" w:fill="auto"/>
            <w:noWrap/>
            <w:vAlign w:val="bottom"/>
            <w:hideMark/>
          </w:tcPr>
          <w:p w14:paraId="31826396" w14:textId="77777777" w:rsidR="007D53EA" w:rsidRPr="007D53EA" w:rsidRDefault="007D53EA" w:rsidP="007D53EA">
            <w:pPr>
              <w:spacing w:after="0" w:line="240" w:lineRule="auto"/>
              <w:ind w:left="0" w:right="0" w:firstLine="0"/>
              <w:jc w:val="left"/>
              <w:rPr>
                <w:rFonts w:ascii="Calibri" w:eastAsia="Times New Roman" w:hAnsi="Calibri" w:cs="Calibri"/>
                <w:b/>
                <w:bCs/>
                <w:color w:val="auto"/>
              </w:rPr>
            </w:pPr>
          </w:p>
        </w:tc>
        <w:tc>
          <w:tcPr>
            <w:tcW w:w="1088" w:type="dxa"/>
            <w:tcBorders>
              <w:top w:val="nil"/>
              <w:left w:val="nil"/>
              <w:bottom w:val="nil"/>
              <w:right w:val="nil"/>
            </w:tcBorders>
            <w:shd w:val="clear" w:color="auto" w:fill="auto"/>
            <w:noWrap/>
            <w:vAlign w:val="bottom"/>
            <w:hideMark/>
          </w:tcPr>
          <w:p w14:paraId="723347E2"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34599380"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6B7C6CA4"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1088" w:type="dxa"/>
            <w:tcBorders>
              <w:top w:val="nil"/>
              <w:left w:val="nil"/>
              <w:bottom w:val="nil"/>
              <w:right w:val="nil"/>
            </w:tcBorders>
            <w:shd w:val="clear" w:color="auto" w:fill="auto"/>
            <w:noWrap/>
            <w:vAlign w:val="bottom"/>
            <w:hideMark/>
          </w:tcPr>
          <w:p w14:paraId="1F60B2EF"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5BBD4F44"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r>
      <w:tr w:rsidR="007D53EA" w:rsidRPr="007D53EA" w14:paraId="79275A1E" w14:textId="77777777" w:rsidTr="007D53EA">
        <w:trPr>
          <w:trHeight w:val="345"/>
        </w:trPr>
        <w:tc>
          <w:tcPr>
            <w:tcW w:w="168" w:type="dxa"/>
            <w:tcBorders>
              <w:top w:val="nil"/>
              <w:left w:val="nil"/>
              <w:bottom w:val="nil"/>
              <w:right w:val="nil"/>
            </w:tcBorders>
            <w:shd w:val="clear" w:color="auto" w:fill="auto"/>
            <w:noWrap/>
            <w:vAlign w:val="bottom"/>
            <w:hideMark/>
          </w:tcPr>
          <w:p w14:paraId="1E05C03A"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2452" w:type="dxa"/>
            <w:tcBorders>
              <w:top w:val="nil"/>
              <w:left w:val="nil"/>
              <w:bottom w:val="nil"/>
              <w:right w:val="single" w:sz="4" w:space="0" w:color="auto"/>
            </w:tcBorders>
            <w:shd w:val="clear" w:color="auto" w:fill="auto"/>
            <w:noWrap/>
            <w:vAlign w:val="bottom"/>
            <w:hideMark/>
          </w:tcPr>
          <w:p w14:paraId="5DAC2452" w14:textId="77777777" w:rsidR="007D53EA" w:rsidRPr="007D53EA" w:rsidRDefault="007D53EA" w:rsidP="007D53EA">
            <w:pPr>
              <w:spacing w:after="0" w:line="240" w:lineRule="auto"/>
              <w:ind w:left="0" w:right="0" w:firstLine="0"/>
              <w:jc w:val="left"/>
              <w:rPr>
                <w:rFonts w:ascii="Calibri" w:eastAsia="Times New Roman" w:hAnsi="Calibri" w:cs="Calibri"/>
                <w:color w:val="auto"/>
              </w:rPr>
            </w:pPr>
            <w:r w:rsidRPr="007D53EA">
              <w:rPr>
                <w:rFonts w:ascii="Calibri" w:eastAsia="Times New Roman" w:hAnsi="Calibri" w:cs="Calibri"/>
                <w:color w:val="auto"/>
              </w:rPr>
              <w:t>Broj korisnika</w:t>
            </w:r>
          </w:p>
        </w:tc>
        <w:tc>
          <w:tcPr>
            <w:tcW w:w="986" w:type="dxa"/>
            <w:tcBorders>
              <w:top w:val="nil"/>
              <w:left w:val="nil"/>
              <w:bottom w:val="nil"/>
              <w:right w:val="nil"/>
            </w:tcBorders>
            <w:shd w:val="clear" w:color="auto" w:fill="auto"/>
            <w:noWrap/>
            <w:vAlign w:val="bottom"/>
            <w:hideMark/>
          </w:tcPr>
          <w:p w14:paraId="2FFA40E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6.465</w:t>
            </w:r>
          </w:p>
        </w:tc>
        <w:tc>
          <w:tcPr>
            <w:tcW w:w="1088" w:type="dxa"/>
            <w:tcBorders>
              <w:top w:val="nil"/>
              <w:left w:val="nil"/>
              <w:bottom w:val="nil"/>
              <w:right w:val="nil"/>
            </w:tcBorders>
            <w:shd w:val="clear" w:color="auto" w:fill="auto"/>
            <w:noWrap/>
            <w:vAlign w:val="bottom"/>
            <w:hideMark/>
          </w:tcPr>
          <w:p w14:paraId="2E995D20"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3.844</w:t>
            </w:r>
          </w:p>
        </w:tc>
        <w:tc>
          <w:tcPr>
            <w:tcW w:w="986" w:type="dxa"/>
            <w:tcBorders>
              <w:top w:val="nil"/>
              <w:left w:val="nil"/>
              <w:bottom w:val="nil"/>
              <w:right w:val="nil"/>
            </w:tcBorders>
            <w:shd w:val="clear" w:color="auto" w:fill="auto"/>
            <w:noWrap/>
            <w:vAlign w:val="bottom"/>
            <w:hideMark/>
          </w:tcPr>
          <w:p w14:paraId="4C9661BA"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2.621</w:t>
            </w:r>
          </w:p>
        </w:tc>
        <w:tc>
          <w:tcPr>
            <w:tcW w:w="986" w:type="dxa"/>
            <w:tcBorders>
              <w:top w:val="nil"/>
              <w:left w:val="nil"/>
              <w:bottom w:val="nil"/>
              <w:right w:val="nil"/>
            </w:tcBorders>
            <w:shd w:val="clear" w:color="auto" w:fill="auto"/>
            <w:noWrap/>
            <w:vAlign w:val="bottom"/>
            <w:hideMark/>
          </w:tcPr>
          <w:p w14:paraId="402FF2E3"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6.508</w:t>
            </w:r>
          </w:p>
        </w:tc>
        <w:tc>
          <w:tcPr>
            <w:tcW w:w="1088" w:type="dxa"/>
            <w:tcBorders>
              <w:top w:val="nil"/>
              <w:left w:val="nil"/>
              <w:bottom w:val="nil"/>
              <w:right w:val="nil"/>
            </w:tcBorders>
            <w:shd w:val="clear" w:color="auto" w:fill="auto"/>
            <w:noWrap/>
            <w:vAlign w:val="bottom"/>
            <w:hideMark/>
          </w:tcPr>
          <w:p w14:paraId="0A85D1E6"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3.872</w:t>
            </w:r>
          </w:p>
        </w:tc>
        <w:tc>
          <w:tcPr>
            <w:tcW w:w="986" w:type="dxa"/>
            <w:tcBorders>
              <w:top w:val="nil"/>
              <w:left w:val="nil"/>
              <w:bottom w:val="nil"/>
              <w:right w:val="nil"/>
            </w:tcBorders>
            <w:shd w:val="clear" w:color="auto" w:fill="auto"/>
            <w:noWrap/>
            <w:vAlign w:val="bottom"/>
            <w:hideMark/>
          </w:tcPr>
          <w:p w14:paraId="4AD21974"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2.636</w:t>
            </w:r>
          </w:p>
        </w:tc>
      </w:tr>
      <w:tr w:rsidR="007D53EA" w:rsidRPr="007D53EA" w14:paraId="1485307B" w14:textId="77777777" w:rsidTr="007D53EA">
        <w:trPr>
          <w:trHeight w:val="315"/>
        </w:trPr>
        <w:tc>
          <w:tcPr>
            <w:tcW w:w="168" w:type="dxa"/>
            <w:tcBorders>
              <w:top w:val="nil"/>
              <w:left w:val="nil"/>
              <w:bottom w:val="nil"/>
              <w:right w:val="nil"/>
            </w:tcBorders>
            <w:shd w:val="clear" w:color="auto" w:fill="auto"/>
            <w:noWrap/>
            <w:vAlign w:val="bottom"/>
            <w:hideMark/>
          </w:tcPr>
          <w:p w14:paraId="75B92F13"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noWrap/>
            <w:vAlign w:val="bottom"/>
            <w:hideMark/>
          </w:tcPr>
          <w:p w14:paraId="5C4FE79C" w14:textId="77777777" w:rsidR="007D53EA" w:rsidRPr="007D53EA" w:rsidRDefault="007D53EA" w:rsidP="007D53EA">
            <w:pPr>
              <w:spacing w:after="0" w:line="240" w:lineRule="auto"/>
              <w:ind w:left="0" w:right="0" w:firstLine="0"/>
              <w:jc w:val="left"/>
              <w:rPr>
                <w:rFonts w:ascii="Calibri" w:eastAsia="Times New Roman" w:hAnsi="Calibri" w:cs="Calibri"/>
                <w:color w:val="auto"/>
                <w:sz w:val="20"/>
                <w:szCs w:val="20"/>
              </w:rPr>
            </w:pPr>
            <w:r w:rsidRPr="007D53EA">
              <w:rPr>
                <w:rFonts w:ascii="Calibri" w:eastAsia="Times New Roman" w:hAnsi="Calibri" w:cs="Calibri"/>
                <w:color w:val="auto"/>
              </w:rPr>
              <w:t>Prosječan staž</w:t>
            </w:r>
          </w:p>
        </w:tc>
        <w:tc>
          <w:tcPr>
            <w:tcW w:w="986" w:type="dxa"/>
            <w:tcBorders>
              <w:top w:val="nil"/>
              <w:left w:val="nil"/>
              <w:bottom w:val="nil"/>
              <w:right w:val="nil"/>
            </w:tcBorders>
            <w:shd w:val="clear" w:color="auto" w:fill="auto"/>
            <w:noWrap/>
            <w:vAlign w:val="bottom"/>
            <w:hideMark/>
          </w:tcPr>
          <w:p w14:paraId="00752152"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30</w:t>
            </w:r>
          </w:p>
        </w:tc>
        <w:tc>
          <w:tcPr>
            <w:tcW w:w="1088" w:type="dxa"/>
            <w:tcBorders>
              <w:top w:val="nil"/>
              <w:left w:val="nil"/>
              <w:bottom w:val="nil"/>
              <w:right w:val="nil"/>
            </w:tcBorders>
            <w:shd w:val="clear" w:color="auto" w:fill="auto"/>
            <w:noWrap/>
            <w:vAlign w:val="bottom"/>
            <w:hideMark/>
          </w:tcPr>
          <w:p w14:paraId="288BEB81"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31</w:t>
            </w:r>
          </w:p>
        </w:tc>
        <w:tc>
          <w:tcPr>
            <w:tcW w:w="986" w:type="dxa"/>
            <w:tcBorders>
              <w:top w:val="nil"/>
              <w:left w:val="nil"/>
              <w:bottom w:val="nil"/>
              <w:right w:val="nil"/>
            </w:tcBorders>
            <w:shd w:val="clear" w:color="auto" w:fill="auto"/>
            <w:noWrap/>
            <w:vAlign w:val="bottom"/>
            <w:hideMark/>
          </w:tcPr>
          <w:p w14:paraId="1AD68DDB"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29</w:t>
            </w:r>
          </w:p>
        </w:tc>
        <w:tc>
          <w:tcPr>
            <w:tcW w:w="986" w:type="dxa"/>
            <w:tcBorders>
              <w:top w:val="nil"/>
              <w:left w:val="nil"/>
              <w:bottom w:val="nil"/>
              <w:right w:val="nil"/>
            </w:tcBorders>
            <w:shd w:val="clear" w:color="auto" w:fill="auto"/>
            <w:noWrap/>
            <w:vAlign w:val="bottom"/>
            <w:hideMark/>
          </w:tcPr>
          <w:p w14:paraId="340CCF4E"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30</w:t>
            </w:r>
          </w:p>
        </w:tc>
        <w:tc>
          <w:tcPr>
            <w:tcW w:w="1088" w:type="dxa"/>
            <w:tcBorders>
              <w:top w:val="nil"/>
              <w:left w:val="nil"/>
              <w:bottom w:val="nil"/>
              <w:right w:val="nil"/>
            </w:tcBorders>
            <w:shd w:val="clear" w:color="auto" w:fill="auto"/>
            <w:noWrap/>
            <w:vAlign w:val="bottom"/>
            <w:hideMark/>
          </w:tcPr>
          <w:p w14:paraId="6A79C321"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31</w:t>
            </w:r>
          </w:p>
        </w:tc>
        <w:tc>
          <w:tcPr>
            <w:tcW w:w="986" w:type="dxa"/>
            <w:tcBorders>
              <w:top w:val="nil"/>
              <w:left w:val="nil"/>
              <w:bottom w:val="nil"/>
              <w:right w:val="nil"/>
            </w:tcBorders>
            <w:shd w:val="clear" w:color="auto" w:fill="auto"/>
            <w:noWrap/>
            <w:vAlign w:val="bottom"/>
            <w:hideMark/>
          </w:tcPr>
          <w:p w14:paraId="5C3FBEBD"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29</w:t>
            </w:r>
          </w:p>
        </w:tc>
      </w:tr>
      <w:tr w:rsidR="007D53EA" w:rsidRPr="007D53EA" w14:paraId="0C756C58" w14:textId="77777777" w:rsidTr="007D53EA">
        <w:trPr>
          <w:trHeight w:val="645"/>
        </w:trPr>
        <w:tc>
          <w:tcPr>
            <w:tcW w:w="168" w:type="dxa"/>
            <w:tcBorders>
              <w:top w:val="nil"/>
              <w:left w:val="nil"/>
              <w:bottom w:val="nil"/>
              <w:right w:val="nil"/>
            </w:tcBorders>
            <w:shd w:val="clear" w:color="auto" w:fill="auto"/>
            <w:noWrap/>
            <w:vAlign w:val="bottom"/>
            <w:hideMark/>
          </w:tcPr>
          <w:p w14:paraId="54A18DAA"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vAlign w:val="center"/>
            <w:hideMark/>
          </w:tcPr>
          <w:p w14:paraId="54C48853" w14:textId="77777777" w:rsidR="007D53EA" w:rsidRPr="007D53EA" w:rsidRDefault="007D53EA" w:rsidP="007D53EA">
            <w:pPr>
              <w:spacing w:after="0" w:line="240" w:lineRule="auto"/>
              <w:ind w:left="0" w:right="0" w:firstLine="0"/>
              <w:jc w:val="left"/>
              <w:rPr>
                <w:rFonts w:ascii="Calibri" w:eastAsia="Times New Roman" w:hAnsi="Calibri" w:cs="Calibri"/>
                <w:color w:val="auto"/>
              </w:rPr>
            </w:pPr>
            <w:r w:rsidRPr="007D53EA">
              <w:rPr>
                <w:rFonts w:ascii="Calibri" w:eastAsia="Times New Roman" w:hAnsi="Calibri" w:cs="Calibri"/>
                <w:color w:val="auto"/>
              </w:rPr>
              <w:t>Prosječna mjesečna mirovina u kunama</w:t>
            </w:r>
            <w:r w:rsidRPr="007D53EA">
              <w:rPr>
                <w:rFonts w:ascii="Calibri" w:eastAsia="Times New Roman" w:hAnsi="Calibri" w:cs="Calibri"/>
                <w:color w:val="auto"/>
                <w:vertAlign w:val="superscript"/>
              </w:rPr>
              <w:t>1)</w:t>
            </w:r>
          </w:p>
        </w:tc>
        <w:tc>
          <w:tcPr>
            <w:tcW w:w="986" w:type="dxa"/>
            <w:tcBorders>
              <w:top w:val="nil"/>
              <w:left w:val="nil"/>
              <w:bottom w:val="nil"/>
              <w:right w:val="nil"/>
            </w:tcBorders>
            <w:shd w:val="clear" w:color="auto" w:fill="auto"/>
            <w:noWrap/>
            <w:vAlign w:val="center"/>
            <w:hideMark/>
          </w:tcPr>
          <w:p w14:paraId="12AEC2A1"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2.524</w:t>
            </w:r>
          </w:p>
        </w:tc>
        <w:tc>
          <w:tcPr>
            <w:tcW w:w="1088" w:type="dxa"/>
            <w:tcBorders>
              <w:top w:val="nil"/>
              <w:left w:val="nil"/>
              <w:bottom w:val="nil"/>
              <w:right w:val="nil"/>
            </w:tcBorders>
            <w:shd w:val="clear" w:color="auto" w:fill="auto"/>
            <w:noWrap/>
            <w:vAlign w:val="center"/>
            <w:hideMark/>
          </w:tcPr>
          <w:p w14:paraId="556D523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2.706</w:t>
            </w:r>
          </w:p>
        </w:tc>
        <w:tc>
          <w:tcPr>
            <w:tcW w:w="986" w:type="dxa"/>
            <w:tcBorders>
              <w:top w:val="nil"/>
              <w:left w:val="nil"/>
              <w:bottom w:val="nil"/>
              <w:right w:val="nil"/>
            </w:tcBorders>
            <w:shd w:val="clear" w:color="auto" w:fill="auto"/>
            <w:noWrap/>
            <w:vAlign w:val="center"/>
            <w:hideMark/>
          </w:tcPr>
          <w:p w14:paraId="5DF8A707"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2.258</w:t>
            </w:r>
          </w:p>
        </w:tc>
        <w:tc>
          <w:tcPr>
            <w:tcW w:w="986" w:type="dxa"/>
            <w:tcBorders>
              <w:top w:val="nil"/>
              <w:left w:val="nil"/>
              <w:bottom w:val="nil"/>
              <w:right w:val="nil"/>
            </w:tcBorders>
            <w:shd w:val="clear" w:color="auto" w:fill="auto"/>
            <w:noWrap/>
            <w:vAlign w:val="center"/>
            <w:hideMark/>
          </w:tcPr>
          <w:p w14:paraId="272CB294"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2.576</w:t>
            </w:r>
          </w:p>
        </w:tc>
        <w:tc>
          <w:tcPr>
            <w:tcW w:w="1088" w:type="dxa"/>
            <w:tcBorders>
              <w:top w:val="nil"/>
              <w:left w:val="nil"/>
              <w:bottom w:val="nil"/>
              <w:right w:val="nil"/>
            </w:tcBorders>
            <w:shd w:val="clear" w:color="auto" w:fill="auto"/>
            <w:noWrap/>
            <w:vAlign w:val="center"/>
            <w:hideMark/>
          </w:tcPr>
          <w:p w14:paraId="78CB94FB"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2.770</w:t>
            </w:r>
          </w:p>
        </w:tc>
        <w:tc>
          <w:tcPr>
            <w:tcW w:w="986" w:type="dxa"/>
            <w:tcBorders>
              <w:top w:val="nil"/>
              <w:left w:val="nil"/>
              <w:bottom w:val="nil"/>
              <w:right w:val="nil"/>
            </w:tcBorders>
            <w:shd w:val="clear" w:color="auto" w:fill="auto"/>
            <w:noWrap/>
            <w:vAlign w:val="center"/>
            <w:hideMark/>
          </w:tcPr>
          <w:p w14:paraId="351F4A62"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2.292</w:t>
            </w:r>
          </w:p>
        </w:tc>
      </w:tr>
      <w:tr w:rsidR="007D53EA" w:rsidRPr="007D53EA" w14:paraId="042E7412" w14:textId="77777777" w:rsidTr="007D53EA">
        <w:trPr>
          <w:trHeight w:val="360"/>
        </w:trPr>
        <w:tc>
          <w:tcPr>
            <w:tcW w:w="2620" w:type="dxa"/>
            <w:gridSpan w:val="2"/>
            <w:tcBorders>
              <w:top w:val="nil"/>
              <w:left w:val="nil"/>
              <w:bottom w:val="nil"/>
              <w:right w:val="nil"/>
            </w:tcBorders>
            <w:shd w:val="clear" w:color="auto" w:fill="auto"/>
            <w:noWrap/>
            <w:vAlign w:val="bottom"/>
            <w:hideMark/>
          </w:tcPr>
          <w:p w14:paraId="0FCA1E2D" w14:textId="77777777" w:rsidR="007D53EA" w:rsidRPr="007D53EA" w:rsidRDefault="007D53EA" w:rsidP="007D53EA">
            <w:pPr>
              <w:spacing w:after="0" w:line="240" w:lineRule="auto"/>
              <w:ind w:left="0" w:right="0" w:firstLine="0"/>
              <w:jc w:val="left"/>
              <w:rPr>
                <w:rFonts w:ascii="Calibri" w:eastAsia="Times New Roman" w:hAnsi="Calibri" w:cs="Calibri"/>
                <w:b/>
                <w:bCs/>
                <w:color w:val="auto"/>
              </w:rPr>
            </w:pPr>
            <w:r w:rsidRPr="007D53EA">
              <w:rPr>
                <w:rFonts w:ascii="Calibri" w:eastAsia="Times New Roman" w:hAnsi="Calibri" w:cs="Calibri"/>
                <w:b/>
                <w:bCs/>
                <w:color w:val="auto"/>
              </w:rPr>
              <w:t>Starosna</w:t>
            </w:r>
          </w:p>
        </w:tc>
        <w:tc>
          <w:tcPr>
            <w:tcW w:w="986" w:type="dxa"/>
            <w:tcBorders>
              <w:top w:val="nil"/>
              <w:left w:val="nil"/>
              <w:bottom w:val="nil"/>
              <w:right w:val="nil"/>
            </w:tcBorders>
            <w:shd w:val="clear" w:color="auto" w:fill="auto"/>
            <w:noWrap/>
            <w:vAlign w:val="bottom"/>
            <w:hideMark/>
          </w:tcPr>
          <w:p w14:paraId="57F44C49" w14:textId="77777777" w:rsidR="007D53EA" w:rsidRPr="007D53EA" w:rsidRDefault="007D53EA" w:rsidP="007D53EA">
            <w:pPr>
              <w:spacing w:after="0" w:line="240" w:lineRule="auto"/>
              <w:ind w:left="0" w:right="0" w:firstLine="0"/>
              <w:jc w:val="left"/>
              <w:rPr>
                <w:rFonts w:ascii="Calibri" w:eastAsia="Times New Roman" w:hAnsi="Calibri" w:cs="Calibri"/>
                <w:b/>
                <w:bCs/>
                <w:color w:val="auto"/>
              </w:rPr>
            </w:pPr>
          </w:p>
        </w:tc>
        <w:tc>
          <w:tcPr>
            <w:tcW w:w="1088" w:type="dxa"/>
            <w:tcBorders>
              <w:top w:val="nil"/>
              <w:left w:val="nil"/>
              <w:bottom w:val="nil"/>
              <w:right w:val="nil"/>
            </w:tcBorders>
            <w:shd w:val="clear" w:color="auto" w:fill="auto"/>
            <w:noWrap/>
            <w:vAlign w:val="bottom"/>
            <w:hideMark/>
          </w:tcPr>
          <w:p w14:paraId="521F5F3D"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18959562"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3D908B7F"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1088" w:type="dxa"/>
            <w:tcBorders>
              <w:top w:val="nil"/>
              <w:left w:val="nil"/>
              <w:bottom w:val="nil"/>
              <w:right w:val="nil"/>
            </w:tcBorders>
            <w:shd w:val="clear" w:color="auto" w:fill="auto"/>
            <w:noWrap/>
            <w:vAlign w:val="bottom"/>
            <w:hideMark/>
          </w:tcPr>
          <w:p w14:paraId="6D445822"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71F5F7C0"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r>
      <w:tr w:rsidR="007D53EA" w:rsidRPr="007D53EA" w14:paraId="6B8FAFD7" w14:textId="77777777" w:rsidTr="007D53EA">
        <w:trPr>
          <w:trHeight w:val="345"/>
        </w:trPr>
        <w:tc>
          <w:tcPr>
            <w:tcW w:w="168" w:type="dxa"/>
            <w:tcBorders>
              <w:top w:val="nil"/>
              <w:left w:val="nil"/>
              <w:bottom w:val="nil"/>
              <w:right w:val="nil"/>
            </w:tcBorders>
            <w:shd w:val="clear" w:color="auto" w:fill="auto"/>
            <w:noWrap/>
            <w:vAlign w:val="bottom"/>
            <w:hideMark/>
          </w:tcPr>
          <w:p w14:paraId="052778A3"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2452" w:type="dxa"/>
            <w:tcBorders>
              <w:top w:val="nil"/>
              <w:left w:val="nil"/>
              <w:bottom w:val="nil"/>
              <w:right w:val="single" w:sz="4" w:space="0" w:color="auto"/>
            </w:tcBorders>
            <w:shd w:val="clear" w:color="auto" w:fill="auto"/>
            <w:noWrap/>
            <w:vAlign w:val="bottom"/>
            <w:hideMark/>
          </w:tcPr>
          <w:p w14:paraId="564BAB21" w14:textId="77777777" w:rsidR="007D53EA" w:rsidRPr="007D53EA" w:rsidRDefault="007D53EA" w:rsidP="007D53EA">
            <w:pPr>
              <w:spacing w:after="0" w:line="240" w:lineRule="auto"/>
              <w:ind w:left="0" w:right="0" w:firstLine="0"/>
              <w:jc w:val="left"/>
              <w:rPr>
                <w:rFonts w:ascii="Calibri" w:eastAsia="Times New Roman" w:hAnsi="Calibri" w:cs="Calibri"/>
                <w:color w:val="auto"/>
              </w:rPr>
            </w:pPr>
            <w:r w:rsidRPr="007D53EA">
              <w:rPr>
                <w:rFonts w:ascii="Calibri" w:eastAsia="Times New Roman" w:hAnsi="Calibri" w:cs="Calibri"/>
                <w:color w:val="auto"/>
              </w:rPr>
              <w:t>Broj korisnika</w:t>
            </w:r>
          </w:p>
        </w:tc>
        <w:tc>
          <w:tcPr>
            <w:tcW w:w="986" w:type="dxa"/>
            <w:tcBorders>
              <w:top w:val="nil"/>
              <w:left w:val="nil"/>
              <w:bottom w:val="nil"/>
              <w:right w:val="nil"/>
            </w:tcBorders>
            <w:shd w:val="clear" w:color="auto" w:fill="auto"/>
            <w:noWrap/>
            <w:vAlign w:val="bottom"/>
            <w:hideMark/>
          </w:tcPr>
          <w:p w14:paraId="2FF0E762"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4.765</w:t>
            </w:r>
          </w:p>
        </w:tc>
        <w:tc>
          <w:tcPr>
            <w:tcW w:w="1088" w:type="dxa"/>
            <w:tcBorders>
              <w:top w:val="nil"/>
              <w:left w:val="nil"/>
              <w:bottom w:val="nil"/>
              <w:right w:val="nil"/>
            </w:tcBorders>
            <w:shd w:val="clear" w:color="auto" w:fill="auto"/>
            <w:noWrap/>
            <w:vAlign w:val="bottom"/>
            <w:hideMark/>
          </w:tcPr>
          <w:p w14:paraId="47E95EA3"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3.099</w:t>
            </w:r>
          </w:p>
        </w:tc>
        <w:tc>
          <w:tcPr>
            <w:tcW w:w="986" w:type="dxa"/>
            <w:tcBorders>
              <w:top w:val="nil"/>
              <w:left w:val="nil"/>
              <w:bottom w:val="nil"/>
              <w:right w:val="nil"/>
            </w:tcBorders>
            <w:shd w:val="clear" w:color="auto" w:fill="auto"/>
            <w:noWrap/>
            <w:vAlign w:val="bottom"/>
            <w:hideMark/>
          </w:tcPr>
          <w:p w14:paraId="5EE06A5B"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1.666</w:t>
            </w:r>
          </w:p>
        </w:tc>
        <w:tc>
          <w:tcPr>
            <w:tcW w:w="986" w:type="dxa"/>
            <w:tcBorders>
              <w:top w:val="nil"/>
              <w:left w:val="nil"/>
              <w:bottom w:val="nil"/>
              <w:right w:val="nil"/>
            </w:tcBorders>
            <w:shd w:val="clear" w:color="auto" w:fill="auto"/>
            <w:noWrap/>
            <w:vAlign w:val="bottom"/>
            <w:hideMark/>
          </w:tcPr>
          <w:p w14:paraId="625D0869"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4.873</w:t>
            </w:r>
          </w:p>
        </w:tc>
        <w:tc>
          <w:tcPr>
            <w:tcW w:w="1088" w:type="dxa"/>
            <w:tcBorders>
              <w:top w:val="nil"/>
              <w:left w:val="nil"/>
              <w:bottom w:val="nil"/>
              <w:right w:val="nil"/>
            </w:tcBorders>
            <w:shd w:val="clear" w:color="auto" w:fill="auto"/>
            <w:noWrap/>
            <w:vAlign w:val="bottom"/>
            <w:hideMark/>
          </w:tcPr>
          <w:p w14:paraId="26189ECE"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3.174</w:t>
            </w:r>
          </w:p>
        </w:tc>
        <w:tc>
          <w:tcPr>
            <w:tcW w:w="986" w:type="dxa"/>
            <w:tcBorders>
              <w:top w:val="nil"/>
              <w:left w:val="nil"/>
              <w:bottom w:val="nil"/>
              <w:right w:val="nil"/>
            </w:tcBorders>
            <w:shd w:val="clear" w:color="auto" w:fill="auto"/>
            <w:noWrap/>
            <w:vAlign w:val="bottom"/>
            <w:hideMark/>
          </w:tcPr>
          <w:p w14:paraId="19910594"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1.699</w:t>
            </w:r>
          </w:p>
        </w:tc>
      </w:tr>
      <w:tr w:rsidR="007D53EA" w:rsidRPr="007D53EA" w14:paraId="7FA47D21" w14:textId="77777777" w:rsidTr="007D53EA">
        <w:trPr>
          <w:trHeight w:val="315"/>
        </w:trPr>
        <w:tc>
          <w:tcPr>
            <w:tcW w:w="168" w:type="dxa"/>
            <w:tcBorders>
              <w:top w:val="nil"/>
              <w:left w:val="nil"/>
              <w:bottom w:val="nil"/>
              <w:right w:val="nil"/>
            </w:tcBorders>
            <w:shd w:val="clear" w:color="auto" w:fill="auto"/>
            <w:noWrap/>
            <w:vAlign w:val="bottom"/>
            <w:hideMark/>
          </w:tcPr>
          <w:p w14:paraId="0259CA56"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noWrap/>
            <w:vAlign w:val="bottom"/>
            <w:hideMark/>
          </w:tcPr>
          <w:p w14:paraId="49B40934" w14:textId="77777777" w:rsidR="007D53EA" w:rsidRPr="007D53EA" w:rsidRDefault="007D53EA" w:rsidP="007D53EA">
            <w:pPr>
              <w:spacing w:after="0" w:line="240" w:lineRule="auto"/>
              <w:ind w:left="0" w:right="0" w:firstLine="0"/>
              <w:jc w:val="left"/>
              <w:rPr>
                <w:rFonts w:ascii="Calibri" w:eastAsia="Times New Roman" w:hAnsi="Calibri" w:cs="Calibri"/>
                <w:color w:val="auto"/>
                <w:sz w:val="20"/>
                <w:szCs w:val="20"/>
              </w:rPr>
            </w:pPr>
            <w:r w:rsidRPr="007D53EA">
              <w:rPr>
                <w:rFonts w:ascii="Calibri" w:eastAsia="Times New Roman" w:hAnsi="Calibri" w:cs="Calibri"/>
                <w:color w:val="auto"/>
              </w:rPr>
              <w:t>Prosječan staž</w:t>
            </w:r>
          </w:p>
        </w:tc>
        <w:tc>
          <w:tcPr>
            <w:tcW w:w="986" w:type="dxa"/>
            <w:tcBorders>
              <w:top w:val="nil"/>
              <w:left w:val="nil"/>
              <w:bottom w:val="nil"/>
              <w:right w:val="nil"/>
            </w:tcBorders>
            <w:shd w:val="clear" w:color="auto" w:fill="auto"/>
            <w:noWrap/>
            <w:vAlign w:val="bottom"/>
            <w:hideMark/>
          </w:tcPr>
          <w:p w14:paraId="1AD1E012"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32</w:t>
            </w:r>
          </w:p>
        </w:tc>
        <w:tc>
          <w:tcPr>
            <w:tcW w:w="1088" w:type="dxa"/>
            <w:tcBorders>
              <w:top w:val="nil"/>
              <w:left w:val="nil"/>
              <w:bottom w:val="nil"/>
              <w:right w:val="nil"/>
            </w:tcBorders>
            <w:shd w:val="clear" w:color="auto" w:fill="auto"/>
            <w:noWrap/>
            <w:vAlign w:val="bottom"/>
            <w:hideMark/>
          </w:tcPr>
          <w:p w14:paraId="008DC44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33</w:t>
            </w:r>
          </w:p>
        </w:tc>
        <w:tc>
          <w:tcPr>
            <w:tcW w:w="986" w:type="dxa"/>
            <w:tcBorders>
              <w:top w:val="nil"/>
              <w:left w:val="nil"/>
              <w:bottom w:val="nil"/>
              <w:right w:val="nil"/>
            </w:tcBorders>
            <w:shd w:val="clear" w:color="auto" w:fill="auto"/>
            <w:noWrap/>
            <w:vAlign w:val="bottom"/>
            <w:hideMark/>
          </w:tcPr>
          <w:p w14:paraId="59B03C19"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30</w:t>
            </w:r>
          </w:p>
        </w:tc>
        <w:tc>
          <w:tcPr>
            <w:tcW w:w="986" w:type="dxa"/>
            <w:tcBorders>
              <w:top w:val="nil"/>
              <w:left w:val="nil"/>
              <w:bottom w:val="nil"/>
              <w:right w:val="nil"/>
            </w:tcBorders>
            <w:shd w:val="clear" w:color="auto" w:fill="auto"/>
            <w:noWrap/>
            <w:vAlign w:val="bottom"/>
            <w:hideMark/>
          </w:tcPr>
          <w:p w14:paraId="58FE7687"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32</w:t>
            </w:r>
          </w:p>
        </w:tc>
        <w:tc>
          <w:tcPr>
            <w:tcW w:w="1088" w:type="dxa"/>
            <w:tcBorders>
              <w:top w:val="nil"/>
              <w:left w:val="nil"/>
              <w:bottom w:val="nil"/>
              <w:right w:val="nil"/>
            </w:tcBorders>
            <w:shd w:val="clear" w:color="auto" w:fill="auto"/>
            <w:noWrap/>
            <w:vAlign w:val="bottom"/>
            <w:hideMark/>
          </w:tcPr>
          <w:p w14:paraId="3516107B"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33</w:t>
            </w:r>
          </w:p>
        </w:tc>
        <w:tc>
          <w:tcPr>
            <w:tcW w:w="986" w:type="dxa"/>
            <w:tcBorders>
              <w:top w:val="nil"/>
              <w:left w:val="nil"/>
              <w:bottom w:val="nil"/>
              <w:right w:val="nil"/>
            </w:tcBorders>
            <w:shd w:val="clear" w:color="auto" w:fill="auto"/>
            <w:noWrap/>
            <w:vAlign w:val="bottom"/>
            <w:hideMark/>
          </w:tcPr>
          <w:p w14:paraId="2A8306B1"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30</w:t>
            </w:r>
          </w:p>
        </w:tc>
      </w:tr>
      <w:tr w:rsidR="007D53EA" w:rsidRPr="007D53EA" w14:paraId="5DD8E326" w14:textId="77777777" w:rsidTr="007D53EA">
        <w:trPr>
          <w:trHeight w:val="645"/>
        </w:trPr>
        <w:tc>
          <w:tcPr>
            <w:tcW w:w="168" w:type="dxa"/>
            <w:tcBorders>
              <w:top w:val="nil"/>
              <w:left w:val="nil"/>
              <w:bottom w:val="nil"/>
              <w:right w:val="nil"/>
            </w:tcBorders>
            <w:shd w:val="clear" w:color="auto" w:fill="auto"/>
            <w:noWrap/>
            <w:vAlign w:val="bottom"/>
            <w:hideMark/>
          </w:tcPr>
          <w:p w14:paraId="64614A1B"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vAlign w:val="center"/>
            <w:hideMark/>
          </w:tcPr>
          <w:p w14:paraId="0364D60A" w14:textId="77777777" w:rsidR="007D53EA" w:rsidRPr="007D53EA" w:rsidRDefault="007D53EA" w:rsidP="007D53EA">
            <w:pPr>
              <w:spacing w:after="0" w:line="240" w:lineRule="auto"/>
              <w:ind w:left="0" w:right="0" w:firstLine="0"/>
              <w:jc w:val="left"/>
              <w:rPr>
                <w:rFonts w:ascii="Calibri" w:eastAsia="Times New Roman" w:hAnsi="Calibri" w:cs="Calibri"/>
                <w:color w:val="auto"/>
              </w:rPr>
            </w:pPr>
            <w:r w:rsidRPr="007D53EA">
              <w:rPr>
                <w:rFonts w:ascii="Calibri" w:eastAsia="Times New Roman" w:hAnsi="Calibri" w:cs="Calibri"/>
                <w:color w:val="auto"/>
              </w:rPr>
              <w:t>Prosječna mjesečna mirovina u kunama</w:t>
            </w:r>
            <w:r w:rsidRPr="007D53EA">
              <w:rPr>
                <w:rFonts w:ascii="Calibri" w:eastAsia="Times New Roman" w:hAnsi="Calibri" w:cs="Calibri"/>
                <w:color w:val="auto"/>
                <w:vertAlign w:val="superscript"/>
              </w:rPr>
              <w:t>1)</w:t>
            </w:r>
          </w:p>
        </w:tc>
        <w:tc>
          <w:tcPr>
            <w:tcW w:w="986" w:type="dxa"/>
            <w:tcBorders>
              <w:top w:val="nil"/>
              <w:left w:val="nil"/>
              <w:bottom w:val="nil"/>
              <w:right w:val="nil"/>
            </w:tcBorders>
            <w:shd w:val="clear" w:color="auto" w:fill="auto"/>
            <w:noWrap/>
            <w:vAlign w:val="center"/>
            <w:hideMark/>
          </w:tcPr>
          <w:p w14:paraId="4E73E425"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2.687</w:t>
            </w:r>
          </w:p>
        </w:tc>
        <w:tc>
          <w:tcPr>
            <w:tcW w:w="1088" w:type="dxa"/>
            <w:tcBorders>
              <w:top w:val="nil"/>
              <w:left w:val="nil"/>
              <w:bottom w:val="nil"/>
              <w:right w:val="nil"/>
            </w:tcBorders>
            <w:shd w:val="clear" w:color="auto" w:fill="auto"/>
            <w:noWrap/>
            <w:vAlign w:val="center"/>
            <w:hideMark/>
          </w:tcPr>
          <w:p w14:paraId="4F044737"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2.851</w:t>
            </w:r>
          </w:p>
        </w:tc>
        <w:tc>
          <w:tcPr>
            <w:tcW w:w="986" w:type="dxa"/>
            <w:tcBorders>
              <w:top w:val="nil"/>
              <w:left w:val="nil"/>
              <w:bottom w:val="nil"/>
              <w:right w:val="nil"/>
            </w:tcBorders>
            <w:shd w:val="clear" w:color="auto" w:fill="auto"/>
            <w:noWrap/>
            <w:vAlign w:val="center"/>
            <w:hideMark/>
          </w:tcPr>
          <w:p w14:paraId="722CF8C5"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2.381</w:t>
            </w:r>
          </w:p>
        </w:tc>
        <w:tc>
          <w:tcPr>
            <w:tcW w:w="986" w:type="dxa"/>
            <w:tcBorders>
              <w:top w:val="nil"/>
              <w:left w:val="nil"/>
              <w:bottom w:val="nil"/>
              <w:right w:val="nil"/>
            </w:tcBorders>
            <w:shd w:val="clear" w:color="auto" w:fill="auto"/>
            <w:noWrap/>
            <w:vAlign w:val="center"/>
            <w:hideMark/>
          </w:tcPr>
          <w:p w14:paraId="42509E12"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2.737</w:t>
            </w:r>
          </w:p>
        </w:tc>
        <w:tc>
          <w:tcPr>
            <w:tcW w:w="1088" w:type="dxa"/>
            <w:tcBorders>
              <w:top w:val="nil"/>
              <w:left w:val="nil"/>
              <w:bottom w:val="nil"/>
              <w:right w:val="nil"/>
            </w:tcBorders>
            <w:shd w:val="clear" w:color="auto" w:fill="auto"/>
            <w:noWrap/>
            <w:vAlign w:val="center"/>
            <w:hideMark/>
          </w:tcPr>
          <w:p w14:paraId="29CCDFC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2.906</w:t>
            </w:r>
          </w:p>
        </w:tc>
        <w:tc>
          <w:tcPr>
            <w:tcW w:w="986" w:type="dxa"/>
            <w:tcBorders>
              <w:top w:val="nil"/>
              <w:left w:val="nil"/>
              <w:bottom w:val="nil"/>
              <w:right w:val="nil"/>
            </w:tcBorders>
            <w:shd w:val="clear" w:color="auto" w:fill="auto"/>
            <w:noWrap/>
            <w:vAlign w:val="center"/>
            <w:hideMark/>
          </w:tcPr>
          <w:p w14:paraId="33B264F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2.423</w:t>
            </w:r>
          </w:p>
        </w:tc>
      </w:tr>
      <w:tr w:rsidR="007D53EA" w:rsidRPr="007D53EA" w14:paraId="529E8E19" w14:textId="77777777" w:rsidTr="007D53EA">
        <w:trPr>
          <w:trHeight w:val="360"/>
        </w:trPr>
        <w:tc>
          <w:tcPr>
            <w:tcW w:w="2620" w:type="dxa"/>
            <w:gridSpan w:val="2"/>
            <w:tcBorders>
              <w:top w:val="nil"/>
              <w:left w:val="nil"/>
              <w:bottom w:val="nil"/>
              <w:right w:val="nil"/>
            </w:tcBorders>
            <w:shd w:val="clear" w:color="auto" w:fill="auto"/>
            <w:noWrap/>
            <w:vAlign w:val="bottom"/>
            <w:hideMark/>
          </w:tcPr>
          <w:p w14:paraId="648F0D35" w14:textId="77777777" w:rsidR="007D53EA" w:rsidRPr="007D53EA" w:rsidRDefault="007D53EA" w:rsidP="007D53EA">
            <w:pPr>
              <w:spacing w:after="0" w:line="240" w:lineRule="auto"/>
              <w:ind w:left="0" w:right="0" w:firstLine="0"/>
              <w:jc w:val="left"/>
              <w:rPr>
                <w:rFonts w:ascii="Calibri" w:eastAsia="Times New Roman" w:hAnsi="Calibri" w:cs="Calibri"/>
                <w:b/>
                <w:bCs/>
                <w:color w:val="auto"/>
              </w:rPr>
            </w:pPr>
            <w:r w:rsidRPr="007D53EA">
              <w:rPr>
                <w:rFonts w:ascii="Calibri" w:eastAsia="Times New Roman" w:hAnsi="Calibri" w:cs="Calibri"/>
                <w:b/>
                <w:bCs/>
                <w:color w:val="auto"/>
              </w:rPr>
              <w:t>Invalidska</w:t>
            </w:r>
          </w:p>
        </w:tc>
        <w:tc>
          <w:tcPr>
            <w:tcW w:w="986" w:type="dxa"/>
            <w:tcBorders>
              <w:top w:val="nil"/>
              <w:left w:val="nil"/>
              <w:bottom w:val="nil"/>
              <w:right w:val="nil"/>
            </w:tcBorders>
            <w:shd w:val="clear" w:color="auto" w:fill="auto"/>
            <w:noWrap/>
            <w:vAlign w:val="bottom"/>
            <w:hideMark/>
          </w:tcPr>
          <w:p w14:paraId="5EFA9360" w14:textId="77777777" w:rsidR="007D53EA" w:rsidRPr="007D53EA" w:rsidRDefault="007D53EA" w:rsidP="007D53EA">
            <w:pPr>
              <w:spacing w:after="0" w:line="240" w:lineRule="auto"/>
              <w:ind w:left="0" w:right="0" w:firstLine="0"/>
              <w:jc w:val="left"/>
              <w:rPr>
                <w:rFonts w:ascii="Calibri" w:eastAsia="Times New Roman" w:hAnsi="Calibri" w:cs="Calibri"/>
                <w:b/>
                <w:bCs/>
                <w:color w:val="auto"/>
              </w:rPr>
            </w:pPr>
          </w:p>
        </w:tc>
        <w:tc>
          <w:tcPr>
            <w:tcW w:w="1088" w:type="dxa"/>
            <w:tcBorders>
              <w:top w:val="nil"/>
              <w:left w:val="nil"/>
              <w:bottom w:val="nil"/>
              <w:right w:val="nil"/>
            </w:tcBorders>
            <w:shd w:val="clear" w:color="auto" w:fill="auto"/>
            <w:noWrap/>
            <w:vAlign w:val="bottom"/>
            <w:hideMark/>
          </w:tcPr>
          <w:p w14:paraId="4DF4C402"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42105D6A"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08DC7970"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1088" w:type="dxa"/>
            <w:tcBorders>
              <w:top w:val="nil"/>
              <w:left w:val="nil"/>
              <w:bottom w:val="nil"/>
              <w:right w:val="nil"/>
            </w:tcBorders>
            <w:shd w:val="clear" w:color="auto" w:fill="auto"/>
            <w:noWrap/>
            <w:vAlign w:val="bottom"/>
            <w:hideMark/>
          </w:tcPr>
          <w:p w14:paraId="0D2B6D92"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56173023"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r>
      <w:tr w:rsidR="007D53EA" w:rsidRPr="007D53EA" w14:paraId="74AB94C3" w14:textId="77777777" w:rsidTr="007D53EA">
        <w:trPr>
          <w:trHeight w:val="345"/>
        </w:trPr>
        <w:tc>
          <w:tcPr>
            <w:tcW w:w="168" w:type="dxa"/>
            <w:tcBorders>
              <w:top w:val="nil"/>
              <w:left w:val="nil"/>
              <w:bottom w:val="nil"/>
              <w:right w:val="nil"/>
            </w:tcBorders>
            <w:shd w:val="clear" w:color="auto" w:fill="auto"/>
            <w:noWrap/>
            <w:vAlign w:val="bottom"/>
            <w:hideMark/>
          </w:tcPr>
          <w:p w14:paraId="27BE37B1"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2452" w:type="dxa"/>
            <w:tcBorders>
              <w:top w:val="nil"/>
              <w:left w:val="nil"/>
              <w:bottom w:val="nil"/>
              <w:right w:val="single" w:sz="4" w:space="0" w:color="auto"/>
            </w:tcBorders>
            <w:shd w:val="clear" w:color="auto" w:fill="auto"/>
            <w:noWrap/>
            <w:vAlign w:val="bottom"/>
            <w:hideMark/>
          </w:tcPr>
          <w:p w14:paraId="476B3646" w14:textId="77777777" w:rsidR="007D53EA" w:rsidRPr="007D53EA" w:rsidRDefault="007D53EA" w:rsidP="007D53EA">
            <w:pPr>
              <w:spacing w:after="0" w:line="240" w:lineRule="auto"/>
              <w:ind w:left="0" w:right="0" w:firstLine="0"/>
              <w:jc w:val="left"/>
              <w:rPr>
                <w:rFonts w:ascii="Calibri" w:eastAsia="Times New Roman" w:hAnsi="Calibri" w:cs="Calibri"/>
                <w:color w:val="auto"/>
              </w:rPr>
            </w:pPr>
            <w:r w:rsidRPr="007D53EA">
              <w:rPr>
                <w:rFonts w:ascii="Calibri" w:eastAsia="Times New Roman" w:hAnsi="Calibri" w:cs="Calibri"/>
                <w:color w:val="auto"/>
              </w:rPr>
              <w:t>Broj korisnika</w:t>
            </w:r>
          </w:p>
        </w:tc>
        <w:tc>
          <w:tcPr>
            <w:tcW w:w="986" w:type="dxa"/>
            <w:tcBorders>
              <w:top w:val="nil"/>
              <w:left w:val="nil"/>
              <w:bottom w:val="nil"/>
              <w:right w:val="nil"/>
            </w:tcBorders>
            <w:shd w:val="clear" w:color="auto" w:fill="auto"/>
            <w:noWrap/>
            <w:vAlign w:val="bottom"/>
            <w:hideMark/>
          </w:tcPr>
          <w:p w14:paraId="770E0560"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911</w:t>
            </w:r>
          </w:p>
        </w:tc>
        <w:tc>
          <w:tcPr>
            <w:tcW w:w="1088" w:type="dxa"/>
            <w:tcBorders>
              <w:top w:val="nil"/>
              <w:left w:val="nil"/>
              <w:bottom w:val="nil"/>
              <w:right w:val="nil"/>
            </w:tcBorders>
            <w:shd w:val="clear" w:color="auto" w:fill="auto"/>
            <w:noWrap/>
            <w:vAlign w:val="bottom"/>
            <w:hideMark/>
          </w:tcPr>
          <w:p w14:paraId="6FF12DEE"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651</w:t>
            </w:r>
          </w:p>
        </w:tc>
        <w:tc>
          <w:tcPr>
            <w:tcW w:w="986" w:type="dxa"/>
            <w:tcBorders>
              <w:top w:val="nil"/>
              <w:left w:val="nil"/>
              <w:bottom w:val="nil"/>
              <w:right w:val="nil"/>
            </w:tcBorders>
            <w:shd w:val="clear" w:color="auto" w:fill="auto"/>
            <w:noWrap/>
            <w:vAlign w:val="bottom"/>
            <w:hideMark/>
          </w:tcPr>
          <w:p w14:paraId="127BFF9F"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260</w:t>
            </w:r>
          </w:p>
        </w:tc>
        <w:tc>
          <w:tcPr>
            <w:tcW w:w="986" w:type="dxa"/>
            <w:tcBorders>
              <w:top w:val="nil"/>
              <w:left w:val="nil"/>
              <w:bottom w:val="nil"/>
              <w:right w:val="nil"/>
            </w:tcBorders>
            <w:shd w:val="clear" w:color="auto" w:fill="auto"/>
            <w:noWrap/>
            <w:vAlign w:val="bottom"/>
            <w:hideMark/>
          </w:tcPr>
          <w:p w14:paraId="3A0A297D"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852</w:t>
            </w:r>
          </w:p>
        </w:tc>
        <w:tc>
          <w:tcPr>
            <w:tcW w:w="1088" w:type="dxa"/>
            <w:tcBorders>
              <w:top w:val="nil"/>
              <w:left w:val="nil"/>
              <w:bottom w:val="nil"/>
              <w:right w:val="nil"/>
            </w:tcBorders>
            <w:shd w:val="clear" w:color="auto" w:fill="auto"/>
            <w:noWrap/>
            <w:vAlign w:val="bottom"/>
            <w:hideMark/>
          </w:tcPr>
          <w:p w14:paraId="32E67920"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608</w:t>
            </w:r>
          </w:p>
        </w:tc>
        <w:tc>
          <w:tcPr>
            <w:tcW w:w="986" w:type="dxa"/>
            <w:tcBorders>
              <w:top w:val="nil"/>
              <w:left w:val="nil"/>
              <w:bottom w:val="nil"/>
              <w:right w:val="nil"/>
            </w:tcBorders>
            <w:shd w:val="clear" w:color="auto" w:fill="auto"/>
            <w:noWrap/>
            <w:vAlign w:val="bottom"/>
            <w:hideMark/>
          </w:tcPr>
          <w:p w14:paraId="4EC19CD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244</w:t>
            </w:r>
          </w:p>
        </w:tc>
      </w:tr>
      <w:tr w:rsidR="007D53EA" w:rsidRPr="007D53EA" w14:paraId="2C486AD4" w14:textId="77777777" w:rsidTr="007D53EA">
        <w:trPr>
          <w:trHeight w:val="315"/>
        </w:trPr>
        <w:tc>
          <w:tcPr>
            <w:tcW w:w="168" w:type="dxa"/>
            <w:tcBorders>
              <w:top w:val="nil"/>
              <w:left w:val="nil"/>
              <w:bottom w:val="nil"/>
              <w:right w:val="nil"/>
            </w:tcBorders>
            <w:shd w:val="clear" w:color="auto" w:fill="auto"/>
            <w:noWrap/>
            <w:vAlign w:val="bottom"/>
            <w:hideMark/>
          </w:tcPr>
          <w:p w14:paraId="7576EBCE"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noWrap/>
            <w:vAlign w:val="bottom"/>
            <w:hideMark/>
          </w:tcPr>
          <w:p w14:paraId="6E413E7C" w14:textId="77777777" w:rsidR="007D53EA" w:rsidRPr="007D53EA" w:rsidRDefault="007D53EA" w:rsidP="007D53EA">
            <w:pPr>
              <w:spacing w:after="0" w:line="240" w:lineRule="auto"/>
              <w:ind w:left="0" w:right="0" w:firstLine="0"/>
              <w:jc w:val="left"/>
              <w:rPr>
                <w:rFonts w:ascii="Calibri" w:eastAsia="Times New Roman" w:hAnsi="Calibri" w:cs="Calibri"/>
                <w:color w:val="auto"/>
                <w:sz w:val="20"/>
                <w:szCs w:val="20"/>
              </w:rPr>
            </w:pPr>
            <w:r w:rsidRPr="007D53EA">
              <w:rPr>
                <w:rFonts w:ascii="Calibri" w:eastAsia="Times New Roman" w:hAnsi="Calibri" w:cs="Calibri"/>
                <w:color w:val="auto"/>
              </w:rPr>
              <w:t>Prosječan staž</w:t>
            </w:r>
          </w:p>
        </w:tc>
        <w:tc>
          <w:tcPr>
            <w:tcW w:w="986" w:type="dxa"/>
            <w:tcBorders>
              <w:top w:val="nil"/>
              <w:left w:val="nil"/>
              <w:bottom w:val="nil"/>
              <w:right w:val="nil"/>
            </w:tcBorders>
            <w:shd w:val="clear" w:color="auto" w:fill="auto"/>
            <w:noWrap/>
            <w:vAlign w:val="bottom"/>
            <w:hideMark/>
          </w:tcPr>
          <w:p w14:paraId="5807169A"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22</w:t>
            </w:r>
          </w:p>
        </w:tc>
        <w:tc>
          <w:tcPr>
            <w:tcW w:w="1088" w:type="dxa"/>
            <w:tcBorders>
              <w:top w:val="nil"/>
              <w:left w:val="nil"/>
              <w:bottom w:val="nil"/>
              <w:right w:val="nil"/>
            </w:tcBorders>
            <w:shd w:val="clear" w:color="auto" w:fill="auto"/>
            <w:noWrap/>
            <w:vAlign w:val="bottom"/>
            <w:hideMark/>
          </w:tcPr>
          <w:p w14:paraId="22FB0004"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23</w:t>
            </w:r>
          </w:p>
        </w:tc>
        <w:tc>
          <w:tcPr>
            <w:tcW w:w="986" w:type="dxa"/>
            <w:tcBorders>
              <w:top w:val="nil"/>
              <w:left w:val="nil"/>
              <w:bottom w:val="nil"/>
              <w:right w:val="nil"/>
            </w:tcBorders>
            <w:shd w:val="clear" w:color="auto" w:fill="auto"/>
            <w:noWrap/>
            <w:vAlign w:val="bottom"/>
            <w:hideMark/>
          </w:tcPr>
          <w:p w14:paraId="123C6CC7"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21</w:t>
            </w:r>
          </w:p>
        </w:tc>
        <w:tc>
          <w:tcPr>
            <w:tcW w:w="986" w:type="dxa"/>
            <w:tcBorders>
              <w:top w:val="nil"/>
              <w:left w:val="nil"/>
              <w:bottom w:val="nil"/>
              <w:right w:val="nil"/>
            </w:tcBorders>
            <w:shd w:val="clear" w:color="auto" w:fill="auto"/>
            <w:noWrap/>
            <w:vAlign w:val="bottom"/>
            <w:hideMark/>
          </w:tcPr>
          <w:p w14:paraId="3325C12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22</w:t>
            </w:r>
          </w:p>
        </w:tc>
        <w:tc>
          <w:tcPr>
            <w:tcW w:w="1088" w:type="dxa"/>
            <w:tcBorders>
              <w:top w:val="nil"/>
              <w:left w:val="nil"/>
              <w:bottom w:val="nil"/>
              <w:right w:val="nil"/>
            </w:tcBorders>
            <w:shd w:val="clear" w:color="auto" w:fill="auto"/>
            <w:noWrap/>
            <w:vAlign w:val="bottom"/>
            <w:hideMark/>
          </w:tcPr>
          <w:p w14:paraId="4A707546"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22</w:t>
            </w:r>
          </w:p>
        </w:tc>
        <w:tc>
          <w:tcPr>
            <w:tcW w:w="986" w:type="dxa"/>
            <w:tcBorders>
              <w:top w:val="nil"/>
              <w:left w:val="nil"/>
              <w:bottom w:val="nil"/>
              <w:right w:val="nil"/>
            </w:tcBorders>
            <w:shd w:val="clear" w:color="auto" w:fill="auto"/>
            <w:noWrap/>
            <w:vAlign w:val="bottom"/>
            <w:hideMark/>
          </w:tcPr>
          <w:p w14:paraId="574FD26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21</w:t>
            </w:r>
          </w:p>
        </w:tc>
      </w:tr>
      <w:tr w:rsidR="007D53EA" w:rsidRPr="007D53EA" w14:paraId="372BBFD7" w14:textId="77777777" w:rsidTr="007D53EA">
        <w:trPr>
          <w:trHeight w:val="645"/>
        </w:trPr>
        <w:tc>
          <w:tcPr>
            <w:tcW w:w="168" w:type="dxa"/>
            <w:tcBorders>
              <w:top w:val="nil"/>
              <w:left w:val="nil"/>
              <w:bottom w:val="nil"/>
              <w:right w:val="nil"/>
            </w:tcBorders>
            <w:shd w:val="clear" w:color="auto" w:fill="auto"/>
            <w:noWrap/>
            <w:vAlign w:val="bottom"/>
            <w:hideMark/>
          </w:tcPr>
          <w:p w14:paraId="71370893"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vAlign w:val="center"/>
            <w:hideMark/>
          </w:tcPr>
          <w:p w14:paraId="6750ED21" w14:textId="77777777" w:rsidR="007D53EA" w:rsidRPr="007D53EA" w:rsidRDefault="007D53EA" w:rsidP="007D53EA">
            <w:pPr>
              <w:spacing w:after="0" w:line="240" w:lineRule="auto"/>
              <w:ind w:left="0" w:right="0" w:firstLine="0"/>
              <w:jc w:val="left"/>
              <w:rPr>
                <w:rFonts w:ascii="Calibri" w:eastAsia="Times New Roman" w:hAnsi="Calibri" w:cs="Calibri"/>
                <w:color w:val="auto"/>
              </w:rPr>
            </w:pPr>
            <w:r w:rsidRPr="007D53EA">
              <w:rPr>
                <w:rFonts w:ascii="Calibri" w:eastAsia="Times New Roman" w:hAnsi="Calibri" w:cs="Calibri"/>
                <w:color w:val="auto"/>
              </w:rPr>
              <w:t>Prosječna mjesečna mirovina u kunama</w:t>
            </w:r>
            <w:r w:rsidRPr="007D53EA">
              <w:rPr>
                <w:rFonts w:ascii="Calibri" w:eastAsia="Times New Roman" w:hAnsi="Calibri" w:cs="Calibri"/>
                <w:color w:val="auto"/>
                <w:vertAlign w:val="superscript"/>
              </w:rPr>
              <w:t>1)</w:t>
            </w:r>
          </w:p>
        </w:tc>
        <w:tc>
          <w:tcPr>
            <w:tcW w:w="986" w:type="dxa"/>
            <w:tcBorders>
              <w:top w:val="nil"/>
              <w:left w:val="nil"/>
              <w:bottom w:val="nil"/>
              <w:right w:val="nil"/>
            </w:tcBorders>
            <w:shd w:val="clear" w:color="auto" w:fill="auto"/>
            <w:noWrap/>
            <w:vAlign w:val="center"/>
            <w:hideMark/>
          </w:tcPr>
          <w:p w14:paraId="26A60366"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2.053</w:t>
            </w:r>
          </w:p>
        </w:tc>
        <w:tc>
          <w:tcPr>
            <w:tcW w:w="1088" w:type="dxa"/>
            <w:tcBorders>
              <w:top w:val="nil"/>
              <w:left w:val="nil"/>
              <w:bottom w:val="nil"/>
              <w:right w:val="nil"/>
            </w:tcBorders>
            <w:shd w:val="clear" w:color="auto" w:fill="auto"/>
            <w:noWrap/>
            <w:vAlign w:val="center"/>
            <w:hideMark/>
          </w:tcPr>
          <w:p w14:paraId="49DD35E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2.159</w:t>
            </w:r>
          </w:p>
        </w:tc>
        <w:tc>
          <w:tcPr>
            <w:tcW w:w="986" w:type="dxa"/>
            <w:tcBorders>
              <w:top w:val="nil"/>
              <w:left w:val="nil"/>
              <w:bottom w:val="nil"/>
              <w:right w:val="nil"/>
            </w:tcBorders>
            <w:shd w:val="clear" w:color="auto" w:fill="auto"/>
            <w:noWrap/>
            <w:vAlign w:val="center"/>
            <w:hideMark/>
          </w:tcPr>
          <w:p w14:paraId="466A7EB8"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1.790</w:t>
            </w:r>
          </w:p>
        </w:tc>
        <w:tc>
          <w:tcPr>
            <w:tcW w:w="986" w:type="dxa"/>
            <w:tcBorders>
              <w:top w:val="nil"/>
              <w:left w:val="nil"/>
              <w:bottom w:val="nil"/>
              <w:right w:val="nil"/>
            </w:tcBorders>
            <w:shd w:val="clear" w:color="auto" w:fill="auto"/>
            <w:noWrap/>
            <w:vAlign w:val="center"/>
            <w:hideMark/>
          </w:tcPr>
          <w:p w14:paraId="7E8C2677"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2.088</w:t>
            </w:r>
          </w:p>
        </w:tc>
        <w:tc>
          <w:tcPr>
            <w:tcW w:w="1088" w:type="dxa"/>
            <w:tcBorders>
              <w:top w:val="nil"/>
              <w:left w:val="nil"/>
              <w:bottom w:val="nil"/>
              <w:right w:val="nil"/>
            </w:tcBorders>
            <w:shd w:val="clear" w:color="auto" w:fill="auto"/>
            <w:noWrap/>
            <w:vAlign w:val="center"/>
            <w:hideMark/>
          </w:tcPr>
          <w:p w14:paraId="61ACAA53"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2.204</w:t>
            </w:r>
          </w:p>
        </w:tc>
        <w:tc>
          <w:tcPr>
            <w:tcW w:w="986" w:type="dxa"/>
            <w:tcBorders>
              <w:top w:val="nil"/>
              <w:left w:val="nil"/>
              <w:bottom w:val="nil"/>
              <w:right w:val="nil"/>
            </w:tcBorders>
            <w:shd w:val="clear" w:color="auto" w:fill="auto"/>
            <w:noWrap/>
            <w:vAlign w:val="center"/>
            <w:hideMark/>
          </w:tcPr>
          <w:p w14:paraId="380F1F2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1.802</w:t>
            </w:r>
          </w:p>
        </w:tc>
      </w:tr>
      <w:tr w:rsidR="007D53EA" w:rsidRPr="007D53EA" w14:paraId="68CC7967" w14:textId="77777777" w:rsidTr="007D53EA">
        <w:trPr>
          <w:trHeight w:val="360"/>
        </w:trPr>
        <w:tc>
          <w:tcPr>
            <w:tcW w:w="2620" w:type="dxa"/>
            <w:gridSpan w:val="2"/>
            <w:tcBorders>
              <w:top w:val="nil"/>
              <w:left w:val="nil"/>
              <w:bottom w:val="nil"/>
              <w:right w:val="nil"/>
            </w:tcBorders>
            <w:shd w:val="clear" w:color="auto" w:fill="auto"/>
            <w:noWrap/>
            <w:vAlign w:val="bottom"/>
            <w:hideMark/>
          </w:tcPr>
          <w:p w14:paraId="246B6151" w14:textId="77777777" w:rsidR="007D53EA" w:rsidRPr="007D53EA" w:rsidRDefault="007D53EA" w:rsidP="007D53EA">
            <w:pPr>
              <w:spacing w:after="0" w:line="240" w:lineRule="auto"/>
              <w:ind w:left="0" w:right="0" w:firstLine="0"/>
              <w:jc w:val="left"/>
              <w:rPr>
                <w:rFonts w:ascii="Calibri" w:eastAsia="Times New Roman" w:hAnsi="Calibri" w:cs="Calibri"/>
                <w:b/>
                <w:bCs/>
                <w:color w:val="auto"/>
              </w:rPr>
            </w:pPr>
            <w:r w:rsidRPr="007D53EA">
              <w:rPr>
                <w:rFonts w:ascii="Calibri" w:eastAsia="Times New Roman" w:hAnsi="Calibri" w:cs="Calibri"/>
                <w:b/>
                <w:bCs/>
                <w:color w:val="auto"/>
              </w:rPr>
              <w:t>Obiteljska</w:t>
            </w:r>
            <w:r w:rsidRPr="007D53EA">
              <w:rPr>
                <w:rFonts w:ascii="Calibri" w:eastAsia="Times New Roman" w:hAnsi="Calibri" w:cs="Calibri"/>
                <w:b/>
                <w:bCs/>
                <w:color w:val="auto"/>
                <w:vertAlign w:val="superscript"/>
              </w:rPr>
              <w:t>2)</w:t>
            </w:r>
          </w:p>
        </w:tc>
        <w:tc>
          <w:tcPr>
            <w:tcW w:w="986" w:type="dxa"/>
            <w:tcBorders>
              <w:top w:val="nil"/>
              <w:left w:val="nil"/>
              <w:bottom w:val="nil"/>
              <w:right w:val="nil"/>
            </w:tcBorders>
            <w:shd w:val="clear" w:color="auto" w:fill="auto"/>
            <w:noWrap/>
            <w:vAlign w:val="bottom"/>
            <w:hideMark/>
          </w:tcPr>
          <w:p w14:paraId="46811B78" w14:textId="77777777" w:rsidR="007D53EA" w:rsidRPr="007D53EA" w:rsidRDefault="007D53EA" w:rsidP="007D53EA">
            <w:pPr>
              <w:spacing w:after="0" w:line="240" w:lineRule="auto"/>
              <w:ind w:left="0" w:right="0" w:firstLine="0"/>
              <w:jc w:val="left"/>
              <w:rPr>
                <w:rFonts w:ascii="Calibri" w:eastAsia="Times New Roman" w:hAnsi="Calibri" w:cs="Calibri"/>
                <w:b/>
                <w:bCs/>
                <w:color w:val="auto"/>
              </w:rPr>
            </w:pPr>
          </w:p>
        </w:tc>
        <w:tc>
          <w:tcPr>
            <w:tcW w:w="1088" w:type="dxa"/>
            <w:tcBorders>
              <w:top w:val="nil"/>
              <w:left w:val="nil"/>
              <w:bottom w:val="nil"/>
              <w:right w:val="nil"/>
            </w:tcBorders>
            <w:shd w:val="clear" w:color="auto" w:fill="auto"/>
            <w:noWrap/>
            <w:vAlign w:val="bottom"/>
            <w:hideMark/>
          </w:tcPr>
          <w:p w14:paraId="6207A987"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5AFF7F33"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16BFBB98"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1088" w:type="dxa"/>
            <w:tcBorders>
              <w:top w:val="nil"/>
              <w:left w:val="nil"/>
              <w:bottom w:val="nil"/>
              <w:right w:val="nil"/>
            </w:tcBorders>
            <w:shd w:val="clear" w:color="auto" w:fill="auto"/>
            <w:noWrap/>
            <w:vAlign w:val="bottom"/>
            <w:hideMark/>
          </w:tcPr>
          <w:p w14:paraId="548C778E"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2BD36B6A"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r>
      <w:tr w:rsidR="007D53EA" w:rsidRPr="007D53EA" w14:paraId="62E813A4" w14:textId="77777777" w:rsidTr="007D53EA">
        <w:trPr>
          <w:trHeight w:val="345"/>
        </w:trPr>
        <w:tc>
          <w:tcPr>
            <w:tcW w:w="168" w:type="dxa"/>
            <w:tcBorders>
              <w:top w:val="nil"/>
              <w:left w:val="nil"/>
              <w:bottom w:val="nil"/>
              <w:right w:val="nil"/>
            </w:tcBorders>
            <w:shd w:val="clear" w:color="auto" w:fill="auto"/>
            <w:noWrap/>
            <w:vAlign w:val="bottom"/>
            <w:hideMark/>
          </w:tcPr>
          <w:p w14:paraId="075A5198"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2452" w:type="dxa"/>
            <w:tcBorders>
              <w:top w:val="nil"/>
              <w:left w:val="nil"/>
              <w:bottom w:val="nil"/>
              <w:right w:val="single" w:sz="4" w:space="0" w:color="auto"/>
            </w:tcBorders>
            <w:shd w:val="clear" w:color="auto" w:fill="auto"/>
            <w:noWrap/>
            <w:vAlign w:val="bottom"/>
            <w:hideMark/>
          </w:tcPr>
          <w:p w14:paraId="2EF8DA49" w14:textId="77777777" w:rsidR="007D53EA" w:rsidRPr="007D53EA" w:rsidRDefault="007D53EA" w:rsidP="007D53EA">
            <w:pPr>
              <w:spacing w:after="0" w:line="240" w:lineRule="auto"/>
              <w:ind w:left="0" w:right="0" w:firstLine="0"/>
              <w:jc w:val="left"/>
              <w:rPr>
                <w:rFonts w:ascii="Calibri" w:eastAsia="Times New Roman" w:hAnsi="Calibri" w:cs="Calibri"/>
                <w:color w:val="auto"/>
              </w:rPr>
            </w:pPr>
            <w:r w:rsidRPr="007D53EA">
              <w:rPr>
                <w:rFonts w:ascii="Calibri" w:eastAsia="Times New Roman" w:hAnsi="Calibri" w:cs="Calibri"/>
                <w:color w:val="auto"/>
              </w:rPr>
              <w:t>Broj korisnika</w:t>
            </w:r>
          </w:p>
        </w:tc>
        <w:tc>
          <w:tcPr>
            <w:tcW w:w="986" w:type="dxa"/>
            <w:tcBorders>
              <w:top w:val="nil"/>
              <w:left w:val="nil"/>
              <w:bottom w:val="nil"/>
              <w:right w:val="nil"/>
            </w:tcBorders>
            <w:shd w:val="clear" w:color="auto" w:fill="auto"/>
            <w:noWrap/>
            <w:vAlign w:val="bottom"/>
            <w:hideMark/>
          </w:tcPr>
          <w:p w14:paraId="1BDAE07D"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789</w:t>
            </w:r>
          </w:p>
        </w:tc>
        <w:tc>
          <w:tcPr>
            <w:tcW w:w="1088" w:type="dxa"/>
            <w:tcBorders>
              <w:top w:val="nil"/>
              <w:left w:val="nil"/>
              <w:bottom w:val="nil"/>
              <w:right w:val="nil"/>
            </w:tcBorders>
            <w:shd w:val="clear" w:color="auto" w:fill="auto"/>
            <w:noWrap/>
            <w:vAlign w:val="bottom"/>
            <w:hideMark/>
          </w:tcPr>
          <w:p w14:paraId="36E2D734"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94</w:t>
            </w:r>
          </w:p>
        </w:tc>
        <w:tc>
          <w:tcPr>
            <w:tcW w:w="986" w:type="dxa"/>
            <w:tcBorders>
              <w:top w:val="nil"/>
              <w:left w:val="nil"/>
              <w:bottom w:val="nil"/>
              <w:right w:val="nil"/>
            </w:tcBorders>
            <w:shd w:val="clear" w:color="auto" w:fill="auto"/>
            <w:noWrap/>
            <w:vAlign w:val="bottom"/>
            <w:hideMark/>
          </w:tcPr>
          <w:p w14:paraId="3766BDC8"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695</w:t>
            </w:r>
          </w:p>
        </w:tc>
        <w:tc>
          <w:tcPr>
            <w:tcW w:w="986" w:type="dxa"/>
            <w:tcBorders>
              <w:top w:val="nil"/>
              <w:left w:val="nil"/>
              <w:bottom w:val="nil"/>
              <w:right w:val="nil"/>
            </w:tcBorders>
            <w:shd w:val="clear" w:color="auto" w:fill="auto"/>
            <w:noWrap/>
            <w:vAlign w:val="bottom"/>
            <w:hideMark/>
          </w:tcPr>
          <w:p w14:paraId="7B8B7DF7"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783</w:t>
            </w:r>
          </w:p>
        </w:tc>
        <w:tc>
          <w:tcPr>
            <w:tcW w:w="1088" w:type="dxa"/>
            <w:tcBorders>
              <w:top w:val="nil"/>
              <w:left w:val="nil"/>
              <w:bottom w:val="nil"/>
              <w:right w:val="nil"/>
            </w:tcBorders>
            <w:shd w:val="clear" w:color="auto" w:fill="auto"/>
            <w:noWrap/>
            <w:vAlign w:val="bottom"/>
            <w:hideMark/>
          </w:tcPr>
          <w:p w14:paraId="316C648B"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90</w:t>
            </w:r>
          </w:p>
        </w:tc>
        <w:tc>
          <w:tcPr>
            <w:tcW w:w="986" w:type="dxa"/>
            <w:tcBorders>
              <w:top w:val="nil"/>
              <w:left w:val="nil"/>
              <w:bottom w:val="nil"/>
              <w:right w:val="nil"/>
            </w:tcBorders>
            <w:shd w:val="clear" w:color="auto" w:fill="auto"/>
            <w:noWrap/>
            <w:vAlign w:val="bottom"/>
            <w:hideMark/>
          </w:tcPr>
          <w:p w14:paraId="2659ED0F"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693</w:t>
            </w:r>
          </w:p>
        </w:tc>
      </w:tr>
      <w:tr w:rsidR="007D53EA" w:rsidRPr="007D53EA" w14:paraId="67E2043C" w14:textId="77777777" w:rsidTr="007D53EA">
        <w:trPr>
          <w:trHeight w:val="315"/>
        </w:trPr>
        <w:tc>
          <w:tcPr>
            <w:tcW w:w="168" w:type="dxa"/>
            <w:tcBorders>
              <w:top w:val="nil"/>
              <w:left w:val="nil"/>
              <w:bottom w:val="nil"/>
              <w:right w:val="nil"/>
            </w:tcBorders>
            <w:shd w:val="clear" w:color="auto" w:fill="auto"/>
            <w:noWrap/>
            <w:vAlign w:val="bottom"/>
            <w:hideMark/>
          </w:tcPr>
          <w:p w14:paraId="7C466772"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noWrap/>
            <w:vAlign w:val="bottom"/>
            <w:hideMark/>
          </w:tcPr>
          <w:p w14:paraId="33FB7DB2" w14:textId="77777777" w:rsidR="007D53EA" w:rsidRPr="007D53EA" w:rsidRDefault="007D53EA" w:rsidP="007D53EA">
            <w:pPr>
              <w:spacing w:after="0" w:line="240" w:lineRule="auto"/>
              <w:ind w:left="0" w:right="0" w:firstLine="0"/>
              <w:jc w:val="left"/>
              <w:rPr>
                <w:rFonts w:ascii="Calibri" w:eastAsia="Times New Roman" w:hAnsi="Calibri" w:cs="Calibri"/>
                <w:color w:val="auto"/>
                <w:sz w:val="20"/>
                <w:szCs w:val="20"/>
              </w:rPr>
            </w:pPr>
            <w:r w:rsidRPr="007D53EA">
              <w:rPr>
                <w:rFonts w:ascii="Calibri" w:eastAsia="Times New Roman" w:hAnsi="Calibri" w:cs="Calibri"/>
                <w:color w:val="auto"/>
              </w:rPr>
              <w:t>Prosječan staž</w:t>
            </w:r>
          </w:p>
        </w:tc>
        <w:tc>
          <w:tcPr>
            <w:tcW w:w="986" w:type="dxa"/>
            <w:tcBorders>
              <w:top w:val="nil"/>
              <w:left w:val="nil"/>
              <w:bottom w:val="nil"/>
              <w:right w:val="nil"/>
            </w:tcBorders>
            <w:shd w:val="clear" w:color="auto" w:fill="auto"/>
            <w:noWrap/>
            <w:vAlign w:val="bottom"/>
            <w:hideMark/>
          </w:tcPr>
          <w:p w14:paraId="5211E41D"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27</w:t>
            </w:r>
          </w:p>
        </w:tc>
        <w:tc>
          <w:tcPr>
            <w:tcW w:w="1088" w:type="dxa"/>
            <w:tcBorders>
              <w:top w:val="nil"/>
              <w:left w:val="nil"/>
              <w:bottom w:val="nil"/>
              <w:right w:val="nil"/>
            </w:tcBorders>
            <w:shd w:val="clear" w:color="auto" w:fill="auto"/>
            <w:noWrap/>
            <w:vAlign w:val="bottom"/>
            <w:hideMark/>
          </w:tcPr>
          <w:p w14:paraId="13690D32"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19</w:t>
            </w:r>
          </w:p>
        </w:tc>
        <w:tc>
          <w:tcPr>
            <w:tcW w:w="986" w:type="dxa"/>
            <w:tcBorders>
              <w:top w:val="nil"/>
              <w:left w:val="nil"/>
              <w:bottom w:val="nil"/>
              <w:right w:val="nil"/>
            </w:tcBorders>
            <w:shd w:val="clear" w:color="auto" w:fill="auto"/>
            <w:noWrap/>
            <w:vAlign w:val="bottom"/>
            <w:hideMark/>
          </w:tcPr>
          <w:p w14:paraId="402BF6C7"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28</w:t>
            </w:r>
          </w:p>
        </w:tc>
        <w:tc>
          <w:tcPr>
            <w:tcW w:w="986" w:type="dxa"/>
            <w:tcBorders>
              <w:top w:val="nil"/>
              <w:left w:val="nil"/>
              <w:bottom w:val="nil"/>
              <w:right w:val="nil"/>
            </w:tcBorders>
            <w:shd w:val="clear" w:color="auto" w:fill="auto"/>
            <w:noWrap/>
            <w:vAlign w:val="bottom"/>
            <w:hideMark/>
          </w:tcPr>
          <w:p w14:paraId="71A7124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27</w:t>
            </w:r>
          </w:p>
        </w:tc>
        <w:tc>
          <w:tcPr>
            <w:tcW w:w="1088" w:type="dxa"/>
            <w:tcBorders>
              <w:top w:val="nil"/>
              <w:left w:val="nil"/>
              <w:bottom w:val="nil"/>
              <w:right w:val="nil"/>
            </w:tcBorders>
            <w:shd w:val="clear" w:color="auto" w:fill="auto"/>
            <w:noWrap/>
            <w:vAlign w:val="bottom"/>
            <w:hideMark/>
          </w:tcPr>
          <w:p w14:paraId="3175DDEE"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19</w:t>
            </w:r>
          </w:p>
        </w:tc>
        <w:tc>
          <w:tcPr>
            <w:tcW w:w="986" w:type="dxa"/>
            <w:tcBorders>
              <w:top w:val="nil"/>
              <w:left w:val="nil"/>
              <w:bottom w:val="nil"/>
              <w:right w:val="nil"/>
            </w:tcBorders>
            <w:shd w:val="clear" w:color="auto" w:fill="auto"/>
            <w:noWrap/>
            <w:vAlign w:val="bottom"/>
            <w:hideMark/>
          </w:tcPr>
          <w:p w14:paraId="11CFB1BB"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28</w:t>
            </w:r>
          </w:p>
        </w:tc>
      </w:tr>
      <w:tr w:rsidR="007D53EA" w:rsidRPr="007D53EA" w14:paraId="04F2F45D" w14:textId="77777777" w:rsidTr="007D53EA">
        <w:trPr>
          <w:trHeight w:val="645"/>
        </w:trPr>
        <w:tc>
          <w:tcPr>
            <w:tcW w:w="168" w:type="dxa"/>
            <w:tcBorders>
              <w:top w:val="nil"/>
              <w:left w:val="nil"/>
              <w:bottom w:val="nil"/>
              <w:right w:val="nil"/>
            </w:tcBorders>
            <w:shd w:val="clear" w:color="auto" w:fill="auto"/>
            <w:noWrap/>
            <w:vAlign w:val="bottom"/>
            <w:hideMark/>
          </w:tcPr>
          <w:p w14:paraId="64C95F91"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vAlign w:val="center"/>
            <w:hideMark/>
          </w:tcPr>
          <w:p w14:paraId="1C641B7D" w14:textId="77777777" w:rsidR="007D53EA" w:rsidRPr="007D53EA" w:rsidRDefault="007D53EA" w:rsidP="007D53EA">
            <w:pPr>
              <w:spacing w:after="0" w:line="240" w:lineRule="auto"/>
              <w:ind w:left="0" w:right="0" w:firstLine="0"/>
              <w:jc w:val="left"/>
              <w:rPr>
                <w:rFonts w:ascii="Calibri" w:eastAsia="Times New Roman" w:hAnsi="Calibri" w:cs="Calibri"/>
                <w:color w:val="auto"/>
              </w:rPr>
            </w:pPr>
            <w:r w:rsidRPr="007D53EA">
              <w:rPr>
                <w:rFonts w:ascii="Calibri" w:eastAsia="Times New Roman" w:hAnsi="Calibri" w:cs="Calibri"/>
                <w:color w:val="auto"/>
              </w:rPr>
              <w:t>Prosječna mjesečna mirovina u kunama</w:t>
            </w:r>
            <w:r w:rsidRPr="007D53EA">
              <w:rPr>
                <w:rFonts w:ascii="Calibri" w:eastAsia="Times New Roman" w:hAnsi="Calibri" w:cs="Calibri"/>
                <w:color w:val="auto"/>
                <w:vertAlign w:val="superscript"/>
              </w:rPr>
              <w:t>1)</w:t>
            </w:r>
          </w:p>
        </w:tc>
        <w:tc>
          <w:tcPr>
            <w:tcW w:w="986" w:type="dxa"/>
            <w:tcBorders>
              <w:top w:val="nil"/>
              <w:left w:val="nil"/>
              <w:bottom w:val="nil"/>
              <w:right w:val="nil"/>
            </w:tcBorders>
            <w:shd w:val="clear" w:color="auto" w:fill="auto"/>
            <w:noWrap/>
            <w:vAlign w:val="center"/>
            <w:hideMark/>
          </w:tcPr>
          <w:p w14:paraId="477F4DC5"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2.086</w:t>
            </w:r>
          </w:p>
        </w:tc>
        <w:tc>
          <w:tcPr>
            <w:tcW w:w="1088" w:type="dxa"/>
            <w:tcBorders>
              <w:top w:val="nil"/>
              <w:left w:val="nil"/>
              <w:bottom w:val="nil"/>
              <w:right w:val="nil"/>
            </w:tcBorders>
            <w:shd w:val="clear" w:color="auto" w:fill="auto"/>
            <w:noWrap/>
            <w:vAlign w:val="center"/>
            <w:hideMark/>
          </w:tcPr>
          <w:p w14:paraId="79D763B7"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1.701</w:t>
            </w:r>
          </w:p>
        </w:tc>
        <w:tc>
          <w:tcPr>
            <w:tcW w:w="986" w:type="dxa"/>
            <w:tcBorders>
              <w:top w:val="nil"/>
              <w:left w:val="nil"/>
              <w:bottom w:val="nil"/>
              <w:right w:val="nil"/>
            </w:tcBorders>
            <w:shd w:val="clear" w:color="auto" w:fill="auto"/>
            <w:noWrap/>
            <w:vAlign w:val="center"/>
            <w:hideMark/>
          </w:tcPr>
          <w:p w14:paraId="57196BE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2.138</w:t>
            </w:r>
          </w:p>
        </w:tc>
        <w:tc>
          <w:tcPr>
            <w:tcW w:w="986" w:type="dxa"/>
            <w:tcBorders>
              <w:top w:val="nil"/>
              <w:left w:val="nil"/>
              <w:bottom w:val="nil"/>
              <w:right w:val="nil"/>
            </w:tcBorders>
            <w:shd w:val="clear" w:color="auto" w:fill="auto"/>
            <w:noWrap/>
            <w:vAlign w:val="center"/>
            <w:hideMark/>
          </w:tcPr>
          <w:p w14:paraId="054E3419"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2.103</w:t>
            </w:r>
          </w:p>
        </w:tc>
        <w:tc>
          <w:tcPr>
            <w:tcW w:w="1088" w:type="dxa"/>
            <w:tcBorders>
              <w:top w:val="nil"/>
              <w:left w:val="nil"/>
              <w:bottom w:val="nil"/>
              <w:right w:val="nil"/>
            </w:tcBorders>
            <w:shd w:val="clear" w:color="auto" w:fill="auto"/>
            <w:noWrap/>
            <w:vAlign w:val="center"/>
            <w:hideMark/>
          </w:tcPr>
          <w:p w14:paraId="2431641F"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1.788</w:t>
            </w:r>
          </w:p>
        </w:tc>
        <w:tc>
          <w:tcPr>
            <w:tcW w:w="986" w:type="dxa"/>
            <w:tcBorders>
              <w:top w:val="nil"/>
              <w:left w:val="nil"/>
              <w:bottom w:val="nil"/>
              <w:right w:val="nil"/>
            </w:tcBorders>
            <w:shd w:val="clear" w:color="auto" w:fill="auto"/>
            <w:noWrap/>
            <w:vAlign w:val="center"/>
            <w:hideMark/>
          </w:tcPr>
          <w:p w14:paraId="15DAC637"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2.144</w:t>
            </w:r>
          </w:p>
        </w:tc>
      </w:tr>
      <w:tr w:rsidR="007D53EA" w:rsidRPr="007D53EA" w14:paraId="3CEF882B" w14:textId="77777777" w:rsidTr="007D53EA">
        <w:trPr>
          <w:trHeight w:val="570"/>
        </w:trPr>
        <w:tc>
          <w:tcPr>
            <w:tcW w:w="168" w:type="dxa"/>
            <w:tcBorders>
              <w:top w:val="nil"/>
              <w:left w:val="nil"/>
              <w:bottom w:val="nil"/>
              <w:right w:val="nil"/>
            </w:tcBorders>
            <w:shd w:val="clear" w:color="auto" w:fill="auto"/>
            <w:noWrap/>
            <w:vAlign w:val="bottom"/>
            <w:hideMark/>
          </w:tcPr>
          <w:p w14:paraId="77955917"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nil"/>
            </w:tcBorders>
            <w:shd w:val="clear" w:color="auto" w:fill="auto"/>
            <w:noWrap/>
            <w:vAlign w:val="bottom"/>
            <w:hideMark/>
          </w:tcPr>
          <w:p w14:paraId="3787C83C" w14:textId="77777777" w:rsidR="007D53EA" w:rsidRPr="007D53EA" w:rsidRDefault="007D53EA" w:rsidP="007D53EA">
            <w:pPr>
              <w:spacing w:after="0" w:line="240" w:lineRule="auto"/>
              <w:ind w:left="0" w:right="0" w:firstLine="0"/>
              <w:jc w:val="center"/>
              <w:rPr>
                <w:rFonts w:ascii="Times New Roman" w:eastAsia="Times New Roman" w:hAnsi="Times New Roman" w:cs="Times New Roman"/>
                <w:color w:val="auto"/>
                <w:sz w:val="20"/>
                <w:szCs w:val="20"/>
              </w:rPr>
            </w:pPr>
          </w:p>
        </w:tc>
        <w:tc>
          <w:tcPr>
            <w:tcW w:w="6120" w:type="dxa"/>
            <w:gridSpan w:val="6"/>
            <w:tcBorders>
              <w:top w:val="nil"/>
              <w:left w:val="nil"/>
              <w:bottom w:val="nil"/>
              <w:right w:val="nil"/>
            </w:tcBorders>
            <w:shd w:val="clear" w:color="auto" w:fill="auto"/>
            <w:noWrap/>
            <w:vAlign w:val="bottom"/>
            <w:hideMark/>
          </w:tcPr>
          <w:p w14:paraId="6F196974" w14:textId="77777777" w:rsidR="007D53EA" w:rsidRPr="007D53EA" w:rsidRDefault="007D53EA" w:rsidP="007D53EA">
            <w:pPr>
              <w:spacing w:after="0" w:line="240" w:lineRule="auto"/>
              <w:ind w:left="0" w:right="0" w:firstLine="0"/>
              <w:jc w:val="center"/>
              <w:rPr>
                <w:rFonts w:ascii="Calibri" w:eastAsia="Times New Roman" w:hAnsi="Calibri" w:cs="Calibri"/>
                <w:b/>
                <w:bCs/>
                <w:color w:val="auto"/>
              </w:rPr>
            </w:pPr>
            <w:r w:rsidRPr="007D53EA">
              <w:rPr>
                <w:rFonts w:ascii="Calibri" w:eastAsia="Times New Roman" w:hAnsi="Calibri" w:cs="Calibri"/>
                <w:b/>
                <w:bCs/>
                <w:color w:val="auto"/>
              </w:rPr>
              <w:t>Poljoprivrednici</w:t>
            </w:r>
          </w:p>
        </w:tc>
      </w:tr>
      <w:tr w:rsidR="007D53EA" w:rsidRPr="007D53EA" w14:paraId="393733E9" w14:textId="77777777" w:rsidTr="007D53EA">
        <w:trPr>
          <w:trHeight w:val="315"/>
        </w:trPr>
        <w:tc>
          <w:tcPr>
            <w:tcW w:w="2620" w:type="dxa"/>
            <w:gridSpan w:val="2"/>
            <w:tcBorders>
              <w:top w:val="nil"/>
              <w:left w:val="nil"/>
              <w:bottom w:val="nil"/>
              <w:right w:val="nil"/>
            </w:tcBorders>
            <w:shd w:val="clear" w:color="auto" w:fill="auto"/>
            <w:noWrap/>
            <w:vAlign w:val="bottom"/>
            <w:hideMark/>
          </w:tcPr>
          <w:p w14:paraId="4C47AB5E" w14:textId="77777777" w:rsidR="007D53EA" w:rsidRPr="007D53EA" w:rsidRDefault="007D53EA" w:rsidP="007D53EA">
            <w:pPr>
              <w:spacing w:after="0" w:line="240" w:lineRule="auto"/>
              <w:ind w:left="0" w:right="0" w:firstLine="0"/>
              <w:jc w:val="left"/>
              <w:rPr>
                <w:rFonts w:ascii="Calibri" w:eastAsia="Times New Roman" w:hAnsi="Calibri" w:cs="Calibri"/>
                <w:b/>
                <w:bCs/>
                <w:color w:val="auto"/>
              </w:rPr>
            </w:pPr>
            <w:r w:rsidRPr="007D53EA">
              <w:rPr>
                <w:rFonts w:ascii="Calibri" w:eastAsia="Times New Roman" w:hAnsi="Calibri" w:cs="Calibri"/>
                <w:b/>
                <w:bCs/>
                <w:color w:val="auto"/>
              </w:rPr>
              <w:t>Ukupno</w:t>
            </w:r>
          </w:p>
        </w:tc>
        <w:tc>
          <w:tcPr>
            <w:tcW w:w="986" w:type="dxa"/>
            <w:tcBorders>
              <w:top w:val="nil"/>
              <w:left w:val="nil"/>
              <w:bottom w:val="nil"/>
              <w:right w:val="nil"/>
            </w:tcBorders>
            <w:shd w:val="clear" w:color="auto" w:fill="auto"/>
            <w:noWrap/>
            <w:vAlign w:val="bottom"/>
            <w:hideMark/>
          </w:tcPr>
          <w:p w14:paraId="74861581" w14:textId="77777777" w:rsidR="007D53EA" w:rsidRPr="007D53EA" w:rsidRDefault="007D53EA" w:rsidP="007D53EA">
            <w:pPr>
              <w:spacing w:after="0" w:line="240" w:lineRule="auto"/>
              <w:ind w:left="0" w:right="0" w:firstLine="0"/>
              <w:jc w:val="left"/>
              <w:rPr>
                <w:rFonts w:ascii="Calibri" w:eastAsia="Times New Roman" w:hAnsi="Calibri" w:cs="Calibri"/>
                <w:b/>
                <w:bCs/>
                <w:color w:val="auto"/>
              </w:rPr>
            </w:pPr>
          </w:p>
        </w:tc>
        <w:tc>
          <w:tcPr>
            <w:tcW w:w="1088" w:type="dxa"/>
            <w:tcBorders>
              <w:top w:val="nil"/>
              <w:left w:val="nil"/>
              <w:bottom w:val="nil"/>
              <w:right w:val="nil"/>
            </w:tcBorders>
            <w:shd w:val="clear" w:color="auto" w:fill="auto"/>
            <w:noWrap/>
            <w:vAlign w:val="bottom"/>
            <w:hideMark/>
          </w:tcPr>
          <w:p w14:paraId="56F3E654" w14:textId="77777777" w:rsidR="007D53EA" w:rsidRPr="007D53EA" w:rsidRDefault="007D53EA" w:rsidP="007D53EA">
            <w:pPr>
              <w:spacing w:after="0" w:line="240" w:lineRule="auto"/>
              <w:ind w:left="0" w:right="0" w:firstLine="0"/>
              <w:jc w:val="righ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65D81714" w14:textId="77777777" w:rsidR="007D53EA" w:rsidRPr="007D53EA" w:rsidRDefault="007D53EA" w:rsidP="007D53EA">
            <w:pPr>
              <w:spacing w:after="0" w:line="240" w:lineRule="auto"/>
              <w:ind w:left="0" w:right="0" w:firstLine="0"/>
              <w:jc w:val="righ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2DFA500E" w14:textId="77777777" w:rsidR="007D53EA" w:rsidRPr="007D53EA" w:rsidRDefault="007D53EA" w:rsidP="007D53EA">
            <w:pPr>
              <w:spacing w:after="0" w:line="240" w:lineRule="auto"/>
              <w:ind w:left="0" w:right="0" w:firstLine="0"/>
              <w:jc w:val="right"/>
              <w:rPr>
                <w:rFonts w:ascii="Times New Roman" w:eastAsia="Times New Roman" w:hAnsi="Times New Roman" w:cs="Times New Roman"/>
                <w:color w:val="auto"/>
                <w:sz w:val="20"/>
                <w:szCs w:val="20"/>
              </w:rPr>
            </w:pPr>
          </w:p>
        </w:tc>
        <w:tc>
          <w:tcPr>
            <w:tcW w:w="1088" w:type="dxa"/>
            <w:tcBorders>
              <w:top w:val="nil"/>
              <w:left w:val="nil"/>
              <w:bottom w:val="nil"/>
              <w:right w:val="nil"/>
            </w:tcBorders>
            <w:shd w:val="clear" w:color="auto" w:fill="auto"/>
            <w:noWrap/>
            <w:vAlign w:val="bottom"/>
            <w:hideMark/>
          </w:tcPr>
          <w:p w14:paraId="76DDF13D" w14:textId="77777777" w:rsidR="007D53EA" w:rsidRPr="007D53EA" w:rsidRDefault="007D53EA" w:rsidP="007D53EA">
            <w:pPr>
              <w:spacing w:after="0" w:line="240" w:lineRule="auto"/>
              <w:ind w:left="0" w:right="0" w:firstLine="0"/>
              <w:jc w:val="righ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3B7CAE4B" w14:textId="77777777" w:rsidR="007D53EA" w:rsidRPr="007D53EA" w:rsidRDefault="007D53EA" w:rsidP="007D53EA">
            <w:pPr>
              <w:spacing w:after="0" w:line="240" w:lineRule="auto"/>
              <w:ind w:left="0" w:right="0" w:firstLine="0"/>
              <w:jc w:val="right"/>
              <w:rPr>
                <w:rFonts w:ascii="Times New Roman" w:eastAsia="Times New Roman" w:hAnsi="Times New Roman" w:cs="Times New Roman"/>
                <w:color w:val="auto"/>
                <w:sz w:val="20"/>
                <w:szCs w:val="20"/>
              </w:rPr>
            </w:pPr>
          </w:p>
        </w:tc>
      </w:tr>
      <w:tr w:rsidR="007D53EA" w:rsidRPr="007D53EA" w14:paraId="69D9A8AE" w14:textId="77777777" w:rsidTr="007D53EA">
        <w:trPr>
          <w:trHeight w:val="345"/>
        </w:trPr>
        <w:tc>
          <w:tcPr>
            <w:tcW w:w="168" w:type="dxa"/>
            <w:tcBorders>
              <w:top w:val="nil"/>
              <w:left w:val="nil"/>
              <w:bottom w:val="nil"/>
              <w:right w:val="nil"/>
            </w:tcBorders>
            <w:shd w:val="clear" w:color="auto" w:fill="auto"/>
            <w:noWrap/>
            <w:vAlign w:val="bottom"/>
            <w:hideMark/>
          </w:tcPr>
          <w:p w14:paraId="15CF421F" w14:textId="77777777" w:rsidR="007D53EA" w:rsidRPr="007D53EA" w:rsidRDefault="007D53EA" w:rsidP="007D53EA">
            <w:pPr>
              <w:spacing w:after="0" w:line="240" w:lineRule="auto"/>
              <w:ind w:left="0" w:right="0" w:firstLine="0"/>
              <w:jc w:val="right"/>
              <w:rPr>
                <w:rFonts w:ascii="Times New Roman" w:eastAsia="Times New Roman" w:hAnsi="Times New Roman" w:cs="Times New Roman"/>
                <w:color w:val="auto"/>
                <w:sz w:val="20"/>
                <w:szCs w:val="20"/>
              </w:rPr>
            </w:pPr>
          </w:p>
        </w:tc>
        <w:tc>
          <w:tcPr>
            <w:tcW w:w="2452" w:type="dxa"/>
            <w:tcBorders>
              <w:top w:val="nil"/>
              <w:left w:val="nil"/>
              <w:bottom w:val="nil"/>
              <w:right w:val="single" w:sz="4" w:space="0" w:color="auto"/>
            </w:tcBorders>
            <w:shd w:val="clear" w:color="auto" w:fill="auto"/>
            <w:noWrap/>
            <w:vAlign w:val="bottom"/>
            <w:hideMark/>
          </w:tcPr>
          <w:p w14:paraId="4B2855E2" w14:textId="77777777" w:rsidR="007D53EA" w:rsidRPr="007D53EA" w:rsidRDefault="007D53EA" w:rsidP="007D53EA">
            <w:pPr>
              <w:spacing w:after="0" w:line="240" w:lineRule="auto"/>
              <w:ind w:left="0" w:right="0" w:firstLine="0"/>
              <w:jc w:val="left"/>
              <w:rPr>
                <w:rFonts w:ascii="Calibri" w:eastAsia="Times New Roman" w:hAnsi="Calibri" w:cs="Calibri"/>
                <w:color w:val="auto"/>
              </w:rPr>
            </w:pPr>
            <w:r w:rsidRPr="007D53EA">
              <w:rPr>
                <w:rFonts w:ascii="Calibri" w:eastAsia="Times New Roman" w:hAnsi="Calibri" w:cs="Calibri"/>
                <w:color w:val="auto"/>
              </w:rPr>
              <w:t>Broj korisnika</w:t>
            </w:r>
          </w:p>
        </w:tc>
        <w:tc>
          <w:tcPr>
            <w:tcW w:w="986" w:type="dxa"/>
            <w:tcBorders>
              <w:top w:val="nil"/>
              <w:left w:val="nil"/>
              <w:bottom w:val="nil"/>
              <w:right w:val="nil"/>
            </w:tcBorders>
            <w:shd w:val="clear" w:color="auto" w:fill="auto"/>
            <w:noWrap/>
            <w:vAlign w:val="bottom"/>
            <w:hideMark/>
          </w:tcPr>
          <w:p w14:paraId="6573A8E6"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1.479</w:t>
            </w:r>
          </w:p>
        </w:tc>
        <w:tc>
          <w:tcPr>
            <w:tcW w:w="1088" w:type="dxa"/>
            <w:tcBorders>
              <w:top w:val="nil"/>
              <w:left w:val="nil"/>
              <w:bottom w:val="nil"/>
              <w:right w:val="nil"/>
            </w:tcBorders>
            <w:shd w:val="clear" w:color="auto" w:fill="auto"/>
            <w:noWrap/>
            <w:vAlign w:val="bottom"/>
            <w:hideMark/>
          </w:tcPr>
          <w:p w14:paraId="21236BAE"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415</w:t>
            </w:r>
          </w:p>
        </w:tc>
        <w:tc>
          <w:tcPr>
            <w:tcW w:w="986" w:type="dxa"/>
            <w:tcBorders>
              <w:top w:val="nil"/>
              <w:left w:val="nil"/>
              <w:bottom w:val="nil"/>
              <w:right w:val="nil"/>
            </w:tcBorders>
            <w:shd w:val="clear" w:color="auto" w:fill="auto"/>
            <w:noWrap/>
            <w:vAlign w:val="bottom"/>
            <w:hideMark/>
          </w:tcPr>
          <w:p w14:paraId="66E6A9CE"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1.064</w:t>
            </w:r>
          </w:p>
        </w:tc>
        <w:tc>
          <w:tcPr>
            <w:tcW w:w="986" w:type="dxa"/>
            <w:tcBorders>
              <w:top w:val="nil"/>
              <w:left w:val="nil"/>
              <w:bottom w:val="nil"/>
              <w:right w:val="nil"/>
            </w:tcBorders>
            <w:shd w:val="clear" w:color="auto" w:fill="auto"/>
            <w:noWrap/>
            <w:vAlign w:val="bottom"/>
            <w:hideMark/>
          </w:tcPr>
          <w:p w14:paraId="3A0D3B7F"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1.420</w:t>
            </w:r>
          </w:p>
        </w:tc>
        <w:tc>
          <w:tcPr>
            <w:tcW w:w="1088" w:type="dxa"/>
            <w:tcBorders>
              <w:top w:val="nil"/>
              <w:left w:val="nil"/>
              <w:bottom w:val="nil"/>
              <w:right w:val="nil"/>
            </w:tcBorders>
            <w:shd w:val="clear" w:color="auto" w:fill="auto"/>
            <w:noWrap/>
            <w:vAlign w:val="bottom"/>
            <w:hideMark/>
          </w:tcPr>
          <w:p w14:paraId="28B0540D"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414</w:t>
            </w:r>
          </w:p>
        </w:tc>
        <w:tc>
          <w:tcPr>
            <w:tcW w:w="986" w:type="dxa"/>
            <w:tcBorders>
              <w:top w:val="nil"/>
              <w:left w:val="nil"/>
              <w:bottom w:val="nil"/>
              <w:right w:val="nil"/>
            </w:tcBorders>
            <w:shd w:val="clear" w:color="auto" w:fill="auto"/>
            <w:noWrap/>
            <w:vAlign w:val="bottom"/>
            <w:hideMark/>
          </w:tcPr>
          <w:p w14:paraId="0F953331"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1.006</w:t>
            </w:r>
          </w:p>
        </w:tc>
      </w:tr>
      <w:tr w:rsidR="007D53EA" w:rsidRPr="007D53EA" w14:paraId="3B39BB7E" w14:textId="77777777" w:rsidTr="007D53EA">
        <w:trPr>
          <w:trHeight w:val="315"/>
        </w:trPr>
        <w:tc>
          <w:tcPr>
            <w:tcW w:w="168" w:type="dxa"/>
            <w:tcBorders>
              <w:top w:val="nil"/>
              <w:left w:val="nil"/>
              <w:bottom w:val="nil"/>
              <w:right w:val="nil"/>
            </w:tcBorders>
            <w:shd w:val="clear" w:color="auto" w:fill="auto"/>
            <w:noWrap/>
            <w:vAlign w:val="bottom"/>
            <w:hideMark/>
          </w:tcPr>
          <w:p w14:paraId="5E28F8CB"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noWrap/>
            <w:vAlign w:val="bottom"/>
            <w:hideMark/>
          </w:tcPr>
          <w:p w14:paraId="64DD7EED" w14:textId="77777777" w:rsidR="007D53EA" w:rsidRPr="007D53EA" w:rsidRDefault="007D53EA" w:rsidP="007D53EA">
            <w:pPr>
              <w:spacing w:after="0" w:line="240" w:lineRule="auto"/>
              <w:ind w:left="0" w:right="0" w:firstLine="0"/>
              <w:jc w:val="left"/>
              <w:rPr>
                <w:rFonts w:ascii="Calibri" w:eastAsia="Times New Roman" w:hAnsi="Calibri" w:cs="Calibri"/>
                <w:color w:val="auto"/>
                <w:sz w:val="20"/>
                <w:szCs w:val="20"/>
              </w:rPr>
            </w:pPr>
            <w:r w:rsidRPr="007D53EA">
              <w:rPr>
                <w:rFonts w:ascii="Calibri" w:eastAsia="Times New Roman" w:hAnsi="Calibri" w:cs="Calibri"/>
                <w:color w:val="auto"/>
              </w:rPr>
              <w:t>Prosječan staž</w:t>
            </w:r>
          </w:p>
        </w:tc>
        <w:tc>
          <w:tcPr>
            <w:tcW w:w="986" w:type="dxa"/>
            <w:tcBorders>
              <w:top w:val="nil"/>
              <w:left w:val="nil"/>
              <w:bottom w:val="nil"/>
              <w:right w:val="nil"/>
            </w:tcBorders>
            <w:shd w:val="clear" w:color="auto" w:fill="auto"/>
            <w:noWrap/>
            <w:vAlign w:val="bottom"/>
            <w:hideMark/>
          </w:tcPr>
          <w:p w14:paraId="205B3B9E"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22</w:t>
            </w:r>
          </w:p>
        </w:tc>
        <w:tc>
          <w:tcPr>
            <w:tcW w:w="1088" w:type="dxa"/>
            <w:tcBorders>
              <w:top w:val="nil"/>
              <w:left w:val="nil"/>
              <w:bottom w:val="nil"/>
              <w:right w:val="nil"/>
            </w:tcBorders>
            <w:shd w:val="clear" w:color="auto" w:fill="auto"/>
            <w:noWrap/>
            <w:vAlign w:val="bottom"/>
            <w:hideMark/>
          </w:tcPr>
          <w:p w14:paraId="670AD6FE"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26</w:t>
            </w:r>
          </w:p>
        </w:tc>
        <w:tc>
          <w:tcPr>
            <w:tcW w:w="986" w:type="dxa"/>
            <w:tcBorders>
              <w:top w:val="nil"/>
              <w:left w:val="nil"/>
              <w:bottom w:val="nil"/>
              <w:right w:val="nil"/>
            </w:tcBorders>
            <w:shd w:val="clear" w:color="auto" w:fill="auto"/>
            <w:noWrap/>
            <w:vAlign w:val="bottom"/>
            <w:hideMark/>
          </w:tcPr>
          <w:p w14:paraId="25E6A9C3"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21</w:t>
            </w:r>
          </w:p>
        </w:tc>
        <w:tc>
          <w:tcPr>
            <w:tcW w:w="986" w:type="dxa"/>
            <w:tcBorders>
              <w:top w:val="nil"/>
              <w:left w:val="nil"/>
              <w:bottom w:val="nil"/>
              <w:right w:val="nil"/>
            </w:tcBorders>
            <w:shd w:val="clear" w:color="auto" w:fill="auto"/>
            <w:noWrap/>
            <w:vAlign w:val="bottom"/>
            <w:hideMark/>
          </w:tcPr>
          <w:p w14:paraId="1D0B6F5D"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23</w:t>
            </w:r>
          </w:p>
        </w:tc>
        <w:tc>
          <w:tcPr>
            <w:tcW w:w="1088" w:type="dxa"/>
            <w:tcBorders>
              <w:top w:val="nil"/>
              <w:left w:val="nil"/>
              <w:bottom w:val="nil"/>
              <w:right w:val="nil"/>
            </w:tcBorders>
            <w:shd w:val="clear" w:color="auto" w:fill="auto"/>
            <w:noWrap/>
            <w:vAlign w:val="bottom"/>
            <w:hideMark/>
          </w:tcPr>
          <w:p w14:paraId="5ABC0E3D"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26</w:t>
            </w:r>
          </w:p>
        </w:tc>
        <w:tc>
          <w:tcPr>
            <w:tcW w:w="986" w:type="dxa"/>
            <w:tcBorders>
              <w:top w:val="nil"/>
              <w:left w:val="nil"/>
              <w:bottom w:val="nil"/>
              <w:right w:val="nil"/>
            </w:tcBorders>
            <w:shd w:val="clear" w:color="auto" w:fill="auto"/>
            <w:noWrap/>
            <w:vAlign w:val="bottom"/>
            <w:hideMark/>
          </w:tcPr>
          <w:p w14:paraId="7B7B10A0"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21</w:t>
            </w:r>
          </w:p>
        </w:tc>
      </w:tr>
      <w:tr w:rsidR="007D53EA" w:rsidRPr="007D53EA" w14:paraId="712F2BE1" w14:textId="77777777" w:rsidTr="007D53EA">
        <w:trPr>
          <w:trHeight w:val="645"/>
        </w:trPr>
        <w:tc>
          <w:tcPr>
            <w:tcW w:w="168" w:type="dxa"/>
            <w:tcBorders>
              <w:top w:val="nil"/>
              <w:left w:val="nil"/>
              <w:bottom w:val="nil"/>
              <w:right w:val="nil"/>
            </w:tcBorders>
            <w:shd w:val="clear" w:color="auto" w:fill="auto"/>
            <w:noWrap/>
            <w:vAlign w:val="bottom"/>
            <w:hideMark/>
          </w:tcPr>
          <w:p w14:paraId="30DAA3DF"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vAlign w:val="center"/>
            <w:hideMark/>
          </w:tcPr>
          <w:p w14:paraId="4ECD6659" w14:textId="77777777" w:rsidR="007D53EA" w:rsidRPr="007D53EA" w:rsidRDefault="007D53EA" w:rsidP="007D53EA">
            <w:pPr>
              <w:spacing w:after="0" w:line="240" w:lineRule="auto"/>
              <w:ind w:left="0" w:right="0" w:firstLine="0"/>
              <w:jc w:val="left"/>
              <w:rPr>
                <w:rFonts w:ascii="Calibri" w:eastAsia="Times New Roman" w:hAnsi="Calibri" w:cs="Calibri"/>
                <w:color w:val="auto"/>
              </w:rPr>
            </w:pPr>
            <w:r w:rsidRPr="007D53EA">
              <w:rPr>
                <w:rFonts w:ascii="Calibri" w:eastAsia="Times New Roman" w:hAnsi="Calibri" w:cs="Calibri"/>
                <w:color w:val="auto"/>
              </w:rPr>
              <w:t>Prosječna mjesečna mirovina u kunama</w:t>
            </w:r>
            <w:r w:rsidRPr="007D53EA">
              <w:rPr>
                <w:rFonts w:ascii="Calibri" w:eastAsia="Times New Roman" w:hAnsi="Calibri" w:cs="Calibri"/>
                <w:color w:val="auto"/>
                <w:vertAlign w:val="superscript"/>
              </w:rPr>
              <w:t>1)</w:t>
            </w:r>
          </w:p>
        </w:tc>
        <w:tc>
          <w:tcPr>
            <w:tcW w:w="986" w:type="dxa"/>
            <w:tcBorders>
              <w:top w:val="nil"/>
              <w:left w:val="nil"/>
              <w:bottom w:val="nil"/>
              <w:right w:val="nil"/>
            </w:tcBorders>
            <w:shd w:val="clear" w:color="auto" w:fill="auto"/>
            <w:noWrap/>
            <w:vAlign w:val="center"/>
            <w:hideMark/>
          </w:tcPr>
          <w:p w14:paraId="38DC30F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1.580</w:t>
            </w:r>
          </w:p>
        </w:tc>
        <w:tc>
          <w:tcPr>
            <w:tcW w:w="1088" w:type="dxa"/>
            <w:tcBorders>
              <w:top w:val="nil"/>
              <w:left w:val="nil"/>
              <w:bottom w:val="nil"/>
              <w:right w:val="nil"/>
            </w:tcBorders>
            <w:shd w:val="clear" w:color="auto" w:fill="auto"/>
            <w:noWrap/>
            <w:vAlign w:val="center"/>
            <w:hideMark/>
          </w:tcPr>
          <w:p w14:paraId="7250066A"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1.847</w:t>
            </w:r>
          </w:p>
        </w:tc>
        <w:tc>
          <w:tcPr>
            <w:tcW w:w="986" w:type="dxa"/>
            <w:tcBorders>
              <w:top w:val="nil"/>
              <w:left w:val="nil"/>
              <w:bottom w:val="nil"/>
              <w:right w:val="nil"/>
            </w:tcBorders>
            <w:shd w:val="clear" w:color="auto" w:fill="auto"/>
            <w:noWrap/>
            <w:vAlign w:val="center"/>
            <w:hideMark/>
          </w:tcPr>
          <w:p w14:paraId="03130CAB"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1.475</w:t>
            </w:r>
          </w:p>
        </w:tc>
        <w:tc>
          <w:tcPr>
            <w:tcW w:w="986" w:type="dxa"/>
            <w:tcBorders>
              <w:top w:val="nil"/>
              <w:left w:val="nil"/>
              <w:bottom w:val="nil"/>
              <w:right w:val="nil"/>
            </w:tcBorders>
            <w:shd w:val="clear" w:color="auto" w:fill="auto"/>
            <w:noWrap/>
            <w:vAlign w:val="center"/>
            <w:hideMark/>
          </w:tcPr>
          <w:p w14:paraId="0CD9AEDA"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1.637</w:t>
            </w:r>
          </w:p>
        </w:tc>
        <w:tc>
          <w:tcPr>
            <w:tcW w:w="1088" w:type="dxa"/>
            <w:tcBorders>
              <w:top w:val="nil"/>
              <w:left w:val="nil"/>
              <w:bottom w:val="nil"/>
              <w:right w:val="nil"/>
            </w:tcBorders>
            <w:shd w:val="clear" w:color="auto" w:fill="auto"/>
            <w:noWrap/>
            <w:vAlign w:val="center"/>
            <w:hideMark/>
          </w:tcPr>
          <w:p w14:paraId="1615938D"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1.916</w:t>
            </w:r>
          </w:p>
        </w:tc>
        <w:tc>
          <w:tcPr>
            <w:tcW w:w="986" w:type="dxa"/>
            <w:tcBorders>
              <w:top w:val="nil"/>
              <w:left w:val="nil"/>
              <w:bottom w:val="nil"/>
              <w:right w:val="nil"/>
            </w:tcBorders>
            <w:shd w:val="clear" w:color="auto" w:fill="auto"/>
            <w:noWrap/>
            <w:vAlign w:val="center"/>
            <w:hideMark/>
          </w:tcPr>
          <w:p w14:paraId="54CA5517"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1.522</w:t>
            </w:r>
          </w:p>
        </w:tc>
      </w:tr>
      <w:tr w:rsidR="00443CF1" w:rsidRPr="007D53EA" w14:paraId="79253056" w14:textId="77777777" w:rsidTr="007D53EA">
        <w:trPr>
          <w:trHeight w:val="645"/>
        </w:trPr>
        <w:tc>
          <w:tcPr>
            <w:tcW w:w="168" w:type="dxa"/>
            <w:tcBorders>
              <w:top w:val="nil"/>
              <w:left w:val="nil"/>
              <w:bottom w:val="nil"/>
              <w:right w:val="nil"/>
            </w:tcBorders>
            <w:shd w:val="clear" w:color="auto" w:fill="auto"/>
            <w:noWrap/>
            <w:vAlign w:val="bottom"/>
          </w:tcPr>
          <w:p w14:paraId="692A896D" w14:textId="77777777" w:rsidR="00443CF1" w:rsidRPr="007D53EA" w:rsidRDefault="00443CF1"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vAlign w:val="center"/>
          </w:tcPr>
          <w:p w14:paraId="1FE6FDA8" w14:textId="77777777" w:rsidR="00443CF1" w:rsidRPr="007D53EA" w:rsidRDefault="00443CF1" w:rsidP="007D53EA">
            <w:pPr>
              <w:spacing w:after="0" w:line="240" w:lineRule="auto"/>
              <w:ind w:left="0" w:right="0" w:firstLine="0"/>
              <w:jc w:val="left"/>
              <w:rPr>
                <w:rFonts w:ascii="Calibri" w:eastAsia="Times New Roman" w:hAnsi="Calibri" w:cs="Calibri"/>
                <w:color w:val="auto"/>
              </w:rPr>
            </w:pPr>
          </w:p>
        </w:tc>
        <w:tc>
          <w:tcPr>
            <w:tcW w:w="986" w:type="dxa"/>
            <w:tcBorders>
              <w:top w:val="nil"/>
              <w:left w:val="nil"/>
              <w:bottom w:val="nil"/>
              <w:right w:val="nil"/>
            </w:tcBorders>
            <w:shd w:val="clear" w:color="auto" w:fill="auto"/>
            <w:noWrap/>
            <w:vAlign w:val="center"/>
          </w:tcPr>
          <w:p w14:paraId="7B9DCE73" w14:textId="77777777" w:rsidR="00443CF1" w:rsidRPr="007D53EA" w:rsidRDefault="00443CF1" w:rsidP="007D53EA">
            <w:pPr>
              <w:spacing w:after="0" w:line="240" w:lineRule="auto"/>
              <w:ind w:left="0" w:right="0" w:firstLine="0"/>
              <w:jc w:val="right"/>
              <w:rPr>
                <w:rFonts w:ascii="Calibri" w:eastAsia="Times New Roman" w:hAnsi="Calibri" w:cs="Calibri"/>
                <w:color w:val="auto"/>
              </w:rPr>
            </w:pPr>
          </w:p>
        </w:tc>
        <w:tc>
          <w:tcPr>
            <w:tcW w:w="1088" w:type="dxa"/>
            <w:tcBorders>
              <w:top w:val="nil"/>
              <w:left w:val="nil"/>
              <w:bottom w:val="nil"/>
              <w:right w:val="nil"/>
            </w:tcBorders>
            <w:shd w:val="clear" w:color="auto" w:fill="auto"/>
            <w:noWrap/>
            <w:vAlign w:val="center"/>
          </w:tcPr>
          <w:p w14:paraId="7006095C" w14:textId="77777777" w:rsidR="00443CF1" w:rsidRPr="007D53EA" w:rsidRDefault="00443CF1" w:rsidP="007D53EA">
            <w:pPr>
              <w:spacing w:after="0" w:line="240" w:lineRule="auto"/>
              <w:ind w:left="0" w:right="0" w:firstLine="0"/>
              <w:jc w:val="right"/>
              <w:rPr>
                <w:rFonts w:ascii="Calibri" w:eastAsia="Times New Roman" w:hAnsi="Calibri" w:cs="Calibri"/>
                <w:color w:val="auto"/>
              </w:rPr>
            </w:pPr>
          </w:p>
        </w:tc>
        <w:tc>
          <w:tcPr>
            <w:tcW w:w="986" w:type="dxa"/>
            <w:tcBorders>
              <w:top w:val="nil"/>
              <w:left w:val="nil"/>
              <w:bottom w:val="nil"/>
              <w:right w:val="nil"/>
            </w:tcBorders>
            <w:shd w:val="clear" w:color="auto" w:fill="auto"/>
            <w:noWrap/>
            <w:vAlign w:val="center"/>
          </w:tcPr>
          <w:p w14:paraId="32A20ABB" w14:textId="77777777" w:rsidR="00443CF1" w:rsidRPr="007D53EA" w:rsidRDefault="00443CF1" w:rsidP="007D53EA">
            <w:pPr>
              <w:spacing w:after="0" w:line="240" w:lineRule="auto"/>
              <w:ind w:left="0" w:right="0" w:firstLine="0"/>
              <w:jc w:val="right"/>
              <w:rPr>
                <w:rFonts w:ascii="Calibri" w:eastAsia="Times New Roman" w:hAnsi="Calibri" w:cs="Calibri"/>
                <w:color w:val="auto"/>
              </w:rPr>
            </w:pPr>
          </w:p>
        </w:tc>
        <w:tc>
          <w:tcPr>
            <w:tcW w:w="986" w:type="dxa"/>
            <w:tcBorders>
              <w:top w:val="nil"/>
              <w:left w:val="nil"/>
              <w:bottom w:val="nil"/>
              <w:right w:val="nil"/>
            </w:tcBorders>
            <w:shd w:val="clear" w:color="auto" w:fill="auto"/>
            <w:noWrap/>
            <w:vAlign w:val="center"/>
          </w:tcPr>
          <w:p w14:paraId="0D82689A" w14:textId="77777777" w:rsidR="00443CF1" w:rsidRPr="007D53EA" w:rsidRDefault="00443CF1" w:rsidP="007D53EA">
            <w:pPr>
              <w:spacing w:after="0" w:line="240" w:lineRule="auto"/>
              <w:ind w:left="0" w:right="0" w:firstLine="0"/>
              <w:jc w:val="right"/>
              <w:rPr>
                <w:rFonts w:ascii="Calibri" w:eastAsia="Times New Roman" w:hAnsi="Calibri" w:cs="Calibri"/>
                <w:color w:val="auto"/>
              </w:rPr>
            </w:pPr>
          </w:p>
        </w:tc>
        <w:tc>
          <w:tcPr>
            <w:tcW w:w="1088" w:type="dxa"/>
            <w:tcBorders>
              <w:top w:val="nil"/>
              <w:left w:val="nil"/>
              <w:bottom w:val="nil"/>
              <w:right w:val="nil"/>
            </w:tcBorders>
            <w:shd w:val="clear" w:color="auto" w:fill="auto"/>
            <w:noWrap/>
            <w:vAlign w:val="center"/>
          </w:tcPr>
          <w:p w14:paraId="5EF3860E" w14:textId="77777777" w:rsidR="00443CF1" w:rsidRPr="007D53EA" w:rsidRDefault="00443CF1" w:rsidP="007D53EA">
            <w:pPr>
              <w:spacing w:after="0" w:line="240" w:lineRule="auto"/>
              <w:ind w:left="0" w:right="0" w:firstLine="0"/>
              <w:jc w:val="right"/>
              <w:rPr>
                <w:rFonts w:ascii="Calibri" w:eastAsia="Times New Roman" w:hAnsi="Calibri" w:cs="Calibri"/>
                <w:color w:val="auto"/>
              </w:rPr>
            </w:pPr>
          </w:p>
        </w:tc>
        <w:tc>
          <w:tcPr>
            <w:tcW w:w="986" w:type="dxa"/>
            <w:tcBorders>
              <w:top w:val="nil"/>
              <w:left w:val="nil"/>
              <w:bottom w:val="nil"/>
              <w:right w:val="nil"/>
            </w:tcBorders>
            <w:shd w:val="clear" w:color="auto" w:fill="auto"/>
            <w:noWrap/>
            <w:vAlign w:val="center"/>
          </w:tcPr>
          <w:p w14:paraId="3F6AA413" w14:textId="77777777" w:rsidR="00443CF1" w:rsidRPr="007D53EA" w:rsidRDefault="00443CF1" w:rsidP="007D53EA">
            <w:pPr>
              <w:spacing w:after="0" w:line="240" w:lineRule="auto"/>
              <w:ind w:left="0" w:right="0" w:firstLine="0"/>
              <w:jc w:val="right"/>
              <w:rPr>
                <w:rFonts w:ascii="Calibri" w:eastAsia="Times New Roman" w:hAnsi="Calibri" w:cs="Calibri"/>
                <w:color w:val="auto"/>
              </w:rPr>
            </w:pPr>
          </w:p>
        </w:tc>
      </w:tr>
      <w:tr w:rsidR="007D53EA" w:rsidRPr="007D53EA" w14:paraId="15825542" w14:textId="77777777" w:rsidTr="007D53EA">
        <w:trPr>
          <w:trHeight w:val="360"/>
        </w:trPr>
        <w:tc>
          <w:tcPr>
            <w:tcW w:w="2620" w:type="dxa"/>
            <w:gridSpan w:val="2"/>
            <w:tcBorders>
              <w:top w:val="nil"/>
              <w:left w:val="nil"/>
              <w:bottom w:val="nil"/>
              <w:right w:val="nil"/>
            </w:tcBorders>
            <w:shd w:val="clear" w:color="auto" w:fill="auto"/>
            <w:noWrap/>
            <w:vAlign w:val="bottom"/>
            <w:hideMark/>
          </w:tcPr>
          <w:p w14:paraId="39B35B10" w14:textId="77777777" w:rsidR="007D53EA" w:rsidRPr="007D53EA" w:rsidRDefault="007D53EA" w:rsidP="007D53EA">
            <w:pPr>
              <w:spacing w:after="0" w:line="240" w:lineRule="auto"/>
              <w:ind w:left="0" w:right="0" w:firstLine="0"/>
              <w:jc w:val="left"/>
              <w:rPr>
                <w:rFonts w:ascii="Calibri" w:eastAsia="Times New Roman" w:hAnsi="Calibri" w:cs="Calibri"/>
                <w:b/>
                <w:bCs/>
                <w:color w:val="auto"/>
              </w:rPr>
            </w:pPr>
            <w:r w:rsidRPr="007D53EA">
              <w:rPr>
                <w:rFonts w:ascii="Calibri" w:eastAsia="Times New Roman" w:hAnsi="Calibri" w:cs="Calibri"/>
                <w:b/>
                <w:bCs/>
                <w:color w:val="auto"/>
              </w:rPr>
              <w:lastRenderedPageBreak/>
              <w:t>Starosna</w:t>
            </w:r>
          </w:p>
        </w:tc>
        <w:tc>
          <w:tcPr>
            <w:tcW w:w="986" w:type="dxa"/>
            <w:tcBorders>
              <w:top w:val="nil"/>
              <w:left w:val="nil"/>
              <w:bottom w:val="nil"/>
              <w:right w:val="nil"/>
            </w:tcBorders>
            <w:shd w:val="clear" w:color="auto" w:fill="auto"/>
            <w:noWrap/>
            <w:vAlign w:val="bottom"/>
            <w:hideMark/>
          </w:tcPr>
          <w:p w14:paraId="30B94643" w14:textId="77777777" w:rsidR="007D53EA" w:rsidRPr="007D53EA" w:rsidRDefault="007D53EA" w:rsidP="007D53EA">
            <w:pPr>
              <w:spacing w:after="0" w:line="240" w:lineRule="auto"/>
              <w:ind w:left="0" w:right="0" w:firstLine="0"/>
              <w:jc w:val="left"/>
              <w:rPr>
                <w:rFonts w:ascii="Calibri" w:eastAsia="Times New Roman" w:hAnsi="Calibri" w:cs="Calibri"/>
                <w:b/>
                <w:bCs/>
                <w:color w:val="auto"/>
              </w:rPr>
            </w:pPr>
          </w:p>
        </w:tc>
        <w:tc>
          <w:tcPr>
            <w:tcW w:w="1088" w:type="dxa"/>
            <w:tcBorders>
              <w:top w:val="nil"/>
              <w:left w:val="nil"/>
              <w:bottom w:val="nil"/>
              <w:right w:val="nil"/>
            </w:tcBorders>
            <w:shd w:val="clear" w:color="auto" w:fill="auto"/>
            <w:noWrap/>
            <w:vAlign w:val="bottom"/>
            <w:hideMark/>
          </w:tcPr>
          <w:p w14:paraId="4EC93CD3"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192F453E"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45802627"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1088" w:type="dxa"/>
            <w:tcBorders>
              <w:top w:val="nil"/>
              <w:left w:val="nil"/>
              <w:bottom w:val="nil"/>
              <w:right w:val="nil"/>
            </w:tcBorders>
            <w:shd w:val="clear" w:color="auto" w:fill="auto"/>
            <w:noWrap/>
            <w:vAlign w:val="bottom"/>
            <w:hideMark/>
          </w:tcPr>
          <w:p w14:paraId="60447CB5"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3E712417"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r>
      <w:tr w:rsidR="007D53EA" w:rsidRPr="007D53EA" w14:paraId="0E305FAF" w14:textId="77777777" w:rsidTr="007D53EA">
        <w:trPr>
          <w:trHeight w:val="345"/>
        </w:trPr>
        <w:tc>
          <w:tcPr>
            <w:tcW w:w="168" w:type="dxa"/>
            <w:tcBorders>
              <w:top w:val="nil"/>
              <w:left w:val="nil"/>
              <w:bottom w:val="nil"/>
              <w:right w:val="nil"/>
            </w:tcBorders>
            <w:shd w:val="clear" w:color="auto" w:fill="auto"/>
            <w:noWrap/>
            <w:vAlign w:val="bottom"/>
            <w:hideMark/>
          </w:tcPr>
          <w:p w14:paraId="440D82B8"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2452" w:type="dxa"/>
            <w:tcBorders>
              <w:top w:val="nil"/>
              <w:left w:val="nil"/>
              <w:bottom w:val="nil"/>
              <w:right w:val="single" w:sz="4" w:space="0" w:color="auto"/>
            </w:tcBorders>
            <w:shd w:val="clear" w:color="auto" w:fill="auto"/>
            <w:noWrap/>
            <w:vAlign w:val="bottom"/>
            <w:hideMark/>
          </w:tcPr>
          <w:p w14:paraId="555C9A18" w14:textId="77777777" w:rsidR="007D53EA" w:rsidRPr="007D53EA" w:rsidRDefault="007D53EA" w:rsidP="007D53EA">
            <w:pPr>
              <w:spacing w:after="0" w:line="240" w:lineRule="auto"/>
              <w:ind w:left="0" w:right="0" w:firstLine="0"/>
              <w:jc w:val="left"/>
              <w:rPr>
                <w:rFonts w:ascii="Calibri" w:eastAsia="Times New Roman" w:hAnsi="Calibri" w:cs="Calibri"/>
                <w:color w:val="auto"/>
              </w:rPr>
            </w:pPr>
            <w:r w:rsidRPr="007D53EA">
              <w:rPr>
                <w:rFonts w:ascii="Calibri" w:eastAsia="Times New Roman" w:hAnsi="Calibri" w:cs="Calibri"/>
                <w:color w:val="auto"/>
              </w:rPr>
              <w:t>Broj korisnika</w:t>
            </w:r>
          </w:p>
        </w:tc>
        <w:tc>
          <w:tcPr>
            <w:tcW w:w="986" w:type="dxa"/>
            <w:tcBorders>
              <w:top w:val="nil"/>
              <w:left w:val="nil"/>
              <w:bottom w:val="nil"/>
              <w:right w:val="nil"/>
            </w:tcBorders>
            <w:shd w:val="clear" w:color="auto" w:fill="auto"/>
            <w:noWrap/>
            <w:vAlign w:val="bottom"/>
            <w:hideMark/>
          </w:tcPr>
          <w:p w14:paraId="5C906EF9"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1.262</w:t>
            </w:r>
          </w:p>
        </w:tc>
        <w:tc>
          <w:tcPr>
            <w:tcW w:w="1088" w:type="dxa"/>
            <w:tcBorders>
              <w:top w:val="nil"/>
              <w:left w:val="nil"/>
              <w:bottom w:val="nil"/>
              <w:right w:val="nil"/>
            </w:tcBorders>
            <w:shd w:val="clear" w:color="auto" w:fill="auto"/>
            <w:noWrap/>
            <w:vAlign w:val="bottom"/>
            <w:hideMark/>
          </w:tcPr>
          <w:p w14:paraId="2BFE21A5"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350</w:t>
            </w:r>
          </w:p>
        </w:tc>
        <w:tc>
          <w:tcPr>
            <w:tcW w:w="986" w:type="dxa"/>
            <w:tcBorders>
              <w:top w:val="nil"/>
              <w:left w:val="nil"/>
              <w:bottom w:val="nil"/>
              <w:right w:val="nil"/>
            </w:tcBorders>
            <w:shd w:val="clear" w:color="auto" w:fill="auto"/>
            <w:noWrap/>
            <w:vAlign w:val="bottom"/>
            <w:hideMark/>
          </w:tcPr>
          <w:p w14:paraId="4F5D92F4"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912</w:t>
            </w:r>
          </w:p>
        </w:tc>
        <w:tc>
          <w:tcPr>
            <w:tcW w:w="986" w:type="dxa"/>
            <w:tcBorders>
              <w:top w:val="nil"/>
              <w:left w:val="nil"/>
              <w:bottom w:val="nil"/>
              <w:right w:val="nil"/>
            </w:tcBorders>
            <w:shd w:val="clear" w:color="auto" w:fill="auto"/>
            <w:noWrap/>
            <w:vAlign w:val="bottom"/>
            <w:hideMark/>
          </w:tcPr>
          <w:p w14:paraId="53DB7694"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1.211</w:t>
            </w:r>
          </w:p>
        </w:tc>
        <w:tc>
          <w:tcPr>
            <w:tcW w:w="1088" w:type="dxa"/>
            <w:tcBorders>
              <w:top w:val="nil"/>
              <w:left w:val="nil"/>
              <w:bottom w:val="nil"/>
              <w:right w:val="nil"/>
            </w:tcBorders>
            <w:shd w:val="clear" w:color="auto" w:fill="auto"/>
            <w:noWrap/>
            <w:vAlign w:val="bottom"/>
            <w:hideMark/>
          </w:tcPr>
          <w:p w14:paraId="2560E0B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353</w:t>
            </w:r>
          </w:p>
        </w:tc>
        <w:tc>
          <w:tcPr>
            <w:tcW w:w="986" w:type="dxa"/>
            <w:tcBorders>
              <w:top w:val="nil"/>
              <w:left w:val="nil"/>
              <w:bottom w:val="nil"/>
              <w:right w:val="nil"/>
            </w:tcBorders>
            <w:shd w:val="clear" w:color="auto" w:fill="auto"/>
            <w:noWrap/>
            <w:vAlign w:val="bottom"/>
            <w:hideMark/>
          </w:tcPr>
          <w:p w14:paraId="109A6564"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858</w:t>
            </w:r>
          </w:p>
        </w:tc>
      </w:tr>
      <w:tr w:rsidR="007D53EA" w:rsidRPr="007D53EA" w14:paraId="1B40B15A" w14:textId="77777777" w:rsidTr="007D53EA">
        <w:trPr>
          <w:trHeight w:val="315"/>
        </w:trPr>
        <w:tc>
          <w:tcPr>
            <w:tcW w:w="168" w:type="dxa"/>
            <w:tcBorders>
              <w:top w:val="nil"/>
              <w:left w:val="nil"/>
              <w:bottom w:val="nil"/>
              <w:right w:val="nil"/>
            </w:tcBorders>
            <w:shd w:val="clear" w:color="auto" w:fill="auto"/>
            <w:noWrap/>
            <w:vAlign w:val="bottom"/>
            <w:hideMark/>
          </w:tcPr>
          <w:p w14:paraId="70D37272"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noWrap/>
            <w:vAlign w:val="bottom"/>
            <w:hideMark/>
          </w:tcPr>
          <w:p w14:paraId="7ADA7041" w14:textId="77777777" w:rsidR="007D53EA" w:rsidRPr="007D53EA" w:rsidRDefault="007D53EA" w:rsidP="007D53EA">
            <w:pPr>
              <w:spacing w:after="0" w:line="240" w:lineRule="auto"/>
              <w:ind w:left="0" w:right="0" w:firstLine="0"/>
              <w:jc w:val="left"/>
              <w:rPr>
                <w:rFonts w:ascii="Calibri" w:eastAsia="Times New Roman" w:hAnsi="Calibri" w:cs="Calibri"/>
                <w:color w:val="auto"/>
                <w:sz w:val="20"/>
                <w:szCs w:val="20"/>
              </w:rPr>
            </w:pPr>
            <w:r w:rsidRPr="007D53EA">
              <w:rPr>
                <w:rFonts w:ascii="Calibri" w:eastAsia="Times New Roman" w:hAnsi="Calibri" w:cs="Calibri"/>
                <w:color w:val="auto"/>
              </w:rPr>
              <w:t>Prosječan staž</w:t>
            </w:r>
          </w:p>
        </w:tc>
        <w:tc>
          <w:tcPr>
            <w:tcW w:w="986" w:type="dxa"/>
            <w:tcBorders>
              <w:top w:val="nil"/>
              <w:left w:val="nil"/>
              <w:bottom w:val="nil"/>
              <w:right w:val="nil"/>
            </w:tcBorders>
            <w:shd w:val="clear" w:color="auto" w:fill="auto"/>
            <w:noWrap/>
            <w:vAlign w:val="bottom"/>
            <w:hideMark/>
          </w:tcPr>
          <w:p w14:paraId="29115CB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23</w:t>
            </w:r>
          </w:p>
        </w:tc>
        <w:tc>
          <w:tcPr>
            <w:tcW w:w="1088" w:type="dxa"/>
            <w:tcBorders>
              <w:top w:val="nil"/>
              <w:left w:val="nil"/>
              <w:bottom w:val="nil"/>
              <w:right w:val="nil"/>
            </w:tcBorders>
            <w:shd w:val="clear" w:color="auto" w:fill="auto"/>
            <w:noWrap/>
            <w:vAlign w:val="bottom"/>
            <w:hideMark/>
          </w:tcPr>
          <w:p w14:paraId="1A1F5A29"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26</w:t>
            </w:r>
          </w:p>
        </w:tc>
        <w:tc>
          <w:tcPr>
            <w:tcW w:w="986" w:type="dxa"/>
            <w:tcBorders>
              <w:top w:val="nil"/>
              <w:left w:val="nil"/>
              <w:bottom w:val="nil"/>
              <w:right w:val="nil"/>
            </w:tcBorders>
            <w:shd w:val="clear" w:color="auto" w:fill="auto"/>
            <w:noWrap/>
            <w:vAlign w:val="bottom"/>
            <w:hideMark/>
          </w:tcPr>
          <w:p w14:paraId="3FD2A3C5"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22</w:t>
            </w:r>
          </w:p>
        </w:tc>
        <w:tc>
          <w:tcPr>
            <w:tcW w:w="986" w:type="dxa"/>
            <w:tcBorders>
              <w:top w:val="nil"/>
              <w:left w:val="nil"/>
              <w:bottom w:val="nil"/>
              <w:right w:val="nil"/>
            </w:tcBorders>
            <w:shd w:val="clear" w:color="auto" w:fill="auto"/>
            <w:noWrap/>
            <w:vAlign w:val="bottom"/>
            <w:hideMark/>
          </w:tcPr>
          <w:p w14:paraId="0EE1A458"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23</w:t>
            </w:r>
          </w:p>
        </w:tc>
        <w:tc>
          <w:tcPr>
            <w:tcW w:w="1088" w:type="dxa"/>
            <w:tcBorders>
              <w:top w:val="nil"/>
              <w:left w:val="nil"/>
              <w:bottom w:val="nil"/>
              <w:right w:val="nil"/>
            </w:tcBorders>
            <w:shd w:val="clear" w:color="auto" w:fill="auto"/>
            <w:noWrap/>
            <w:vAlign w:val="bottom"/>
            <w:hideMark/>
          </w:tcPr>
          <w:p w14:paraId="016A8D67"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27</w:t>
            </w:r>
          </w:p>
        </w:tc>
        <w:tc>
          <w:tcPr>
            <w:tcW w:w="986" w:type="dxa"/>
            <w:tcBorders>
              <w:top w:val="nil"/>
              <w:left w:val="nil"/>
              <w:bottom w:val="nil"/>
              <w:right w:val="nil"/>
            </w:tcBorders>
            <w:shd w:val="clear" w:color="auto" w:fill="auto"/>
            <w:noWrap/>
            <w:vAlign w:val="bottom"/>
            <w:hideMark/>
          </w:tcPr>
          <w:p w14:paraId="6FBF5C31"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22</w:t>
            </w:r>
          </w:p>
        </w:tc>
      </w:tr>
      <w:tr w:rsidR="007D53EA" w:rsidRPr="007D53EA" w14:paraId="5E04DB86" w14:textId="77777777" w:rsidTr="007D53EA">
        <w:trPr>
          <w:trHeight w:val="645"/>
        </w:trPr>
        <w:tc>
          <w:tcPr>
            <w:tcW w:w="168" w:type="dxa"/>
            <w:tcBorders>
              <w:top w:val="nil"/>
              <w:left w:val="nil"/>
              <w:bottom w:val="nil"/>
              <w:right w:val="nil"/>
            </w:tcBorders>
            <w:shd w:val="clear" w:color="auto" w:fill="auto"/>
            <w:noWrap/>
            <w:vAlign w:val="bottom"/>
            <w:hideMark/>
          </w:tcPr>
          <w:p w14:paraId="1BE077C7"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vAlign w:val="center"/>
            <w:hideMark/>
          </w:tcPr>
          <w:p w14:paraId="0D5FDBF9" w14:textId="77777777" w:rsidR="007D53EA" w:rsidRPr="007D53EA" w:rsidRDefault="007D53EA" w:rsidP="007D53EA">
            <w:pPr>
              <w:spacing w:after="0" w:line="240" w:lineRule="auto"/>
              <w:ind w:left="0" w:right="0" w:firstLine="0"/>
              <w:jc w:val="left"/>
              <w:rPr>
                <w:rFonts w:ascii="Calibri" w:eastAsia="Times New Roman" w:hAnsi="Calibri" w:cs="Calibri"/>
                <w:color w:val="auto"/>
              </w:rPr>
            </w:pPr>
            <w:r w:rsidRPr="007D53EA">
              <w:rPr>
                <w:rFonts w:ascii="Calibri" w:eastAsia="Times New Roman" w:hAnsi="Calibri" w:cs="Calibri"/>
                <w:color w:val="auto"/>
              </w:rPr>
              <w:t>Prosječna mjesečna mirovina u kunama</w:t>
            </w:r>
            <w:r w:rsidRPr="007D53EA">
              <w:rPr>
                <w:rFonts w:ascii="Calibri" w:eastAsia="Times New Roman" w:hAnsi="Calibri" w:cs="Calibri"/>
                <w:color w:val="auto"/>
                <w:vertAlign w:val="superscript"/>
              </w:rPr>
              <w:t>1)</w:t>
            </w:r>
          </w:p>
        </w:tc>
        <w:tc>
          <w:tcPr>
            <w:tcW w:w="986" w:type="dxa"/>
            <w:tcBorders>
              <w:top w:val="nil"/>
              <w:left w:val="nil"/>
              <w:bottom w:val="nil"/>
              <w:right w:val="nil"/>
            </w:tcBorders>
            <w:shd w:val="clear" w:color="auto" w:fill="auto"/>
            <w:noWrap/>
            <w:vAlign w:val="center"/>
            <w:hideMark/>
          </w:tcPr>
          <w:p w14:paraId="3186884B"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1.567</w:t>
            </w:r>
          </w:p>
        </w:tc>
        <w:tc>
          <w:tcPr>
            <w:tcW w:w="1088" w:type="dxa"/>
            <w:tcBorders>
              <w:top w:val="nil"/>
              <w:left w:val="nil"/>
              <w:bottom w:val="nil"/>
              <w:right w:val="nil"/>
            </w:tcBorders>
            <w:shd w:val="clear" w:color="auto" w:fill="auto"/>
            <w:noWrap/>
            <w:vAlign w:val="center"/>
            <w:hideMark/>
          </w:tcPr>
          <w:p w14:paraId="11277EDD"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1.787</w:t>
            </w:r>
          </w:p>
        </w:tc>
        <w:tc>
          <w:tcPr>
            <w:tcW w:w="986" w:type="dxa"/>
            <w:tcBorders>
              <w:top w:val="nil"/>
              <w:left w:val="nil"/>
              <w:bottom w:val="nil"/>
              <w:right w:val="nil"/>
            </w:tcBorders>
            <w:shd w:val="clear" w:color="auto" w:fill="auto"/>
            <w:noWrap/>
            <w:vAlign w:val="center"/>
            <w:hideMark/>
          </w:tcPr>
          <w:p w14:paraId="333AA10E"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1.482</w:t>
            </w:r>
          </w:p>
        </w:tc>
        <w:tc>
          <w:tcPr>
            <w:tcW w:w="986" w:type="dxa"/>
            <w:tcBorders>
              <w:top w:val="nil"/>
              <w:left w:val="nil"/>
              <w:bottom w:val="nil"/>
              <w:right w:val="nil"/>
            </w:tcBorders>
            <w:shd w:val="clear" w:color="auto" w:fill="auto"/>
            <w:noWrap/>
            <w:vAlign w:val="center"/>
            <w:hideMark/>
          </w:tcPr>
          <w:p w14:paraId="6B415579"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1.629</w:t>
            </w:r>
          </w:p>
        </w:tc>
        <w:tc>
          <w:tcPr>
            <w:tcW w:w="1088" w:type="dxa"/>
            <w:tcBorders>
              <w:top w:val="nil"/>
              <w:left w:val="nil"/>
              <w:bottom w:val="nil"/>
              <w:right w:val="nil"/>
            </w:tcBorders>
            <w:shd w:val="clear" w:color="auto" w:fill="auto"/>
            <w:noWrap/>
            <w:vAlign w:val="center"/>
            <w:hideMark/>
          </w:tcPr>
          <w:p w14:paraId="4478F66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1.870</w:t>
            </w:r>
          </w:p>
        </w:tc>
        <w:tc>
          <w:tcPr>
            <w:tcW w:w="986" w:type="dxa"/>
            <w:tcBorders>
              <w:top w:val="nil"/>
              <w:left w:val="nil"/>
              <w:bottom w:val="nil"/>
              <w:right w:val="nil"/>
            </w:tcBorders>
            <w:shd w:val="clear" w:color="auto" w:fill="auto"/>
            <w:noWrap/>
            <w:vAlign w:val="center"/>
            <w:hideMark/>
          </w:tcPr>
          <w:p w14:paraId="6F9263A0"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1.530</w:t>
            </w:r>
          </w:p>
        </w:tc>
      </w:tr>
      <w:tr w:rsidR="007D53EA" w:rsidRPr="007D53EA" w14:paraId="2C2CB8E6" w14:textId="77777777" w:rsidTr="007D53EA">
        <w:trPr>
          <w:trHeight w:val="360"/>
        </w:trPr>
        <w:tc>
          <w:tcPr>
            <w:tcW w:w="2620" w:type="dxa"/>
            <w:gridSpan w:val="2"/>
            <w:tcBorders>
              <w:top w:val="nil"/>
              <w:left w:val="nil"/>
              <w:bottom w:val="nil"/>
              <w:right w:val="nil"/>
            </w:tcBorders>
            <w:shd w:val="clear" w:color="auto" w:fill="auto"/>
            <w:noWrap/>
            <w:vAlign w:val="bottom"/>
            <w:hideMark/>
          </w:tcPr>
          <w:p w14:paraId="7B667AD1" w14:textId="77777777" w:rsidR="007D53EA" w:rsidRPr="007D53EA" w:rsidRDefault="007D53EA" w:rsidP="007D53EA">
            <w:pPr>
              <w:spacing w:after="0" w:line="240" w:lineRule="auto"/>
              <w:ind w:left="0" w:right="0" w:firstLine="0"/>
              <w:jc w:val="left"/>
              <w:rPr>
                <w:rFonts w:ascii="Calibri" w:eastAsia="Times New Roman" w:hAnsi="Calibri" w:cs="Calibri"/>
                <w:b/>
                <w:bCs/>
                <w:color w:val="auto"/>
              </w:rPr>
            </w:pPr>
            <w:r w:rsidRPr="007D53EA">
              <w:rPr>
                <w:rFonts w:ascii="Calibri" w:eastAsia="Times New Roman" w:hAnsi="Calibri" w:cs="Calibri"/>
                <w:b/>
                <w:bCs/>
                <w:color w:val="auto"/>
              </w:rPr>
              <w:t>Invalidska</w:t>
            </w:r>
          </w:p>
        </w:tc>
        <w:tc>
          <w:tcPr>
            <w:tcW w:w="986" w:type="dxa"/>
            <w:tcBorders>
              <w:top w:val="nil"/>
              <w:left w:val="nil"/>
              <w:bottom w:val="nil"/>
              <w:right w:val="nil"/>
            </w:tcBorders>
            <w:shd w:val="clear" w:color="auto" w:fill="auto"/>
            <w:noWrap/>
            <w:vAlign w:val="bottom"/>
            <w:hideMark/>
          </w:tcPr>
          <w:p w14:paraId="2582ADA5" w14:textId="77777777" w:rsidR="007D53EA" w:rsidRPr="007D53EA" w:rsidRDefault="007D53EA" w:rsidP="007D53EA">
            <w:pPr>
              <w:spacing w:after="0" w:line="240" w:lineRule="auto"/>
              <w:ind w:left="0" w:right="0" w:firstLine="0"/>
              <w:jc w:val="left"/>
              <w:rPr>
                <w:rFonts w:ascii="Calibri" w:eastAsia="Times New Roman" w:hAnsi="Calibri" w:cs="Calibri"/>
                <w:b/>
                <w:bCs/>
                <w:color w:val="auto"/>
              </w:rPr>
            </w:pPr>
          </w:p>
        </w:tc>
        <w:tc>
          <w:tcPr>
            <w:tcW w:w="1088" w:type="dxa"/>
            <w:tcBorders>
              <w:top w:val="nil"/>
              <w:left w:val="nil"/>
              <w:bottom w:val="nil"/>
              <w:right w:val="nil"/>
            </w:tcBorders>
            <w:shd w:val="clear" w:color="auto" w:fill="auto"/>
            <w:noWrap/>
            <w:vAlign w:val="bottom"/>
            <w:hideMark/>
          </w:tcPr>
          <w:p w14:paraId="214C6763"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0B270FA5"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748FD5C6"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1088" w:type="dxa"/>
            <w:tcBorders>
              <w:top w:val="nil"/>
              <w:left w:val="nil"/>
              <w:bottom w:val="nil"/>
              <w:right w:val="nil"/>
            </w:tcBorders>
            <w:shd w:val="clear" w:color="auto" w:fill="auto"/>
            <w:noWrap/>
            <w:vAlign w:val="bottom"/>
            <w:hideMark/>
          </w:tcPr>
          <w:p w14:paraId="4D090CE8"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6F410369"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r>
      <w:tr w:rsidR="007D53EA" w:rsidRPr="007D53EA" w14:paraId="4D1C79D1" w14:textId="77777777" w:rsidTr="007D53EA">
        <w:trPr>
          <w:trHeight w:val="345"/>
        </w:trPr>
        <w:tc>
          <w:tcPr>
            <w:tcW w:w="168" w:type="dxa"/>
            <w:tcBorders>
              <w:top w:val="nil"/>
              <w:left w:val="nil"/>
              <w:bottom w:val="nil"/>
              <w:right w:val="nil"/>
            </w:tcBorders>
            <w:shd w:val="clear" w:color="auto" w:fill="auto"/>
            <w:noWrap/>
            <w:vAlign w:val="bottom"/>
            <w:hideMark/>
          </w:tcPr>
          <w:p w14:paraId="4ABE1CCE"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2452" w:type="dxa"/>
            <w:tcBorders>
              <w:top w:val="nil"/>
              <w:left w:val="nil"/>
              <w:bottom w:val="nil"/>
              <w:right w:val="single" w:sz="4" w:space="0" w:color="auto"/>
            </w:tcBorders>
            <w:shd w:val="clear" w:color="auto" w:fill="auto"/>
            <w:noWrap/>
            <w:vAlign w:val="bottom"/>
            <w:hideMark/>
          </w:tcPr>
          <w:p w14:paraId="7A63EF16" w14:textId="77777777" w:rsidR="007D53EA" w:rsidRPr="007D53EA" w:rsidRDefault="007D53EA" w:rsidP="007D53EA">
            <w:pPr>
              <w:spacing w:after="0" w:line="240" w:lineRule="auto"/>
              <w:ind w:left="0" w:right="0" w:firstLine="0"/>
              <w:jc w:val="left"/>
              <w:rPr>
                <w:rFonts w:ascii="Calibri" w:eastAsia="Times New Roman" w:hAnsi="Calibri" w:cs="Calibri"/>
                <w:color w:val="auto"/>
              </w:rPr>
            </w:pPr>
            <w:r w:rsidRPr="007D53EA">
              <w:rPr>
                <w:rFonts w:ascii="Calibri" w:eastAsia="Times New Roman" w:hAnsi="Calibri" w:cs="Calibri"/>
                <w:color w:val="auto"/>
              </w:rPr>
              <w:t>Broj korisnika</w:t>
            </w:r>
          </w:p>
        </w:tc>
        <w:tc>
          <w:tcPr>
            <w:tcW w:w="986" w:type="dxa"/>
            <w:tcBorders>
              <w:top w:val="nil"/>
              <w:left w:val="nil"/>
              <w:bottom w:val="nil"/>
              <w:right w:val="nil"/>
            </w:tcBorders>
            <w:shd w:val="clear" w:color="auto" w:fill="auto"/>
            <w:noWrap/>
            <w:vAlign w:val="bottom"/>
            <w:hideMark/>
          </w:tcPr>
          <w:p w14:paraId="66D8208B"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98</w:t>
            </w:r>
          </w:p>
        </w:tc>
        <w:tc>
          <w:tcPr>
            <w:tcW w:w="1088" w:type="dxa"/>
            <w:tcBorders>
              <w:top w:val="nil"/>
              <w:left w:val="nil"/>
              <w:bottom w:val="nil"/>
              <w:right w:val="nil"/>
            </w:tcBorders>
            <w:shd w:val="clear" w:color="auto" w:fill="auto"/>
            <w:noWrap/>
            <w:vAlign w:val="bottom"/>
            <w:hideMark/>
          </w:tcPr>
          <w:p w14:paraId="0C655096"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56</w:t>
            </w:r>
          </w:p>
        </w:tc>
        <w:tc>
          <w:tcPr>
            <w:tcW w:w="986" w:type="dxa"/>
            <w:tcBorders>
              <w:top w:val="nil"/>
              <w:left w:val="nil"/>
              <w:bottom w:val="nil"/>
              <w:right w:val="nil"/>
            </w:tcBorders>
            <w:shd w:val="clear" w:color="auto" w:fill="auto"/>
            <w:noWrap/>
            <w:vAlign w:val="bottom"/>
            <w:hideMark/>
          </w:tcPr>
          <w:p w14:paraId="25D14709"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42</w:t>
            </w:r>
          </w:p>
        </w:tc>
        <w:tc>
          <w:tcPr>
            <w:tcW w:w="986" w:type="dxa"/>
            <w:tcBorders>
              <w:top w:val="nil"/>
              <w:left w:val="nil"/>
              <w:bottom w:val="nil"/>
              <w:right w:val="nil"/>
            </w:tcBorders>
            <w:shd w:val="clear" w:color="auto" w:fill="auto"/>
            <w:noWrap/>
            <w:vAlign w:val="bottom"/>
            <w:hideMark/>
          </w:tcPr>
          <w:p w14:paraId="689EF51D"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90</w:t>
            </w:r>
          </w:p>
        </w:tc>
        <w:tc>
          <w:tcPr>
            <w:tcW w:w="1088" w:type="dxa"/>
            <w:tcBorders>
              <w:top w:val="nil"/>
              <w:left w:val="nil"/>
              <w:bottom w:val="nil"/>
              <w:right w:val="nil"/>
            </w:tcBorders>
            <w:shd w:val="clear" w:color="auto" w:fill="auto"/>
            <w:noWrap/>
            <w:vAlign w:val="bottom"/>
            <w:hideMark/>
          </w:tcPr>
          <w:p w14:paraId="352E595D"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51</w:t>
            </w:r>
          </w:p>
        </w:tc>
        <w:tc>
          <w:tcPr>
            <w:tcW w:w="986" w:type="dxa"/>
            <w:tcBorders>
              <w:top w:val="nil"/>
              <w:left w:val="nil"/>
              <w:bottom w:val="nil"/>
              <w:right w:val="nil"/>
            </w:tcBorders>
            <w:shd w:val="clear" w:color="auto" w:fill="auto"/>
            <w:noWrap/>
            <w:vAlign w:val="bottom"/>
            <w:hideMark/>
          </w:tcPr>
          <w:p w14:paraId="4E2719FA"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39</w:t>
            </w:r>
          </w:p>
        </w:tc>
      </w:tr>
      <w:tr w:rsidR="007D53EA" w:rsidRPr="007D53EA" w14:paraId="1D512C15" w14:textId="77777777" w:rsidTr="007D53EA">
        <w:trPr>
          <w:trHeight w:val="315"/>
        </w:trPr>
        <w:tc>
          <w:tcPr>
            <w:tcW w:w="168" w:type="dxa"/>
            <w:tcBorders>
              <w:top w:val="nil"/>
              <w:left w:val="nil"/>
              <w:bottom w:val="nil"/>
              <w:right w:val="nil"/>
            </w:tcBorders>
            <w:shd w:val="clear" w:color="auto" w:fill="auto"/>
            <w:noWrap/>
            <w:vAlign w:val="bottom"/>
            <w:hideMark/>
          </w:tcPr>
          <w:p w14:paraId="587A1347"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noWrap/>
            <w:vAlign w:val="bottom"/>
            <w:hideMark/>
          </w:tcPr>
          <w:p w14:paraId="5E426827" w14:textId="77777777" w:rsidR="007D53EA" w:rsidRPr="007D53EA" w:rsidRDefault="007D53EA" w:rsidP="007D53EA">
            <w:pPr>
              <w:spacing w:after="0" w:line="240" w:lineRule="auto"/>
              <w:ind w:left="0" w:right="0" w:firstLine="0"/>
              <w:jc w:val="left"/>
              <w:rPr>
                <w:rFonts w:ascii="Calibri" w:eastAsia="Times New Roman" w:hAnsi="Calibri" w:cs="Calibri"/>
                <w:color w:val="auto"/>
                <w:sz w:val="20"/>
                <w:szCs w:val="20"/>
              </w:rPr>
            </w:pPr>
            <w:r w:rsidRPr="007D53EA">
              <w:rPr>
                <w:rFonts w:ascii="Calibri" w:eastAsia="Times New Roman" w:hAnsi="Calibri" w:cs="Calibri"/>
                <w:color w:val="auto"/>
              </w:rPr>
              <w:t>Prosječan staž</w:t>
            </w:r>
          </w:p>
        </w:tc>
        <w:tc>
          <w:tcPr>
            <w:tcW w:w="986" w:type="dxa"/>
            <w:tcBorders>
              <w:top w:val="nil"/>
              <w:left w:val="nil"/>
              <w:bottom w:val="nil"/>
              <w:right w:val="nil"/>
            </w:tcBorders>
            <w:shd w:val="clear" w:color="auto" w:fill="auto"/>
            <w:noWrap/>
            <w:vAlign w:val="bottom"/>
            <w:hideMark/>
          </w:tcPr>
          <w:p w14:paraId="34A28672"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21</w:t>
            </w:r>
          </w:p>
        </w:tc>
        <w:tc>
          <w:tcPr>
            <w:tcW w:w="1088" w:type="dxa"/>
            <w:tcBorders>
              <w:top w:val="nil"/>
              <w:left w:val="nil"/>
              <w:bottom w:val="nil"/>
              <w:right w:val="nil"/>
            </w:tcBorders>
            <w:shd w:val="clear" w:color="auto" w:fill="auto"/>
            <w:noWrap/>
            <w:vAlign w:val="bottom"/>
            <w:hideMark/>
          </w:tcPr>
          <w:p w14:paraId="5A0C9AEE"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22</w:t>
            </w:r>
          </w:p>
        </w:tc>
        <w:tc>
          <w:tcPr>
            <w:tcW w:w="986" w:type="dxa"/>
            <w:tcBorders>
              <w:top w:val="nil"/>
              <w:left w:val="nil"/>
              <w:bottom w:val="nil"/>
              <w:right w:val="nil"/>
            </w:tcBorders>
            <w:shd w:val="clear" w:color="auto" w:fill="auto"/>
            <w:noWrap/>
            <w:vAlign w:val="bottom"/>
            <w:hideMark/>
          </w:tcPr>
          <w:p w14:paraId="30A07C4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19</w:t>
            </w:r>
          </w:p>
        </w:tc>
        <w:tc>
          <w:tcPr>
            <w:tcW w:w="986" w:type="dxa"/>
            <w:tcBorders>
              <w:top w:val="nil"/>
              <w:left w:val="nil"/>
              <w:bottom w:val="nil"/>
              <w:right w:val="nil"/>
            </w:tcBorders>
            <w:shd w:val="clear" w:color="auto" w:fill="auto"/>
            <w:noWrap/>
            <w:vAlign w:val="bottom"/>
            <w:hideMark/>
          </w:tcPr>
          <w:p w14:paraId="17CD2F4D"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21</w:t>
            </w:r>
          </w:p>
        </w:tc>
        <w:tc>
          <w:tcPr>
            <w:tcW w:w="1088" w:type="dxa"/>
            <w:tcBorders>
              <w:top w:val="nil"/>
              <w:left w:val="nil"/>
              <w:bottom w:val="nil"/>
              <w:right w:val="nil"/>
            </w:tcBorders>
            <w:shd w:val="clear" w:color="auto" w:fill="auto"/>
            <w:noWrap/>
            <w:vAlign w:val="bottom"/>
            <w:hideMark/>
          </w:tcPr>
          <w:p w14:paraId="359C5F96"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23</w:t>
            </w:r>
          </w:p>
        </w:tc>
        <w:tc>
          <w:tcPr>
            <w:tcW w:w="986" w:type="dxa"/>
            <w:tcBorders>
              <w:top w:val="nil"/>
              <w:left w:val="nil"/>
              <w:bottom w:val="nil"/>
              <w:right w:val="nil"/>
            </w:tcBorders>
            <w:shd w:val="clear" w:color="auto" w:fill="auto"/>
            <w:noWrap/>
            <w:vAlign w:val="bottom"/>
            <w:hideMark/>
          </w:tcPr>
          <w:p w14:paraId="4B0BC353"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19</w:t>
            </w:r>
          </w:p>
        </w:tc>
      </w:tr>
      <w:tr w:rsidR="007D53EA" w:rsidRPr="007D53EA" w14:paraId="23671778" w14:textId="77777777" w:rsidTr="007D53EA">
        <w:trPr>
          <w:trHeight w:val="645"/>
        </w:trPr>
        <w:tc>
          <w:tcPr>
            <w:tcW w:w="168" w:type="dxa"/>
            <w:tcBorders>
              <w:top w:val="nil"/>
              <w:left w:val="nil"/>
              <w:bottom w:val="nil"/>
              <w:right w:val="nil"/>
            </w:tcBorders>
            <w:shd w:val="clear" w:color="auto" w:fill="auto"/>
            <w:noWrap/>
            <w:vAlign w:val="bottom"/>
            <w:hideMark/>
          </w:tcPr>
          <w:p w14:paraId="4E14EECE"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vAlign w:val="center"/>
            <w:hideMark/>
          </w:tcPr>
          <w:p w14:paraId="141A3220" w14:textId="77777777" w:rsidR="007D53EA" w:rsidRPr="007D53EA" w:rsidRDefault="007D53EA" w:rsidP="007D53EA">
            <w:pPr>
              <w:spacing w:after="0" w:line="240" w:lineRule="auto"/>
              <w:ind w:left="0" w:right="0" w:firstLine="0"/>
              <w:jc w:val="left"/>
              <w:rPr>
                <w:rFonts w:ascii="Calibri" w:eastAsia="Times New Roman" w:hAnsi="Calibri" w:cs="Calibri"/>
                <w:color w:val="auto"/>
              </w:rPr>
            </w:pPr>
            <w:r w:rsidRPr="007D53EA">
              <w:rPr>
                <w:rFonts w:ascii="Calibri" w:eastAsia="Times New Roman" w:hAnsi="Calibri" w:cs="Calibri"/>
                <w:color w:val="auto"/>
              </w:rPr>
              <w:t>Prosječna mjesečna mirovina u kunama</w:t>
            </w:r>
            <w:r w:rsidRPr="007D53EA">
              <w:rPr>
                <w:rFonts w:ascii="Calibri" w:eastAsia="Times New Roman" w:hAnsi="Calibri" w:cs="Calibri"/>
                <w:color w:val="auto"/>
                <w:vertAlign w:val="superscript"/>
              </w:rPr>
              <w:t>1)</w:t>
            </w:r>
          </w:p>
        </w:tc>
        <w:tc>
          <w:tcPr>
            <w:tcW w:w="986" w:type="dxa"/>
            <w:tcBorders>
              <w:top w:val="nil"/>
              <w:left w:val="nil"/>
              <w:bottom w:val="nil"/>
              <w:right w:val="nil"/>
            </w:tcBorders>
            <w:shd w:val="clear" w:color="auto" w:fill="auto"/>
            <w:noWrap/>
            <w:vAlign w:val="center"/>
            <w:hideMark/>
          </w:tcPr>
          <w:p w14:paraId="4C01AE92"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2.146</w:t>
            </w:r>
          </w:p>
        </w:tc>
        <w:tc>
          <w:tcPr>
            <w:tcW w:w="1088" w:type="dxa"/>
            <w:tcBorders>
              <w:top w:val="nil"/>
              <w:left w:val="nil"/>
              <w:bottom w:val="nil"/>
              <w:right w:val="nil"/>
            </w:tcBorders>
            <w:shd w:val="clear" w:color="auto" w:fill="auto"/>
            <w:noWrap/>
            <w:vAlign w:val="center"/>
            <w:hideMark/>
          </w:tcPr>
          <w:p w14:paraId="7792F2AC"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2.343</w:t>
            </w:r>
          </w:p>
        </w:tc>
        <w:tc>
          <w:tcPr>
            <w:tcW w:w="986" w:type="dxa"/>
            <w:tcBorders>
              <w:top w:val="nil"/>
              <w:left w:val="nil"/>
              <w:bottom w:val="nil"/>
              <w:right w:val="nil"/>
            </w:tcBorders>
            <w:shd w:val="clear" w:color="auto" w:fill="auto"/>
            <w:noWrap/>
            <w:vAlign w:val="center"/>
            <w:hideMark/>
          </w:tcPr>
          <w:p w14:paraId="5B74B64E"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1.884</w:t>
            </w:r>
          </w:p>
        </w:tc>
        <w:tc>
          <w:tcPr>
            <w:tcW w:w="986" w:type="dxa"/>
            <w:tcBorders>
              <w:top w:val="nil"/>
              <w:left w:val="nil"/>
              <w:bottom w:val="nil"/>
              <w:right w:val="nil"/>
            </w:tcBorders>
            <w:shd w:val="clear" w:color="auto" w:fill="auto"/>
            <w:noWrap/>
            <w:vAlign w:val="center"/>
            <w:hideMark/>
          </w:tcPr>
          <w:p w14:paraId="2782B810"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2.192</w:t>
            </w:r>
          </w:p>
        </w:tc>
        <w:tc>
          <w:tcPr>
            <w:tcW w:w="1088" w:type="dxa"/>
            <w:tcBorders>
              <w:top w:val="nil"/>
              <w:left w:val="nil"/>
              <w:bottom w:val="nil"/>
              <w:right w:val="nil"/>
            </w:tcBorders>
            <w:shd w:val="clear" w:color="auto" w:fill="auto"/>
            <w:noWrap/>
            <w:vAlign w:val="center"/>
            <w:hideMark/>
          </w:tcPr>
          <w:p w14:paraId="5CDBFC9A"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2.391</w:t>
            </w:r>
          </w:p>
        </w:tc>
        <w:tc>
          <w:tcPr>
            <w:tcW w:w="986" w:type="dxa"/>
            <w:tcBorders>
              <w:top w:val="nil"/>
              <w:left w:val="nil"/>
              <w:bottom w:val="nil"/>
              <w:right w:val="nil"/>
            </w:tcBorders>
            <w:shd w:val="clear" w:color="auto" w:fill="auto"/>
            <w:noWrap/>
            <w:vAlign w:val="center"/>
            <w:hideMark/>
          </w:tcPr>
          <w:p w14:paraId="7E768206"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1.930</w:t>
            </w:r>
          </w:p>
        </w:tc>
      </w:tr>
      <w:tr w:rsidR="007D53EA" w:rsidRPr="007D53EA" w14:paraId="021C001F" w14:textId="77777777" w:rsidTr="007D53EA">
        <w:trPr>
          <w:trHeight w:val="360"/>
        </w:trPr>
        <w:tc>
          <w:tcPr>
            <w:tcW w:w="2620" w:type="dxa"/>
            <w:gridSpan w:val="2"/>
            <w:tcBorders>
              <w:top w:val="nil"/>
              <w:left w:val="nil"/>
              <w:bottom w:val="nil"/>
              <w:right w:val="nil"/>
            </w:tcBorders>
            <w:shd w:val="clear" w:color="auto" w:fill="auto"/>
            <w:noWrap/>
            <w:vAlign w:val="bottom"/>
            <w:hideMark/>
          </w:tcPr>
          <w:p w14:paraId="44FC10AA" w14:textId="77777777" w:rsidR="007D53EA" w:rsidRPr="007D53EA" w:rsidRDefault="007D53EA" w:rsidP="007D53EA">
            <w:pPr>
              <w:spacing w:after="0" w:line="240" w:lineRule="auto"/>
              <w:ind w:left="0" w:right="0" w:firstLine="0"/>
              <w:jc w:val="left"/>
              <w:rPr>
                <w:rFonts w:ascii="Calibri" w:eastAsia="Times New Roman" w:hAnsi="Calibri" w:cs="Calibri"/>
                <w:b/>
                <w:bCs/>
                <w:color w:val="auto"/>
              </w:rPr>
            </w:pPr>
            <w:r w:rsidRPr="007D53EA">
              <w:rPr>
                <w:rFonts w:ascii="Calibri" w:eastAsia="Times New Roman" w:hAnsi="Calibri" w:cs="Calibri"/>
                <w:b/>
                <w:bCs/>
                <w:color w:val="auto"/>
              </w:rPr>
              <w:t>Obiteljska</w:t>
            </w:r>
            <w:r w:rsidRPr="007D53EA">
              <w:rPr>
                <w:rFonts w:ascii="Calibri" w:eastAsia="Times New Roman" w:hAnsi="Calibri" w:cs="Calibri"/>
                <w:b/>
                <w:bCs/>
                <w:color w:val="auto"/>
                <w:vertAlign w:val="superscript"/>
              </w:rPr>
              <w:t>2)</w:t>
            </w:r>
          </w:p>
        </w:tc>
        <w:tc>
          <w:tcPr>
            <w:tcW w:w="986" w:type="dxa"/>
            <w:tcBorders>
              <w:top w:val="nil"/>
              <w:left w:val="nil"/>
              <w:bottom w:val="nil"/>
              <w:right w:val="nil"/>
            </w:tcBorders>
            <w:shd w:val="clear" w:color="auto" w:fill="auto"/>
            <w:noWrap/>
            <w:vAlign w:val="bottom"/>
            <w:hideMark/>
          </w:tcPr>
          <w:p w14:paraId="15181AD5" w14:textId="77777777" w:rsidR="007D53EA" w:rsidRPr="007D53EA" w:rsidRDefault="007D53EA" w:rsidP="007D53EA">
            <w:pPr>
              <w:spacing w:after="0" w:line="240" w:lineRule="auto"/>
              <w:ind w:left="0" w:right="0" w:firstLine="0"/>
              <w:jc w:val="left"/>
              <w:rPr>
                <w:rFonts w:ascii="Calibri" w:eastAsia="Times New Roman" w:hAnsi="Calibri" w:cs="Calibri"/>
                <w:b/>
                <w:bCs/>
                <w:color w:val="auto"/>
              </w:rPr>
            </w:pPr>
          </w:p>
        </w:tc>
        <w:tc>
          <w:tcPr>
            <w:tcW w:w="1088" w:type="dxa"/>
            <w:tcBorders>
              <w:top w:val="nil"/>
              <w:left w:val="nil"/>
              <w:bottom w:val="nil"/>
              <w:right w:val="nil"/>
            </w:tcBorders>
            <w:shd w:val="clear" w:color="auto" w:fill="auto"/>
            <w:noWrap/>
            <w:vAlign w:val="bottom"/>
            <w:hideMark/>
          </w:tcPr>
          <w:p w14:paraId="58CA2562"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5E090FCB"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1CAFCDDE"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1088" w:type="dxa"/>
            <w:tcBorders>
              <w:top w:val="nil"/>
              <w:left w:val="nil"/>
              <w:bottom w:val="nil"/>
              <w:right w:val="nil"/>
            </w:tcBorders>
            <w:shd w:val="clear" w:color="auto" w:fill="auto"/>
            <w:noWrap/>
            <w:vAlign w:val="bottom"/>
            <w:hideMark/>
          </w:tcPr>
          <w:p w14:paraId="1F797F70"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vAlign w:val="bottom"/>
            <w:hideMark/>
          </w:tcPr>
          <w:p w14:paraId="131AB199"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r>
      <w:tr w:rsidR="007D53EA" w:rsidRPr="007D53EA" w14:paraId="794476E1" w14:textId="77777777" w:rsidTr="007D53EA">
        <w:trPr>
          <w:trHeight w:val="345"/>
        </w:trPr>
        <w:tc>
          <w:tcPr>
            <w:tcW w:w="168" w:type="dxa"/>
            <w:tcBorders>
              <w:top w:val="nil"/>
              <w:left w:val="nil"/>
              <w:bottom w:val="nil"/>
              <w:right w:val="nil"/>
            </w:tcBorders>
            <w:shd w:val="clear" w:color="auto" w:fill="auto"/>
            <w:noWrap/>
            <w:vAlign w:val="bottom"/>
            <w:hideMark/>
          </w:tcPr>
          <w:p w14:paraId="073D47F5"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2452" w:type="dxa"/>
            <w:tcBorders>
              <w:top w:val="nil"/>
              <w:left w:val="nil"/>
              <w:bottom w:val="nil"/>
              <w:right w:val="single" w:sz="4" w:space="0" w:color="auto"/>
            </w:tcBorders>
            <w:shd w:val="clear" w:color="auto" w:fill="auto"/>
            <w:noWrap/>
            <w:vAlign w:val="bottom"/>
            <w:hideMark/>
          </w:tcPr>
          <w:p w14:paraId="54FE394D" w14:textId="77777777" w:rsidR="007D53EA" w:rsidRPr="007D53EA" w:rsidRDefault="007D53EA" w:rsidP="007D53EA">
            <w:pPr>
              <w:spacing w:after="0" w:line="240" w:lineRule="auto"/>
              <w:ind w:left="0" w:right="0" w:firstLine="0"/>
              <w:jc w:val="left"/>
              <w:rPr>
                <w:rFonts w:ascii="Calibri" w:eastAsia="Times New Roman" w:hAnsi="Calibri" w:cs="Calibri"/>
                <w:color w:val="auto"/>
              </w:rPr>
            </w:pPr>
            <w:r w:rsidRPr="007D53EA">
              <w:rPr>
                <w:rFonts w:ascii="Calibri" w:eastAsia="Times New Roman" w:hAnsi="Calibri" w:cs="Calibri"/>
                <w:color w:val="auto"/>
              </w:rPr>
              <w:t>Broj korisnika</w:t>
            </w:r>
          </w:p>
        </w:tc>
        <w:tc>
          <w:tcPr>
            <w:tcW w:w="986" w:type="dxa"/>
            <w:tcBorders>
              <w:top w:val="nil"/>
              <w:left w:val="nil"/>
              <w:bottom w:val="nil"/>
              <w:right w:val="nil"/>
            </w:tcBorders>
            <w:shd w:val="clear" w:color="auto" w:fill="auto"/>
            <w:noWrap/>
            <w:vAlign w:val="bottom"/>
            <w:hideMark/>
          </w:tcPr>
          <w:p w14:paraId="37E931C1"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119</w:t>
            </w:r>
          </w:p>
        </w:tc>
        <w:tc>
          <w:tcPr>
            <w:tcW w:w="1088" w:type="dxa"/>
            <w:tcBorders>
              <w:top w:val="nil"/>
              <w:left w:val="nil"/>
              <w:bottom w:val="nil"/>
              <w:right w:val="nil"/>
            </w:tcBorders>
            <w:shd w:val="clear" w:color="auto" w:fill="auto"/>
            <w:noWrap/>
            <w:vAlign w:val="bottom"/>
            <w:hideMark/>
          </w:tcPr>
          <w:p w14:paraId="08268E29"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9</w:t>
            </w:r>
          </w:p>
        </w:tc>
        <w:tc>
          <w:tcPr>
            <w:tcW w:w="986" w:type="dxa"/>
            <w:tcBorders>
              <w:top w:val="nil"/>
              <w:left w:val="nil"/>
              <w:bottom w:val="nil"/>
              <w:right w:val="nil"/>
            </w:tcBorders>
            <w:shd w:val="clear" w:color="auto" w:fill="auto"/>
            <w:noWrap/>
            <w:vAlign w:val="bottom"/>
            <w:hideMark/>
          </w:tcPr>
          <w:p w14:paraId="4A287497"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110</w:t>
            </w:r>
          </w:p>
        </w:tc>
        <w:tc>
          <w:tcPr>
            <w:tcW w:w="986" w:type="dxa"/>
            <w:tcBorders>
              <w:top w:val="nil"/>
              <w:left w:val="nil"/>
              <w:bottom w:val="nil"/>
              <w:right w:val="nil"/>
            </w:tcBorders>
            <w:shd w:val="clear" w:color="auto" w:fill="auto"/>
            <w:noWrap/>
            <w:vAlign w:val="bottom"/>
            <w:hideMark/>
          </w:tcPr>
          <w:p w14:paraId="0D0D9974"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119</w:t>
            </w:r>
          </w:p>
        </w:tc>
        <w:tc>
          <w:tcPr>
            <w:tcW w:w="1088" w:type="dxa"/>
            <w:tcBorders>
              <w:top w:val="nil"/>
              <w:left w:val="nil"/>
              <w:bottom w:val="nil"/>
              <w:right w:val="nil"/>
            </w:tcBorders>
            <w:shd w:val="clear" w:color="auto" w:fill="auto"/>
            <w:noWrap/>
            <w:vAlign w:val="bottom"/>
            <w:hideMark/>
          </w:tcPr>
          <w:p w14:paraId="5DC4AD63"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10</w:t>
            </w:r>
          </w:p>
        </w:tc>
        <w:tc>
          <w:tcPr>
            <w:tcW w:w="986" w:type="dxa"/>
            <w:tcBorders>
              <w:top w:val="nil"/>
              <w:left w:val="nil"/>
              <w:bottom w:val="nil"/>
              <w:right w:val="nil"/>
            </w:tcBorders>
            <w:shd w:val="clear" w:color="auto" w:fill="auto"/>
            <w:noWrap/>
            <w:vAlign w:val="bottom"/>
            <w:hideMark/>
          </w:tcPr>
          <w:p w14:paraId="5D3C9C49"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109</w:t>
            </w:r>
          </w:p>
        </w:tc>
      </w:tr>
      <w:tr w:rsidR="007D53EA" w:rsidRPr="007D53EA" w14:paraId="27D903DA" w14:textId="77777777" w:rsidTr="007D53EA">
        <w:trPr>
          <w:trHeight w:val="300"/>
        </w:trPr>
        <w:tc>
          <w:tcPr>
            <w:tcW w:w="168" w:type="dxa"/>
            <w:tcBorders>
              <w:top w:val="nil"/>
              <w:left w:val="nil"/>
              <w:bottom w:val="nil"/>
              <w:right w:val="nil"/>
            </w:tcBorders>
            <w:shd w:val="clear" w:color="auto" w:fill="auto"/>
            <w:noWrap/>
            <w:vAlign w:val="bottom"/>
            <w:hideMark/>
          </w:tcPr>
          <w:p w14:paraId="52919830"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noWrap/>
            <w:vAlign w:val="bottom"/>
            <w:hideMark/>
          </w:tcPr>
          <w:p w14:paraId="36884C6B" w14:textId="77777777" w:rsidR="007D53EA" w:rsidRPr="007D53EA" w:rsidRDefault="007D53EA" w:rsidP="007D53EA">
            <w:pPr>
              <w:spacing w:after="0" w:line="240" w:lineRule="auto"/>
              <w:ind w:left="0" w:right="0" w:firstLine="0"/>
              <w:jc w:val="left"/>
              <w:rPr>
                <w:rFonts w:ascii="Calibri" w:eastAsia="Times New Roman" w:hAnsi="Calibri" w:cs="Calibri"/>
                <w:color w:val="auto"/>
                <w:sz w:val="20"/>
                <w:szCs w:val="20"/>
              </w:rPr>
            </w:pPr>
            <w:r w:rsidRPr="007D53EA">
              <w:rPr>
                <w:rFonts w:ascii="Calibri" w:eastAsia="Times New Roman" w:hAnsi="Calibri" w:cs="Calibri"/>
                <w:color w:val="auto"/>
              </w:rPr>
              <w:t>Prosječan staž</w:t>
            </w:r>
          </w:p>
        </w:tc>
        <w:tc>
          <w:tcPr>
            <w:tcW w:w="986" w:type="dxa"/>
            <w:tcBorders>
              <w:top w:val="nil"/>
              <w:left w:val="nil"/>
              <w:bottom w:val="nil"/>
              <w:right w:val="nil"/>
            </w:tcBorders>
            <w:shd w:val="clear" w:color="auto" w:fill="auto"/>
            <w:noWrap/>
            <w:vAlign w:val="bottom"/>
            <w:hideMark/>
          </w:tcPr>
          <w:p w14:paraId="25E87CB0"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16</w:t>
            </w:r>
          </w:p>
        </w:tc>
        <w:tc>
          <w:tcPr>
            <w:tcW w:w="1088" w:type="dxa"/>
            <w:tcBorders>
              <w:top w:val="nil"/>
              <w:left w:val="nil"/>
              <w:bottom w:val="nil"/>
              <w:right w:val="nil"/>
            </w:tcBorders>
            <w:shd w:val="clear" w:color="auto" w:fill="auto"/>
            <w:noWrap/>
            <w:vAlign w:val="bottom"/>
            <w:hideMark/>
          </w:tcPr>
          <w:p w14:paraId="63044147"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17</w:t>
            </w:r>
          </w:p>
        </w:tc>
        <w:tc>
          <w:tcPr>
            <w:tcW w:w="986" w:type="dxa"/>
            <w:tcBorders>
              <w:top w:val="nil"/>
              <w:left w:val="nil"/>
              <w:bottom w:val="nil"/>
              <w:right w:val="nil"/>
            </w:tcBorders>
            <w:shd w:val="clear" w:color="auto" w:fill="auto"/>
            <w:noWrap/>
            <w:vAlign w:val="bottom"/>
            <w:hideMark/>
          </w:tcPr>
          <w:p w14:paraId="35493CBA"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16</w:t>
            </w:r>
          </w:p>
        </w:tc>
        <w:tc>
          <w:tcPr>
            <w:tcW w:w="986" w:type="dxa"/>
            <w:tcBorders>
              <w:top w:val="nil"/>
              <w:left w:val="nil"/>
              <w:bottom w:val="nil"/>
              <w:right w:val="nil"/>
            </w:tcBorders>
            <w:shd w:val="clear" w:color="auto" w:fill="auto"/>
            <w:noWrap/>
            <w:vAlign w:val="bottom"/>
            <w:hideMark/>
          </w:tcPr>
          <w:p w14:paraId="55AB6FAE"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17</w:t>
            </w:r>
          </w:p>
        </w:tc>
        <w:tc>
          <w:tcPr>
            <w:tcW w:w="1088" w:type="dxa"/>
            <w:tcBorders>
              <w:top w:val="nil"/>
              <w:left w:val="nil"/>
              <w:bottom w:val="nil"/>
              <w:right w:val="nil"/>
            </w:tcBorders>
            <w:shd w:val="clear" w:color="auto" w:fill="auto"/>
            <w:noWrap/>
            <w:vAlign w:val="bottom"/>
            <w:hideMark/>
          </w:tcPr>
          <w:p w14:paraId="2CE84453"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17</w:t>
            </w:r>
          </w:p>
        </w:tc>
        <w:tc>
          <w:tcPr>
            <w:tcW w:w="986" w:type="dxa"/>
            <w:tcBorders>
              <w:top w:val="nil"/>
              <w:left w:val="nil"/>
              <w:bottom w:val="nil"/>
              <w:right w:val="nil"/>
            </w:tcBorders>
            <w:shd w:val="clear" w:color="auto" w:fill="auto"/>
            <w:noWrap/>
            <w:vAlign w:val="bottom"/>
            <w:hideMark/>
          </w:tcPr>
          <w:p w14:paraId="6591DD05"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17</w:t>
            </w:r>
          </w:p>
        </w:tc>
      </w:tr>
      <w:tr w:rsidR="007D53EA" w:rsidRPr="007D53EA" w14:paraId="6932B196" w14:textId="77777777" w:rsidTr="007D53EA">
        <w:trPr>
          <w:trHeight w:val="645"/>
        </w:trPr>
        <w:tc>
          <w:tcPr>
            <w:tcW w:w="168" w:type="dxa"/>
            <w:tcBorders>
              <w:top w:val="nil"/>
              <w:left w:val="nil"/>
              <w:bottom w:val="nil"/>
              <w:right w:val="nil"/>
            </w:tcBorders>
            <w:shd w:val="clear" w:color="auto" w:fill="auto"/>
            <w:noWrap/>
            <w:vAlign w:val="bottom"/>
            <w:hideMark/>
          </w:tcPr>
          <w:p w14:paraId="4B757F69"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p>
        </w:tc>
        <w:tc>
          <w:tcPr>
            <w:tcW w:w="2452" w:type="dxa"/>
            <w:tcBorders>
              <w:top w:val="nil"/>
              <w:left w:val="nil"/>
              <w:bottom w:val="nil"/>
              <w:right w:val="single" w:sz="4" w:space="0" w:color="auto"/>
            </w:tcBorders>
            <w:shd w:val="clear" w:color="auto" w:fill="auto"/>
            <w:vAlign w:val="center"/>
            <w:hideMark/>
          </w:tcPr>
          <w:p w14:paraId="75A5C857" w14:textId="77777777" w:rsidR="007D53EA" w:rsidRPr="007D53EA" w:rsidRDefault="007D53EA" w:rsidP="007D53EA">
            <w:pPr>
              <w:spacing w:after="0" w:line="240" w:lineRule="auto"/>
              <w:ind w:left="0" w:right="0" w:firstLine="0"/>
              <w:jc w:val="left"/>
              <w:rPr>
                <w:rFonts w:ascii="Calibri" w:eastAsia="Times New Roman" w:hAnsi="Calibri" w:cs="Calibri"/>
                <w:color w:val="auto"/>
              </w:rPr>
            </w:pPr>
            <w:r w:rsidRPr="007D53EA">
              <w:rPr>
                <w:rFonts w:ascii="Calibri" w:eastAsia="Times New Roman" w:hAnsi="Calibri" w:cs="Calibri"/>
                <w:color w:val="auto"/>
              </w:rPr>
              <w:t>Prosječna mjesečna mirovina u kunama</w:t>
            </w:r>
            <w:r w:rsidRPr="007D53EA">
              <w:rPr>
                <w:rFonts w:ascii="Calibri" w:eastAsia="Times New Roman" w:hAnsi="Calibri" w:cs="Calibri"/>
                <w:color w:val="auto"/>
                <w:vertAlign w:val="superscript"/>
              </w:rPr>
              <w:t>1)</w:t>
            </w:r>
          </w:p>
        </w:tc>
        <w:tc>
          <w:tcPr>
            <w:tcW w:w="986" w:type="dxa"/>
            <w:tcBorders>
              <w:top w:val="nil"/>
              <w:left w:val="nil"/>
              <w:bottom w:val="nil"/>
              <w:right w:val="nil"/>
            </w:tcBorders>
            <w:shd w:val="clear" w:color="auto" w:fill="auto"/>
            <w:noWrap/>
            <w:vAlign w:val="center"/>
            <w:hideMark/>
          </w:tcPr>
          <w:p w14:paraId="7403B2B4"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1.252</w:t>
            </w:r>
          </w:p>
        </w:tc>
        <w:tc>
          <w:tcPr>
            <w:tcW w:w="1088" w:type="dxa"/>
            <w:tcBorders>
              <w:top w:val="nil"/>
              <w:left w:val="nil"/>
              <w:bottom w:val="nil"/>
              <w:right w:val="nil"/>
            </w:tcBorders>
            <w:shd w:val="clear" w:color="auto" w:fill="auto"/>
            <w:noWrap/>
            <w:vAlign w:val="center"/>
            <w:hideMark/>
          </w:tcPr>
          <w:p w14:paraId="4CEBA265"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1.119</w:t>
            </w:r>
          </w:p>
        </w:tc>
        <w:tc>
          <w:tcPr>
            <w:tcW w:w="986" w:type="dxa"/>
            <w:tcBorders>
              <w:top w:val="nil"/>
              <w:left w:val="nil"/>
              <w:bottom w:val="nil"/>
              <w:right w:val="nil"/>
            </w:tcBorders>
            <w:shd w:val="clear" w:color="auto" w:fill="auto"/>
            <w:noWrap/>
            <w:vAlign w:val="center"/>
            <w:hideMark/>
          </w:tcPr>
          <w:p w14:paraId="06C1D20A"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1.263</w:t>
            </w:r>
          </w:p>
        </w:tc>
        <w:tc>
          <w:tcPr>
            <w:tcW w:w="986" w:type="dxa"/>
            <w:tcBorders>
              <w:top w:val="nil"/>
              <w:left w:val="nil"/>
              <w:bottom w:val="nil"/>
              <w:right w:val="nil"/>
            </w:tcBorders>
            <w:shd w:val="clear" w:color="auto" w:fill="auto"/>
            <w:noWrap/>
            <w:vAlign w:val="center"/>
            <w:hideMark/>
          </w:tcPr>
          <w:p w14:paraId="54A378D6"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1.299</w:t>
            </w:r>
          </w:p>
        </w:tc>
        <w:tc>
          <w:tcPr>
            <w:tcW w:w="1088" w:type="dxa"/>
            <w:tcBorders>
              <w:top w:val="nil"/>
              <w:left w:val="nil"/>
              <w:bottom w:val="nil"/>
              <w:right w:val="nil"/>
            </w:tcBorders>
            <w:shd w:val="clear" w:color="auto" w:fill="auto"/>
            <w:noWrap/>
            <w:vAlign w:val="center"/>
            <w:hideMark/>
          </w:tcPr>
          <w:p w14:paraId="1E5F9438"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1.145</w:t>
            </w:r>
          </w:p>
        </w:tc>
        <w:tc>
          <w:tcPr>
            <w:tcW w:w="986" w:type="dxa"/>
            <w:tcBorders>
              <w:top w:val="nil"/>
              <w:left w:val="nil"/>
              <w:bottom w:val="nil"/>
              <w:right w:val="nil"/>
            </w:tcBorders>
            <w:shd w:val="clear" w:color="auto" w:fill="auto"/>
            <w:noWrap/>
            <w:vAlign w:val="center"/>
            <w:hideMark/>
          </w:tcPr>
          <w:p w14:paraId="53C5E017" w14:textId="77777777" w:rsidR="007D53EA" w:rsidRPr="007D53EA" w:rsidRDefault="007D53EA" w:rsidP="007D53EA">
            <w:pPr>
              <w:spacing w:after="0" w:line="240" w:lineRule="auto"/>
              <w:ind w:left="0" w:right="0" w:firstLine="0"/>
              <w:jc w:val="right"/>
              <w:rPr>
                <w:rFonts w:ascii="Calibri" w:eastAsia="Times New Roman" w:hAnsi="Calibri" w:cs="Calibri"/>
                <w:color w:val="auto"/>
              </w:rPr>
            </w:pPr>
            <w:r w:rsidRPr="007D53EA">
              <w:rPr>
                <w:rFonts w:ascii="Calibri" w:eastAsia="Times New Roman" w:hAnsi="Calibri" w:cs="Calibri"/>
                <w:color w:val="auto"/>
              </w:rPr>
              <w:t>1.314</w:t>
            </w:r>
          </w:p>
        </w:tc>
      </w:tr>
      <w:tr w:rsidR="007D53EA" w:rsidRPr="007D53EA" w14:paraId="2D5E372D" w14:textId="77777777" w:rsidTr="007D53EA">
        <w:trPr>
          <w:trHeight w:val="465"/>
        </w:trPr>
        <w:tc>
          <w:tcPr>
            <w:tcW w:w="168" w:type="dxa"/>
            <w:tcBorders>
              <w:top w:val="nil"/>
              <w:left w:val="nil"/>
              <w:bottom w:val="nil"/>
              <w:right w:val="nil"/>
            </w:tcBorders>
            <w:shd w:val="clear" w:color="auto" w:fill="auto"/>
            <w:noWrap/>
            <w:hideMark/>
          </w:tcPr>
          <w:p w14:paraId="58D3C286" w14:textId="77777777" w:rsidR="007D53EA" w:rsidRPr="007D53EA" w:rsidRDefault="007D53EA" w:rsidP="007D53EA">
            <w:pPr>
              <w:spacing w:after="0" w:line="240" w:lineRule="auto"/>
              <w:ind w:left="0" w:right="0" w:firstLine="0"/>
              <w:jc w:val="right"/>
              <w:rPr>
                <w:rFonts w:ascii="Calibri" w:eastAsia="Times New Roman" w:hAnsi="Calibri" w:cs="Calibri"/>
                <w:color w:val="auto"/>
                <w:sz w:val="18"/>
                <w:szCs w:val="18"/>
              </w:rPr>
            </w:pPr>
            <w:r w:rsidRPr="007D53EA">
              <w:rPr>
                <w:rFonts w:ascii="Calibri" w:eastAsia="Times New Roman" w:hAnsi="Calibri" w:cs="Calibri"/>
                <w:color w:val="auto"/>
                <w:sz w:val="18"/>
                <w:szCs w:val="18"/>
                <w:vertAlign w:val="superscript"/>
              </w:rPr>
              <w:t>1)</w:t>
            </w:r>
          </w:p>
        </w:tc>
        <w:tc>
          <w:tcPr>
            <w:tcW w:w="8572" w:type="dxa"/>
            <w:gridSpan w:val="7"/>
            <w:tcBorders>
              <w:top w:val="nil"/>
              <w:left w:val="nil"/>
              <w:bottom w:val="nil"/>
              <w:right w:val="nil"/>
            </w:tcBorders>
            <w:shd w:val="clear" w:color="auto" w:fill="auto"/>
            <w:hideMark/>
          </w:tcPr>
          <w:p w14:paraId="4EDA7242" w14:textId="77777777" w:rsidR="007D53EA" w:rsidRPr="007D53EA" w:rsidRDefault="007D53EA" w:rsidP="007D53EA">
            <w:pPr>
              <w:spacing w:after="0" w:line="240" w:lineRule="auto"/>
              <w:ind w:left="0" w:right="0" w:firstLine="0"/>
              <w:jc w:val="left"/>
              <w:rPr>
                <w:rFonts w:ascii="Calibri" w:eastAsia="Times New Roman" w:hAnsi="Calibri" w:cs="Calibri"/>
                <w:color w:val="auto"/>
                <w:sz w:val="18"/>
                <w:szCs w:val="18"/>
              </w:rPr>
            </w:pPr>
            <w:r w:rsidRPr="007D53EA">
              <w:rPr>
                <w:rFonts w:ascii="Calibri" w:eastAsia="Times New Roman" w:hAnsi="Calibri" w:cs="Calibri"/>
                <w:color w:val="auto"/>
                <w:sz w:val="18"/>
                <w:szCs w:val="18"/>
              </w:rPr>
              <w:t xml:space="preserve">Prosječne mjesečne mirovine umanjene su za porez i prirez. </w:t>
            </w:r>
          </w:p>
        </w:tc>
      </w:tr>
      <w:tr w:rsidR="007D53EA" w:rsidRPr="007D53EA" w14:paraId="097E8441" w14:textId="77777777" w:rsidTr="007D53EA">
        <w:trPr>
          <w:trHeight w:val="540"/>
        </w:trPr>
        <w:tc>
          <w:tcPr>
            <w:tcW w:w="168" w:type="dxa"/>
            <w:tcBorders>
              <w:top w:val="nil"/>
              <w:left w:val="nil"/>
              <w:bottom w:val="nil"/>
              <w:right w:val="nil"/>
            </w:tcBorders>
            <w:shd w:val="clear" w:color="auto" w:fill="auto"/>
            <w:noWrap/>
            <w:hideMark/>
          </w:tcPr>
          <w:p w14:paraId="12779417" w14:textId="77777777" w:rsidR="007D53EA" w:rsidRPr="007D53EA" w:rsidRDefault="007D53EA" w:rsidP="007D53EA">
            <w:pPr>
              <w:spacing w:after="0" w:line="240" w:lineRule="auto"/>
              <w:ind w:left="0" w:right="0" w:firstLine="0"/>
              <w:jc w:val="right"/>
              <w:rPr>
                <w:rFonts w:ascii="Calibri" w:eastAsia="Times New Roman" w:hAnsi="Calibri" w:cs="Calibri"/>
                <w:color w:val="auto"/>
                <w:sz w:val="18"/>
                <w:szCs w:val="18"/>
              </w:rPr>
            </w:pPr>
            <w:r w:rsidRPr="007D53EA">
              <w:rPr>
                <w:rFonts w:ascii="Calibri" w:eastAsia="Times New Roman" w:hAnsi="Calibri" w:cs="Calibri"/>
                <w:color w:val="auto"/>
                <w:sz w:val="18"/>
                <w:szCs w:val="18"/>
                <w:vertAlign w:val="superscript"/>
              </w:rPr>
              <w:t>2)</w:t>
            </w:r>
          </w:p>
        </w:tc>
        <w:tc>
          <w:tcPr>
            <w:tcW w:w="8572" w:type="dxa"/>
            <w:gridSpan w:val="7"/>
            <w:tcBorders>
              <w:top w:val="nil"/>
              <w:left w:val="nil"/>
              <w:bottom w:val="nil"/>
              <w:right w:val="nil"/>
            </w:tcBorders>
            <w:shd w:val="clear" w:color="auto" w:fill="auto"/>
            <w:vAlign w:val="bottom"/>
            <w:hideMark/>
          </w:tcPr>
          <w:p w14:paraId="1078E890" w14:textId="77777777" w:rsidR="007D53EA" w:rsidRPr="007D53EA" w:rsidRDefault="007D53EA" w:rsidP="007D53EA">
            <w:pPr>
              <w:spacing w:after="0" w:line="240" w:lineRule="auto"/>
              <w:ind w:left="0" w:right="0" w:firstLine="0"/>
              <w:jc w:val="left"/>
              <w:rPr>
                <w:rFonts w:ascii="Calibri" w:eastAsia="Times New Roman" w:hAnsi="Calibri" w:cs="Calibri"/>
                <w:color w:val="auto"/>
                <w:sz w:val="18"/>
                <w:szCs w:val="18"/>
              </w:rPr>
            </w:pPr>
            <w:r w:rsidRPr="007D53EA">
              <w:rPr>
                <w:rFonts w:ascii="Calibri" w:eastAsia="Times New Roman" w:hAnsi="Calibri" w:cs="Calibri"/>
                <w:color w:val="auto"/>
                <w:sz w:val="18"/>
                <w:szCs w:val="18"/>
              </w:rPr>
              <w:t>Kod obiteljskih mirovina spol se odnosi na naslovnika, a staž na korisnika od kojeg je određeno pravo na mirovinu.</w:t>
            </w:r>
          </w:p>
        </w:tc>
      </w:tr>
      <w:tr w:rsidR="007D53EA" w:rsidRPr="007D53EA" w14:paraId="633F7918" w14:textId="77777777" w:rsidTr="00B86C93">
        <w:trPr>
          <w:trHeight w:val="375"/>
        </w:trPr>
        <w:tc>
          <w:tcPr>
            <w:tcW w:w="168" w:type="dxa"/>
            <w:tcBorders>
              <w:top w:val="nil"/>
              <w:left w:val="nil"/>
              <w:bottom w:val="nil"/>
              <w:right w:val="nil"/>
            </w:tcBorders>
            <w:shd w:val="clear" w:color="auto" w:fill="auto"/>
            <w:noWrap/>
            <w:hideMark/>
          </w:tcPr>
          <w:p w14:paraId="55A45DF8" w14:textId="77777777" w:rsidR="007D53EA" w:rsidRPr="007D53EA" w:rsidRDefault="007D53EA" w:rsidP="007D53EA">
            <w:pPr>
              <w:spacing w:after="0" w:line="240" w:lineRule="auto"/>
              <w:ind w:left="0" w:right="0" w:firstLine="0"/>
              <w:jc w:val="left"/>
              <w:rPr>
                <w:rFonts w:ascii="Calibri" w:eastAsia="Times New Roman" w:hAnsi="Calibri" w:cs="Calibri"/>
                <w:color w:val="auto"/>
                <w:sz w:val="18"/>
                <w:szCs w:val="18"/>
              </w:rPr>
            </w:pPr>
          </w:p>
        </w:tc>
        <w:tc>
          <w:tcPr>
            <w:tcW w:w="2452" w:type="dxa"/>
            <w:tcBorders>
              <w:top w:val="nil"/>
              <w:left w:val="nil"/>
              <w:bottom w:val="nil"/>
              <w:right w:val="nil"/>
            </w:tcBorders>
            <w:shd w:val="clear" w:color="auto" w:fill="auto"/>
            <w:noWrap/>
          </w:tcPr>
          <w:p w14:paraId="1DB5E151" w14:textId="77777777" w:rsidR="007D53EA" w:rsidRPr="007D53EA" w:rsidRDefault="007D53EA" w:rsidP="007D53EA">
            <w:pPr>
              <w:spacing w:after="0" w:line="240" w:lineRule="auto"/>
              <w:ind w:left="0" w:right="0" w:firstLine="0"/>
              <w:jc w:val="righ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tcPr>
          <w:p w14:paraId="65919B51"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1088" w:type="dxa"/>
            <w:tcBorders>
              <w:top w:val="nil"/>
              <w:left w:val="nil"/>
              <w:bottom w:val="nil"/>
              <w:right w:val="nil"/>
            </w:tcBorders>
            <w:shd w:val="clear" w:color="auto" w:fill="auto"/>
            <w:noWrap/>
          </w:tcPr>
          <w:p w14:paraId="1E0069CA"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tcPr>
          <w:p w14:paraId="10E72B6C"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tcPr>
          <w:p w14:paraId="0F799B30"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1088" w:type="dxa"/>
            <w:tcBorders>
              <w:top w:val="nil"/>
              <w:left w:val="nil"/>
              <w:bottom w:val="nil"/>
              <w:right w:val="nil"/>
            </w:tcBorders>
            <w:shd w:val="clear" w:color="auto" w:fill="auto"/>
            <w:noWrap/>
          </w:tcPr>
          <w:p w14:paraId="474348D1"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986" w:type="dxa"/>
            <w:tcBorders>
              <w:top w:val="nil"/>
              <w:left w:val="nil"/>
              <w:bottom w:val="nil"/>
              <w:right w:val="nil"/>
            </w:tcBorders>
            <w:shd w:val="clear" w:color="auto" w:fill="auto"/>
            <w:noWrap/>
          </w:tcPr>
          <w:p w14:paraId="7B4D6598"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r>
      <w:tr w:rsidR="007D53EA" w:rsidRPr="007D53EA" w14:paraId="4B31C789" w14:textId="77777777" w:rsidTr="007D53EA">
        <w:trPr>
          <w:trHeight w:val="390"/>
        </w:trPr>
        <w:tc>
          <w:tcPr>
            <w:tcW w:w="168" w:type="dxa"/>
            <w:tcBorders>
              <w:top w:val="nil"/>
              <w:left w:val="nil"/>
              <w:bottom w:val="nil"/>
              <w:right w:val="nil"/>
            </w:tcBorders>
            <w:shd w:val="clear" w:color="auto" w:fill="auto"/>
            <w:noWrap/>
            <w:vAlign w:val="bottom"/>
            <w:hideMark/>
          </w:tcPr>
          <w:p w14:paraId="151577BF" w14:textId="77777777" w:rsidR="007D53EA" w:rsidRPr="007D53EA" w:rsidRDefault="007D53EA" w:rsidP="007D53EA">
            <w:pPr>
              <w:spacing w:after="0" w:line="240" w:lineRule="auto"/>
              <w:ind w:left="0" w:right="0" w:firstLine="0"/>
              <w:jc w:val="left"/>
              <w:rPr>
                <w:rFonts w:ascii="Times New Roman" w:eastAsia="Times New Roman" w:hAnsi="Times New Roman" w:cs="Times New Roman"/>
                <w:color w:val="auto"/>
                <w:sz w:val="20"/>
                <w:szCs w:val="20"/>
              </w:rPr>
            </w:pPr>
          </w:p>
        </w:tc>
        <w:tc>
          <w:tcPr>
            <w:tcW w:w="8572" w:type="dxa"/>
            <w:gridSpan w:val="7"/>
            <w:tcBorders>
              <w:top w:val="nil"/>
              <w:left w:val="nil"/>
              <w:bottom w:val="nil"/>
              <w:right w:val="nil"/>
            </w:tcBorders>
            <w:shd w:val="clear" w:color="auto" w:fill="auto"/>
            <w:noWrap/>
            <w:vAlign w:val="bottom"/>
            <w:hideMark/>
          </w:tcPr>
          <w:p w14:paraId="739F8EAF" w14:textId="77777777" w:rsidR="007D53EA" w:rsidRPr="007D53EA" w:rsidRDefault="007D53EA" w:rsidP="007D53EA">
            <w:pPr>
              <w:spacing w:after="0" w:line="240" w:lineRule="auto"/>
              <w:ind w:left="0" w:right="0" w:firstLine="0"/>
              <w:jc w:val="right"/>
              <w:rPr>
                <w:rFonts w:ascii="Calibri" w:eastAsia="Times New Roman" w:hAnsi="Calibri" w:cs="Calibri"/>
                <w:color w:val="auto"/>
                <w:sz w:val="20"/>
                <w:szCs w:val="20"/>
              </w:rPr>
            </w:pPr>
            <w:r w:rsidRPr="007D53EA">
              <w:rPr>
                <w:rFonts w:ascii="Calibri" w:eastAsia="Times New Roman" w:hAnsi="Calibri" w:cs="Calibri"/>
                <w:color w:val="auto"/>
                <w:sz w:val="20"/>
                <w:szCs w:val="20"/>
              </w:rPr>
              <w:t>Izvor: HZMO</w:t>
            </w:r>
          </w:p>
        </w:tc>
      </w:tr>
    </w:tbl>
    <w:p w14:paraId="7828B736" w14:textId="75F158B3" w:rsidR="0047770A" w:rsidRPr="005B784F" w:rsidRDefault="007D53EA" w:rsidP="007D53EA">
      <w:pPr>
        <w:spacing w:after="0" w:line="240" w:lineRule="auto"/>
        <w:ind w:left="0" w:right="0" w:firstLine="0"/>
        <w:jc w:val="center"/>
        <w:rPr>
          <w:rFonts w:ascii="Times New Roman" w:eastAsia="Calibri" w:hAnsi="Times New Roman" w:cs="Times New Roman"/>
          <w:i/>
          <w:color w:val="auto"/>
          <w:sz w:val="20"/>
        </w:rPr>
      </w:pPr>
      <w:r w:rsidRPr="00C74F2F">
        <w:rPr>
          <w:rFonts w:ascii="Times New Roman" w:hAnsi="Times New Roman" w:cs="Times New Roman"/>
          <w:i/>
          <w:color w:val="auto"/>
          <w:sz w:val="24"/>
        </w:rPr>
        <w:t>I</w:t>
      </w:r>
      <w:r w:rsidR="00900184" w:rsidRPr="00085325">
        <w:rPr>
          <w:rFonts w:ascii="Times New Roman" w:eastAsia="Calibri" w:hAnsi="Times New Roman" w:cs="Times New Roman"/>
          <w:i/>
          <w:color w:val="auto"/>
          <w:sz w:val="20"/>
        </w:rPr>
        <w:t>zv</w:t>
      </w:r>
      <w:r w:rsidR="00900184" w:rsidRPr="005B784F">
        <w:rPr>
          <w:rFonts w:ascii="Times New Roman" w:eastAsia="Calibri" w:hAnsi="Times New Roman" w:cs="Times New Roman"/>
          <w:i/>
          <w:color w:val="auto"/>
          <w:sz w:val="20"/>
        </w:rPr>
        <w:t>or: Statistički ljetopis Grada Zagreba</w:t>
      </w:r>
      <w:r w:rsidR="00DE21C7" w:rsidRPr="005B784F">
        <w:rPr>
          <w:rFonts w:ascii="Times New Roman" w:eastAsia="Calibri" w:hAnsi="Times New Roman" w:cs="Times New Roman"/>
          <w:i/>
          <w:color w:val="auto"/>
          <w:sz w:val="20"/>
        </w:rPr>
        <w:t xml:space="preserve"> 2021</w:t>
      </w:r>
      <w:r w:rsidR="00900184" w:rsidRPr="005B784F">
        <w:rPr>
          <w:rFonts w:ascii="Times New Roman" w:eastAsia="Calibri" w:hAnsi="Times New Roman" w:cs="Times New Roman"/>
          <w:i/>
          <w:color w:val="auto"/>
          <w:sz w:val="20"/>
        </w:rPr>
        <w:t>.</w:t>
      </w:r>
      <w:bookmarkStart w:id="29" w:name="_Toc2938548"/>
    </w:p>
    <w:p w14:paraId="36B604E1" w14:textId="77777777" w:rsidR="007D53EA" w:rsidRPr="0022015B" w:rsidRDefault="007D53EA" w:rsidP="007D53EA">
      <w:pPr>
        <w:spacing w:after="0" w:line="240" w:lineRule="auto"/>
        <w:ind w:left="0" w:right="0" w:firstLine="0"/>
        <w:jc w:val="center"/>
        <w:rPr>
          <w:rFonts w:ascii="Times New Roman" w:eastAsia="Calibri" w:hAnsi="Times New Roman" w:cs="Times New Roman"/>
          <w:i/>
          <w:color w:val="FF0000"/>
          <w:sz w:val="20"/>
        </w:rPr>
      </w:pPr>
    </w:p>
    <w:p w14:paraId="4D0978AB" w14:textId="77777777" w:rsidR="00E40AC8" w:rsidRPr="00D21FF1" w:rsidRDefault="00900184" w:rsidP="00D21FF1">
      <w:pPr>
        <w:spacing w:after="0" w:line="240" w:lineRule="auto"/>
        <w:ind w:left="0" w:right="0" w:firstLine="709"/>
        <w:rPr>
          <w:rFonts w:ascii="Times New Roman" w:hAnsi="Times New Roman" w:cs="Times New Roman"/>
          <w:b/>
          <w:sz w:val="24"/>
        </w:rPr>
      </w:pPr>
      <w:r w:rsidRPr="00D21FF1">
        <w:rPr>
          <w:rFonts w:ascii="Times New Roman" w:hAnsi="Times New Roman" w:cs="Times New Roman"/>
          <w:b/>
          <w:sz w:val="24"/>
        </w:rPr>
        <w:t>2.3.3. Proračun Grada Zagreba</w:t>
      </w:r>
      <w:bookmarkEnd w:id="29"/>
    </w:p>
    <w:p w14:paraId="7F67213E" w14:textId="780B54D5" w:rsidR="00E40AC8" w:rsidRPr="00C96208" w:rsidRDefault="00900184"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rPr>
        <w:t xml:space="preserve">Planirana sredstva Grada Zagreba za organiziranje i provođenje </w:t>
      </w:r>
      <w:r w:rsidR="000A146A" w:rsidRPr="00C96208">
        <w:rPr>
          <w:rFonts w:ascii="Times New Roman" w:hAnsi="Times New Roman" w:cs="Times New Roman"/>
          <w:color w:val="auto"/>
          <w:sz w:val="24"/>
        </w:rPr>
        <w:t>civilne zaštite</w:t>
      </w:r>
      <w:r w:rsidRPr="00C96208">
        <w:rPr>
          <w:rFonts w:ascii="Times New Roman" w:hAnsi="Times New Roman" w:cs="Times New Roman"/>
          <w:color w:val="auto"/>
          <w:sz w:val="24"/>
        </w:rPr>
        <w:t xml:space="preserve"> u 20</w:t>
      </w:r>
      <w:r w:rsidR="000A146A" w:rsidRPr="00C96208">
        <w:rPr>
          <w:rFonts w:ascii="Times New Roman" w:hAnsi="Times New Roman" w:cs="Times New Roman"/>
          <w:color w:val="auto"/>
          <w:sz w:val="24"/>
        </w:rPr>
        <w:t>22</w:t>
      </w:r>
      <w:r w:rsidRPr="00C96208">
        <w:rPr>
          <w:rFonts w:ascii="Times New Roman" w:hAnsi="Times New Roman" w:cs="Times New Roman"/>
          <w:color w:val="auto"/>
          <w:sz w:val="24"/>
        </w:rPr>
        <w:t xml:space="preserve">. </w:t>
      </w:r>
      <w:r w:rsidR="00CF513F" w:rsidRPr="00C96208">
        <w:rPr>
          <w:rFonts w:ascii="Times New Roman" w:hAnsi="Times New Roman" w:cs="Times New Roman"/>
          <w:color w:val="auto"/>
          <w:sz w:val="24"/>
        </w:rPr>
        <w:t xml:space="preserve">godini </w:t>
      </w:r>
      <w:r w:rsidRPr="00C96208">
        <w:rPr>
          <w:rFonts w:ascii="Times New Roman" w:hAnsi="Times New Roman" w:cs="Times New Roman"/>
          <w:color w:val="auto"/>
          <w:sz w:val="24"/>
        </w:rPr>
        <w:t>iznos</w:t>
      </w:r>
      <w:r w:rsidR="003E564E">
        <w:rPr>
          <w:rFonts w:ascii="Times New Roman" w:hAnsi="Times New Roman" w:cs="Times New Roman"/>
          <w:color w:val="auto"/>
          <w:sz w:val="24"/>
        </w:rPr>
        <w:t>e</w:t>
      </w:r>
      <w:r w:rsidRPr="00C96208">
        <w:rPr>
          <w:rFonts w:ascii="Times New Roman" w:hAnsi="Times New Roman" w:cs="Times New Roman"/>
          <w:color w:val="auto"/>
          <w:sz w:val="24"/>
        </w:rPr>
        <w:t>:</w:t>
      </w:r>
    </w:p>
    <w:p w14:paraId="133C146E" w14:textId="7273EFCE" w:rsidR="00CF513F" w:rsidRPr="00C96208" w:rsidRDefault="00EE6A22" w:rsidP="00CF513F">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u w:color="000000"/>
        </w:rPr>
        <w:t>-</w:t>
      </w:r>
      <w:r w:rsidR="0047770A" w:rsidRPr="00C96208">
        <w:rPr>
          <w:rFonts w:ascii="Times New Roman" w:hAnsi="Times New Roman" w:cs="Times New Roman"/>
          <w:color w:val="auto"/>
          <w:sz w:val="24"/>
          <w:u w:color="000000"/>
        </w:rPr>
        <w:t xml:space="preserve"> </w:t>
      </w:r>
      <w:r w:rsidR="00900184" w:rsidRPr="00C96208">
        <w:rPr>
          <w:rFonts w:ascii="Times New Roman" w:hAnsi="Times New Roman" w:cs="Times New Roman"/>
          <w:color w:val="auto"/>
          <w:sz w:val="24"/>
        </w:rPr>
        <w:t xml:space="preserve">za razvoj sustava civilne zaštite </w:t>
      </w:r>
      <w:r w:rsidR="00CF513F" w:rsidRPr="00C96208">
        <w:rPr>
          <w:rFonts w:ascii="Times New Roman" w:hAnsi="Times New Roman" w:cs="Times New Roman"/>
          <w:color w:val="auto"/>
          <w:sz w:val="24"/>
        </w:rPr>
        <w:t>Grada Zagreba 980.000,00</w:t>
      </w:r>
      <w:r w:rsidR="008910AF" w:rsidRPr="00C96208">
        <w:rPr>
          <w:rFonts w:ascii="Times New Roman" w:hAnsi="Times New Roman" w:cs="Times New Roman"/>
          <w:color w:val="auto"/>
          <w:sz w:val="24"/>
        </w:rPr>
        <w:t xml:space="preserve"> </w:t>
      </w:r>
      <w:r w:rsidR="00900184" w:rsidRPr="00C96208">
        <w:rPr>
          <w:rFonts w:ascii="Times New Roman" w:hAnsi="Times New Roman" w:cs="Times New Roman"/>
          <w:color w:val="auto"/>
          <w:sz w:val="24"/>
        </w:rPr>
        <w:t>kn</w:t>
      </w:r>
    </w:p>
    <w:p w14:paraId="0AAAA6DF" w14:textId="64C3A693" w:rsidR="00E40AC8" w:rsidRPr="00C96208" w:rsidRDefault="00EE6A22"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u w:color="000000"/>
        </w:rPr>
        <w:t>-</w:t>
      </w:r>
      <w:r w:rsidR="0047770A" w:rsidRPr="00C96208">
        <w:rPr>
          <w:rFonts w:ascii="Times New Roman" w:hAnsi="Times New Roman" w:cs="Times New Roman"/>
          <w:color w:val="auto"/>
          <w:sz w:val="24"/>
          <w:u w:color="000000"/>
        </w:rPr>
        <w:t xml:space="preserve"> </w:t>
      </w:r>
      <w:r w:rsidR="00900184" w:rsidRPr="00C96208">
        <w:rPr>
          <w:rFonts w:ascii="Times New Roman" w:hAnsi="Times New Roman" w:cs="Times New Roman"/>
          <w:color w:val="auto"/>
          <w:sz w:val="24"/>
        </w:rPr>
        <w:t xml:space="preserve">za Vatrogasnu zajednicu Grada Zagreba </w:t>
      </w:r>
      <w:r w:rsidR="00CF513F" w:rsidRPr="00C96208">
        <w:rPr>
          <w:rFonts w:ascii="Times New Roman" w:hAnsi="Times New Roman" w:cs="Times New Roman"/>
          <w:color w:val="auto"/>
          <w:sz w:val="24"/>
        </w:rPr>
        <w:t>14.088.000,00</w:t>
      </w:r>
      <w:r w:rsidR="00CF513F" w:rsidRPr="00C96208" w:rsidDel="00CF513F">
        <w:rPr>
          <w:rFonts w:ascii="Times New Roman" w:hAnsi="Times New Roman" w:cs="Times New Roman"/>
          <w:color w:val="auto"/>
          <w:sz w:val="24"/>
        </w:rPr>
        <w:t xml:space="preserve"> </w:t>
      </w:r>
      <w:r w:rsidR="00900184" w:rsidRPr="00C96208">
        <w:rPr>
          <w:rFonts w:ascii="Times New Roman" w:hAnsi="Times New Roman" w:cs="Times New Roman"/>
          <w:color w:val="auto"/>
          <w:sz w:val="24"/>
        </w:rPr>
        <w:t>kn</w:t>
      </w:r>
    </w:p>
    <w:p w14:paraId="4FD06E83" w14:textId="40DA2F3E" w:rsidR="00E40AC8" w:rsidRPr="00C96208" w:rsidRDefault="00EE6A22"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u w:color="000000"/>
        </w:rPr>
        <w:t>-</w:t>
      </w:r>
      <w:r w:rsidR="0047770A" w:rsidRPr="00C96208">
        <w:rPr>
          <w:rFonts w:ascii="Times New Roman" w:hAnsi="Times New Roman" w:cs="Times New Roman"/>
          <w:color w:val="auto"/>
          <w:sz w:val="24"/>
          <w:u w:color="000000"/>
        </w:rPr>
        <w:t xml:space="preserve"> </w:t>
      </w:r>
      <w:r w:rsidR="00900184" w:rsidRPr="00C96208">
        <w:rPr>
          <w:rFonts w:ascii="Times New Roman" w:hAnsi="Times New Roman" w:cs="Times New Roman"/>
          <w:color w:val="auto"/>
          <w:sz w:val="24"/>
        </w:rPr>
        <w:t xml:space="preserve">za Gorsku službu spašavanja </w:t>
      </w:r>
      <w:r w:rsidR="00CF513F" w:rsidRPr="00C96208">
        <w:rPr>
          <w:rFonts w:ascii="Times New Roman" w:hAnsi="Times New Roman" w:cs="Times New Roman"/>
          <w:color w:val="auto"/>
          <w:sz w:val="24"/>
        </w:rPr>
        <w:t xml:space="preserve">710.000,00 </w:t>
      </w:r>
      <w:r w:rsidR="00900184" w:rsidRPr="00C96208">
        <w:rPr>
          <w:rFonts w:ascii="Times New Roman" w:hAnsi="Times New Roman" w:cs="Times New Roman"/>
          <w:color w:val="auto"/>
          <w:sz w:val="24"/>
        </w:rPr>
        <w:t>kn</w:t>
      </w:r>
    </w:p>
    <w:p w14:paraId="0A2C6598" w14:textId="0D532F33" w:rsidR="00E40AC8" w:rsidRPr="00C96208" w:rsidRDefault="00EE6A22"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u w:color="000000"/>
        </w:rPr>
        <w:t>-</w:t>
      </w:r>
      <w:r w:rsidR="0047770A" w:rsidRPr="00C96208">
        <w:rPr>
          <w:rFonts w:ascii="Times New Roman" w:hAnsi="Times New Roman" w:cs="Times New Roman"/>
          <w:color w:val="auto"/>
          <w:sz w:val="24"/>
          <w:u w:color="000000"/>
        </w:rPr>
        <w:t xml:space="preserve"> </w:t>
      </w:r>
      <w:r w:rsidR="00900184" w:rsidRPr="00C96208">
        <w:rPr>
          <w:rFonts w:ascii="Times New Roman" w:hAnsi="Times New Roman" w:cs="Times New Roman"/>
          <w:color w:val="auto"/>
          <w:sz w:val="24"/>
        </w:rPr>
        <w:t xml:space="preserve">za Gradsko društvo Crvenog križa Zagreb </w:t>
      </w:r>
      <w:r w:rsidR="00CF513F" w:rsidRPr="00C96208">
        <w:rPr>
          <w:rFonts w:ascii="Times New Roman" w:hAnsi="Times New Roman" w:cs="Times New Roman"/>
          <w:color w:val="auto"/>
          <w:sz w:val="24"/>
        </w:rPr>
        <w:t>9.500.000,00</w:t>
      </w:r>
      <w:r w:rsidR="00900184" w:rsidRPr="00C96208">
        <w:rPr>
          <w:rFonts w:ascii="Times New Roman" w:hAnsi="Times New Roman" w:cs="Times New Roman"/>
          <w:color w:val="auto"/>
          <w:sz w:val="24"/>
        </w:rPr>
        <w:t xml:space="preserve"> kn</w:t>
      </w:r>
    </w:p>
    <w:p w14:paraId="64422F10" w14:textId="45A1C273" w:rsidR="00E40AC8" w:rsidRPr="00C96208" w:rsidRDefault="00EE6A22"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u w:color="000000"/>
        </w:rPr>
        <w:t>-</w:t>
      </w:r>
      <w:r w:rsidR="0047770A" w:rsidRPr="00C96208">
        <w:rPr>
          <w:rFonts w:ascii="Times New Roman" w:hAnsi="Times New Roman" w:cs="Times New Roman"/>
          <w:color w:val="auto"/>
          <w:sz w:val="24"/>
          <w:u w:color="000000"/>
        </w:rPr>
        <w:t xml:space="preserve"> </w:t>
      </w:r>
      <w:r w:rsidR="00900184" w:rsidRPr="00C96208">
        <w:rPr>
          <w:rFonts w:ascii="Times New Roman" w:hAnsi="Times New Roman" w:cs="Times New Roman"/>
          <w:color w:val="auto"/>
          <w:sz w:val="24"/>
        </w:rPr>
        <w:t xml:space="preserve">za Javnu vatrogasnu postrojbu Grada Zagreba </w:t>
      </w:r>
      <w:r w:rsidR="00CF513F" w:rsidRPr="00C96208">
        <w:rPr>
          <w:rFonts w:ascii="Times New Roman" w:hAnsi="Times New Roman" w:cs="Times New Roman"/>
          <w:color w:val="auto"/>
          <w:sz w:val="24"/>
        </w:rPr>
        <w:t>93.430.000,00</w:t>
      </w:r>
      <w:r w:rsidR="00900184" w:rsidRPr="00C96208">
        <w:rPr>
          <w:rFonts w:ascii="Times New Roman" w:hAnsi="Times New Roman" w:cs="Times New Roman"/>
          <w:color w:val="auto"/>
          <w:sz w:val="24"/>
        </w:rPr>
        <w:t xml:space="preserve"> kn</w:t>
      </w:r>
      <w:r w:rsidR="0047770A" w:rsidRPr="00C96208">
        <w:rPr>
          <w:rFonts w:ascii="Times New Roman" w:hAnsi="Times New Roman" w:cs="Times New Roman"/>
          <w:color w:val="auto"/>
          <w:sz w:val="24"/>
        </w:rPr>
        <w:t>.</w:t>
      </w:r>
      <w:r w:rsidR="00BD05D2" w:rsidRPr="00C96208">
        <w:rPr>
          <w:rFonts w:ascii="Times New Roman" w:hAnsi="Times New Roman" w:cs="Times New Roman"/>
          <w:color w:val="auto"/>
          <w:sz w:val="24"/>
        </w:rPr>
        <w:t xml:space="preserve"> </w:t>
      </w:r>
    </w:p>
    <w:p w14:paraId="5A147784" w14:textId="4344ACAE" w:rsidR="00E40AC8" w:rsidRPr="00C96208" w:rsidRDefault="00E40AC8" w:rsidP="005142C4">
      <w:pPr>
        <w:spacing w:after="0" w:line="240" w:lineRule="auto"/>
        <w:ind w:left="0" w:right="0" w:firstLine="0"/>
        <w:jc w:val="left"/>
        <w:rPr>
          <w:rFonts w:ascii="Times New Roman" w:hAnsi="Times New Roman" w:cs="Times New Roman"/>
          <w:color w:val="auto"/>
          <w:sz w:val="24"/>
        </w:rPr>
      </w:pPr>
    </w:p>
    <w:p w14:paraId="5E39E2B6" w14:textId="35E96F98" w:rsidR="00E40AC8" w:rsidRPr="00C96208" w:rsidRDefault="00900184"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rPr>
        <w:t xml:space="preserve">Ukupan </w:t>
      </w:r>
      <w:r w:rsidR="0047770A" w:rsidRPr="00C96208">
        <w:rPr>
          <w:rFonts w:ascii="Times New Roman" w:hAnsi="Times New Roman" w:cs="Times New Roman"/>
          <w:color w:val="auto"/>
          <w:sz w:val="24"/>
        </w:rPr>
        <w:t xml:space="preserve">Proračun </w:t>
      </w:r>
      <w:r w:rsidRPr="00C96208">
        <w:rPr>
          <w:rFonts w:ascii="Times New Roman" w:hAnsi="Times New Roman" w:cs="Times New Roman"/>
          <w:color w:val="auto"/>
          <w:sz w:val="24"/>
        </w:rPr>
        <w:t>Grada Zagreba u 2</w:t>
      </w:r>
      <w:r w:rsidR="00CF513F" w:rsidRPr="00C96208">
        <w:rPr>
          <w:rFonts w:ascii="Times New Roman" w:hAnsi="Times New Roman" w:cs="Times New Roman"/>
          <w:color w:val="auto"/>
          <w:sz w:val="24"/>
        </w:rPr>
        <w:t>022</w:t>
      </w:r>
      <w:r w:rsidRPr="00C96208">
        <w:rPr>
          <w:rFonts w:ascii="Times New Roman" w:hAnsi="Times New Roman" w:cs="Times New Roman"/>
          <w:color w:val="auto"/>
          <w:sz w:val="24"/>
        </w:rPr>
        <w:t xml:space="preserve">. iznosi </w:t>
      </w:r>
      <w:r w:rsidR="00CF489B" w:rsidRPr="00C96208">
        <w:rPr>
          <w:rFonts w:ascii="Times New Roman" w:hAnsi="Times New Roman" w:cs="Times New Roman"/>
          <w:color w:val="auto"/>
          <w:sz w:val="24"/>
        </w:rPr>
        <w:t xml:space="preserve">15.126.911.800 </w:t>
      </w:r>
      <w:r w:rsidRPr="006218CF">
        <w:rPr>
          <w:rFonts w:ascii="Times New Roman" w:hAnsi="Times New Roman" w:cs="Times New Roman"/>
          <w:color w:val="auto"/>
          <w:sz w:val="24"/>
        </w:rPr>
        <w:t>kuna</w:t>
      </w:r>
      <w:r w:rsidRPr="008965ED">
        <w:rPr>
          <w:rFonts w:ascii="Times New Roman" w:hAnsi="Times New Roman" w:cs="Times New Roman"/>
          <w:color w:val="auto"/>
          <w:sz w:val="24"/>
        </w:rPr>
        <w:t>.</w:t>
      </w:r>
    </w:p>
    <w:p w14:paraId="455929E9" w14:textId="08A9A2F8" w:rsidR="001D3863" w:rsidRPr="00C96208" w:rsidRDefault="001D3863" w:rsidP="0047770A">
      <w:pPr>
        <w:spacing w:after="0" w:line="240" w:lineRule="auto"/>
        <w:ind w:left="0" w:right="0" w:firstLine="709"/>
        <w:rPr>
          <w:rFonts w:ascii="Times New Roman" w:hAnsi="Times New Roman" w:cs="Times New Roman"/>
          <w:color w:val="auto"/>
          <w:sz w:val="24"/>
        </w:rPr>
      </w:pPr>
    </w:p>
    <w:p w14:paraId="1952407B" w14:textId="77777777" w:rsidR="00114CAB" w:rsidRDefault="00114CAB" w:rsidP="00B56BEA">
      <w:pPr>
        <w:spacing w:after="0" w:line="240" w:lineRule="auto"/>
        <w:ind w:left="0" w:right="0" w:firstLine="0"/>
        <w:jc w:val="center"/>
        <w:rPr>
          <w:rFonts w:ascii="Times New Roman" w:hAnsi="Times New Roman" w:cs="Times New Roman"/>
          <w:b/>
          <w:color w:val="auto"/>
          <w:sz w:val="24"/>
        </w:rPr>
      </w:pPr>
    </w:p>
    <w:p w14:paraId="6FEC28EF" w14:textId="77777777" w:rsidR="00114CAB" w:rsidRDefault="00114CAB" w:rsidP="00B56BEA">
      <w:pPr>
        <w:spacing w:after="0" w:line="240" w:lineRule="auto"/>
        <w:ind w:left="0" w:right="0" w:firstLine="0"/>
        <w:jc w:val="center"/>
        <w:rPr>
          <w:rFonts w:ascii="Times New Roman" w:hAnsi="Times New Roman" w:cs="Times New Roman"/>
          <w:b/>
          <w:color w:val="auto"/>
          <w:sz w:val="24"/>
        </w:rPr>
      </w:pPr>
    </w:p>
    <w:p w14:paraId="4AC0AA5D" w14:textId="77777777" w:rsidR="00114CAB" w:rsidRDefault="00114CAB" w:rsidP="00B56BEA">
      <w:pPr>
        <w:spacing w:after="0" w:line="240" w:lineRule="auto"/>
        <w:ind w:left="0" w:right="0" w:firstLine="0"/>
        <w:jc w:val="center"/>
        <w:rPr>
          <w:rFonts w:ascii="Times New Roman" w:hAnsi="Times New Roman" w:cs="Times New Roman"/>
          <w:b/>
          <w:color w:val="auto"/>
          <w:sz w:val="24"/>
        </w:rPr>
      </w:pPr>
    </w:p>
    <w:p w14:paraId="33BC5C71" w14:textId="77777777" w:rsidR="00114CAB" w:rsidRDefault="00114CAB" w:rsidP="00B56BEA">
      <w:pPr>
        <w:spacing w:after="0" w:line="240" w:lineRule="auto"/>
        <w:ind w:left="0" w:right="0" w:firstLine="0"/>
        <w:jc w:val="center"/>
        <w:rPr>
          <w:rFonts w:ascii="Times New Roman" w:hAnsi="Times New Roman" w:cs="Times New Roman"/>
          <w:b/>
          <w:color w:val="auto"/>
          <w:sz w:val="24"/>
        </w:rPr>
      </w:pPr>
    </w:p>
    <w:p w14:paraId="33DFBC3C" w14:textId="77777777" w:rsidR="00114CAB" w:rsidRDefault="00114CAB" w:rsidP="00B56BEA">
      <w:pPr>
        <w:spacing w:after="0" w:line="240" w:lineRule="auto"/>
        <w:ind w:left="0" w:right="0" w:firstLine="0"/>
        <w:jc w:val="center"/>
        <w:rPr>
          <w:rFonts w:ascii="Times New Roman" w:hAnsi="Times New Roman" w:cs="Times New Roman"/>
          <w:b/>
          <w:color w:val="auto"/>
          <w:sz w:val="24"/>
        </w:rPr>
      </w:pPr>
    </w:p>
    <w:p w14:paraId="5941BABE" w14:textId="77777777" w:rsidR="00114CAB" w:rsidRDefault="00114CAB" w:rsidP="00B56BEA">
      <w:pPr>
        <w:spacing w:after="0" w:line="240" w:lineRule="auto"/>
        <w:ind w:left="0" w:right="0" w:firstLine="0"/>
        <w:jc w:val="center"/>
        <w:rPr>
          <w:rFonts w:ascii="Times New Roman" w:hAnsi="Times New Roman" w:cs="Times New Roman"/>
          <w:b/>
          <w:color w:val="auto"/>
          <w:sz w:val="24"/>
        </w:rPr>
      </w:pPr>
    </w:p>
    <w:p w14:paraId="7FC1FBFE" w14:textId="77777777" w:rsidR="00114CAB" w:rsidRDefault="00114CAB" w:rsidP="00B56BEA">
      <w:pPr>
        <w:spacing w:after="0" w:line="240" w:lineRule="auto"/>
        <w:ind w:left="0" w:right="0" w:firstLine="0"/>
        <w:jc w:val="center"/>
        <w:rPr>
          <w:rFonts w:ascii="Times New Roman" w:hAnsi="Times New Roman" w:cs="Times New Roman"/>
          <w:b/>
          <w:color w:val="auto"/>
          <w:sz w:val="24"/>
        </w:rPr>
      </w:pPr>
    </w:p>
    <w:p w14:paraId="5A7B2AB8" w14:textId="77777777" w:rsidR="00114CAB" w:rsidRDefault="00114CAB" w:rsidP="00B56BEA">
      <w:pPr>
        <w:spacing w:after="0" w:line="240" w:lineRule="auto"/>
        <w:ind w:left="0" w:right="0" w:firstLine="0"/>
        <w:jc w:val="center"/>
        <w:rPr>
          <w:rFonts w:ascii="Times New Roman" w:hAnsi="Times New Roman" w:cs="Times New Roman"/>
          <w:b/>
          <w:color w:val="auto"/>
          <w:sz w:val="24"/>
        </w:rPr>
      </w:pPr>
    </w:p>
    <w:p w14:paraId="4B34B779" w14:textId="77777777" w:rsidR="00114CAB" w:rsidRDefault="00114CAB" w:rsidP="00B56BEA">
      <w:pPr>
        <w:spacing w:after="0" w:line="240" w:lineRule="auto"/>
        <w:ind w:left="0" w:right="0" w:firstLine="0"/>
        <w:jc w:val="center"/>
        <w:rPr>
          <w:rFonts w:ascii="Times New Roman" w:hAnsi="Times New Roman" w:cs="Times New Roman"/>
          <w:b/>
          <w:color w:val="auto"/>
          <w:sz w:val="24"/>
        </w:rPr>
      </w:pPr>
    </w:p>
    <w:p w14:paraId="10D98E84" w14:textId="77777777" w:rsidR="00114CAB" w:rsidRDefault="00114CAB" w:rsidP="00B56BEA">
      <w:pPr>
        <w:spacing w:after="0" w:line="240" w:lineRule="auto"/>
        <w:ind w:left="0" w:right="0" w:firstLine="0"/>
        <w:jc w:val="center"/>
        <w:rPr>
          <w:rFonts w:ascii="Times New Roman" w:hAnsi="Times New Roman" w:cs="Times New Roman"/>
          <w:b/>
          <w:color w:val="auto"/>
          <w:sz w:val="24"/>
        </w:rPr>
      </w:pPr>
    </w:p>
    <w:p w14:paraId="12B89BCD" w14:textId="77777777" w:rsidR="00114CAB" w:rsidRDefault="00114CAB" w:rsidP="00B56BEA">
      <w:pPr>
        <w:spacing w:after="0" w:line="240" w:lineRule="auto"/>
        <w:ind w:left="0" w:right="0" w:firstLine="0"/>
        <w:jc w:val="center"/>
        <w:rPr>
          <w:rFonts w:ascii="Times New Roman" w:hAnsi="Times New Roman" w:cs="Times New Roman"/>
          <w:b/>
          <w:color w:val="auto"/>
          <w:sz w:val="24"/>
        </w:rPr>
      </w:pPr>
    </w:p>
    <w:p w14:paraId="0DF7B0ED" w14:textId="77777777" w:rsidR="00114CAB" w:rsidRDefault="00114CAB" w:rsidP="00B56BEA">
      <w:pPr>
        <w:spacing w:after="0" w:line="240" w:lineRule="auto"/>
        <w:ind w:left="0" w:right="0" w:firstLine="0"/>
        <w:jc w:val="center"/>
        <w:rPr>
          <w:rFonts w:ascii="Times New Roman" w:hAnsi="Times New Roman" w:cs="Times New Roman"/>
          <w:b/>
          <w:color w:val="auto"/>
          <w:sz w:val="24"/>
        </w:rPr>
      </w:pPr>
    </w:p>
    <w:p w14:paraId="4ADD85AF" w14:textId="77777777" w:rsidR="00114CAB" w:rsidRDefault="00114CAB" w:rsidP="00B56BEA">
      <w:pPr>
        <w:spacing w:after="0" w:line="240" w:lineRule="auto"/>
        <w:ind w:left="0" w:right="0" w:firstLine="0"/>
        <w:jc w:val="center"/>
        <w:rPr>
          <w:rFonts w:ascii="Times New Roman" w:hAnsi="Times New Roman" w:cs="Times New Roman"/>
          <w:b/>
          <w:color w:val="auto"/>
          <w:sz w:val="24"/>
        </w:rPr>
      </w:pPr>
    </w:p>
    <w:p w14:paraId="51C958FE" w14:textId="77777777" w:rsidR="00114CAB" w:rsidRDefault="00114CAB" w:rsidP="00B56BEA">
      <w:pPr>
        <w:spacing w:after="0" w:line="240" w:lineRule="auto"/>
        <w:ind w:left="0" w:right="0" w:firstLine="0"/>
        <w:jc w:val="center"/>
        <w:rPr>
          <w:rFonts w:ascii="Times New Roman" w:hAnsi="Times New Roman" w:cs="Times New Roman"/>
          <w:b/>
          <w:color w:val="auto"/>
          <w:sz w:val="24"/>
        </w:rPr>
      </w:pPr>
    </w:p>
    <w:p w14:paraId="6DA1C41B" w14:textId="2F5E5AAD" w:rsidR="00B56BEA" w:rsidRPr="00C96208" w:rsidRDefault="00900184" w:rsidP="00B56BEA">
      <w:pPr>
        <w:spacing w:after="0" w:line="240" w:lineRule="auto"/>
        <w:ind w:left="0" w:right="0" w:firstLine="0"/>
        <w:jc w:val="center"/>
        <w:rPr>
          <w:rFonts w:ascii="Times New Roman" w:hAnsi="Times New Roman" w:cs="Times New Roman"/>
          <w:b/>
          <w:color w:val="auto"/>
          <w:sz w:val="24"/>
        </w:rPr>
      </w:pPr>
      <w:r w:rsidRPr="00C96208">
        <w:rPr>
          <w:rFonts w:ascii="Times New Roman" w:hAnsi="Times New Roman" w:cs="Times New Roman"/>
          <w:b/>
          <w:color w:val="auto"/>
          <w:sz w:val="24"/>
        </w:rPr>
        <w:t>Tablica 2</w:t>
      </w:r>
      <w:r w:rsidR="00B86C93">
        <w:rPr>
          <w:rFonts w:ascii="Times New Roman" w:hAnsi="Times New Roman" w:cs="Times New Roman"/>
          <w:b/>
          <w:color w:val="auto"/>
          <w:sz w:val="24"/>
        </w:rPr>
        <w:t>3</w:t>
      </w:r>
      <w:r w:rsidRPr="00C96208">
        <w:rPr>
          <w:rFonts w:ascii="Times New Roman" w:hAnsi="Times New Roman" w:cs="Times New Roman"/>
          <w:b/>
          <w:color w:val="auto"/>
          <w:sz w:val="24"/>
        </w:rPr>
        <w:t>. Iznos proračuna Grada Zagreba za 20</w:t>
      </w:r>
      <w:r w:rsidR="00B56BEA" w:rsidRPr="00C96208">
        <w:rPr>
          <w:rFonts w:ascii="Times New Roman" w:hAnsi="Times New Roman" w:cs="Times New Roman"/>
          <w:b/>
          <w:color w:val="auto"/>
          <w:sz w:val="24"/>
        </w:rPr>
        <w:t>22</w:t>
      </w:r>
      <w:r w:rsidRPr="00C96208">
        <w:rPr>
          <w:rFonts w:ascii="Times New Roman" w:hAnsi="Times New Roman" w:cs="Times New Roman"/>
          <w:b/>
          <w:color w:val="auto"/>
          <w:sz w:val="24"/>
        </w:rPr>
        <w:t>.</w:t>
      </w:r>
      <w:r w:rsidR="00B56BEA" w:rsidRPr="00C96208">
        <w:rPr>
          <w:color w:val="auto"/>
        </w:rPr>
        <w:t xml:space="preserve"> </w:t>
      </w:r>
      <w:r w:rsidR="00B56BEA" w:rsidRPr="00C96208">
        <w:rPr>
          <w:rFonts w:ascii="Times New Roman" w:hAnsi="Times New Roman" w:cs="Times New Roman"/>
          <w:b/>
          <w:color w:val="auto"/>
          <w:sz w:val="24"/>
        </w:rPr>
        <w:t>i projekcije za 2023. i 2024.</w:t>
      </w:r>
    </w:p>
    <w:p w14:paraId="437474A0" w14:textId="71ED2B07" w:rsidR="00E40AC8" w:rsidRPr="00C96208" w:rsidRDefault="00B56BEA" w:rsidP="00B56BEA">
      <w:pPr>
        <w:spacing w:after="0" w:line="240" w:lineRule="auto"/>
        <w:ind w:left="0" w:right="0" w:firstLine="0"/>
        <w:jc w:val="center"/>
        <w:rPr>
          <w:rFonts w:ascii="Times New Roman" w:hAnsi="Times New Roman" w:cs="Times New Roman"/>
          <w:b/>
          <w:color w:val="auto"/>
          <w:sz w:val="24"/>
        </w:rPr>
      </w:pPr>
      <w:r w:rsidRPr="00C96208">
        <w:rPr>
          <w:rFonts w:ascii="Times New Roman" w:hAnsi="Times New Roman" w:cs="Times New Roman"/>
          <w:b/>
          <w:color w:val="auto"/>
          <w:sz w:val="24"/>
        </w:rPr>
        <w:t>godinu</w:t>
      </w:r>
    </w:p>
    <w:p w14:paraId="65AAE395" w14:textId="2489D1FE" w:rsidR="0047770A" w:rsidRPr="0022015B" w:rsidRDefault="00B56BEA" w:rsidP="00C96208">
      <w:pPr>
        <w:spacing w:after="0" w:line="240" w:lineRule="auto"/>
        <w:ind w:left="0" w:right="0" w:firstLine="0"/>
        <w:jc w:val="center"/>
        <w:rPr>
          <w:rFonts w:ascii="Times New Roman" w:hAnsi="Times New Roman" w:cs="Times New Roman"/>
          <w:color w:val="FF0000"/>
          <w:sz w:val="24"/>
        </w:rPr>
      </w:pPr>
      <w:r w:rsidRPr="00B56BEA">
        <w:rPr>
          <w:noProof/>
        </w:rPr>
        <w:drawing>
          <wp:inline distT="0" distB="0" distL="0" distR="0" wp14:anchorId="5649CA39" wp14:editId="36E94C88">
            <wp:extent cx="4919270" cy="3619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4967" t="19694" r="26257" b="6820"/>
                    <a:stretch/>
                  </pic:blipFill>
                  <pic:spPr bwMode="auto">
                    <a:xfrm>
                      <a:off x="0" y="0"/>
                      <a:ext cx="4977181" cy="3662109"/>
                    </a:xfrm>
                    <a:prstGeom prst="rect">
                      <a:avLst/>
                    </a:prstGeom>
                    <a:ln>
                      <a:noFill/>
                    </a:ln>
                    <a:extLst>
                      <a:ext uri="{53640926-AAD7-44D8-BBD7-CCE9431645EC}">
                        <a14:shadowObscured xmlns:a14="http://schemas.microsoft.com/office/drawing/2010/main"/>
                      </a:ext>
                    </a:extLst>
                  </pic:spPr>
                </pic:pic>
              </a:graphicData>
            </a:graphic>
          </wp:inline>
        </w:drawing>
      </w:r>
    </w:p>
    <w:p w14:paraId="57BCD445" w14:textId="781DE623" w:rsidR="0047770A" w:rsidRPr="00934B42" w:rsidRDefault="00900184" w:rsidP="00934B42">
      <w:pPr>
        <w:spacing w:after="0" w:line="240" w:lineRule="auto"/>
        <w:ind w:left="0" w:right="0" w:firstLine="0"/>
        <w:jc w:val="center"/>
        <w:rPr>
          <w:rFonts w:ascii="Times New Roman" w:eastAsia="Calibri" w:hAnsi="Times New Roman" w:cs="Times New Roman"/>
          <w:i/>
          <w:color w:val="auto"/>
          <w:sz w:val="20"/>
        </w:rPr>
      </w:pPr>
      <w:r w:rsidRPr="00C96208">
        <w:rPr>
          <w:rFonts w:ascii="Times New Roman" w:eastAsia="Calibri" w:hAnsi="Times New Roman" w:cs="Times New Roman"/>
          <w:i/>
          <w:color w:val="auto"/>
          <w:sz w:val="20"/>
        </w:rPr>
        <w:t xml:space="preserve">Izvor: Službeni glasnik Grada Zagreba </w:t>
      </w:r>
      <w:r w:rsidR="00B56BEA" w:rsidRPr="00C96208">
        <w:rPr>
          <w:rFonts w:ascii="Times New Roman" w:eastAsia="Calibri" w:hAnsi="Times New Roman" w:cs="Times New Roman"/>
          <w:i/>
          <w:color w:val="auto"/>
          <w:sz w:val="20"/>
        </w:rPr>
        <w:t>31</w:t>
      </w:r>
      <w:r w:rsidRPr="00C96208">
        <w:rPr>
          <w:rFonts w:ascii="Times New Roman" w:eastAsia="Calibri" w:hAnsi="Times New Roman" w:cs="Times New Roman"/>
          <w:i/>
          <w:color w:val="auto"/>
          <w:sz w:val="20"/>
        </w:rPr>
        <w:t>/</w:t>
      </w:r>
      <w:r w:rsidR="00B56BEA" w:rsidRPr="00C96208">
        <w:rPr>
          <w:rFonts w:ascii="Times New Roman" w:eastAsia="Calibri" w:hAnsi="Times New Roman" w:cs="Times New Roman"/>
          <w:i/>
          <w:color w:val="auto"/>
          <w:sz w:val="20"/>
        </w:rPr>
        <w:t>2021</w:t>
      </w:r>
      <w:bookmarkStart w:id="30" w:name="_Toc2938549"/>
    </w:p>
    <w:p w14:paraId="231AB9DF" w14:textId="77777777" w:rsidR="0029556F" w:rsidRDefault="0029556F" w:rsidP="00D21FF1">
      <w:pPr>
        <w:spacing w:after="0" w:line="240" w:lineRule="auto"/>
        <w:ind w:left="0" w:right="0" w:firstLine="709"/>
        <w:rPr>
          <w:rFonts w:ascii="Times New Roman" w:hAnsi="Times New Roman" w:cs="Times New Roman"/>
          <w:b/>
          <w:sz w:val="24"/>
        </w:rPr>
      </w:pPr>
    </w:p>
    <w:p w14:paraId="02284BFD" w14:textId="0E59B8FF" w:rsidR="00E40AC8" w:rsidRPr="00D21FF1" w:rsidRDefault="00900184" w:rsidP="00D21FF1">
      <w:pPr>
        <w:spacing w:after="0" w:line="240" w:lineRule="auto"/>
        <w:ind w:left="0" w:right="0" w:firstLine="709"/>
        <w:rPr>
          <w:rFonts w:ascii="Times New Roman" w:hAnsi="Times New Roman" w:cs="Times New Roman"/>
          <w:b/>
          <w:sz w:val="24"/>
        </w:rPr>
      </w:pPr>
      <w:r w:rsidRPr="00D21FF1">
        <w:rPr>
          <w:rFonts w:ascii="Times New Roman" w:hAnsi="Times New Roman" w:cs="Times New Roman"/>
          <w:b/>
          <w:sz w:val="24"/>
        </w:rPr>
        <w:t>2.3.4. Gospodarske grane</w:t>
      </w:r>
      <w:bookmarkEnd w:id="30"/>
    </w:p>
    <w:p w14:paraId="27C3484F" w14:textId="501D2812" w:rsidR="00934B42" w:rsidRDefault="0090018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Najvažnije gospodarske grane grada Zagreba su industrija električnih strojeva i aparata, kemijska, farmaceutska, tekstilna, prehrambena industrija te industrija pića. Zagreb je i značajno međunarodno trgovinsko i poslovno središte te prometno sjecište srednje i istočne Europe.</w:t>
      </w:r>
    </w:p>
    <w:p w14:paraId="09971522" w14:textId="77777777" w:rsidR="00B4204B" w:rsidRDefault="00B4204B">
      <w:pPr>
        <w:spacing w:after="0" w:line="240" w:lineRule="auto"/>
        <w:ind w:left="0" w:right="0" w:firstLine="709"/>
        <w:rPr>
          <w:rFonts w:ascii="Times New Roman" w:hAnsi="Times New Roman" w:cs="Times New Roman"/>
          <w:sz w:val="24"/>
        </w:rPr>
      </w:pPr>
    </w:p>
    <w:p w14:paraId="6F16D41B" w14:textId="78261061" w:rsidR="00934B42" w:rsidRPr="005142C4" w:rsidRDefault="00934B42" w:rsidP="00B4204B">
      <w:pPr>
        <w:jc w:val="center"/>
        <w:rPr>
          <w:rFonts w:ascii="Times New Roman" w:hAnsi="Times New Roman" w:cs="Times New Roman"/>
          <w:sz w:val="24"/>
        </w:rPr>
      </w:pPr>
      <w:r w:rsidRPr="00934B42">
        <w:rPr>
          <w:rFonts w:ascii="Times New Roman" w:hAnsi="Times New Roman" w:cs="Times New Roman"/>
          <w:b/>
          <w:sz w:val="24"/>
        </w:rPr>
        <w:t>Tablica 2</w:t>
      </w:r>
      <w:r w:rsidR="000A2649">
        <w:rPr>
          <w:rFonts w:ascii="Times New Roman" w:hAnsi="Times New Roman" w:cs="Times New Roman"/>
          <w:b/>
          <w:sz w:val="24"/>
        </w:rPr>
        <w:t>4</w:t>
      </w:r>
      <w:r w:rsidRPr="00934B42">
        <w:rPr>
          <w:rFonts w:ascii="Times New Roman" w:hAnsi="Times New Roman" w:cs="Times New Roman"/>
          <w:b/>
          <w:sz w:val="24"/>
        </w:rPr>
        <w:t>. Popis pravnih osoba u gospodarstvu po vrstama djelatnos</w:t>
      </w:r>
      <w:r w:rsidRPr="00934B42">
        <w:rPr>
          <w:rFonts w:ascii="Times New Roman" w:hAnsi="Times New Roman" w:cs="Times New Roman"/>
          <w:b/>
          <w:noProof/>
          <w:sz w:val="24"/>
        </w:rPr>
        <w:t>ti</w:t>
      </w:r>
      <w:r>
        <w:rPr>
          <w:rFonts w:ascii="Times New Roman" w:hAnsi="Times New Roman" w:cs="Times New Roman"/>
          <w:noProof/>
          <w:sz w:val="24"/>
        </w:rPr>
        <w:drawing>
          <wp:inline distT="0" distB="0" distL="0" distR="0" wp14:anchorId="5BF67A1D" wp14:editId="0F16B902">
            <wp:extent cx="5486400" cy="3047664"/>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06609" cy="3058890"/>
                    </a:xfrm>
                    <a:prstGeom prst="rect">
                      <a:avLst/>
                    </a:prstGeom>
                    <a:noFill/>
                  </pic:spPr>
                </pic:pic>
              </a:graphicData>
            </a:graphic>
          </wp:inline>
        </w:drawing>
      </w:r>
    </w:p>
    <w:p w14:paraId="6444C55B" w14:textId="77777777" w:rsidR="00E40AC8" w:rsidRPr="00C96208" w:rsidRDefault="00900184"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rPr>
        <w:lastRenderedPageBreak/>
        <w:t xml:space="preserve">Prema podacima iz 2016. Hrvatske gospodarske komore </w:t>
      </w:r>
      <w:r w:rsidR="00EE6A22" w:rsidRPr="00C96208">
        <w:rPr>
          <w:rFonts w:ascii="Times New Roman" w:hAnsi="Times New Roman" w:cs="Times New Roman"/>
          <w:color w:val="auto"/>
          <w:sz w:val="24"/>
        </w:rPr>
        <w:t>-</w:t>
      </w:r>
      <w:r w:rsidRPr="00C96208">
        <w:rPr>
          <w:rFonts w:ascii="Times New Roman" w:hAnsi="Times New Roman" w:cs="Times New Roman"/>
          <w:color w:val="auto"/>
          <w:sz w:val="24"/>
        </w:rPr>
        <w:t xml:space="preserve"> </w:t>
      </w:r>
      <w:r w:rsidR="0047770A" w:rsidRPr="00C96208">
        <w:rPr>
          <w:rFonts w:ascii="Times New Roman" w:hAnsi="Times New Roman" w:cs="Times New Roman"/>
          <w:color w:val="auto"/>
          <w:sz w:val="24"/>
        </w:rPr>
        <w:t xml:space="preserve">Komore </w:t>
      </w:r>
      <w:r w:rsidRPr="00C96208">
        <w:rPr>
          <w:rFonts w:ascii="Times New Roman" w:hAnsi="Times New Roman" w:cs="Times New Roman"/>
          <w:color w:val="auto"/>
          <w:sz w:val="24"/>
        </w:rPr>
        <w:t>Zagreb, u Zagrebu se ostvaruje 33,3</w:t>
      </w:r>
      <w:r w:rsidR="00E05F09" w:rsidRPr="00C96208">
        <w:rPr>
          <w:rFonts w:ascii="Times New Roman" w:hAnsi="Times New Roman" w:cs="Times New Roman"/>
          <w:color w:val="auto"/>
          <w:sz w:val="24"/>
        </w:rPr>
        <w:t> %</w:t>
      </w:r>
      <w:r w:rsidRPr="00C96208">
        <w:rPr>
          <w:rFonts w:ascii="Times New Roman" w:hAnsi="Times New Roman" w:cs="Times New Roman"/>
          <w:color w:val="auto"/>
          <w:sz w:val="24"/>
        </w:rPr>
        <w:t xml:space="preserve"> bruto domaćeg proizvoda Republike Hrvatske, dok je na području koje pokriva Hrvatska gospodarska komora Grada Zagreba registrirano 34,7</w:t>
      </w:r>
      <w:r w:rsidR="00E05F09" w:rsidRPr="00C96208">
        <w:rPr>
          <w:rFonts w:ascii="Times New Roman" w:hAnsi="Times New Roman" w:cs="Times New Roman"/>
          <w:color w:val="auto"/>
          <w:sz w:val="24"/>
        </w:rPr>
        <w:t> %</w:t>
      </w:r>
      <w:r w:rsidRPr="00C96208">
        <w:rPr>
          <w:rFonts w:ascii="Times New Roman" w:hAnsi="Times New Roman" w:cs="Times New Roman"/>
          <w:color w:val="auto"/>
          <w:sz w:val="24"/>
        </w:rPr>
        <w:t xml:space="preserve"> aktivnih trgovačkih društava te 17,8</w:t>
      </w:r>
      <w:r w:rsidR="00E05F09" w:rsidRPr="00C96208">
        <w:rPr>
          <w:rFonts w:ascii="Times New Roman" w:hAnsi="Times New Roman" w:cs="Times New Roman"/>
          <w:color w:val="auto"/>
          <w:sz w:val="24"/>
        </w:rPr>
        <w:t> %</w:t>
      </w:r>
      <w:r w:rsidRPr="00C96208">
        <w:rPr>
          <w:rFonts w:ascii="Times New Roman" w:hAnsi="Times New Roman" w:cs="Times New Roman"/>
          <w:color w:val="auto"/>
          <w:sz w:val="24"/>
        </w:rPr>
        <w:t xml:space="preserve"> obrta i slobodnih zanimanja. O opsegu poslovnih aktivnosti govori i udio u ukupnom prihodu hrvatskog poduzetništva u 2016. koji iznosi</w:t>
      </w:r>
      <w:r w:rsidR="0047770A" w:rsidRPr="00C96208">
        <w:rPr>
          <w:rFonts w:ascii="Times New Roman" w:hAnsi="Times New Roman" w:cs="Times New Roman"/>
          <w:color w:val="auto"/>
          <w:sz w:val="24"/>
        </w:rPr>
        <w:t xml:space="preserve"> </w:t>
      </w:r>
      <w:r w:rsidRPr="00C96208">
        <w:rPr>
          <w:rFonts w:ascii="Times New Roman" w:hAnsi="Times New Roman" w:cs="Times New Roman"/>
          <w:color w:val="auto"/>
          <w:sz w:val="24"/>
        </w:rPr>
        <w:t>50,79</w:t>
      </w:r>
      <w:r w:rsidR="00E05F09" w:rsidRPr="00C96208">
        <w:rPr>
          <w:rFonts w:ascii="Times New Roman" w:hAnsi="Times New Roman" w:cs="Times New Roman"/>
          <w:color w:val="auto"/>
          <w:sz w:val="24"/>
        </w:rPr>
        <w:t> %</w:t>
      </w:r>
      <w:r w:rsidRPr="00C96208">
        <w:rPr>
          <w:rFonts w:ascii="Times New Roman" w:hAnsi="Times New Roman" w:cs="Times New Roman"/>
          <w:color w:val="auto"/>
          <w:sz w:val="24"/>
        </w:rPr>
        <w:t xml:space="preserve">. Visoku koncentraciju ukupnih poslovnih aktivnosti </w:t>
      </w:r>
      <w:r w:rsidR="0047770A" w:rsidRPr="00C96208">
        <w:rPr>
          <w:rFonts w:ascii="Times New Roman" w:hAnsi="Times New Roman" w:cs="Times New Roman"/>
          <w:color w:val="auto"/>
          <w:sz w:val="24"/>
        </w:rPr>
        <w:t xml:space="preserve">povezanih s </w:t>
      </w:r>
      <w:r w:rsidRPr="00C96208">
        <w:rPr>
          <w:rFonts w:ascii="Times New Roman" w:hAnsi="Times New Roman" w:cs="Times New Roman"/>
          <w:color w:val="auto"/>
          <w:sz w:val="24"/>
        </w:rPr>
        <w:t>područje</w:t>
      </w:r>
      <w:r w:rsidR="0047770A" w:rsidRPr="00C96208">
        <w:rPr>
          <w:rFonts w:ascii="Times New Roman" w:hAnsi="Times New Roman" w:cs="Times New Roman"/>
          <w:color w:val="auto"/>
          <w:sz w:val="24"/>
        </w:rPr>
        <w:t>m</w:t>
      </w:r>
      <w:r w:rsidRPr="00C96208">
        <w:rPr>
          <w:rFonts w:ascii="Times New Roman" w:hAnsi="Times New Roman" w:cs="Times New Roman"/>
          <w:color w:val="auto"/>
          <w:sz w:val="24"/>
        </w:rPr>
        <w:t xml:space="preserve"> Grada Zagreba potvrđuje i činjenica da u njemu djeluje 33,3</w:t>
      </w:r>
      <w:r w:rsidR="00E05F09" w:rsidRPr="00C96208">
        <w:rPr>
          <w:rFonts w:ascii="Times New Roman" w:hAnsi="Times New Roman" w:cs="Times New Roman"/>
          <w:color w:val="auto"/>
          <w:sz w:val="24"/>
        </w:rPr>
        <w:t> %</w:t>
      </w:r>
      <w:r w:rsidRPr="00C96208">
        <w:rPr>
          <w:rFonts w:ascii="Times New Roman" w:hAnsi="Times New Roman" w:cs="Times New Roman"/>
          <w:color w:val="auto"/>
          <w:sz w:val="24"/>
        </w:rPr>
        <w:t xml:space="preserve"> svih hrvatskih poduzetnika. Grad Zagreb je gospodarski najsnažniji grad u Republici Hrvatskoj te je i sjedište brzorastuće informacijsko</w:t>
      </w:r>
      <w:r w:rsidR="0047770A" w:rsidRPr="00C96208">
        <w:rPr>
          <w:rFonts w:ascii="Times New Roman" w:hAnsi="Times New Roman" w:cs="Times New Roman"/>
          <w:color w:val="auto"/>
          <w:sz w:val="24"/>
        </w:rPr>
        <w:t>-</w:t>
      </w:r>
      <w:r w:rsidRPr="00C96208">
        <w:rPr>
          <w:rFonts w:ascii="Times New Roman" w:hAnsi="Times New Roman" w:cs="Times New Roman"/>
          <w:color w:val="auto"/>
          <w:sz w:val="24"/>
        </w:rPr>
        <w:t>komunikacijske industrije.</w:t>
      </w:r>
    </w:p>
    <w:p w14:paraId="4D4E6F09" w14:textId="4830662E" w:rsidR="00E40AC8" w:rsidRPr="001475F3" w:rsidRDefault="00900184" w:rsidP="001475F3">
      <w:pPr>
        <w:spacing w:after="0" w:line="240" w:lineRule="auto"/>
        <w:ind w:left="0" w:right="0" w:firstLine="709"/>
        <w:rPr>
          <w:rFonts w:ascii="Times New Roman" w:hAnsi="Times New Roman" w:cs="Times New Roman"/>
          <w:sz w:val="24"/>
        </w:rPr>
      </w:pPr>
      <w:r w:rsidRPr="00017EF4">
        <w:rPr>
          <w:rFonts w:ascii="Times New Roman" w:hAnsi="Times New Roman" w:cs="Times New Roman"/>
          <w:color w:val="auto"/>
          <w:sz w:val="24"/>
        </w:rPr>
        <w:t xml:space="preserve">U </w:t>
      </w:r>
      <w:r w:rsidRPr="00AC32CB">
        <w:rPr>
          <w:rFonts w:ascii="Times New Roman" w:hAnsi="Times New Roman" w:cs="Times New Roman"/>
          <w:color w:val="auto"/>
          <w:sz w:val="24"/>
        </w:rPr>
        <w:t xml:space="preserve">tablici </w:t>
      </w:r>
      <w:r w:rsidR="0056711B" w:rsidRPr="00AC32CB">
        <w:rPr>
          <w:rFonts w:ascii="Times New Roman" w:hAnsi="Times New Roman" w:cs="Times New Roman"/>
          <w:color w:val="auto"/>
          <w:sz w:val="24"/>
        </w:rPr>
        <w:t>2</w:t>
      </w:r>
      <w:r w:rsidR="000A2649" w:rsidRPr="00AC32CB">
        <w:rPr>
          <w:rFonts w:ascii="Times New Roman" w:hAnsi="Times New Roman" w:cs="Times New Roman"/>
          <w:color w:val="auto"/>
          <w:sz w:val="24"/>
        </w:rPr>
        <w:t>4</w:t>
      </w:r>
      <w:r w:rsidR="0056711B" w:rsidRPr="00AC32CB">
        <w:rPr>
          <w:rFonts w:ascii="Times New Roman" w:hAnsi="Times New Roman" w:cs="Times New Roman"/>
          <w:color w:val="auto"/>
          <w:sz w:val="24"/>
        </w:rPr>
        <w:t xml:space="preserve">. </w:t>
      </w:r>
      <w:r w:rsidRPr="00017EF4">
        <w:rPr>
          <w:rFonts w:ascii="Times New Roman" w:hAnsi="Times New Roman" w:cs="Times New Roman"/>
          <w:color w:val="auto"/>
          <w:sz w:val="24"/>
        </w:rPr>
        <w:t xml:space="preserve">prikazan je zbirni popis pravnih osoba u gospodarstvu po vrstama </w:t>
      </w:r>
      <w:r w:rsidRPr="005142C4">
        <w:rPr>
          <w:rFonts w:ascii="Times New Roman" w:hAnsi="Times New Roman" w:cs="Times New Roman"/>
          <w:sz w:val="24"/>
        </w:rPr>
        <w:t>djelatnosti.</w:t>
      </w:r>
    </w:p>
    <w:p w14:paraId="75793BAB" w14:textId="121E85ED" w:rsidR="00E40AC8" w:rsidRPr="005142C4" w:rsidRDefault="00900184" w:rsidP="0047770A">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Kada je riječ o vrijednosti prodanih industrijskih proizvoda u gospodarstvu Grada Zagreba dominira prerađivačka industrija</w:t>
      </w:r>
      <w:r w:rsidR="0047770A">
        <w:rPr>
          <w:rFonts w:ascii="Times New Roman" w:hAnsi="Times New Roman" w:cs="Times New Roman"/>
          <w:sz w:val="24"/>
        </w:rPr>
        <w:t>,</w:t>
      </w:r>
      <w:r w:rsidRPr="005142C4">
        <w:rPr>
          <w:rFonts w:ascii="Times New Roman" w:hAnsi="Times New Roman" w:cs="Times New Roman"/>
          <w:sz w:val="24"/>
        </w:rPr>
        <w:t xml:space="preserve"> i to posebno: proizvodnja osnovnih farmaceutskih proizvoda i farmaceutskih pripravaka, proizvodnja električne opreme i proizvodnja prehrambenih proizvoda.</w:t>
      </w:r>
    </w:p>
    <w:p w14:paraId="46F3152B" w14:textId="77777777" w:rsidR="0047770A" w:rsidRPr="0047770A" w:rsidRDefault="0047770A" w:rsidP="0047770A">
      <w:pPr>
        <w:spacing w:after="0" w:line="240" w:lineRule="auto"/>
        <w:ind w:left="0" w:right="0" w:firstLine="0"/>
        <w:rPr>
          <w:rFonts w:ascii="Times New Roman" w:hAnsi="Times New Roman" w:cs="Times New Roman"/>
          <w:sz w:val="24"/>
        </w:rPr>
      </w:pPr>
      <w:bookmarkStart w:id="31" w:name="_Toc2938550"/>
    </w:p>
    <w:p w14:paraId="767FEACF" w14:textId="77777777" w:rsidR="00E40AC8" w:rsidRPr="00D21FF1" w:rsidRDefault="00900184" w:rsidP="00D21FF1">
      <w:pPr>
        <w:spacing w:after="0" w:line="240" w:lineRule="auto"/>
        <w:ind w:left="0" w:right="0" w:firstLine="709"/>
        <w:rPr>
          <w:rFonts w:ascii="Times New Roman" w:hAnsi="Times New Roman" w:cs="Times New Roman"/>
          <w:b/>
          <w:sz w:val="24"/>
        </w:rPr>
      </w:pPr>
      <w:r w:rsidRPr="00D21FF1">
        <w:rPr>
          <w:rFonts w:ascii="Times New Roman" w:hAnsi="Times New Roman" w:cs="Times New Roman"/>
          <w:b/>
          <w:sz w:val="24"/>
        </w:rPr>
        <w:t>2.3.5. Velike gospodarske tvrtke</w:t>
      </w:r>
      <w:bookmarkEnd w:id="31"/>
    </w:p>
    <w:p w14:paraId="245FFF63" w14:textId="77777777" w:rsidR="00E40AC8" w:rsidRPr="0022015B" w:rsidRDefault="00900184" w:rsidP="0047770A">
      <w:pPr>
        <w:spacing w:after="0" w:line="240" w:lineRule="auto"/>
        <w:ind w:left="0" w:right="0" w:firstLine="709"/>
        <w:rPr>
          <w:rFonts w:ascii="Times New Roman" w:hAnsi="Times New Roman" w:cs="Times New Roman"/>
          <w:color w:val="FF0000"/>
          <w:sz w:val="24"/>
        </w:rPr>
      </w:pPr>
      <w:r w:rsidRPr="00C96208">
        <w:rPr>
          <w:rFonts w:ascii="Times New Roman" w:hAnsi="Times New Roman" w:cs="Times New Roman"/>
          <w:color w:val="auto"/>
          <w:sz w:val="24"/>
        </w:rPr>
        <w:t>Prema podacima Hrvatske gospodarske komore na dan 30. lipnja 2017. u Republici Hrvatskoj bilo je aktivno 111.492 trgovač</w:t>
      </w:r>
      <w:r w:rsidR="00F92182" w:rsidRPr="00C96208">
        <w:rPr>
          <w:rFonts w:ascii="Times New Roman" w:hAnsi="Times New Roman" w:cs="Times New Roman"/>
          <w:color w:val="auto"/>
          <w:sz w:val="24"/>
        </w:rPr>
        <w:t>kih</w:t>
      </w:r>
      <w:r w:rsidRPr="00C96208">
        <w:rPr>
          <w:rFonts w:ascii="Times New Roman" w:hAnsi="Times New Roman" w:cs="Times New Roman"/>
          <w:color w:val="auto"/>
          <w:sz w:val="24"/>
        </w:rPr>
        <w:t xml:space="preserve"> društ</w:t>
      </w:r>
      <w:r w:rsidR="00F92182" w:rsidRPr="00C96208">
        <w:rPr>
          <w:rFonts w:ascii="Times New Roman" w:hAnsi="Times New Roman" w:cs="Times New Roman"/>
          <w:color w:val="auto"/>
          <w:sz w:val="24"/>
        </w:rPr>
        <w:t>a</w:t>
      </w:r>
      <w:r w:rsidRPr="00C96208">
        <w:rPr>
          <w:rFonts w:ascii="Times New Roman" w:hAnsi="Times New Roman" w:cs="Times New Roman"/>
          <w:color w:val="auto"/>
          <w:sz w:val="24"/>
        </w:rPr>
        <w:t xml:space="preserve">va, a na području Grada Zagreba u isto vrijeme bilo je aktivno njih 38.534 od kojih 161 spada u kategoriju tzv. velikih poduzeća s više od 250 zaposlenih. </w:t>
      </w:r>
      <w:r w:rsidRPr="0022015B">
        <w:rPr>
          <w:rFonts w:ascii="Times New Roman" w:hAnsi="Times New Roman" w:cs="Times New Roman"/>
          <w:color w:val="auto"/>
          <w:sz w:val="24"/>
        </w:rPr>
        <w:t>Među njima djeluje niz pravnih osoba kod kojih su moguće nesreće sa značajnim posljedicama za stanovništvo i okoliš, jer u proizvodnom procesu upotrebljavaju opasne tvari.</w:t>
      </w:r>
    </w:p>
    <w:p w14:paraId="11D539EE" w14:textId="77777777" w:rsidR="00E40AC8" w:rsidRPr="005142C4" w:rsidRDefault="00900184" w:rsidP="0047770A">
      <w:pPr>
        <w:spacing w:after="0" w:line="240" w:lineRule="auto"/>
        <w:ind w:left="0" w:right="0" w:firstLine="709"/>
        <w:rPr>
          <w:rFonts w:ascii="Times New Roman" w:eastAsia="Times New Roman" w:hAnsi="Times New Roman" w:cs="Times New Roman"/>
          <w:color w:val="4A4A4A"/>
          <w:sz w:val="24"/>
        </w:rPr>
      </w:pPr>
      <w:r w:rsidRPr="005142C4">
        <w:rPr>
          <w:rFonts w:ascii="Times New Roman" w:hAnsi="Times New Roman" w:cs="Times New Roman"/>
          <w:sz w:val="24"/>
        </w:rPr>
        <w:t>Kao velike gospodarske tvrtke sa sjedištem na području Grada Zagreba mogu se izdvojiti: INA, HEP, Pliva Hrvatska, Petrol i Zagrebački holding.</w:t>
      </w:r>
    </w:p>
    <w:p w14:paraId="3C1C2572" w14:textId="77777777" w:rsidR="004C409E" w:rsidRDefault="00900184" w:rsidP="004C409E">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Trenut</w:t>
      </w:r>
      <w:r w:rsidR="0047770A">
        <w:rPr>
          <w:rFonts w:ascii="Times New Roman" w:hAnsi="Times New Roman" w:cs="Times New Roman"/>
          <w:sz w:val="24"/>
        </w:rPr>
        <w:t>ač</w:t>
      </w:r>
      <w:r w:rsidRPr="005142C4">
        <w:rPr>
          <w:rFonts w:ascii="Times New Roman" w:hAnsi="Times New Roman" w:cs="Times New Roman"/>
          <w:sz w:val="24"/>
        </w:rPr>
        <w:t xml:space="preserve">no je kod nekoliko </w:t>
      </w:r>
      <w:r w:rsidR="0047770A">
        <w:rPr>
          <w:rFonts w:ascii="Times New Roman" w:hAnsi="Times New Roman" w:cs="Times New Roman"/>
          <w:sz w:val="24"/>
        </w:rPr>
        <w:t xml:space="preserve">gospodarskih </w:t>
      </w:r>
      <w:r w:rsidRPr="005142C4">
        <w:rPr>
          <w:rFonts w:ascii="Times New Roman" w:hAnsi="Times New Roman" w:cs="Times New Roman"/>
          <w:sz w:val="24"/>
        </w:rPr>
        <w:t xml:space="preserve">subjekata procijenjeno da bi u slučaju velike nesreće došlo do izvanlokacijskog djelovanja i mogućnosti stradavanja okolnog stanovništva i zagađenja okoliša. </w:t>
      </w:r>
    </w:p>
    <w:p w14:paraId="1ED552EB" w14:textId="77777777" w:rsidR="004C409E" w:rsidRDefault="004C409E" w:rsidP="0047770A">
      <w:pPr>
        <w:spacing w:after="0" w:line="240" w:lineRule="auto"/>
        <w:ind w:left="0" w:right="0" w:firstLine="709"/>
        <w:rPr>
          <w:rFonts w:ascii="Times New Roman" w:hAnsi="Times New Roman" w:cs="Times New Roman"/>
          <w:sz w:val="24"/>
        </w:rPr>
      </w:pPr>
    </w:p>
    <w:p w14:paraId="78DAC64D" w14:textId="77777777" w:rsidR="004C409E" w:rsidRPr="005142C4" w:rsidRDefault="004C409E" w:rsidP="0047770A">
      <w:pPr>
        <w:spacing w:after="0" w:line="240" w:lineRule="auto"/>
        <w:ind w:left="0" w:right="0" w:firstLine="709"/>
        <w:rPr>
          <w:rFonts w:ascii="Times New Roman" w:hAnsi="Times New Roman" w:cs="Times New Roman"/>
          <w:sz w:val="24"/>
        </w:rPr>
      </w:pPr>
      <w:r w:rsidRPr="004C409E">
        <w:rPr>
          <w:rFonts w:ascii="Times New Roman" w:hAnsi="Times New Roman" w:cs="Times New Roman"/>
          <w:sz w:val="24"/>
        </w:rPr>
        <w:t>Gradonačelnik Grada Zagreba donio je 9. siječnja 2020. Zaključkom Vanjski plan zaštite i spašavanja u slučaju nesreća koje uključuju opasne tvari za područja postrojenja TE-TO Zagreb operatera HEP-Proizvodnja d.o.o., Terminal Žitnjak operatera JANAF d.d. i UNP1 Zagreb operatera INA-Industrija nafte d.d. (Službeni glasnik Grada Zagreba 1/20)</w:t>
      </w:r>
      <w:r>
        <w:rPr>
          <w:rFonts w:ascii="Times New Roman" w:hAnsi="Times New Roman" w:cs="Times New Roman"/>
          <w:sz w:val="24"/>
        </w:rPr>
        <w:t xml:space="preserve">. </w:t>
      </w:r>
      <w:r w:rsidRPr="004C409E">
        <w:rPr>
          <w:rFonts w:ascii="Times New Roman" w:hAnsi="Times New Roman" w:cs="Times New Roman"/>
          <w:sz w:val="24"/>
        </w:rPr>
        <w:t>Vanjskim planom utvrđene su vrste opasnosti i moguće posljedice velike nesreće u području postrojenja po ljude, materijalna dobra i okoliš izvan područja postrojenja, preventivni postupci i mjere koje treba poduzeti kako bi se posljedice velike nesreće izvan područja postrojenja umanjile, kratkoročni žurni postupci i mjere za uklanjanje neposrednih posljedica za ljude, materijalna dobra i okoliš koji se trebaju poduzeti odmah te postupci i mjere koje se nakon žurnih trebaju provesti u periodu do potpune sanacije posljedica velike nesreće izvan područja postrojenja, sudionici, snage i materijalno – tehnička sredstva za provedbu mjera civilne zaštite, nadležnosti i odgovornost za provedbu te način usuglašavanja s interventnim mjerama koje se provode na temelju propisa na drugim područjima, osim na području civilne zaštite i obavješćivanje i način prenošenja informacija javnosti i zainteresiranoj javnosti (stanovništvu, službama, vlastima).</w:t>
      </w:r>
    </w:p>
    <w:p w14:paraId="7BF67C5E" w14:textId="77777777" w:rsidR="00E40AC8" w:rsidRDefault="00900184" w:rsidP="0047770A">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Vanjskim planom su utvrđena rješenja za očekivan razvoj izvanrednih događaja kod 4 operatera koji mogu rezultirati smrtnim posljedicama i ozljedama članova zajednice ili štetama po okoliš do kojih može doći </w:t>
      </w:r>
      <w:r w:rsidR="00F92182">
        <w:rPr>
          <w:rFonts w:ascii="Times New Roman" w:hAnsi="Times New Roman" w:cs="Times New Roman"/>
          <w:sz w:val="24"/>
        </w:rPr>
        <w:t xml:space="preserve">uslijed </w:t>
      </w:r>
      <w:r w:rsidRPr="005142C4">
        <w:rPr>
          <w:rFonts w:ascii="Times New Roman" w:hAnsi="Times New Roman" w:cs="Times New Roman"/>
          <w:sz w:val="24"/>
        </w:rPr>
        <w:t>izravne izloženosti otrovnim koncentracijama, toplinskom zračenju ili visokim zračnim pritiscima u slučaju eksplozija na postrojenjima pogona.</w:t>
      </w:r>
    </w:p>
    <w:p w14:paraId="3A0E20DA" w14:textId="2A08605F" w:rsidR="0047770A" w:rsidRDefault="0047770A" w:rsidP="0047770A">
      <w:pPr>
        <w:spacing w:after="0" w:line="240" w:lineRule="auto"/>
        <w:ind w:right="0"/>
        <w:rPr>
          <w:rFonts w:ascii="Times New Roman" w:hAnsi="Times New Roman" w:cs="Times New Roman"/>
          <w:sz w:val="24"/>
        </w:rPr>
      </w:pPr>
    </w:p>
    <w:p w14:paraId="1E65DC21" w14:textId="44BA99A2" w:rsidR="00B4204B" w:rsidRDefault="00B4204B" w:rsidP="0047770A">
      <w:pPr>
        <w:spacing w:after="0" w:line="240" w:lineRule="auto"/>
        <w:ind w:right="0"/>
        <w:rPr>
          <w:rFonts w:ascii="Times New Roman" w:hAnsi="Times New Roman" w:cs="Times New Roman"/>
          <w:sz w:val="24"/>
        </w:rPr>
      </w:pPr>
    </w:p>
    <w:p w14:paraId="45A4A5CE" w14:textId="5879B463" w:rsidR="00B4204B" w:rsidRDefault="00B4204B" w:rsidP="0047770A">
      <w:pPr>
        <w:spacing w:after="0" w:line="240" w:lineRule="auto"/>
        <w:ind w:right="0"/>
        <w:rPr>
          <w:rFonts w:ascii="Times New Roman" w:hAnsi="Times New Roman" w:cs="Times New Roman"/>
          <w:sz w:val="24"/>
        </w:rPr>
      </w:pPr>
    </w:p>
    <w:p w14:paraId="500A3106" w14:textId="77777777" w:rsidR="00B4204B" w:rsidRPr="005142C4" w:rsidRDefault="00B4204B" w:rsidP="0047770A">
      <w:pPr>
        <w:spacing w:after="0" w:line="240" w:lineRule="auto"/>
        <w:ind w:right="0"/>
        <w:rPr>
          <w:rFonts w:ascii="Times New Roman" w:hAnsi="Times New Roman" w:cs="Times New Roman"/>
          <w:sz w:val="24"/>
        </w:rPr>
      </w:pPr>
    </w:p>
    <w:p w14:paraId="4B0F2B07" w14:textId="77777777" w:rsidR="00E40AC8" w:rsidRPr="00D21FF1" w:rsidRDefault="00900184" w:rsidP="00D21FF1">
      <w:pPr>
        <w:spacing w:after="0" w:line="240" w:lineRule="auto"/>
        <w:ind w:left="0" w:right="0" w:firstLine="709"/>
        <w:rPr>
          <w:rFonts w:ascii="Times New Roman" w:hAnsi="Times New Roman" w:cs="Times New Roman"/>
          <w:b/>
          <w:sz w:val="24"/>
        </w:rPr>
      </w:pPr>
      <w:bookmarkStart w:id="32" w:name="_Toc2938551"/>
      <w:r w:rsidRPr="00D21FF1">
        <w:rPr>
          <w:rFonts w:ascii="Times New Roman" w:hAnsi="Times New Roman" w:cs="Times New Roman"/>
          <w:b/>
          <w:sz w:val="24"/>
        </w:rPr>
        <w:lastRenderedPageBreak/>
        <w:t>2.3.6. Objekti kritične infrastrukture</w:t>
      </w:r>
      <w:bookmarkEnd w:id="32"/>
    </w:p>
    <w:p w14:paraId="1FF29199" w14:textId="77777777" w:rsidR="00E40AC8" w:rsidRPr="00C96208" w:rsidRDefault="00900184"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rPr>
        <w:t>Na području Grada Zagreba kritičnu infrastrukturu čine sljedeći objekti:</w:t>
      </w:r>
    </w:p>
    <w:p w14:paraId="37C85D32" w14:textId="77777777" w:rsidR="00E40AC8" w:rsidRPr="00C96208" w:rsidRDefault="0047770A"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u w:color="000000"/>
        </w:rPr>
        <w:t xml:space="preserve">- </w:t>
      </w:r>
      <w:r w:rsidR="00900184" w:rsidRPr="00C96208">
        <w:rPr>
          <w:rFonts w:ascii="Times New Roman" w:hAnsi="Times New Roman" w:cs="Times New Roman"/>
          <w:color w:val="auto"/>
          <w:sz w:val="24"/>
        </w:rPr>
        <w:t>17 bolnica,</w:t>
      </w:r>
    </w:p>
    <w:p w14:paraId="1CAC0D00" w14:textId="77777777" w:rsidR="00E40AC8" w:rsidRPr="00C96208" w:rsidRDefault="0047770A"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u w:color="000000"/>
        </w:rPr>
        <w:t xml:space="preserve">- </w:t>
      </w:r>
      <w:r w:rsidR="00900184" w:rsidRPr="00C96208">
        <w:rPr>
          <w:rFonts w:ascii="Times New Roman" w:hAnsi="Times New Roman" w:cs="Times New Roman"/>
          <w:color w:val="auto"/>
          <w:sz w:val="24"/>
        </w:rPr>
        <w:t>4 doma zdravlja,</w:t>
      </w:r>
    </w:p>
    <w:p w14:paraId="0F7B7792" w14:textId="77777777" w:rsidR="00E40AC8" w:rsidRPr="00C96208" w:rsidRDefault="0047770A"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u w:color="000000"/>
        </w:rPr>
        <w:t xml:space="preserve">- </w:t>
      </w:r>
      <w:r w:rsidR="00900184" w:rsidRPr="00C96208">
        <w:rPr>
          <w:rFonts w:ascii="Times New Roman" w:hAnsi="Times New Roman" w:cs="Times New Roman"/>
          <w:color w:val="auto"/>
          <w:sz w:val="24"/>
        </w:rPr>
        <w:t>5 glavnih crpilišta pitke vode,</w:t>
      </w:r>
    </w:p>
    <w:p w14:paraId="0EA6C2DB" w14:textId="77777777" w:rsidR="00E40AC8" w:rsidRPr="00C96208" w:rsidRDefault="0047770A"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u w:color="000000"/>
        </w:rPr>
        <w:t xml:space="preserve">- </w:t>
      </w:r>
      <w:r w:rsidR="00900184" w:rsidRPr="00C96208">
        <w:rPr>
          <w:rFonts w:ascii="Times New Roman" w:hAnsi="Times New Roman" w:cs="Times New Roman"/>
          <w:color w:val="auto"/>
          <w:sz w:val="24"/>
        </w:rPr>
        <w:t>2700 km vodovodne mreže,</w:t>
      </w:r>
    </w:p>
    <w:p w14:paraId="2E8E027C" w14:textId="77777777" w:rsidR="00E40AC8" w:rsidRPr="00C96208" w:rsidRDefault="0047770A"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u w:color="000000"/>
        </w:rPr>
        <w:t xml:space="preserve">- </w:t>
      </w:r>
      <w:r w:rsidR="00900184" w:rsidRPr="00C96208">
        <w:rPr>
          <w:rFonts w:ascii="Times New Roman" w:hAnsi="Times New Roman" w:cs="Times New Roman"/>
          <w:color w:val="auto"/>
          <w:sz w:val="24"/>
        </w:rPr>
        <w:t>14 crpnih i pre</w:t>
      </w:r>
      <w:r w:rsidR="00BF315E" w:rsidRPr="00C96208">
        <w:rPr>
          <w:rFonts w:ascii="Times New Roman" w:hAnsi="Times New Roman" w:cs="Times New Roman"/>
          <w:color w:val="auto"/>
          <w:sz w:val="24"/>
        </w:rPr>
        <w:t>crpn</w:t>
      </w:r>
      <w:r w:rsidR="00CC1C6A" w:rsidRPr="00C96208">
        <w:rPr>
          <w:rFonts w:ascii="Times New Roman" w:hAnsi="Times New Roman" w:cs="Times New Roman"/>
          <w:color w:val="auto"/>
          <w:sz w:val="24"/>
        </w:rPr>
        <w:t>ih</w:t>
      </w:r>
      <w:r w:rsidR="00900184" w:rsidRPr="00C96208">
        <w:rPr>
          <w:rFonts w:ascii="Times New Roman" w:hAnsi="Times New Roman" w:cs="Times New Roman"/>
          <w:color w:val="auto"/>
          <w:sz w:val="24"/>
        </w:rPr>
        <w:t xml:space="preserve"> stanica,</w:t>
      </w:r>
    </w:p>
    <w:p w14:paraId="190207FF" w14:textId="77777777" w:rsidR="00E40AC8" w:rsidRPr="00C96208" w:rsidRDefault="0047770A"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u w:color="000000"/>
        </w:rPr>
        <w:t xml:space="preserve">- </w:t>
      </w:r>
      <w:r w:rsidR="00900184" w:rsidRPr="00C96208">
        <w:rPr>
          <w:rFonts w:ascii="Times New Roman" w:hAnsi="Times New Roman" w:cs="Times New Roman"/>
          <w:color w:val="auto"/>
          <w:sz w:val="24"/>
        </w:rPr>
        <w:t>5220 km podzemne električne mreže,</w:t>
      </w:r>
    </w:p>
    <w:p w14:paraId="7DF976E8" w14:textId="77777777" w:rsidR="00E40AC8" w:rsidRPr="00C96208" w:rsidRDefault="0047770A"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u w:color="000000"/>
        </w:rPr>
        <w:t xml:space="preserve">- </w:t>
      </w:r>
      <w:r w:rsidR="00900184" w:rsidRPr="00C96208">
        <w:rPr>
          <w:rFonts w:ascii="Times New Roman" w:hAnsi="Times New Roman" w:cs="Times New Roman"/>
          <w:color w:val="auto"/>
          <w:sz w:val="24"/>
        </w:rPr>
        <w:t>3581 km nadzemne električne mreže,</w:t>
      </w:r>
    </w:p>
    <w:p w14:paraId="6653A81A" w14:textId="77777777" w:rsidR="00E40AC8" w:rsidRPr="00C96208" w:rsidRDefault="0047770A"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u w:color="000000"/>
        </w:rPr>
        <w:t xml:space="preserve">- </w:t>
      </w:r>
      <w:r w:rsidR="00900184" w:rsidRPr="00C96208">
        <w:rPr>
          <w:rFonts w:ascii="Times New Roman" w:hAnsi="Times New Roman" w:cs="Times New Roman"/>
          <w:color w:val="auto"/>
          <w:sz w:val="24"/>
        </w:rPr>
        <w:t>36 trafostanica,</w:t>
      </w:r>
    </w:p>
    <w:p w14:paraId="3264D72C" w14:textId="77777777" w:rsidR="00E40AC8" w:rsidRPr="00C96208" w:rsidRDefault="0047770A"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u w:color="000000"/>
        </w:rPr>
        <w:t xml:space="preserve">- </w:t>
      </w:r>
      <w:r w:rsidR="00900184" w:rsidRPr="00C96208">
        <w:rPr>
          <w:rFonts w:ascii="Times New Roman" w:hAnsi="Times New Roman" w:cs="Times New Roman"/>
          <w:color w:val="auto"/>
          <w:sz w:val="24"/>
        </w:rPr>
        <w:t>3087 km podzemne plinske mreže,</w:t>
      </w:r>
    </w:p>
    <w:p w14:paraId="619F71C6" w14:textId="77777777" w:rsidR="00E40AC8" w:rsidRPr="00C96208" w:rsidRDefault="0047770A"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u w:color="000000"/>
        </w:rPr>
        <w:t xml:space="preserve">- </w:t>
      </w:r>
      <w:r w:rsidR="00900184" w:rsidRPr="00C96208">
        <w:rPr>
          <w:rFonts w:ascii="Times New Roman" w:hAnsi="Times New Roman" w:cs="Times New Roman"/>
          <w:color w:val="auto"/>
          <w:sz w:val="24"/>
        </w:rPr>
        <w:t>2 kuglasta spremnika za ukapljeni plin po 1000 m</w:t>
      </w:r>
      <w:r w:rsidR="00900184" w:rsidRPr="00C96208">
        <w:rPr>
          <w:rFonts w:ascii="Times New Roman" w:hAnsi="Times New Roman" w:cs="Times New Roman"/>
          <w:color w:val="auto"/>
          <w:sz w:val="24"/>
          <w:vertAlign w:val="superscript"/>
        </w:rPr>
        <w:t>3</w:t>
      </w:r>
      <w:r w:rsidR="00900184" w:rsidRPr="00C96208">
        <w:rPr>
          <w:rFonts w:ascii="Times New Roman" w:hAnsi="Times New Roman" w:cs="Times New Roman"/>
          <w:color w:val="auto"/>
          <w:sz w:val="24"/>
        </w:rPr>
        <w:t>,</w:t>
      </w:r>
    </w:p>
    <w:p w14:paraId="3CDC9B03" w14:textId="77777777" w:rsidR="00E40AC8" w:rsidRPr="00C96208" w:rsidRDefault="0047770A"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u w:color="000000"/>
        </w:rPr>
        <w:t xml:space="preserve">- </w:t>
      </w:r>
      <w:r w:rsidR="00900184" w:rsidRPr="00C96208">
        <w:rPr>
          <w:rFonts w:ascii="Times New Roman" w:hAnsi="Times New Roman" w:cs="Times New Roman"/>
          <w:color w:val="auto"/>
          <w:sz w:val="24"/>
        </w:rPr>
        <w:t>2 cilindrična spremnika po 100 m</w:t>
      </w:r>
      <w:r w:rsidR="00900184" w:rsidRPr="00C96208">
        <w:rPr>
          <w:rFonts w:ascii="Times New Roman" w:hAnsi="Times New Roman" w:cs="Times New Roman"/>
          <w:color w:val="auto"/>
          <w:sz w:val="24"/>
          <w:vertAlign w:val="superscript"/>
        </w:rPr>
        <w:t>3</w:t>
      </w:r>
      <w:r w:rsidR="00900184" w:rsidRPr="00C96208">
        <w:rPr>
          <w:rFonts w:ascii="Times New Roman" w:hAnsi="Times New Roman" w:cs="Times New Roman"/>
          <w:color w:val="auto"/>
          <w:sz w:val="24"/>
        </w:rPr>
        <w:t>,</w:t>
      </w:r>
    </w:p>
    <w:p w14:paraId="76339302" w14:textId="77777777" w:rsidR="00E40AC8" w:rsidRPr="00C96208" w:rsidRDefault="0047770A"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u w:color="000000"/>
        </w:rPr>
        <w:t xml:space="preserve">- </w:t>
      </w:r>
      <w:r w:rsidR="00900184" w:rsidRPr="00C96208">
        <w:rPr>
          <w:rFonts w:ascii="Times New Roman" w:hAnsi="Times New Roman" w:cs="Times New Roman"/>
          <w:color w:val="auto"/>
          <w:sz w:val="24"/>
        </w:rPr>
        <w:t>73 benzinske crpke,</w:t>
      </w:r>
    </w:p>
    <w:p w14:paraId="339BBA86" w14:textId="77777777" w:rsidR="00E40AC8" w:rsidRPr="00C96208" w:rsidRDefault="0047770A"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u w:color="000000"/>
        </w:rPr>
        <w:t xml:space="preserve">- </w:t>
      </w:r>
      <w:r w:rsidR="00900184" w:rsidRPr="00C96208">
        <w:rPr>
          <w:rFonts w:ascii="Times New Roman" w:hAnsi="Times New Roman" w:cs="Times New Roman"/>
          <w:color w:val="auto"/>
          <w:sz w:val="24"/>
        </w:rPr>
        <w:t>20 spremnika nafte i naftnih derivata,</w:t>
      </w:r>
    </w:p>
    <w:p w14:paraId="784F77D3" w14:textId="77777777" w:rsidR="00E40AC8" w:rsidRPr="00C96208" w:rsidRDefault="0047770A"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u w:color="000000"/>
        </w:rPr>
        <w:t xml:space="preserve">- </w:t>
      </w:r>
      <w:r w:rsidR="00900184" w:rsidRPr="00C96208">
        <w:rPr>
          <w:rFonts w:ascii="Times New Roman" w:hAnsi="Times New Roman" w:cs="Times New Roman"/>
          <w:color w:val="auto"/>
          <w:sz w:val="24"/>
        </w:rPr>
        <w:t>2130 km cestovne mreže,</w:t>
      </w:r>
    </w:p>
    <w:p w14:paraId="1BB4CEFE" w14:textId="77777777" w:rsidR="00E40AC8" w:rsidRPr="00C96208" w:rsidRDefault="0047770A"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u w:color="000000"/>
        </w:rPr>
        <w:t xml:space="preserve">- </w:t>
      </w:r>
      <w:r w:rsidR="00900184" w:rsidRPr="00C96208">
        <w:rPr>
          <w:rFonts w:ascii="Times New Roman" w:hAnsi="Times New Roman" w:cs="Times New Roman"/>
          <w:color w:val="auto"/>
          <w:sz w:val="24"/>
        </w:rPr>
        <w:t>300 semaforiranih križanja,</w:t>
      </w:r>
    </w:p>
    <w:p w14:paraId="0275AB23" w14:textId="77777777" w:rsidR="00E40AC8" w:rsidRPr="00C96208" w:rsidRDefault="0047770A"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u w:color="000000"/>
        </w:rPr>
        <w:t xml:space="preserve">- </w:t>
      </w:r>
      <w:r w:rsidR="00900184" w:rsidRPr="00C96208">
        <w:rPr>
          <w:rFonts w:ascii="Times New Roman" w:hAnsi="Times New Roman" w:cs="Times New Roman"/>
          <w:color w:val="auto"/>
          <w:sz w:val="24"/>
        </w:rPr>
        <w:t>58 km željezničke pruge,</w:t>
      </w:r>
    </w:p>
    <w:p w14:paraId="77330E6A" w14:textId="77777777" w:rsidR="0047770A" w:rsidRPr="00C96208" w:rsidRDefault="0047770A" w:rsidP="0047770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u w:color="000000"/>
        </w:rPr>
        <w:t xml:space="preserve">- </w:t>
      </w:r>
      <w:r w:rsidR="00900184" w:rsidRPr="00C96208">
        <w:rPr>
          <w:rFonts w:ascii="Times New Roman" w:hAnsi="Times New Roman" w:cs="Times New Roman"/>
          <w:color w:val="auto"/>
          <w:sz w:val="24"/>
        </w:rPr>
        <w:t>41 opasno postrojenje.</w:t>
      </w:r>
    </w:p>
    <w:p w14:paraId="7CBCFB42" w14:textId="77777777" w:rsidR="0047770A" w:rsidRPr="00201092" w:rsidRDefault="0047770A" w:rsidP="0047770A">
      <w:pPr>
        <w:spacing w:after="0" w:line="240" w:lineRule="auto"/>
        <w:ind w:left="0" w:right="0" w:firstLine="0"/>
        <w:rPr>
          <w:rFonts w:ascii="Times New Roman" w:hAnsi="Times New Roman" w:cs="Times New Roman"/>
          <w:sz w:val="24"/>
        </w:rPr>
      </w:pPr>
    </w:p>
    <w:p w14:paraId="79000264" w14:textId="77777777" w:rsidR="00E40AC8" w:rsidRPr="0047770A" w:rsidRDefault="00900184" w:rsidP="0047770A">
      <w:pPr>
        <w:spacing w:after="0" w:line="240" w:lineRule="auto"/>
        <w:ind w:left="0" w:right="0" w:firstLine="709"/>
        <w:rPr>
          <w:rFonts w:ascii="Times New Roman" w:hAnsi="Times New Roman" w:cs="Times New Roman"/>
          <w:sz w:val="24"/>
        </w:rPr>
      </w:pPr>
      <w:r w:rsidRPr="0047770A">
        <w:rPr>
          <w:rFonts w:ascii="Times New Roman" w:hAnsi="Times New Roman" w:cs="Times New Roman"/>
          <w:sz w:val="24"/>
          <w:u w:val="single" w:color="000000"/>
        </w:rPr>
        <w:t>Vodnogospodarska infrastruktura</w:t>
      </w:r>
    </w:p>
    <w:p w14:paraId="1068BA6E" w14:textId="6BB71812" w:rsidR="00E40AC8" w:rsidRPr="005142C4" w:rsidRDefault="00900184" w:rsidP="0047770A">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Vodnogospodarska infrastruktura na području Grada Zagreba obuhvaća infrastrukturu za opskrbu pitkom vodom, infrastrukturu za odvodnju otpadnih voda te zaštitnu infrastrukturu </w:t>
      </w:r>
      <w:r w:rsidR="00EE6A22" w:rsidRPr="005142C4">
        <w:rPr>
          <w:rFonts w:ascii="Times New Roman" w:hAnsi="Times New Roman" w:cs="Times New Roman"/>
          <w:sz w:val="24"/>
        </w:rPr>
        <w:t>-</w:t>
      </w:r>
      <w:r w:rsidRPr="005142C4">
        <w:rPr>
          <w:rFonts w:ascii="Times New Roman" w:hAnsi="Times New Roman" w:cs="Times New Roman"/>
          <w:sz w:val="24"/>
        </w:rPr>
        <w:t xml:space="preserve"> vodne građevine za obranu od poplava. </w:t>
      </w:r>
      <w:r w:rsidRPr="005142C4">
        <w:rPr>
          <w:rFonts w:ascii="Times New Roman" w:hAnsi="Times New Roman" w:cs="Times New Roman"/>
          <w:b/>
          <w:sz w:val="24"/>
        </w:rPr>
        <w:t xml:space="preserve">Objektima kritične infrastrukture </w:t>
      </w:r>
      <w:r w:rsidR="00595BCC">
        <w:rPr>
          <w:rFonts w:ascii="Times New Roman" w:hAnsi="Times New Roman" w:cs="Times New Roman"/>
          <w:b/>
          <w:sz w:val="24"/>
        </w:rPr>
        <w:t>mo</w:t>
      </w:r>
      <w:r w:rsidR="001B151C">
        <w:rPr>
          <w:rFonts w:ascii="Times New Roman" w:hAnsi="Times New Roman" w:cs="Times New Roman"/>
          <w:b/>
          <w:sz w:val="24"/>
        </w:rPr>
        <w:t>že</w:t>
      </w:r>
      <w:r w:rsidR="00595BCC">
        <w:rPr>
          <w:rFonts w:ascii="Times New Roman" w:hAnsi="Times New Roman" w:cs="Times New Roman"/>
          <w:b/>
          <w:sz w:val="24"/>
        </w:rPr>
        <w:t xml:space="preserve"> se </w:t>
      </w:r>
      <w:r w:rsidRPr="005142C4">
        <w:rPr>
          <w:rFonts w:ascii="Times New Roman" w:hAnsi="Times New Roman" w:cs="Times New Roman"/>
          <w:b/>
          <w:sz w:val="24"/>
        </w:rPr>
        <w:t>smatrati osobito</w:t>
      </w:r>
      <w:r w:rsidRPr="005142C4">
        <w:rPr>
          <w:rFonts w:ascii="Times New Roman" w:hAnsi="Times New Roman" w:cs="Times New Roman"/>
          <w:sz w:val="24"/>
        </w:rPr>
        <w:t>: vodocrpilišta, vodospreme, postrojenja za pročišćavanje pitke vode, retencije za obranu od poplava, nasip</w:t>
      </w:r>
      <w:r w:rsidR="00595BCC">
        <w:rPr>
          <w:rFonts w:ascii="Times New Roman" w:hAnsi="Times New Roman" w:cs="Times New Roman"/>
          <w:sz w:val="24"/>
        </w:rPr>
        <w:t>i</w:t>
      </w:r>
      <w:r w:rsidRPr="005142C4">
        <w:rPr>
          <w:rFonts w:ascii="Times New Roman" w:hAnsi="Times New Roman" w:cs="Times New Roman"/>
          <w:sz w:val="24"/>
        </w:rPr>
        <w:t>, odteretn</w:t>
      </w:r>
      <w:r w:rsidR="00595BCC">
        <w:rPr>
          <w:rFonts w:ascii="Times New Roman" w:hAnsi="Times New Roman" w:cs="Times New Roman"/>
          <w:sz w:val="24"/>
        </w:rPr>
        <w:t>i</w:t>
      </w:r>
      <w:r w:rsidRPr="005142C4">
        <w:rPr>
          <w:rFonts w:ascii="Times New Roman" w:hAnsi="Times New Roman" w:cs="Times New Roman"/>
          <w:sz w:val="24"/>
        </w:rPr>
        <w:t xml:space="preserve"> kanal</w:t>
      </w:r>
      <w:r w:rsidR="00595BCC">
        <w:rPr>
          <w:rFonts w:ascii="Times New Roman" w:hAnsi="Times New Roman" w:cs="Times New Roman"/>
          <w:sz w:val="24"/>
        </w:rPr>
        <w:t>i</w:t>
      </w:r>
      <w:r w:rsidRPr="005142C4">
        <w:rPr>
          <w:rFonts w:ascii="Times New Roman" w:hAnsi="Times New Roman" w:cs="Times New Roman"/>
          <w:sz w:val="24"/>
        </w:rPr>
        <w:t xml:space="preserve"> i brane. Radi se o objektima</w:t>
      </w:r>
      <w:r w:rsidR="00F92182">
        <w:rPr>
          <w:rFonts w:ascii="Times New Roman" w:hAnsi="Times New Roman" w:cs="Times New Roman"/>
          <w:sz w:val="24"/>
        </w:rPr>
        <w:t xml:space="preserve"> </w:t>
      </w:r>
      <w:r w:rsidR="00BF315E">
        <w:rPr>
          <w:rFonts w:ascii="Times New Roman" w:hAnsi="Times New Roman" w:cs="Times New Roman"/>
          <w:sz w:val="24"/>
        </w:rPr>
        <w:t>koji</w:t>
      </w:r>
      <w:r w:rsidR="00B943D4">
        <w:rPr>
          <w:rFonts w:ascii="Times New Roman" w:hAnsi="Times New Roman" w:cs="Times New Roman"/>
          <w:sz w:val="24"/>
        </w:rPr>
        <w:t>,</w:t>
      </w:r>
      <w:r w:rsidR="00BF315E">
        <w:rPr>
          <w:rFonts w:ascii="Times New Roman" w:hAnsi="Times New Roman" w:cs="Times New Roman"/>
          <w:sz w:val="24"/>
        </w:rPr>
        <w:t xml:space="preserve"> ako </w:t>
      </w:r>
      <w:r w:rsidRPr="005142C4">
        <w:rPr>
          <w:rFonts w:ascii="Times New Roman" w:hAnsi="Times New Roman" w:cs="Times New Roman"/>
          <w:sz w:val="24"/>
        </w:rPr>
        <w:t>neispravno funkcionira</w:t>
      </w:r>
      <w:r w:rsidR="00BF315E">
        <w:rPr>
          <w:rFonts w:ascii="Times New Roman" w:hAnsi="Times New Roman" w:cs="Times New Roman"/>
          <w:sz w:val="24"/>
        </w:rPr>
        <w:t>ju</w:t>
      </w:r>
      <w:r w:rsidR="00B943D4">
        <w:rPr>
          <w:rFonts w:ascii="Times New Roman" w:hAnsi="Times New Roman" w:cs="Times New Roman"/>
          <w:sz w:val="24"/>
        </w:rPr>
        <w:t>,</w:t>
      </w:r>
      <w:r w:rsidR="00BF315E">
        <w:rPr>
          <w:rFonts w:ascii="Times New Roman" w:hAnsi="Times New Roman" w:cs="Times New Roman"/>
          <w:sz w:val="24"/>
        </w:rPr>
        <w:t xml:space="preserve"> mogu </w:t>
      </w:r>
      <w:r w:rsidRPr="005142C4">
        <w:rPr>
          <w:rFonts w:ascii="Times New Roman" w:hAnsi="Times New Roman" w:cs="Times New Roman"/>
          <w:sz w:val="24"/>
        </w:rPr>
        <w:t>ugroziti sigurnost stanovništva.</w:t>
      </w:r>
    </w:p>
    <w:p w14:paraId="1CC4CA6E" w14:textId="77777777" w:rsidR="00595BCC" w:rsidRDefault="00900184" w:rsidP="0047770A">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Javna mreža vodoopskrbe Grada Zagreba pruža se preko njegovih administrativnih granica i obuhvaća područje ukupne površine od preko 800 km</w:t>
      </w:r>
      <w:r w:rsidRPr="005142C4">
        <w:rPr>
          <w:rFonts w:ascii="Times New Roman" w:hAnsi="Times New Roman" w:cs="Times New Roman"/>
          <w:sz w:val="24"/>
          <w:vertAlign w:val="superscript"/>
        </w:rPr>
        <w:t>2</w:t>
      </w:r>
      <w:r w:rsidRPr="005142C4">
        <w:rPr>
          <w:rFonts w:ascii="Times New Roman" w:hAnsi="Times New Roman" w:cs="Times New Roman"/>
          <w:sz w:val="24"/>
        </w:rPr>
        <w:t xml:space="preserve">. Mreža se napaja iz </w:t>
      </w:r>
      <w:r w:rsidRPr="005142C4">
        <w:rPr>
          <w:rFonts w:ascii="Times New Roman" w:hAnsi="Times New Roman" w:cs="Times New Roman"/>
          <w:b/>
          <w:sz w:val="24"/>
        </w:rPr>
        <w:t>sedam vodocrpilišta</w:t>
      </w:r>
      <w:r w:rsidRPr="005142C4">
        <w:rPr>
          <w:rFonts w:ascii="Times New Roman" w:hAnsi="Times New Roman" w:cs="Times New Roman"/>
          <w:sz w:val="24"/>
        </w:rPr>
        <w:t xml:space="preserve"> s ukupno 30 zdenaca: iz pet vodocrpilišta na području Grada, te iz dva vodocrpilišta koja se nalaze u Zagrebačkoj županiji: Strmec i Velika Gorica. U to nisu ubrojeni kaptažni vodozahvati Lipovec i Slapnica, koji se nalaze na zagrebačkom distributivnom području, ali se koriste isključivo za opskrbu visoke zone Grada Samobora. Vodocrpilišta Bregana i Kruge nisu u uporabi, </w:t>
      </w:r>
      <w:r w:rsidR="00595BCC">
        <w:rPr>
          <w:rFonts w:ascii="Times New Roman" w:hAnsi="Times New Roman" w:cs="Times New Roman"/>
          <w:sz w:val="24"/>
        </w:rPr>
        <w:t xml:space="preserve">ali </w:t>
      </w:r>
      <w:r w:rsidRPr="005142C4">
        <w:rPr>
          <w:rFonts w:ascii="Times New Roman" w:hAnsi="Times New Roman" w:cs="Times New Roman"/>
          <w:sz w:val="24"/>
        </w:rPr>
        <w:t>smatraju se pričuvnim vodocrpilištima.</w:t>
      </w:r>
    </w:p>
    <w:p w14:paraId="4496A7D7" w14:textId="77777777" w:rsidR="00E40AC8" w:rsidRPr="005142C4" w:rsidRDefault="00900184" w:rsidP="0047770A">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Vodoopskrbni sustav podijeljen je s obzirom na lokacije crpilišta na vodoopskrbne zone / podsustave Zagreb </w:t>
      </w:r>
      <w:r w:rsidR="00EE6A22" w:rsidRPr="005142C4">
        <w:rPr>
          <w:rFonts w:ascii="Times New Roman" w:hAnsi="Times New Roman" w:cs="Times New Roman"/>
          <w:sz w:val="24"/>
        </w:rPr>
        <w:t>-</w:t>
      </w:r>
      <w:r w:rsidRPr="005142C4">
        <w:rPr>
          <w:rFonts w:ascii="Times New Roman" w:hAnsi="Times New Roman" w:cs="Times New Roman"/>
          <w:sz w:val="24"/>
        </w:rPr>
        <w:t xml:space="preserve"> zapad, Zagreb </w:t>
      </w:r>
      <w:r w:rsidR="00EE6A22" w:rsidRPr="005142C4">
        <w:rPr>
          <w:rFonts w:ascii="Times New Roman" w:hAnsi="Times New Roman" w:cs="Times New Roman"/>
          <w:sz w:val="24"/>
        </w:rPr>
        <w:t>-</w:t>
      </w:r>
      <w:r w:rsidRPr="005142C4">
        <w:rPr>
          <w:rFonts w:ascii="Times New Roman" w:hAnsi="Times New Roman" w:cs="Times New Roman"/>
          <w:sz w:val="24"/>
        </w:rPr>
        <w:t xml:space="preserve"> centar i Zagreb </w:t>
      </w:r>
      <w:r w:rsidR="00EE6A22" w:rsidRPr="005142C4">
        <w:rPr>
          <w:rFonts w:ascii="Times New Roman" w:hAnsi="Times New Roman" w:cs="Times New Roman"/>
          <w:sz w:val="24"/>
        </w:rPr>
        <w:t>-</w:t>
      </w:r>
      <w:r w:rsidRPr="005142C4">
        <w:rPr>
          <w:rFonts w:ascii="Times New Roman" w:hAnsi="Times New Roman" w:cs="Times New Roman"/>
          <w:sz w:val="24"/>
        </w:rPr>
        <w:t xml:space="preserve"> istok, dok se zbog konfiguracije terena Grad Zagreb dijeli u tri visinske vodoopskrbne zone. Na gornjim granicama svake zone smještene su </w:t>
      </w:r>
      <w:r w:rsidRPr="005142C4">
        <w:rPr>
          <w:rFonts w:ascii="Times New Roman" w:hAnsi="Times New Roman" w:cs="Times New Roman"/>
          <w:b/>
          <w:sz w:val="24"/>
        </w:rPr>
        <w:t>vodospreme</w:t>
      </w:r>
      <w:r w:rsidRPr="005142C4">
        <w:rPr>
          <w:rFonts w:ascii="Times New Roman" w:hAnsi="Times New Roman" w:cs="Times New Roman"/>
          <w:sz w:val="24"/>
        </w:rPr>
        <w:t>. Visinom se izdvaja vodosprema Sljeme s kotom preljeva 1.020</w:t>
      </w:r>
      <w:r w:rsidR="00442E8E">
        <w:rPr>
          <w:rFonts w:ascii="Times New Roman" w:hAnsi="Times New Roman" w:cs="Times New Roman"/>
          <w:sz w:val="24"/>
        </w:rPr>
        <w:t> </w:t>
      </w:r>
      <w:r w:rsidRPr="005142C4">
        <w:rPr>
          <w:rFonts w:ascii="Times New Roman" w:hAnsi="Times New Roman" w:cs="Times New Roman"/>
          <w:sz w:val="24"/>
        </w:rPr>
        <w:t>m</w:t>
      </w:r>
      <w:r w:rsidR="00442E8E">
        <w:rPr>
          <w:rFonts w:ascii="Times New Roman" w:hAnsi="Times New Roman" w:cs="Times New Roman"/>
          <w:sz w:val="24"/>
        </w:rPr>
        <w:t xml:space="preserve"> </w:t>
      </w:r>
      <w:r w:rsidRPr="005142C4">
        <w:rPr>
          <w:rFonts w:ascii="Times New Roman" w:hAnsi="Times New Roman" w:cs="Times New Roman"/>
          <w:sz w:val="24"/>
        </w:rPr>
        <w:t>n</w:t>
      </w:r>
      <w:r w:rsidR="00442E8E">
        <w:rPr>
          <w:rFonts w:ascii="Times New Roman" w:hAnsi="Times New Roman" w:cs="Times New Roman"/>
          <w:sz w:val="24"/>
        </w:rPr>
        <w:t>/v</w:t>
      </w:r>
      <w:r w:rsidRPr="005142C4">
        <w:rPr>
          <w:rFonts w:ascii="Times New Roman" w:hAnsi="Times New Roman" w:cs="Times New Roman"/>
          <w:sz w:val="24"/>
        </w:rPr>
        <w:t>.</w:t>
      </w:r>
      <w:r w:rsidRPr="005142C4">
        <w:rPr>
          <w:rFonts w:ascii="Times New Roman" w:eastAsia="Calibri" w:hAnsi="Times New Roman" w:cs="Times New Roman"/>
          <w:sz w:val="24"/>
        </w:rPr>
        <w:t xml:space="preserve"> </w:t>
      </w:r>
      <w:r w:rsidRPr="005142C4">
        <w:rPr>
          <w:rFonts w:ascii="Times New Roman" w:hAnsi="Times New Roman" w:cs="Times New Roman"/>
          <w:sz w:val="24"/>
        </w:rPr>
        <w:t>Voda se od vodocrpilišta u dolini rijeke Save do spremnika dovodi magistralnim cjevovodima pod tlakom. Javnom vodovodnom mrežom Grada Zagreba nije u potpunosti obuhvaćeno 18 naselja u istočnom i južnom dijelu Grada: Belovar, Blaguša, Donji Dragonožec, Gajec, Glavnica Donja, Glavnica Gornja, Horvati, Ivanja Reka, Jesenovec,</w:t>
      </w:r>
      <w:r w:rsidR="0047770A">
        <w:rPr>
          <w:rFonts w:ascii="Times New Roman" w:hAnsi="Times New Roman" w:cs="Times New Roman"/>
          <w:sz w:val="24"/>
        </w:rPr>
        <w:t xml:space="preserve"> </w:t>
      </w:r>
      <w:r w:rsidRPr="005142C4">
        <w:rPr>
          <w:rFonts w:ascii="Times New Roman" w:hAnsi="Times New Roman" w:cs="Times New Roman"/>
          <w:sz w:val="24"/>
        </w:rPr>
        <w:t xml:space="preserve">Kašina, Kupinečki Kraljevec, Lužan, Planina Donja, Planina Gornja, Prepuštovec, Soblinec, Vugrovec Gornji i Vurnovec. Na tim dijelovima stanovništvo se opskrbljuje iz jedne od </w:t>
      </w:r>
      <w:r w:rsidRPr="005142C4">
        <w:rPr>
          <w:rFonts w:ascii="Times New Roman" w:hAnsi="Times New Roman" w:cs="Times New Roman"/>
          <w:b/>
          <w:sz w:val="24"/>
        </w:rPr>
        <w:t>26 lokalnih mreža</w:t>
      </w:r>
      <w:r w:rsidRPr="005142C4">
        <w:rPr>
          <w:rFonts w:ascii="Times New Roman" w:hAnsi="Times New Roman" w:cs="Times New Roman"/>
          <w:sz w:val="24"/>
        </w:rPr>
        <w:t xml:space="preserve"> i iz vlastitih zdenaca, odnosno bunara.</w:t>
      </w:r>
    </w:p>
    <w:p w14:paraId="583A1B1E" w14:textId="53DE637B" w:rsidR="0047770A" w:rsidRPr="001475F3" w:rsidRDefault="00900184" w:rsidP="001475F3">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Sustav obrane od poplava Grada Zagreba obuhvaća obranu od velikih voda Save i zaštitu od bujičnih vodotokova južnih obronaka Medvednice.</w:t>
      </w:r>
      <w:r w:rsidRPr="005142C4">
        <w:rPr>
          <w:rFonts w:ascii="Times New Roman" w:eastAsia="Calibri" w:hAnsi="Times New Roman" w:cs="Times New Roman"/>
          <w:sz w:val="24"/>
        </w:rPr>
        <w:t xml:space="preserve"> </w:t>
      </w:r>
      <w:r w:rsidRPr="005142C4">
        <w:rPr>
          <w:rFonts w:ascii="Times New Roman" w:hAnsi="Times New Roman" w:cs="Times New Roman"/>
          <w:sz w:val="24"/>
        </w:rPr>
        <w:t xml:space="preserve">Osnovni objekti obrane od poplava Save na području Grada Zagreba su </w:t>
      </w:r>
      <w:r w:rsidRPr="005142C4">
        <w:rPr>
          <w:rFonts w:ascii="Times New Roman" w:hAnsi="Times New Roman" w:cs="Times New Roman"/>
          <w:b/>
          <w:sz w:val="24"/>
        </w:rPr>
        <w:t>nasipi</w:t>
      </w:r>
      <w:r w:rsidRPr="00595BCC">
        <w:rPr>
          <w:rFonts w:ascii="Times New Roman" w:hAnsi="Times New Roman" w:cs="Times New Roman"/>
          <w:sz w:val="24"/>
        </w:rPr>
        <w:t xml:space="preserve"> </w:t>
      </w:r>
      <w:r w:rsidRPr="005142C4">
        <w:rPr>
          <w:rFonts w:ascii="Times New Roman" w:hAnsi="Times New Roman" w:cs="Times New Roman"/>
          <w:sz w:val="24"/>
        </w:rPr>
        <w:t xml:space="preserve">visine </w:t>
      </w:r>
      <w:r w:rsidR="00595BCC">
        <w:rPr>
          <w:rFonts w:ascii="Times New Roman" w:hAnsi="Times New Roman" w:cs="Times New Roman"/>
          <w:sz w:val="24"/>
        </w:rPr>
        <w:t xml:space="preserve">od </w:t>
      </w:r>
      <w:r w:rsidRPr="005142C4">
        <w:rPr>
          <w:rFonts w:ascii="Times New Roman" w:hAnsi="Times New Roman" w:cs="Times New Roman"/>
          <w:sz w:val="24"/>
        </w:rPr>
        <w:t xml:space="preserve">3 do 5 m koji na razmaku od 300 m obostrano prate riječno korito, formirajući inundacijski pojas te </w:t>
      </w:r>
      <w:r w:rsidRPr="005142C4">
        <w:rPr>
          <w:rFonts w:ascii="Times New Roman" w:hAnsi="Times New Roman" w:cs="Times New Roman"/>
          <w:b/>
          <w:sz w:val="24"/>
        </w:rPr>
        <w:t xml:space="preserve">kanal Sava </w:t>
      </w:r>
      <w:r w:rsidR="00EE6A22" w:rsidRPr="005142C4">
        <w:rPr>
          <w:rFonts w:ascii="Times New Roman" w:hAnsi="Times New Roman" w:cs="Times New Roman"/>
          <w:b/>
          <w:sz w:val="24"/>
        </w:rPr>
        <w:t>-</w:t>
      </w:r>
      <w:r w:rsidRPr="005142C4">
        <w:rPr>
          <w:rFonts w:ascii="Times New Roman" w:hAnsi="Times New Roman" w:cs="Times New Roman"/>
          <w:b/>
          <w:sz w:val="24"/>
        </w:rPr>
        <w:t xml:space="preserve"> Odra</w:t>
      </w:r>
      <w:r w:rsidRPr="005142C4">
        <w:rPr>
          <w:rFonts w:ascii="Times New Roman" w:hAnsi="Times New Roman" w:cs="Times New Roman"/>
          <w:sz w:val="24"/>
        </w:rPr>
        <w:t xml:space="preserve"> za odvodnju velike vode.</w:t>
      </w:r>
      <w:r w:rsidRPr="005142C4">
        <w:rPr>
          <w:rFonts w:ascii="Times New Roman" w:eastAsia="Calibri" w:hAnsi="Times New Roman" w:cs="Times New Roman"/>
          <w:sz w:val="24"/>
        </w:rPr>
        <w:t xml:space="preserve"> </w:t>
      </w:r>
      <w:r w:rsidRPr="005142C4">
        <w:rPr>
          <w:rFonts w:ascii="Times New Roman" w:hAnsi="Times New Roman" w:cs="Times New Roman"/>
          <w:sz w:val="24"/>
        </w:rPr>
        <w:t xml:space="preserve">Za obranu od poplava je na potocima južnih obronaka Medvednice </w:t>
      </w:r>
      <w:r w:rsidRPr="005142C4">
        <w:rPr>
          <w:rFonts w:ascii="Times New Roman" w:hAnsi="Times New Roman" w:cs="Times New Roman"/>
          <w:sz w:val="24"/>
        </w:rPr>
        <w:lastRenderedPageBreak/>
        <w:t xml:space="preserve">izgrađeno ukupno </w:t>
      </w:r>
      <w:r w:rsidRPr="005142C4">
        <w:rPr>
          <w:rFonts w:ascii="Times New Roman" w:hAnsi="Times New Roman" w:cs="Times New Roman"/>
          <w:b/>
          <w:sz w:val="24"/>
        </w:rPr>
        <w:t>19 retencija</w:t>
      </w:r>
      <w:r w:rsidRPr="005142C4">
        <w:rPr>
          <w:rFonts w:ascii="Times New Roman" w:hAnsi="Times New Roman" w:cs="Times New Roman"/>
          <w:sz w:val="24"/>
        </w:rPr>
        <w:t>. Svaki od tih objekata sastoji se od brane i retencijskog prostora uzvodno od nje. Ukupni retencijski volumen iznosi oko 2.200.000 m</w:t>
      </w:r>
      <w:r w:rsidRPr="005142C4">
        <w:rPr>
          <w:rFonts w:ascii="Times New Roman" w:hAnsi="Times New Roman" w:cs="Times New Roman"/>
          <w:sz w:val="24"/>
          <w:vertAlign w:val="superscript"/>
        </w:rPr>
        <w:t>3</w:t>
      </w:r>
      <w:r w:rsidRPr="005142C4">
        <w:rPr>
          <w:rFonts w:ascii="Times New Roman" w:hAnsi="Times New Roman" w:cs="Times New Roman"/>
          <w:sz w:val="24"/>
        </w:rPr>
        <w:t>.</w:t>
      </w:r>
    </w:p>
    <w:p w14:paraId="058C8582" w14:textId="77777777" w:rsidR="00114CAB" w:rsidRDefault="00114CAB" w:rsidP="0047770A">
      <w:pPr>
        <w:spacing w:after="0" w:line="240" w:lineRule="auto"/>
        <w:ind w:left="0" w:right="0" w:firstLine="709"/>
        <w:rPr>
          <w:rFonts w:ascii="Times New Roman" w:hAnsi="Times New Roman" w:cs="Times New Roman"/>
          <w:sz w:val="24"/>
          <w:u w:val="single" w:color="000000"/>
        </w:rPr>
      </w:pPr>
    </w:p>
    <w:p w14:paraId="482F3F6A" w14:textId="23260B4E" w:rsidR="00E40AC8" w:rsidRPr="0047770A" w:rsidRDefault="00900184" w:rsidP="0047770A">
      <w:pPr>
        <w:spacing w:after="0" w:line="240" w:lineRule="auto"/>
        <w:ind w:left="0" w:right="0" w:firstLine="709"/>
        <w:rPr>
          <w:rFonts w:ascii="Times New Roman" w:hAnsi="Times New Roman" w:cs="Times New Roman"/>
          <w:sz w:val="24"/>
          <w:u w:val="single" w:color="000000"/>
        </w:rPr>
      </w:pPr>
      <w:r w:rsidRPr="0047770A">
        <w:rPr>
          <w:rFonts w:ascii="Times New Roman" w:hAnsi="Times New Roman" w:cs="Times New Roman"/>
          <w:sz w:val="24"/>
          <w:u w:val="single" w:color="000000"/>
        </w:rPr>
        <w:t>Elektroenergetski sustavi</w:t>
      </w:r>
    </w:p>
    <w:p w14:paraId="57A0A677" w14:textId="77777777" w:rsidR="00E40AC8" w:rsidRPr="005142C4" w:rsidRDefault="00900184" w:rsidP="0047770A">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Elektroenergetski sustav Grada Zagreba sačinjavaju proizvodna postrojenja i distributivna mreža. </w:t>
      </w:r>
      <w:r w:rsidRPr="005142C4">
        <w:rPr>
          <w:rFonts w:ascii="Times New Roman" w:hAnsi="Times New Roman" w:cs="Times New Roman"/>
          <w:b/>
          <w:sz w:val="24"/>
        </w:rPr>
        <w:t>Objektima kritične infrastrukture mo</w:t>
      </w:r>
      <w:r w:rsidR="001B151C">
        <w:rPr>
          <w:rFonts w:ascii="Times New Roman" w:hAnsi="Times New Roman" w:cs="Times New Roman"/>
          <w:b/>
          <w:sz w:val="24"/>
        </w:rPr>
        <w:t>že</w:t>
      </w:r>
      <w:r w:rsidR="00595BCC">
        <w:rPr>
          <w:rFonts w:ascii="Times New Roman" w:hAnsi="Times New Roman" w:cs="Times New Roman"/>
          <w:b/>
          <w:sz w:val="24"/>
        </w:rPr>
        <w:t xml:space="preserve"> se</w:t>
      </w:r>
      <w:r w:rsidRPr="005142C4">
        <w:rPr>
          <w:rFonts w:ascii="Times New Roman" w:hAnsi="Times New Roman" w:cs="Times New Roman"/>
          <w:b/>
          <w:sz w:val="24"/>
        </w:rPr>
        <w:t xml:space="preserve"> smatrati osobito</w:t>
      </w:r>
      <w:r w:rsidRPr="005142C4">
        <w:rPr>
          <w:rFonts w:ascii="Times New Roman" w:hAnsi="Times New Roman" w:cs="Times New Roman"/>
          <w:sz w:val="24"/>
        </w:rPr>
        <w:t xml:space="preserve">: dalekovod koji prolazi područjem </w:t>
      </w:r>
      <w:r w:rsidR="00595BCC" w:rsidRPr="005142C4">
        <w:rPr>
          <w:rFonts w:ascii="Times New Roman" w:hAnsi="Times New Roman" w:cs="Times New Roman"/>
          <w:sz w:val="24"/>
        </w:rPr>
        <w:t>Grada</w:t>
      </w:r>
      <w:r w:rsidRPr="005142C4">
        <w:rPr>
          <w:rFonts w:ascii="Times New Roman" w:hAnsi="Times New Roman" w:cs="Times New Roman"/>
          <w:sz w:val="24"/>
        </w:rPr>
        <w:t>, transformatorske stanice Tumbri i Žerjavinec i dva postrojenja za proizvodnju električne energije, TE</w:t>
      </w:r>
      <w:r w:rsidR="00EE6A22" w:rsidRPr="005142C4">
        <w:rPr>
          <w:rFonts w:ascii="Times New Roman" w:hAnsi="Times New Roman" w:cs="Times New Roman"/>
          <w:sz w:val="24"/>
        </w:rPr>
        <w:t>-</w:t>
      </w:r>
      <w:r w:rsidRPr="005142C4">
        <w:rPr>
          <w:rFonts w:ascii="Times New Roman" w:hAnsi="Times New Roman" w:cs="Times New Roman"/>
          <w:sz w:val="24"/>
        </w:rPr>
        <w:t>TO Zagreb na Žitnjaku i EL</w:t>
      </w:r>
      <w:r w:rsidR="00EE6A22" w:rsidRPr="005142C4">
        <w:rPr>
          <w:rFonts w:ascii="Times New Roman" w:hAnsi="Times New Roman" w:cs="Times New Roman"/>
          <w:sz w:val="24"/>
        </w:rPr>
        <w:t>-</w:t>
      </w:r>
      <w:r w:rsidRPr="005142C4">
        <w:rPr>
          <w:rFonts w:ascii="Times New Roman" w:hAnsi="Times New Roman" w:cs="Times New Roman"/>
          <w:sz w:val="24"/>
        </w:rPr>
        <w:t>TO na Trešnjevci. U slučaju kvara na navedenim objektima ugrožena je stabilnost opskrbe električnom energijom na području Grada</w:t>
      </w:r>
      <w:r w:rsidR="00595BCC">
        <w:rPr>
          <w:rFonts w:ascii="Times New Roman" w:hAnsi="Times New Roman" w:cs="Times New Roman"/>
          <w:sz w:val="24"/>
        </w:rPr>
        <w:t>,</w:t>
      </w:r>
      <w:r w:rsidRPr="005142C4">
        <w:rPr>
          <w:rFonts w:ascii="Times New Roman" w:hAnsi="Times New Roman" w:cs="Times New Roman"/>
          <w:sz w:val="24"/>
        </w:rPr>
        <w:t xml:space="preserve"> ali i distribucija toplinske energije kućanstvima i industriji.</w:t>
      </w:r>
    </w:p>
    <w:p w14:paraId="491EFEB8" w14:textId="77777777" w:rsidR="00E40AC8" w:rsidRPr="005142C4" w:rsidRDefault="00900184" w:rsidP="0047770A">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Prostorom Grada prolaze i u njemu su smještene pojedine komponente državne prijenosne mreže. One</w:t>
      </w:r>
      <w:r w:rsidR="00595BCC">
        <w:rPr>
          <w:rFonts w:ascii="Times New Roman" w:hAnsi="Times New Roman" w:cs="Times New Roman"/>
          <w:sz w:val="24"/>
        </w:rPr>
        <w:t xml:space="preserve"> te</w:t>
      </w:r>
      <w:r w:rsidRPr="005142C4">
        <w:rPr>
          <w:rFonts w:ascii="Times New Roman" w:hAnsi="Times New Roman" w:cs="Times New Roman"/>
          <w:sz w:val="24"/>
        </w:rPr>
        <w:t xml:space="preserve"> velika proizvodna postrojenja</w:t>
      </w:r>
      <w:r w:rsidR="00595BCC">
        <w:rPr>
          <w:rFonts w:ascii="Times New Roman" w:hAnsi="Times New Roman" w:cs="Times New Roman"/>
          <w:sz w:val="24"/>
        </w:rPr>
        <w:t xml:space="preserve"> </w:t>
      </w:r>
      <w:r w:rsidR="00BF315E">
        <w:rPr>
          <w:rFonts w:ascii="Times New Roman" w:hAnsi="Times New Roman" w:cs="Times New Roman"/>
          <w:sz w:val="24"/>
        </w:rPr>
        <w:t xml:space="preserve">su </w:t>
      </w:r>
      <w:r w:rsidRPr="005142C4">
        <w:rPr>
          <w:rFonts w:ascii="Times New Roman" w:hAnsi="Times New Roman" w:cs="Times New Roman"/>
          <w:sz w:val="24"/>
        </w:rPr>
        <w:t xml:space="preserve">građevine od državnog značaja. Elektroenergetska prijenosna mreža okružuje područje Grada Zagreba s istoka, juga i zapada. </w:t>
      </w:r>
      <w:r w:rsidRPr="005142C4">
        <w:rPr>
          <w:rFonts w:ascii="Times New Roman" w:hAnsi="Times New Roman" w:cs="Times New Roman"/>
          <w:b/>
          <w:sz w:val="24"/>
        </w:rPr>
        <w:t>Dalekovod</w:t>
      </w:r>
      <w:r w:rsidRPr="005142C4">
        <w:rPr>
          <w:rFonts w:ascii="Times New Roman" w:hAnsi="Times New Roman" w:cs="Times New Roman"/>
          <w:sz w:val="24"/>
        </w:rPr>
        <w:t xml:space="preserve"> napona 400 kV dovodi energiju iz nuklearne elektrane Krško do </w:t>
      </w:r>
      <w:r w:rsidRPr="005142C4">
        <w:rPr>
          <w:rFonts w:ascii="Times New Roman" w:hAnsi="Times New Roman" w:cs="Times New Roman"/>
          <w:b/>
          <w:sz w:val="24"/>
        </w:rPr>
        <w:t>transformatorske stanice</w:t>
      </w:r>
      <w:r w:rsidRPr="005142C4">
        <w:rPr>
          <w:rFonts w:ascii="Times New Roman" w:hAnsi="Times New Roman" w:cs="Times New Roman"/>
          <w:sz w:val="24"/>
        </w:rPr>
        <w:t xml:space="preserve"> (trafostanice </w:t>
      </w:r>
      <w:r w:rsidR="00EE6A22" w:rsidRPr="005142C4">
        <w:rPr>
          <w:rFonts w:ascii="Times New Roman" w:hAnsi="Times New Roman" w:cs="Times New Roman"/>
          <w:sz w:val="24"/>
        </w:rPr>
        <w:t>-</w:t>
      </w:r>
      <w:r w:rsidRPr="005142C4">
        <w:rPr>
          <w:rFonts w:ascii="Times New Roman" w:hAnsi="Times New Roman" w:cs="Times New Roman"/>
          <w:sz w:val="24"/>
        </w:rPr>
        <w:t xml:space="preserve"> TS) Tumbri u Kupinečkom Kraljevcu. Energija se dalje prenosi dalekovodima istog napona prema Rijeci te prema istoku, do područja Mraclina, </w:t>
      </w:r>
      <w:r w:rsidR="00595BCC">
        <w:rPr>
          <w:rFonts w:ascii="Times New Roman" w:hAnsi="Times New Roman" w:cs="Times New Roman"/>
          <w:sz w:val="24"/>
        </w:rPr>
        <w:t xml:space="preserve">odakle </w:t>
      </w:r>
      <w:r w:rsidRPr="005142C4">
        <w:rPr>
          <w:rFonts w:ascii="Times New Roman" w:hAnsi="Times New Roman" w:cs="Times New Roman"/>
          <w:sz w:val="24"/>
        </w:rPr>
        <w:t xml:space="preserve">jedan dalekovod vodi prema Osijeku, a drugi do trafostanice Žerjavinec kod istoimenog naselja. TS Žerjavinec je dalekovodom 400 kV povezana s elektroprivrednom mrežom Mađarske. Dalekovodi 400 kV zaobilaze TS Mraclin, </w:t>
      </w:r>
      <w:r w:rsidR="00595BCC">
        <w:rPr>
          <w:rFonts w:ascii="Times New Roman" w:hAnsi="Times New Roman" w:cs="Times New Roman"/>
          <w:sz w:val="24"/>
        </w:rPr>
        <w:t xml:space="preserve">ali </w:t>
      </w:r>
      <w:r w:rsidRPr="005142C4">
        <w:rPr>
          <w:rFonts w:ascii="Times New Roman" w:hAnsi="Times New Roman" w:cs="Times New Roman"/>
          <w:sz w:val="24"/>
        </w:rPr>
        <w:t>trafostanice Žerjavinec i Tumbri</w:t>
      </w:r>
      <w:r w:rsidR="00BF315E">
        <w:rPr>
          <w:rFonts w:ascii="Times New Roman" w:hAnsi="Times New Roman" w:cs="Times New Roman"/>
          <w:sz w:val="24"/>
        </w:rPr>
        <w:t xml:space="preserve"> su</w:t>
      </w:r>
      <w:r w:rsidRPr="005142C4">
        <w:rPr>
          <w:rFonts w:ascii="Times New Roman" w:hAnsi="Times New Roman" w:cs="Times New Roman"/>
          <w:sz w:val="24"/>
        </w:rPr>
        <w:t xml:space="preserve"> </w:t>
      </w:r>
      <w:r w:rsidR="00BF315E">
        <w:rPr>
          <w:rFonts w:ascii="Times New Roman" w:hAnsi="Times New Roman" w:cs="Times New Roman"/>
          <w:sz w:val="24"/>
        </w:rPr>
        <w:t xml:space="preserve">s </w:t>
      </w:r>
      <w:r w:rsidR="00595BCC" w:rsidRPr="005142C4">
        <w:rPr>
          <w:rFonts w:ascii="Times New Roman" w:hAnsi="Times New Roman" w:cs="Times New Roman"/>
          <w:sz w:val="24"/>
        </w:rPr>
        <w:t xml:space="preserve">Mraclinom </w:t>
      </w:r>
      <w:r w:rsidR="00BF315E">
        <w:rPr>
          <w:rFonts w:ascii="Times New Roman" w:hAnsi="Times New Roman" w:cs="Times New Roman"/>
          <w:sz w:val="24"/>
        </w:rPr>
        <w:t xml:space="preserve">povezane </w:t>
      </w:r>
      <w:r w:rsidRPr="005142C4">
        <w:rPr>
          <w:rFonts w:ascii="Times New Roman" w:hAnsi="Times New Roman" w:cs="Times New Roman"/>
          <w:sz w:val="24"/>
        </w:rPr>
        <w:t>dalekovodima 220, odnosno 110 kV.</w:t>
      </w:r>
    </w:p>
    <w:p w14:paraId="451EAA5E" w14:textId="7F52C2AE" w:rsidR="0047770A" w:rsidRDefault="00900184" w:rsidP="0047770A">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Na području Grada Zagreba postoje dva </w:t>
      </w:r>
      <w:r w:rsidRPr="005142C4">
        <w:rPr>
          <w:rFonts w:ascii="Times New Roman" w:hAnsi="Times New Roman" w:cs="Times New Roman"/>
          <w:b/>
          <w:sz w:val="24"/>
        </w:rPr>
        <w:t>postrojenja za proizvodnju električne energije</w:t>
      </w:r>
      <w:r w:rsidRPr="005142C4">
        <w:rPr>
          <w:rFonts w:ascii="Times New Roman" w:hAnsi="Times New Roman" w:cs="Times New Roman"/>
          <w:sz w:val="24"/>
        </w:rPr>
        <w:t>, tipa termoelektrana</w:t>
      </w:r>
      <w:r w:rsidR="00EE6A22" w:rsidRPr="005142C4">
        <w:rPr>
          <w:rFonts w:ascii="Times New Roman" w:hAnsi="Times New Roman" w:cs="Times New Roman"/>
          <w:sz w:val="24"/>
        </w:rPr>
        <w:t>-</w:t>
      </w:r>
      <w:r w:rsidRPr="005142C4">
        <w:rPr>
          <w:rFonts w:ascii="Times New Roman" w:hAnsi="Times New Roman" w:cs="Times New Roman"/>
          <w:sz w:val="24"/>
        </w:rPr>
        <w:t>toplana, u kojima se u spojenom procesu proizvodi električna i toplinska energija. Oba se nalaze u Zagrebu: termoelektrana</w:t>
      </w:r>
      <w:r w:rsidR="00EE6A22" w:rsidRPr="005142C4">
        <w:rPr>
          <w:rFonts w:ascii="Times New Roman" w:hAnsi="Times New Roman" w:cs="Times New Roman"/>
          <w:sz w:val="24"/>
        </w:rPr>
        <w:t>-</w:t>
      </w:r>
      <w:r w:rsidRPr="005142C4">
        <w:rPr>
          <w:rFonts w:ascii="Times New Roman" w:hAnsi="Times New Roman" w:cs="Times New Roman"/>
          <w:sz w:val="24"/>
        </w:rPr>
        <w:t>toplana (TE</w:t>
      </w:r>
      <w:r w:rsidR="00EE6A22" w:rsidRPr="005142C4">
        <w:rPr>
          <w:rFonts w:ascii="Times New Roman" w:hAnsi="Times New Roman" w:cs="Times New Roman"/>
          <w:sz w:val="24"/>
        </w:rPr>
        <w:t>-</w:t>
      </w:r>
      <w:r w:rsidRPr="005142C4">
        <w:rPr>
          <w:rFonts w:ascii="Times New Roman" w:hAnsi="Times New Roman" w:cs="Times New Roman"/>
          <w:sz w:val="24"/>
        </w:rPr>
        <w:t>TO) Zagreb na Žitnjaku i elektrana</w:t>
      </w:r>
      <w:r w:rsidR="00EE6A22" w:rsidRPr="005142C4">
        <w:rPr>
          <w:rFonts w:ascii="Times New Roman" w:hAnsi="Times New Roman" w:cs="Times New Roman"/>
          <w:sz w:val="24"/>
        </w:rPr>
        <w:t>-</w:t>
      </w:r>
      <w:r w:rsidRPr="005142C4">
        <w:rPr>
          <w:rFonts w:ascii="Times New Roman" w:hAnsi="Times New Roman" w:cs="Times New Roman"/>
          <w:sz w:val="24"/>
        </w:rPr>
        <w:t>toplana (EL</w:t>
      </w:r>
      <w:r w:rsidR="00EE6A22" w:rsidRPr="005142C4">
        <w:rPr>
          <w:rFonts w:ascii="Times New Roman" w:hAnsi="Times New Roman" w:cs="Times New Roman"/>
          <w:sz w:val="24"/>
        </w:rPr>
        <w:t>-</w:t>
      </w:r>
      <w:r w:rsidRPr="005142C4">
        <w:rPr>
          <w:rFonts w:ascii="Times New Roman" w:hAnsi="Times New Roman" w:cs="Times New Roman"/>
          <w:sz w:val="24"/>
        </w:rPr>
        <w:t>TO) na Trešnjevci. U TE</w:t>
      </w:r>
      <w:r w:rsidR="00EE6A22" w:rsidRPr="005142C4">
        <w:rPr>
          <w:rFonts w:ascii="Times New Roman" w:hAnsi="Times New Roman" w:cs="Times New Roman"/>
          <w:sz w:val="24"/>
        </w:rPr>
        <w:t>-</w:t>
      </w:r>
      <w:r w:rsidRPr="005142C4">
        <w:rPr>
          <w:rFonts w:ascii="Times New Roman" w:hAnsi="Times New Roman" w:cs="Times New Roman"/>
          <w:sz w:val="24"/>
        </w:rPr>
        <w:t>TO i EL</w:t>
      </w:r>
      <w:r w:rsidR="00EE6A22" w:rsidRPr="005142C4">
        <w:rPr>
          <w:rFonts w:ascii="Times New Roman" w:hAnsi="Times New Roman" w:cs="Times New Roman"/>
          <w:sz w:val="24"/>
        </w:rPr>
        <w:t>-</w:t>
      </w:r>
      <w:r w:rsidRPr="005142C4">
        <w:rPr>
          <w:rFonts w:ascii="Times New Roman" w:hAnsi="Times New Roman" w:cs="Times New Roman"/>
          <w:sz w:val="24"/>
        </w:rPr>
        <w:t xml:space="preserve">TO proizvodi </w:t>
      </w:r>
      <w:r w:rsidR="00595BCC">
        <w:rPr>
          <w:rFonts w:ascii="Times New Roman" w:hAnsi="Times New Roman" w:cs="Times New Roman"/>
          <w:sz w:val="24"/>
        </w:rPr>
        <w:t xml:space="preserve">se </w:t>
      </w:r>
      <w:r w:rsidRPr="005142C4">
        <w:rPr>
          <w:rFonts w:ascii="Times New Roman" w:hAnsi="Times New Roman" w:cs="Times New Roman"/>
          <w:sz w:val="24"/>
        </w:rPr>
        <w:t>i toplinska energija za grijanje prostora i sanitarne vode</w:t>
      </w:r>
      <w:r w:rsidR="00595BCC">
        <w:rPr>
          <w:rFonts w:ascii="Times New Roman" w:hAnsi="Times New Roman" w:cs="Times New Roman"/>
          <w:sz w:val="24"/>
        </w:rPr>
        <w:t xml:space="preserve"> te</w:t>
      </w:r>
      <w:r w:rsidRPr="005142C4">
        <w:rPr>
          <w:rFonts w:ascii="Times New Roman" w:hAnsi="Times New Roman" w:cs="Times New Roman"/>
          <w:sz w:val="24"/>
        </w:rPr>
        <w:t xml:space="preserve"> tehnološka para za industrijske potrošače i za hlađenje. Distributivna mreža Elektre Zagreb napaja se iz EL</w:t>
      </w:r>
      <w:r w:rsidR="00EE6A22" w:rsidRPr="005142C4">
        <w:rPr>
          <w:rFonts w:ascii="Times New Roman" w:hAnsi="Times New Roman" w:cs="Times New Roman"/>
          <w:sz w:val="24"/>
        </w:rPr>
        <w:t>-</w:t>
      </w:r>
      <w:r w:rsidRPr="005142C4">
        <w:rPr>
          <w:rFonts w:ascii="Times New Roman" w:hAnsi="Times New Roman" w:cs="Times New Roman"/>
          <w:sz w:val="24"/>
        </w:rPr>
        <w:t>TO i TE</w:t>
      </w:r>
      <w:r w:rsidR="00EE6A22" w:rsidRPr="005142C4">
        <w:rPr>
          <w:rFonts w:ascii="Times New Roman" w:hAnsi="Times New Roman" w:cs="Times New Roman"/>
          <w:sz w:val="24"/>
        </w:rPr>
        <w:t>-</w:t>
      </w:r>
      <w:r w:rsidRPr="005142C4">
        <w:rPr>
          <w:rFonts w:ascii="Times New Roman" w:hAnsi="Times New Roman" w:cs="Times New Roman"/>
          <w:sz w:val="24"/>
        </w:rPr>
        <w:t xml:space="preserve">TO odnosno TS Žerjavinec i TS Tumbri. Električna energija se iz proizvodnih postrojenja i prijenosne mreže razvodi do </w:t>
      </w:r>
      <w:r w:rsidRPr="005142C4">
        <w:rPr>
          <w:rFonts w:ascii="Times New Roman" w:hAnsi="Times New Roman" w:cs="Times New Roman"/>
          <w:b/>
          <w:sz w:val="24"/>
        </w:rPr>
        <w:t>trafostanica 110/x kV</w:t>
      </w:r>
      <w:r w:rsidRPr="005142C4">
        <w:rPr>
          <w:rFonts w:ascii="Times New Roman" w:hAnsi="Times New Roman" w:cs="Times New Roman"/>
          <w:sz w:val="24"/>
        </w:rPr>
        <w:t xml:space="preserve"> i, nakon smanjivanja napona, upućuje se dalje u distributivnu elektroopskrbnu mrežu.</w:t>
      </w:r>
    </w:p>
    <w:p w14:paraId="2FE3216A" w14:textId="77777777" w:rsidR="00D529D7" w:rsidRDefault="00D529D7" w:rsidP="00C96208">
      <w:pPr>
        <w:spacing w:after="0" w:line="240" w:lineRule="auto"/>
        <w:ind w:left="0" w:right="0" w:firstLine="0"/>
        <w:rPr>
          <w:rFonts w:ascii="Times New Roman" w:hAnsi="Times New Roman" w:cs="Times New Roman"/>
          <w:sz w:val="24"/>
          <w:u w:val="single" w:color="000000"/>
        </w:rPr>
      </w:pPr>
    </w:p>
    <w:p w14:paraId="3785AA83" w14:textId="77777777" w:rsidR="00E40AC8" w:rsidRPr="005142C4" w:rsidRDefault="00900184" w:rsidP="0047770A">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val="single" w:color="000000"/>
        </w:rPr>
        <w:t>Telekomunikacijski sustavi</w:t>
      </w:r>
    </w:p>
    <w:p w14:paraId="1DEB369D" w14:textId="77777777" w:rsidR="00E40AC8" w:rsidRPr="005142C4" w:rsidRDefault="00900184" w:rsidP="0047770A">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Telekomunikacijska infrastruktura Grada Zagreba obuhvaća žičnu i bežičnu mrežu. </w:t>
      </w:r>
      <w:r w:rsidRPr="005142C4">
        <w:rPr>
          <w:rFonts w:ascii="Times New Roman" w:hAnsi="Times New Roman" w:cs="Times New Roman"/>
          <w:b/>
          <w:sz w:val="24"/>
        </w:rPr>
        <w:t>Objektima kritične infrastrukture mo</w:t>
      </w:r>
      <w:r w:rsidR="001B151C">
        <w:rPr>
          <w:rFonts w:ascii="Times New Roman" w:hAnsi="Times New Roman" w:cs="Times New Roman"/>
          <w:b/>
          <w:sz w:val="24"/>
        </w:rPr>
        <w:t>že</w:t>
      </w:r>
      <w:r w:rsidR="00BF315E">
        <w:rPr>
          <w:rFonts w:ascii="Times New Roman" w:hAnsi="Times New Roman" w:cs="Times New Roman"/>
          <w:b/>
          <w:sz w:val="24"/>
        </w:rPr>
        <w:t xml:space="preserve"> se</w:t>
      </w:r>
      <w:r w:rsidRPr="005142C4">
        <w:rPr>
          <w:rFonts w:ascii="Times New Roman" w:hAnsi="Times New Roman" w:cs="Times New Roman"/>
          <w:b/>
          <w:sz w:val="24"/>
        </w:rPr>
        <w:t xml:space="preserve"> smatrati osobito</w:t>
      </w:r>
      <w:r w:rsidRPr="005142C4">
        <w:rPr>
          <w:rFonts w:ascii="Times New Roman" w:hAnsi="Times New Roman" w:cs="Times New Roman"/>
          <w:sz w:val="24"/>
        </w:rPr>
        <w:t>: sjedište Hrvatske radiotelevizije (</w:t>
      </w:r>
      <w:r w:rsidR="00595BCC" w:rsidRPr="005142C4">
        <w:rPr>
          <w:rFonts w:ascii="Times New Roman" w:hAnsi="Times New Roman" w:cs="Times New Roman"/>
          <w:sz w:val="24"/>
        </w:rPr>
        <w:t xml:space="preserve">Gradska </w:t>
      </w:r>
      <w:r w:rsidRPr="005142C4">
        <w:rPr>
          <w:rFonts w:ascii="Times New Roman" w:hAnsi="Times New Roman" w:cs="Times New Roman"/>
          <w:sz w:val="24"/>
        </w:rPr>
        <w:t>četvrt Trnje) i međunarodnu centralu I. kategorije (</w:t>
      </w:r>
      <w:r w:rsidR="00595BCC" w:rsidRPr="005142C4">
        <w:rPr>
          <w:rFonts w:ascii="Times New Roman" w:hAnsi="Times New Roman" w:cs="Times New Roman"/>
          <w:sz w:val="24"/>
        </w:rPr>
        <w:t xml:space="preserve">Gradska </w:t>
      </w:r>
      <w:r w:rsidRPr="005142C4">
        <w:rPr>
          <w:rFonts w:ascii="Times New Roman" w:hAnsi="Times New Roman" w:cs="Times New Roman"/>
          <w:sz w:val="24"/>
        </w:rPr>
        <w:t xml:space="preserve">četvrt Gornji </w:t>
      </w:r>
      <w:r w:rsidR="00595BCC" w:rsidRPr="005142C4">
        <w:rPr>
          <w:rFonts w:ascii="Times New Roman" w:hAnsi="Times New Roman" w:cs="Times New Roman"/>
          <w:sz w:val="24"/>
        </w:rPr>
        <w:t>grad</w:t>
      </w:r>
      <w:r w:rsidR="00595BCC">
        <w:rPr>
          <w:rFonts w:ascii="Times New Roman" w:hAnsi="Times New Roman" w:cs="Times New Roman"/>
          <w:sz w:val="24"/>
        </w:rPr>
        <w:t xml:space="preserve"> </w:t>
      </w:r>
      <w:r w:rsidR="00EE6A22" w:rsidRPr="005142C4">
        <w:rPr>
          <w:rFonts w:ascii="Times New Roman" w:hAnsi="Times New Roman" w:cs="Times New Roman"/>
          <w:sz w:val="24"/>
        </w:rPr>
        <w:t>-</w:t>
      </w:r>
      <w:r w:rsidR="00595BCC">
        <w:rPr>
          <w:rFonts w:ascii="Times New Roman" w:hAnsi="Times New Roman" w:cs="Times New Roman"/>
          <w:sz w:val="24"/>
        </w:rPr>
        <w:t xml:space="preserve"> </w:t>
      </w:r>
      <w:r w:rsidRPr="005142C4">
        <w:rPr>
          <w:rFonts w:ascii="Times New Roman" w:hAnsi="Times New Roman" w:cs="Times New Roman"/>
          <w:sz w:val="24"/>
        </w:rPr>
        <w:t>Medveščak) te radio</w:t>
      </w:r>
      <w:r w:rsidR="00EE6A22" w:rsidRPr="005142C4">
        <w:rPr>
          <w:rFonts w:ascii="Times New Roman" w:hAnsi="Times New Roman" w:cs="Times New Roman"/>
          <w:sz w:val="24"/>
        </w:rPr>
        <w:t>-</w:t>
      </w:r>
      <w:r w:rsidRPr="005142C4">
        <w:rPr>
          <w:rFonts w:ascii="Times New Roman" w:hAnsi="Times New Roman" w:cs="Times New Roman"/>
          <w:sz w:val="24"/>
        </w:rPr>
        <w:t>televizijski objekt Sljeme koji je od izrazite važnosti za odvijanje telekomunikacija na području Grada Zagreba.</w:t>
      </w:r>
    </w:p>
    <w:p w14:paraId="639AE266" w14:textId="77777777" w:rsidR="00D529D7" w:rsidRDefault="00900184" w:rsidP="00D05D45">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Na području Grada je ishodište područne telekomunikacijske infrastrukturne mreže, a njime prolaze i međunarodni magistralni vodovi. Veći dio kabelskog razvoda u Gradu Zagrebu položen je u zemlju, a manji se nalazi unutar distribucijske telekomunikacijske kanalizacije (DTK). Ukupna duljina DTK mreže Grada Zagreba iznosi približno 2.000 km.</w:t>
      </w:r>
    </w:p>
    <w:p w14:paraId="47EC5A31" w14:textId="77777777" w:rsidR="00D05D45" w:rsidRPr="00D05D45" w:rsidRDefault="00D05D45" w:rsidP="00D05D45">
      <w:pPr>
        <w:spacing w:after="0" w:line="240" w:lineRule="auto"/>
        <w:ind w:left="0" w:right="0" w:firstLine="709"/>
        <w:rPr>
          <w:rFonts w:ascii="Times New Roman" w:hAnsi="Times New Roman" w:cs="Times New Roman"/>
          <w:sz w:val="24"/>
        </w:rPr>
      </w:pPr>
    </w:p>
    <w:p w14:paraId="514CDC4C" w14:textId="77777777" w:rsidR="00E40AC8" w:rsidRPr="00D529D7" w:rsidRDefault="00900184" w:rsidP="00D05D45">
      <w:pPr>
        <w:spacing w:after="0" w:line="259" w:lineRule="auto"/>
        <w:ind w:left="0" w:right="0" w:firstLine="709"/>
        <w:jc w:val="left"/>
        <w:rPr>
          <w:rFonts w:ascii="Times New Roman" w:hAnsi="Times New Roman" w:cs="Times New Roman"/>
          <w:sz w:val="24"/>
          <w:u w:val="single" w:color="000000"/>
        </w:rPr>
      </w:pPr>
      <w:r w:rsidRPr="005142C4">
        <w:rPr>
          <w:rFonts w:ascii="Times New Roman" w:hAnsi="Times New Roman" w:cs="Times New Roman"/>
          <w:sz w:val="24"/>
          <w:u w:val="single" w:color="000000"/>
        </w:rPr>
        <w:t>Plinoopskrba</w:t>
      </w:r>
    </w:p>
    <w:p w14:paraId="0CAC28ED" w14:textId="77777777" w:rsidR="00E40AC8" w:rsidRPr="005142C4" w:rsidRDefault="00900184" w:rsidP="00D05D45">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Na području Grada Zagreba </w:t>
      </w:r>
      <w:r w:rsidR="001B151C">
        <w:rPr>
          <w:rFonts w:ascii="Times New Roman" w:hAnsi="Times New Roman" w:cs="Times New Roman"/>
          <w:sz w:val="24"/>
        </w:rPr>
        <w:t xml:space="preserve">nema </w:t>
      </w:r>
      <w:r w:rsidRPr="005142C4">
        <w:rPr>
          <w:rFonts w:ascii="Times New Roman" w:hAnsi="Times New Roman" w:cs="Times New Roman"/>
          <w:sz w:val="24"/>
        </w:rPr>
        <w:t>proizvodnj</w:t>
      </w:r>
      <w:r w:rsidR="001B151C">
        <w:rPr>
          <w:rFonts w:ascii="Times New Roman" w:hAnsi="Times New Roman" w:cs="Times New Roman"/>
          <w:sz w:val="24"/>
        </w:rPr>
        <w:t>e</w:t>
      </w:r>
      <w:r w:rsidRPr="005142C4">
        <w:rPr>
          <w:rFonts w:ascii="Times New Roman" w:hAnsi="Times New Roman" w:cs="Times New Roman"/>
          <w:sz w:val="24"/>
        </w:rPr>
        <w:t>, odnosno primarn</w:t>
      </w:r>
      <w:r w:rsidR="001B151C">
        <w:rPr>
          <w:rFonts w:ascii="Times New Roman" w:hAnsi="Times New Roman" w:cs="Times New Roman"/>
          <w:sz w:val="24"/>
        </w:rPr>
        <w:t>e</w:t>
      </w:r>
      <w:r w:rsidRPr="005142C4">
        <w:rPr>
          <w:rFonts w:ascii="Times New Roman" w:hAnsi="Times New Roman" w:cs="Times New Roman"/>
          <w:sz w:val="24"/>
        </w:rPr>
        <w:t xml:space="preserve"> eksploatacij</w:t>
      </w:r>
      <w:r w:rsidR="001B151C">
        <w:rPr>
          <w:rFonts w:ascii="Times New Roman" w:hAnsi="Times New Roman" w:cs="Times New Roman"/>
          <w:sz w:val="24"/>
        </w:rPr>
        <w:t>e</w:t>
      </w:r>
      <w:r w:rsidRPr="005142C4">
        <w:rPr>
          <w:rFonts w:ascii="Times New Roman" w:hAnsi="Times New Roman" w:cs="Times New Roman"/>
          <w:sz w:val="24"/>
        </w:rPr>
        <w:t xml:space="preserve"> plina, već </w:t>
      </w:r>
      <w:r w:rsidR="004B4C62">
        <w:rPr>
          <w:rFonts w:ascii="Times New Roman" w:hAnsi="Times New Roman" w:cs="Times New Roman"/>
          <w:sz w:val="24"/>
        </w:rPr>
        <w:t xml:space="preserve">je </w:t>
      </w:r>
      <w:r w:rsidRPr="005142C4">
        <w:rPr>
          <w:rFonts w:ascii="Times New Roman" w:hAnsi="Times New Roman" w:cs="Times New Roman"/>
          <w:sz w:val="24"/>
        </w:rPr>
        <w:t xml:space="preserve">isključivo distribucija i potrošnja. </w:t>
      </w:r>
      <w:r w:rsidRPr="005142C4">
        <w:rPr>
          <w:rFonts w:ascii="Times New Roman" w:hAnsi="Times New Roman" w:cs="Times New Roman"/>
          <w:b/>
          <w:sz w:val="24"/>
        </w:rPr>
        <w:t>Objektima kritične infrastrukture mo</w:t>
      </w:r>
      <w:r w:rsidR="001B151C">
        <w:rPr>
          <w:rFonts w:ascii="Times New Roman" w:hAnsi="Times New Roman" w:cs="Times New Roman"/>
          <w:b/>
          <w:sz w:val="24"/>
        </w:rPr>
        <w:t>že</w:t>
      </w:r>
      <w:r w:rsidR="00595BCC">
        <w:rPr>
          <w:rFonts w:ascii="Times New Roman" w:hAnsi="Times New Roman" w:cs="Times New Roman"/>
          <w:b/>
          <w:sz w:val="24"/>
        </w:rPr>
        <w:t xml:space="preserve"> se</w:t>
      </w:r>
      <w:r w:rsidRPr="005142C4">
        <w:rPr>
          <w:rFonts w:ascii="Times New Roman" w:hAnsi="Times New Roman" w:cs="Times New Roman"/>
          <w:b/>
          <w:sz w:val="24"/>
        </w:rPr>
        <w:t xml:space="preserve"> smatrati osobito</w:t>
      </w:r>
      <w:r w:rsidRPr="005142C4">
        <w:rPr>
          <w:rFonts w:ascii="Times New Roman" w:hAnsi="Times New Roman" w:cs="Times New Roman"/>
          <w:sz w:val="24"/>
        </w:rPr>
        <w:t>: magistralni plinovod, mjerno</w:t>
      </w:r>
      <w:r w:rsidR="00EE6A22" w:rsidRPr="005142C4">
        <w:rPr>
          <w:rFonts w:ascii="Times New Roman" w:hAnsi="Times New Roman" w:cs="Times New Roman"/>
          <w:sz w:val="24"/>
        </w:rPr>
        <w:t>-</w:t>
      </w:r>
      <w:r w:rsidRPr="005142C4">
        <w:rPr>
          <w:rFonts w:ascii="Times New Roman" w:hAnsi="Times New Roman" w:cs="Times New Roman"/>
          <w:sz w:val="24"/>
        </w:rPr>
        <w:t xml:space="preserve">redukcijske stanice i produktovod. Cjevovodna mreža Gradske plinare Zagreb opskrbljuje se iz </w:t>
      </w:r>
      <w:r w:rsidRPr="005142C4">
        <w:rPr>
          <w:rFonts w:ascii="Times New Roman" w:hAnsi="Times New Roman" w:cs="Times New Roman"/>
          <w:b/>
          <w:sz w:val="24"/>
        </w:rPr>
        <w:t>magistralnog plinovoda</w:t>
      </w:r>
      <w:r w:rsidRPr="005142C4">
        <w:rPr>
          <w:rFonts w:ascii="Times New Roman" w:hAnsi="Times New Roman" w:cs="Times New Roman"/>
          <w:sz w:val="24"/>
        </w:rPr>
        <w:t xml:space="preserve"> koji prolazi područjem Grada Zagreba </w:t>
      </w:r>
      <w:r w:rsidR="00595BCC">
        <w:rPr>
          <w:rFonts w:ascii="Times New Roman" w:hAnsi="Times New Roman" w:cs="Times New Roman"/>
          <w:sz w:val="24"/>
        </w:rPr>
        <w:t xml:space="preserve">smjerom </w:t>
      </w:r>
      <w:r w:rsidRPr="005142C4">
        <w:rPr>
          <w:rFonts w:ascii="Times New Roman" w:hAnsi="Times New Roman" w:cs="Times New Roman"/>
          <w:sz w:val="24"/>
        </w:rPr>
        <w:t xml:space="preserve">Ivanić Grad </w:t>
      </w:r>
      <w:r w:rsidR="00EE6A22" w:rsidRPr="005142C4">
        <w:rPr>
          <w:rFonts w:ascii="Times New Roman" w:hAnsi="Times New Roman" w:cs="Times New Roman"/>
          <w:sz w:val="24"/>
        </w:rPr>
        <w:t>-</w:t>
      </w:r>
      <w:r w:rsidRPr="005142C4">
        <w:rPr>
          <w:rFonts w:ascii="Times New Roman" w:hAnsi="Times New Roman" w:cs="Times New Roman"/>
          <w:sz w:val="24"/>
        </w:rPr>
        <w:t xml:space="preserve"> Zagreb </w:t>
      </w:r>
      <w:r w:rsidR="00EE6A22" w:rsidRPr="005142C4">
        <w:rPr>
          <w:rFonts w:ascii="Times New Roman" w:hAnsi="Times New Roman" w:cs="Times New Roman"/>
          <w:sz w:val="24"/>
        </w:rPr>
        <w:t>-</w:t>
      </w:r>
      <w:r w:rsidRPr="005142C4">
        <w:rPr>
          <w:rFonts w:ascii="Times New Roman" w:hAnsi="Times New Roman" w:cs="Times New Roman"/>
          <w:sz w:val="24"/>
        </w:rPr>
        <w:t xml:space="preserve"> Karlovac. Trasa magistralnog plinovoda za međunarodni transport plina na području Grada Zagreba prati trasu autocesta: na teritorij</w:t>
      </w:r>
      <w:r w:rsidR="00201092">
        <w:rPr>
          <w:rFonts w:ascii="Times New Roman" w:hAnsi="Times New Roman" w:cs="Times New Roman"/>
          <w:sz w:val="24"/>
        </w:rPr>
        <w:t xml:space="preserve"> </w:t>
      </w:r>
      <w:r w:rsidRPr="005142C4">
        <w:rPr>
          <w:rFonts w:ascii="Times New Roman" w:hAnsi="Times New Roman" w:cs="Times New Roman"/>
          <w:sz w:val="24"/>
        </w:rPr>
        <w:t xml:space="preserve">Grada ulazi usporedo s autocestom A3 i nakon prolaska kroz </w:t>
      </w:r>
      <w:r w:rsidRPr="005142C4">
        <w:rPr>
          <w:rFonts w:ascii="Times New Roman" w:hAnsi="Times New Roman" w:cs="Times New Roman"/>
          <w:b/>
          <w:sz w:val="24"/>
        </w:rPr>
        <w:t>mjerno</w:t>
      </w:r>
      <w:r w:rsidR="00EE6A22" w:rsidRPr="005142C4">
        <w:rPr>
          <w:rFonts w:ascii="Times New Roman" w:hAnsi="Times New Roman" w:cs="Times New Roman"/>
          <w:b/>
          <w:sz w:val="24"/>
        </w:rPr>
        <w:t>-</w:t>
      </w:r>
      <w:r w:rsidRPr="005142C4">
        <w:rPr>
          <w:rFonts w:ascii="Times New Roman" w:hAnsi="Times New Roman" w:cs="Times New Roman"/>
          <w:b/>
          <w:sz w:val="24"/>
        </w:rPr>
        <w:t>redukcijsku stanicu</w:t>
      </w:r>
      <w:r w:rsidR="00201092">
        <w:rPr>
          <w:rFonts w:ascii="Times New Roman" w:hAnsi="Times New Roman" w:cs="Times New Roman"/>
          <w:b/>
          <w:sz w:val="24"/>
        </w:rPr>
        <w:t xml:space="preserve"> </w:t>
      </w:r>
      <w:r w:rsidRPr="005142C4">
        <w:rPr>
          <w:rFonts w:ascii="Times New Roman" w:hAnsi="Times New Roman" w:cs="Times New Roman"/>
          <w:sz w:val="24"/>
        </w:rPr>
        <w:t xml:space="preserve">(MRS) Ivanja Reka nastavlja je pratiti </w:t>
      </w:r>
      <w:r w:rsidR="00595BCC">
        <w:rPr>
          <w:rFonts w:ascii="Times New Roman" w:hAnsi="Times New Roman" w:cs="Times New Roman"/>
          <w:sz w:val="24"/>
        </w:rPr>
        <w:t xml:space="preserve">smjerom </w:t>
      </w:r>
      <w:r w:rsidR="00EE6A22" w:rsidRPr="005142C4">
        <w:rPr>
          <w:rFonts w:ascii="Times New Roman" w:hAnsi="Times New Roman" w:cs="Times New Roman"/>
          <w:sz w:val="24"/>
        </w:rPr>
        <w:t>"</w:t>
      </w:r>
      <w:r w:rsidRPr="005142C4">
        <w:rPr>
          <w:rFonts w:ascii="Times New Roman" w:hAnsi="Times New Roman" w:cs="Times New Roman"/>
          <w:sz w:val="24"/>
        </w:rPr>
        <w:t>zagrebačke obilaznice</w:t>
      </w:r>
      <w:r w:rsidR="00EE6A22" w:rsidRPr="005142C4">
        <w:rPr>
          <w:rFonts w:ascii="Times New Roman" w:hAnsi="Times New Roman" w:cs="Times New Roman"/>
          <w:sz w:val="24"/>
        </w:rPr>
        <w:t>"</w:t>
      </w:r>
      <w:r w:rsidRPr="005142C4">
        <w:rPr>
          <w:rFonts w:ascii="Times New Roman" w:hAnsi="Times New Roman" w:cs="Times New Roman"/>
          <w:sz w:val="24"/>
        </w:rPr>
        <w:t xml:space="preserve"> do Lučkog</w:t>
      </w:r>
      <w:r w:rsidR="00595BCC">
        <w:rPr>
          <w:rFonts w:ascii="Times New Roman" w:hAnsi="Times New Roman" w:cs="Times New Roman"/>
          <w:sz w:val="24"/>
        </w:rPr>
        <w:t>a</w:t>
      </w:r>
      <w:r w:rsidRPr="005142C4">
        <w:rPr>
          <w:rFonts w:ascii="Times New Roman" w:hAnsi="Times New Roman" w:cs="Times New Roman"/>
          <w:sz w:val="24"/>
        </w:rPr>
        <w:t xml:space="preserve">, </w:t>
      </w:r>
      <w:r w:rsidR="00595BCC">
        <w:rPr>
          <w:rFonts w:ascii="Times New Roman" w:hAnsi="Times New Roman" w:cs="Times New Roman"/>
          <w:sz w:val="24"/>
        </w:rPr>
        <w:t xml:space="preserve">odakle </w:t>
      </w:r>
      <w:r w:rsidRPr="005142C4">
        <w:rPr>
          <w:rFonts w:ascii="Times New Roman" w:hAnsi="Times New Roman" w:cs="Times New Roman"/>
          <w:sz w:val="24"/>
        </w:rPr>
        <w:t xml:space="preserve">usporedo </w:t>
      </w:r>
      <w:r w:rsidRPr="005142C4">
        <w:rPr>
          <w:rFonts w:ascii="Times New Roman" w:hAnsi="Times New Roman" w:cs="Times New Roman"/>
          <w:sz w:val="24"/>
        </w:rPr>
        <w:lastRenderedPageBreak/>
        <w:t>s A1/A6 nastavlja prema Karlovcu. Pritom se u MRS Zagreb</w:t>
      </w:r>
      <w:r w:rsidR="00595BCC">
        <w:rPr>
          <w:rFonts w:ascii="Times New Roman" w:hAnsi="Times New Roman" w:cs="Times New Roman"/>
          <w:sz w:val="24"/>
        </w:rPr>
        <w:t xml:space="preserve"> </w:t>
      </w:r>
      <w:r w:rsidR="00EE6A22" w:rsidRPr="005142C4">
        <w:rPr>
          <w:rFonts w:ascii="Times New Roman" w:hAnsi="Times New Roman" w:cs="Times New Roman"/>
          <w:sz w:val="24"/>
        </w:rPr>
        <w:t>-</w:t>
      </w:r>
      <w:r w:rsidR="00595BCC">
        <w:rPr>
          <w:rFonts w:ascii="Times New Roman" w:hAnsi="Times New Roman" w:cs="Times New Roman"/>
          <w:sz w:val="24"/>
        </w:rPr>
        <w:t xml:space="preserve"> </w:t>
      </w:r>
      <w:r w:rsidRPr="005142C4">
        <w:rPr>
          <w:rFonts w:ascii="Times New Roman" w:hAnsi="Times New Roman" w:cs="Times New Roman"/>
          <w:sz w:val="24"/>
        </w:rPr>
        <w:t>jug od međunarodnog plinovoda odvaja magistralni vod za Veliku Goricu, a u Lučkom</w:t>
      </w:r>
      <w:r w:rsidR="00595BCC">
        <w:rPr>
          <w:rFonts w:ascii="Times New Roman" w:hAnsi="Times New Roman" w:cs="Times New Roman"/>
          <w:sz w:val="24"/>
        </w:rPr>
        <w:t>e</w:t>
      </w:r>
      <w:r w:rsidRPr="005142C4">
        <w:rPr>
          <w:rFonts w:ascii="Times New Roman" w:hAnsi="Times New Roman" w:cs="Times New Roman"/>
          <w:sz w:val="24"/>
        </w:rPr>
        <w:t xml:space="preserve"> magistralni vod Lučko </w:t>
      </w:r>
      <w:r w:rsidR="00EE6A22" w:rsidRPr="005142C4">
        <w:rPr>
          <w:rFonts w:ascii="Times New Roman" w:hAnsi="Times New Roman" w:cs="Times New Roman"/>
          <w:sz w:val="24"/>
        </w:rPr>
        <w:t>-</w:t>
      </w:r>
      <w:r w:rsidRPr="005142C4">
        <w:rPr>
          <w:rFonts w:ascii="Times New Roman" w:hAnsi="Times New Roman" w:cs="Times New Roman"/>
          <w:sz w:val="24"/>
        </w:rPr>
        <w:t xml:space="preserve"> Zabok koji prolazi zapadnim dijelom Grada Zagreba. U MRS Ivanja Reka odvaja se magistralni plinovod koji prolazi kroz MRS Sesvete i MRS Zagreb </w:t>
      </w:r>
      <w:r w:rsidR="00EE6A22" w:rsidRPr="005142C4">
        <w:rPr>
          <w:rFonts w:ascii="Times New Roman" w:hAnsi="Times New Roman" w:cs="Times New Roman"/>
          <w:sz w:val="24"/>
        </w:rPr>
        <w:t>-</w:t>
      </w:r>
      <w:r w:rsidRPr="005142C4">
        <w:rPr>
          <w:rFonts w:ascii="Times New Roman" w:hAnsi="Times New Roman" w:cs="Times New Roman"/>
          <w:sz w:val="24"/>
        </w:rPr>
        <w:t xml:space="preserve"> istok i završava na</w:t>
      </w:r>
      <w:r w:rsidR="00201092">
        <w:rPr>
          <w:rFonts w:ascii="Times New Roman" w:hAnsi="Times New Roman" w:cs="Times New Roman"/>
          <w:sz w:val="24"/>
        </w:rPr>
        <w:t xml:space="preserve"> </w:t>
      </w:r>
      <w:r w:rsidRPr="005142C4">
        <w:rPr>
          <w:rFonts w:ascii="Times New Roman" w:hAnsi="Times New Roman" w:cs="Times New Roman"/>
          <w:sz w:val="24"/>
        </w:rPr>
        <w:t xml:space="preserve">Radničkoj cesti u Zagrebu, u središnjem pogonu tvrtke Plinacro d.o.o., koja i upravlja plinskom prijenosnom mrežom u Republici Hrvatskoj. Distributivna mreža Gradske plinare Zagreb iz magistralnog se plinovoda opskrbljuje </w:t>
      </w:r>
      <w:r w:rsidR="00F92182">
        <w:rPr>
          <w:rFonts w:ascii="Times New Roman" w:hAnsi="Times New Roman" w:cs="Times New Roman"/>
          <w:sz w:val="24"/>
        </w:rPr>
        <w:t xml:space="preserve">putem </w:t>
      </w:r>
      <w:r w:rsidRPr="005142C4">
        <w:rPr>
          <w:rFonts w:ascii="Times New Roman" w:hAnsi="Times New Roman" w:cs="Times New Roman"/>
          <w:sz w:val="24"/>
        </w:rPr>
        <w:t>mjerno</w:t>
      </w:r>
      <w:r w:rsidR="00EE6A22" w:rsidRPr="005142C4">
        <w:rPr>
          <w:rFonts w:ascii="Times New Roman" w:hAnsi="Times New Roman" w:cs="Times New Roman"/>
          <w:sz w:val="24"/>
        </w:rPr>
        <w:t>-</w:t>
      </w:r>
      <w:r w:rsidRPr="005142C4">
        <w:rPr>
          <w:rFonts w:ascii="Times New Roman" w:hAnsi="Times New Roman" w:cs="Times New Roman"/>
          <w:sz w:val="24"/>
        </w:rPr>
        <w:t>redukcijsk</w:t>
      </w:r>
      <w:r w:rsidR="009A2E04">
        <w:rPr>
          <w:rFonts w:ascii="Times New Roman" w:hAnsi="Times New Roman" w:cs="Times New Roman"/>
          <w:sz w:val="24"/>
        </w:rPr>
        <w:t>ih</w:t>
      </w:r>
      <w:r w:rsidRPr="005142C4">
        <w:rPr>
          <w:rFonts w:ascii="Times New Roman" w:hAnsi="Times New Roman" w:cs="Times New Roman"/>
          <w:sz w:val="24"/>
        </w:rPr>
        <w:t xml:space="preserve"> stanic</w:t>
      </w:r>
      <w:r w:rsidR="001B151C">
        <w:rPr>
          <w:rFonts w:ascii="Times New Roman" w:hAnsi="Times New Roman" w:cs="Times New Roman"/>
          <w:sz w:val="24"/>
        </w:rPr>
        <w:t>a</w:t>
      </w:r>
      <w:r w:rsidRPr="005142C4">
        <w:rPr>
          <w:rFonts w:ascii="Times New Roman" w:hAnsi="Times New Roman" w:cs="Times New Roman"/>
          <w:sz w:val="24"/>
        </w:rPr>
        <w:t xml:space="preserve"> Zagreb </w:t>
      </w:r>
      <w:r w:rsidR="00EE6A22" w:rsidRPr="005142C4">
        <w:rPr>
          <w:rFonts w:ascii="Times New Roman" w:hAnsi="Times New Roman" w:cs="Times New Roman"/>
          <w:sz w:val="24"/>
        </w:rPr>
        <w:t>-</w:t>
      </w:r>
      <w:r w:rsidRPr="005142C4">
        <w:rPr>
          <w:rFonts w:ascii="Times New Roman" w:hAnsi="Times New Roman" w:cs="Times New Roman"/>
          <w:sz w:val="24"/>
        </w:rPr>
        <w:t xml:space="preserve"> istok, Zagreb </w:t>
      </w:r>
      <w:r w:rsidR="00EE6A22" w:rsidRPr="005142C4">
        <w:rPr>
          <w:rFonts w:ascii="Times New Roman" w:hAnsi="Times New Roman" w:cs="Times New Roman"/>
          <w:sz w:val="24"/>
        </w:rPr>
        <w:t>-</w:t>
      </w:r>
      <w:r w:rsidRPr="005142C4">
        <w:rPr>
          <w:rFonts w:ascii="Times New Roman" w:hAnsi="Times New Roman" w:cs="Times New Roman"/>
          <w:sz w:val="24"/>
        </w:rPr>
        <w:t xml:space="preserve"> jug i Zagreb </w:t>
      </w:r>
      <w:r w:rsidR="00EE6A22" w:rsidRPr="005142C4">
        <w:rPr>
          <w:rFonts w:ascii="Times New Roman" w:hAnsi="Times New Roman" w:cs="Times New Roman"/>
          <w:sz w:val="24"/>
        </w:rPr>
        <w:t>-</w:t>
      </w:r>
      <w:r w:rsidRPr="005142C4">
        <w:rPr>
          <w:rFonts w:ascii="Times New Roman" w:hAnsi="Times New Roman" w:cs="Times New Roman"/>
          <w:sz w:val="24"/>
        </w:rPr>
        <w:t xml:space="preserve"> zapad.</w:t>
      </w:r>
    </w:p>
    <w:p w14:paraId="43AAD35B" w14:textId="77777777" w:rsidR="00201092" w:rsidRDefault="00900184" w:rsidP="0020109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Zasebn</w:t>
      </w:r>
      <w:r w:rsidR="00595BCC">
        <w:rPr>
          <w:rFonts w:ascii="Times New Roman" w:hAnsi="Times New Roman" w:cs="Times New Roman"/>
          <w:sz w:val="24"/>
        </w:rPr>
        <w:t>a</w:t>
      </w:r>
      <w:r w:rsidRPr="005142C4">
        <w:rPr>
          <w:rFonts w:ascii="Times New Roman" w:hAnsi="Times New Roman" w:cs="Times New Roman"/>
          <w:sz w:val="24"/>
        </w:rPr>
        <w:t xml:space="preserve"> kategorij</w:t>
      </w:r>
      <w:r w:rsidR="00595BCC">
        <w:rPr>
          <w:rFonts w:ascii="Times New Roman" w:hAnsi="Times New Roman" w:cs="Times New Roman"/>
          <w:sz w:val="24"/>
        </w:rPr>
        <w:t>a</w:t>
      </w:r>
      <w:r w:rsidRPr="005142C4">
        <w:rPr>
          <w:rFonts w:ascii="Times New Roman" w:hAnsi="Times New Roman" w:cs="Times New Roman"/>
          <w:sz w:val="24"/>
        </w:rPr>
        <w:t xml:space="preserve"> prijenosnog sustava </w:t>
      </w:r>
      <w:r w:rsidR="00595BCC">
        <w:rPr>
          <w:rFonts w:ascii="Times New Roman" w:hAnsi="Times New Roman" w:cs="Times New Roman"/>
          <w:sz w:val="24"/>
        </w:rPr>
        <w:t xml:space="preserve">je </w:t>
      </w:r>
      <w:r w:rsidRPr="005142C4">
        <w:rPr>
          <w:rFonts w:ascii="Times New Roman" w:hAnsi="Times New Roman" w:cs="Times New Roman"/>
          <w:b/>
          <w:sz w:val="24"/>
        </w:rPr>
        <w:t>produktovod</w:t>
      </w:r>
      <w:r w:rsidRPr="005142C4">
        <w:rPr>
          <w:rFonts w:ascii="Times New Roman" w:hAnsi="Times New Roman" w:cs="Times New Roman"/>
          <w:sz w:val="24"/>
        </w:rPr>
        <w:t xml:space="preserve"> kojim se ukapljeni zemni plin transportira od pogona tvrtke Etan u Ivanić Gradu do bivše tvornice OKI i dalje do skladišta tvrtke INA</w:t>
      </w:r>
      <w:r w:rsidR="00595BCC">
        <w:rPr>
          <w:rFonts w:ascii="Times New Roman" w:hAnsi="Times New Roman" w:cs="Times New Roman"/>
          <w:sz w:val="24"/>
        </w:rPr>
        <w:t>-e</w:t>
      </w:r>
      <w:r w:rsidRPr="005142C4">
        <w:rPr>
          <w:rFonts w:ascii="Times New Roman" w:hAnsi="Times New Roman" w:cs="Times New Roman"/>
          <w:sz w:val="24"/>
        </w:rPr>
        <w:t xml:space="preserve"> na Radničkoj cesti. Trasa produktovoda na području Grada Zagreba prati trasu magistralnog plinovoda.</w:t>
      </w:r>
    </w:p>
    <w:p w14:paraId="0B7B19F0" w14:textId="77777777" w:rsidR="00201092" w:rsidRPr="005142C4" w:rsidRDefault="00201092" w:rsidP="005142C4">
      <w:pPr>
        <w:spacing w:after="0" w:line="240" w:lineRule="auto"/>
        <w:ind w:left="0" w:right="0" w:firstLine="0"/>
        <w:rPr>
          <w:rFonts w:ascii="Times New Roman" w:hAnsi="Times New Roman" w:cs="Times New Roman"/>
          <w:sz w:val="24"/>
        </w:rPr>
      </w:pPr>
    </w:p>
    <w:p w14:paraId="0C9EB16E" w14:textId="77777777" w:rsidR="00E40AC8" w:rsidRPr="0047770A" w:rsidRDefault="00900184" w:rsidP="0047770A">
      <w:pPr>
        <w:spacing w:after="0" w:line="240" w:lineRule="auto"/>
        <w:ind w:left="0" w:right="0" w:firstLine="709"/>
        <w:rPr>
          <w:rFonts w:ascii="Times New Roman" w:hAnsi="Times New Roman" w:cs="Times New Roman"/>
          <w:sz w:val="24"/>
          <w:u w:val="single" w:color="000000"/>
        </w:rPr>
      </w:pPr>
      <w:r w:rsidRPr="0047770A">
        <w:rPr>
          <w:rFonts w:ascii="Times New Roman" w:hAnsi="Times New Roman" w:cs="Times New Roman"/>
          <w:sz w:val="24"/>
          <w:u w:val="single" w:color="000000"/>
        </w:rPr>
        <w:t>Prometna infrastruktura</w:t>
      </w:r>
    </w:p>
    <w:p w14:paraId="3F098700" w14:textId="77777777" w:rsidR="00E40AC8" w:rsidRPr="005142C4" w:rsidRDefault="00900184" w:rsidP="00201092">
      <w:pPr>
        <w:spacing w:after="0" w:line="240" w:lineRule="auto"/>
        <w:ind w:left="0" w:right="0" w:firstLine="709"/>
        <w:rPr>
          <w:rFonts w:ascii="Times New Roman" w:hAnsi="Times New Roman" w:cs="Times New Roman"/>
          <w:sz w:val="24"/>
        </w:rPr>
      </w:pPr>
      <w:r w:rsidRPr="005142C4">
        <w:rPr>
          <w:rFonts w:ascii="Times New Roman" w:hAnsi="Times New Roman" w:cs="Times New Roman"/>
          <w:b/>
          <w:sz w:val="24"/>
        </w:rPr>
        <w:t>Objektima kritične infrastrukture može</w:t>
      </w:r>
      <w:r w:rsidR="00595BCC">
        <w:rPr>
          <w:rFonts w:ascii="Times New Roman" w:hAnsi="Times New Roman" w:cs="Times New Roman"/>
          <w:b/>
          <w:sz w:val="24"/>
        </w:rPr>
        <w:t xml:space="preserve"> se</w:t>
      </w:r>
      <w:r w:rsidRPr="005142C4">
        <w:rPr>
          <w:rFonts w:ascii="Times New Roman" w:hAnsi="Times New Roman" w:cs="Times New Roman"/>
          <w:b/>
          <w:sz w:val="24"/>
        </w:rPr>
        <w:t xml:space="preserve"> smatrati osobito</w:t>
      </w:r>
      <w:r w:rsidRPr="005142C4">
        <w:rPr>
          <w:rFonts w:ascii="Times New Roman" w:hAnsi="Times New Roman" w:cs="Times New Roman"/>
          <w:sz w:val="24"/>
        </w:rPr>
        <w:t>: autoceste i državne ceste koje prolaze gradskim područjem, međunarodne željezničke koridore, mostove i vijad</w:t>
      </w:r>
      <w:r w:rsidR="001B151C">
        <w:rPr>
          <w:rFonts w:ascii="Times New Roman" w:hAnsi="Times New Roman" w:cs="Times New Roman"/>
          <w:sz w:val="24"/>
        </w:rPr>
        <w:t xml:space="preserve">ukte na području Grada Zagreba </w:t>
      </w:r>
      <w:r w:rsidRPr="005142C4">
        <w:rPr>
          <w:rFonts w:ascii="Times New Roman" w:hAnsi="Times New Roman" w:cs="Times New Roman"/>
          <w:sz w:val="24"/>
        </w:rPr>
        <w:t xml:space="preserve">i Zračnu luku </w:t>
      </w:r>
      <w:r w:rsidR="00EE6A22" w:rsidRPr="005142C4">
        <w:rPr>
          <w:rFonts w:ascii="Times New Roman" w:hAnsi="Times New Roman" w:cs="Times New Roman"/>
          <w:sz w:val="24"/>
        </w:rPr>
        <w:t>"</w:t>
      </w:r>
      <w:r w:rsidRPr="00740B83">
        <w:rPr>
          <w:rFonts w:ascii="Times New Roman" w:hAnsi="Times New Roman" w:cs="Times New Roman"/>
          <w:sz w:val="24"/>
        </w:rPr>
        <w:t>Dr. Franjo Tuđman</w:t>
      </w:r>
      <w:r w:rsidR="00EE6A22" w:rsidRPr="005142C4">
        <w:rPr>
          <w:rFonts w:ascii="Times New Roman" w:hAnsi="Times New Roman" w:cs="Times New Roman"/>
          <w:sz w:val="24"/>
        </w:rPr>
        <w:t>"</w:t>
      </w:r>
      <w:r w:rsidRPr="005142C4">
        <w:rPr>
          <w:rFonts w:ascii="Times New Roman" w:hAnsi="Times New Roman" w:cs="Times New Roman"/>
          <w:sz w:val="24"/>
        </w:rPr>
        <w:t xml:space="preserve"> te zrakoplovno pristanište Lučko. Osobito kritičan element prometne infrastrukture su </w:t>
      </w:r>
      <w:r w:rsidR="001B151C">
        <w:rPr>
          <w:rFonts w:ascii="Times New Roman" w:hAnsi="Times New Roman" w:cs="Times New Roman"/>
          <w:sz w:val="24"/>
        </w:rPr>
        <w:t>z</w:t>
      </w:r>
      <w:r w:rsidRPr="005142C4">
        <w:rPr>
          <w:rFonts w:ascii="Times New Roman" w:hAnsi="Times New Roman" w:cs="Times New Roman"/>
          <w:sz w:val="24"/>
        </w:rPr>
        <w:t>agrebački mostovi na rijeci Savi.</w:t>
      </w:r>
    </w:p>
    <w:p w14:paraId="6B8CF41F" w14:textId="77777777" w:rsidR="00E40AC8" w:rsidRDefault="00900184" w:rsidP="0020109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Detaljnije obrađeno u poglavlju </w:t>
      </w:r>
      <w:r w:rsidRPr="005142C4">
        <w:rPr>
          <w:rFonts w:ascii="Times New Roman" w:hAnsi="Times New Roman" w:cs="Times New Roman"/>
          <w:i/>
          <w:sz w:val="24"/>
        </w:rPr>
        <w:t>2.1.7 Prometna povezanost</w:t>
      </w:r>
      <w:r w:rsidRPr="005142C4">
        <w:rPr>
          <w:rFonts w:ascii="Times New Roman" w:hAnsi="Times New Roman" w:cs="Times New Roman"/>
          <w:sz w:val="24"/>
        </w:rPr>
        <w:t>.</w:t>
      </w:r>
    </w:p>
    <w:p w14:paraId="197E4366" w14:textId="77777777" w:rsidR="00201092" w:rsidRPr="005142C4" w:rsidRDefault="00201092" w:rsidP="00201092">
      <w:pPr>
        <w:spacing w:after="0" w:line="240" w:lineRule="auto"/>
        <w:ind w:right="0"/>
        <w:rPr>
          <w:rFonts w:ascii="Times New Roman" w:hAnsi="Times New Roman" w:cs="Times New Roman"/>
          <w:sz w:val="24"/>
        </w:rPr>
      </w:pPr>
    </w:p>
    <w:p w14:paraId="1BEC5688" w14:textId="77777777" w:rsidR="00E40AC8" w:rsidRPr="0047770A" w:rsidRDefault="00900184" w:rsidP="0047770A">
      <w:pPr>
        <w:spacing w:after="0" w:line="240" w:lineRule="auto"/>
        <w:ind w:left="0" w:right="0" w:firstLine="709"/>
        <w:rPr>
          <w:rFonts w:ascii="Times New Roman" w:hAnsi="Times New Roman" w:cs="Times New Roman"/>
          <w:sz w:val="24"/>
          <w:u w:val="single" w:color="000000"/>
        </w:rPr>
      </w:pPr>
      <w:bookmarkStart w:id="33" w:name="_Toc2938552"/>
      <w:r w:rsidRPr="0047770A">
        <w:rPr>
          <w:rFonts w:ascii="Times New Roman" w:hAnsi="Times New Roman" w:cs="Times New Roman"/>
          <w:sz w:val="24"/>
          <w:u w:val="single" w:color="000000"/>
        </w:rPr>
        <w:t>Zdravstvo</w:t>
      </w:r>
      <w:bookmarkEnd w:id="33"/>
    </w:p>
    <w:p w14:paraId="54C054E7" w14:textId="77777777" w:rsidR="00E40AC8" w:rsidRPr="005142C4" w:rsidRDefault="00900184" w:rsidP="00201092">
      <w:pPr>
        <w:spacing w:after="0" w:line="240" w:lineRule="auto"/>
        <w:ind w:left="0" w:right="0" w:firstLine="709"/>
        <w:rPr>
          <w:rFonts w:ascii="Times New Roman" w:hAnsi="Times New Roman" w:cs="Times New Roman"/>
          <w:sz w:val="24"/>
        </w:rPr>
      </w:pPr>
      <w:r w:rsidRPr="005142C4">
        <w:rPr>
          <w:rFonts w:ascii="Times New Roman" w:hAnsi="Times New Roman" w:cs="Times New Roman"/>
          <w:b/>
          <w:sz w:val="24"/>
        </w:rPr>
        <w:t>Objektima kritične infrastrukture može</w:t>
      </w:r>
      <w:r w:rsidR="00595BCC">
        <w:rPr>
          <w:rFonts w:ascii="Times New Roman" w:hAnsi="Times New Roman" w:cs="Times New Roman"/>
          <w:b/>
          <w:sz w:val="24"/>
        </w:rPr>
        <w:t xml:space="preserve"> se</w:t>
      </w:r>
      <w:r w:rsidRPr="005142C4">
        <w:rPr>
          <w:rFonts w:ascii="Times New Roman" w:hAnsi="Times New Roman" w:cs="Times New Roman"/>
          <w:b/>
          <w:sz w:val="24"/>
        </w:rPr>
        <w:t xml:space="preserve"> smatrati osobito: </w:t>
      </w:r>
      <w:r w:rsidRPr="005142C4">
        <w:rPr>
          <w:rFonts w:ascii="Times New Roman" w:hAnsi="Times New Roman" w:cs="Times New Roman"/>
          <w:sz w:val="24"/>
        </w:rPr>
        <w:t>Zavod za javno zdravstvo i Nastavni zavod za hitnu medicinsku pomoć, poliklinike, kliničke bolnice i specijalne bolnice.</w:t>
      </w:r>
    </w:p>
    <w:p w14:paraId="71861647" w14:textId="77777777" w:rsidR="00E40AC8" w:rsidRDefault="00900184" w:rsidP="00201092">
      <w:pPr>
        <w:spacing w:after="0" w:line="240" w:lineRule="auto"/>
        <w:ind w:left="0" w:right="0" w:firstLine="709"/>
        <w:rPr>
          <w:rFonts w:ascii="Times New Roman" w:hAnsi="Times New Roman" w:cs="Times New Roman"/>
          <w:i/>
          <w:sz w:val="24"/>
        </w:rPr>
      </w:pPr>
      <w:r w:rsidRPr="005142C4">
        <w:rPr>
          <w:rFonts w:ascii="Times New Roman" w:hAnsi="Times New Roman" w:cs="Times New Roman"/>
          <w:sz w:val="24"/>
        </w:rPr>
        <w:t xml:space="preserve">Detaljnije obrađeno u poglavlju </w:t>
      </w:r>
      <w:r w:rsidRPr="005142C4">
        <w:rPr>
          <w:rFonts w:ascii="Times New Roman" w:hAnsi="Times New Roman" w:cs="Times New Roman"/>
          <w:i/>
          <w:sz w:val="24"/>
        </w:rPr>
        <w:t>2.2.2. Zdravstvene ustanove.</w:t>
      </w:r>
    </w:p>
    <w:p w14:paraId="4011A55E" w14:textId="77777777" w:rsidR="00201092" w:rsidRPr="00201092" w:rsidRDefault="00201092" w:rsidP="00201092">
      <w:pPr>
        <w:spacing w:after="0" w:line="240" w:lineRule="auto"/>
        <w:ind w:right="0"/>
        <w:rPr>
          <w:rFonts w:ascii="Times New Roman" w:hAnsi="Times New Roman" w:cs="Times New Roman"/>
          <w:sz w:val="24"/>
        </w:rPr>
      </w:pPr>
    </w:p>
    <w:p w14:paraId="0001DF7E" w14:textId="77777777" w:rsidR="00E40AC8" w:rsidRPr="0047770A" w:rsidRDefault="00900184" w:rsidP="0047770A">
      <w:pPr>
        <w:spacing w:after="0" w:line="240" w:lineRule="auto"/>
        <w:ind w:left="0" w:right="0" w:firstLine="709"/>
        <w:rPr>
          <w:rFonts w:ascii="Times New Roman" w:hAnsi="Times New Roman" w:cs="Times New Roman"/>
          <w:sz w:val="24"/>
          <w:u w:val="single" w:color="000000"/>
        </w:rPr>
      </w:pPr>
      <w:r w:rsidRPr="0047770A">
        <w:rPr>
          <w:rFonts w:ascii="Times New Roman" w:hAnsi="Times New Roman" w:cs="Times New Roman"/>
          <w:sz w:val="24"/>
          <w:u w:val="single" w:color="000000"/>
        </w:rPr>
        <w:t>Hrana</w:t>
      </w:r>
    </w:p>
    <w:p w14:paraId="62E79E2B" w14:textId="77777777" w:rsidR="00E40AC8" w:rsidRDefault="00900184" w:rsidP="00201092">
      <w:pPr>
        <w:spacing w:after="0" w:line="240" w:lineRule="auto"/>
        <w:ind w:left="0" w:right="0" w:firstLine="709"/>
        <w:rPr>
          <w:rFonts w:ascii="Times New Roman" w:hAnsi="Times New Roman" w:cs="Times New Roman"/>
          <w:sz w:val="24"/>
        </w:rPr>
      </w:pPr>
      <w:r w:rsidRPr="005142C4">
        <w:rPr>
          <w:rFonts w:ascii="Times New Roman" w:hAnsi="Times New Roman" w:cs="Times New Roman"/>
          <w:b/>
          <w:sz w:val="24"/>
        </w:rPr>
        <w:t>Objektima kritične infrastrukture može</w:t>
      </w:r>
      <w:r w:rsidR="00595BCC">
        <w:rPr>
          <w:rFonts w:ascii="Times New Roman" w:hAnsi="Times New Roman" w:cs="Times New Roman"/>
          <w:b/>
          <w:sz w:val="24"/>
        </w:rPr>
        <w:t xml:space="preserve"> se</w:t>
      </w:r>
      <w:r w:rsidRPr="005142C4">
        <w:rPr>
          <w:rFonts w:ascii="Times New Roman" w:hAnsi="Times New Roman" w:cs="Times New Roman"/>
          <w:b/>
          <w:sz w:val="24"/>
        </w:rPr>
        <w:t xml:space="preserve"> smatrati osobito</w:t>
      </w:r>
      <w:r w:rsidRPr="005142C4">
        <w:rPr>
          <w:rFonts w:ascii="Times New Roman" w:hAnsi="Times New Roman" w:cs="Times New Roman"/>
          <w:sz w:val="24"/>
        </w:rPr>
        <w:t xml:space="preserve"> kapacitet</w:t>
      </w:r>
      <w:r w:rsidR="00595BCC">
        <w:rPr>
          <w:rFonts w:ascii="Times New Roman" w:hAnsi="Times New Roman" w:cs="Times New Roman"/>
          <w:sz w:val="24"/>
        </w:rPr>
        <w:t>i</w:t>
      </w:r>
      <w:r w:rsidRPr="005142C4">
        <w:rPr>
          <w:rFonts w:ascii="Times New Roman" w:hAnsi="Times New Roman" w:cs="Times New Roman"/>
          <w:sz w:val="24"/>
        </w:rPr>
        <w:t xml:space="preserve"> za proizvodnju hrane (Dukat, Ledo, Zvijezda, Kraš i Franck) te skladišta Državnih robnih zaliha.</w:t>
      </w:r>
    </w:p>
    <w:p w14:paraId="108B3591" w14:textId="77777777" w:rsidR="00114CAB" w:rsidRDefault="00114CAB" w:rsidP="005938FB">
      <w:pPr>
        <w:spacing w:after="0" w:line="240" w:lineRule="auto"/>
        <w:ind w:left="0" w:right="0" w:firstLine="0"/>
        <w:rPr>
          <w:rFonts w:ascii="Times New Roman" w:hAnsi="Times New Roman" w:cs="Times New Roman"/>
          <w:sz w:val="24"/>
          <w:u w:val="single" w:color="000000"/>
        </w:rPr>
      </w:pPr>
    </w:p>
    <w:p w14:paraId="588D1259" w14:textId="7AEA7B5A" w:rsidR="00E40AC8" w:rsidRPr="0047770A" w:rsidRDefault="00900184" w:rsidP="0047770A">
      <w:pPr>
        <w:spacing w:after="0" w:line="240" w:lineRule="auto"/>
        <w:ind w:left="0" w:right="0" w:firstLine="709"/>
        <w:rPr>
          <w:rFonts w:ascii="Times New Roman" w:hAnsi="Times New Roman" w:cs="Times New Roman"/>
          <w:sz w:val="24"/>
          <w:u w:val="single" w:color="000000"/>
        </w:rPr>
      </w:pPr>
      <w:r w:rsidRPr="0047770A">
        <w:rPr>
          <w:rFonts w:ascii="Times New Roman" w:hAnsi="Times New Roman" w:cs="Times New Roman"/>
          <w:sz w:val="24"/>
          <w:u w:val="single" w:color="000000"/>
        </w:rPr>
        <w:t>Financije</w:t>
      </w:r>
    </w:p>
    <w:p w14:paraId="3705BCF2" w14:textId="6EC02268" w:rsidR="00E40AC8" w:rsidRPr="009A2E04" w:rsidRDefault="00900184" w:rsidP="00201092">
      <w:pPr>
        <w:spacing w:after="0" w:line="240" w:lineRule="auto"/>
        <w:ind w:left="0" w:right="0" w:firstLine="709"/>
        <w:rPr>
          <w:rFonts w:ascii="Times New Roman" w:hAnsi="Times New Roman" w:cs="Times New Roman"/>
          <w:color w:val="FF0000"/>
          <w:sz w:val="24"/>
        </w:rPr>
      </w:pPr>
      <w:r w:rsidRPr="005142C4">
        <w:rPr>
          <w:rFonts w:ascii="Times New Roman" w:hAnsi="Times New Roman" w:cs="Times New Roman"/>
          <w:b/>
          <w:sz w:val="24"/>
        </w:rPr>
        <w:t>Objektima kritične infrastrukture može</w:t>
      </w:r>
      <w:r w:rsidR="00595BCC">
        <w:rPr>
          <w:rFonts w:ascii="Times New Roman" w:hAnsi="Times New Roman" w:cs="Times New Roman"/>
          <w:b/>
          <w:sz w:val="24"/>
        </w:rPr>
        <w:t xml:space="preserve"> se</w:t>
      </w:r>
      <w:r w:rsidRPr="005142C4">
        <w:rPr>
          <w:rFonts w:ascii="Times New Roman" w:hAnsi="Times New Roman" w:cs="Times New Roman"/>
          <w:b/>
          <w:sz w:val="24"/>
        </w:rPr>
        <w:t xml:space="preserve"> smatrati osobito: </w:t>
      </w:r>
      <w:r w:rsidRPr="005142C4">
        <w:rPr>
          <w:rFonts w:ascii="Times New Roman" w:hAnsi="Times New Roman" w:cs="Times New Roman"/>
          <w:sz w:val="24"/>
        </w:rPr>
        <w:t>Hrvatsk</w:t>
      </w:r>
      <w:r w:rsidR="00595BCC">
        <w:rPr>
          <w:rFonts w:ascii="Times New Roman" w:hAnsi="Times New Roman" w:cs="Times New Roman"/>
          <w:sz w:val="24"/>
        </w:rPr>
        <w:t>a</w:t>
      </w:r>
      <w:r w:rsidRPr="005142C4">
        <w:rPr>
          <w:rFonts w:ascii="Times New Roman" w:hAnsi="Times New Roman" w:cs="Times New Roman"/>
          <w:sz w:val="24"/>
        </w:rPr>
        <w:t xml:space="preserve"> narodn</w:t>
      </w:r>
      <w:r w:rsidR="00595BCC">
        <w:rPr>
          <w:rFonts w:ascii="Times New Roman" w:hAnsi="Times New Roman" w:cs="Times New Roman"/>
          <w:sz w:val="24"/>
        </w:rPr>
        <w:t>a</w:t>
      </w:r>
      <w:r w:rsidRPr="005142C4">
        <w:rPr>
          <w:rFonts w:ascii="Times New Roman" w:hAnsi="Times New Roman" w:cs="Times New Roman"/>
          <w:sz w:val="24"/>
        </w:rPr>
        <w:t xml:space="preserve"> </w:t>
      </w:r>
      <w:r w:rsidRPr="00C96208">
        <w:rPr>
          <w:rFonts w:ascii="Times New Roman" w:hAnsi="Times New Roman" w:cs="Times New Roman"/>
          <w:color w:val="auto"/>
          <w:sz w:val="24"/>
        </w:rPr>
        <w:t>bank</w:t>
      </w:r>
      <w:r w:rsidR="00595BCC" w:rsidRPr="00C96208">
        <w:rPr>
          <w:rFonts w:ascii="Times New Roman" w:hAnsi="Times New Roman" w:cs="Times New Roman"/>
          <w:color w:val="auto"/>
          <w:sz w:val="24"/>
        </w:rPr>
        <w:t>a</w:t>
      </w:r>
      <w:r w:rsidRPr="00C96208">
        <w:rPr>
          <w:rFonts w:ascii="Times New Roman" w:hAnsi="Times New Roman" w:cs="Times New Roman"/>
          <w:color w:val="auto"/>
          <w:sz w:val="24"/>
        </w:rPr>
        <w:t>, Zagrebačk</w:t>
      </w:r>
      <w:r w:rsidR="00595BCC" w:rsidRPr="00C96208">
        <w:rPr>
          <w:rFonts w:ascii="Times New Roman" w:hAnsi="Times New Roman" w:cs="Times New Roman"/>
          <w:color w:val="auto"/>
          <w:sz w:val="24"/>
        </w:rPr>
        <w:t>a</w:t>
      </w:r>
      <w:r w:rsidRPr="00C96208">
        <w:rPr>
          <w:rFonts w:ascii="Times New Roman" w:hAnsi="Times New Roman" w:cs="Times New Roman"/>
          <w:color w:val="auto"/>
          <w:sz w:val="24"/>
        </w:rPr>
        <w:t xml:space="preserve"> burz</w:t>
      </w:r>
      <w:r w:rsidR="00595BCC" w:rsidRPr="00C96208">
        <w:rPr>
          <w:rFonts w:ascii="Times New Roman" w:hAnsi="Times New Roman" w:cs="Times New Roman"/>
          <w:color w:val="auto"/>
          <w:sz w:val="24"/>
        </w:rPr>
        <w:t>a</w:t>
      </w:r>
      <w:r w:rsidRPr="00C96208">
        <w:rPr>
          <w:rFonts w:ascii="Times New Roman" w:hAnsi="Times New Roman" w:cs="Times New Roman"/>
          <w:color w:val="auto"/>
          <w:sz w:val="24"/>
        </w:rPr>
        <w:t>,</w:t>
      </w:r>
      <w:r w:rsidR="00E40AC8" w:rsidRPr="00C96208">
        <w:rPr>
          <w:rFonts w:ascii="Times New Roman" w:hAnsi="Times New Roman" w:cs="Times New Roman"/>
          <w:color w:val="auto"/>
          <w:sz w:val="24"/>
        </w:rPr>
        <w:t xml:space="preserve"> </w:t>
      </w:r>
      <w:r w:rsidRPr="00C96208">
        <w:rPr>
          <w:rFonts w:ascii="Times New Roman" w:hAnsi="Times New Roman" w:cs="Times New Roman"/>
          <w:color w:val="auto"/>
          <w:sz w:val="24"/>
        </w:rPr>
        <w:t>Državn</w:t>
      </w:r>
      <w:r w:rsidR="00595BCC" w:rsidRPr="00C96208">
        <w:rPr>
          <w:rFonts w:ascii="Times New Roman" w:hAnsi="Times New Roman" w:cs="Times New Roman"/>
          <w:color w:val="auto"/>
          <w:sz w:val="24"/>
        </w:rPr>
        <w:t>a</w:t>
      </w:r>
      <w:r w:rsidRPr="00C96208">
        <w:rPr>
          <w:rFonts w:ascii="Times New Roman" w:hAnsi="Times New Roman" w:cs="Times New Roman"/>
          <w:color w:val="auto"/>
          <w:sz w:val="24"/>
        </w:rPr>
        <w:t xml:space="preserve"> agencij</w:t>
      </w:r>
      <w:r w:rsidR="00595BCC" w:rsidRPr="00C96208">
        <w:rPr>
          <w:rFonts w:ascii="Times New Roman" w:hAnsi="Times New Roman" w:cs="Times New Roman"/>
          <w:color w:val="auto"/>
          <w:sz w:val="24"/>
        </w:rPr>
        <w:t>a</w:t>
      </w:r>
      <w:r w:rsidRPr="00C96208">
        <w:rPr>
          <w:rFonts w:ascii="Times New Roman" w:hAnsi="Times New Roman" w:cs="Times New Roman"/>
          <w:color w:val="auto"/>
          <w:sz w:val="24"/>
        </w:rPr>
        <w:t xml:space="preserve"> za osiguranje štednih uloga i sanaciju banaka te ostale banke koje djeluju na području Grada Zagreba. Prema popisu Hrvatske narodne banke na dan </w:t>
      </w:r>
      <w:r w:rsidR="00780BBB" w:rsidRPr="00C96208">
        <w:rPr>
          <w:rFonts w:ascii="Times New Roman" w:hAnsi="Times New Roman" w:cs="Times New Roman"/>
          <w:color w:val="auto"/>
          <w:sz w:val="24"/>
        </w:rPr>
        <w:t>15</w:t>
      </w:r>
      <w:r w:rsidRPr="00C96208">
        <w:rPr>
          <w:rFonts w:ascii="Times New Roman" w:hAnsi="Times New Roman" w:cs="Times New Roman"/>
          <w:color w:val="auto"/>
          <w:sz w:val="24"/>
        </w:rPr>
        <w:t>.</w:t>
      </w:r>
      <w:r w:rsidR="00595BCC" w:rsidRPr="00C96208">
        <w:rPr>
          <w:rFonts w:ascii="Times New Roman" w:hAnsi="Times New Roman" w:cs="Times New Roman"/>
          <w:color w:val="auto"/>
          <w:sz w:val="24"/>
        </w:rPr>
        <w:t xml:space="preserve"> </w:t>
      </w:r>
      <w:r w:rsidR="00780BBB" w:rsidRPr="00C96208">
        <w:rPr>
          <w:rFonts w:ascii="Times New Roman" w:hAnsi="Times New Roman" w:cs="Times New Roman"/>
          <w:color w:val="auto"/>
          <w:sz w:val="24"/>
        </w:rPr>
        <w:t>06</w:t>
      </w:r>
      <w:r w:rsidRPr="00C96208">
        <w:rPr>
          <w:rFonts w:ascii="Times New Roman" w:hAnsi="Times New Roman" w:cs="Times New Roman"/>
          <w:color w:val="auto"/>
          <w:sz w:val="24"/>
        </w:rPr>
        <w:t>.</w:t>
      </w:r>
      <w:r w:rsidR="00595BCC" w:rsidRPr="00C96208">
        <w:rPr>
          <w:rFonts w:ascii="Times New Roman" w:hAnsi="Times New Roman" w:cs="Times New Roman"/>
          <w:color w:val="auto"/>
          <w:sz w:val="24"/>
        </w:rPr>
        <w:t xml:space="preserve"> </w:t>
      </w:r>
      <w:r w:rsidRPr="00C96208">
        <w:rPr>
          <w:rFonts w:ascii="Times New Roman" w:hAnsi="Times New Roman" w:cs="Times New Roman"/>
          <w:color w:val="auto"/>
          <w:sz w:val="24"/>
        </w:rPr>
        <w:t>20</w:t>
      </w:r>
      <w:r w:rsidR="00780BBB" w:rsidRPr="00C96208">
        <w:rPr>
          <w:rFonts w:ascii="Times New Roman" w:hAnsi="Times New Roman" w:cs="Times New Roman"/>
          <w:color w:val="auto"/>
          <w:sz w:val="24"/>
        </w:rPr>
        <w:t>22</w:t>
      </w:r>
      <w:r w:rsidRPr="00C96208">
        <w:rPr>
          <w:rFonts w:ascii="Times New Roman" w:hAnsi="Times New Roman" w:cs="Times New Roman"/>
          <w:color w:val="auto"/>
          <w:sz w:val="24"/>
        </w:rPr>
        <w:t>. na području Republike Hrvatske 2</w:t>
      </w:r>
      <w:r w:rsidR="00FD66EB" w:rsidRPr="00C96208">
        <w:rPr>
          <w:rFonts w:ascii="Times New Roman" w:hAnsi="Times New Roman" w:cs="Times New Roman"/>
          <w:color w:val="auto"/>
          <w:sz w:val="24"/>
        </w:rPr>
        <w:t>0</w:t>
      </w:r>
      <w:r w:rsidRPr="00C96208">
        <w:rPr>
          <w:rFonts w:ascii="Times New Roman" w:hAnsi="Times New Roman" w:cs="Times New Roman"/>
          <w:color w:val="auto"/>
          <w:sz w:val="24"/>
        </w:rPr>
        <w:t xml:space="preserve"> ban</w:t>
      </w:r>
      <w:r w:rsidR="00FD66EB" w:rsidRPr="00C96208">
        <w:rPr>
          <w:rFonts w:ascii="Times New Roman" w:hAnsi="Times New Roman" w:cs="Times New Roman"/>
          <w:color w:val="auto"/>
          <w:sz w:val="24"/>
        </w:rPr>
        <w:t>aka</w:t>
      </w:r>
      <w:r w:rsidRPr="00C96208">
        <w:rPr>
          <w:rFonts w:ascii="Times New Roman" w:hAnsi="Times New Roman" w:cs="Times New Roman"/>
          <w:color w:val="auto"/>
          <w:sz w:val="24"/>
        </w:rPr>
        <w:t xml:space="preserve"> imaju dozvolu za rad, od toga se sjedište 1</w:t>
      </w:r>
      <w:r w:rsidR="00FD66EB" w:rsidRPr="00C96208">
        <w:rPr>
          <w:rFonts w:ascii="Times New Roman" w:hAnsi="Times New Roman" w:cs="Times New Roman"/>
          <w:color w:val="auto"/>
          <w:sz w:val="24"/>
        </w:rPr>
        <w:t>0</w:t>
      </w:r>
      <w:r w:rsidRPr="00C96208">
        <w:rPr>
          <w:rFonts w:ascii="Times New Roman" w:hAnsi="Times New Roman" w:cs="Times New Roman"/>
          <w:color w:val="auto"/>
          <w:sz w:val="24"/>
        </w:rPr>
        <w:t xml:space="preserve"> banaka nalazi na području Grada Zagreba (Addiko Bank, </w:t>
      </w:r>
      <w:r w:rsidR="00FD66EB" w:rsidRPr="00C96208">
        <w:rPr>
          <w:rFonts w:ascii="Times New Roman" w:hAnsi="Times New Roman" w:cs="Times New Roman"/>
          <w:color w:val="auto"/>
          <w:sz w:val="24"/>
        </w:rPr>
        <w:t>Agram</w:t>
      </w:r>
      <w:r w:rsidRPr="00C96208">
        <w:rPr>
          <w:rFonts w:ascii="Times New Roman" w:hAnsi="Times New Roman" w:cs="Times New Roman"/>
          <w:color w:val="auto"/>
          <w:sz w:val="24"/>
        </w:rPr>
        <w:t xml:space="preserve"> banka, </w:t>
      </w:r>
      <w:r w:rsidR="00FD66EB" w:rsidRPr="00C96208">
        <w:rPr>
          <w:rFonts w:ascii="Times New Roman" w:hAnsi="Times New Roman" w:cs="Times New Roman"/>
          <w:color w:val="auto"/>
          <w:sz w:val="24"/>
        </w:rPr>
        <w:t xml:space="preserve">Croatia banka, </w:t>
      </w:r>
      <w:r w:rsidRPr="00C96208">
        <w:rPr>
          <w:rFonts w:ascii="Times New Roman" w:hAnsi="Times New Roman" w:cs="Times New Roman"/>
          <w:color w:val="auto"/>
          <w:sz w:val="24"/>
        </w:rPr>
        <w:t xml:space="preserve">Hrvatska poštanska banka, KentBank, </w:t>
      </w:r>
      <w:r w:rsidR="00FD66EB" w:rsidRPr="00C96208">
        <w:rPr>
          <w:rFonts w:ascii="Times New Roman" w:hAnsi="Times New Roman" w:cs="Times New Roman"/>
          <w:color w:val="auto"/>
          <w:sz w:val="24"/>
        </w:rPr>
        <w:t>Nova hrvatska banka</w:t>
      </w:r>
      <w:r w:rsidRPr="00C96208">
        <w:rPr>
          <w:rFonts w:ascii="Times New Roman" w:hAnsi="Times New Roman" w:cs="Times New Roman"/>
          <w:color w:val="auto"/>
          <w:sz w:val="24"/>
        </w:rPr>
        <w:t>, Partner banka, Privredna banka Zagreb, Raiffeisenbank Austria</w:t>
      </w:r>
      <w:r w:rsidR="00FD66EB" w:rsidRPr="00C96208">
        <w:rPr>
          <w:rFonts w:ascii="Times New Roman" w:hAnsi="Times New Roman" w:cs="Times New Roman"/>
          <w:color w:val="auto"/>
          <w:sz w:val="24"/>
        </w:rPr>
        <w:t xml:space="preserve"> </w:t>
      </w:r>
      <w:r w:rsidRPr="00C96208">
        <w:rPr>
          <w:rFonts w:ascii="Times New Roman" w:hAnsi="Times New Roman" w:cs="Times New Roman"/>
          <w:color w:val="auto"/>
          <w:sz w:val="24"/>
        </w:rPr>
        <w:t>i Zagrebačka banka).</w:t>
      </w:r>
    </w:p>
    <w:p w14:paraId="722E56DE" w14:textId="77777777" w:rsidR="00201092" w:rsidRPr="005142C4" w:rsidRDefault="00201092" w:rsidP="00201092">
      <w:pPr>
        <w:spacing w:after="0" w:line="240" w:lineRule="auto"/>
        <w:ind w:right="0"/>
        <w:rPr>
          <w:rFonts w:ascii="Times New Roman" w:hAnsi="Times New Roman" w:cs="Times New Roman"/>
          <w:sz w:val="24"/>
        </w:rPr>
      </w:pPr>
    </w:p>
    <w:p w14:paraId="4AADE117" w14:textId="77777777" w:rsidR="00E40AC8" w:rsidRPr="0047770A" w:rsidRDefault="00900184" w:rsidP="0047770A">
      <w:pPr>
        <w:spacing w:after="0" w:line="240" w:lineRule="auto"/>
        <w:ind w:left="0" w:right="0" w:firstLine="709"/>
        <w:rPr>
          <w:rFonts w:ascii="Times New Roman" w:hAnsi="Times New Roman" w:cs="Times New Roman"/>
          <w:sz w:val="24"/>
          <w:u w:val="single" w:color="000000"/>
        </w:rPr>
      </w:pPr>
      <w:r w:rsidRPr="0047770A">
        <w:rPr>
          <w:rFonts w:ascii="Times New Roman" w:hAnsi="Times New Roman" w:cs="Times New Roman"/>
          <w:sz w:val="24"/>
          <w:u w:val="single" w:color="000000"/>
        </w:rPr>
        <w:t>Proizvodnja, skladištenje i prijevoz opasnih tvari</w:t>
      </w:r>
    </w:p>
    <w:p w14:paraId="0BA0FEEF" w14:textId="77777777" w:rsidR="00E40AC8" w:rsidRPr="005142C4" w:rsidRDefault="00900184" w:rsidP="0020109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U </w:t>
      </w:r>
      <w:r w:rsidR="00DC1EC0">
        <w:rPr>
          <w:rFonts w:ascii="Times New Roman" w:hAnsi="Times New Roman" w:cs="Times New Roman"/>
          <w:sz w:val="24"/>
        </w:rPr>
        <w:t xml:space="preserve">pojedinim </w:t>
      </w:r>
      <w:r w:rsidRPr="005142C4">
        <w:rPr>
          <w:rFonts w:ascii="Times New Roman" w:hAnsi="Times New Roman" w:cs="Times New Roman"/>
          <w:sz w:val="24"/>
        </w:rPr>
        <w:t>gospodarski</w:t>
      </w:r>
      <w:r w:rsidR="00DC1EC0">
        <w:rPr>
          <w:rFonts w:ascii="Times New Roman" w:hAnsi="Times New Roman" w:cs="Times New Roman"/>
          <w:sz w:val="24"/>
        </w:rPr>
        <w:t>m</w:t>
      </w:r>
      <w:r w:rsidRPr="005142C4">
        <w:rPr>
          <w:rFonts w:ascii="Times New Roman" w:hAnsi="Times New Roman" w:cs="Times New Roman"/>
          <w:sz w:val="24"/>
        </w:rPr>
        <w:t xml:space="preserve"> subjek</w:t>
      </w:r>
      <w:r w:rsidR="00DC1EC0">
        <w:rPr>
          <w:rFonts w:ascii="Times New Roman" w:hAnsi="Times New Roman" w:cs="Times New Roman"/>
          <w:sz w:val="24"/>
        </w:rPr>
        <w:t>tima</w:t>
      </w:r>
      <w:r w:rsidRPr="005142C4">
        <w:rPr>
          <w:rFonts w:ascii="Times New Roman" w:hAnsi="Times New Roman" w:cs="Times New Roman"/>
          <w:sz w:val="24"/>
        </w:rPr>
        <w:t xml:space="preserve"> na području Grada Zagreba nalaze se opasne tvari u količini koja bi, u slučaju nesreće, mogla prouzročiti vrlo teške ili katastrofalne posljedice.</w:t>
      </w:r>
      <w:r w:rsidR="003C7393">
        <w:rPr>
          <w:rFonts w:ascii="Times New Roman" w:hAnsi="Times New Roman" w:cs="Times New Roman"/>
          <w:sz w:val="24"/>
        </w:rPr>
        <w:t xml:space="preserve"> </w:t>
      </w:r>
      <w:r w:rsidRPr="005142C4">
        <w:rPr>
          <w:rFonts w:ascii="Times New Roman" w:hAnsi="Times New Roman" w:cs="Times New Roman"/>
          <w:sz w:val="24"/>
        </w:rPr>
        <w:t xml:space="preserve">Hrvatsko zakonodavstvo nalaže evidentiranje takvih poduzeća, odnosno postrojenja u Registru postrojenja u kojima je utvrđena prisutnost opasnih tvari (RPOT) </w:t>
      </w:r>
      <w:r w:rsidR="009A2E04">
        <w:rPr>
          <w:rFonts w:ascii="Times New Roman" w:hAnsi="Times New Roman" w:cs="Times New Roman"/>
          <w:sz w:val="24"/>
        </w:rPr>
        <w:t>Zavoda za zaštitu okoliša i prirode</w:t>
      </w:r>
      <w:r w:rsidRPr="005142C4">
        <w:rPr>
          <w:rFonts w:ascii="Times New Roman" w:hAnsi="Times New Roman" w:cs="Times New Roman"/>
          <w:sz w:val="24"/>
        </w:rPr>
        <w:t xml:space="preserve">. U Gradu Zagrebu evidentirana su </w:t>
      </w:r>
      <w:r w:rsidR="009A2E04">
        <w:rPr>
          <w:rFonts w:ascii="Times New Roman" w:hAnsi="Times New Roman" w:cs="Times New Roman"/>
          <w:sz w:val="24"/>
        </w:rPr>
        <w:t xml:space="preserve">tri </w:t>
      </w:r>
      <w:r w:rsidRPr="005142C4">
        <w:rPr>
          <w:rFonts w:ascii="Times New Roman" w:hAnsi="Times New Roman" w:cs="Times New Roman"/>
          <w:sz w:val="24"/>
        </w:rPr>
        <w:t xml:space="preserve">postrojenja višeg razreda (s većim količinama opasnih tvari), dok su </w:t>
      </w:r>
      <w:r w:rsidR="009A71D0">
        <w:rPr>
          <w:rFonts w:ascii="Times New Roman" w:hAnsi="Times New Roman" w:cs="Times New Roman"/>
          <w:sz w:val="24"/>
        </w:rPr>
        <w:t>evidentirana</w:t>
      </w:r>
      <w:r w:rsidRPr="005142C4">
        <w:rPr>
          <w:rFonts w:ascii="Times New Roman" w:hAnsi="Times New Roman" w:cs="Times New Roman"/>
          <w:sz w:val="24"/>
        </w:rPr>
        <w:t xml:space="preserve"> </w:t>
      </w:r>
      <w:r w:rsidR="009A71D0">
        <w:rPr>
          <w:rFonts w:ascii="Times New Roman" w:hAnsi="Times New Roman" w:cs="Times New Roman"/>
          <w:sz w:val="24"/>
        </w:rPr>
        <w:t xml:space="preserve">dva </w:t>
      </w:r>
      <w:r w:rsidRPr="005142C4">
        <w:rPr>
          <w:rFonts w:ascii="Times New Roman" w:hAnsi="Times New Roman" w:cs="Times New Roman"/>
          <w:sz w:val="24"/>
        </w:rPr>
        <w:t>postrojenja s manjim količinama opasnih tvari (postrojenja nižeg razreda). Navedena tzv. Seveso postrojenja su:</w:t>
      </w:r>
    </w:p>
    <w:p w14:paraId="3A60C68E" w14:textId="77777777" w:rsidR="00E40AC8" w:rsidRPr="005142C4" w:rsidRDefault="00EE6A22" w:rsidP="00201092">
      <w:pPr>
        <w:spacing w:after="0" w:line="240" w:lineRule="auto"/>
        <w:ind w:left="0" w:right="0" w:firstLine="709"/>
        <w:rPr>
          <w:rFonts w:ascii="Times New Roman" w:hAnsi="Times New Roman" w:cs="Times New Roman"/>
          <w:sz w:val="24"/>
        </w:rPr>
      </w:pPr>
      <w:r w:rsidRPr="005142C4">
        <w:rPr>
          <w:rFonts w:ascii="Times New Roman" w:eastAsia="Times New Roman" w:hAnsi="Times New Roman" w:cs="Times New Roman"/>
          <w:sz w:val="24"/>
          <w:u w:color="000000"/>
        </w:rPr>
        <w:t>-</w:t>
      </w:r>
      <w:r w:rsidR="00201092">
        <w:rPr>
          <w:rFonts w:ascii="Times New Roman" w:eastAsia="Times New Roman" w:hAnsi="Times New Roman" w:cs="Times New Roman"/>
          <w:sz w:val="24"/>
          <w:u w:color="000000"/>
        </w:rPr>
        <w:t xml:space="preserve"> </w:t>
      </w:r>
      <w:r w:rsidR="00900184" w:rsidRPr="005142C4">
        <w:rPr>
          <w:rFonts w:ascii="Times New Roman" w:hAnsi="Times New Roman" w:cs="Times New Roman"/>
          <w:sz w:val="24"/>
        </w:rPr>
        <w:t>višeg razreda:</w:t>
      </w:r>
    </w:p>
    <w:p w14:paraId="2DAE041D" w14:textId="2E53CCEA" w:rsidR="00201092" w:rsidRDefault="00E40AC8" w:rsidP="00CC1C6A">
      <w:pPr>
        <w:spacing w:after="0" w:line="240" w:lineRule="auto"/>
        <w:ind w:left="1276" w:right="0" w:hanging="283"/>
        <w:rPr>
          <w:rFonts w:ascii="Times New Roman" w:hAnsi="Times New Roman" w:cs="Times New Roman"/>
          <w:sz w:val="24"/>
        </w:rPr>
      </w:pPr>
      <w:r w:rsidRPr="005142C4">
        <w:rPr>
          <w:rFonts w:ascii="Times New Roman" w:hAnsi="Times New Roman" w:cs="Times New Roman"/>
          <w:sz w:val="24"/>
          <w:u w:color="000000"/>
        </w:rPr>
        <w:t>•</w:t>
      </w:r>
      <w:r w:rsidR="00201092">
        <w:rPr>
          <w:rFonts w:ascii="Times New Roman" w:hAnsi="Times New Roman" w:cs="Times New Roman"/>
          <w:sz w:val="24"/>
          <w:u w:color="000000"/>
        </w:rPr>
        <w:t xml:space="preserve"> </w:t>
      </w:r>
      <w:r w:rsidR="00900184" w:rsidRPr="005142C4">
        <w:rPr>
          <w:rFonts w:ascii="Times New Roman" w:hAnsi="Times New Roman" w:cs="Times New Roman"/>
          <w:sz w:val="24"/>
        </w:rPr>
        <w:t xml:space="preserve">HEP Proizvodnja d.o.o. </w:t>
      </w:r>
      <w:r w:rsidR="00EE6A22" w:rsidRPr="005142C4">
        <w:rPr>
          <w:rFonts w:ascii="Times New Roman" w:hAnsi="Times New Roman" w:cs="Times New Roman"/>
          <w:sz w:val="24"/>
        </w:rPr>
        <w:t>-</w:t>
      </w:r>
      <w:r w:rsidR="00900184" w:rsidRPr="005142C4">
        <w:rPr>
          <w:rFonts w:ascii="Times New Roman" w:hAnsi="Times New Roman" w:cs="Times New Roman"/>
          <w:sz w:val="24"/>
        </w:rPr>
        <w:t xml:space="preserve"> Pogon TE</w:t>
      </w:r>
      <w:r w:rsidR="00EE6A22" w:rsidRPr="005142C4">
        <w:rPr>
          <w:rFonts w:ascii="Times New Roman" w:hAnsi="Times New Roman" w:cs="Times New Roman"/>
          <w:sz w:val="24"/>
        </w:rPr>
        <w:t>-</w:t>
      </w:r>
      <w:r w:rsidR="00900184" w:rsidRPr="005142C4">
        <w:rPr>
          <w:rFonts w:ascii="Times New Roman" w:hAnsi="Times New Roman" w:cs="Times New Roman"/>
          <w:sz w:val="24"/>
        </w:rPr>
        <w:t>TO Zagreb</w:t>
      </w:r>
    </w:p>
    <w:p w14:paraId="07E08DCD" w14:textId="5FE90619" w:rsidR="00201092" w:rsidRDefault="00E40AC8" w:rsidP="00CC1C6A">
      <w:pPr>
        <w:spacing w:after="0" w:line="240" w:lineRule="auto"/>
        <w:ind w:left="1276" w:right="0" w:hanging="283"/>
        <w:rPr>
          <w:rFonts w:ascii="Times New Roman" w:hAnsi="Times New Roman" w:cs="Times New Roman"/>
          <w:sz w:val="24"/>
        </w:rPr>
      </w:pPr>
      <w:r w:rsidRPr="005142C4">
        <w:rPr>
          <w:rFonts w:ascii="Times New Roman" w:hAnsi="Times New Roman" w:cs="Times New Roman"/>
          <w:sz w:val="24"/>
          <w:u w:color="000000"/>
        </w:rPr>
        <w:t>•</w:t>
      </w:r>
      <w:r w:rsidR="00201092">
        <w:rPr>
          <w:rFonts w:ascii="Times New Roman" w:hAnsi="Times New Roman" w:cs="Times New Roman"/>
          <w:sz w:val="24"/>
          <w:u w:color="000000"/>
        </w:rPr>
        <w:t xml:space="preserve"> </w:t>
      </w:r>
      <w:r w:rsidR="00900184" w:rsidRPr="005142C4">
        <w:rPr>
          <w:rFonts w:ascii="Times New Roman" w:hAnsi="Times New Roman" w:cs="Times New Roman"/>
          <w:sz w:val="24"/>
        </w:rPr>
        <w:t xml:space="preserve">INA d.d. </w:t>
      </w:r>
      <w:r w:rsidR="00EE6A22" w:rsidRPr="005142C4">
        <w:rPr>
          <w:rFonts w:ascii="Times New Roman" w:hAnsi="Times New Roman" w:cs="Times New Roman"/>
          <w:sz w:val="24"/>
        </w:rPr>
        <w:t>-</w:t>
      </w:r>
      <w:r w:rsidR="00900184" w:rsidRPr="005142C4">
        <w:rPr>
          <w:rFonts w:ascii="Times New Roman" w:hAnsi="Times New Roman" w:cs="Times New Roman"/>
          <w:sz w:val="24"/>
        </w:rPr>
        <w:t xml:space="preserve"> Služba skladištenja, PJ UNP</w:t>
      </w:r>
    </w:p>
    <w:p w14:paraId="4CACACF7" w14:textId="099BC5CD" w:rsidR="00E40AC8" w:rsidRPr="005142C4" w:rsidRDefault="00E40AC8" w:rsidP="00CC1C6A">
      <w:pPr>
        <w:spacing w:after="0" w:line="240" w:lineRule="auto"/>
        <w:ind w:left="1276" w:right="0" w:hanging="283"/>
        <w:rPr>
          <w:rFonts w:ascii="Times New Roman" w:hAnsi="Times New Roman" w:cs="Times New Roman"/>
          <w:sz w:val="24"/>
        </w:rPr>
      </w:pPr>
      <w:r w:rsidRPr="005142C4">
        <w:rPr>
          <w:rFonts w:ascii="Times New Roman" w:hAnsi="Times New Roman" w:cs="Times New Roman"/>
          <w:sz w:val="24"/>
          <w:u w:color="000000"/>
        </w:rPr>
        <w:t>•</w:t>
      </w:r>
      <w:r w:rsidR="00201092">
        <w:rPr>
          <w:rFonts w:ascii="Times New Roman" w:hAnsi="Times New Roman" w:cs="Times New Roman"/>
          <w:sz w:val="24"/>
          <w:u w:color="000000"/>
        </w:rPr>
        <w:t xml:space="preserve"> </w:t>
      </w:r>
      <w:r w:rsidR="00900184" w:rsidRPr="005142C4">
        <w:rPr>
          <w:rFonts w:ascii="Times New Roman" w:hAnsi="Times New Roman" w:cs="Times New Roman"/>
          <w:sz w:val="24"/>
        </w:rPr>
        <w:t xml:space="preserve">JANAF d.d. </w:t>
      </w:r>
      <w:r w:rsidR="00EE6A22" w:rsidRPr="005142C4">
        <w:rPr>
          <w:rFonts w:ascii="Times New Roman" w:hAnsi="Times New Roman" w:cs="Times New Roman"/>
          <w:sz w:val="24"/>
        </w:rPr>
        <w:t>-</w:t>
      </w:r>
      <w:r w:rsidR="00900184" w:rsidRPr="005142C4">
        <w:rPr>
          <w:rFonts w:ascii="Times New Roman" w:hAnsi="Times New Roman" w:cs="Times New Roman"/>
          <w:sz w:val="24"/>
        </w:rPr>
        <w:t xml:space="preserve"> Terminal Žitnjak</w:t>
      </w:r>
    </w:p>
    <w:p w14:paraId="1774621D" w14:textId="77777777" w:rsidR="00E40AC8" w:rsidRPr="005142C4" w:rsidRDefault="00EE6A22" w:rsidP="00201092">
      <w:pPr>
        <w:spacing w:after="0" w:line="240" w:lineRule="auto"/>
        <w:ind w:left="0" w:right="0" w:firstLine="709"/>
        <w:rPr>
          <w:rFonts w:ascii="Times New Roman" w:hAnsi="Times New Roman" w:cs="Times New Roman"/>
          <w:sz w:val="24"/>
        </w:rPr>
      </w:pPr>
      <w:r w:rsidRPr="005142C4">
        <w:rPr>
          <w:rFonts w:ascii="Times New Roman" w:eastAsia="Times New Roman" w:hAnsi="Times New Roman" w:cs="Times New Roman"/>
          <w:sz w:val="24"/>
          <w:u w:color="000000"/>
        </w:rPr>
        <w:lastRenderedPageBreak/>
        <w:t>-</w:t>
      </w:r>
      <w:r w:rsidR="00201092">
        <w:rPr>
          <w:rFonts w:ascii="Times New Roman" w:eastAsia="Times New Roman" w:hAnsi="Times New Roman" w:cs="Times New Roman"/>
          <w:sz w:val="24"/>
          <w:u w:color="000000"/>
        </w:rPr>
        <w:t xml:space="preserve"> </w:t>
      </w:r>
      <w:r w:rsidR="00900184" w:rsidRPr="005142C4">
        <w:rPr>
          <w:rFonts w:ascii="Times New Roman" w:hAnsi="Times New Roman" w:cs="Times New Roman"/>
          <w:sz w:val="24"/>
        </w:rPr>
        <w:t>nižeg razreda:</w:t>
      </w:r>
    </w:p>
    <w:p w14:paraId="66E4B8F7" w14:textId="77777777" w:rsidR="00201092" w:rsidRDefault="00E40AC8" w:rsidP="003C7393">
      <w:pPr>
        <w:spacing w:after="0" w:line="240" w:lineRule="auto"/>
        <w:ind w:left="1276" w:right="0" w:hanging="283"/>
        <w:rPr>
          <w:rFonts w:ascii="Times New Roman" w:hAnsi="Times New Roman" w:cs="Times New Roman"/>
          <w:sz w:val="24"/>
        </w:rPr>
      </w:pPr>
      <w:r w:rsidRPr="005142C4">
        <w:rPr>
          <w:rFonts w:ascii="Times New Roman" w:hAnsi="Times New Roman" w:cs="Times New Roman"/>
          <w:sz w:val="24"/>
          <w:u w:color="000000"/>
        </w:rPr>
        <w:t>•</w:t>
      </w:r>
      <w:r w:rsidR="00201092">
        <w:rPr>
          <w:rFonts w:ascii="Times New Roman" w:hAnsi="Times New Roman" w:cs="Times New Roman"/>
          <w:sz w:val="24"/>
          <w:u w:color="000000"/>
        </w:rPr>
        <w:t xml:space="preserve"> </w:t>
      </w:r>
      <w:r w:rsidR="00900184" w:rsidRPr="005142C4">
        <w:rPr>
          <w:rFonts w:ascii="Times New Roman" w:hAnsi="Times New Roman" w:cs="Times New Roman"/>
          <w:sz w:val="24"/>
        </w:rPr>
        <w:t xml:space="preserve">HEP Proizvodnja d.o.o. </w:t>
      </w:r>
      <w:r w:rsidR="00EE6A22" w:rsidRPr="005142C4">
        <w:rPr>
          <w:rFonts w:ascii="Times New Roman" w:hAnsi="Times New Roman" w:cs="Times New Roman"/>
          <w:sz w:val="24"/>
        </w:rPr>
        <w:t>-</w:t>
      </w:r>
      <w:r w:rsidR="00900184" w:rsidRPr="005142C4">
        <w:rPr>
          <w:rFonts w:ascii="Times New Roman" w:hAnsi="Times New Roman" w:cs="Times New Roman"/>
          <w:sz w:val="24"/>
        </w:rPr>
        <w:t xml:space="preserve"> Pogon EL</w:t>
      </w:r>
      <w:r w:rsidR="00EE6A22" w:rsidRPr="005142C4">
        <w:rPr>
          <w:rFonts w:ascii="Times New Roman" w:hAnsi="Times New Roman" w:cs="Times New Roman"/>
          <w:sz w:val="24"/>
        </w:rPr>
        <w:t>-</w:t>
      </w:r>
      <w:r w:rsidR="00900184" w:rsidRPr="005142C4">
        <w:rPr>
          <w:rFonts w:ascii="Times New Roman" w:hAnsi="Times New Roman" w:cs="Times New Roman"/>
          <w:sz w:val="24"/>
        </w:rPr>
        <w:t>TO Zagreb</w:t>
      </w:r>
    </w:p>
    <w:p w14:paraId="6F98D20A" w14:textId="77777777" w:rsidR="00E40AC8" w:rsidRPr="005142C4" w:rsidRDefault="00E40AC8" w:rsidP="003C7393">
      <w:pPr>
        <w:spacing w:after="0" w:line="240" w:lineRule="auto"/>
        <w:ind w:left="1276" w:right="0" w:hanging="283"/>
        <w:rPr>
          <w:rFonts w:ascii="Times New Roman" w:hAnsi="Times New Roman" w:cs="Times New Roman"/>
          <w:sz w:val="24"/>
        </w:rPr>
      </w:pPr>
      <w:r w:rsidRPr="005142C4">
        <w:rPr>
          <w:rFonts w:ascii="Times New Roman" w:hAnsi="Times New Roman" w:cs="Times New Roman"/>
          <w:sz w:val="24"/>
          <w:u w:color="000000"/>
        </w:rPr>
        <w:t>•</w:t>
      </w:r>
      <w:r w:rsidR="00201092">
        <w:rPr>
          <w:rFonts w:ascii="Times New Roman" w:hAnsi="Times New Roman" w:cs="Times New Roman"/>
          <w:sz w:val="24"/>
          <w:u w:color="000000"/>
        </w:rPr>
        <w:t xml:space="preserve"> </w:t>
      </w:r>
      <w:r w:rsidR="00900184" w:rsidRPr="005142C4">
        <w:rPr>
          <w:rFonts w:ascii="Times New Roman" w:hAnsi="Times New Roman" w:cs="Times New Roman"/>
          <w:sz w:val="24"/>
        </w:rPr>
        <w:t>Scott Bader d.o.o.</w:t>
      </w:r>
    </w:p>
    <w:p w14:paraId="54BEC291" w14:textId="77777777" w:rsidR="002A6ABE" w:rsidRDefault="00900184" w:rsidP="0020109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Od 2014. evidentiraju se i postrojenja kod kojih su opasne tvari prisutne u količinama manjim od propisanih graničnih vrijednosti. U 2014. bilo ih je 56 (od toga 42 benzinske postaje), da bi njihov broj do kraja 2016. narastao na 80 (od toga 54 benzinske postaje), s još 10 u postupku prijave. Najveći broj evidentiranih postrojenja, a među njima sva </w:t>
      </w:r>
      <w:r w:rsidR="002A6ABE">
        <w:rPr>
          <w:rFonts w:ascii="Times New Roman" w:hAnsi="Times New Roman" w:cs="Times New Roman"/>
          <w:sz w:val="24"/>
        </w:rPr>
        <w:t xml:space="preserve">tri </w:t>
      </w:r>
      <w:r w:rsidRPr="005142C4">
        <w:rPr>
          <w:rFonts w:ascii="Times New Roman" w:hAnsi="Times New Roman" w:cs="Times New Roman"/>
          <w:sz w:val="24"/>
        </w:rPr>
        <w:t xml:space="preserve">postrojenja višeg razreda i </w:t>
      </w:r>
      <w:r w:rsidR="002A6ABE">
        <w:rPr>
          <w:rFonts w:ascii="Times New Roman" w:hAnsi="Times New Roman" w:cs="Times New Roman"/>
          <w:sz w:val="24"/>
        </w:rPr>
        <w:t>jedno</w:t>
      </w:r>
      <w:r w:rsidRPr="005142C4">
        <w:rPr>
          <w:rFonts w:ascii="Times New Roman" w:hAnsi="Times New Roman" w:cs="Times New Roman"/>
          <w:sz w:val="24"/>
        </w:rPr>
        <w:t xml:space="preserve"> nižeg razreda, nalazi se na području Gradske četvrti Peščenica </w:t>
      </w:r>
      <w:r w:rsidR="00EE6A22" w:rsidRPr="005142C4">
        <w:rPr>
          <w:rFonts w:ascii="Times New Roman" w:hAnsi="Times New Roman" w:cs="Times New Roman"/>
          <w:sz w:val="24"/>
        </w:rPr>
        <w:t>-</w:t>
      </w:r>
      <w:r w:rsidRPr="005142C4">
        <w:rPr>
          <w:rFonts w:ascii="Times New Roman" w:hAnsi="Times New Roman" w:cs="Times New Roman"/>
          <w:sz w:val="24"/>
        </w:rPr>
        <w:t xml:space="preserve"> Žitnjak; jedino se EL</w:t>
      </w:r>
      <w:r w:rsidR="00EE6A22" w:rsidRPr="005142C4">
        <w:rPr>
          <w:rFonts w:ascii="Times New Roman" w:hAnsi="Times New Roman" w:cs="Times New Roman"/>
          <w:sz w:val="24"/>
        </w:rPr>
        <w:t>-</w:t>
      </w:r>
      <w:r w:rsidRPr="005142C4">
        <w:rPr>
          <w:rFonts w:ascii="Times New Roman" w:hAnsi="Times New Roman" w:cs="Times New Roman"/>
          <w:sz w:val="24"/>
        </w:rPr>
        <w:t>TO nalazi u G</w:t>
      </w:r>
      <w:r w:rsidR="00DC1EC0">
        <w:rPr>
          <w:rFonts w:ascii="Times New Roman" w:hAnsi="Times New Roman" w:cs="Times New Roman"/>
          <w:sz w:val="24"/>
        </w:rPr>
        <w:t>radskoj četvrti</w:t>
      </w:r>
      <w:r w:rsidRPr="005142C4">
        <w:rPr>
          <w:rFonts w:ascii="Times New Roman" w:hAnsi="Times New Roman" w:cs="Times New Roman"/>
          <w:sz w:val="24"/>
        </w:rPr>
        <w:t xml:space="preserve"> Trešnjevka</w:t>
      </w:r>
      <w:r w:rsidR="00595BCC">
        <w:rPr>
          <w:rFonts w:ascii="Times New Roman" w:hAnsi="Times New Roman" w:cs="Times New Roman"/>
          <w:sz w:val="24"/>
        </w:rPr>
        <w:t xml:space="preserve"> </w:t>
      </w:r>
      <w:r w:rsidR="00EE6A22" w:rsidRPr="005142C4">
        <w:rPr>
          <w:rFonts w:ascii="Times New Roman" w:hAnsi="Times New Roman" w:cs="Times New Roman"/>
          <w:sz w:val="24"/>
        </w:rPr>
        <w:t>-</w:t>
      </w:r>
      <w:r w:rsidRPr="005142C4">
        <w:rPr>
          <w:rFonts w:ascii="Times New Roman" w:hAnsi="Times New Roman" w:cs="Times New Roman"/>
          <w:sz w:val="24"/>
        </w:rPr>
        <w:t xml:space="preserve"> sjever. </w:t>
      </w:r>
    </w:p>
    <w:p w14:paraId="36A5A43F" w14:textId="77777777" w:rsidR="002A6ABE" w:rsidRDefault="002A6ABE" w:rsidP="002A6ABE">
      <w:pPr>
        <w:spacing w:after="0" w:line="240" w:lineRule="auto"/>
        <w:ind w:left="0" w:right="0" w:firstLine="709"/>
        <w:rPr>
          <w:rFonts w:ascii="Times New Roman" w:hAnsi="Times New Roman" w:cs="Times New Roman"/>
          <w:sz w:val="24"/>
        </w:rPr>
      </w:pPr>
      <w:r w:rsidRPr="002A6ABE">
        <w:rPr>
          <w:rFonts w:ascii="Times New Roman" w:hAnsi="Times New Roman" w:cs="Times New Roman"/>
          <w:sz w:val="24"/>
        </w:rPr>
        <w:t xml:space="preserve">Gradonačelnik Grada Zagreba donio je 9. siječnja 2020. Zaključkom Vanjski plan zaštite i spašavanja u slučaju nesreća koje uključuju opasne tvari za područja postrojenja TE-TO Zagreb operatera HEP-Proizvodnja d.o.o., Terminal Žitnjak operatera JANAF d.d. i UNP1 Zagreb operatera INA-Industrija nafte d.d. (Službeni glasnik Grada Zagreba 1/20). Vanjskim planom su utvrđena rješenja za očekivan razvoj izvanrednih događaja kod </w:t>
      </w:r>
      <w:r>
        <w:rPr>
          <w:rFonts w:ascii="Times New Roman" w:hAnsi="Times New Roman" w:cs="Times New Roman"/>
          <w:sz w:val="24"/>
        </w:rPr>
        <w:t>3</w:t>
      </w:r>
      <w:r w:rsidRPr="002A6ABE">
        <w:rPr>
          <w:rFonts w:ascii="Times New Roman" w:hAnsi="Times New Roman" w:cs="Times New Roman"/>
          <w:sz w:val="24"/>
        </w:rPr>
        <w:t xml:space="preserve"> operatera koji mogu rezultirati smrtnim posljedicama i ozljedama članova zajednice ili štetama po okoliš do kojih može doći uslijed izravne izloženosti otrovnim koncentracijama, toplinskom zračenju ili visokim zračnim pritiscima u slučaju eksplozija na postrojenjima pogona.</w:t>
      </w:r>
    </w:p>
    <w:p w14:paraId="4CB33605" w14:textId="77777777" w:rsidR="00E40AC8" w:rsidRPr="005142C4" w:rsidRDefault="00900184" w:rsidP="0020109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Prema Registru postrojenja u kojima su prisutne opasne tvari </w:t>
      </w:r>
      <w:r w:rsidR="002A6ABE">
        <w:rPr>
          <w:rFonts w:ascii="Times New Roman" w:hAnsi="Times New Roman" w:cs="Times New Roman"/>
          <w:sz w:val="24"/>
        </w:rPr>
        <w:t>Zavoda za zaštitu okoliša i prirode</w:t>
      </w:r>
      <w:r w:rsidRPr="005142C4">
        <w:rPr>
          <w:rFonts w:ascii="Times New Roman" w:hAnsi="Times New Roman" w:cs="Times New Roman"/>
          <w:sz w:val="24"/>
        </w:rPr>
        <w:t>, na području Grada Zagreba evidentirano je 12</w:t>
      </w:r>
      <w:r w:rsidR="002A6ABE">
        <w:rPr>
          <w:rFonts w:ascii="Times New Roman" w:hAnsi="Times New Roman" w:cs="Times New Roman"/>
          <w:sz w:val="24"/>
        </w:rPr>
        <w:t>6</w:t>
      </w:r>
      <w:r w:rsidRPr="005142C4">
        <w:rPr>
          <w:rFonts w:ascii="Times New Roman" w:hAnsi="Times New Roman" w:cs="Times New Roman"/>
          <w:sz w:val="24"/>
        </w:rPr>
        <w:t xml:space="preserve"> lokacija postrojenja u kojima su prisutne opasne tvari. Od tog broja izdvaja</w:t>
      </w:r>
      <w:r w:rsidR="002A6ABE">
        <w:rPr>
          <w:rFonts w:ascii="Times New Roman" w:hAnsi="Times New Roman" w:cs="Times New Roman"/>
          <w:sz w:val="24"/>
        </w:rPr>
        <w:t>ju</w:t>
      </w:r>
      <w:r w:rsidRPr="005142C4">
        <w:rPr>
          <w:rFonts w:ascii="Times New Roman" w:hAnsi="Times New Roman" w:cs="Times New Roman"/>
          <w:sz w:val="24"/>
        </w:rPr>
        <w:t xml:space="preserve"> se </w:t>
      </w:r>
      <w:r w:rsidR="002A6ABE">
        <w:rPr>
          <w:rFonts w:ascii="Times New Roman" w:hAnsi="Times New Roman" w:cs="Times New Roman"/>
          <w:sz w:val="24"/>
        </w:rPr>
        <w:t>4</w:t>
      </w:r>
      <w:r w:rsidRPr="005142C4">
        <w:rPr>
          <w:rFonts w:ascii="Times New Roman" w:hAnsi="Times New Roman" w:cs="Times New Roman"/>
          <w:sz w:val="24"/>
        </w:rPr>
        <w:t xml:space="preserve"> lokacij</w:t>
      </w:r>
      <w:r w:rsidR="002A6ABE">
        <w:rPr>
          <w:rFonts w:ascii="Times New Roman" w:hAnsi="Times New Roman" w:cs="Times New Roman"/>
          <w:sz w:val="24"/>
        </w:rPr>
        <w:t>e</w:t>
      </w:r>
      <w:r w:rsidRPr="005142C4">
        <w:rPr>
          <w:rFonts w:ascii="Times New Roman" w:hAnsi="Times New Roman" w:cs="Times New Roman"/>
          <w:sz w:val="24"/>
        </w:rPr>
        <w:t xml:space="preserve"> na kojima postoji opasnost od domino</w:t>
      </w:r>
      <w:r w:rsidR="00BE413F">
        <w:rPr>
          <w:rFonts w:ascii="Times New Roman" w:hAnsi="Times New Roman" w:cs="Times New Roman"/>
          <w:sz w:val="24"/>
        </w:rPr>
        <w:t>-</w:t>
      </w:r>
      <w:r w:rsidRPr="005142C4">
        <w:rPr>
          <w:rFonts w:ascii="Times New Roman" w:hAnsi="Times New Roman" w:cs="Times New Roman"/>
          <w:sz w:val="24"/>
        </w:rPr>
        <w:t xml:space="preserve">efekta. Prema Uredbi o sprječavanju velikih nesreća koje uključuju opasne tvari (Narodne novine 44/14, 78/15, 31/17 i 45/17) </w:t>
      </w:r>
      <w:r w:rsidR="00EE6A22" w:rsidRPr="005142C4">
        <w:rPr>
          <w:rFonts w:ascii="Times New Roman" w:hAnsi="Times New Roman" w:cs="Times New Roman"/>
          <w:sz w:val="24"/>
        </w:rPr>
        <w:t>"</w:t>
      </w:r>
      <w:r w:rsidRPr="005142C4">
        <w:rPr>
          <w:rFonts w:ascii="Times New Roman" w:hAnsi="Times New Roman" w:cs="Times New Roman"/>
          <w:sz w:val="24"/>
        </w:rPr>
        <w:t>domino</w:t>
      </w:r>
      <w:r w:rsidR="00BE413F">
        <w:rPr>
          <w:rFonts w:ascii="Times New Roman" w:hAnsi="Times New Roman" w:cs="Times New Roman"/>
          <w:sz w:val="24"/>
        </w:rPr>
        <w:t>-</w:t>
      </w:r>
      <w:r w:rsidRPr="005142C4">
        <w:rPr>
          <w:rFonts w:ascii="Times New Roman" w:hAnsi="Times New Roman" w:cs="Times New Roman"/>
          <w:sz w:val="24"/>
        </w:rPr>
        <w:t>efekt</w:t>
      </w:r>
      <w:r w:rsidR="00EE6A22" w:rsidRPr="005142C4">
        <w:rPr>
          <w:rFonts w:ascii="Times New Roman" w:hAnsi="Times New Roman" w:cs="Times New Roman"/>
          <w:sz w:val="24"/>
        </w:rPr>
        <w:t>"</w:t>
      </w:r>
      <w:r w:rsidRPr="005142C4">
        <w:rPr>
          <w:rFonts w:ascii="Times New Roman" w:hAnsi="Times New Roman" w:cs="Times New Roman"/>
          <w:sz w:val="24"/>
        </w:rPr>
        <w:t xml:space="preserve"> je niz povezanih učinaka koji zbog međusobnog razmještaja i blizine postrojenja, odnosno dijelova postrojenja ili grupe postrojenja i količina opasnih tvari prisutnih u tim postrojenjima, povećavaju mogućnost izbijanja velike nesreće ili pogoršavaju posljedice nastale nesreće. Navedene objekte koji su smješteni na području </w:t>
      </w:r>
      <w:r w:rsidR="00595BCC" w:rsidRPr="005142C4">
        <w:rPr>
          <w:rFonts w:ascii="Times New Roman" w:hAnsi="Times New Roman" w:cs="Times New Roman"/>
          <w:sz w:val="24"/>
        </w:rPr>
        <w:t xml:space="preserve">Gradske </w:t>
      </w:r>
      <w:r w:rsidRPr="005142C4">
        <w:rPr>
          <w:rFonts w:ascii="Times New Roman" w:hAnsi="Times New Roman" w:cs="Times New Roman"/>
          <w:sz w:val="24"/>
        </w:rPr>
        <w:t>četvrti Peščenica</w:t>
      </w:r>
      <w:r w:rsidR="00595BCC">
        <w:rPr>
          <w:rFonts w:ascii="Times New Roman" w:hAnsi="Times New Roman" w:cs="Times New Roman"/>
          <w:sz w:val="24"/>
        </w:rPr>
        <w:t xml:space="preserve"> </w:t>
      </w:r>
      <w:r w:rsidR="00EE6A22" w:rsidRPr="005142C4">
        <w:rPr>
          <w:rFonts w:ascii="Times New Roman" w:hAnsi="Times New Roman" w:cs="Times New Roman"/>
          <w:sz w:val="24"/>
        </w:rPr>
        <w:t>-</w:t>
      </w:r>
      <w:r w:rsidR="00595BCC">
        <w:rPr>
          <w:rFonts w:ascii="Times New Roman" w:hAnsi="Times New Roman" w:cs="Times New Roman"/>
          <w:sz w:val="24"/>
        </w:rPr>
        <w:t xml:space="preserve"> </w:t>
      </w:r>
      <w:r w:rsidRPr="005142C4">
        <w:rPr>
          <w:rFonts w:ascii="Times New Roman" w:hAnsi="Times New Roman" w:cs="Times New Roman"/>
          <w:sz w:val="24"/>
        </w:rPr>
        <w:t>Žitnjak može</w:t>
      </w:r>
      <w:r w:rsidR="00595BCC">
        <w:rPr>
          <w:rFonts w:ascii="Times New Roman" w:hAnsi="Times New Roman" w:cs="Times New Roman"/>
          <w:sz w:val="24"/>
        </w:rPr>
        <w:t xml:space="preserve"> se</w:t>
      </w:r>
      <w:r w:rsidRPr="005142C4">
        <w:rPr>
          <w:rFonts w:ascii="Times New Roman" w:hAnsi="Times New Roman" w:cs="Times New Roman"/>
          <w:sz w:val="24"/>
        </w:rPr>
        <w:t xml:space="preserve"> smatrati objektima kritične infrastrukture.</w:t>
      </w:r>
    </w:p>
    <w:p w14:paraId="122C4CF0" w14:textId="77777777" w:rsidR="00E40AC8" w:rsidRPr="005142C4" w:rsidRDefault="00900184" w:rsidP="0020109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Prema registru </w:t>
      </w:r>
      <w:r w:rsidR="009579E1">
        <w:rPr>
          <w:rFonts w:ascii="Times New Roman" w:hAnsi="Times New Roman" w:cs="Times New Roman"/>
          <w:sz w:val="24"/>
        </w:rPr>
        <w:t>Ravnateljstva civilne zaštite</w:t>
      </w:r>
      <w:r w:rsidRPr="005142C4">
        <w:rPr>
          <w:rFonts w:ascii="Times New Roman" w:hAnsi="Times New Roman" w:cs="Times New Roman"/>
          <w:sz w:val="24"/>
        </w:rPr>
        <w:t xml:space="preserve"> na području Grada Zagreba nalazi se 1</w:t>
      </w:r>
      <w:r w:rsidR="009579E1">
        <w:rPr>
          <w:rFonts w:ascii="Times New Roman" w:hAnsi="Times New Roman" w:cs="Times New Roman"/>
          <w:sz w:val="24"/>
        </w:rPr>
        <w:t>8</w:t>
      </w:r>
      <w:r w:rsidRPr="005142C4">
        <w:rPr>
          <w:rFonts w:ascii="Times New Roman" w:hAnsi="Times New Roman" w:cs="Times New Roman"/>
          <w:sz w:val="24"/>
        </w:rPr>
        <w:t xml:space="preserve"> opasnih izvora.</w:t>
      </w:r>
    </w:p>
    <w:p w14:paraId="489054F9" w14:textId="77777777" w:rsidR="00E40AC8" w:rsidRDefault="00900184" w:rsidP="0020109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Temeljem višegodišnjeg praćenja prijevoza i provoza opasnih kemikalija na području Grada Zagreba može se reći da se kroz Zagreb ili pokraj njega transportira ukupno više od 150.000</w:t>
      </w:r>
      <w:r w:rsidR="00595BCC">
        <w:rPr>
          <w:rFonts w:ascii="Times New Roman" w:hAnsi="Times New Roman" w:cs="Times New Roman"/>
          <w:sz w:val="24"/>
        </w:rPr>
        <w:t> </w:t>
      </w:r>
      <w:r w:rsidRPr="005142C4">
        <w:rPr>
          <w:rFonts w:ascii="Times New Roman" w:hAnsi="Times New Roman" w:cs="Times New Roman"/>
          <w:sz w:val="24"/>
        </w:rPr>
        <w:t>t opasnih kemikalija godišnje bez uračunavanja nafte i naftnih derivata (procjena na više od 3 milijuna tona). Više od 70</w:t>
      </w:r>
      <w:r w:rsidR="00E05F09">
        <w:rPr>
          <w:rFonts w:ascii="Times New Roman" w:hAnsi="Times New Roman" w:cs="Times New Roman"/>
          <w:sz w:val="24"/>
        </w:rPr>
        <w:t> %</w:t>
      </w:r>
      <w:r w:rsidRPr="005142C4">
        <w:rPr>
          <w:rFonts w:ascii="Times New Roman" w:hAnsi="Times New Roman" w:cs="Times New Roman"/>
          <w:sz w:val="24"/>
        </w:rPr>
        <w:t xml:space="preserve"> svih kemikalija prolazi i zadržava se na zagrebačkom području, ali nesreća u prijevozu najviše je s naftnim derivatima. Prema ukupnim podacima u najvećim količinama se prevoze klorovodična kiselina, natrijev hidroksid i sumporna kiselina, a ostale kemikalije, osim naftnih derivata, u znatno manjim količinama.</w:t>
      </w:r>
    </w:p>
    <w:p w14:paraId="6418C0BA" w14:textId="77777777" w:rsidR="00201092" w:rsidRPr="005142C4" w:rsidRDefault="00201092" w:rsidP="00201092">
      <w:pPr>
        <w:spacing w:after="0" w:line="240" w:lineRule="auto"/>
        <w:ind w:right="0"/>
        <w:rPr>
          <w:rFonts w:ascii="Times New Roman" w:hAnsi="Times New Roman" w:cs="Times New Roman"/>
          <w:sz w:val="24"/>
        </w:rPr>
      </w:pPr>
    </w:p>
    <w:p w14:paraId="24A68B78" w14:textId="77777777" w:rsidR="00E40AC8" w:rsidRPr="0047770A" w:rsidRDefault="00900184" w:rsidP="0047770A">
      <w:pPr>
        <w:spacing w:after="0" w:line="240" w:lineRule="auto"/>
        <w:ind w:left="0" w:right="0" w:firstLine="709"/>
        <w:rPr>
          <w:rFonts w:ascii="Times New Roman" w:hAnsi="Times New Roman" w:cs="Times New Roman"/>
          <w:sz w:val="24"/>
          <w:u w:val="single" w:color="000000"/>
        </w:rPr>
      </w:pPr>
      <w:r w:rsidRPr="0047770A">
        <w:rPr>
          <w:rFonts w:ascii="Times New Roman" w:hAnsi="Times New Roman" w:cs="Times New Roman"/>
          <w:sz w:val="24"/>
          <w:u w:val="single" w:color="000000"/>
        </w:rPr>
        <w:t>Javne službe</w:t>
      </w:r>
    </w:p>
    <w:p w14:paraId="244143A7" w14:textId="38049D08" w:rsidR="00E40AC8" w:rsidRDefault="00900184" w:rsidP="0020109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Objektima kritične infrastrukture može</w:t>
      </w:r>
      <w:r w:rsidR="00595BCC">
        <w:rPr>
          <w:rFonts w:ascii="Times New Roman" w:hAnsi="Times New Roman" w:cs="Times New Roman"/>
          <w:sz w:val="24"/>
        </w:rPr>
        <w:t xml:space="preserve"> se</w:t>
      </w:r>
      <w:r w:rsidRPr="005142C4">
        <w:rPr>
          <w:rFonts w:ascii="Times New Roman" w:hAnsi="Times New Roman" w:cs="Times New Roman"/>
          <w:sz w:val="24"/>
        </w:rPr>
        <w:t xml:space="preserve"> smatrati objekte Vlade RH</w:t>
      </w:r>
      <w:r w:rsidR="00595BCC">
        <w:rPr>
          <w:rFonts w:ascii="Times New Roman" w:hAnsi="Times New Roman" w:cs="Times New Roman"/>
          <w:sz w:val="24"/>
        </w:rPr>
        <w:t xml:space="preserve"> i Hrvatskog sabora</w:t>
      </w:r>
      <w:r w:rsidRPr="005142C4">
        <w:rPr>
          <w:rFonts w:ascii="Times New Roman" w:hAnsi="Times New Roman" w:cs="Times New Roman"/>
          <w:sz w:val="24"/>
        </w:rPr>
        <w:t>, Ured predsjedni</w:t>
      </w:r>
      <w:r w:rsidR="00810D65">
        <w:rPr>
          <w:rFonts w:ascii="Times New Roman" w:hAnsi="Times New Roman" w:cs="Times New Roman"/>
          <w:sz w:val="24"/>
        </w:rPr>
        <w:t>ka</w:t>
      </w:r>
      <w:r w:rsidRPr="005142C4">
        <w:rPr>
          <w:rFonts w:ascii="Times New Roman" w:hAnsi="Times New Roman" w:cs="Times New Roman"/>
          <w:sz w:val="24"/>
        </w:rPr>
        <w:t xml:space="preserve"> Republike Hrvatske, objekte Hrvatske vojske i policije na području Grada Zagreba </w:t>
      </w:r>
      <w:r w:rsidR="00595BCC">
        <w:rPr>
          <w:rFonts w:ascii="Times New Roman" w:hAnsi="Times New Roman" w:cs="Times New Roman"/>
          <w:sz w:val="24"/>
        </w:rPr>
        <w:t xml:space="preserve">te </w:t>
      </w:r>
      <w:r w:rsidRPr="005142C4">
        <w:rPr>
          <w:rFonts w:ascii="Times New Roman" w:hAnsi="Times New Roman" w:cs="Times New Roman"/>
          <w:sz w:val="24"/>
        </w:rPr>
        <w:t>javne vatrogasne postaje i Nastavni zavod za hitnu medicinu Grada Zagreba.</w:t>
      </w:r>
    </w:p>
    <w:p w14:paraId="76CD14F6" w14:textId="77777777" w:rsidR="00201092" w:rsidRPr="005142C4" w:rsidRDefault="00201092" w:rsidP="00201092">
      <w:pPr>
        <w:spacing w:after="0" w:line="240" w:lineRule="auto"/>
        <w:ind w:right="0"/>
        <w:rPr>
          <w:rFonts w:ascii="Times New Roman" w:hAnsi="Times New Roman" w:cs="Times New Roman"/>
          <w:sz w:val="24"/>
        </w:rPr>
      </w:pPr>
    </w:p>
    <w:p w14:paraId="34AA2385" w14:textId="77777777" w:rsidR="00E40AC8" w:rsidRPr="0047770A" w:rsidRDefault="00900184" w:rsidP="0047770A">
      <w:pPr>
        <w:spacing w:after="0" w:line="240" w:lineRule="auto"/>
        <w:ind w:left="0" w:right="0" w:firstLine="709"/>
        <w:rPr>
          <w:rFonts w:ascii="Times New Roman" w:hAnsi="Times New Roman" w:cs="Times New Roman"/>
          <w:sz w:val="24"/>
          <w:u w:val="single" w:color="000000"/>
        </w:rPr>
      </w:pPr>
      <w:r w:rsidRPr="0047770A">
        <w:rPr>
          <w:rFonts w:ascii="Times New Roman" w:hAnsi="Times New Roman" w:cs="Times New Roman"/>
          <w:sz w:val="24"/>
          <w:u w:val="single" w:color="000000"/>
        </w:rPr>
        <w:t>Nacionalni spomenici</w:t>
      </w:r>
    </w:p>
    <w:p w14:paraId="7E216C6B" w14:textId="77777777" w:rsidR="00E40AC8" w:rsidRDefault="00900184" w:rsidP="00201092">
      <w:pPr>
        <w:spacing w:after="0" w:line="240" w:lineRule="auto"/>
        <w:ind w:left="0" w:right="0" w:firstLine="709"/>
        <w:rPr>
          <w:rFonts w:ascii="Times New Roman" w:hAnsi="Times New Roman" w:cs="Times New Roman"/>
          <w:i/>
          <w:sz w:val="24"/>
        </w:rPr>
      </w:pPr>
      <w:r w:rsidRPr="005142C4">
        <w:rPr>
          <w:rFonts w:ascii="Times New Roman" w:hAnsi="Times New Roman" w:cs="Times New Roman"/>
          <w:sz w:val="24"/>
        </w:rPr>
        <w:t>Zaštićena područja i kulturno</w:t>
      </w:r>
      <w:r w:rsidR="00EE6A22" w:rsidRPr="005142C4">
        <w:rPr>
          <w:rFonts w:ascii="Times New Roman" w:hAnsi="Times New Roman" w:cs="Times New Roman"/>
          <w:sz w:val="24"/>
        </w:rPr>
        <w:t>-</w:t>
      </w:r>
      <w:r w:rsidRPr="005142C4">
        <w:rPr>
          <w:rFonts w:ascii="Times New Roman" w:hAnsi="Times New Roman" w:cs="Times New Roman"/>
          <w:sz w:val="24"/>
        </w:rPr>
        <w:t xml:space="preserve">povijesna baština na području Grada Zagreba bit će prikazani u Poglavlju </w:t>
      </w:r>
      <w:r w:rsidRPr="005142C4">
        <w:rPr>
          <w:rFonts w:ascii="Times New Roman" w:hAnsi="Times New Roman" w:cs="Times New Roman"/>
          <w:i/>
          <w:sz w:val="24"/>
        </w:rPr>
        <w:t>2.4. Prirodno</w:t>
      </w:r>
      <w:r w:rsidR="00EE6A22" w:rsidRPr="005142C4">
        <w:rPr>
          <w:rFonts w:ascii="Times New Roman" w:hAnsi="Times New Roman" w:cs="Times New Roman"/>
          <w:i/>
          <w:sz w:val="24"/>
        </w:rPr>
        <w:t>-</w:t>
      </w:r>
      <w:r w:rsidRPr="005142C4">
        <w:rPr>
          <w:rFonts w:ascii="Times New Roman" w:hAnsi="Times New Roman" w:cs="Times New Roman"/>
          <w:i/>
          <w:sz w:val="24"/>
        </w:rPr>
        <w:t>kulturni pokazatelji.</w:t>
      </w:r>
    </w:p>
    <w:p w14:paraId="63495388" w14:textId="77777777" w:rsidR="009A2E04" w:rsidRPr="005142C4" w:rsidRDefault="009A2E04" w:rsidP="00201092">
      <w:pPr>
        <w:spacing w:after="0" w:line="240" w:lineRule="auto"/>
        <w:ind w:left="0" w:right="0" w:firstLine="709"/>
        <w:rPr>
          <w:rFonts w:ascii="Times New Roman" w:hAnsi="Times New Roman" w:cs="Times New Roman"/>
          <w:sz w:val="24"/>
        </w:rPr>
      </w:pPr>
    </w:p>
    <w:p w14:paraId="0F16829E" w14:textId="77777777" w:rsidR="00E40AC8" w:rsidRDefault="00900184" w:rsidP="00201092">
      <w:pPr>
        <w:spacing w:after="0" w:line="240" w:lineRule="auto"/>
        <w:ind w:left="0" w:right="0" w:firstLine="709"/>
        <w:rPr>
          <w:rFonts w:ascii="Times New Roman" w:hAnsi="Times New Roman" w:cs="Times New Roman"/>
          <w:sz w:val="24"/>
        </w:rPr>
      </w:pPr>
      <w:r w:rsidRPr="005142C4">
        <w:rPr>
          <w:rFonts w:ascii="Times New Roman" w:hAnsi="Times New Roman" w:cs="Times New Roman"/>
          <w:b/>
          <w:sz w:val="24"/>
        </w:rPr>
        <w:t>NAPOMENA</w:t>
      </w:r>
      <w:r w:rsidRPr="005142C4">
        <w:rPr>
          <w:rFonts w:ascii="Times New Roman" w:hAnsi="Times New Roman" w:cs="Times New Roman"/>
          <w:sz w:val="24"/>
        </w:rPr>
        <w:t>: Zbog javne dostupnosti dokumenta, ne navode se točne lokacije objekata koji se smatraju kritičnom infrastrukturom.</w:t>
      </w:r>
    </w:p>
    <w:p w14:paraId="6D9DA4B0" w14:textId="21EFD24A" w:rsidR="00D21FF1" w:rsidRDefault="00D21FF1" w:rsidP="005142C4">
      <w:pPr>
        <w:spacing w:after="0" w:line="240" w:lineRule="auto"/>
        <w:ind w:left="0" w:right="0" w:firstLine="0"/>
        <w:rPr>
          <w:rFonts w:ascii="Times New Roman" w:hAnsi="Times New Roman" w:cs="Times New Roman"/>
          <w:sz w:val="24"/>
        </w:rPr>
      </w:pPr>
    </w:p>
    <w:p w14:paraId="08632D3D" w14:textId="5FCB3428" w:rsidR="003E5482" w:rsidRDefault="003E5482" w:rsidP="005142C4">
      <w:pPr>
        <w:spacing w:after="0" w:line="240" w:lineRule="auto"/>
        <w:ind w:left="0" w:right="0" w:firstLine="0"/>
        <w:rPr>
          <w:rFonts w:ascii="Times New Roman" w:hAnsi="Times New Roman" w:cs="Times New Roman"/>
          <w:sz w:val="24"/>
        </w:rPr>
      </w:pPr>
    </w:p>
    <w:p w14:paraId="53C3E41B" w14:textId="7F52F131" w:rsidR="00E40AC8" w:rsidRPr="00D21FF1" w:rsidRDefault="00900184" w:rsidP="00D21FF1">
      <w:pPr>
        <w:spacing w:after="0" w:line="240" w:lineRule="auto"/>
        <w:ind w:right="0"/>
        <w:rPr>
          <w:rFonts w:ascii="Times New Roman" w:hAnsi="Times New Roman" w:cs="Times New Roman"/>
          <w:b/>
          <w:sz w:val="24"/>
        </w:rPr>
      </w:pPr>
      <w:bookmarkStart w:id="34" w:name="_Toc2938553"/>
      <w:r w:rsidRPr="00D21FF1">
        <w:rPr>
          <w:rFonts w:ascii="Times New Roman" w:hAnsi="Times New Roman" w:cs="Times New Roman"/>
          <w:b/>
          <w:sz w:val="24"/>
        </w:rPr>
        <w:lastRenderedPageBreak/>
        <w:t>2.4. Prirodno</w:t>
      </w:r>
      <w:r w:rsidR="00EE6A22" w:rsidRPr="00D21FF1">
        <w:rPr>
          <w:rFonts w:ascii="Times New Roman" w:hAnsi="Times New Roman" w:cs="Times New Roman"/>
          <w:b/>
          <w:sz w:val="24"/>
        </w:rPr>
        <w:t>-</w:t>
      </w:r>
      <w:r w:rsidRPr="00D21FF1">
        <w:rPr>
          <w:rFonts w:ascii="Times New Roman" w:hAnsi="Times New Roman" w:cs="Times New Roman"/>
          <w:b/>
          <w:sz w:val="24"/>
        </w:rPr>
        <w:t>kulturni pokazatelji</w:t>
      </w:r>
      <w:bookmarkEnd w:id="34"/>
    </w:p>
    <w:p w14:paraId="1D12B681" w14:textId="77777777" w:rsidR="00D21FF1" w:rsidRPr="00D21FF1" w:rsidRDefault="00D21FF1" w:rsidP="00D21FF1">
      <w:pPr>
        <w:spacing w:after="0" w:line="240" w:lineRule="auto"/>
        <w:ind w:left="0" w:right="0" w:firstLine="0"/>
        <w:rPr>
          <w:rFonts w:ascii="Times New Roman" w:hAnsi="Times New Roman" w:cs="Times New Roman"/>
          <w:sz w:val="24"/>
        </w:rPr>
      </w:pPr>
      <w:bookmarkStart w:id="35" w:name="_Toc2938554"/>
    </w:p>
    <w:p w14:paraId="71F02C68" w14:textId="77777777" w:rsidR="00E40AC8" w:rsidRPr="00D21FF1" w:rsidRDefault="00900184" w:rsidP="00D21FF1">
      <w:pPr>
        <w:spacing w:after="0" w:line="240" w:lineRule="auto"/>
        <w:ind w:left="0" w:right="0" w:firstLine="709"/>
        <w:rPr>
          <w:rFonts w:ascii="Times New Roman" w:hAnsi="Times New Roman" w:cs="Times New Roman"/>
          <w:b/>
          <w:sz w:val="24"/>
        </w:rPr>
      </w:pPr>
      <w:r w:rsidRPr="00D21FF1">
        <w:rPr>
          <w:rFonts w:ascii="Times New Roman" w:hAnsi="Times New Roman" w:cs="Times New Roman"/>
          <w:b/>
          <w:sz w:val="24"/>
        </w:rPr>
        <w:t>2.4.1. Zaštićena područja</w:t>
      </w:r>
      <w:bookmarkEnd w:id="35"/>
    </w:p>
    <w:p w14:paraId="25E47ECE" w14:textId="77777777" w:rsidR="00E40AC8" w:rsidRPr="005142C4" w:rsidRDefault="00900184" w:rsidP="00D21FF1">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Na području Grada Zagreba evidentirano je i zaštićeno više posebno vrijednih prostora. Oni obuhvaćaju zone nepokretnih kulturnih dobara, dijelove prirodnog zemljišta te područja krajobrazne vrijednosti. Pojedini prirodni prostori Grada Zagreba evidentirani su kao posebno vrijedna područja koja se štite na međunarodnoj, nacionalnoj i razini Grada.</w:t>
      </w:r>
    </w:p>
    <w:p w14:paraId="49E16367" w14:textId="77777777" w:rsidR="00E40AC8" w:rsidRPr="00C96208" w:rsidRDefault="00900184" w:rsidP="00201092">
      <w:pPr>
        <w:spacing w:after="0" w:line="240" w:lineRule="auto"/>
        <w:ind w:left="0" w:right="0" w:firstLine="709"/>
        <w:rPr>
          <w:rFonts w:ascii="Times New Roman" w:hAnsi="Times New Roman" w:cs="Times New Roman"/>
          <w:color w:val="auto"/>
          <w:sz w:val="24"/>
        </w:rPr>
      </w:pPr>
      <w:r w:rsidRPr="005142C4">
        <w:rPr>
          <w:rFonts w:ascii="Times New Roman" w:hAnsi="Times New Roman" w:cs="Times New Roman"/>
          <w:sz w:val="24"/>
        </w:rPr>
        <w:t xml:space="preserve">Najveća zaštićena prirodna cjelina na području Grada Zagreba je zaštićeno područje državnog </w:t>
      </w:r>
      <w:r w:rsidRPr="00C96208">
        <w:rPr>
          <w:rFonts w:ascii="Times New Roman" w:hAnsi="Times New Roman" w:cs="Times New Roman"/>
          <w:color w:val="auto"/>
          <w:sz w:val="24"/>
        </w:rPr>
        <w:t>značaja Park prirode (PP) Medvednica. Uz PP Medvednica, temeljem Zakona o zaštiti prirode (Narodne novine 80/13, 15/18</w:t>
      </w:r>
      <w:r w:rsidR="000C1A3A" w:rsidRPr="00C96208">
        <w:rPr>
          <w:rFonts w:ascii="Times New Roman" w:hAnsi="Times New Roman" w:cs="Times New Roman"/>
          <w:color w:val="auto"/>
          <w:sz w:val="24"/>
        </w:rPr>
        <w:t xml:space="preserve">, </w:t>
      </w:r>
      <w:r w:rsidRPr="00C96208">
        <w:rPr>
          <w:rFonts w:ascii="Times New Roman" w:hAnsi="Times New Roman" w:cs="Times New Roman"/>
          <w:color w:val="auto"/>
          <w:sz w:val="24"/>
        </w:rPr>
        <w:t>14/19</w:t>
      </w:r>
      <w:r w:rsidR="000C1A3A" w:rsidRPr="00C96208">
        <w:rPr>
          <w:rFonts w:ascii="Times New Roman" w:hAnsi="Times New Roman" w:cs="Times New Roman"/>
          <w:color w:val="auto"/>
          <w:sz w:val="24"/>
        </w:rPr>
        <w:t xml:space="preserve"> i 127/19</w:t>
      </w:r>
      <w:r w:rsidRPr="00C96208">
        <w:rPr>
          <w:rFonts w:ascii="Times New Roman" w:hAnsi="Times New Roman" w:cs="Times New Roman"/>
          <w:color w:val="auto"/>
          <w:sz w:val="24"/>
        </w:rPr>
        <w:t>) zaštićeno je, uz Park prirode</w:t>
      </w:r>
      <w:r w:rsidR="00201092" w:rsidRPr="00C96208">
        <w:rPr>
          <w:rFonts w:ascii="Times New Roman" w:hAnsi="Times New Roman" w:cs="Times New Roman"/>
          <w:color w:val="auto"/>
          <w:sz w:val="24"/>
        </w:rPr>
        <w:t xml:space="preserve"> </w:t>
      </w:r>
      <w:r w:rsidRPr="00C96208">
        <w:rPr>
          <w:rFonts w:ascii="Times New Roman" w:hAnsi="Times New Roman" w:cs="Times New Roman"/>
          <w:color w:val="auto"/>
          <w:sz w:val="24"/>
        </w:rPr>
        <w:t>Medvednica, sedam posebnih rezervata šumske vegetacije unutar PP Medvednica (od čega šest na području Grada Zagreba), park</w:t>
      </w:r>
      <w:r w:rsidR="00DA10F6" w:rsidRPr="00C96208">
        <w:rPr>
          <w:rFonts w:ascii="Times New Roman" w:hAnsi="Times New Roman" w:cs="Times New Roman"/>
          <w:color w:val="auto"/>
          <w:sz w:val="24"/>
        </w:rPr>
        <w:t>-</w:t>
      </w:r>
      <w:r w:rsidRPr="00C96208">
        <w:rPr>
          <w:rFonts w:ascii="Times New Roman" w:hAnsi="Times New Roman" w:cs="Times New Roman"/>
          <w:color w:val="auto"/>
          <w:sz w:val="24"/>
        </w:rPr>
        <w:t>šuma Dotrščina, značajni krajobrazi Lipa i Goranec unutar PP Medvednica, geomorfološki spomenik prirode spilja Veternica (unutar PP Medvednica), spomenici parkovne arhitekture: 2 botanička vrta i 15 parkova, 2 pojedinačna stabla, te područja ekološke mreže RH. Ekološka mreža obuhvaćala je PP Medvednica, prostor priobalja rijeke Save, prostor Savice, šumu Maksimir i deset manjih lokacija stanišnih tipova (od čega šest unutar PP Medvednica).</w:t>
      </w:r>
    </w:p>
    <w:p w14:paraId="6A5B2B81" w14:textId="77777777" w:rsidR="000C1A3A" w:rsidRPr="00C96208" w:rsidRDefault="000C1A3A" w:rsidP="000C1A3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rPr>
        <w:t>Posebno zaštićeni dijelovi prirode na području Grada Zagreba su:</w:t>
      </w:r>
    </w:p>
    <w:p w14:paraId="46A0D32C" w14:textId="77777777" w:rsidR="000C1A3A" w:rsidRPr="00C96208" w:rsidRDefault="000C1A3A" w:rsidP="000C1A3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rPr>
        <w:t>Park prirode: Medvednica (1981.) - dobro očuvane šume i šumske zajednice, osam šumskih rezervata i drugi posebno zaštićeni dijelovi prirode.</w:t>
      </w:r>
    </w:p>
    <w:p w14:paraId="22D21AA0" w14:textId="77777777" w:rsidR="000C1A3A" w:rsidRPr="00C96208" w:rsidRDefault="000C1A3A" w:rsidP="000C1A3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rPr>
        <w:t>Posebni rezervati: Rezervati šumske vegetacije: Bliznec - Šumarev grob (1963.) - (šuma bukve i jele na Medvednici); Gračec - Lukovica - Rebar (1963.) - (termofilne šume hrasta medunca i crnog graba na Medvednici); Mikulić potok - Vrabečka gora (1963.) - (brdska bukova šuma na Medvednici); Pušinjak - Gorščica (1963.) - (brdska bukova šuma na Medvednici); Rauchova lugarnica - Desna Trnava (1963.) - (šuma bukve i jele na Medvednici); Tusti vrh - Kremenjak (1963.) - (šuma hrasta kitnjaka i bukve na Medvednici); Babji zub - Ponikve (1963.) - (šuma hrasta kitnjaka i bukve na Medvednici).</w:t>
      </w:r>
    </w:p>
    <w:p w14:paraId="71542538" w14:textId="77777777" w:rsidR="000C1A3A" w:rsidRPr="00C96208" w:rsidRDefault="000C1A3A" w:rsidP="000C1A3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rPr>
        <w:t>Park-šuma: Dotrščina (1964.) - (šumski kompleks sjeverno od Maksimira).</w:t>
      </w:r>
    </w:p>
    <w:p w14:paraId="4424BEEB" w14:textId="77777777" w:rsidR="000C1A3A" w:rsidRPr="00C96208" w:rsidRDefault="000C1A3A" w:rsidP="000C1A3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rPr>
        <w:t>Zaštićeni krajolik: Lipa (1975.) - (masiv Lipe s dva vrha, reljef, botanički značajne livade), Goranec (1977.) - (geomorfološki zanimljiv brežuljkast reljef).</w:t>
      </w:r>
    </w:p>
    <w:p w14:paraId="50BD14A9" w14:textId="77777777" w:rsidR="000C1A3A" w:rsidRPr="00C96208" w:rsidRDefault="000C1A3A" w:rsidP="000C1A3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rPr>
        <w:t>Spomenici prirode: Geomorfološki spomenici prirode: Veternica - spilja (1979.) - (horizontalni speleološki objekt s vrlo složenom mrežom kanala etažnog tipa, nekoliko vodenih tokova, nalazište fosilnog čovjeka i životinjskih skeleta).</w:t>
      </w:r>
    </w:p>
    <w:p w14:paraId="00CE88B1" w14:textId="77777777" w:rsidR="000C1A3A" w:rsidRPr="00C96208" w:rsidRDefault="000C1A3A" w:rsidP="000C1A3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rPr>
        <w:t>Rijetki primjerci drveća: Cerje - klen (1964.).</w:t>
      </w:r>
    </w:p>
    <w:p w14:paraId="0E5E93FE" w14:textId="77777777" w:rsidR="000C1A3A" w:rsidRPr="00C96208" w:rsidRDefault="000C1A3A" w:rsidP="000C1A3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rPr>
        <w:t>Spomenici parkovne arhitekture: Botanički vrt, Botanički vrt Farmaceutsko-biokemijskog fakulteta (1969.), Botanički vrt PMF-a (1971.).</w:t>
      </w:r>
    </w:p>
    <w:p w14:paraId="5D6038C3" w14:textId="77777777" w:rsidR="000C1A3A" w:rsidRPr="00C96208" w:rsidRDefault="000C1A3A" w:rsidP="000C1A3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rPr>
        <w:t>Parkovi: Park u Jurjevskoj 27 (1948.), Mallinov park (1960.), Park u Mlinovima 72 (1963.), Park Maksimir (1964.), Park Ribnjak (1970.), Park u Jurjevskoj 30 (1970.), Park Zrinjevac (1970.), Park na Trgu kralja Tomislava (1970.), Strossmayerov park (1970.), Park uz dvorac Junković (1971.), Park u dvorištu u Prilazu Gj. Deželića 14 (1998.).</w:t>
      </w:r>
    </w:p>
    <w:p w14:paraId="4F6E6CBD" w14:textId="2ADD88CA" w:rsidR="00DA10F6" w:rsidRDefault="000C1A3A" w:rsidP="000C1A3A">
      <w:pPr>
        <w:spacing w:after="0" w:line="240" w:lineRule="auto"/>
        <w:ind w:left="0" w:right="0" w:firstLine="709"/>
        <w:rPr>
          <w:rFonts w:ascii="Times New Roman" w:hAnsi="Times New Roman" w:cs="Times New Roman"/>
          <w:color w:val="auto"/>
          <w:sz w:val="24"/>
        </w:rPr>
      </w:pPr>
      <w:r w:rsidRPr="00C96208">
        <w:rPr>
          <w:rFonts w:ascii="Times New Roman" w:hAnsi="Times New Roman" w:cs="Times New Roman"/>
          <w:color w:val="auto"/>
          <w:sz w:val="24"/>
        </w:rPr>
        <w:t>Pojedinačno stablo: Gračani - oskoruša (1966.), pustenasta paulovnija (1967.), mamutovac na Paunovcu (1998.)</w:t>
      </w:r>
      <w:r w:rsidR="00212858">
        <w:rPr>
          <w:rFonts w:ascii="Times New Roman" w:hAnsi="Times New Roman" w:cs="Times New Roman"/>
          <w:color w:val="auto"/>
          <w:sz w:val="24"/>
        </w:rPr>
        <w:t>.</w:t>
      </w:r>
    </w:p>
    <w:p w14:paraId="0FD58307" w14:textId="5E46DC5B" w:rsidR="003E5482" w:rsidRDefault="003E5482" w:rsidP="000C1A3A">
      <w:pPr>
        <w:spacing w:after="0" w:line="240" w:lineRule="auto"/>
        <w:ind w:left="0" w:right="0" w:firstLine="709"/>
        <w:rPr>
          <w:rFonts w:ascii="Times New Roman" w:hAnsi="Times New Roman" w:cs="Times New Roman"/>
          <w:color w:val="auto"/>
          <w:sz w:val="24"/>
        </w:rPr>
      </w:pPr>
    </w:p>
    <w:p w14:paraId="5F808691" w14:textId="60B75E03" w:rsidR="003E5482" w:rsidRDefault="003E5482" w:rsidP="000C1A3A">
      <w:pPr>
        <w:spacing w:after="0" w:line="240" w:lineRule="auto"/>
        <w:ind w:left="0" w:right="0" w:firstLine="709"/>
        <w:rPr>
          <w:rFonts w:ascii="Times New Roman" w:hAnsi="Times New Roman" w:cs="Times New Roman"/>
          <w:color w:val="auto"/>
          <w:sz w:val="24"/>
        </w:rPr>
      </w:pPr>
    </w:p>
    <w:p w14:paraId="759E8429" w14:textId="5D410863" w:rsidR="003E5482" w:rsidRDefault="003E5482" w:rsidP="000C1A3A">
      <w:pPr>
        <w:spacing w:after="0" w:line="240" w:lineRule="auto"/>
        <w:ind w:left="0" w:right="0" w:firstLine="709"/>
        <w:rPr>
          <w:rFonts w:ascii="Times New Roman" w:hAnsi="Times New Roman" w:cs="Times New Roman"/>
          <w:color w:val="auto"/>
          <w:sz w:val="24"/>
        </w:rPr>
      </w:pPr>
    </w:p>
    <w:p w14:paraId="22EBA298" w14:textId="44C978E3" w:rsidR="003E5482" w:rsidRDefault="003E5482" w:rsidP="000C1A3A">
      <w:pPr>
        <w:spacing w:after="0" w:line="240" w:lineRule="auto"/>
        <w:ind w:left="0" w:right="0" w:firstLine="709"/>
        <w:rPr>
          <w:rFonts w:ascii="Times New Roman" w:hAnsi="Times New Roman" w:cs="Times New Roman"/>
          <w:color w:val="auto"/>
          <w:sz w:val="24"/>
        </w:rPr>
      </w:pPr>
    </w:p>
    <w:p w14:paraId="002F63E0" w14:textId="35173FD3" w:rsidR="003E5482" w:rsidRDefault="003E5482" w:rsidP="000C1A3A">
      <w:pPr>
        <w:spacing w:after="0" w:line="240" w:lineRule="auto"/>
        <w:ind w:left="0" w:right="0" w:firstLine="709"/>
        <w:rPr>
          <w:rFonts w:ascii="Times New Roman" w:hAnsi="Times New Roman" w:cs="Times New Roman"/>
          <w:color w:val="auto"/>
          <w:sz w:val="24"/>
        </w:rPr>
      </w:pPr>
    </w:p>
    <w:p w14:paraId="57F84503" w14:textId="6A7C77A1" w:rsidR="003E5482" w:rsidRDefault="003E5482" w:rsidP="000C1A3A">
      <w:pPr>
        <w:spacing w:after="0" w:line="240" w:lineRule="auto"/>
        <w:ind w:left="0" w:right="0" w:firstLine="709"/>
        <w:rPr>
          <w:rFonts w:ascii="Times New Roman" w:hAnsi="Times New Roman" w:cs="Times New Roman"/>
          <w:color w:val="auto"/>
          <w:sz w:val="24"/>
        </w:rPr>
      </w:pPr>
    </w:p>
    <w:p w14:paraId="440638C6" w14:textId="77777777" w:rsidR="003E5482" w:rsidRDefault="003E5482" w:rsidP="000C1A3A">
      <w:pPr>
        <w:spacing w:after="0" w:line="240" w:lineRule="auto"/>
        <w:ind w:left="0" w:right="0" w:firstLine="709"/>
        <w:rPr>
          <w:rFonts w:ascii="Times New Roman" w:hAnsi="Times New Roman" w:cs="Times New Roman"/>
          <w:color w:val="auto"/>
          <w:sz w:val="24"/>
        </w:rPr>
      </w:pPr>
    </w:p>
    <w:p w14:paraId="4B6CC906" w14:textId="2768C638" w:rsidR="001475F3" w:rsidRDefault="001475F3" w:rsidP="000C1A3A">
      <w:pPr>
        <w:spacing w:after="0" w:line="240" w:lineRule="auto"/>
        <w:ind w:left="0" w:right="0" w:firstLine="709"/>
        <w:rPr>
          <w:rFonts w:ascii="Times New Roman" w:hAnsi="Times New Roman" w:cs="Times New Roman"/>
          <w:color w:val="auto"/>
          <w:sz w:val="24"/>
        </w:rPr>
      </w:pPr>
    </w:p>
    <w:p w14:paraId="0EAC956C" w14:textId="5BF89F13" w:rsidR="00E40AC8" w:rsidRPr="00C96208" w:rsidRDefault="00900184" w:rsidP="0047770A">
      <w:pPr>
        <w:spacing w:after="0" w:line="240" w:lineRule="auto"/>
        <w:ind w:left="0" w:right="0" w:firstLine="0"/>
        <w:jc w:val="center"/>
        <w:rPr>
          <w:rFonts w:ascii="Times New Roman" w:hAnsi="Times New Roman" w:cs="Times New Roman"/>
          <w:b/>
          <w:color w:val="auto"/>
          <w:sz w:val="24"/>
        </w:rPr>
      </w:pPr>
      <w:r w:rsidRPr="00C96208">
        <w:rPr>
          <w:rFonts w:ascii="Times New Roman" w:hAnsi="Times New Roman" w:cs="Times New Roman"/>
          <w:b/>
          <w:color w:val="auto"/>
          <w:sz w:val="24"/>
        </w:rPr>
        <w:lastRenderedPageBreak/>
        <w:t>Tablica 2</w:t>
      </w:r>
      <w:r w:rsidR="005E088F">
        <w:rPr>
          <w:rFonts w:ascii="Times New Roman" w:hAnsi="Times New Roman" w:cs="Times New Roman"/>
          <w:b/>
          <w:color w:val="auto"/>
          <w:sz w:val="24"/>
        </w:rPr>
        <w:t>5</w:t>
      </w:r>
      <w:r w:rsidRPr="00C96208">
        <w:rPr>
          <w:rFonts w:ascii="Times New Roman" w:hAnsi="Times New Roman" w:cs="Times New Roman"/>
          <w:b/>
          <w:color w:val="auto"/>
          <w:sz w:val="24"/>
        </w:rPr>
        <w:t>. Zaštićena područja prirode u Gradu Zagrebu</w:t>
      </w:r>
    </w:p>
    <w:p w14:paraId="0DED1386" w14:textId="77777777" w:rsidR="00DA10F6" w:rsidRPr="000C1A3A" w:rsidRDefault="00DA10F6" w:rsidP="00DA10F6">
      <w:pPr>
        <w:spacing w:after="0" w:line="240" w:lineRule="auto"/>
        <w:ind w:left="0" w:right="0" w:firstLine="0"/>
        <w:rPr>
          <w:rFonts w:ascii="Times New Roman" w:hAnsi="Times New Roman" w:cs="Times New Roman"/>
          <w:color w:val="FF0000"/>
          <w:sz w:val="24"/>
        </w:rPr>
      </w:pPr>
    </w:p>
    <w:p w14:paraId="5B12B380" w14:textId="77777777" w:rsidR="00E40AC8" w:rsidRPr="000C1A3A" w:rsidRDefault="00900184" w:rsidP="00201092">
      <w:pPr>
        <w:spacing w:after="0" w:line="240" w:lineRule="auto"/>
        <w:ind w:left="0" w:right="0" w:firstLine="0"/>
        <w:jc w:val="center"/>
        <w:rPr>
          <w:rFonts w:ascii="Times New Roman" w:hAnsi="Times New Roman" w:cs="Times New Roman"/>
          <w:color w:val="FF0000"/>
          <w:sz w:val="24"/>
        </w:rPr>
      </w:pPr>
      <w:r w:rsidRPr="000C1A3A">
        <w:rPr>
          <w:rFonts w:ascii="Times New Roman" w:hAnsi="Times New Roman" w:cs="Times New Roman"/>
          <w:noProof/>
          <w:color w:val="FF0000"/>
          <w:sz w:val="24"/>
        </w:rPr>
        <w:drawing>
          <wp:inline distT="0" distB="0" distL="0" distR="0" wp14:anchorId="2EEA8F4B" wp14:editId="7788061C">
            <wp:extent cx="4548009" cy="4912995"/>
            <wp:effectExtent l="0" t="0" r="5080" b="1905"/>
            <wp:docPr id="23629" name="Picture 23629"/>
            <wp:cNvGraphicFramePr/>
            <a:graphic xmlns:a="http://schemas.openxmlformats.org/drawingml/2006/main">
              <a:graphicData uri="http://schemas.openxmlformats.org/drawingml/2006/picture">
                <pic:pic xmlns:pic="http://schemas.openxmlformats.org/drawingml/2006/picture">
                  <pic:nvPicPr>
                    <pic:cNvPr id="23629" name="Picture 2362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48009" cy="4912995"/>
                    </a:xfrm>
                    <a:prstGeom prst="rect">
                      <a:avLst/>
                    </a:prstGeom>
                  </pic:spPr>
                </pic:pic>
              </a:graphicData>
            </a:graphic>
          </wp:inline>
        </w:drawing>
      </w:r>
    </w:p>
    <w:p w14:paraId="777D1BB3" w14:textId="77777777" w:rsidR="00E40AC8" w:rsidRPr="00C96208" w:rsidRDefault="00900184" w:rsidP="005142C4">
      <w:pPr>
        <w:spacing w:after="0" w:line="240" w:lineRule="auto"/>
        <w:ind w:left="0" w:right="0" w:firstLine="0"/>
        <w:jc w:val="center"/>
        <w:rPr>
          <w:rFonts w:ascii="Times New Roman" w:eastAsia="Calibri" w:hAnsi="Times New Roman" w:cs="Times New Roman"/>
          <w:i/>
          <w:color w:val="auto"/>
          <w:sz w:val="20"/>
        </w:rPr>
      </w:pPr>
      <w:r w:rsidRPr="00C96208">
        <w:rPr>
          <w:rFonts w:ascii="Times New Roman" w:eastAsia="Calibri" w:hAnsi="Times New Roman" w:cs="Times New Roman"/>
          <w:i/>
          <w:color w:val="auto"/>
          <w:sz w:val="20"/>
        </w:rPr>
        <w:t xml:space="preserve">Izvor: Izvješće o stanju u prostoru Grada Zagreba za razdoblje 2013. </w:t>
      </w:r>
      <w:r w:rsidR="00EE6A22" w:rsidRPr="00C96208">
        <w:rPr>
          <w:rFonts w:ascii="Times New Roman" w:eastAsia="Calibri" w:hAnsi="Times New Roman" w:cs="Times New Roman"/>
          <w:i/>
          <w:color w:val="auto"/>
          <w:sz w:val="20"/>
        </w:rPr>
        <w:t>-</w:t>
      </w:r>
      <w:r w:rsidRPr="00C96208">
        <w:rPr>
          <w:rFonts w:ascii="Times New Roman" w:eastAsia="Calibri" w:hAnsi="Times New Roman" w:cs="Times New Roman"/>
          <w:i/>
          <w:color w:val="auto"/>
          <w:sz w:val="20"/>
        </w:rPr>
        <w:t xml:space="preserve"> 2016.</w:t>
      </w:r>
    </w:p>
    <w:p w14:paraId="159C98F1" w14:textId="77777777" w:rsidR="00E40AC8" w:rsidRPr="00201092" w:rsidRDefault="00E40AC8" w:rsidP="005142C4">
      <w:pPr>
        <w:spacing w:after="0" w:line="240" w:lineRule="auto"/>
        <w:ind w:left="0" w:right="0" w:firstLine="0"/>
        <w:jc w:val="left"/>
        <w:rPr>
          <w:rFonts w:ascii="Times New Roman" w:hAnsi="Times New Roman" w:cs="Times New Roman"/>
          <w:sz w:val="24"/>
        </w:rPr>
      </w:pPr>
    </w:p>
    <w:p w14:paraId="33A41338" w14:textId="77777777" w:rsidR="00E40AC8" w:rsidRPr="00201092" w:rsidRDefault="00900184" w:rsidP="00201092">
      <w:pPr>
        <w:spacing w:after="0" w:line="240" w:lineRule="auto"/>
        <w:ind w:left="0" w:right="0" w:firstLine="709"/>
        <w:jc w:val="left"/>
        <w:rPr>
          <w:rFonts w:ascii="Times New Roman" w:hAnsi="Times New Roman" w:cs="Times New Roman"/>
          <w:b/>
          <w:sz w:val="24"/>
        </w:rPr>
      </w:pPr>
      <w:bookmarkStart w:id="36" w:name="_Toc2938555"/>
      <w:r w:rsidRPr="00201092">
        <w:rPr>
          <w:rFonts w:ascii="Times New Roman" w:hAnsi="Times New Roman" w:cs="Times New Roman"/>
          <w:b/>
          <w:sz w:val="24"/>
        </w:rPr>
        <w:t>2.4.2. Kulturno</w:t>
      </w:r>
      <w:r w:rsidR="00EE6A22" w:rsidRPr="00201092">
        <w:rPr>
          <w:rFonts w:ascii="Times New Roman" w:hAnsi="Times New Roman" w:cs="Times New Roman"/>
          <w:b/>
          <w:sz w:val="24"/>
        </w:rPr>
        <w:t>-</w:t>
      </w:r>
      <w:r w:rsidRPr="00201092">
        <w:rPr>
          <w:rFonts w:ascii="Times New Roman" w:hAnsi="Times New Roman" w:cs="Times New Roman"/>
          <w:b/>
          <w:sz w:val="24"/>
        </w:rPr>
        <w:t>povijesna baština</w:t>
      </w:r>
      <w:bookmarkEnd w:id="36"/>
    </w:p>
    <w:p w14:paraId="388211A1" w14:textId="1239AA7C" w:rsidR="009466BB" w:rsidRDefault="00900184" w:rsidP="0020109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Nepokretna kulturna dobra obuhvaćena su kategorijama prirodnog krajobraza, kultiviranog krajobraza te </w:t>
      </w:r>
      <w:r w:rsidRPr="00C96208">
        <w:rPr>
          <w:rFonts w:ascii="Times New Roman" w:hAnsi="Times New Roman" w:cs="Times New Roman"/>
          <w:color w:val="auto"/>
          <w:sz w:val="24"/>
        </w:rPr>
        <w:t>gradskih i seoskih cjelina. Na prostoru Grada Zagreba nalazi se 913 kulturnih dobara upisanih u Registar kulturnih dobara Republike Hrvatske, u liste zaštićenih i preventivno zaštićenih kulturnih dobara te sukladno tome zaštićenih Zakonom o zaštiti i očuvanju kulturnih dobara</w:t>
      </w:r>
      <w:r w:rsidR="00BF4971">
        <w:rPr>
          <w:rFonts w:ascii="Times New Roman" w:hAnsi="Times New Roman" w:cs="Times New Roman"/>
          <w:color w:val="auto"/>
          <w:sz w:val="24"/>
        </w:rPr>
        <w:t xml:space="preserve"> (N</w:t>
      </w:r>
      <w:r w:rsidR="00F45E3E">
        <w:rPr>
          <w:rFonts w:ascii="Times New Roman" w:hAnsi="Times New Roman" w:cs="Times New Roman"/>
          <w:color w:val="auto"/>
          <w:sz w:val="24"/>
        </w:rPr>
        <w:t xml:space="preserve">arodne novine </w:t>
      </w:r>
      <w:r w:rsidR="00BF4971" w:rsidRPr="00BF4971">
        <w:rPr>
          <w:rFonts w:ascii="Times New Roman" w:hAnsi="Times New Roman" w:cs="Times New Roman"/>
          <w:color w:val="auto"/>
          <w:sz w:val="24"/>
        </w:rPr>
        <w:t>69/99, 151/03, 157/03, 100/04,  87/09, 88/10, 61/11, 25/12, 136/12, 157/13, 152/14 , 98/15, 44/17, 90/18, 32/20, 62/20, 117/21</w:t>
      </w:r>
      <w:r w:rsidR="00BF4971">
        <w:rPr>
          <w:rFonts w:ascii="Times New Roman" w:hAnsi="Times New Roman" w:cs="Times New Roman"/>
          <w:color w:val="auto"/>
          <w:sz w:val="24"/>
        </w:rPr>
        <w:t>)</w:t>
      </w:r>
      <w:r w:rsidRPr="00C96208">
        <w:rPr>
          <w:rFonts w:ascii="Times New Roman" w:hAnsi="Times New Roman" w:cs="Times New Roman"/>
          <w:color w:val="auto"/>
          <w:sz w:val="24"/>
        </w:rPr>
        <w:t>. Najveći dio otpada na nepokretna kulturna dobra, kojih je 619: 22 povijesne cjeline ukupne površine 21,6 km</w:t>
      </w:r>
      <w:r w:rsidRPr="00C96208">
        <w:rPr>
          <w:rFonts w:ascii="Times New Roman" w:hAnsi="Times New Roman" w:cs="Times New Roman"/>
          <w:color w:val="auto"/>
          <w:sz w:val="24"/>
          <w:vertAlign w:val="superscript"/>
        </w:rPr>
        <w:t>2</w:t>
      </w:r>
      <w:r w:rsidRPr="00C96208">
        <w:rPr>
          <w:rFonts w:ascii="Times New Roman" w:hAnsi="Times New Roman" w:cs="Times New Roman"/>
          <w:color w:val="auto"/>
          <w:sz w:val="24"/>
        </w:rPr>
        <w:t xml:space="preserve">, 47 graditeljskih sklopova, 509 pojedinačnih objekata, 5 arheoloških područja i lokaliteta i 36 ostalih dobara. Pokretna kulturna dobra i nematerijalna baština obuhvaćaju 294 registrirana dobra: 109 primjeraka zaštićene muzejske građe, 113 zbirki, 62 pojedinačno zaštićena pokretna kulturna dobra i 10 dobara iz kategorije zaštićene nematerijalne kulturne baštine. </w:t>
      </w:r>
    </w:p>
    <w:p w14:paraId="02EEFFC4" w14:textId="77777777" w:rsidR="00E40AC8" w:rsidRPr="005142C4" w:rsidRDefault="00900184" w:rsidP="0020109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Nepokretna kulturna dobra posebna su vrijednost u prostoru. Na razini Grada Zagreba štite se odredbama prostorno</w:t>
      </w:r>
      <w:r w:rsidR="00EE6A22" w:rsidRPr="005142C4">
        <w:rPr>
          <w:rFonts w:ascii="Times New Roman" w:hAnsi="Times New Roman" w:cs="Times New Roman"/>
          <w:sz w:val="24"/>
        </w:rPr>
        <w:t>-</w:t>
      </w:r>
      <w:r w:rsidRPr="005142C4">
        <w:rPr>
          <w:rFonts w:ascii="Times New Roman" w:hAnsi="Times New Roman" w:cs="Times New Roman"/>
          <w:sz w:val="24"/>
        </w:rPr>
        <w:t>planske dokumentacije temeljem konzervatorske podloge, koja ih svrstava u sedam kategorija: gradska naselja, seoska naselja, povijesni sklopovi i građevine, pojedinačna kulturna dobra, etnološka baština, arheološka baština i</w:t>
      </w:r>
      <w:r w:rsidR="00E40AC8" w:rsidRPr="005142C4">
        <w:rPr>
          <w:rFonts w:ascii="Times New Roman" w:hAnsi="Times New Roman" w:cs="Times New Roman"/>
          <w:sz w:val="24"/>
        </w:rPr>
        <w:t xml:space="preserve"> </w:t>
      </w:r>
      <w:r w:rsidRPr="005142C4">
        <w:rPr>
          <w:rFonts w:ascii="Times New Roman" w:hAnsi="Times New Roman" w:cs="Times New Roman"/>
          <w:sz w:val="24"/>
        </w:rPr>
        <w:t xml:space="preserve">memorijalna baština. Zaštićene graditeljske cjeline i sklopovi obuhvaćaju cijelo područje zagrebačkoga Gornjega i Donjeg grada te središnje dijelove tradicionalnih naselja. </w:t>
      </w:r>
      <w:r w:rsidRPr="005142C4">
        <w:rPr>
          <w:rFonts w:ascii="Times New Roman" w:hAnsi="Times New Roman" w:cs="Times New Roman"/>
          <w:b/>
          <w:sz w:val="24"/>
        </w:rPr>
        <w:t xml:space="preserve">Prostor Gornjega grada i Kaptola </w:t>
      </w:r>
      <w:r w:rsidRPr="005142C4">
        <w:rPr>
          <w:rFonts w:ascii="Times New Roman" w:hAnsi="Times New Roman" w:cs="Times New Roman"/>
          <w:b/>
          <w:sz w:val="24"/>
        </w:rPr>
        <w:lastRenderedPageBreak/>
        <w:t xml:space="preserve">te središnjeg dijela Donjega grada čini Povijesnu urbanu cjelinu Grada Zagreba površine oko 18 km² i ishodište </w:t>
      </w:r>
      <w:r w:rsidR="00DA10F6">
        <w:rPr>
          <w:rFonts w:ascii="Times New Roman" w:hAnsi="Times New Roman" w:cs="Times New Roman"/>
          <w:b/>
          <w:sz w:val="24"/>
        </w:rPr>
        <w:t xml:space="preserve">je </w:t>
      </w:r>
      <w:r w:rsidRPr="005142C4">
        <w:rPr>
          <w:rFonts w:ascii="Times New Roman" w:hAnsi="Times New Roman" w:cs="Times New Roman"/>
          <w:b/>
          <w:sz w:val="24"/>
        </w:rPr>
        <w:t>i temelj kulturno</w:t>
      </w:r>
      <w:r w:rsidR="00EE6A22" w:rsidRPr="005142C4">
        <w:rPr>
          <w:rFonts w:ascii="Times New Roman" w:hAnsi="Times New Roman" w:cs="Times New Roman"/>
          <w:b/>
          <w:sz w:val="24"/>
        </w:rPr>
        <w:t>-</w:t>
      </w:r>
      <w:r w:rsidRPr="005142C4">
        <w:rPr>
          <w:rFonts w:ascii="Times New Roman" w:hAnsi="Times New Roman" w:cs="Times New Roman"/>
          <w:b/>
          <w:sz w:val="24"/>
        </w:rPr>
        <w:t>povijesnog identiteta Zagreba</w:t>
      </w:r>
      <w:r w:rsidRPr="005142C4">
        <w:rPr>
          <w:rFonts w:ascii="Times New Roman" w:hAnsi="Times New Roman" w:cs="Times New Roman"/>
          <w:sz w:val="24"/>
        </w:rPr>
        <w:t xml:space="preserve">. Osim spomenute Povijesne urbane cjeline, Zagreb posjeduje bogatu industrijsku i postindustrijsku baštinu. Na istočnom </w:t>
      </w:r>
      <w:r w:rsidR="00DC1EC0">
        <w:rPr>
          <w:rFonts w:ascii="Times New Roman" w:hAnsi="Times New Roman" w:cs="Times New Roman"/>
          <w:sz w:val="24"/>
        </w:rPr>
        <w:t xml:space="preserve">gradskom </w:t>
      </w:r>
      <w:r w:rsidRPr="005142C4">
        <w:rPr>
          <w:rFonts w:ascii="Times New Roman" w:hAnsi="Times New Roman" w:cs="Times New Roman"/>
          <w:sz w:val="24"/>
        </w:rPr>
        <w:t>dijelu</w:t>
      </w:r>
      <w:r w:rsidR="00D9604D">
        <w:rPr>
          <w:rFonts w:ascii="Times New Roman" w:hAnsi="Times New Roman" w:cs="Times New Roman"/>
          <w:sz w:val="24"/>
        </w:rPr>
        <w:t xml:space="preserve"> </w:t>
      </w:r>
      <w:r w:rsidRPr="005142C4">
        <w:rPr>
          <w:rFonts w:ascii="Times New Roman" w:hAnsi="Times New Roman" w:cs="Times New Roman"/>
          <w:sz w:val="24"/>
        </w:rPr>
        <w:t>zaštićena su područja arheoloških nalaza, primarno iz razdoblja Rimskog Carstva. Ukupna površina navedenih zaštićenih područja iznosi 5.920 ha, odnosno 9,25</w:t>
      </w:r>
      <w:r w:rsidR="00E05F09">
        <w:rPr>
          <w:rFonts w:ascii="Times New Roman" w:hAnsi="Times New Roman" w:cs="Times New Roman"/>
          <w:sz w:val="24"/>
        </w:rPr>
        <w:t> %</w:t>
      </w:r>
      <w:r w:rsidRPr="005142C4">
        <w:rPr>
          <w:rFonts w:ascii="Times New Roman" w:hAnsi="Times New Roman" w:cs="Times New Roman"/>
          <w:sz w:val="24"/>
        </w:rPr>
        <w:t xml:space="preserve"> površine Grada Zagreba. Među zaštićenim kulturnim cjelinama je i park Maksimir, koji se na višoj razini štiti i kao prirodna cjelina. Konzervatorske podloge s razrađenim sustavom mjera zaštite redovito se revidiraju, a njihove odredbe ugrađuju se u Prostorni plan Grada Zagreba i generalne urbanističke planove grada Zagreba i Sesveta.</w:t>
      </w:r>
    </w:p>
    <w:p w14:paraId="25D6AEF0" w14:textId="77777777" w:rsidR="00E40AC8" w:rsidRPr="005142C4" w:rsidRDefault="00900184" w:rsidP="0020109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Na području Grada Zagreba </w:t>
      </w:r>
      <w:r w:rsidR="00DA10F6">
        <w:rPr>
          <w:rFonts w:ascii="Times New Roman" w:hAnsi="Times New Roman" w:cs="Times New Roman"/>
          <w:sz w:val="24"/>
        </w:rPr>
        <w:t xml:space="preserve">iznimno </w:t>
      </w:r>
      <w:r w:rsidRPr="005142C4">
        <w:rPr>
          <w:rFonts w:ascii="Times New Roman" w:hAnsi="Times New Roman" w:cs="Times New Roman"/>
          <w:sz w:val="24"/>
        </w:rPr>
        <w:t xml:space="preserve">je velik broj kulturnih dobara koja datiraju iz svih razdoblja ljudske povijesti, od prapovijesti, antike, srednjeg vijeka, renesanse, baroka, razdoblja 19. st., sve do danas. Kulturna dobra upisana u Registar kulturnih dobara, preventivno zaštićena kulturna dobra, čine sustav posebno vrijednih i zaštićenih kulturnih dobara u cjelovitom sustavu zaštite prostora. Zbog velikog broja kulturnih dobara na području Grada </w:t>
      </w:r>
      <w:r w:rsidRPr="005E088F">
        <w:rPr>
          <w:rFonts w:ascii="Times New Roman" w:hAnsi="Times New Roman" w:cs="Times New Roman"/>
          <w:color w:val="auto"/>
          <w:sz w:val="24"/>
        </w:rPr>
        <w:t xml:space="preserve">Zagreba (913) </w:t>
      </w:r>
      <w:r w:rsidRPr="005142C4">
        <w:rPr>
          <w:rFonts w:ascii="Times New Roman" w:hAnsi="Times New Roman" w:cs="Times New Roman"/>
          <w:sz w:val="24"/>
        </w:rPr>
        <w:t>izdvajamo najbitnija:</w:t>
      </w:r>
    </w:p>
    <w:p w14:paraId="3801F186" w14:textId="078A1666" w:rsidR="00E40AC8" w:rsidRPr="005142C4" w:rsidRDefault="00900184" w:rsidP="00201092">
      <w:pPr>
        <w:spacing w:after="0" w:line="240" w:lineRule="auto"/>
        <w:ind w:left="0" w:right="0" w:firstLine="709"/>
        <w:rPr>
          <w:rFonts w:ascii="Times New Roman" w:hAnsi="Times New Roman" w:cs="Times New Roman"/>
          <w:sz w:val="24"/>
        </w:rPr>
      </w:pPr>
      <w:r w:rsidRPr="005142C4">
        <w:rPr>
          <w:rFonts w:ascii="Times New Roman" w:hAnsi="Times New Roman" w:cs="Times New Roman"/>
          <w:b/>
          <w:sz w:val="24"/>
        </w:rPr>
        <w:t>Povijesne graditeljske cjeline</w:t>
      </w:r>
      <w:r w:rsidRPr="005142C4">
        <w:rPr>
          <w:rFonts w:ascii="Times New Roman" w:hAnsi="Times New Roman" w:cs="Times New Roman"/>
          <w:sz w:val="24"/>
        </w:rPr>
        <w:t xml:space="preserve"> </w:t>
      </w:r>
      <w:r w:rsidR="00EE6A22" w:rsidRPr="005142C4">
        <w:rPr>
          <w:rFonts w:ascii="Times New Roman" w:hAnsi="Times New Roman" w:cs="Times New Roman"/>
          <w:sz w:val="24"/>
        </w:rPr>
        <w:t>-</w:t>
      </w:r>
      <w:r w:rsidRPr="005142C4">
        <w:rPr>
          <w:rFonts w:ascii="Times New Roman" w:hAnsi="Times New Roman" w:cs="Times New Roman"/>
          <w:sz w:val="24"/>
        </w:rPr>
        <w:t xml:space="preserve"> Povijesna urbana cjelina </w:t>
      </w:r>
      <w:r w:rsidR="00DA10F6" w:rsidRPr="005142C4">
        <w:rPr>
          <w:rFonts w:ascii="Times New Roman" w:hAnsi="Times New Roman" w:cs="Times New Roman"/>
          <w:sz w:val="24"/>
        </w:rPr>
        <w:t xml:space="preserve">Grada </w:t>
      </w:r>
      <w:r w:rsidRPr="005142C4">
        <w:rPr>
          <w:rFonts w:ascii="Times New Roman" w:hAnsi="Times New Roman" w:cs="Times New Roman"/>
          <w:sz w:val="24"/>
        </w:rPr>
        <w:t>Zagreba (1986</w:t>
      </w:r>
      <w:r w:rsidR="00DA10F6">
        <w:rPr>
          <w:rFonts w:ascii="Times New Roman" w:hAnsi="Times New Roman" w:cs="Times New Roman"/>
          <w:sz w:val="24"/>
        </w:rPr>
        <w:t>.</w:t>
      </w:r>
      <w:r w:rsidRPr="005142C4">
        <w:rPr>
          <w:rFonts w:ascii="Times New Roman" w:hAnsi="Times New Roman" w:cs="Times New Roman"/>
          <w:sz w:val="24"/>
        </w:rPr>
        <w:t>), centar naselja Podsused (1985</w:t>
      </w:r>
      <w:r w:rsidR="00DA10F6">
        <w:rPr>
          <w:rFonts w:ascii="Times New Roman" w:hAnsi="Times New Roman" w:cs="Times New Roman"/>
          <w:sz w:val="24"/>
        </w:rPr>
        <w:t>.</w:t>
      </w:r>
      <w:r w:rsidRPr="005142C4">
        <w:rPr>
          <w:rFonts w:ascii="Times New Roman" w:hAnsi="Times New Roman" w:cs="Times New Roman"/>
          <w:sz w:val="24"/>
        </w:rPr>
        <w:t>), naselje Prve hrvatske štedionice (1994</w:t>
      </w:r>
      <w:r w:rsidR="00DA10F6">
        <w:rPr>
          <w:rFonts w:ascii="Times New Roman" w:hAnsi="Times New Roman" w:cs="Times New Roman"/>
          <w:sz w:val="24"/>
        </w:rPr>
        <w:t>.</w:t>
      </w:r>
      <w:r w:rsidRPr="005142C4">
        <w:rPr>
          <w:rFonts w:ascii="Times New Roman" w:hAnsi="Times New Roman" w:cs="Times New Roman"/>
          <w:sz w:val="24"/>
        </w:rPr>
        <w:t xml:space="preserve">), Strojarničko naselje </w:t>
      </w:r>
      <w:r w:rsidR="00EE6A22" w:rsidRPr="005142C4">
        <w:rPr>
          <w:rFonts w:ascii="Times New Roman" w:hAnsi="Times New Roman" w:cs="Times New Roman"/>
          <w:sz w:val="24"/>
        </w:rPr>
        <w:t>-</w:t>
      </w:r>
      <w:r w:rsidRPr="005142C4">
        <w:rPr>
          <w:rFonts w:ascii="Times New Roman" w:hAnsi="Times New Roman" w:cs="Times New Roman"/>
          <w:sz w:val="24"/>
        </w:rPr>
        <w:t xml:space="preserve"> Trnjanska, Vukovarska (1992</w:t>
      </w:r>
      <w:r w:rsidR="00DA10F6">
        <w:rPr>
          <w:rFonts w:ascii="Times New Roman" w:hAnsi="Times New Roman" w:cs="Times New Roman"/>
          <w:sz w:val="24"/>
        </w:rPr>
        <w:t>.</w:t>
      </w:r>
      <w:r w:rsidRPr="005142C4">
        <w:rPr>
          <w:rFonts w:ascii="Times New Roman" w:hAnsi="Times New Roman" w:cs="Times New Roman"/>
          <w:sz w:val="24"/>
        </w:rPr>
        <w:t>), Cvjetno naselje (1994</w:t>
      </w:r>
      <w:r w:rsidR="00DA10F6">
        <w:rPr>
          <w:rFonts w:ascii="Times New Roman" w:hAnsi="Times New Roman" w:cs="Times New Roman"/>
          <w:sz w:val="24"/>
        </w:rPr>
        <w:t>.</w:t>
      </w:r>
      <w:r w:rsidRPr="005142C4">
        <w:rPr>
          <w:rFonts w:ascii="Times New Roman" w:hAnsi="Times New Roman" w:cs="Times New Roman"/>
          <w:sz w:val="24"/>
        </w:rPr>
        <w:t xml:space="preserve">), naselje </w:t>
      </w:r>
      <w:r w:rsidR="00DA10F6" w:rsidRPr="005142C4">
        <w:rPr>
          <w:rFonts w:ascii="Times New Roman" w:hAnsi="Times New Roman" w:cs="Times New Roman"/>
          <w:sz w:val="24"/>
        </w:rPr>
        <w:t xml:space="preserve">Gornje </w:t>
      </w:r>
      <w:r w:rsidRPr="005142C4">
        <w:rPr>
          <w:rFonts w:ascii="Times New Roman" w:hAnsi="Times New Roman" w:cs="Times New Roman"/>
          <w:sz w:val="24"/>
        </w:rPr>
        <w:t>Vrapče (1988</w:t>
      </w:r>
      <w:r w:rsidR="00DA10F6">
        <w:rPr>
          <w:rFonts w:ascii="Times New Roman" w:hAnsi="Times New Roman" w:cs="Times New Roman"/>
          <w:sz w:val="24"/>
        </w:rPr>
        <w:t>.</w:t>
      </w:r>
      <w:r w:rsidRPr="005142C4">
        <w:rPr>
          <w:rFonts w:ascii="Times New Roman" w:hAnsi="Times New Roman" w:cs="Times New Roman"/>
          <w:sz w:val="24"/>
        </w:rPr>
        <w:t>), Željeznička kolonija (1989</w:t>
      </w:r>
      <w:r w:rsidR="00DA10F6">
        <w:rPr>
          <w:rFonts w:ascii="Times New Roman" w:hAnsi="Times New Roman" w:cs="Times New Roman"/>
          <w:sz w:val="24"/>
        </w:rPr>
        <w:t>.</w:t>
      </w:r>
      <w:r w:rsidRPr="005142C4">
        <w:rPr>
          <w:rFonts w:ascii="Times New Roman" w:hAnsi="Times New Roman" w:cs="Times New Roman"/>
          <w:sz w:val="24"/>
        </w:rPr>
        <w:t>), Zelena potkova (1997</w:t>
      </w:r>
      <w:r w:rsidR="00DA10F6">
        <w:rPr>
          <w:rFonts w:ascii="Times New Roman" w:hAnsi="Times New Roman" w:cs="Times New Roman"/>
          <w:sz w:val="24"/>
        </w:rPr>
        <w:t>.</w:t>
      </w:r>
      <w:r w:rsidRPr="005142C4">
        <w:rPr>
          <w:rFonts w:ascii="Times New Roman" w:hAnsi="Times New Roman" w:cs="Times New Roman"/>
          <w:sz w:val="24"/>
        </w:rPr>
        <w:t>), stambeni kompleks Poštanske štedionice Petrova (1998</w:t>
      </w:r>
      <w:r w:rsidR="00DA10F6">
        <w:rPr>
          <w:rFonts w:ascii="Times New Roman" w:hAnsi="Times New Roman" w:cs="Times New Roman"/>
          <w:sz w:val="24"/>
        </w:rPr>
        <w:t>.</w:t>
      </w:r>
      <w:r w:rsidRPr="005142C4">
        <w:rPr>
          <w:rFonts w:ascii="Times New Roman" w:hAnsi="Times New Roman" w:cs="Times New Roman"/>
          <w:sz w:val="24"/>
        </w:rPr>
        <w:t>), povijesna jezgra Sesvetski Kraljevec (1994</w:t>
      </w:r>
      <w:r w:rsidR="00DA10F6">
        <w:rPr>
          <w:rFonts w:ascii="Times New Roman" w:hAnsi="Times New Roman" w:cs="Times New Roman"/>
          <w:sz w:val="24"/>
        </w:rPr>
        <w:t>.</w:t>
      </w:r>
      <w:r w:rsidRPr="005142C4">
        <w:rPr>
          <w:rFonts w:ascii="Times New Roman" w:hAnsi="Times New Roman" w:cs="Times New Roman"/>
          <w:sz w:val="24"/>
        </w:rPr>
        <w:t>), povijesna jezgra Sesvete (1994</w:t>
      </w:r>
      <w:r w:rsidR="00DA10F6">
        <w:rPr>
          <w:rFonts w:ascii="Times New Roman" w:hAnsi="Times New Roman" w:cs="Times New Roman"/>
          <w:sz w:val="24"/>
        </w:rPr>
        <w:t>.</w:t>
      </w:r>
      <w:r w:rsidRPr="005142C4">
        <w:rPr>
          <w:rFonts w:ascii="Times New Roman" w:hAnsi="Times New Roman" w:cs="Times New Roman"/>
          <w:sz w:val="24"/>
        </w:rPr>
        <w:t>)</w:t>
      </w:r>
      <w:r w:rsidR="00066661">
        <w:rPr>
          <w:rFonts w:ascii="Times New Roman" w:hAnsi="Times New Roman" w:cs="Times New Roman"/>
          <w:sz w:val="24"/>
        </w:rPr>
        <w:t>.</w:t>
      </w:r>
    </w:p>
    <w:p w14:paraId="3D9B8556" w14:textId="2BBB5658" w:rsidR="00E40AC8" w:rsidRPr="005142C4" w:rsidRDefault="00900184" w:rsidP="00201092">
      <w:pPr>
        <w:spacing w:after="0" w:line="240" w:lineRule="auto"/>
        <w:ind w:left="0" w:right="0" w:firstLine="709"/>
        <w:rPr>
          <w:rFonts w:ascii="Times New Roman" w:hAnsi="Times New Roman" w:cs="Times New Roman"/>
          <w:sz w:val="24"/>
        </w:rPr>
      </w:pPr>
      <w:r w:rsidRPr="005142C4">
        <w:rPr>
          <w:rFonts w:ascii="Times New Roman" w:hAnsi="Times New Roman" w:cs="Times New Roman"/>
          <w:b/>
          <w:sz w:val="24"/>
        </w:rPr>
        <w:t>Graditeljski sklopovi i građevine</w:t>
      </w:r>
      <w:r w:rsidRPr="005142C4">
        <w:rPr>
          <w:rFonts w:ascii="Times New Roman" w:hAnsi="Times New Roman" w:cs="Times New Roman"/>
          <w:sz w:val="24"/>
        </w:rPr>
        <w:t xml:space="preserve"> </w:t>
      </w:r>
      <w:r w:rsidR="00EE6A22" w:rsidRPr="005142C4">
        <w:rPr>
          <w:rFonts w:ascii="Times New Roman" w:hAnsi="Times New Roman" w:cs="Times New Roman"/>
          <w:sz w:val="24"/>
        </w:rPr>
        <w:t>-</w:t>
      </w:r>
      <w:r w:rsidRPr="005142C4">
        <w:rPr>
          <w:rFonts w:ascii="Times New Roman" w:hAnsi="Times New Roman" w:cs="Times New Roman"/>
          <w:sz w:val="24"/>
        </w:rPr>
        <w:t xml:space="preserve"> gradske kuće Gogoljin brijeg (1995</w:t>
      </w:r>
      <w:r w:rsidR="00DA10F6">
        <w:rPr>
          <w:rFonts w:ascii="Times New Roman" w:hAnsi="Times New Roman" w:cs="Times New Roman"/>
          <w:sz w:val="24"/>
        </w:rPr>
        <w:t>.</w:t>
      </w:r>
      <w:r w:rsidRPr="005142C4">
        <w:rPr>
          <w:rFonts w:ascii="Times New Roman" w:hAnsi="Times New Roman" w:cs="Times New Roman"/>
          <w:sz w:val="24"/>
        </w:rPr>
        <w:t>), KBC Sestre milosrdnice (1985</w:t>
      </w:r>
      <w:r w:rsidR="00DA10F6">
        <w:rPr>
          <w:rFonts w:ascii="Times New Roman" w:hAnsi="Times New Roman" w:cs="Times New Roman"/>
          <w:sz w:val="24"/>
        </w:rPr>
        <w:t>.</w:t>
      </w:r>
      <w:r w:rsidRPr="005142C4">
        <w:rPr>
          <w:rFonts w:ascii="Times New Roman" w:hAnsi="Times New Roman" w:cs="Times New Roman"/>
          <w:sz w:val="24"/>
        </w:rPr>
        <w:t>), Zapadni kolodvor (1965</w:t>
      </w:r>
      <w:r w:rsidR="00DA10F6">
        <w:rPr>
          <w:rFonts w:ascii="Times New Roman" w:hAnsi="Times New Roman" w:cs="Times New Roman"/>
          <w:sz w:val="24"/>
        </w:rPr>
        <w:t>.</w:t>
      </w:r>
      <w:r w:rsidRPr="005142C4">
        <w:rPr>
          <w:rFonts w:ascii="Times New Roman" w:hAnsi="Times New Roman" w:cs="Times New Roman"/>
          <w:sz w:val="24"/>
        </w:rPr>
        <w:t>), Zagrebačka pivovara (1979</w:t>
      </w:r>
      <w:r w:rsidR="00DA10F6">
        <w:rPr>
          <w:rFonts w:ascii="Times New Roman" w:hAnsi="Times New Roman" w:cs="Times New Roman"/>
          <w:sz w:val="24"/>
        </w:rPr>
        <w:t>.</w:t>
      </w:r>
      <w:r w:rsidRPr="005142C4">
        <w:rPr>
          <w:rFonts w:ascii="Times New Roman" w:hAnsi="Times New Roman" w:cs="Times New Roman"/>
          <w:sz w:val="24"/>
        </w:rPr>
        <w:t xml:space="preserve">), kompleks strojarnice </w:t>
      </w:r>
      <w:r w:rsidR="00EE6A22" w:rsidRPr="005142C4">
        <w:rPr>
          <w:rFonts w:ascii="Times New Roman" w:hAnsi="Times New Roman" w:cs="Times New Roman"/>
          <w:sz w:val="24"/>
        </w:rPr>
        <w:t>"</w:t>
      </w:r>
      <w:r w:rsidRPr="005142C4">
        <w:rPr>
          <w:rFonts w:ascii="Times New Roman" w:hAnsi="Times New Roman" w:cs="Times New Roman"/>
          <w:sz w:val="24"/>
        </w:rPr>
        <w:t>Janko Gredelj</w:t>
      </w:r>
      <w:r w:rsidR="00EE6A22" w:rsidRPr="005142C4">
        <w:rPr>
          <w:rFonts w:ascii="Times New Roman" w:hAnsi="Times New Roman" w:cs="Times New Roman"/>
          <w:sz w:val="24"/>
        </w:rPr>
        <w:t>"</w:t>
      </w:r>
      <w:r w:rsidRPr="005142C4">
        <w:rPr>
          <w:rFonts w:ascii="Times New Roman" w:hAnsi="Times New Roman" w:cs="Times New Roman"/>
          <w:sz w:val="24"/>
        </w:rPr>
        <w:t xml:space="preserve"> (1992</w:t>
      </w:r>
      <w:r w:rsidR="00DA10F6">
        <w:rPr>
          <w:rFonts w:ascii="Times New Roman" w:hAnsi="Times New Roman" w:cs="Times New Roman"/>
          <w:sz w:val="24"/>
        </w:rPr>
        <w:t>.</w:t>
      </w:r>
      <w:r w:rsidRPr="005142C4">
        <w:rPr>
          <w:rFonts w:ascii="Times New Roman" w:hAnsi="Times New Roman" w:cs="Times New Roman"/>
          <w:sz w:val="24"/>
        </w:rPr>
        <w:t xml:space="preserve">), </w:t>
      </w:r>
      <w:r w:rsidR="00DA10F6">
        <w:rPr>
          <w:rFonts w:ascii="Times New Roman" w:hAnsi="Times New Roman" w:cs="Times New Roman"/>
          <w:sz w:val="24"/>
        </w:rPr>
        <w:t>Klinika za p</w:t>
      </w:r>
      <w:r w:rsidRPr="005142C4">
        <w:rPr>
          <w:rFonts w:ascii="Times New Roman" w:hAnsi="Times New Roman" w:cs="Times New Roman"/>
          <w:sz w:val="24"/>
        </w:rPr>
        <w:t>sihijatrij</w:t>
      </w:r>
      <w:r w:rsidR="00DA10F6">
        <w:rPr>
          <w:rFonts w:ascii="Times New Roman" w:hAnsi="Times New Roman" w:cs="Times New Roman"/>
          <w:sz w:val="24"/>
        </w:rPr>
        <w:t>u</w:t>
      </w:r>
      <w:r w:rsidRPr="005142C4">
        <w:rPr>
          <w:rFonts w:ascii="Times New Roman" w:hAnsi="Times New Roman" w:cs="Times New Roman"/>
          <w:sz w:val="24"/>
        </w:rPr>
        <w:t xml:space="preserve"> Vrapče (1965</w:t>
      </w:r>
      <w:r w:rsidR="00DA10F6">
        <w:rPr>
          <w:rFonts w:ascii="Times New Roman" w:hAnsi="Times New Roman" w:cs="Times New Roman"/>
          <w:sz w:val="24"/>
        </w:rPr>
        <w:t>.</w:t>
      </w:r>
      <w:r w:rsidRPr="005142C4">
        <w:rPr>
          <w:rFonts w:ascii="Times New Roman" w:hAnsi="Times New Roman" w:cs="Times New Roman"/>
          <w:sz w:val="24"/>
        </w:rPr>
        <w:t>), Dvor Junković, Mirogoj (1992</w:t>
      </w:r>
      <w:r w:rsidR="00DA10F6">
        <w:rPr>
          <w:rFonts w:ascii="Times New Roman" w:hAnsi="Times New Roman" w:cs="Times New Roman"/>
          <w:sz w:val="24"/>
        </w:rPr>
        <w:t>.</w:t>
      </w:r>
      <w:r w:rsidRPr="005142C4">
        <w:rPr>
          <w:rFonts w:ascii="Times New Roman" w:hAnsi="Times New Roman" w:cs="Times New Roman"/>
          <w:sz w:val="24"/>
        </w:rPr>
        <w:t>), spomenička cjelina Maksimir (1964</w:t>
      </w:r>
      <w:r w:rsidR="00DA10F6">
        <w:rPr>
          <w:rFonts w:ascii="Times New Roman" w:hAnsi="Times New Roman" w:cs="Times New Roman"/>
          <w:sz w:val="24"/>
        </w:rPr>
        <w:t>.</w:t>
      </w:r>
      <w:r w:rsidRPr="005142C4">
        <w:rPr>
          <w:rFonts w:ascii="Times New Roman" w:hAnsi="Times New Roman" w:cs="Times New Roman"/>
          <w:sz w:val="24"/>
        </w:rPr>
        <w:t>), sportsko</w:t>
      </w:r>
      <w:r w:rsidR="00DA10F6">
        <w:rPr>
          <w:rFonts w:ascii="Times New Roman" w:hAnsi="Times New Roman" w:cs="Times New Roman"/>
          <w:sz w:val="24"/>
        </w:rPr>
        <w:t>-</w:t>
      </w:r>
      <w:r w:rsidRPr="005142C4">
        <w:rPr>
          <w:rFonts w:ascii="Times New Roman" w:hAnsi="Times New Roman" w:cs="Times New Roman"/>
          <w:sz w:val="24"/>
        </w:rPr>
        <w:t>rekreacijski park Svetice (1985</w:t>
      </w:r>
      <w:r w:rsidR="00DA10F6">
        <w:rPr>
          <w:rFonts w:ascii="Times New Roman" w:hAnsi="Times New Roman" w:cs="Times New Roman"/>
          <w:sz w:val="24"/>
        </w:rPr>
        <w:t>.</w:t>
      </w:r>
      <w:r w:rsidRPr="005142C4">
        <w:rPr>
          <w:rFonts w:ascii="Times New Roman" w:hAnsi="Times New Roman" w:cs="Times New Roman"/>
          <w:sz w:val="24"/>
        </w:rPr>
        <w:t>), Borongaj</w:t>
      </w:r>
      <w:r w:rsidR="00DA10F6">
        <w:rPr>
          <w:rFonts w:ascii="Times New Roman" w:hAnsi="Times New Roman" w:cs="Times New Roman"/>
          <w:sz w:val="24"/>
        </w:rPr>
        <w:t xml:space="preserve"> </w:t>
      </w:r>
      <w:r w:rsidR="00EE6A22" w:rsidRPr="005142C4">
        <w:rPr>
          <w:rFonts w:ascii="Times New Roman" w:hAnsi="Times New Roman" w:cs="Times New Roman"/>
          <w:sz w:val="24"/>
        </w:rPr>
        <w:t>-</w:t>
      </w:r>
      <w:r w:rsidRPr="005142C4">
        <w:rPr>
          <w:rFonts w:ascii="Times New Roman" w:hAnsi="Times New Roman" w:cs="Times New Roman"/>
          <w:sz w:val="24"/>
        </w:rPr>
        <w:t xml:space="preserve"> kompleks bivših avionskih hangara (1991</w:t>
      </w:r>
      <w:r w:rsidR="00DA10F6">
        <w:rPr>
          <w:rFonts w:ascii="Times New Roman" w:hAnsi="Times New Roman" w:cs="Times New Roman"/>
          <w:sz w:val="24"/>
        </w:rPr>
        <w:t>.</w:t>
      </w:r>
      <w:r w:rsidRPr="005142C4">
        <w:rPr>
          <w:rFonts w:ascii="Times New Roman" w:hAnsi="Times New Roman" w:cs="Times New Roman"/>
          <w:sz w:val="24"/>
        </w:rPr>
        <w:t>), Medvedgrad, Zakladni blok (1996</w:t>
      </w:r>
      <w:r w:rsidR="00DA10F6">
        <w:rPr>
          <w:rFonts w:ascii="Times New Roman" w:hAnsi="Times New Roman" w:cs="Times New Roman"/>
          <w:sz w:val="24"/>
        </w:rPr>
        <w:t>.</w:t>
      </w:r>
      <w:r w:rsidRPr="005142C4">
        <w:rPr>
          <w:rFonts w:ascii="Times New Roman" w:hAnsi="Times New Roman" w:cs="Times New Roman"/>
          <w:sz w:val="24"/>
        </w:rPr>
        <w:t>), Rudolfova vojarna (1971</w:t>
      </w:r>
      <w:r w:rsidR="00DA10F6">
        <w:rPr>
          <w:rFonts w:ascii="Times New Roman" w:hAnsi="Times New Roman" w:cs="Times New Roman"/>
          <w:sz w:val="24"/>
        </w:rPr>
        <w:t>.</w:t>
      </w:r>
      <w:r w:rsidRPr="005142C4">
        <w:rPr>
          <w:rFonts w:ascii="Times New Roman" w:hAnsi="Times New Roman" w:cs="Times New Roman"/>
          <w:sz w:val="24"/>
        </w:rPr>
        <w:t>), Savski most (1975</w:t>
      </w:r>
      <w:r w:rsidR="00DA10F6">
        <w:rPr>
          <w:rFonts w:ascii="Times New Roman" w:hAnsi="Times New Roman" w:cs="Times New Roman"/>
          <w:sz w:val="24"/>
        </w:rPr>
        <w:t>.</w:t>
      </w:r>
      <w:r w:rsidRPr="005142C4">
        <w:rPr>
          <w:rFonts w:ascii="Times New Roman" w:hAnsi="Times New Roman" w:cs="Times New Roman"/>
          <w:sz w:val="24"/>
        </w:rPr>
        <w:t xml:space="preserve">), tvornica </w:t>
      </w:r>
      <w:r w:rsidR="00EE6A22" w:rsidRPr="005142C4">
        <w:rPr>
          <w:rFonts w:ascii="Times New Roman" w:hAnsi="Times New Roman" w:cs="Times New Roman"/>
          <w:sz w:val="24"/>
        </w:rPr>
        <w:t>"</w:t>
      </w:r>
      <w:r w:rsidRPr="005142C4">
        <w:rPr>
          <w:rFonts w:ascii="Times New Roman" w:hAnsi="Times New Roman" w:cs="Times New Roman"/>
          <w:sz w:val="24"/>
        </w:rPr>
        <w:t>Marijan Badel</w:t>
      </w:r>
      <w:r w:rsidR="00EE6A22" w:rsidRPr="005142C4">
        <w:rPr>
          <w:rFonts w:ascii="Times New Roman" w:hAnsi="Times New Roman" w:cs="Times New Roman"/>
          <w:sz w:val="24"/>
        </w:rPr>
        <w:t>"</w:t>
      </w:r>
      <w:r w:rsidRPr="005142C4">
        <w:rPr>
          <w:rFonts w:ascii="Times New Roman" w:hAnsi="Times New Roman" w:cs="Times New Roman"/>
          <w:sz w:val="24"/>
        </w:rPr>
        <w:t xml:space="preserve"> Sesvete (1965</w:t>
      </w:r>
      <w:r w:rsidR="00DA10F6">
        <w:rPr>
          <w:rFonts w:ascii="Times New Roman" w:hAnsi="Times New Roman" w:cs="Times New Roman"/>
          <w:sz w:val="24"/>
        </w:rPr>
        <w:t>.</w:t>
      </w:r>
      <w:r w:rsidRPr="005142C4">
        <w:rPr>
          <w:rFonts w:ascii="Times New Roman" w:hAnsi="Times New Roman" w:cs="Times New Roman"/>
          <w:sz w:val="24"/>
        </w:rPr>
        <w:t xml:space="preserve">), srednjovjekovni grad Podsused, Studentski centar </w:t>
      </w:r>
      <w:r w:rsidR="00EE6A22" w:rsidRPr="005142C4">
        <w:rPr>
          <w:rFonts w:ascii="Times New Roman" w:hAnsi="Times New Roman" w:cs="Times New Roman"/>
          <w:sz w:val="24"/>
        </w:rPr>
        <w:t>-</w:t>
      </w:r>
      <w:r w:rsidRPr="005142C4">
        <w:rPr>
          <w:rFonts w:ascii="Times New Roman" w:hAnsi="Times New Roman" w:cs="Times New Roman"/>
          <w:sz w:val="24"/>
        </w:rPr>
        <w:t xml:space="preserve"> Francuski paviljon (1987</w:t>
      </w:r>
      <w:r w:rsidR="00DA10F6">
        <w:rPr>
          <w:rFonts w:ascii="Times New Roman" w:hAnsi="Times New Roman" w:cs="Times New Roman"/>
          <w:sz w:val="24"/>
        </w:rPr>
        <w:t>.</w:t>
      </w:r>
      <w:r w:rsidRPr="005142C4">
        <w:rPr>
          <w:rFonts w:ascii="Times New Roman" w:hAnsi="Times New Roman" w:cs="Times New Roman"/>
          <w:sz w:val="24"/>
        </w:rPr>
        <w:t>), kompleks bivše klaonice Heinzelova (1999</w:t>
      </w:r>
      <w:r w:rsidR="00DA10F6">
        <w:rPr>
          <w:rFonts w:ascii="Times New Roman" w:hAnsi="Times New Roman" w:cs="Times New Roman"/>
          <w:sz w:val="24"/>
        </w:rPr>
        <w:t>.</w:t>
      </w:r>
      <w:r w:rsidRPr="005142C4">
        <w:rPr>
          <w:rFonts w:ascii="Times New Roman" w:hAnsi="Times New Roman" w:cs="Times New Roman"/>
          <w:sz w:val="24"/>
        </w:rPr>
        <w:t>), Zagrebački paromlin (1980</w:t>
      </w:r>
      <w:r w:rsidR="00DA10F6">
        <w:rPr>
          <w:rFonts w:ascii="Times New Roman" w:hAnsi="Times New Roman" w:cs="Times New Roman"/>
          <w:sz w:val="24"/>
        </w:rPr>
        <w:t>.</w:t>
      </w:r>
      <w:r w:rsidRPr="005142C4">
        <w:rPr>
          <w:rFonts w:ascii="Times New Roman" w:hAnsi="Times New Roman" w:cs="Times New Roman"/>
          <w:sz w:val="24"/>
        </w:rPr>
        <w:t>)</w:t>
      </w:r>
      <w:r w:rsidR="00066661">
        <w:rPr>
          <w:rFonts w:ascii="Times New Roman" w:hAnsi="Times New Roman" w:cs="Times New Roman"/>
          <w:sz w:val="24"/>
        </w:rPr>
        <w:t>.</w:t>
      </w:r>
    </w:p>
    <w:p w14:paraId="1256FE0D" w14:textId="77777777" w:rsidR="00E40AC8" w:rsidRPr="005142C4" w:rsidRDefault="00900184" w:rsidP="00201092">
      <w:pPr>
        <w:spacing w:after="0" w:line="240" w:lineRule="auto"/>
        <w:ind w:left="0" w:right="0" w:firstLine="709"/>
        <w:rPr>
          <w:rFonts w:ascii="Times New Roman" w:hAnsi="Times New Roman" w:cs="Times New Roman"/>
          <w:sz w:val="24"/>
        </w:rPr>
      </w:pPr>
      <w:r w:rsidRPr="005142C4">
        <w:rPr>
          <w:rFonts w:ascii="Times New Roman" w:hAnsi="Times New Roman" w:cs="Times New Roman"/>
          <w:b/>
          <w:sz w:val="24"/>
        </w:rPr>
        <w:t>Sakralna baština</w:t>
      </w:r>
      <w:r w:rsidRPr="005142C4">
        <w:rPr>
          <w:rFonts w:ascii="Times New Roman" w:hAnsi="Times New Roman" w:cs="Times New Roman"/>
          <w:sz w:val="24"/>
        </w:rPr>
        <w:t xml:space="preserve"> </w:t>
      </w:r>
      <w:r w:rsidR="00EE6A22" w:rsidRPr="005142C4">
        <w:rPr>
          <w:rFonts w:ascii="Times New Roman" w:hAnsi="Times New Roman" w:cs="Times New Roman"/>
          <w:sz w:val="24"/>
        </w:rPr>
        <w:t>-</w:t>
      </w:r>
      <w:r w:rsidRPr="005142C4">
        <w:rPr>
          <w:rFonts w:ascii="Times New Roman" w:hAnsi="Times New Roman" w:cs="Times New Roman"/>
          <w:sz w:val="24"/>
        </w:rPr>
        <w:t xml:space="preserve"> Katedrala Uznesenja Bl. Dj. Marije s utvrdama i nadbiskupskim dvorom</w:t>
      </w:r>
      <w:r w:rsidR="00201092">
        <w:rPr>
          <w:rFonts w:ascii="Times New Roman" w:hAnsi="Times New Roman" w:cs="Times New Roman"/>
          <w:sz w:val="24"/>
        </w:rPr>
        <w:t xml:space="preserve"> </w:t>
      </w:r>
      <w:r w:rsidRPr="005142C4">
        <w:rPr>
          <w:rFonts w:ascii="Times New Roman" w:hAnsi="Times New Roman" w:cs="Times New Roman"/>
          <w:sz w:val="24"/>
        </w:rPr>
        <w:t>(1963</w:t>
      </w:r>
      <w:r w:rsidR="00DA10F6">
        <w:rPr>
          <w:rFonts w:ascii="Times New Roman" w:hAnsi="Times New Roman" w:cs="Times New Roman"/>
          <w:sz w:val="24"/>
        </w:rPr>
        <w:t>.</w:t>
      </w:r>
      <w:r w:rsidRPr="005142C4">
        <w:rPr>
          <w:rFonts w:ascii="Times New Roman" w:hAnsi="Times New Roman" w:cs="Times New Roman"/>
          <w:sz w:val="24"/>
        </w:rPr>
        <w:t xml:space="preserve">), Kaptol </w:t>
      </w:r>
      <w:r w:rsidR="00EE6A22" w:rsidRPr="005142C4">
        <w:rPr>
          <w:rFonts w:ascii="Times New Roman" w:hAnsi="Times New Roman" w:cs="Times New Roman"/>
          <w:sz w:val="24"/>
        </w:rPr>
        <w:t>-</w:t>
      </w:r>
      <w:r w:rsidRPr="005142C4">
        <w:rPr>
          <w:rFonts w:ascii="Times New Roman" w:hAnsi="Times New Roman" w:cs="Times New Roman"/>
          <w:sz w:val="24"/>
        </w:rPr>
        <w:t xml:space="preserve"> kapela </w:t>
      </w:r>
      <w:r w:rsidR="00DA10F6" w:rsidRPr="005142C4">
        <w:rPr>
          <w:rFonts w:ascii="Times New Roman" w:hAnsi="Times New Roman" w:cs="Times New Roman"/>
          <w:sz w:val="24"/>
        </w:rPr>
        <w:t>sv</w:t>
      </w:r>
      <w:r w:rsidRPr="005142C4">
        <w:rPr>
          <w:rFonts w:ascii="Times New Roman" w:hAnsi="Times New Roman" w:cs="Times New Roman"/>
          <w:sz w:val="24"/>
        </w:rPr>
        <w:t>. Stjepana (1961</w:t>
      </w:r>
      <w:r w:rsidR="00DA10F6">
        <w:rPr>
          <w:rFonts w:ascii="Times New Roman" w:hAnsi="Times New Roman" w:cs="Times New Roman"/>
          <w:sz w:val="24"/>
        </w:rPr>
        <w:t>.</w:t>
      </w:r>
      <w:r w:rsidRPr="005142C4">
        <w:rPr>
          <w:rFonts w:ascii="Times New Roman" w:hAnsi="Times New Roman" w:cs="Times New Roman"/>
          <w:sz w:val="24"/>
        </w:rPr>
        <w:t xml:space="preserve">), Kaptol </w:t>
      </w:r>
      <w:r w:rsidR="00EE6A22" w:rsidRPr="005142C4">
        <w:rPr>
          <w:rFonts w:ascii="Times New Roman" w:hAnsi="Times New Roman" w:cs="Times New Roman"/>
          <w:sz w:val="24"/>
        </w:rPr>
        <w:t>-</w:t>
      </w:r>
      <w:r w:rsidRPr="005142C4">
        <w:rPr>
          <w:rFonts w:ascii="Times New Roman" w:hAnsi="Times New Roman" w:cs="Times New Roman"/>
          <w:sz w:val="24"/>
        </w:rPr>
        <w:t xml:space="preserve"> Franjevačka crkva i samostan, Katarinski trg </w:t>
      </w:r>
      <w:r w:rsidR="00EE6A22" w:rsidRPr="005142C4">
        <w:rPr>
          <w:rFonts w:ascii="Times New Roman" w:hAnsi="Times New Roman" w:cs="Times New Roman"/>
          <w:sz w:val="24"/>
        </w:rPr>
        <w:t>-</w:t>
      </w:r>
      <w:r w:rsidRPr="005142C4">
        <w:rPr>
          <w:rFonts w:ascii="Times New Roman" w:hAnsi="Times New Roman" w:cs="Times New Roman"/>
          <w:sz w:val="24"/>
        </w:rPr>
        <w:t xml:space="preserve"> crkva </w:t>
      </w:r>
      <w:r w:rsidR="00DA10F6" w:rsidRPr="005142C4">
        <w:rPr>
          <w:rFonts w:ascii="Times New Roman" w:hAnsi="Times New Roman" w:cs="Times New Roman"/>
          <w:sz w:val="24"/>
        </w:rPr>
        <w:t>sv</w:t>
      </w:r>
      <w:r w:rsidRPr="005142C4">
        <w:rPr>
          <w:rFonts w:ascii="Times New Roman" w:hAnsi="Times New Roman" w:cs="Times New Roman"/>
          <w:sz w:val="24"/>
        </w:rPr>
        <w:t>. Katarine (1963</w:t>
      </w:r>
      <w:r w:rsidR="00DA10F6">
        <w:rPr>
          <w:rFonts w:ascii="Times New Roman" w:hAnsi="Times New Roman" w:cs="Times New Roman"/>
          <w:sz w:val="24"/>
        </w:rPr>
        <w:t>.</w:t>
      </w:r>
      <w:r w:rsidRPr="005142C4">
        <w:rPr>
          <w:rFonts w:ascii="Times New Roman" w:hAnsi="Times New Roman" w:cs="Times New Roman"/>
          <w:sz w:val="24"/>
        </w:rPr>
        <w:t xml:space="preserve">), Ksaver </w:t>
      </w:r>
      <w:r w:rsidR="00EE6A22" w:rsidRPr="005142C4">
        <w:rPr>
          <w:rFonts w:ascii="Times New Roman" w:hAnsi="Times New Roman" w:cs="Times New Roman"/>
          <w:sz w:val="24"/>
        </w:rPr>
        <w:t>-</w:t>
      </w:r>
      <w:r w:rsidRPr="005142C4">
        <w:rPr>
          <w:rFonts w:ascii="Times New Roman" w:hAnsi="Times New Roman" w:cs="Times New Roman"/>
          <w:sz w:val="24"/>
        </w:rPr>
        <w:t xml:space="preserve"> crkva </w:t>
      </w:r>
      <w:r w:rsidR="00DA10F6" w:rsidRPr="005142C4">
        <w:rPr>
          <w:rFonts w:ascii="Times New Roman" w:hAnsi="Times New Roman" w:cs="Times New Roman"/>
          <w:sz w:val="24"/>
        </w:rPr>
        <w:t>sv</w:t>
      </w:r>
      <w:r w:rsidRPr="005142C4">
        <w:rPr>
          <w:rFonts w:ascii="Times New Roman" w:hAnsi="Times New Roman" w:cs="Times New Roman"/>
          <w:sz w:val="24"/>
        </w:rPr>
        <w:t>. Franje Ksaverskog (1965</w:t>
      </w:r>
      <w:r w:rsidR="00DA10F6">
        <w:rPr>
          <w:rFonts w:ascii="Times New Roman" w:hAnsi="Times New Roman" w:cs="Times New Roman"/>
          <w:sz w:val="24"/>
        </w:rPr>
        <w:t>.</w:t>
      </w:r>
      <w:r w:rsidRPr="005142C4">
        <w:rPr>
          <w:rFonts w:ascii="Times New Roman" w:hAnsi="Times New Roman" w:cs="Times New Roman"/>
          <w:sz w:val="24"/>
        </w:rPr>
        <w:t xml:space="preserve">), Maksimir </w:t>
      </w:r>
      <w:r w:rsidR="00EE6A22" w:rsidRPr="005142C4">
        <w:rPr>
          <w:rFonts w:ascii="Times New Roman" w:hAnsi="Times New Roman" w:cs="Times New Roman"/>
          <w:sz w:val="24"/>
        </w:rPr>
        <w:t>-</w:t>
      </w:r>
      <w:r w:rsidRPr="005142C4">
        <w:rPr>
          <w:rFonts w:ascii="Times New Roman" w:hAnsi="Times New Roman" w:cs="Times New Roman"/>
          <w:sz w:val="24"/>
        </w:rPr>
        <w:t xml:space="preserve"> kapela </w:t>
      </w:r>
      <w:r w:rsidR="00DA10F6" w:rsidRPr="005142C4">
        <w:rPr>
          <w:rFonts w:ascii="Times New Roman" w:hAnsi="Times New Roman" w:cs="Times New Roman"/>
          <w:sz w:val="24"/>
        </w:rPr>
        <w:t>sv</w:t>
      </w:r>
      <w:r w:rsidRPr="005142C4">
        <w:rPr>
          <w:rFonts w:ascii="Times New Roman" w:hAnsi="Times New Roman" w:cs="Times New Roman"/>
          <w:sz w:val="24"/>
        </w:rPr>
        <w:t>. Jurja (1964</w:t>
      </w:r>
      <w:r w:rsidR="00DA10F6">
        <w:rPr>
          <w:rFonts w:ascii="Times New Roman" w:hAnsi="Times New Roman" w:cs="Times New Roman"/>
          <w:sz w:val="24"/>
        </w:rPr>
        <w:t>.</w:t>
      </w:r>
      <w:r w:rsidRPr="005142C4">
        <w:rPr>
          <w:rFonts w:ascii="Times New Roman" w:hAnsi="Times New Roman" w:cs="Times New Roman"/>
          <w:sz w:val="24"/>
        </w:rPr>
        <w:t xml:space="preserve">), Mirogoj </w:t>
      </w:r>
      <w:r w:rsidR="00EE6A22" w:rsidRPr="005142C4">
        <w:rPr>
          <w:rFonts w:ascii="Times New Roman" w:hAnsi="Times New Roman" w:cs="Times New Roman"/>
          <w:sz w:val="24"/>
        </w:rPr>
        <w:t>-</w:t>
      </w:r>
      <w:r w:rsidRPr="005142C4">
        <w:rPr>
          <w:rFonts w:ascii="Times New Roman" w:hAnsi="Times New Roman" w:cs="Times New Roman"/>
          <w:sz w:val="24"/>
        </w:rPr>
        <w:t xml:space="preserve"> crkva Krista Kralja (1965</w:t>
      </w:r>
      <w:r w:rsidR="00DA10F6">
        <w:rPr>
          <w:rFonts w:ascii="Times New Roman" w:hAnsi="Times New Roman" w:cs="Times New Roman"/>
          <w:sz w:val="24"/>
        </w:rPr>
        <w:t>.</w:t>
      </w:r>
      <w:r w:rsidRPr="005142C4">
        <w:rPr>
          <w:rFonts w:ascii="Times New Roman" w:hAnsi="Times New Roman" w:cs="Times New Roman"/>
          <w:sz w:val="24"/>
        </w:rPr>
        <w:t xml:space="preserve">), Lučko </w:t>
      </w:r>
      <w:r w:rsidR="00EE6A22" w:rsidRPr="005142C4">
        <w:rPr>
          <w:rFonts w:ascii="Times New Roman" w:hAnsi="Times New Roman" w:cs="Times New Roman"/>
          <w:sz w:val="24"/>
        </w:rPr>
        <w:t>-</w:t>
      </w:r>
      <w:r w:rsidRPr="005142C4">
        <w:rPr>
          <w:rFonts w:ascii="Times New Roman" w:hAnsi="Times New Roman" w:cs="Times New Roman"/>
          <w:sz w:val="24"/>
        </w:rPr>
        <w:t xml:space="preserve"> župna crkva</w:t>
      </w:r>
      <w:r w:rsidR="00201092">
        <w:rPr>
          <w:rFonts w:ascii="Times New Roman" w:hAnsi="Times New Roman" w:cs="Times New Roman"/>
          <w:sz w:val="24"/>
        </w:rPr>
        <w:t xml:space="preserve"> </w:t>
      </w:r>
      <w:r w:rsidR="00DA10F6" w:rsidRPr="005142C4">
        <w:rPr>
          <w:rFonts w:ascii="Times New Roman" w:hAnsi="Times New Roman" w:cs="Times New Roman"/>
          <w:sz w:val="24"/>
        </w:rPr>
        <w:t>sv</w:t>
      </w:r>
      <w:r w:rsidRPr="005142C4">
        <w:rPr>
          <w:rFonts w:ascii="Times New Roman" w:hAnsi="Times New Roman" w:cs="Times New Roman"/>
          <w:sz w:val="24"/>
        </w:rPr>
        <w:t>. Ivana Nepomuka (1965</w:t>
      </w:r>
      <w:r w:rsidR="00DA10F6">
        <w:rPr>
          <w:rFonts w:ascii="Times New Roman" w:hAnsi="Times New Roman" w:cs="Times New Roman"/>
          <w:sz w:val="24"/>
        </w:rPr>
        <w:t>.</w:t>
      </w:r>
      <w:r w:rsidRPr="005142C4">
        <w:rPr>
          <w:rFonts w:ascii="Times New Roman" w:hAnsi="Times New Roman" w:cs="Times New Roman"/>
          <w:sz w:val="24"/>
        </w:rPr>
        <w:t xml:space="preserve">) i kapela </w:t>
      </w:r>
      <w:r w:rsidR="00DA10F6" w:rsidRPr="005142C4">
        <w:rPr>
          <w:rFonts w:ascii="Times New Roman" w:hAnsi="Times New Roman" w:cs="Times New Roman"/>
          <w:sz w:val="24"/>
        </w:rPr>
        <w:t>sv</w:t>
      </w:r>
      <w:r w:rsidRPr="005142C4">
        <w:rPr>
          <w:rFonts w:ascii="Times New Roman" w:hAnsi="Times New Roman" w:cs="Times New Roman"/>
          <w:sz w:val="24"/>
        </w:rPr>
        <w:t>. Marije (1965</w:t>
      </w:r>
      <w:r w:rsidR="00DA10F6">
        <w:rPr>
          <w:rFonts w:ascii="Times New Roman" w:hAnsi="Times New Roman" w:cs="Times New Roman"/>
          <w:sz w:val="24"/>
        </w:rPr>
        <w:t>.</w:t>
      </w:r>
      <w:r w:rsidRPr="005142C4">
        <w:rPr>
          <w:rFonts w:ascii="Times New Roman" w:hAnsi="Times New Roman" w:cs="Times New Roman"/>
          <w:sz w:val="24"/>
        </w:rPr>
        <w:t xml:space="preserve">), Markuševac </w:t>
      </w:r>
      <w:r w:rsidR="00EE6A22" w:rsidRPr="005142C4">
        <w:rPr>
          <w:rFonts w:ascii="Times New Roman" w:hAnsi="Times New Roman" w:cs="Times New Roman"/>
          <w:sz w:val="24"/>
        </w:rPr>
        <w:t>-</w:t>
      </w:r>
      <w:r w:rsidRPr="005142C4">
        <w:rPr>
          <w:rFonts w:ascii="Times New Roman" w:hAnsi="Times New Roman" w:cs="Times New Roman"/>
          <w:sz w:val="24"/>
        </w:rPr>
        <w:t xml:space="preserve"> župna crkva </w:t>
      </w:r>
      <w:r w:rsidR="00DA10F6" w:rsidRPr="005142C4">
        <w:rPr>
          <w:rFonts w:ascii="Times New Roman" w:hAnsi="Times New Roman" w:cs="Times New Roman"/>
          <w:sz w:val="24"/>
        </w:rPr>
        <w:t>sv</w:t>
      </w:r>
      <w:r w:rsidRPr="005142C4">
        <w:rPr>
          <w:rFonts w:ascii="Times New Roman" w:hAnsi="Times New Roman" w:cs="Times New Roman"/>
          <w:sz w:val="24"/>
        </w:rPr>
        <w:t>. Šimuna i Jude Tadeja (1965</w:t>
      </w:r>
      <w:r w:rsidR="00DA10F6">
        <w:rPr>
          <w:rFonts w:ascii="Times New Roman" w:hAnsi="Times New Roman" w:cs="Times New Roman"/>
          <w:sz w:val="24"/>
        </w:rPr>
        <w:t>.</w:t>
      </w:r>
      <w:r w:rsidRPr="005142C4">
        <w:rPr>
          <w:rFonts w:ascii="Times New Roman" w:hAnsi="Times New Roman" w:cs="Times New Roman"/>
          <w:sz w:val="24"/>
        </w:rPr>
        <w:t xml:space="preserve">), Medvednica </w:t>
      </w:r>
      <w:r w:rsidR="00EE6A22" w:rsidRPr="005142C4">
        <w:rPr>
          <w:rFonts w:ascii="Times New Roman" w:hAnsi="Times New Roman" w:cs="Times New Roman"/>
          <w:sz w:val="24"/>
        </w:rPr>
        <w:t>-</w:t>
      </w:r>
      <w:r w:rsidRPr="005142C4">
        <w:rPr>
          <w:rFonts w:ascii="Times New Roman" w:hAnsi="Times New Roman" w:cs="Times New Roman"/>
          <w:sz w:val="24"/>
        </w:rPr>
        <w:t xml:space="preserve"> kapelica </w:t>
      </w:r>
      <w:r w:rsidR="00DA10F6" w:rsidRPr="005142C4">
        <w:rPr>
          <w:rFonts w:ascii="Times New Roman" w:hAnsi="Times New Roman" w:cs="Times New Roman"/>
          <w:sz w:val="24"/>
        </w:rPr>
        <w:t>sv</w:t>
      </w:r>
      <w:r w:rsidRPr="005142C4">
        <w:rPr>
          <w:rFonts w:ascii="Times New Roman" w:hAnsi="Times New Roman" w:cs="Times New Roman"/>
          <w:sz w:val="24"/>
        </w:rPr>
        <w:t xml:space="preserve">. Filipa i Jakoba, Moravče </w:t>
      </w:r>
      <w:r w:rsidR="00EE6A22" w:rsidRPr="005142C4">
        <w:rPr>
          <w:rFonts w:ascii="Times New Roman" w:hAnsi="Times New Roman" w:cs="Times New Roman"/>
          <w:sz w:val="24"/>
        </w:rPr>
        <w:t>-</w:t>
      </w:r>
      <w:r w:rsidRPr="005142C4">
        <w:rPr>
          <w:rFonts w:ascii="Times New Roman" w:hAnsi="Times New Roman" w:cs="Times New Roman"/>
          <w:sz w:val="24"/>
        </w:rPr>
        <w:t xml:space="preserve"> kapela </w:t>
      </w:r>
      <w:r w:rsidR="00DA10F6" w:rsidRPr="005142C4">
        <w:rPr>
          <w:rFonts w:ascii="Times New Roman" w:hAnsi="Times New Roman" w:cs="Times New Roman"/>
          <w:sz w:val="24"/>
        </w:rPr>
        <w:t xml:space="preserve">sv. </w:t>
      </w:r>
      <w:r w:rsidRPr="005142C4">
        <w:rPr>
          <w:rFonts w:ascii="Times New Roman" w:hAnsi="Times New Roman" w:cs="Times New Roman"/>
          <w:sz w:val="24"/>
        </w:rPr>
        <w:t>Ivana Nepomuka i župna crkva Presvetog Trojstva (1977</w:t>
      </w:r>
      <w:r w:rsidR="00DA10F6">
        <w:rPr>
          <w:rFonts w:ascii="Times New Roman" w:hAnsi="Times New Roman" w:cs="Times New Roman"/>
          <w:sz w:val="24"/>
        </w:rPr>
        <w:t>.</w:t>
      </w:r>
      <w:r w:rsidRPr="005142C4">
        <w:rPr>
          <w:rFonts w:ascii="Times New Roman" w:hAnsi="Times New Roman" w:cs="Times New Roman"/>
          <w:sz w:val="24"/>
        </w:rPr>
        <w:t xml:space="preserve">), Mošćenička </w:t>
      </w:r>
      <w:r w:rsidR="00EE6A22" w:rsidRPr="005142C4">
        <w:rPr>
          <w:rFonts w:ascii="Times New Roman" w:hAnsi="Times New Roman" w:cs="Times New Roman"/>
          <w:sz w:val="24"/>
        </w:rPr>
        <w:t>-</w:t>
      </w:r>
      <w:r w:rsidRPr="005142C4">
        <w:rPr>
          <w:rFonts w:ascii="Times New Roman" w:hAnsi="Times New Roman" w:cs="Times New Roman"/>
          <w:sz w:val="24"/>
        </w:rPr>
        <w:t xml:space="preserve"> kompleks kapela Corpus D</w:t>
      </w:r>
      <w:r w:rsidR="00B918F6">
        <w:rPr>
          <w:rFonts w:ascii="Times New Roman" w:hAnsi="Times New Roman" w:cs="Times New Roman"/>
          <w:sz w:val="24"/>
        </w:rPr>
        <w:t>omini</w:t>
      </w:r>
      <w:r w:rsidRPr="005142C4">
        <w:rPr>
          <w:rFonts w:ascii="Times New Roman" w:hAnsi="Times New Roman" w:cs="Times New Roman"/>
          <w:sz w:val="24"/>
        </w:rPr>
        <w:t xml:space="preserve">, Nova Ves </w:t>
      </w:r>
      <w:r w:rsidR="00EE6A22" w:rsidRPr="005142C4">
        <w:rPr>
          <w:rFonts w:ascii="Times New Roman" w:hAnsi="Times New Roman" w:cs="Times New Roman"/>
          <w:sz w:val="24"/>
        </w:rPr>
        <w:t>-</w:t>
      </w:r>
      <w:r w:rsidRPr="005142C4">
        <w:rPr>
          <w:rFonts w:ascii="Times New Roman" w:hAnsi="Times New Roman" w:cs="Times New Roman"/>
          <w:sz w:val="24"/>
        </w:rPr>
        <w:t xml:space="preserve"> crkva </w:t>
      </w:r>
      <w:r w:rsidR="00DA10F6" w:rsidRPr="005142C4">
        <w:rPr>
          <w:rFonts w:ascii="Times New Roman" w:hAnsi="Times New Roman" w:cs="Times New Roman"/>
          <w:sz w:val="24"/>
        </w:rPr>
        <w:t>sv</w:t>
      </w:r>
      <w:r w:rsidRPr="005142C4">
        <w:rPr>
          <w:rFonts w:ascii="Times New Roman" w:hAnsi="Times New Roman" w:cs="Times New Roman"/>
          <w:sz w:val="24"/>
        </w:rPr>
        <w:t>. Ivana Krstitelja (1963</w:t>
      </w:r>
      <w:r w:rsidR="00DA10F6">
        <w:rPr>
          <w:rFonts w:ascii="Times New Roman" w:hAnsi="Times New Roman" w:cs="Times New Roman"/>
          <w:sz w:val="24"/>
        </w:rPr>
        <w:t>.</w:t>
      </w:r>
      <w:r w:rsidRPr="005142C4">
        <w:rPr>
          <w:rFonts w:ascii="Times New Roman" w:hAnsi="Times New Roman" w:cs="Times New Roman"/>
          <w:sz w:val="24"/>
        </w:rPr>
        <w:t>) i kapela Majke Božje Žalosne (2000</w:t>
      </w:r>
      <w:r w:rsidR="00F90290">
        <w:rPr>
          <w:rFonts w:ascii="Times New Roman" w:hAnsi="Times New Roman" w:cs="Times New Roman"/>
          <w:sz w:val="24"/>
        </w:rPr>
        <w:t>.</w:t>
      </w:r>
      <w:r w:rsidRPr="005142C4">
        <w:rPr>
          <w:rFonts w:ascii="Times New Roman" w:hAnsi="Times New Roman" w:cs="Times New Roman"/>
          <w:sz w:val="24"/>
        </w:rPr>
        <w:t xml:space="preserve">), Ćirilometodska </w:t>
      </w:r>
      <w:r w:rsidR="00EE6A22" w:rsidRPr="005142C4">
        <w:rPr>
          <w:rFonts w:ascii="Times New Roman" w:hAnsi="Times New Roman" w:cs="Times New Roman"/>
          <w:sz w:val="24"/>
        </w:rPr>
        <w:t>-</w:t>
      </w:r>
      <w:r w:rsidRPr="005142C4">
        <w:rPr>
          <w:rFonts w:ascii="Times New Roman" w:hAnsi="Times New Roman" w:cs="Times New Roman"/>
          <w:sz w:val="24"/>
        </w:rPr>
        <w:t xml:space="preserve"> grkokatoličko sjemenište i crkva </w:t>
      </w:r>
      <w:r w:rsidR="00F90290" w:rsidRPr="005142C4">
        <w:rPr>
          <w:rFonts w:ascii="Times New Roman" w:hAnsi="Times New Roman" w:cs="Times New Roman"/>
          <w:sz w:val="24"/>
        </w:rPr>
        <w:t>sv</w:t>
      </w:r>
      <w:r w:rsidRPr="005142C4">
        <w:rPr>
          <w:rFonts w:ascii="Times New Roman" w:hAnsi="Times New Roman" w:cs="Times New Roman"/>
          <w:sz w:val="24"/>
        </w:rPr>
        <w:t xml:space="preserve">. Ćirila i Metoda, Gundulićeva </w:t>
      </w:r>
      <w:r w:rsidR="00EE6A22" w:rsidRPr="005142C4">
        <w:rPr>
          <w:rFonts w:ascii="Times New Roman" w:hAnsi="Times New Roman" w:cs="Times New Roman"/>
          <w:sz w:val="24"/>
        </w:rPr>
        <w:t>-</w:t>
      </w:r>
      <w:r w:rsidRPr="005142C4">
        <w:rPr>
          <w:rFonts w:ascii="Times New Roman" w:hAnsi="Times New Roman" w:cs="Times New Roman"/>
          <w:sz w:val="24"/>
        </w:rPr>
        <w:t xml:space="preserve"> Evangelička crkva i župni dvor (1974</w:t>
      </w:r>
      <w:r w:rsidR="00F90290">
        <w:rPr>
          <w:rFonts w:ascii="Times New Roman" w:hAnsi="Times New Roman" w:cs="Times New Roman"/>
          <w:sz w:val="24"/>
        </w:rPr>
        <w:t>.</w:t>
      </w:r>
      <w:r w:rsidRPr="005142C4">
        <w:rPr>
          <w:rFonts w:ascii="Times New Roman" w:hAnsi="Times New Roman" w:cs="Times New Roman"/>
          <w:sz w:val="24"/>
        </w:rPr>
        <w:t xml:space="preserve">), Sveti Duh </w:t>
      </w:r>
      <w:r w:rsidR="00EE6A22" w:rsidRPr="005142C4">
        <w:rPr>
          <w:rFonts w:ascii="Times New Roman" w:hAnsi="Times New Roman" w:cs="Times New Roman"/>
          <w:sz w:val="24"/>
        </w:rPr>
        <w:t>-</w:t>
      </w:r>
      <w:r w:rsidRPr="005142C4">
        <w:rPr>
          <w:rFonts w:ascii="Times New Roman" w:hAnsi="Times New Roman" w:cs="Times New Roman"/>
          <w:sz w:val="24"/>
        </w:rPr>
        <w:t xml:space="preserve"> crkva </w:t>
      </w:r>
      <w:r w:rsidR="00F90290">
        <w:rPr>
          <w:rFonts w:ascii="Times New Roman" w:hAnsi="Times New Roman" w:cs="Times New Roman"/>
          <w:sz w:val="24"/>
        </w:rPr>
        <w:t>sv.</w:t>
      </w:r>
      <w:r w:rsidRPr="005142C4">
        <w:rPr>
          <w:rFonts w:ascii="Times New Roman" w:hAnsi="Times New Roman" w:cs="Times New Roman"/>
          <w:sz w:val="24"/>
        </w:rPr>
        <w:t xml:space="preserve"> Ante Padovanskog, Odra </w:t>
      </w:r>
      <w:r w:rsidR="00EE6A22" w:rsidRPr="005142C4">
        <w:rPr>
          <w:rFonts w:ascii="Times New Roman" w:hAnsi="Times New Roman" w:cs="Times New Roman"/>
          <w:sz w:val="24"/>
        </w:rPr>
        <w:t>-</w:t>
      </w:r>
      <w:r w:rsidRPr="005142C4">
        <w:rPr>
          <w:rFonts w:ascii="Times New Roman" w:hAnsi="Times New Roman" w:cs="Times New Roman"/>
          <w:sz w:val="24"/>
        </w:rPr>
        <w:t xml:space="preserve"> župna crkva </w:t>
      </w:r>
      <w:r w:rsidR="00F90290">
        <w:rPr>
          <w:rFonts w:ascii="Times New Roman" w:hAnsi="Times New Roman" w:cs="Times New Roman"/>
          <w:sz w:val="24"/>
        </w:rPr>
        <w:t>sv.</w:t>
      </w:r>
      <w:r w:rsidRPr="005142C4">
        <w:rPr>
          <w:rFonts w:ascii="Times New Roman" w:hAnsi="Times New Roman" w:cs="Times New Roman"/>
          <w:sz w:val="24"/>
        </w:rPr>
        <w:t xml:space="preserve"> Jurja i poklonac </w:t>
      </w:r>
      <w:r w:rsidR="00F90290">
        <w:rPr>
          <w:rFonts w:ascii="Times New Roman" w:hAnsi="Times New Roman" w:cs="Times New Roman"/>
          <w:sz w:val="24"/>
        </w:rPr>
        <w:t>sv.</w:t>
      </w:r>
      <w:r w:rsidRPr="005142C4">
        <w:rPr>
          <w:rFonts w:ascii="Times New Roman" w:hAnsi="Times New Roman" w:cs="Times New Roman"/>
          <w:sz w:val="24"/>
        </w:rPr>
        <w:t xml:space="preserve"> Izidora (1965</w:t>
      </w:r>
      <w:r w:rsidR="00F90290">
        <w:rPr>
          <w:rFonts w:ascii="Times New Roman" w:hAnsi="Times New Roman" w:cs="Times New Roman"/>
          <w:sz w:val="24"/>
        </w:rPr>
        <w:t>.)</w:t>
      </w:r>
      <w:r w:rsidRPr="005142C4">
        <w:rPr>
          <w:rFonts w:ascii="Times New Roman" w:hAnsi="Times New Roman" w:cs="Times New Roman"/>
          <w:sz w:val="24"/>
        </w:rPr>
        <w:t xml:space="preserve">, Palmotićeva </w:t>
      </w:r>
      <w:r w:rsidR="00EE6A22" w:rsidRPr="005142C4">
        <w:rPr>
          <w:rFonts w:ascii="Times New Roman" w:hAnsi="Times New Roman" w:cs="Times New Roman"/>
          <w:sz w:val="24"/>
        </w:rPr>
        <w:t>-</w:t>
      </w:r>
      <w:r w:rsidRPr="005142C4">
        <w:rPr>
          <w:rFonts w:ascii="Times New Roman" w:hAnsi="Times New Roman" w:cs="Times New Roman"/>
          <w:sz w:val="24"/>
        </w:rPr>
        <w:t xml:space="preserve"> crkva Presvetoga srca Isusovog (1963</w:t>
      </w:r>
      <w:r w:rsidR="00F90290">
        <w:rPr>
          <w:rFonts w:ascii="Times New Roman" w:hAnsi="Times New Roman" w:cs="Times New Roman"/>
          <w:sz w:val="24"/>
        </w:rPr>
        <w:t>.)</w:t>
      </w:r>
      <w:r w:rsidRPr="005142C4">
        <w:rPr>
          <w:rFonts w:ascii="Times New Roman" w:hAnsi="Times New Roman" w:cs="Times New Roman"/>
          <w:sz w:val="24"/>
        </w:rPr>
        <w:t xml:space="preserve">, Planina Donja </w:t>
      </w:r>
      <w:r w:rsidR="00EE6A22" w:rsidRPr="005142C4">
        <w:rPr>
          <w:rFonts w:ascii="Times New Roman" w:hAnsi="Times New Roman" w:cs="Times New Roman"/>
          <w:sz w:val="24"/>
        </w:rPr>
        <w:t>-</w:t>
      </w:r>
      <w:r w:rsidRPr="005142C4">
        <w:rPr>
          <w:rFonts w:ascii="Times New Roman" w:hAnsi="Times New Roman" w:cs="Times New Roman"/>
          <w:sz w:val="24"/>
        </w:rPr>
        <w:t xml:space="preserve"> kapela </w:t>
      </w:r>
      <w:r w:rsidR="00F90290">
        <w:rPr>
          <w:rFonts w:ascii="Times New Roman" w:hAnsi="Times New Roman" w:cs="Times New Roman"/>
          <w:sz w:val="24"/>
        </w:rPr>
        <w:t>sv.</w:t>
      </w:r>
      <w:r w:rsidRPr="005142C4">
        <w:rPr>
          <w:rFonts w:ascii="Times New Roman" w:hAnsi="Times New Roman" w:cs="Times New Roman"/>
          <w:sz w:val="24"/>
        </w:rPr>
        <w:t xml:space="preserve"> Jurja (1990</w:t>
      </w:r>
      <w:r w:rsidR="00F90290">
        <w:rPr>
          <w:rFonts w:ascii="Times New Roman" w:hAnsi="Times New Roman" w:cs="Times New Roman"/>
          <w:sz w:val="24"/>
        </w:rPr>
        <w:t>.)</w:t>
      </w:r>
      <w:r w:rsidRPr="005142C4">
        <w:rPr>
          <w:rFonts w:ascii="Times New Roman" w:hAnsi="Times New Roman" w:cs="Times New Roman"/>
          <w:sz w:val="24"/>
        </w:rPr>
        <w:t xml:space="preserve">, Podsused </w:t>
      </w:r>
      <w:r w:rsidR="00EE6A22" w:rsidRPr="005142C4">
        <w:rPr>
          <w:rFonts w:ascii="Times New Roman" w:hAnsi="Times New Roman" w:cs="Times New Roman"/>
          <w:sz w:val="24"/>
        </w:rPr>
        <w:t>-</w:t>
      </w:r>
      <w:r w:rsidRPr="005142C4">
        <w:rPr>
          <w:rFonts w:ascii="Times New Roman" w:hAnsi="Times New Roman" w:cs="Times New Roman"/>
          <w:sz w:val="24"/>
        </w:rPr>
        <w:t xml:space="preserve"> kapela </w:t>
      </w:r>
      <w:r w:rsidR="00F90290">
        <w:rPr>
          <w:rFonts w:ascii="Times New Roman" w:hAnsi="Times New Roman" w:cs="Times New Roman"/>
          <w:sz w:val="24"/>
        </w:rPr>
        <w:t>sv.</w:t>
      </w:r>
      <w:r w:rsidRPr="005142C4">
        <w:rPr>
          <w:rFonts w:ascii="Times New Roman" w:hAnsi="Times New Roman" w:cs="Times New Roman"/>
          <w:sz w:val="24"/>
        </w:rPr>
        <w:t xml:space="preserve"> Martina (1965</w:t>
      </w:r>
      <w:r w:rsidR="00F90290">
        <w:rPr>
          <w:rFonts w:ascii="Times New Roman" w:hAnsi="Times New Roman" w:cs="Times New Roman"/>
          <w:sz w:val="24"/>
        </w:rPr>
        <w:t>.)</w:t>
      </w:r>
      <w:r w:rsidRPr="005142C4">
        <w:rPr>
          <w:rFonts w:ascii="Times New Roman" w:hAnsi="Times New Roman" w:cs="Times New Roman"/>
          <w:sz w:val="24"/>
        </w:rPr>
        <w:t xml:space="preserve"> i kapela </w:t>
      </w:r>
      <w:r w:rsidR="00F90290">
        <w:rPr>
          <w:rFonts w:ascii="Times New Roman" w:hAnsi="Times New Roman" w:cs="Times New Roman"/>
          <w:sz w:val="24"/>
        </w:rPr>
        <w:t>sv.</w:t>
      </w:r>
      <w:r w:rsidRPr="005142C4">
        <w:rPr>
          <w:rFonts w:ascii="Times New Roman" w:hAnsi="Times New Roman" w:cs="Times New Roman"/>
          <w:sz w:val="24"/>
        </w:rPr>
        <w:t xml:space="preserve"> Antuna (1965</w:t>
      </w:r>
      <w:r w:rsidR="00F90290">
        <w:rPr>
          <w:rFonts w:ascii="Times New Roman" w:hAnsi="Times New Roman" w:cs="Times New Roman"/>
          <w:sz w:val="24"/>
        </w:rPr>
        <w:t>.)</w:t>
      </w:r>
      <w:r w:rsidRPr="005142C4">
        <w:rPr>
          <w:rFonts w:ascii="Times New Roman" w:hAnsi="Times New Roman" w:cs="Times New Roman"/>
          <w:sz w:val="24"/>
        </w:rPr>
        <w:t xml:space="preserve">, Preobraženska </w:t>
      </w:r>
      <w:r w:rsidR="00EE6A22" w:rsidRPr="005142C4">
        <w:rPr>
          <w:rFonts w:ascii="Times New Roman" w:hAnsi="Times New Roman" w:cs="Times New Roman"/>
          <w:sz w:val="24"/>
        </w:rPr>
        <w:t>-</w:t>
      </w:r>
      <w:r w:rsidRPr="005142C4">
        <w:rPr>
          <w:rFonts w:ascii="Times New Roman" w:hAnsi="Times New Roman" w:cs="Times New Roman"/>
          <w:sz w:val="24"/>
        </w:rPr>
        <w:t xml:space="preserve"> crkva Svetog Preobraženja (1964</w:t>
      </w:r>
      <w:r w:rsidR="00F90290">
        <w:rPr>
          <w:rFonts w:ascii="Times New Roman" w:hAnsi="Times New Roman" w:cs="Times New Roman"/>
          <w:sz w:val="24"/>
        </w:rPr>
        <w:t>.)</w:t>
      </w:r>
      <w:r w:rsidRPr="005142C4">
        <w:rPr>
          <w:rFonts w:ascii="Times New Roman" w:hAnsi="Times New Roman" w:cs="Times New Roman"/>
          <w:sz w:val="24"/>
        </w:rPr>
        <w:t xml:space="preserve">, Prilaz Gj. Deželića </w:t>
      </w:r>
      <w:r w:rsidR="00EE6A22" w:rsidRPr="005142C4">
        <w:rPr>
          <w:rFonts w:ascii="Times New Roman" w:hAnsi="Times New Roman" w:cs="Times New Roman"/>
          <w:sz w:val="24"/>
        </w:rPr>
        <w:t>-</w:t>
      </w:r>
      <w:r w:rsidRPr="005142C4">
        <w:rPr>
          <w:rFonts w:ascii="Times New Roman" w:hAnsi="Times New Roman" w:cs="Times New Roman"/>
          <w:sz w:val="24"/>
        </w:rPr>
        <w:t xml:space="preserve"> crkva </w:t>
      </w:r>
      <w:r w:rsidR="00F90290">
        <w:rPr>
          <w:rFonts w:ascii="Times New Roman" w:hAnsi="Times New Roman" w:cs="Times New Roman"/>
          <w:sz w:val="24"/>
        </w:rPr>
        <w:t>sv.</w:t>
      </w:r>
      <w:r w:rsidRPr="005142C4">
        <w:rPr>
          <w:rFonts w:ascii="Times New Roman" w:hAnsi="Times New Roman" w:cs="Times New Roman"/>
          <w:sz w:val="24"/>
        </w:rPr>
        <w:t xml:space="preserve"> Blaža (1970</w:t>
      </w:r>
      <w:r w:rsidR="00F90290">
        <w:rPr>
          <w:rFonts w:ascii="Times New Roman" w:hAnsi="Times New Roman" w:cs="Times New Roman"/>
          <w:sz w:val="24"/>
        </w:rPr>
        <w:t>.)</w:t>
      </w:r>
      <w:r w:rsidRPr="005142C4">
        <w:rPr>
          <w:rFonts w:ascii="Times New Roman" w:hAnsi="Times New Roman" w:cs="Times New Roman"/>
          <w:sz w:val="24"/>
        </w:rPr>
        <w:t xml:space="preserve">, Remete </w:t>
      </w:r>
      <w:r w:rsidR="00EE6A22" w:rsidRPr="005142C4">
        <w:rPr>
          <w:rFonts w:ascii="Times New Roman" w:hAnsi="Times New Roman" w:cs="Times New Roman"/>
          <w:sz w:val="24"/>
        </w:rPr>
        <w:t>-</w:t>
      </w:r>
      <w:r w:rsidRPr="005142C4">
        <w:rPr>
          <w:rFonts w:ascii="Times New Roman" w:hAnsi="Times New Roman" w:cs="Times New Roman"/>
          <w:sz w:val="24"/>
        </w:rPr>
        <w:t xml:space="preserve"> župna crkva Uznesenja Bl. Dj. Marije (1965</w:t>
      </w:r>
      <w:r w:rsidR="00F90290">
        <w:rPr>
          <w:rFonts w:ascii="Times New Roman" w:hAnsi="Times New Roman" w:cs="Times New Roman"/>
          <w:sz w:val="24"/>
        </w:rPr>
        <w:t>.)</w:t>
      </w:r>
      <w:r w:rsidRPr="005142C4">
        <w:rPr>
          <w:rFonts w:ascii="Times New Roman" w:hAnsi="Times New Roman" w:cs="Times New Roman"/>
          <w:sz w:val="24"/>
        </w:rPr>
        <w:t xml:space="preserve">, Dolac </w:t>
      </w:r>
      <w:r w:rsidR="00EE6A22" w:rsidRPr="005142C4">
        <w:rPr>
          <w:rFonts w:ascii="Times New Roman" w:hAnsi="Times New Roman" w:cs="Times New Roman"/>
          <w:sz w:val="24"/>
        </w:rPr>
        <w:t>-</w:t>
      </w:r>
      <w:r w:rsidRPr="005142C4">
        <w:rPr>
          <w:rFonts w:ascii="Times New Roman" w:hAnsi="Times New Roman" w:cs="Times New Roman"/>
          <w:sz w:val="24"/>
        </w:rPr>
        <w:t xml:space="preserve"> crkva </w:t>
      </w:r>
      <w:r w:rsidR="00F90290">
        <w:rPr>
          <w:rFonts w:ascii="Times New Roman" w:hAnsi="Times New Roman" w:cs="Times New Roman"/>
          <w:sz w:val="24"/>
        </w:rPr>
        <w:t>sv.</w:t>
      </w:r>
      <w:r w:rsidRPr="005142C4">
        <w:rPr>
          <w:rFonts w:ascii="Times New Roman" w:hAnsi="Times New Roman" w:cs="Times New Roman"/>
          <w:sz w:val="24"/>
        </w:rPr>
        <w:t xml:space="preserve"> Marije od Pohoda, Rokov perivoj </w:t>
      </w:r>
      <w:r w:rsidR="00EE6A22" w:rsidRPr="005142C4">
        <w:rPr>
          <w:rFonts w:ascii="Times New Roman" w:hAnsi="Times New Roman" w:cs="Times New Roman"/>
          <w:sz w:val="24"/>
        </w:rPr>
        <w:t>-</w:t>
      </w:r>
      <w:r w:rsidRPr="005142C4">
        <w:rPr>
          <w:rFonts w:ascii="Times New Roman" w:hAnsi="Times New Roman" w:cs="Times New Roman"/>
          <w:sz w:val="24"/>
        </w:rPr>
        <w:t xml:space="preserve"> kapela </w:t>
      </w:r>
      <w:r w:rsidR="00F90290">
        <w:rPr>
          <w:rFonts w:ascii="Times New Roman" w:hAnsi="Times New Roman" w:cs="Times New Roman"/>
          <w:sz w:val="24"/>
        </w:rPr>
        <w:t>sv.</w:t>
      </w:r>
      <w:r w:rsidRPr="005142C4">
        <w:rPr>
          <w:rFonts w:ascii="Times New Roman" w:hAnsi="Times New Roman" w:cs="Times New Roman"/>
          <w:sz w:val="24"/>
        </w:rPr>
        <w:t xml:space="preserve"> Roka (1967</w:t>
      </w:r>
      <w:r w:rsidR="00F90290">
        <w:rPr>
          <w:rFonts w:ascii="Times New Roman" w:hAnsi="Times New Roman" w:cs="Times New Roman"/>
          <w:sz w:val="24"/>
        </w:rPr>
        <w:t>.)</w:t>
      </w:r>
      <w:r w:rsidRPr="005142C4">
        <w:rPr>
          <w:rFonts w:ascii="Times New Roman" w:hAnsi="Times New Roman" w:cs="Times New Roman"/>
          <w:sz w:val="24"/>
        </w:rPr>
        <w:t xml:space="preserve">, Frankopanska </w:t>
      </w:r>
      <w:r w:rsidR="00EE6A22" w:rsidRPr="005142C4">
        <w:rPr>
          <w:rFonts w:ascii="Times New Roman" w:hAnsi="Times New Roman" w:cs="Times New Roman"/>
          <w:sz w:val="24"/>
        </w:rPr>
        <w:t>-</w:t>
      </w:r>
      <w:r w:rsidRPr="005142C4">
        <w:rPr>
          <w:rFonts w:ascii="Times New Roman" w:hAnsi="Times New Roman" w:cs="Times New Roman"/>
          <w:sz w:val="24"/>
        </w:rPr>
        <w:t xml:space="preserve"> crkva i samostan </w:t>
      </w:r>
      <w:r w:rsidR="00F90290">
        <w:rPr>
          <w:rFonts w:ascii="Times New Roman" w:hAnsi="Times New Roman" w:cs="Times New Roman"/>
          <w:sz w:val="24"/>
        </w:rPr>
        <w:t>sv.</w:t>
      </w:r>
      <w:r w:rsidRPr="005142C4">
        <w:rPr>
          <w:rFonts w:ascii="Times New Roman" w:hAnsi="Times New Roman" w:cs="Times New Roman"/>
          <w:sz w:val="24"/>
        </w:rPr>
        <w:t xml:space="preserve"> Vinka, Sesvete </w:t>
      </w:r>
      <w:r w:rsidR="00EE6A22" w:rsidRPr="005142C4">
        <w:rPr>
          <w:rFonts w:ascii="Times New Roman" w:hAnsi="Times New Roman" w:cs="Times New Roman"/>
          <w:sz w:val="24"/>
        </w:rPr>
        <w:t>-</w:t>
      </w:r>
      <w:r w:rsidRPr="005142C4">
        <w:rPr>
          <w:rFonts w:ascii="Times New Roman" w:hAnsi="Times New Roman" w:cs="Times New Roman"/>
          <w:sz w:val="24"/>
        </w:rPr>
        <w:t xml:space="preserve"> crkva Svih Svetih,</w:t>
      </w:r>
      <w:r w:rsidR="00201092">
        <w:rPr>
          <w:rFonts w:ascii="Times New Roman" w:hAnsi="Times New Roman" w:cs="Times New Roman"/>
          <w:sz w:val="24"/>
        </w:rPr>
        <w:t xml:space="preserve"> </w:t>
      </w:r>
      <w:r w:rsidRPr="005142C4">
        <w:rPr>
          <w:rFonts w:ascii="Times New Roman" w:hAnsi="Times New Roman" w:cs="Times New Roman"/>
          <w:sz w:val="24"/>
        </w:rPr>
        <w:t xml:space="preserve">Sljeme </w:t>
      </w:r>
      <w:r w:rsidR="00EE6A22" w:rsidRPr="005142C4">
        <w:rPr>
          <w:rFonts w:ascii="Times New Roman" w:hAnsi="Times New Roman" w:cs="Times New Roman"/>
          <w:sz w:val="24"/>
        </w:rPr>
        <w:t>-</w:t>
      </w:r>
      <w:r w:rsidRPr="005142C4">
        <w:rPr>
          <w:rFonts w:ascii="Times New Roman" w:hAnsi="Times New Roman" w:cs="Times New Roman"/>
          <w:sz w:val="24"/>
        </w:rPr>
        <w:t xml:space="preserve"> kapela Majke Božje Sljemenske (1971</w:t>
      </w:r>
      <w:r w:rsidR="00F90290">
        <w:rPr>
          <w:rFonts w:ascii="Times New Roman" w:hAnsi="Times New Roman" w:cs="Times New Roman"/>
          <w:sz w:val="24"/>
        </w:rPr>
        <w:t>.)</w:t>
      </w:r>
      <w:r w:rsidRPr="005142C4">
        <w:rPr>
          <w:rFonts w:ascii="Times New Roman" w:hAnsi="Times New Roman" w:cs="Times New Roman"/>
          <w:sz w:val="24"/>
        </w:rPr>
        <w:t xml:space="preserve">, Stenjevec </w:t>
      </w:r>
      <w:r w:rsidR="00EE6A22" w:rsidRPr="005142C4">
        <w:rPr>
          <w:rFonts w:ascii="Times New Roman" w:hAnsi="Times New Roman" w:cs="Times New Roman"/>
          <w:sz w:val="24"/>
        </w:rPr>
        <w:t>-</w:t>
      </w:r>
      <w:r w:rsidRPr="005142C4">
        <w:rPr>
          <w:rFonts w:ascii="Times New Roman" w:hAnsi="Times New Roman" w:cs="Times New Roman"/>
          <w:sz w:val="24"/>
        </w:rPr>
        <w:t xml:space="preserve"> župna crkva Uznesenja Bl. Dj. Marije (1965</w:t>
      </w:r>
      <w:r w:rsidR="00F90290">
        <w:rPr>
          <w:rFonts w:ascii="Times New Roman" w:hAnsi="Times New Roman" w:cs="Times New Roman"/>
          <w:sz w:val="24"/>
        </w:rPr>
        <w:t>.)</w:t>
      </w:r>
      <w:r w:rsidRPr="005142C4">
        <w:rPr>
          <w:rFonts w:ascii="Times New Roman" w:hAnsi="Times New Roman" w:cs="Times New Roman"/>
          <w:sz w:val="24"/>
        </w:rPr>
        <w:t xml:space="preserve">, Klara </w:t>
      </w:r>
      <w:r w:rsidR="00EE6A22" w:rsidRPr="005142C4">
        <w:rPr>
          <w:rFonts w:ascii="Times New Roman" w:hAnsi="Times New Roman" w:cs="Times New Roman"/>
          <w:sz w:val="24"/>
        </w:rPr>
        <w:t>-</w:t>
      </w:r>
      <w:r w:rsidRPr="005142C4">
        <w:rPr>
          <w:rFonts w:ascii="Times New Roman" w:hAnsi="Times New Roman" w:cs="Times New Roman"/>
          <w:sz w:val="24"/>
        </w:rPr>
        <w:t xml:space="preserve"> župna crkva </w:t>
      </w:r>
      <w:r w:rsidR="00F90290">
        <w:rPr>
          <w:rFonts w:ascii="Times New Roman" w:hAnsi="Times New Roman" w:cs="Times New Roman"/>
          <w:sz w:val="24"/>
        </w:rPr>
        <w:t>sv.</w:t>
      </w:r>
      <w:r w:rsidRPr="005142C4">
        <w:rPr>
          <w:rFonts w:ascii="Times New Roman" w:hAnsi="Times New Roman" w:cs="Times New Roman"/>
          <w:sz w:val="24"/>
        </w:rPr>
        <w:t xml:space="preserve"> Klare (1965</w:t>
      </w:r>
      <w:r w:rsidR="00F90290">
        <w:rPr>
          <w:rFonts w:ascii="Times New Roman" w:hAnsi="Times New Roman" w:cs="Times New Roman"/>
          <w:sz w:val="24"/>
        </w:rPr>
        <w:t>.)</w:t>
      </w:r>
      <w:r w:rsidRPr="005142C4">
        <w:rPr>
          <w:rFonts w:ascii="Times New Roman" w:hAnsi="Times New Roman" w:cs="Times New Roman"/>
          <w:sz w:val="24"/>
        </w:rPr>
        <w:t xml:space="preserve">, Sveti Duh 122 </w:t>
      </w:r>
      <w:r w:rsidR="00EE6A22" w:rsidRPr="005142C4">
        <w:rPr>
          <w:rFonts w:ascii="Times New Roman" w:hAnsi="Times New Roman" w:cs="Times New Roman"/>
          <w:sz w:val="24"/>
        </w:rPr>
        <w:t>-</w:t>
      </w:r>
      <w:r w:rsidRPr="005142C4">
        <w:rPr>
          <w:rFonts w:ascii="Times New Roman" w:hAnsi="Times New Roman" w:cs="Times New Roman"/>
          <w:sz w:val="24"/>
        </w:rPr>
        <w:t xml:space="preserve"> manastir i kapela </w:t>
      </w:r>
      <w:r w:rsidR="00F90290">
        <w:rPr>
          <w:rFonts w:ascii="Times New Roman" w:hAnsi="Times New Roman" w:cs="Times New Roman"/>
          <w:sz w:val="24"/>
        </w:rPr>
        <w:t>sv.</w:t>
      </w:r>
      <w:r w:rsidR="00201092">
        <w:rPr>
          <w:rFonts w:ascii="Times New Roman" w:hAnsi="Times New Roman" w:cs="Times New Roman"/>
          <w:sz w:val="24"/>
        </w:rPr>
        <w:t xml:space="preserve"> </w:t>
      </w:r>
      <w:r w:rsidRPr="005142C4">
        <w:rPr>
          <w:rFonts w:ascii="Times New Roman" w:hAnsi="Times New Roman" w:cs="Times New Roman"/>
          <w:sz w:val="24"/>
        </w:rPr>
        <w:t xml:space="preserve">Petke, Trg </w:t>
      </w:r>
      <w:r w:rsidR="00F90290">
        <w:rPr>
          <w:rFonts w:ascii="Times New Roman" w:hAnsi="Times New Roman" w:cs="Times New Roman"/>
          <w:sz w:val="24"/>
        </w:rPr>
        <w:t>sv.</w:t>
      </w:r>
      <w:r w:rsidRPr="005142C4">
        <w:rPr>
          <w:rFonts w:ascii="Times New Roman" w:hAnsi="Times New Roman" w:cs="Times New Roman"/>
          <w:sz w:val="24"/>
        </w:rPr>
        <w:t xml:space="preserve"> Marka </w:t>
      </w:r>
      <w:r w:rsidR="00EE6A22" w:rsidRPr="005142C4">
        <w:rPr>
          <w:rFonts w:ascii="Times New Roman" w:hAnsi="Times New Roman" w:cs="Times New Roman"/>
          <w:sz w:val="24"/>
        </w:rPr>
        <w:t>-</w:t>
      </w:r>
      <w:r w:rsidRPr="005142C4">
        <w:rPr>
          <w:rFonts w:ascii="Times New Roman" w:hAnsi="Times New Roman" w:cs="Times New Roman"/>
          <w:sz w:val="24"/>
        </w:rPr>
        <w:t xml:space="preserve"> župna crkva </w:t>
      </w:r>
      <w:r w:rsidR="00F90290">
        <w:rPr>
          <w:rFonts w:ascii="Times New Roman" w:hAnsi="Times New Roman" w:cs="Times New Roman"/>
          <w:sz w:val="24"/>
        </w:rPr>
        <w:t>sv.</w:t>
      </w:r>
      <w:r w:rsidRPr="005142C4">
        <w:rPr>
          <w:rFonts w:ascii="Times New Roman" w:hAnsi="Times New Roman" w:cs="Times New Roman"/>
          <w:sz w:val="24"/>
        </w:rPr>
        <w:t xml:space="preserve"> Marka (1963</w:t>
      </w:r>
      <w:r w:rsidR="00F90290">
        <w:rPr>
          <w:rFonts w:ascii="Times New Roman" w:hAnsi="Times New Roman" w:cs="Times New Roman"/>
          <w:sz w:val="24"/>
        </w:rPr>
        <w:t>.)</w:t>
      </w:r>
      <w:r w:rsidRPr="005142C4">
        <w:rPr>
          <w:rFonts w:ascii="Times New Roman" w:hAnsi="Times New Roman" w:cs="Times New Roman"/>
          <w:sz w:val="24"/>
        </w:rPr>
        <w:t xml:space="preserve">, Vlaška </w:t>
      </w:r>
      <w:r w:rsidR="00EE6A22" w:rsidRPr="005142C4">
        <w:rPr>
          <w:rFonts w:ascii="Times New Roman" w:hAnsi="Times New Roman" w:cs="Times New Roman"/>
          <w:sz w:val="24"/>
        </w:rPr>
        <w:t>-</w:t>
      </w:r>
      <w:r w:rsidRPr="005142C4">
        <w:rPr>
          <w:rFonts w:ascii="Times New Roman" w:hAnsi="Times New Roman" w:cs="Times New Roman"/>
          <w:sz w:val="24"/>
        </w:rPr>
        <w:t xml:space="preserve"> župna crkva </w:t>
      </w:r>
      <w:r w:rsidR="00F90290">
        <w:rPr>
          <w:rFonts w:ascii="Times New Roman" w:hAnsi="Times New Roman" w:cs="Times New Roman"/>
          <w:sz w:val="24"/>
        </w:rPr>
        <w:t>sv.</w:t>
      </w:r>
      <w:r w:rsidRPr="005142C4">
        <w:rPr>
          <w:rFonts w:ascii="Times New Roman" w:hAnsi="Times New Roman" w:cs="Times New Roman"/>
          <w:sz w:val="24"/>
        </w:rPr>
        <w:t xml:space="preserve"> Petra (1991</w:t>
      </w:r>
      <w:r w:rsidR="00F90290">
        <w:rPr>
          <w:rFonts w:ascii="Times New Roman" w:hAnsi="Times New Roman" w:cs="Times New Roman"/>
          <w:sz w:val="24"/>
        </w:rPr>
        <w:t>.)</w:t>
      </w:r>
      <w:r w:rsidRPr="005142C4">
        <w:rPr>
          <w:rFonts w:ascii="Times New Roman" w:hAnsi="Times New Roman" w:cs="Times New Roman"/>
          <w:sz w:val="24"/>
        </w:rPr>
        <w:t xml:space="preserve">, Voćarska </w:t>
      </w:r>
      <w:r w:rsidR="00EE6A22" w:rsidRPr="005142C4">
        <w:rPr>
          <w:rFonts w:ascii="Times New Roman" w:hAnsi="Times New Roman" w:cs="Times New Roman"/>
          <w:sz w:val="24"/>
        </w:rPr>
        <w:t>-</w:t>
      </w:r>
      <w:r w:rsidRPr="005142C4">
        <w:rPr>
          <w:rFonts w:ascii="Times New Roman" w:hAnsi="Times New Roman" w:cs="Times New Roman"/>
          <w:sz w:val="24"/>
        </w:rPr>
        <w:t xml:space="preserve"> kapela </w:t>
      </w:r>
      <w:r w:rsidR="00F90290">
        <w:rPr>
          <w:rFonts w:ascii="Times New Roman" w:hAnsi="Times New Roman" w:cs="Times New Roman"/>
          <w:sz w:val="24"/>
        </w:rPr>
        <w:t>sv.</w:t>
      </w:r>
      <w:r w:rsidRPr="005142C4">
        <w:rPr>
          <w:rFonts w:ascii="Times New Roman" w:hAnsi="Times New Roman" w:cs="Times New Roman"/>
          <w:sz w:val="24"/>
        </w:rPr>
        <w:t xml:space="preserve"> Ivana Krstitelja, Vugrovec Donji </w:t>
      </w:r>
      <w:r w:rsidR="00EE6A22" w:rsidRPr="005142C4">
        <w:rPr>
          <w:rFonts w:ascii="Times New Roman" w:hAnsi="Times New Roman" w:cs="Times New Roman"/>
          <w:sz w:val="24"/>
        </w:rPr>
        <w:t>-</w:t>
      </w:r>
      <w:r w:rsidRPr="005142C4">
        <w:rPr>
          <w:rFonts w:ascii="Times New Roman" w:hAnsi="Times New Roman" w:cs="Times New Roman"/>
          <w:sz w:val="24"/>
        </w:rPr>
        <w:t xml:space="preserve"> grobna kapela </w:t>
      </w:r>
      <w:r w:rsidR="00F90290">
        <w:rPr>
          <w:rFonts w:ascii="Times New Roman" w:hAnsi="Times New Roman" w:cs="Times New Roman"/>
          <w:sz w:val="24"/>
        </w:rPr>
        <w:t>sv.</w:t>
      </w:r>
      <w:r w:rsidRPr="005142C4">
        <w:rPr>
          <w:rFonts w:ascii="Times New Roman" w:hAnsi="Times New Roman" w:cs="Times New Roman"/>
          <w:sz w:val="24"/>
        </w:rPr>
        <w:t xml:space="preserve"> Mihaela i župna crkva </w:t>
      </w:r>
      <w:r w:rsidR="00F90290">
        <w:rPr>
          <w:rFonts w:ascii="Times New Roman" w:hAnsi="Times New Roman" w:cs="Times New Roman"/>
          <w:sz w:val="24"/>
        </w:rPr>
        <w:t>sv.</w:t>
      </w:r>
      <w:r w:rsidRPr="005142C4">
        <w:rPr>
          <w:rFonts w:ascii="Times New Roman" w:hAnsi="Times New Roman" w:cs="Times New Roman"/>
          <w:sz w:val="24"/>
        </w:rPr>
        <w:t xml:space="preserve"> Franje Ksaverskog, Kašina </w:t>
      </w:r>
      <w:r w:rsidR="00EE6A22" w:rsidRPr="005142C4">
        <w:rPr>
          <w:rFonts w:ascii="Times New Roman" w:hAnsi="Times New Roman" w:cs="Times New Roman"/>
          <w:sz w:val="24"/>
        </w:rPr>
        <w:t>-</w:t>
      </w:r>
      <w:r w:rsidRPr="005142C4">
        <w:rPr>
          <w:rFonts w:ascii="Times New Roman" w:hAnsi="Times New Roman" w:cs="Times New Roman"/>
          <w:sz w:val="24"/>
        </w:rPr>
        <w:t xml:space="preserve"> župna crkva </w:t>
      </w:r>
      <w:r w:rsidR="00F90290">
        <w:rPr>
          <w:rFonts w:ascii="Times New Roman" w:hAnsi="Times New Roman" w:cs="Times New Roman"/>
          <w:sz w:val="24"/>
        </w:rPr>
        <w:t>sv.</w:t>
      </w:r>
      <w:r w:rsidRPr="005142C4">
        <w:rPr>
          <w:rFonts w:ascii="Times New Roman" w:hAnsi="Times New Roman" w:cs="Times New Roman"/>
          <w:sz w:val="24"/>
        </w:rPr>
        <w:t xml:space="preserve"> Petar i </w:t>
      </w:r>
      <w:r w:rsidR="00F90290">
        <w:rPr>
          <w:rFonts w:ascii="Times New Roman" w:hAnsi="Times New Roman" w:cs="Times New Roman"/>
          <w:sz w:val="24"/>
        </w:rPr>
        <w:t>sv.</w:t>
      </w:r>
      <w:r w:rsidRPr="005142C4">
        <w:rPr>
          <w:rFonts w:ascii="Times New Roman" w:hAnsi="Times New Roman" w:cs="Times New Roman"/>
          <w:sz w:val="24"/>
        </w:rPr>
        <w:t xml:space="preserve"> Pavao (1965</w:t>
      </w:r>
      <w:r w:rsidR="00F90290">
        <w:rPr>
          <w:rFonts w:ascii="Times New Roman" w:hAnsi="Times New Roman" w:cs="Times New Roman"/>
          <w:sz w:val="24"/>
        </w:rPr>
        <w:t>.)</w:t>
      </w:r>
      <w:r w:rsidRPr="005142C4">
        <w:rPr>
          <w:rFonts w:ascii="Times New Roman" w:hAnsi="Times New Roman" w:cs="Times New Roman"/>
          <w:sz w:val="24"/>
        </w:rPr>
        <w:t xml:space="preserve">, Brezovica </w:t>
      </w:r>
      <w:r w:rsidR="00EE6A22" w:rsidRPr="005142C4">
        <w:rPr>
          <w:rFonts w:ascii="Times New Roman" w:hAnsi="Times New Roman" w:cs="Times New Roman"/>
          <w:sz w:val="24"/>
        </w:rPr>
        <w:t>-</w:t>
      </w:r>
      <w:r w:rsidRPr="005142C4">
        <w:rPr>
          <w:rFonts w:ascii="Times New Roman" w:hAnsi="Times New Roman" w:cs="Times New Roman"/>
          <w:sz w:val="24"/>
        </w:rPr>
        <w:t xml:space="preserve"> župna crkva </w:t>
      </w:r>
      <w:r w:rsidR="00F90290">
        <w:rPr>
          <w:rFonts w:ascii="Times New Roman" w:hAnsi="Times New Roman" w:cs="Times New Roman"/>
          <w:sz w:val="24"/>
        </w:rPr>
        <w:t>sv.</w:t>
      </w:r>
      <w:r w:rsidRPr="005142C4">
        <w:rPr>
          <w:rFonts w:ascii="Times New Roman" w:hAnsi="Times New Roman" w:cs="Times New Roman"/>
          <w:sz w:val="24"/>
        </w:rPr>
        <w:t xml:space="preserve"> Marije (1965</w:t>
      </w:r>
      <w:r w:rsidR="00F90290">
        <w:rPr>
          <w:rFonts w:ascii="Times New Roman" w:hAnsi="Times New Roman" w:cs="Times New Roman"/>
          <w:sz w:val="24"/>
        </w:rPr>
        <w:t>.)</w:t>
      </w:r>
      <w:r w:rsidRPr="005142C4">
        <w:rPr>
          <w:rFonts w:ascii="Times New Roman" w:hAnsi="Times New Roman" w:cs="Times New Roman"/>
          <w:sz w:val="24"/>
        </w:rPr>
        <w:t>, Cerje</w:t>
      </w:r>
      <w:r w:rsidR="00F90290">
        <w:rPr>
          <w:rFonts w:ascii="Times New Roman" w:hAnsi="Times New Roman" w:cs="Times New Roman"/>
          <w:sz w:val="24"/>
        </w:rPr>
        <w:t xml:space="preserve"> </w:t>
      </w:r>
      <w:r w:rsidR="00EE6A22" w:rsidRPr="005142C4">
        <w:rPr>
          <w:rFonts w:ascii="Times New Roman" w:hAnsi="Times New Roman" w:cs="Times New Roman"/>
          <w:sz w:val="24"/>
        </w:rPr>
        <w:t>-</w:t>
      </w:r>
      <w:r w:rsidRPr="005142C4">
        <w:rPr>
          <w:rFonts w:ascii="Times New Roman" w:hAnsi="Times New Roman" w:cs="Times New Roman"/>
          <w:sz w:val="24"/>
        </w:rPr>
        <w:t xml:space="preserve"> župna crkva </w:t>
      </w:r>
      <w:r w:rsidR="00F90290">
        <w:rPr>
          <w:rFonts w:ascii="Times New Roman" w:hAnsi="Times New Roman" w:cs="Times New Roman"/>
          <w:sz w:val="24"/>
        </w:rPr>
        <w:t>sv.</w:t>
      </w:r>
      <w:r w:rsidRPr="005142C4">
        <w:rPr>
          <w:rFonts w:ascii="Times New Roman" w:hAnsi="Times New Roman" w:cs="Times New Roman"/>
          <w:sz w:val="24"/>
        </w:rPr>
        <w:t xml:space="preserve"> Ivana Evanđelista (1965</w:t>
      </w:r>
      <w:r w:rsidR="00F90290">
        <w:rPr>
          <w:rFonts w:ascii="Times New Roman" w:hAnsi="Times New Roman" w:cs="Times New Roman"/>
          <w:sz w:val="24"/>
        </w:rPr>
        <w:t>.)</w:t>
      </w:r>
      <w:r w:rsidRPr="005142C4">
        <w:rPr>
          <w:rFonts w:ascii="Times New Roman" w:hAnsi="Times New Roman" w:cs="Times New Roman"/>
          <w:sz w:val="24"/>
        </w:rPr>
        <w:t xml:space="preserve">, Čučerje </w:t>
      </w:r>
      <w:r w:rsidR="00EE6A22" w:rsidRPr="005142C4">
        <w:rPr>
          <w:rFonts w:ascii="Times New Roman" w:hAnsi="Times New Roman" w:cs="Times New Roman"/>
          <w:sz w:val="24"/>
        </w:rPr>
        <w:t>-</w:t>
      </w:r>
      <w:r w:rsidRPr="005142C4">
        <w:rPr>
          <w:rFonts w:ascii="Times New Roman" w:hAnsi="Times New Roman" w:cs="Times New Roman"/>
          <w:sz w:val="24"/>
        </w:rPr>
        <w:t xml:space="preserve"> župna crkva Pohođenja Bl. Dj. Marije </w:t>
      </w:r>
      <w:r w:rsidRPr="005142C4">
        <w:rPr>
          <w:rFonts w:ascii="Times New Roman" w:hAnsi="Times New Roman" w:cs="Times New Roman"/>
          <w:sz w:val="24"/>
        </w:rPr>
        <w:lastRenderedPageBreak/>
        <w:t>(1965</w:t>
      </w:r>
      <w:r w:rsidR="00F90290">
        <w:rPr>
          <w:rFonts w:ascii="Times New Roman" w:hAnsi="Times New Roman" w:cs="Times New Roman"/>
          <w:sz w:val="24"/>
        </w:rPr>
        <w:t>.)</w:t>
      </w:r>
      <w:r w:rsidRPr="005142C4">
        <w:rPr>
          <w:rFonts w:ascii="Times New Roman" w:hAnsi="Times New Roman" w:cs="Times New Roman"/>
          <w:sz w:val="24"/>
        </w:rPr>
        <w:t xml:space="preserve">, Gornje Vrapče </w:t>
      </w:r>
      <w:r w:rsidR="00EE6A22" w:rsidRPr="005142C4">
        <w:rPr>
          <w:rFonts w:ascii="Times New Roman" w:hAnsi="Times New Roman" w:cs="Times New Roman"/>
          <w:sz w:val="24"/>
        </w:rPr>
        <w:t>-</w:t>
      </w:r>
      <w:r w:rsidRPr="005142C4">
        <w:rPr>
          <w:rFonts w:ascii="Times New Roman" w:hAnsi="Times New Roman" w:cs="Times New Roman"/>
          <w:sz w:val="24"/>
        </w:rPr>
        <w:t xml:space="preserve"> župna crkva </w:t>
      </w:r>
      <w:r w:rsidR="00F90290">
        <w:rPr>
          <w:rFonts w:ascii="Times New Roman" w:hAnsi="Times New Roman" w:cs="Times New Roman"/>
          <w:sz w:val="24"/>
        </w:rPr>
        <w:t>sv.</w:t>
      </w:r>
      <w:r w:rsidRPr="005142C4">
        <w:rPr>
          <w:rFonts w:ascii="Times New Roman" w:hAnsi="Times New Roman" w:cs="Times New Roman"/>
          <w:sz w:val="24"/>
        </w:rPr>
        <w:t xml:space="preserve"> Barbare (1981</w:t>
      </w:r>
      <w:r w:rsidR="00F90290">
        <w:rPr>
          <w:rFonts w:ascii="Times New Roman" w:hAnsi="Times New Roman" w:cs="Times New Roman"/>
          <w:sz w:val="24"/>
        </w:rPr>
        <w:t>.)</w:t>
      </w:r>
      <w:r w:rsidRPr="005142C4">
        <w:rPr>
          <w:rFonts w:ascii="Times New Roman" w:hAnsi="Times New Roman" w:cs="Times New Roman"/>
          <w:sz w:val="24"/>
        </w:rPr>
        <w:t xml:space="preserve">, Gračani </w:t>
      </w:r>
      <w:r w:rsidR="00EE6A22" w:rsidRPr="005142C4">
        <w:rPr>
          <w:rFonts w:ascii="Times New Roman" w:hAnsi="Times New Roman" w:cs="Times New Roman"/>
          <w:sz w:val="24"/>
        </w:rPr>
        <w:t>-</w:t>
      </w:r>
      <w:r w:rsidRPr="005142C4">
        <w:rPr>
          <w:rFonts w:ascii="Times New Roman" w:hAnsi="Times New Roman" w:cs="Times New Roman"/>
          <w:sz w:val="24"/>
        </w:rPr>
        <w:t xml:space="preserve"> župna crkva </w:t>
      </w:r>
      <w:r w:rsidR="00F90290">
        <w:rPr>
          <w:rFonts w:ascii="Times New Roman" w:hAnsi="Times New Roman" w:cs="Times New Roman"/>
          <w:sz w:val="24"/>
        </w:rPr>
        <w:t>sv.</w:t>
      </w:r>
      <w:r w:rsidRPr="005142C4">
        <w:rPr>
          <w:rFonts w:ascii="Times New Roman" w:hAnsi="Times New Roman" w:cs="Times New Roman"/>
          <w:sz w:val="24"/>
        </w:rPr>
        <w:t xml:space="preserve"> Mihovila (1965</w:t>
      </w:r>
      <w:r w:rsidR="00F90290">
        <w:rPr>
          <w:rFonts w:ascii="Times New Roman" w:hAnsi="Times New Roman" w:cs="Times New Roman"/>
          <w:sz w:val="24"/>
        </w:rPr>
        <w:t>.)</w:t>
      </w:r>
      <w:r w:rsidRPr="005142C4">
        <w:rPr>
          <w:rFonts w:ascii="Times New Roman" w:hAnsi="Times New Roman" w:cs="Times New Roman"/>
          <w:sz w:val="24"/>
        </w:rPr>
        <w:t xml:space="preserve">, Jakuševac </w:t>
      </w:r>
      <w:r w:rsidR="00EE6A22" w:rsidRPr="005142C4">
        <w:rPr>
          <w:rFonts w:ascii="Times New Roman" w:hAnsi="Times New Roman" w:cs="Times New Roman"/>
          <w:sz w:val="24"/>
        </w:rPr>
        <w:t>-</w:t>
      </w:r>
      <w:r w:rsidRPr="005142C4">
        <w:rPr>
          <w:rFonts w:ascii="Times New Roman" w:hAnsi="Times New Roman" w:cs="Times New Roman"/>
          <w:sz w:val="24"/>
        </w:rPr>
        <w:t xml:space="preserve"> župna crkva </w:t>
      </w:r>
      <w:r w:rsidR="00F90290">
        <w:rPr>
          <w:rFonts w:ascii="Times New Roman" w:hAnsi="Times New Roman" w:cs="Times New Roman"/>
          <w:sz w:val="24"/>
        </w:rPr>
        <w:t>sv.</w:t>
      </w:r>
      <w:r w:rsidRPr="005142C4">
        <w:rPr>
          <w:rFonts w:ascii="Times New Roman" w:hAnsi="Times New Roman" w:cs="Times New Roman"/>
          <w:sz w:val="24"/>
        </w:rPr>
        <w:t xml:space="preserve"> Marka Evanđelista (1991</w:t>
      </w:r>
      <w:r w:rsidR="00F90290">
        <w:rPr>
          <w:rFonts w:ascii="Times New Roman" w:hAnsi="Times New Roman" w:cs="Times New Roman"/>
          <w:sz w:val="24"/>
        </w:rPr>
        <w:t>.)</w:t>
      </w:r>
      <w:r w:rsidRPr="005142C4">
        <w:rPr>
          <w:rFonts w:ascii="Times New Roman" w:hAnsi="Times New Roman" w:cs="Times New Roman"/>
          <w:sz w:val="24"/>
        </w:rPr>
        <w:t>.</w:t>
      </w:r>
    </w:p>
    <w:p w14:paraId="2E5CE8FA" w14:textId="51365EDE" w:rsidR="00E40AC8" w:rsidRPr="005142C4" w:rsidRDefault="00900184" w:rsidP="00201092">
      <w:pPr>
        <w:spacing w:after="0" w:line="240" w:lineRule="auto"/>
        <w:ind w:left="0" w:right="0" w:firstLine="709"/>
        <w:rPr>
          <w:rFonts w:ascii="Times New Roman" w:hAnsi="Times New Roman" w:cs="Times New Roman"/>
          <w:sz w:val="24"/>
        </w:rPr>
      </w:pPr>
      <w:r w:rsidRPr="005142C4">
        <w:rPr>
          <w:rFonts w:ascii="Times New Roman" w:hAnsi="Times New Roman" w:cs="Times New Roman"/>
          <w:b/>
          <w:sz w:val="24"/>
        </w:rPr>
        <w:t>Etnološka baština</w:t>
      </w:r>
      <w:r w:rsidRPr="005142C4">
        <w:rPr>
          <w:rFonts w:ascii="Times New Roman" w:hAnsi="Times New Roman" w:cs="Times New Roman"/>
          <w:sz w:val="24"/>
        </w:rPr>
        <w:t xml:space="preserve"> </w:t>
      </w:r>
      <w:r w:rsidR="00EE6A22" w:rsidRPr="005142C4">
        <w:rPr>
          <w:rFonts w:ascii="Times New Roman" w:hAnsi="Times New Roman" w:cs="Times New Roman"/>
          <w:sz w:val="24"/>
        </w:rPr>
        <w:t>-</w:t>
      </w:r>
      <w:r w:rsidRPr="005142C4">
        <w:rPr>
          <w:rFonts w:ascii="Times New Roman" w:hAnsi="Times New Roman" w:cs="Times New Roman"/>
          <w:sz w:val="24"/>
        </w:rPr>
        <w:t xml:space="preserve"> Donji Brezinšćak (1989</w:t>
      </w:r>
      <w:r w:rsidR="00F90290">
        <w:rPr>
          <w:rFonts w:ascii="Times New Roman" w:hAnsi="Times New Roman" w:cs="Times New Roman"/>
          <w:sz w:val="24"/>
        </w:rPr>
        <w:t>.)</w:t>
      </w:r>
      <w:r w:rsidR="00066661">
        <w:rPr>
          <w:rFonts w:ascii="Times New Roman" w:hAnsi="Times New Roman" w:cs="Times New Roman"/>
          <w:sz w:val="24"/>
        </w:rPr>
        <w:t>.</w:t>
      </w:r>
    </w:p>
    <w:p w14:paraId="3D6297C3" w14:textId="77777777" w:rsidR="00E40AC8" w:rsidRPr="00201092" w:rsidRDefault="00E40AC8" w:rsidP="005142C4">
      <w:pPr>
        <w:spacing w:after="0" w:line="240" w:lineRule="auto"/>
        <w:ind w:left="0" w:right="0" w:firstLine="0"/>
        <w:jc w:val="left"/>
        <w:rPr>
          <w:rFonts w:ascii="Times New Roman" w:hAnsi="Times New Roman" w:cs="Times New Roman"/>
          <w:color w:val="auto"/>
          <w:sz w:val="24"/>
        </w:rPr>
      </w:pPr>
    </w:p>
    <w:p w14:paraId="0A64DE9F" w14:textId="77777777" w:rsidR="00E40AC8" w:rsidRPr="003D097F" w:rsidRDefault="00900184" w:rsidP="00201092">
      <w:pPr>
        <w:spacing w:after="0" w:line="240" w:lineRule="auto"/>
        <w:ind w:left="0" w:right="0" w:firstLine="0"/>
        <w:jc w:val="left"/>
        <w:rPr>
          <w:rFonts w:ascii="Times New Roman" w:hAnsi="Times New Roman" w:cs="Times New Roman"/>
          <w:b/>
          <w:color w:val="auto"/>
          <w:sz w:val="24"/>
        </w:rPr>
      </w:pPr>
      <w:bookmarkStart w:id="37" w:name="_Toc2938556"/>
      <w:r w:rsidRPr="003D097F">
        <w:rPr>
          <w:rFonts w:ascii="Times New Roman" w:hAnsi="Times New Roman" w:cs="Times New Roman"/>
          <w:b/>
          <w:color w:val="auto"/>
          <w:sz w:val="24"/>
        </w:rPr>
        <w:t>2.5. Povijesni pokazatelji</w:t>
      </w:r>
      <w:bookmarkEnd w:id="37"/>
    </w:p>
    <w:p w14:paraId="5ABD37E0" w14:textId="77777777" w:rsidR="00201092" w:rsidRPr="003D097F" w:rsidRDefault="00201092" w:rsidP="00201092">
      <w:pPr>
        <w:spacing w:after="0" w:line="240" w:lineRule="auto"/>
        <w:ind w:left="0" w:right="0" w:firstLine="0"/>
        <w:jc w:val="left"/>
        <w:rPr>
          <w:rFonts w:ascii="Times New Roman" w:hAnsi="Times New Roman" w:cs="Times New Roman"/>
          <w:color w:val="auto"/>
          <w:sz w:val="24"/>
        </w:rPr>
      </w:pPr>
    </w:p>
    <w:p w14:paraId="28157C78" w14:textId="77777777" w:rsidR="00E40AC8" w:rsidRPr="003D097F" w:rsidRDefault="00900184" w:rsidP="00201092">
      <w:pPr>
        <w:spacing w:after="0" w:line="240" w:lineRule="auto"/>
        <w:ind w:left="0" w:right="0" w:firstLine="709"/>
        <w:jc w:val="left"/>
        <w:rPr>
          <w:rFonts w:ascii="Times New Roman" w:hAnsi="Times New Roman" w:cs="Times New Roman"/>
          <w:b/>
          <w:color w:val="auto"/>
          <w:sz w:val="24"/>
        </w:rPr>
      </w:pPr>
      <w:bookmarkStart w:id="38" w:name="_Toc2938557"/>
      <w:r w:rsidRPr="003D097F">
        <w:rPr>
          <w:rFonts w:ascii="Times New Roman" w:hAnsi="Times New Roman" w:cs="Times New Roman"/>
          <w:b/>
          <w:color w:val="auto"/>
          <w:sz w:val="24"/>
        </w:rPr>
        <w:t>2.5.1. Prijašnji događaji</w:t>
      </w:r>
      <w:bookmarkEnd w:id="38"/>
    </w:p>
    <w:p w14:paraId="5B54D73E" w14:textId="77777777" w:rsidR="00201092" w:rsidRPr="003D097F" w:rsidRDefault="00201092" w:rsidP="00201092">
      <w:pPr>
        <w:spacing w:after="0" w:line="240" w:lineRule="auto"/>
        <w:ind w:left="0" w:right="0" w:firstLine="0"/>
        <w:jc w:val="left"/>
        <w:rPr>
          <w:rFonts w:ascii="Times New Roman" w:hAnsi="Times New Roman" w:cs="Times New Roman"/>
          <w:color w:val="auto"/>
          <w:sz w:val="24"/>
        </w:rPr>
      </w:pPr>
    </w:p>
    <w:p w14:paraId="60D24295" w14:textId="77777777" w:rsidR="00E40AC8" w:rsidRPr="003D097F" w:rsidRDefault="00900184" w:rsidP="00201092">
      <w:pPr>
        <w:spacing w:after="0" w:line="240" w:lineRule="auto"/>
        <w:ind w:left="0" w:right="0" w:firstLine="709"/>
        <w:jc w:val="left"/>
        <w:rPr>
          <w:rFonts w:ascii="Times New Roman" w:hAnsi="Times New Roman" w:cs="Times New Roman"/>
          <w:color w:val="auto"/>
          <w:sz w:val="24"/>
          <w:u w:val="single"/>
        </w:rPr>
      </w:pPr>
      <w:r w:rsidRPr="003D097F">
        <w:rPr>
          <w:rFonts w:ascii="Times New Roman" w:hAnsi="Times New Roman" w:cs="Times New Roman"/>
          <w:color w:val="auto"/>
          <w:sz w:val="24"/>
          <w:u w:val="single"/>
        </w:rPr>
        <w:t>Potres</w:t>
      </w:r>
      <w:r w:rsidR="003D097F" w:rsidRPr="003D097F">
        <w:rPr>
          <w:rFonts w:ascii="Times New Roman" w:hAnsi="Times New Roman" w:cs="Times New Roman"/>
          <w:color w:val="auto"/>
          <w:sz w:val="24"/>
          <w:u w:val="single"/>
        </w:rPr>
        <w:t>i do 2020. godine</w:t>
      </w:r>
    </w:p>
    <w:p w14:paraId="7D513EE4" w14:textId="28F07784" w:rsidR="00E40AC8" w:rsidRPr="003D097F" w:rsidRDefault="00900184" w:rsidP="00201092">
      <w:pPr>
        <w:spacing w:after="0" w:line="240" w:lineRule="auto"/>
        <w:ind w:left="0" w:right="0" w:firstLine="709"/>
        <w:rPr>
          <w:rFonts w:ascii="Times New Roman" w:hAnsi="Times New Roman" w:cs="Times New Roman"/>
          <w:color w:val="auto"/>
          <w:sz w:val="24"/>
        </w:rPr>
      </w:pPr>
      <w:r w:rsidRPr="003D097F">
        <w:rPr>
          <w:rFonts w:ascii="Times New Roman" w:hAnsi="Times New Roman" w:cs="Times New Roman"/>
          <w:color w:val="auto"/>
          <w:sz w:val="24"/>
        </w:rPr>
        <w:t>Područje Grada Zagreba izloženo je djelovanju potresa jer se nalazi u seizmički aktivnom području. Za povratn</w:t>
      </w:r>
      <w:r w:rsidR="00F90290" w:rsidRPr="003D097F">
        <w:rPr>
          <w:rFonts w:ascii="Times New Roman" w:hAnsi="Times New Roman" w:cs="Times New Roman"/>
          <w:color w:val="auto"/>
          <w:sz w:val="24"/>
        </w:rPr>
        <w:t>o</w:t>
      </w:r>
      <w:r w:rsidRPr="003D097F">
        <w:rPr>
          <w:rFonts w:ascii="Times New Roman" w:hAnsi="Times New Roman" w:cs="Times New Roman"/>
          <w:color w:val="auto"/>
          <w:sz w:val="24"/>
        </w:rPr>
        <w:t xml:space="preserve"> </w:t>
      </w:r>
      <w:r w:rsidR="00F90290" w:rsidRPr="003D097F">
        <w:rPr>
          <w:rFonts w:ascii="Times New Roman" w:hAnsi="Times New Roman" w:cs="Times New Roman"/>
          <w:color w:val="auto"/>
          <w:sz w:val="24"/>
        </w:rPr>
        <w:t xml:space="preserve">razdoblje </w:t>
      </w:r>
      <w:r w:rsidRPr="003D097F">
        <w:rPr>
          <w:rFonts w:ascii="Times New Roman" w:hAnsi="Times New Roman" w:cs="Times New Roman"/>
          <w:color w:val="auto"/>
          <w:sz w:val="24"/>
        </w:rPr>
        <w:t>od 500 godina izračunati intenziteti potresa kreću se u intervalu od 7.0º do 7.5º (jugozapadni dio grada), do 8,5º</w:t>
      </w:r>
      <w:r w:rsidR="00EE6A22" w:rsidRPr="003D097F">
        <w:rPr>
          <w:rFonts w:ascii="Times New Roman" w:hAnsi="Times New Roman" w:cs="Times New Roman"/>
          <w:color w:val="auto"/>
          <w:sz w:val="24"/>
        </w:rPr>
        <w:t>-</w:t>
      </w:r>
      <w:r w:rsidR="00FF5E29">
        <w:rPr>
          <w:rFonts w:ascii="Times New Roman" w:hAnsi="Times New Roman" w:cs="Times New Roman"/>
          <w:color w:val="auto"/>
          <w:sz w:val="24"/>
        </w:rPr>
        <w:t>9</w:t>
      </w:r>
      <w:r w:rsidRPr="003D097F">
        <w:rPr>
          <w:rFonts w:ascii="Times New Roman" w:hAnsi="Times New Roman" w:cs="Times New Roman"/>
          <w:color w:val="auto"/>
          <w:sz w:val="24"/>
        </w:rPr>
        <w:t>º MCS ljestvice (sjeveroistočni dio grada). Grad Zagreb nalazi se u pojasu omeđenom s više seizmički aktivnih epicentralnih područja. Najznačajnije epicentralno područje, s obzirom na dosadašnje potrese intenziteta u epicentru</w:t>
      </w:r>
      <w:r w:rsidR="00201092" w:rsidRPr="003D097F">
        <w:rPr>
          <w:rFonts w:ascii="Times New Roman" w:hAnsi="Times New Roman" w:cs="Times New Roman"/>
          <w:color w:val="auto"/>
          <w:sz w:val="24"/>
        </w:rPr>
        <w:t xml:space="preserve"> </w:t>
      </w:r>
      <w:r w:rsidRPr="003D097F">
        <w:rPr>
          <w:rFonts w:ascii="Times New Roman" w:hAnsi="Times New Roman" w:cs="Times New Roman"/>
          <w:color w:val="auto"/>
          <w:sz w:val="24"/>
        </w:rPr>
        <w:t>7º</w:t>
      </w:r>
      <w:r w:rsidR="00EE6A22" w:rsidRPr="003D097F">
        <w:rPr>
          <w:rFonts w:ascii="Times New Roman" w:hAnsi="Times New Roman" w:cs="Times New Roman"/>
          <w:color w:val="auto"/>
          <w:sz w:val="24"/>
        </w:rPr>
        <w:t>-</w:t>
      </w:r>
      <w:r w:rsidR="003679D2">
        <w:rPr>
          <w:rFonts w:ascii="Times New Roman" w:hAnsi="Times New Roman" w:cs="Times New Roman"/>
          <w:color w:val="auto"/>
          <w:sz w:val="24"/>
        </w:rPr>
        <w:t>9</w:t>
      </w:r>
      <w:r w:rsidRPr="003D097F">
        <w:rPr>
          <w:rFonts w:ascii="Times New Roman" w:hAnsi="Times New Roman" w:cs="Times New Roman"/>
          <w:color w:val="auto"/>
          <w:sz w:val="24"/>
        </w:rPr>
        <w:t>º MCS ljestvice te njihovu neposrednu blizinu Grada Zagreba je epicentralno područje Medvednice. Sjeverni a pogotovo sjeveroistočni dio Zagreba, tj. područje Markuševca, Remeta i Dubrave</w:t>
      </w:r>
      <w:r w:rsidR="00F90290" w:rsidRPr="003D097F">
        <w:rPr>
          <w:rFonts w:ascii="Times New Roman" w:hAnsi="Times New Roman" w:cs="Times New Roman"/>
          <w:color w:val="auto"/>
          <w:sz w:val="24"/>
        </w:rPr>
        <w:t>,</w:t>
      </w:r>
      <w:r w:rsidRPr="003D097F">
        <w:rPr>
          <w:rFonts w:ascii="Times New Roman" w:hAnsi="Times New Roman" w:cs="Times New Roman"/>
          <w:color w:val="auto"/>
          <w:sz w:val="24"/>
        </w:rPr>
        <w:t xml:space="preserve"> seizmički je jače aktivan u odnosu na zapadni i južni dio Grada. Godišnja pojava više slabijih potresa dokaz je prisutnosti seizmičke aktivnosti na zagrebačkom području.</w:t>
      </w:r>
    </w:p>
    <w:p w14:paraId="30E6BF31" w14:textId="226B197F" w:rsidR="00E40AC8" w:rsidRPr="003D097F" w:rsidRDefault="00900184" w:rsidP="00201092">
      <w:pPr>
        <w:spacing w:after="0" w:line="240" w:lineRule="auto"/>
        <w:ind w:left="0" w:right="0" w:firstLine="709"/>
        <w:rPr>
          <w:rFonts w:ascii="Times New Roman" w:hAnsi="Times New Roman" w:cs="Times New Roman"/>
          <w:color w:val="auto"/>
          <w:sz w:val="24"/>
        </w:rPr>
      </w:pPr>
      <w:r w:rsidRPr="003D097F">
        <w:rPr>
          <w:rFonts w:ascii="Times New Roman" w:hAnsi="Times New Roman" w:cs="Times New Roman"/>
          <w:color w:val="auto"/>
          <w:sz w:val="24"/>
        </w:rPr>
        <w:t>U povijesnim vrelima su zabilježena četiri razorna potresa koji su se dogodili na području Grada Zagreba. Povijest je najraniji zabilježila 26. ožujka 1502.</w:t>
      </w:r>
      <w:r w:rsidR="00A45332">
        <w:rPr>
          <w:rStyle w:val="FootnoteReference"/>
          <w:rFonts w:ascii="Times New Roman" w:hAnsi="Times New Roman" w:cs="Times New Roman"/>
          <w:color w:val="auto"/>
          <w:sz w:val="24"/>
        </w:rPr>
        <w:footnoteReference w:id="1"/>
      </w:r>
      <w:r w:rsidRPr="003D097F">
        <w:rPr>
          <w:rFonts w:ascii="Times New Roman" w:hAnsi="Times New Roman" w:cs="Times New Roman"/>
          <w:color w:val="auto"/>
          <w:sz w:val="24"/>
        </w:rPr>
        <w:t xml:space="preserve"> kada se srušio toranj </w:t>
      </w:r>
      <w:r w:rsidR="00F90290" w:rsidRPr="003D097F">
        <w:rPr>
          <w:rFonts w:ascii="Times New Roman" w:hAnsi="Times New Roman" w:cs="Times New Roman"/>
          <w:color w:val="auto"/>
          <w:sz w:val="24"/>
        </w:rPr>
        <w:t>sv.</w:t>
      </w:r>
      <w:r w:rsidRPr="003D097F">
        <w:rPr>
          <w:rFonts w:ascii="Times New Roman" w:hAnsi="Times New Roman" w:cs="Times New Roman"/>
          <w:color w:val="auto"/>
          <w:sz w:val="24"/>
        </w:rPr>
        <w:t xml:space="preserve"> Marka, zatim slijedi 15. rujna 1590. kada je </w:t>
      </w:r>
      <w:r w:rsidR="00F90290" w:rsidRPr="003D097F">
        <w:rPr>
          <w:rFonts w:ascii="Times New Roman" w:hAnsi="Times New Roman" w:cs="Times New Roman"/>
          <w:color w:val="auto"/>
          <w:sz w:val="24"/>
        </w:rPr>
        <w:t xml:space="preserve">zbog </w:t>
      </w:r>
      <w:r w:rsidRPr="003D097F">
        <w:rPr>
          <w:rFonts w:ascii="Times New Roman" w:hAnsi="Times New Roman" w:cs="Times New Roman"/>
          <w:color w:val="auto"/>
          <w:sz w:val="24"/>
        </w:rPr>
        <w:t xml:space="preserve">potresa srušen Medvedgrad, pa 11. veljače 1699. kad su ponovno srušeni toranj </w:t>
      </w:r>
      <w:r w:rsidR="00F90290" w:rsidRPr="003D097F">
        <w:rPr>
          <w:rFonts w:ascii="Times New Roman" w:hAnsi="Times New Roman" w:cs="Times New Roman"/>
          <w:color w:val="auto"/>
          <w:sz w:val="24"/>
        </w:rPr>
        <w:t>sv.</w:t>
      </w:r>
      <w:r w:rsidRPr="003D097F">
        <w:rPr>
          <w:rFonts w:ascii="Times New Roman" w:hAnsi="Times New Roman" w:cs="Times New Roman"/>
          <w:color w:val="auto"/>
          <w:sz w:val="24"/>
        </w:rPr>
        <w:t xml:space="preserve"> Marka i Medvedgrad, grad Kalnik, pavlinski samostan u Remetama itd. i konačno posljednji veliki potres 9. studenog</w:t>
      </w:r>
      <w:r w:rsidR="00F90290" w:rsidRPr="003D097F">
        <w:rPr>
          <w:rFonts w:ascii="Times New Roman" w:hAnsi="Times New Roman" w:cs="Times New Roman"/>
          <w:color w:val="auto"/>
          <w:sz w:val="24"/>
        </w:rPr>
        <w:t>a</w:t>
      </w:r>
      <w:r w:rsidRPr="003D097F">
        <w:rPr>
          <w:rFonts w:ascii="Times New Roman" w:hAnsi="Times New Roman" w:cs="Times New Roman"/>
          <w:color w:val="auto"/>
          <w:sz w:val="24"/>
        </w:rPr>
        <w:t xml:space="preserve"> 1880. koji se dogodio u 7 sati, 3 minute i 3 sekunde te je bio magnitude 6,3</w:t>
      </w:r>
      <w:r w:rsidR="00F90290" w:rsidRPr="003D097F">
        <w:rPr>
          <w:rFonts w:ascii="Times New Roman" w:hAnsi="Times New Roman" w:cs="Times New Roman"/>
          <w:color w:val="auto"/>
          <w:sz w:val="24"/>
        </w:rPr>
        <w:t>º</w:t>
      </w:r>
      <w:r w:rsidRPr="003D097F">
        <w:rPr>
          <w:rFonts w:ascii="Times New Roman" w:hAnsi="Times New Roman" w:cs="Times New Roman"/>
          <w:color w:val="auto"/>
          <w:sz w:val="24"/>
        </w:rPr>
        <w:t xml:space="preserve"> po Richteru, intenziteta 9 po</w:t>
      </w:r>
      <w:r w:rsidR="00201092" w:rsidRPr="003D097F">
        <w:rPr>
          <w:rFonts w:ascii="Times New Roman" w:hAnsi="Times New Roman" w:cs="Times New Roman"/>
          <w:color w:val="auto"/>
          <w:sz w:val="24"/>
        </w:rPr>
        <w:t xml:space="preserve"> </w:t>
      </w:r>
      <w:r w:rsidRPr="003D097F">
        <w:rPr>
          <w:rFonts w:ascii="Times New Roman" w:hAnsi="Times New Roman" w:cs="Times New Roman"/>
          <w:color w:val="auto"/>
          <w:sz w:val="24"/>
        </w:rPr>
        <w:t xml:space="preserve">MCS ljestvici a kojom prilikom </w:t>
      </w:r>
      <w:r w:rsidR="00550224">
        <w:rPr>
          <w:rFonts w:ascii="Times New Roman" w:hAnsi="Times New Roman" w:cs="Times New Roman"/>
          <w:color w:val="auto"/>
          <w:sz w:val="24"/>
        </w:rPr>
        <w:t>je jedna osoba</w:t>
      </w:r>
      <w:r w:rsidRPr="003D097F">
        <w:rPr>
          <w:rFonts w:ascii="Times New Roman" w:hAnsi="Times New Roman" w:cs="Times New Roman"/>
          <w:color w:val="auto"/>
          <w:sz w:val="24"/>
        </w:rPr>
        <w:t xml:space="preserve"> poginul</w:t>
      </w:r>
      <w:r w:rsidR="00550224">
        <w:rPr>
          <w:rFonts w:ascii="Times New Roman" w:hAnsi="Times New Roman" w:cs="Times New Roman"/>
          <w:color w:val="auto"/>
          <w:sz w:val="24"/>
        </w:rPr>
        <w:t>a</w:t>
      </w:r>
      <w:r w:rsidRPr="003D097F">
        <w:rPr>
          <w:rFonts w:ascii="Times New Roman" w:hAnsi="Times New Roman" w:cs="Times New Roman"/>
          <w:color w:val="auto"/>
          <w:sz w:val="24"/>
        </w:rPr>
        <w:t>, 29 je bilo teško ozlijeđenih, dok je oštećeno 3830 stambenih i gospodarskih objekata. Epicentar potresa je bio između Kraljeva Vrha, Zeline i Kašine. Stradalo je više stotina zgrada a posebno crkveni objekti. Katedrala je zna</w:t>
      </w:r>
      <w:r w:rsidR="00575FD3" w:rsidRPr="003D097F">
        <w:rPr>
          <w:rFonts w:ascii="Times New Roman" w:hAnsi="Times New Roman" w:cs="Times New Roman"/>
          <w:color w:val="auto"/>
          <w:sz w:val="24"/>
        </w:rPr>
        <w:t>tno</w:t>
      </w:r>
      <w:r w:rsidRPr="003D097F">
        <w:rPr>
          <w:rFonts w:ascii="Times New Roman" w:hAnsi="Times New Roman" w:cs="Times New Roman"/>
          <w:color w:val="auto"/>
          <w:sz w:val="24"/>
        </w:rPr>
        <w:t xml:space="preserve"> oštećena. Srušio se svod nad svetištem i dio svoda pred velikim orguljama </w:t>
      </w:r>
      <w:r w:rsidR="00F90290" w:rsidRPr="003D097F">
        <w:rPr>
          <w:rFonts w:ascii="Times New Roman" w:hAnsi="Times New Roman" w:cs="Times New Roman"/>
          <w:color w:val="auto"/>
          <w:sz w:val="24"/>
        </w:rPr>
        <w:t xml:space="preserve">te </w:t>
      </w:r>
      <w:r w:rsidRPr="003D097F">
        <w:rPr>
          <w:rFonts w:ascii="Times New Roman" w:hAnsi="Times New Roman" w:cs="Times New Roman"/>
          <w:color w:val="auto"/>
          <w:sz w:val="24"/>
        </w:rPr>
        <w:t xml:space="preserve">jedini zvonik koji je katedrala imala. Potres je na Kaptolu teško oštetio i nadbiskupski dvor, nadbiskupsko sjemenište, sve kanoničke kurije, franjevački samostan i crkvu, kapelicu </w:t>
      </w:r>
      <w:r w:rsidR="00F90290" w:rsidRPr="003D097F">
        <w:rPr>
          <w:rFonts w:ascii="Times New Roman" w:hAnsi="Times New Roman" w:cs="Times New Roman"/>
          <w:color w:val="auto"/>
          <w:sz w:val="24"/>
        </w:rPr>
        <w:t>sv.</w:t>
      </w:r>
      <w:r w:rsidRPr="003D097F">
        <w:rPr>
          <w:rFonts w:ascii="Times New Roman" w:hAnsi="Times New Roman" w:cs="Times New Roman"/>
          <w:color w:val="auto"/>
          <w:sz w:val="24"/>
        </w:rPr>
        <w:t xml:space="preserve"> Dizmuša, gradsku pučku školu, kadetsku školu u Novoj Vesi a nešto dalje i crkvu </w:t>
      </w:r>
      <w:r w:rsidR="00F90290" w:rsidRPr="003D097F">
        <w:rPr>
          <w:rFonts w:ascii="Times New Roman" w:hAnsi="Times New Roman" w:cs="Times New Roman"/>
          <w:color w:val="auto"/>
          <w:sz w:val="24"/>
        </w:rPr>
        <w:t>sv.</w:t>
      </w:r>
      <w:r w:rsidR="00201092" w:rsidRPr="003D097F">
        <w:rPr>
          <w:rFonts w:ascii="Times New Roman" w:hAnsi="Times New Roman" w:cs="Times New Roman"/>
          <w:color w:val="auto"/>
          <w:sz w:val="24"/>
        </w:rPr>
        <w:t xml:space="preserve"> </w:t>
      </w:r>
      <w:r w:rsidRPr="003D097F">
        <w:rPr>
          <w:rFonts w:ascii="Times New Roman" w:hAnsi="Times New Roman" w:cs="Times New Roman"/>
          <w:color w:val="auto"/>
          <w:sz w:val="24"/>
        </w:rPr>
        <w:t xml:space="preserve">Ksavera na Mihaljevcu. Oštećene su i crkve </w:t>
      </w:r>
      <w:r w:rsidR="00F90290" w:rsidRPr="003D097F">
        <w:rPr>
          <w:rFonts w:ascii="Times New Roman" w:hAnsi="Times New Roman" w:cs="Times New Roman"/>
          <w:color w:val="auto"/>
          <w:sz w:val="24"/>
        </w:rPr>
        <w:t>sv.</w:t>
      </w:r>
      <w:r w:rsidRPr="003D097F">
        <w:rPr>
          <w:rFonts w:ascii="Times New Roman" w:hAnsi="Times New Roman" w:cs="Times New Roman"/>
          <w:color w:val="auto"/>
          <w:sz w:val="24"/>
        </w:rPr>
        <w:t xml:space="preserve"> Marka i </w:t>
      </w:r>
      <w:r w:rsidR="00F90290" w:rsidRPr="003D097F">
        <w:rPr>
          <w:rFonts w:ascii="Times New Roman" w:hAnsi="Times New Roman" w:cs="Times New Roman"/>
          <w:color w:val="auto"/>
          <w:sz w:val="24"/>
        </w:rPr>
        <w:t>sv.</w:t>
      </w:r>
      <w:r w:rsidRPr="003D097F">
        <w:rPr>
          <w:rFonts w:ascii="Times New Roman" w:hAnsi="Times New Roman" w:cs="Times New Roman"/>
          <w:color w:val="auto"/>
          <w:sz w:val="24"/>
        </w:rPr>
        <w:t xml:space="preserve"> Katarine </w:t>
      </w:r>
      <w:r w:rsidR="00F90290" w:rsidRPr="003D097F">
        <w:rPr>
          <w:rFonts w:ascii="Times New Roman" w:hAnsi="Times New Roman" w:cs="Times New Roman"/>
          <w:color w:val="auto"/>
          <w:sz w:val="24"/>
        </w:rPr>
        <w:t xml:space="preserve">te </w:t>
      </w:r>
      <w:r w:rsidRPr="003D097F">
        <w:rPr>
          <w:rFonts w:ascii="Times New Roman" w:hAnsi="Times New Roman" w:cs="Times New Roman"/>
          <w:color w:val="auto"/>
          <w:sz w:val="24"/>
        </w:rPr>
        <w:t>Isusovački samostan, Plemićki konvikt i Popov toranj. U Donjem gradu teško su, uz ostalo, stradali Bolnica milosrdne braće te dvije kuće na Jelačićev</w:t>
      </w:r>
      <w:r w:rsidR="00F90290" w:rsidRPr="003D097F">
        <w:rPr>
          <w:rFonts w:ascii="Times New Roman" w:hAnsi="Times New Roman" w:cs="Times New Roman"/>
          <w:color w:val="auto"/>
          <w:sz w:val="24"/>
        </w:rPr>
        <w:t>u</w:t>
      </w:r>
      <w:r w:rsidRPr="003D097F">
        <w:rPr>
          <w:rFonts w:ascii="Times New Roman" w:hAnsi="Times New Roman" w:cs="Times New Roman"/>
          <w:color w:val="auto"/>
          <w:sz w:val="24"/>
        </w:rPr>
        <w:t xml:space="preserve"> trgu, kuća u Petrinjskoj 1, sudbena zgrada i zgrada tadašnje Jugoslavenske akademije na Zrinjevcu, Vranicanijeva palača na Strossmayerov</w:t>
      </w:r>
      <w:r w:rsidR="00F90290" w:rsidRPr="003D097F">
        <w:rPr>
          <w:rFonts w:ascii="Times New Roman" w:hAnsi="Times New Roman" w:cs="Times New Roman"/>
          <w:color w:val="auto"/>
          <w:sz w:val="24"/>
        </w:rPr>
        <w:t>u</w:t>
      </w:r>
      <w:r w:rsidRPr="003D097F">
        <w:rPr>
          <w:rFonts w:ascii="Times New Roman" w:hAnsi="Times New Roman" w:cs="Times New Roman"/>
          <w:color w:val="auto"/>
          <w:sz w:val="24"/>
        </w:rPr>
        <w:t xml:space="preserve"> trgu, više kuća u Ilici a nastradao je i znatan broj drugih većih i manjih zgrada u ostalim dijelovima Donjeg </w:t>
      </w:r>
      <w:r w:rsidR="00F90290" w:rsidRPr="003D097F">
        <w:rPr>
          <w:rFonts w:ascii="Times New Roman" w:hAnsi="Times New Roman" w:cs="Times New Roman"/>
          <w:color w:val="auto"/>
          <w:sz w:val="24"/>
        </w:rPr>
        <w:t>grada</w:t>
      </w:r>
      <w:r w:rsidRPr="003D097F">
        <w:rPr>
          <w:rFonts w:ascii="Times New Roman" w:hAnsi="Times New Roman" w:cs="Times New Roman"/>
          <w:color w:val="auto"/>
          <w:sz w:val="24"/>
        </w:rPr>
        <w:t>.</w:t>
      </w:r>
    </w:p>
    <w:p w14:paraId="1F419923" w14:textId="77777777" w:rsidR="00E40AC8" w:rsidRPr="003D097F" w:rsidRDefault="00900184" w:rsidP="00201092">
      <w:pPr>
        <w:spacing w:after="0" w:line="240" w:lineRule="auto"/>
        <w:ind w:left="0" w:right="0" w:firstLine="709"/>
        <w:rPr>
          <w:rFonts w:ascii="Times New Roman" w:hAnsi="Times New Roman" w:cs="Times New Roman"/>
          <w:color w:val="auto"/>
          <w:sz w:val="24"/>
        </w:rPr>
      </w:pPr>
      <w:r w:rsidRPr="003D097F">
        <w:rPr>
          <w:rFonts w:ascii="Times New Roman" w:hAnsi="Times New Roman" w:cs="Times New Roman"/>
          <w:color w:val="auto"/>
          <w:sz w:val="24"/>
        </w:rPr>
        <w:t xml:space="preserve">Oštećeni su i zidovi kule Dverce te školske zgrade: nekadašnja realka na Griču, stara gimnazijska zgrada na Katarinskom trgu i Viša djevojačka škola. Sve su te zgrade bile toliko oštećene da se nastava više u njima nije mogla odvijati. Stradala je i bliža i dalja okolica Zagreba. Gotovo potpuno su srušene crkva u Granešini, kapela </w:t>
      </w:r>
      <w:r w:rsidR="00F90290" w:rsidRPr="003D097F">
        <w:rPr>
          <w:rFonts w:ascii="Times New Roman" w:hAnsi="Times New Roman" w:cs="Times New Roman"/>
          <w:color w:val="auto"/>
          <w:sz w:val="24"/>
        </w:rPr>
        <w:t>sv.</w:t>
      </w:r>
      <w:r w:rsidRPr="003D097F">
        <w:rPr>
          <w:rFonts w:ascii="Times New Roman" w:hAnsi="Times New Roman" w:cs="Times New Roman"/>
          <w:color w:val="auto"/>
          <w:sz w:val="24"/>
        </w:rPr>
        <w:t xml:space="preserve"> Vida u Kašini, crkva </w:t>
      </w:r>
      <w:r w:rsidR="00F90290" w:rsidRPr="003D097F">
        <w:rPr>
          <w:rFonts w:ascii="Times New Roman" w:hAnsi="Times New Roman" w:cs="Times New Roman"/>
          <w:color w:val="auto"/>
          <w:sz w:val="24"/>
        </w:rPr>
        <w:t>sv.</w:t>
      </w:r>
      <w:r w:rsidRPr="003D097F">
        <w:rPr>
          <w:rFonts w:ascii="Times New Roman" w:hAnsi="Times New Roman" w:cs="Times New Roman"/>
          <w:color w:val="auto"/>
          <w:sz w:val="24"/>
        </w:rPr>
        <w:t xml:space="preserve"> Antuna u Gornjem Stenjevcu, kuća kanonika kustosa u Kustošiji itd.</w:t>
      </w:r>
    </w:p>
    <w:p w14:paraId="329CA17E" w14:textId="77777777" w:rsidR="00E40AC8" w:rsidRPr="003D097F" w:rsidRDefault="00900184" w:rsidP="00201092">
      <w:pPr>
        <w:spacing w:after="0" w:line="240" w:lineRule="auto"/>
        <w:ind w:left="0" w:right="0" w:firstLine="709"/>
        <w:rPr>
          <w:rFonts w:ascii="Times New Roman" w:hAnsi="Times New Roman" w:cs="Times New Roman"/>
          <w:color w:val="auto"/>
          <w:sz w:val="24"/>
        </w:rPr>
      </w:pPr>
      <w:r w:rsidRPr="003D097F">
        <w:rPr>
          <w:rFonts w:ascii="Times New Roman" w:hAnsi="Times New Roman" w:cs="Times New Roman"/>
          <w:color w:val="auto"/>
          <w:sz w:val="24"/>
        </w:rPr>
        <w:t xml:space="preserve">Od potresa je osim crkava, kapela i velikih državnih zgrada nastradalo 485 kuća u tolikoj mjeri da su troškovi popravaka premašili njihov godišnji dohodak, dok su 462 kuće bile toliko oštećene da se za popravak previđalo više od četrdeset postotaka bruto dohotka tih kuća. Manje štete pretrpjela je 451 kuća. Ukratko, u Zagrebu je tada bilo oštećeno 1758 kuća ne računajući štete </w:t>
      </w:r>
      <w:r w:rsidR="00F90290" w:rsidRPr="003D097F">
        <w:rPr>
          <w:rFonts w:ascii="Times New Roman" w:hAnsi="Times New Roman" w:cs="Times New Roman"/>
          <w:color w:val="auto"/>
          <w:sz w:val="24"/>
        </w:rPr>
        <w:t xml:space="preserve">onih koji </w:t>
      </w:r>
      <w:r w:rsidRPr="003D097F">
        <w:rPr>
          <w:rFonts w:ascii="Times New Roman" w:hAnsi="Times New Roman" w:cs="Times New Roman"/>
          <w:color w:val="auto"/>
          <w:sz w:val="24"/>
        </w:rPr>
        <w:t xml:space="preserve">nisu bile prijavljene stručnoj komisiji. Neke jako oštećene zgrade stanari su </w:t>
      </w:r>
      <w:r w:rsidRPr="003D097F">
        <w:rPr>
          <w:rFonts w:ascii="Times New Roman" w:hAnsi="Times New Roman" w:cs="Times New Roman"/>
          <w:color w:val="auto"/>
          <w:sz w:val="24"/>
        </w:rPr>
        <w:lastRenderedPageBreak/>
        <w:t xml:space="preserve">odmah napustili, dok je oko 250 zgrada ugrožavalo i sam promet. Međutim, najtežu i nenadoknadivu štetu potres je nanio </w:t>
      </w:r>
      <w:r w:rsidR="00F90290" w:rsidRPr="003D097F">
        <w:rPr>
          <w:rFonts w:ascii="Times New Roman" w:hAnsi="Times New Roman" w:cs="Times New Roman"/>
          <w:color w:val="auto"/>
          <w:sz w:val="24"/>
        </w:rPr>
        <w:t xml:space="preserve">izravno </w:t>
      </w:r>
      <w:r w:rsidRPr="003D097F">
        <w:rPr>
          <w:rFonts w:ascii="Times New Roman" w:hAnsi="Times New Roman" w:cs="Times New Roman"/>
          <w:color w:val="auto"/>
          <w:sz w:val="24"/>
        </w:rPr>
        <w:t xml:space="preserve">ili </w:t>
      </w:r>
      <w:r w:rsidR="00F90290" w:rsidRPr="003D097F">
        <w:rPr>
          <w:rFonts w:ascii="Times New Roman" w:hAnsi="Times New Roman" w:cs="Times New Roman"/>
          <w:color w:val="auto"/>
          <w:sz w:val="24"/>
        </w:rPr>
        <w:t xml:space="preserve">neizravno </w:t>
      </w:r>
      <w:r w:rsidRPr="003D097F">
        <w:rPr>
          <w:rFonts w:ascii="Times New Roman" w:hAnsi="Times New Roman" w:cs="Times New Roman"/>
          <w:color w:val="auto"/>
          <w:sz w:val="24"/>
        </w:rPr>
        <w:t>umjetničkim i kulturnopovijesnim spomenicima. Neki od njih su odmah propali, a drugi su kasnijim obnovama izgubili mnogo od svoje prvotne umjetničke i kulturno</w:t>
      </w:r>
      <w:r w:rsidR="00EE6A22" w:rsidRPr="003D097F">
        <w:rPr>
          <w:rFonts w:ascii="Times New Roman" w:hAnsi="Times New Roman" w:cs="Times New Roman"/>
          <w:color w:val="auto"/>
          <w:sz w:val="24"/>
        </w:rPr>
        <w:t>-</w:t>
      </w:r>
      <w:r w:rsidRPr="003D097F">
        <w:rPr>
          <w:rFonts w:ascii="Times New Roman" w:hAnsi="Times New Roman" w:cs="Times New Roman"/>
          <w:color w:val="auto"/>
          <w:sz w:val="24"/>
        </w:rPr>
        <w:t>povijesne vrijednosti.</w:t>
      </w:r>
    </w:p>
    <w:p w14:paraId="3DEC2714" w14:textId="77777777" w:rsidR="00201092" w:rsidRPr="003D097F" w:rsidRDefault="00201092" w:rsidP="00201092">
      <w:pPr>
        <w:spacing w:after="0" w:line="240" w:lineRule="auto"/>
        <w:ind w:right="0"/>
        <w:rPr>
          <w:rFonts w:ascii="Times New Roman" w:hAnsi="Times New Roman" w:cs="Times New Roman"/>
          <w:color w:val="auto"/>
          <w:sz w:val="24"/>
        </w:rPr>
      </w:pPr>
    </w:p>
    <w:p w14:paraId="27A40EF9" w14:textId="2408FDC5" w:rsidR="00E40AC8" w:rsidRPr="003D097F" w:rsidRDefault="00900184" w:rsidP="00401D9A">
      <w:pPr>
        <w:spacing w:line="240" w:lineRule="auto"/>
        <w:ind w:left="0" w:right="0" w:firstLine="0"/>
        <w:jc w:val="center"/>
        <w:rPr>
          <w:rFonts w:ascii="Times New Roman" w:hAnsi="Times New Roman" w:cs="Times New Roman"/>
          <w:b/>
          <w:color w:val="auto"/>
          <w:sz w:val="24"/>
        </w:rPr>
      </w:pPr>
      <w:r w:rsidRPr="003D097F">
        <w:rPr>
          <w:rFonts w:ascii="Times New Roman" w:hAnsi="Times New Roman" w:cs="Times New Roman"/>
          <w:b/>
          <w:color w:val="auto"/>
          <w:sz w:val="24"/>
        </w:rPr>
        <w:t xml:space="preserve">Slika </w:t>
      </w:r>
      <w:r w:rsidR="00607207">
        <w:rPr>
          <w:rFonts w:ascii="Times New Roman" w:hAnsi="Times New Roman" w:cs="Times New Roman"/>
          <w:b/>
          <w:color w:val="auto"/>
          <w:sz w:val="24"/>
        </w:rPr>
        <w:t>3</w:t>
      </w:r>
      <w:r w:rsidRPr="003D097F">
        <w:rPr>
          <w:rFonts w:ascii="Times New Roman" w:hAnsi="Times New Roman" w:cs="Times New Roman"/>
          <w:b/>
          <w:color w:val="auto"/>
          <w:sz w:val="24"/>
        </w:rPr>
        <w:t xml:space="preserve">. Naslovnica knjige </w:t>
      </w:r>
      <w:r w:rsidR="00EE6A22" w:rsidRPr="003D097F">
        <w:rPr>
          <w:rFonts w:ascii="Times New Roman" w:hAnsi="Times New Roman" w:cs="Times New Roman"/>
          <w:b/>
          <w:color w:val="auto"/>
          <w:sz w:val="24"/>
        </w:rPr>
        <w:t>"</w:t>
      </w:r>
      <w:r w:rsidRPr="003D097F">
        <w:rPr>
          <w:rFonts w:ascii="Times New Roman" w:hAnsi="Times New Roman" w:cs="Times New Roman"/>
          <w:b/>
          <w:color w:val="auto"/>
          <w:sz w:val="24"/>
        </w:rPr>
        <w:t>Izvješće o zagrebačkom potresu</w:t>
      </w:r>
      <w:r w:rsidR="00EE6A22" w:rsidRPr="003D097F">
        <w:rPr>
          <w:rFonts w:ascii="Times New Roman" w:hAnsi="Times New Roman" w:cs="Times New Roman"/>
          <w:b/>
          <w:color w:val="auto"/>
          <w:sz w:val="24"/>
        </w:rPr>
        <w:t>"</w:t>
      </w:r>
      <w:r w:rsidRPr="003D097F">
        <w:rPr>
          <w:rFonts w:ascii="Times New Roman" w:hAnsi="Times New Roman" w:cs="Times New Roman"/>
          <w:b/>
          <w:color w:val="auto"/>
          <w:sz w:val="24"/>
        </w:rPr>
        <w:t xml:space="preserve"> iz 1882. godine</w:t>
      </w:r>
    </w:p>
    <w:p w14:paraId="5BDF1EBA" w14:textId="77777777" w:rsidR="00E40AC8" w:rsidRPr="003D097F" w:rsidRDefault="00900184" w:rsidP="005142C4">
      <w:pPr>
        <w:spacing w:after="0" w:line="240" w:lineRule="auto"/>
        <w:ind w:left="0" w:right="0" w:firstLine="0"/>
        <w:jc w:val="center"/>
        <w:rPr>
          <w:rFonts w:ascii="Times New Roman" w:hAnsi="Times New Roman" w:cs="Times New Roman"/>
          <w:b/>
          <w:color w:val="auto"/>
          <w:sz w:val="24"/>
        </w:rPr>
      </w:pPr>
      <w:r w:rsidRPr="003D097F">
        <w:rPr>
          <w:rFonts w:ascii="Times New Roman" w:hAnsi="Times New Roman" w:cs="Times New Roman"/>
          <w:noProof/>
          <w:color w:val="auto"/>
          <w:sz w:val="24"/>
        </w:rPr>
        <w:drawing>
          <wp:inline distT="0" distB="0" distL="0" distR="0" wp14:anchorId="385F6685" wp14:editId="5089AE34">
            <wp:extent cx="2653030" cy="4038600"/>
            <wp:effectExtent l="0" t="0" r="0" b="0"/>
            <wp:docPr id="24292" name="Picture 24292"/>
            <wp:cNvGraphicFramePr/>
            <a:graphic xmlns:a="http://schemas.openxmlformats.org/drawingml/2006/main">
              <a:graphicData uri="http://schemas.openxmlformats.org/drawingml/2006/picture">
                <pic:pic xmlns:pic="http://schemas.openxmlformats.org/drawingml/2006/picture">
                  <pic:nvPicPr>
                    <pic:cNvPr id="24292" name="Picture 24292"/>
                    <pic:cNvPicPr/>
                  </pic:nvPicPr>
                  <pic:blipFill>
                    <a:blip r:embed="rId34"/>
                    <a:stretch>
                      <a:fillRect/>
                    </a:stretch>
                  </pic:blipFill>
                  <pic:spPr>
                    <a:xfrm>
                      <a:off x="0" y="0"/>
                      <a:ext cx="2676913" cy="4074956"/>
                    </a:xfrm>
                    <a:prstGeom prst="rect">
                      <a:avLst/>
                    </a:prstGeom>
                  </pic:spPr>
                </pic:pic>
              </a:graphicData>
            </a:graphic>
          </wp:inline>
        </w:drawing>
      </w:r>
    </w:p>
    <w:p w14:paraId="19AAAF39" w14:textId="77777777" w:rsidR="00E40AC8" w:rsidRPr="003D097F" w:rsidRDefault="00900184" w:rsidP="005142C4">
      <w:pPr>
        <w:spacing w:after="0" w:line="240" w:lineRule="auto"/>
        <w:ind w:left="0" w:right="0" w:firstLine="0"/>
        <w:jc w:val="center"/>
        <w:rPr>
          <w:rFonts w:ascii="Times New Roman" w:hAnsi="Times New Roman" w:cs="Times New Roman"/>
          <w:b/>
          <w:color w:val="auto"/>
          <w:sz w:val="20"/>
        </w:rPr>
      </w:pPr>
      <w:r w:rsidRPr="003D097F">
        <w:rPr>
          <w:rFonts w:ascii="Times New Roman" w:eastAsia="Calibri" w:hAnsi="Times New Roman" w:cs="Times New Roman"/>
          <w:i/>
          <w:color w:val="auto"/>
          <w:sz w:val="20"/>
        </w:rPr>
        <w:t>Izvor: Knjižnice Grada Zagreba</w:t>
      </w:r>
    </w:p>
    <w:p w14:paraId="4410D587" w14:textId="77777777" w:rsidR="00201092" w:rsidRPr="003D097F" w:rsidRDefault="00201092" w:rsidP="005142C4">
      <w:pPr>
        <w:spacing w:after="0" w:line="240" w:lineRule="auto"/>
        <w:ind w:left="0" w:right="0" w:firstLine="0"/>
        <w:rPr>
          <w:rFonts w:ascii="Times New Roman" w:hAnsi="Times New Roman" w:cs="Times New Roman"/>
          <w:color w:val="auto"/>
          <w:sz w:val="24"/>
        </w:rPr>
      </w:pPr>
    </w:p>
    <w:p w14:paraId="54DC823F" w14:textId="77777777" w:rsidR="00E40AC8" w:rsidRPr="003D097F" w:rsidRDefault="00900184" w:rsidP="00201092">
      <w:pPr>
        <w:spacing w:after="0" w:line="240" w:lineRule="auto"/>
        <w:ind w:left="0" w:right="0" w:firstLine="709"/>
        <w:rPr>
          <w:rFonts w:ascii="Times New Roman" w:hAnsi="Times New Roman" w:cs="Times New Roman"/>
          <w:color w:val="auto"/>
          <w:sz w:val="24"/>
        </w:rPr>
      </w:pPr>
      <w:r w:rsidRPr="003D097F">
        <w:rPr>
          <w:rFonts w:ascii="Times New Roman" w:hAnsi="Times New Roman" w:cs="Times New Roman"/>
          <w:color w:val="auto"/>
          <w:sz w:val="24"/>
        </w:rPr>
        <w:t xml:space="preserve">Prva tri dana grad je ostao bez javne plinske rasvjete, tj. toliko dugo dok nije bio popravljen visoki tvornički dimnjak plinare koji je potres također teško oštetio. Upotreba plina bila je nakon potresa zabranjena, posebno u privatnim kućama. Sreća </w:t>
      </w:r>
      <w:r w:rsidR="00F90290" w:rsidRPr="003D097F">
        <w:rPr>
          <w:rFonts w:ascii="Times New Roman" w:hAnsi="Times New Roman" w:cs="Times New Roman"/>
          <w:color w:val="auto"/>
          <w:sz w:val="24"/>
        </w:rPr>
        <w:t xml:space="preserve">je </w:t>
      </w:r>
      <w:r w:rsidRPr="003D097F">
        <w:rPr>
          <w:rFonts w:ascii="Times New Roman" w:hAnsi="Times New Roman" w:cs="Times New Roman"/>
          <w:color w:val="auto"/>
          <w:sz w:val="24"/>
        </w:rPr>
        <w:t xml:space="preserve">u nesreći što potres nije oštetio vodovodne cijevi, strojeve i rezervoare pa je poslije potresa vodovod mogao normalno funkcionirati. Vojnička straža je na zahtjev gradske uprave </w:t>
      </w:r>
      <w:r w:rsidR="00F90290" w:rsidRPr="003D097F">
        <w:rPr>
          <w:rFonts w:ascii="Times New Roman" w:hAnsi="Times New Roman" w:cs="Times New Roman"/>
          <w:color w:val="auto"/>
          <w:sz w:val="24"/>
        </w:rPr>
        <w:t xml:space="preserve">pojačala gradske sigurnosne straže </w:t>
      </w:r>
      <w:r w:rsidRPr="003D097F">
        <w:rPr>
          <w:rFonts w:ascii="Times New Roman" w:hAnsi="Times New Roman" w:cs="Times New Roman"/>
          <w:color w:val="auto"/>
          <w:sz w:val="24"/>
        </w:rPr>
        <w:t xml:space="preserve">kako bi se osigurala opća sigurnost. Imenovano je dvanaest komisija sastavljenih od inženjera i gradskih zastupnika koje su izdavale potrebne naloge radi nužnih popravaka, deložiranja ili eventualno demoliranja pojedinih jako oštećenih kuća. Ženska satnija iz Beča osiguravala </w:t>
      </w:r>
      <w:r w:rsidR="00F90290" w:rsidRPr="003D097F">
        <w:rPr>
          <w:rFonts w:ascii="Times New Roman" w:hAnsi="Times New Roman" w:cs="Times New Roman"/>
          <w:color w:val="auto"/>
          <w:sz w:val="24"/>
        </w:rPr>
        <w:t xml:space="preserve">je </w:t>
      </w:r>
      <w:r w:rsidRPr="003D097F">
        <w:rPr>
          <w:rFonts w:ascii="Times New Roman" w:hAnsi="Times New Roman" w:cs="Times New Roman"/>
          <w:color w:val="auto"/>
          <w:sz w:val="24"/>
        </w:rPr>
        <w:t>zgrade, čistila ulice od žbuke i uspostavljala sigurnost javnog prometa, a dio je bio određen za popravak vladinih i vojničkih objekata.</w:t>
      </w:r>
    </w:p>
    <w:p w14:paraId="3BCAE2FE" w14:textId="4101A11A" w:rsidR="00D21CB1" w:rsidRDefault="00900184">
      <w:pPr>
        <w:spacing w:after="0" w:line="240" w:lineRule="auto"/>
        <w:ind w:left="0" w:right="0" w:firstLine="709"/>
        <w:rPr>
          <w:rFonts w:ascii="Times New Roman" w:hAnsi="Times New Roman" w:cs="Times New Roman"/>
          <w:color w:val="auto"/>
          <w:sz w:val="24"/>
        </w:rPr>
      </w:pPr>
      <w:r w:rsidRPr="003D097F">
        <w:rPr>
          <w:rFonts w:ascii="Times New Roman" w:hAnsi="Times New Roman" w:cs="Times New Roman"/>
          <w:color w:val="auto"/>
          <w:sz w:val="24"/>
        </w:rPr>
        <w:t>Stanovništvo je nakon potresa spavalo u barakama što ih je gradsko poglavarstvo podiglo na</w:t>
      </w:r>
      <w:r w:rsidR="00201092" w:rsidRPr="003D097F">
        <w:rPr>
          <w:rFonts w:ascii="Times New Roman" w:hAnsi="Times New Roman" w:cs="Times New Roman"/>
          <w:color w:val="auto"/>
          <w:sz w:val="24"/>
        </w:rPr>
        <w:t xml:space="preserve"> </w:t>
      </w:r>
      <w:r w:rsidRPr="003D097F">
        <w:rPr>
          <w:rFonts w:ascii="Times New Roman" w:hAnsi="Times New Roman" w:cs="Times New Roman"/>
          <w:color w:val="auto"/>
          <w:sz w:val="24"/>
        </w:rPr>
        <w:t>Zrinjevcu i nekadašnjoj Ciglani, zatim u fijakerima, omnibusima i šatorima a neki i po klupama. Neki su sa ženama i djecom proveli noći u kavanama i gostionicama koje su bile stalno otvorene. Gradonačelnik se pobrinuo da iz drugih gradova stigne nekoliko stotina tesara i zidara, nabavljeno je šesnaest vagona vapna, petsto tisuća crijepova, deset tisuća žljebnjaka itd. Nakon potresa oko 6</w:t>
      </w:r>
      <w:r w:rsidR="00F90290" w:rsidRPr="003D097F">
        <w:rPr>
          <w:rFonts w:ascii="Times New Roman" w:hAnsi="Times New Roman" w:cs="Times New Roman"/>
          <w:color w:val="auto"/>
          <w:sz w:val="24"/>
        </w:rPr>
        <w:t> </w:t>
      </w:r>
      <w:r w:rsidRPr="003D097F">
        <w:rPr>
          <w:rFonts w:ascii="Times New Roman" w:hAnsi="Times New Roman" w:cs="Times New Roman"/>
          <w:color w:val="auto"/>
          <w:sz w:val="24"/>
        </w:rPr>
        <w:t xml:space="preserve">000 ljudi pobjeglo je iz Zagreba, neki su se vratili, a dio je i trajno napustio grad. To je veliki broj s obzirom </w:t>
      </w:r>
      <w:r w:rsidR="00F90290" w:rsidRPr="003D097F">
        <w:rPr>
          <w:rFonts w:ascii="Times New Roman" w:hAnsi="Times New Roman" w:cs="Times New Roman"/>
          <w:color w:val="auto"/>
          <w:sz w:val="24"/>
        </w:rPr>
        <w:t xml:space="preserve">na to </w:t>
      </w:r>
      <w:r w:rsidRPr="003D097F">
        <w:rPr>
          <w:rFonts w:ascii="Times New Roman" w:hAnsi="Times New Roman" w:cs="Times New Roman"/>
          <w:color w:val="auto"/>
          <w:sz w:val="24"/>
        </w:rPr>
        <w:t>da tada grad zajedno s vojskom nije imao niti 30</w:t>
      </w:r>
      <w:r w:rsidR="00F90290" w:rsidRPr="003D097F">
        <w:rPr>
          <w:rFonts w:ascii="Times New Roman" w:hAnsi="Times New Roman" w:cs="Times New Roman"/>
          <w:color w:val="auto"/>
          <w:sz w:val="24"/>
        </w:rPr>
        <w:t> </w:t>
      </w:r>
      <w:r w:rsidRPr="003D097F">
        <w:rPr>
          <w:rFonts w:ascii="Times New Roman" w:hAnsi="Times New Roman" w:cs="Times New Roman"/>
          <w:color w:val="auto"/>
          <w:sz w:val="24"/>
        </w:rPr>
        <w:t>000 stanovnika. Zagreb je poslije potresa obnavljalo oko 2</w:t>
      </w:r>
      <w:r w:rsidR="00F90290" w:rsidRPr="003D097F">
        <w:rPr>
          <w:rFonts w:ascii="Times New Roman" w:hAnsi="Times New Roman" w:cs="Times New Roman"/>
          <w:color w:val="auto"/>
          <w:sz w:val="24"/>
        </w:rPr>
        <w:t> </w:t>
      </w:r>
      <w:r w:rsidRPr="003D097F">
        <w:rPr>
          <w:rFonts w:ascii="Times New Roman" w:hAnsi="Times New Roman" w:cs="Times New Roman"/>
          <w:color w:val="auto"/>
          <w:sz w:val="24"/>
        </w:rPr>
        <w:t xml:space="preserve">000 radnika. Dvije godine poslije potresa Jugoslavenska akademija znanosti i umjetnosti u Zagrebu izdala je </w:t>
      </w:r>
      <w:r w:rsidR="00EE6A22" w:rsidRPr="003D097F">
        <w:rPr>
          <w:rFonts w:ascii="Times New Roman" w:hAnsi="Times New Roman" w:cs="Times New Roman"/>
          <w:color w:val="auto"/>
          <w:sz w:val="24"/>
        </w:rPr>
        <w:t>"</w:t>
      </w:r>
      <w:r w:rsidRPr="003D097F">
        <w:rPr>
          <w:rFonts w:ascii="Times New Roman" w:hAnsi="Times New Roman" w:cs="Times New Roman"/>
          <w:i/>
          <w:color w:val="auto"/>
          <w:sz w:val="24"/>
        </w:rPr>
        <w:t xml:space="preserve">Izvješće o </w:t>
      </w:r>
      <w:r w:rsidRPr="003D097F">
        <w:rPr>
          <w:rFonts w:ascii="Times New Roman" w:hAnsi="Times New Roman" w:cs="Times New Roman"/>
          <w:i/>
          <w:color w:val="auto"/>
          <w:sz w:val="24"/>
        </w:rPr>
        <w:lastRenderedPageBreak/>
        <w:t>zagrebačkom potresu 9. studenog</w:t>
      </w:r>
      <w:r w:rsidR="00F90290" w:rsidRPr="003D097F">
        <w:rPr>
          <w:rFonts w:ascii="Times New Roman" w:hAnsi="Times New Roman" w:cs="Times New Roman"/>
          <w:i/>
          <w:color w:val="auto"/>
          <w:sz w:val="24"/>
        </w:rPr>
        <w:t>a</w:t>
      </w:r>
      <w:r w:rsidRPr="003D097F">
        <w:rPr>
          <w:rFonts w:ascii="Times New Roman" w:hAnsi="Times New Roman" w:cs="Times New Roman"/>
          <w:i/>
          <w:color w:val="auto"/>
          <w:sz w:val="24"/>
        </w:rPr>
        <w:t xml:space="preserve"> 1880.</w:t>
      </w:r>
      <w:r w:rsidR="00EE6A22" w:rsidRPr="003D097F">
        <w:rPr>
          <w:rFonts w:ascii="Times New Roman" w:hAnsi="Times New Roman" w:cs="Times New Roman"/>
          <w:color w:val="auto"/>
          <w:sz w:val="24"/>
        </w:rPr>
        <w:t>"</w:t>
      </w:r>
      <w:r w:rsidRPr="003D097F">
        <w:rPr>
          <w:rFonts w:ascii="Times New Roman" w:hAnsi="Times New Roman" w:cs="Times New Roman"/>
          <w:color w:val="auto"/>
          <w:sz w:val="24"/>
        </w:rPr>
        <w:t xml:space="preserve"> (Slika 3.) U tom </w:t>
      </w:r>
      <w:r w:rsidR="00F90290" w:rsidRPr="003D097F">
        <w:rPr>
          <w:rFonts w:ascii="Times New Roman" w:hAnsi="Times New Roman" w:cs="Times New Roman"/>
          <w:color w:val="auto"/>
          <w:sz w:val="24"/>
        </w:rPr>
        <w:t xml:space="preserve">su </w:t>
      </w:r>
      <w:r w:rsidRPr="003D097F">
        <w:rPr>
          <w:rFonts w:ascii="Times New Roman" w:hAnsi="Times New Roman" w:cs="Times New Roman"/>
          <w:color w:val="auto"/>
          <w:sz w:val="24"/>
        </w:rPr>
        <w:t>izvješću sakupljeni najiscrpniji podaci o potresu s</w:t>
      </w:r>
      <w:r w:rsidR="00F90290" w:rsidRPr="003D097F">
        <w:rPr>
          <w:rFonts w:ascii="Times New Roman" w:hAnsi="Times New Roman" w:cs="Times New Roman"/>
          <w:color w:val="auto"/>
          <w:sz w:val="24"/>
        </w:rPr>
        <w:t>a</w:t>
      </w:r>
      <w:r w:rsidRPr="003D097F">
        <w:rPr>
          <w:rFonts w:ascii="Times New Roman" w:hAnsi="Times New Roman" w:cs="Times New Roman"/>
          <w:color w:val="auto"/>
          <w:sz w:val="24"/>
        </w:rPr>
        <w:t xml:space="preserve"> zada</w:t>
      </w:r>
      <w:r w:rsidR="00F90290" w:rsidRPr="003D097F">
        <w:rPr>
          <w:rFonts w:ascii="Times New Roman" w:hAnsi="Times New Roman" w:cs="Times New Roman"/>
          <w:color w:val="auto"/>
          <w:sz w:val="24"/>
        </w:rPr>
        <w:t xml:space="preserve">ćom </w:t>
      </w:r>
      <w:r w:rsidRPr="003D097F">
        <w:rPr>
          <w:rFonts w:ascii="Times New Roman" w:hAnsi="Times New Roman" w:cs="Times New Roman"/>
          <w:color w:val="auto"/>
          <w:sz w:val="24"/>
        </w:rPr>
        <w:t>da posluže znanstvenom proučavanju te pojave.</w:t>
      </w:r>
    </w:p>
    <w:p w14:paraId="768E486B" w14:textId="77777777" w:rsidR="001E3790" w:rsidRDefault="001E3790">
      <w:pPr>
        <w:spacing w:after="0" w:line="240" w:lineRule="auto"/>
        <w:ind w:left="0" w:right="0" w:firstLine="709"/>
        <w:rPr>
          <w:rFonts w:ascii="Times New Roman" w:hAnsi="Times New Roman" w:cs="Times New Roman"/>
          <w:color w:val="auto"/>
          <w:sz w:val="24"/>
          <w:u w:val="single"/>
        </w:rPr>
      </w:pPr>
    </w:p>
    <w:p w14:paraId="1C09CA79" w14:textId="60C446E8" w:rsidR="003D097F" w:rsidRPr="006218CF" w:rsidRDefault="003D097F" w:rsidP="00201092">
      <w:pPr>
        <w:spacing w:after="0" w:line="240" w:lineRule="auto"/>
        <w:ind w:left="0" w:right="0" w:firstLine="709"/>
        <w:rPr>
          <w:rFonts w:ascii="Times New Roman" w:hAnsi="Times New Roman" w:cs="Times New Roman"/>
          <w:color w:val="00B050"/>
          <w:sz w:val="24"/>
        </w:rPr>
      </w:pPr>
      <w:r w:rsidRPr="006218CF">
        <w:rPr>
          <w:rFonts w:ascii="Times New Roman" w:hAnsi="Times New Roman" w:cs="Times New Roman"/>
          <w:color w:val="auto"/>
          <w:sz w:val="24"/>
          <w:u w:val="single"/>
        </w:rPr>
        <w:t>Potres 2020. godine</w:t>
      </w:r>
    </w:p>
    <w:p w14:paraId="0D49CF18" w14:textId="079F42CE" w:rsidR="003B523F" w:rsidRPr="006218CF" w:rsidRDefault="003B523F" w:rsidP="006218CF">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xml:space="preserve">U nedjelju, 22. ožujka 2020., u 6 sati i 24 minute po lokalnom vremenu, Zagreb i šire zagrebačko područje pogodio je snažan potres magnitude 5,5 prema Richteru, s epicentrom kod Markuševca. To je bio najjači potres koji se dogodio 140 godina nakon velikog zagrebačkog potresa magnitude 6,3 prema Richteru iz 1880. godine, koji je imao epicentar u Medvednici, oko mjesta Kašina i Planina. </w:t>
      </w:r>
    </w:p>
    <w:p w14:paraId="4ADE44CE" w14:textId="18265ECF" w:rsidR="00EB5C8F" w:rsidRDefault="003B523F" w:rsidP="0046164C">
      <w:pPr>
        <w:spacing w:after="0" w:line="240" w:lineRule="auto"/>
        <w:ind w:left="0" w:right="0" w:firstLine="709"/>
        <w:rPr>
          <w:rFonts w:ascii="Times New Roman" w:hAnsi="Times New Roman" w:cs="Times New Roman"/>
          <w:b/>
          <w:color w:val="auto"/>
          <w:sz w:val="24"/>
        </w:rPr>
      </w:pPr>
      <w:r w:rsidRPr="006218CF">
        <w:rPr>
          <w:rFonts w:ascii="Times New Roman" w:hAnsi="Times New Roman" w:cs="Times New Roman"/>
          <w:color w:val="auto"/>
          <w:sz w:val="24"/>
        </w:rPr>
        <w:t xml:space="preserve"> Istog dana, u 7:01 sati dogodio se još jedan potres magnitude 5,0 prema Richteru. Treće jače podrhtavanje tla zabilježeno je u 7:41 sati, jačine 3,7 po Richteru. U širem epicentralnom području potres je izazvao velike materijalne štete na građevinama, kao i u povijesnom središtu grada, gdje je znatno oštećena Zagrebačka katedrala. Na području Grada Zagreba je 23. ožujka 2020. proglašena prirodna nepogoda uzrokovana potresom. </w:t>
      </w:r>
      <w:r w:rsidR="002C103F" w:rsidRPr="002C103F">
        <w:rPr>
          <w:rFonts w:ascii="Times New Roman" w:hAnsi="Times New Roman" w:cs="Times New Roman"/>
          <w:color w:val="auto"/>
          <w:sz w:val="24"/>
        </w:rPr>
        <w:t>Jedna</w:t>
      </w:r>
      <w:r w:rsidR="002C103F">
        <w:rPr>
          <w:rFonts w:ascii="Times New Roman" w:hAnsi="Times New Roman" w:cs="Times New Roman"/>
          <w:color w:val="auto"/>
          <w:sz w:val="24"/>
        </w:rPr>
        <w:t xml:space="preserve"> </w:t>
      </w:r>
      <w:r w:rsidR="002C103F" w:rsidRPr="002C103F">
        <w:rPr>
          <w:rFonts w:ascii="Times New Roman" w:hAnsi="Times New Roman" w:cs="Times New Roman"/>
          <w:color w:val="auto"/>
          <w:sz w:val="24"/>
        </w:rPr>
        <w:t xml:space="preserve">osoba izgubila je život, </w:t>
      </w:r>
      <w:r w:rsidR="0046164C" w:rsidRPr="0046164C">
        <w:rPr>
          <w:rFonts w:ascii="Times New Roman" w:hAnsi="Times New Roman" w:cs="Times New Roman"/>
          <w:color w:val="auto"/>
          <w:sz w:val="24"/>
        </w:rPr>
        <w:t>26 osoba pretrpjelo</w:t>
      </w:r>
      <w:r w:rsidR="0046164C">
        <w:rPr>
          <w:rFonts w:ascii="Times New Roman" w:hAnsi="Times New Roman" w:cs="Times New Roman"/>
          <w:color w:val="auto"/>
          <w:sz w:val="24"/>
        </w:rPr>
        <w:t xml:space="preserve"> </w:t>
      </w:r>
      <w:r w:rsidR="0046164C" w:rsidRPr="0046164C">
        <w:rPr>
          <w:rFonts w:ascii="Times New Roman" w:hAnsi="Times New Roman" w:cs="Times New Roman"/>
          <w:color w:val="auto"/>
          <w:sz w:val="24"/>
        </w:rPr>
        <w:t>je ozljede</w:t>
      </w:r>
      <w:r w:rsidR="009953A6">
        <w:rPr>
          <w:rFonts w:ascii="Times New Roman" w:hAnsi="Times New Roman" w:cs="Times New Roman"/>
          <w:color w:val="auto"/>
          <w:sz w:val="24"/>
        </w:rPr>
        <w:t xml:space="preserve"> </w:t>
      </w:r>
      <w:r w:rsidR="009953A6" w:rsidRPr="009953A6">
        <w:rPr>
          <w:rFonts w:ascii="Times New Roman" w:hAnsi="Times New Roman" w:cs="Times New Roman"/>
          <w:color w:val="auto"/>
          <w:sz w:val="24"/>
        </w:rPr>
        <w:t>(18 od njih tešk</w:t>
      </w:r>
      <w:r w:rsidR="009953A6">
        <w:rPr>
          <w:rFonts w:ascii="Times New Roman" w:hAnsi="Times New Roman" w:cs="Times New Roman"/>
          <w:color w:val="auto"/>
          <w:sz w:val="24"/>
        </w:rPr>
        <w:t>e</w:t>
      </w:r>
      <w:r w:rsidR="009953A6" w:rsidRPr="009953A6">
        <w:rPr>
          <w:rFonts w:ascii="Times New Roman" w:hAnsi="Times New Roman" w:cs="Times New Roman"/>
          <w:color w:val="auto"/>
          <w:sz w:val="24"/>
        </w:rPr>
        <w:t>),</w:t>
      </w:r>
      <w:r w:rsidR="0046164C" w:rsidRPr="0046164C">
        <w:rPr>
          <w:rFonts w:ascii="Times New Roman" w:hAnsi="Times New Roman" w:cs="Times New Roman"/>
          <w:color w:val="auto"/>
          <w:sz w:val="24"/>
        </w:rPr>
        <w:t xml:space="preserve"> </w:t>
      </w:r>
      <w:r w:rsidR="002C103F" w:rsidRPr="002C103F">
        <w:rPr>
          <w:rFonts w:ascii="Times New Roman" w:hAnsi="Times New Roman" w:cs="Times New Roman"/>
          <w:color w:val="auto"/>
          <w:sz w:val="24"/>
        </w:rPr>
        <w:t xml:space="preserve">a </w:t>
      </w:r>
      <w:r w:rsidR="0053539E">
        <w:rPr>
          <w:rFonts w:ascii="Times New Roman" w:hAnsi="Times New Roman" w:cs="Times New Roman"/>
          <w:color w:val="auto"/>
          <w:sz w:val="24"/>
        </w:rPr>
        <w:t>dio</w:t>
      </w:r>
      <w:r w:rsidR="002C103F" w:rsidRPr="002C103F">
        <w:rPr>
          <w:rFonts w:ascii="Times New Roman" w:hAnsi="Times New Roman" w:cs="Times New Roman"/>
          <w:color w:val="auto"/>
          <w:sz w:val="24"/>
        </w:rPr>
        <w:t xml:space="preserve"> stanovnika </w:t>
      </w:r>
      <w:r w:rsidR="0053539E">
        <w:rPr>
          <w:rFonts w:ascii="Times New Roman" w:hAnsi="Times New Roman" w:cs="Times New Roman"/>
          <w:color w:val="auto"/>
          <w:sz w:val="24"/>
        </w:rPr>
        <w:t>je morao</w:t>
      </w:r>
      <w:r w:rsidR="002C103F" w:rsidRPr="002C103F">
        <w:rPr>
          <w:rFonts w:ascii="Times New Roman" w:hAnsi="Times New Roman" w:cs="Times New Roman"/>
          <w:color w:val="auto"/>
          <w:sz w:val="24"/>
        </w:rPr>
        <w:t xml:space="preserve"> napustiti svoje domove. </w:t>
      </w:r>
      <w:r w:rsidR="0053539E">
        <w:rPr>
          <w:rFonts w:ascii="Times New Roman" w:hAnsi="Times New Roman" w:cs="Times New Roman"/>
          <w:color w:val="auto"/>
          <w:sz w:val="24"/>
        </w:rPr>
        <w:t>V</w:t>
      </w:r>
      <w:r w:rsidR="002C103F" w:rsidRPr="002C103F">
        <w:rPr>
          <w:rFonts w:ascii="Times New Roman" w:hAnsi="Times New Roman" w:cs="Times New Roman"/>
          <w:color w:val="auto"/>
          <w:sz w:val="24"/>
        </w:rPr>
        <w:t xml:space="preserve">eći broj stanovnika </w:t>
      </w:r>
      <w:r w:rsidR="0053539E">
        <w:rPr>
          <w:rFonts w:ascii="Times New Roman" w:hAnsi="Times New Roman" w:cs="Times New Roman"/>
          <w:color w:val="auto"/>
          <w:sz w:val="24"/>
        </w:rPr>
        <w:t>bio je suočen</w:t>
      </w:r>
      <w:r w:rsidR="002C103F" w:rsidRPr="002C103F">
        <w:rPr>
          <w:rFonts w:ascii="Times New Roman" w:hAnsi="Times New Roman" w:cs="Times New Roman"/>
          <w:color w:val="auto"/>
          <w:sz w:val="24"/>
        </w:rPr>
        <w:t xml:space="preserve"> s prekidom opskrbe plin</w:t>
      </w:r>
      <w:r w:rsidR="002C103F">
        <w:rPr>
          <w:rFonts w:ascii="Times New Roman" w:hAnsi="Times New Roman" w:cs="Times New Roman"/>
          <w:color w:val="auto"/>
          <w:sz w:val="24"/>
        </w:rPr>
        <w:t>om</w:t>
      </w:r>
      <w:r w:rsidR="002C103F" w:rsidRPr="002C103F">
        <w:rPr>
          <w:rFonts w:ascii="Times New Roman" w:hAnsi="Times New Roman" w:cs="Times New Roman"/>
          <w:color w:val="auto"/>
          <w:sz w:val="24"/>
        </w:rPr>
        <w:t xml:space="preserve"> i vod</w:t>
      </w:r>
      <w:r w:rsidR="002C103F">
        <w:rPr>
          <w:rFonts w:ascii="Times New Roman" w:hAnsi="Times New Roman" w:cs="Times New Roman"/>
          <w:color w:val="auto"/>
          <w:sz w:val="24"/>
        </w:rPr>
        <w:t>om.</w:t>
      </w:r>
    </w:p>
    <w:p w14:paraId="1551F9AD" w14:textId="04E415ED" w:rsidR="00EB5C8F" w:rsidRDefault="00EB5C8F" w:rsidP="0046164C">
      <w:pPr>
        <w:spacing w:after="0" w:line="240" w:lineRule="auto"/>
        <w:ind w:left="0" w:right="0" w:firstLine="709"/>
        <w:rPr>
          <w:rFonts w:ascii="Times New Roman" w:hAnsi="Times New Roman" w:cs="Times New Roman"/>
          <w:b/>
          <w:color w:val="auto"/>
          <w:sz w:val="24"/>
        </w:rPr>
      </w:pPr>
    </w:p>
    <w:p w14:paraId="2D3C6402" w14:textId="6BCFEE48" w:rsidR="00EB5C8F" w:rsidRDefault="00EB5C8F" w:rsidP="00401D9A">
      <w:pPr>
        <w:spacing w:line="240" w:lineRule="auto"/>
        <w:ind w:firstLine="709"/>
        <w:jc w:val="center"/>
        <w:rPr>
          <w:rFonts w:ascii="Times New Roman" w:hAnsi="Times New Roman" w:cs="Times New Roman"/>
          <w:b/>
          <w:sz w:val="24"/>
        </w:rPr>
      </w:pPr>
      <w:r w:rsidRPr="00524B1D">
        <w:rPr>
          <w:rFonts w:ascii="Times New Roman" w:hAnsi="Times New Roman" w:cs="Times New Roman"/>
          <w:b/>
          <w:color w:val="auto"/>
          <w:sz w:val="24"/>
        </w:rPr>
        <w:t xml:space="preserve">Slika 4. Karta </w:t>
      </w:r>
      <w:r w:rsidRPr="00E1665A">
        <w:rPr>
          <w:rFonts w:ascii="Times New Roman" w:hAnsi="Times New Roman" w:cs="Times New Roman"/>
          <w:b/>
          <w:sz w:val="24"/>
        </w:rPr>
        <w:t>intenziteta zagrebačkog potresa, 22. ožujka 2020. godine u 05:24 (UTC), magnitude 5.5</w:t>
      </w:r>
      <w:r>
        <w:rPr>
          <w:rFonts w:ascii="Times New Roman" w:hAnsi="Times New Roman" w:cs="Times New Roman"/>
          <w:b/>
          <w:sz w:val="24"/>
        </w:rPr>
        <w:t>.</w:t>
      </w:r>
      <w:r w:rsidRPr="00E1665A">
        <w:rPr>
          <w:rFonts w:ascii="Times New Roman" w:hAnsi="Times New Roman" w:cs="Times New Roman"/>
          <w:b/>
          <w:sz w:val="24"/>
        </w:rPr>
        <w:t xml:space="preserve"> </w:t>
      </w:r>
    </w:p>
    <w:p w14:paraId="00D56A16" w14:textId="77777777" w:rsidR="00EB5C8F" w:rsidRDefault="00EB5C8F" w:rsidP="00EB5C8F">
      <w:pPr>
        <w:spacing w:after="0" w:line="240" w:lineRule="auto"/>
        <w:ind w:firstLine="709"/>
        <w:jc w:val="center"/>
        <w:rPr>
          <w:rFonts w:ascii="Times New Roman" w:hAnsi="Times New Roman" w:cs="Times New Roman"/>
          <w:b/>
          <w:sz w:val="24"/>
        </w:rPr>
      </w:pPr>
      <w:r>
        <w:rPr>
          <w:rFonts w:ascii="Roboto" w:hAnsi="Roboto"/>
          <w:noProof/>
          <w:color w:val="1C2833"/>
          <w:sz w:val="21"/>
          <w:szCs w:val="21"/>
        </w:rPr>
        <w:drawing>
          <wp:inline distT="0" distB="0" distL="0" distR="0" wp14:anchorId="15066B66" wp14:editId="3E8DB719">
            <wp:extent cx="4961890" cy="3457417"/>
            <wp:effectExtent l="0" t="0" r="0" b="0"/>
            <wp:docPr id="22" name="Picture 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94291" cy="3479994"/>
                    </a:xfrm>
                    <a:prstGeom prst="rect">
                      <a:avLst/>
                    </a:prstGeom>
                    <a:noFill/>
                    <a:ln>
                      <a:noFill/>
                    </a:ln>
                  </pic:spPr>
                </pic:pic>
              </a:graphicData>
            </a:graphic>
          </wp:inline>
        </w:drawing>
      </w:r>
    </w:p>
    <w:p w14:paraId="16537ACD" w14:textId="77777777" w:rsidR="00EB5C8F" w:rsidRPr="00401D9A" w:rsidRDefault="00EB5C8F" w:rsidP="00EB5C8F">
      <w:pPr>
        <w:spacing w:after="0" w:line="240" w:lineRule="auto"/>
        <w:ind w:firstLine="709"/>
        <w:jc w:val="center"/>
        <w:rPr>
          <w:rFonts w:ascii="Times New Roman" w:hAnsi="Times New Roman" w:cs="Times New Roman"/>
          <w:i/>
          <w:sz w:val="20"/>
          <w:szCs w:val="20"/>
        </w:rPr>
      </w:pPr>
      <w:r w:rsidRPr="00401D9A">
        <w:rPr>
          <w:rFonts w:ascii="Times New Roman" w:hAnsi="Times New Roman" w:cs="Times New Roman"/>
          <w:i/>
          <w:sz w:val="20"/>
          <w:szCs w:val="20"/>
        </w:rPr>
        <w:t xml:space="preserve">Izvor. Seizmološka služba RH </w:t>
      </w:r>
    </w:p>
    <w:p w14:paraId="7D75B191" w14:textId="77777777" w:rsidR="00EB5C8F" w:rsidRDefault="00EB5C8F" w:rsidP="00EB5C8F">
      <w:pPr>
        <w:pStyle w:val="NormalWeb"/>
        <w:shd w:val="clear" w:color="auto" w:fill="FFFFFF"/>
        <w:spacing w:before="0" w:beforeAutospacing="0" w:after="0" w:afterAutospacing="0"/>
        <w:jc w:val="both"/>
        <w:rPr>
          <w:rFonts w:eastAsia="Arial"/>
          <w:lang w:eastAsia="hr-HR"/>
        </w:rPr>
      </w:pPr>
    </w:p>
    <w:p w14:paraId="53553BB6" w14:textId="4C4B3D26" w:rsidR="00EB5C8F" w:rsidRPr="0060440C" w:rsidRDefault="00EB5C8F" w:rsidP="00524B1D">
      <w:pPr>
        <w:pStyle w:val="NormalWeb"/>
        <w:shd w:val="clear" w:color="auto" w:fill="FFFFFF"/>
        <w:spacing w:before="0" w:beforeAutospacing="0" w:after="0" w:afterAutospacing="0"/>
        <w:ind w:firstLine="709"/>
        <w:jc w:val="both"/>
        <w:rPr>
          <w:rFonts w:eastAsia="Arial"/>
          <w:lang w:eastAsia="hr-HR"/>
        </w:rPr>
      </w:pPr>
      <w:r w:rsidRPr="00E956B1">
        <w:rPr>
          <w:rFonts w:eastAsia="Arial"/>
          <w:lang w:eastAsia="hr-HR"/>
        </w:rPr>
        <w:t xml:space="preserve">Najveći intenzitet zagrebačkog potresa iznosi VII (sedam) stupnjeva EMS ljestvice. S obzirom na vrijednost intenziteta, glavni potres zagrebačke serije možemo smatrati vrlo jakim </w:t>
      </w:r>
      <w:r w:rsidRPr="0060440C">
        <w:rPr>
          <w:rFonts w:eastAsia="Arial"/>
          <w:lang w:eastAsia="hr-HR"/>
        </w:rPr>
        <w:t>potresom (Slika 4).</w:t>
      </w:r>
    </w:p>
    <w:p w14:paraId="350DDD0C" w14:textId="3203F2D8" w:rsidR="00EB5C8F" w:rsidRDefault="00EB5C8F" w:rsidP="00524B1D">
      <w:pPr>
        <w:pStyle w:val="NormalWeb"/>
        <w:shd w:val="clear" w:color="auto" w:fill="FFFFFF"/>
        <w:spacing w:before="0" w:beforeAutospacing="0" w:after="0" w:afterAutospacing="0"/>
        <w:ind w:firstLine="709"/>
        <w:jc w:val="both"/>
      </w:pPr>
      <w:r w:rsidRPr="00524B1D">
        <w:rPr>
          <w:rFonts w:eastAsia="Arial"/>
          <w:lang w:eastAsia="hr-HR"/>
        </w:rPr>
        <w:t xml:space="preserve">Većina epicentara serije naknadnih potresa dogodila se na području grada Zagreba, posebice naseljima Markuševec i Čučerje. Dubine žarišta većinom su procijenjene do najviše 12-20 km. Na </w:t>
      </w:r>
      <w:r w:rsidR="0060440C" w:rsidRPr="00524B1D">
        <w:rPr>
          <w:rFonts w:eastAsia="Arial"/>
          <w:lang w:eastAsia="hr-HR"/>
        </w:rPr>
        <w:t>S</w:t>
      </w:r>
      <w:r w:rsidRPr="00524B1D">
        <w:rPr>
          <w:rFonts w:eastAsia="Arial"/>
          <w:lang w:eastAsia="hr-HR"/>
        </w:rPr>
        <w:t xml:space="preserve">lici 5 su </w:t>
      </w:r>
      <w:r w:rsidRPr="00E956B1">
        <w:rPr>
          <w:rFonts w:eastAsia="Arial"/>
          <w:lang w:eastAsia="hr-HR"/>
        </w:rPr>
        <w:t>različitom veličinom i bojom naznačene magnitude i epicentri glavnog i naknadnih potresa zagrebačke serije potresa.</w:t>
      </w:r>
    </w:p>
    <w:p w14:paraId="6FE5E80A" w14:textId="77777777" w:rsidR="00EB5C8F" w:rsidRDefault="00EB5C8F" w:rsidP="00EB5C8F">
      <w:pPr>
        <w:spacing w:after="0" w:line="240" w:lineRule="auto"/>
        <w:rPr>
          <w:rFonts w:ascii="Times New Roman" w:hAnsi="Times New Roman" w:cs="Times New Roman"/>
          <w:sz w:val="24"/>
        </w:rPr>
      </w:pPr>
    </w:p>
    <w:p w14:paraId="38A0240A" w14:textId="77777777" w:rsidR="00EB5C8F" w:rsidRPr="007563BF" w:rsidRDefault="00EB5C8F" w:rsidP="00EB5C8F">
      <w:pPr>
        <w:spacing w:after="0" w:line="240" w:lineRule="auto"/>
        <w:rPr>
          <w:rFonts w:ascii="Times New Roman" w:hAnsi="Times New Roman" w:cs="Times New Roman"/>
          <w:sz w:val="24"/>
        </w:rPr>
      </w:pPr>
    </w:p>
    <w:p w14:paraId="1B5A5DF6" w14:textId="78D2ECCE" w:rsidR="00EB5C8F" w:rsidRPr="007563BF" w:rsidRDefault="00EB5C8F" w:rsidP="00401D9A">
      <w:pPr>
        <w:spacing w:line="240" w:lineRule="auto"/>
        <w:ind w:firstLine="709"/>
        <w:jc w:val="center"/>
        <w:rPr>
          <w:rFonts w:ascii="Times New Roman" w:hAnsi="Times New Roman" w:cs="Times New Roman"/>
          <w:b/>
          <w:sz w:val="24"/>
        </w:rPr>
      </w:pPr>
      <w:r w:rsidRPr="00524B1D">
        <w:rPr>
          <w:rFonts w:ascii="Times New Roman" w:hAnsi="Times New Roman" w:cs="Times New Roman"/>
          <w:b/>
          <w:color w:val="auto"/>
          <w:sz w:val="24"/>
        </w:rPr>
        <w:lastRenderedPageBreak/>
        <w:t xml:space="preserve">Slika 5. Epicentri </w:t>
      </w:r>
      <w:r w:rsidRPr="00496C4B">
        <w:rPr>
          <w:rFonts w:ascii="Times New Roman" w:hAnsi="Times New Roman" w:cs="Times New Roman"/>
          <w:b/>
          <w:sz w:val="24"/>
        </w:rPr>
        <w:t xml:space="preserve">zagrebačkih potresa u razdoblju od 01. siječnja do </w:t>
      </w:r>
      <w:r>
        <w:rPr>
          <w:rFonts w:ascii="Times New Roman" w:hAnsi="Times New Roman" w:cs="Times New Roman"/>
          <w:b/>
          <w:sz w:val="24"/>
        </w:rPr>
        <w:br/>
      </w:r>
      <w:r w:rsidRPr="00496C4B">
        <w:rPr>
          <w:rFonts w:ascii="Times New Roman" w:hAnsi="Times New Roman" w:cs="Times New Roman"/>
          <w:b/>
          <w:sz w:val="24"/>
        </w:rPr>
        <w:t>31.prosinca</w:t>
      </w:r>
      <w:r>
        <w:rPr>
          <w:rFonts w:ascii="Times New Roman" w:hAnsi="Times New Roman" w:cs="Times New Roman"/>
          <w:b/>
          <w:sz w:val="24"/>
        </w:rPr>
        <w:t xml:space="preserve"> </w:t>
      </w:r>
      <w:r w:rsidRPr="00496C4B">
        <w:rPr>
          <w:rFonts w:ascii="Times New Roman" w:hAnsi="Times New Roman" w:cs="Times New Roman"/>
          <w:b/>
          <w:sz w:val="24"/>
        </w:rPr>
        <w:t>2020.</w:t>
      </w:r>
    </w:p>
    <w:p w14:paraId="74D36887" w14:textId="77777777" w:rsidR="00EB5C8F" w:rsidRPr="007563BF" w:rsidRDefault="00EB5C8F" w:rsidP="00EB5C8F">
      <w:pPr>
        <w:spacing w:after="0" w:line="240" w:lineRule="auto"/>
        <w:ind w:firstLine="709"/>
        <w:jc w:val="center"/>
        <w:rPr>
          <w:rFonts w:ascii="Times New Roman" w:hAnsi="Times New Roman" w:cs="Times New Roman"/>
          <w:sz w:val="24"/>
        </w:rPr>
      </w:pPr>
      <w:r>
        <w:rPr>
          <w:rFonts w:ascii="Times New Roman" w:hAnsi="Times New Roman" w:cs="Times New Roman"/>
          <w:noProof/>
          <w:sz w:val="24"/>
        </w:rPr>
        <w:drawing>
          <wp:inline distT="0" distB="0" distL="0" distR="0" wp14:anchorId="304F5B7C" wp14:editId="6F756B14">
            <wp:extent cx="4056579" cy="3591763"/>
            <wp:effectExtent l="0" t="0" r="127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91707" cy="3622866"/>
                    </a:xfrm>
                    <a:prstGeom prst="rect">
                      <a:avLst/>
                    </a:prstGeom>
                    <a:noFill/>
                  </pic:spPr>
                </pic:pic>
              </a:graphicData>
            </a:graphic>
          </wp:inline>
        </w:drawing>
      </w:r>
    </w:p>
    <w:p w14:paraId="6D5DEBCA" w14:textId="77777777" w:rsidR="00EB5C8F" w:rsidRPr="00401D9A" w:rsidRDefault="00EB5C8F" w:rsidP="00EB5C8F">
      <w:pPr>
        <w:spacing w:after="0" w:line="240" w:lineRule="auto"/>
        <w:ind w:firstLine="709"/>
        <w:jc w:val="center"/>
        <w:rPr>
          <w:rFonts w:ascii="Times New Roman" w:hAnsi="Times New Roman" w:cs="Times New Roman"/>
          <w:i/>
          <w:sz w:val="20"/>
          <w:szCs w:val="20"/>
        </w:rPr>
      </w:pPr>
      <w:r w:rsidRPr="00401D9A">
        <w:rPr>
          <w:rFonts w:ascii="Times New Roman" w:hAnsi="Times New Roman" w:cs="Times New Roman"/>
          <w:i/>
          <w:sz w:val="20"/>
          <w:szCs w:val="20"/>
        </w:rPr>
        <w:t>Izvor. Seizmološka služba RH</w:t>
      </w:r>
    </w:p>
    <w:p w14:paraId="6FF9E460" w14:textId="77777777" w:rsidR="00EB5C8F" w:rsidRPr="007563BF" w:rsidRDefault="00EB5C8F" w:rsidP="00524B1D">
      <w:pPr>
        <w:spacing w:after="0" w:line="240" w:lineRule="auto"/>
        <w:ind w:left="0" w:firstLine="0"/>
        <w:rPr>
          <w:rFonts w:ascii="Times New Roman" w:hAnsi="Times New Roman" w:cs="Times New Roman"/>
          <w:i/>
          <w:sz w:val="24"/>
        </w:rPr>
      </w:pPr>
    </w:p>
    <w:p w14:paraId="06FB0616" w14:textId="4ED39F9C" w:rsidR="00EB5C8F" w:rsidRPr="007563BF" w:rsidRDefault="00EB5C8F">
      <w:pPr>
        <w:spacing w:after="0" w:line="240" w:lineRule="auto"/>
        <w:ind w:firstLine="709"/>
        <w:rPr>
          <w:rFonts w:ascii="Times New Roman" w:hAnsi="Times New Roman" w:cs="Times New Roman"/>
          <w:sz w:val="24"/>
        </w:rPr>
      </w:pPr>
      <w:r w:rsidRPr="00E956B1">
        <w:rPr>
          <w:rFonts w:ascii="Times New Roman" w:hAnsi="Times New Roman" w:cs="Times New Roman"/>
          <w:sz w:val="24"/>
        </w:rPr>
        <w:t>Nakon glavnog potresa uslijedio je čitav niz brojnih naknadnih potresa (do kraja 2021. godine zabilježeno je oko 3500 potresa, od kojih je u prvoj godini zabilježeno oko 3200).</w:t>
      </w:r>
    </w:p>
    <w:p w14:paraId="67252B4B" w14:textId="77777777" w:rsidR="00EB5C8F" w:rsidRPr="007563BF" w:rsidRDefault="00EB5C8F" w:rsidP="00EB5C8F">
      <w:pPr>
        <w:spacing w:after="0" w:line="240" w:lineRule="auto"/>
        <w:ind w:firstLine="709"/>
        <w:rPr>
          <w:rFonts w:ascii="Times New Roman" w:hAnsi="Times New Roman" w:cs="Times New Roman"/>
          <w:sz w:val="24"/>
        </w:rPr>
      </w:pPr>
    </w:p>
    <w:p w14:paraId="17FACA05" w14:textId="77777777" w:rsidR="00EB5C8F" w:rsidRPr="00524B1D" w:rsidRDefault="00EB5C8F" w:rsidP="00EB5C8F">
      <w:pPr>
        <w:spacing w:after="0" w:line="240" w:lineRule="auto"/>
        <w:ind w:firstLine="709"/>
        <w:jc w:val="center"/>
        <w:rPr>
          <w:rFonts w:ascii="Times New Roman" w:hAnsi="Times New Roman" w:cs="Times New Roman"/>
          <w:b/>
          <w:color w:val="auto"/>
          <w:sz w:val="24"/>
        </w:rPr>
      </w:pPr>
      <w:r w:rsidRPr="00524B1D">
        <w:rPr>
          <w:rFonts w:ascii="Times New Roman" w:hAnsi="Times New Roman" w:cs="Times New Roman"/>
          <w:b/>
          <w:color w:val="auto"/>
          <w:sz w:val="24"/>
        </w:rPr>
        <w:t>Slika 6. (a) Broj potresa po magnitudama većim od 2.0 u razdoblju od 22. ožujka 2020. do 31. prosinca 2021. godine</w:t>
      </w:r>
    </w:p>
    <w:p w14:paraId="35C14FF7" w14:textId="5F9ED26A" w:rsidR="00EB5C8F" w:rsidRDefault="0059173A">
      <w:pPr>
        <w:spacing w:after="0" w:line="240" w:lineRule="auto"/>
        <w:ind w:firstLine="709"/>
        <w:jc w:val="center"/>
        <w:rPr>
          <w:rFonts w:ascii="Times New Roman" w:hAnsi="Times New Roman" w:cs="Times New Roman"/>
          <w:b/>
          <w:sz w:val="24"/>
        </w:rPr>
      </w:pPr>
      <w:r>
        <w:rPr>
          <w:rFonts w:ascii="Times New Roman" w:hAnsi="Times New Roman" w:cs="Times New Roman"/>
          <w:b/>
          <w:color w:val="auto"/>
          <w:sz w:val="24"/>
        </w:rPr>
        <w:t xml:space="preserve">          </w:t>
      </w:r>
      <w:r w:rsidR="00EB5C8F" w:rsidRPr="00524B1D">
        <w:rPr>
          <w:rFonts w:ascii="Times New Roman" w:hAnsi="Times New Roman" w:cs="Times New Roman"/>
          <w:b/>
          <w:color w:val="auto"/>
          <w:sz w:val="24"/>
        </w:rPr>
        <w:t xml:space="preserve">(b) Vremenska </w:t>
      </w:r>
      <w:r w:rsidR="00EB5C8F" w:rsidRPr="00526714">
        <w:rPr>
          <w:rFonts w:ascii="Times New Roman" w:hAnsi="Times New Roman" w:cs="Times New Roman"/>
          <w:b/>
          <w:sz w:val="24"/>
        </w:rPr>
        <w:t>raspodjela magnituda potresa zagrebačke serije</w:t>
      </w:r>
    </w:p>
    <w:p w14:paraId="542598D0" w14:textId="77777777" w:rsidR="00EB5C8F" w:rsidRDefault="00EB5C8F" w:rsidP="00EB5C8F">
      <w:pPr>
        <w:spacing w:after="0" w:line="240" w:lineRule="auto"/>
        <w:ind w:firstLine="709"/>
        <w:jc w:val="center"/>
        <w:rPr>
          <w:rFonts w:ascii="Times New Roman" w:hAnsi="Times New Roman" w:cs="Times New Roman"/>
          <w:b/>
          <w:sz w:val="24"/>
        </w:rPr>
      </w:pPr>
      <w:r>
        <w:rPr>
          <w:rFonts w:ascii="Times New Roman" w:hAnsi="Times New Roman" w:cs="Times New Roman"/>
          <w:b/>
          <w:noProof/>
          <w:color w:val="FF0000"/>
          <w:sz w:val="24"/>
        </w:rPr>
        <mc:AlternateContent>
          <mc:Choice Requires="wpg">
            <w:drawing>
              <wp:inline distT="0" distB="0" distL="0" distR="0" wp14:anchorId="0699BF9A" wp14:editId="2C321576">
                <wp:extent cx="3619500" cy="2867025"/>
                <wp:effectExtent l="0" t="0" r="0" b="9525"/>
                <wp:docPr id="17" name="Group 17"/>
                <wp:cNvGraphicFramePr/>
                <a:graphic xmlns:a="http://schemas.openxmlformats.org/drawingml/2006/main">
                  <a:graphicData uri="http://schemas.microsoft.com/office/word/2010/wordprocessingGroup">
                    <wpg:wgp>
                      <wpg:cNvGrpSpPr/>
                      <wpg:grpSpPr>
                        <a:xfrm>
                          <a:off x="0" y="0"/>
                          <a:ext cx="3619500" cy="2867025"/>
                          <a:chOff x="0" y="21947"/>
                          <a:chExt cx="3134436" cy="2191740"/>
                        </a:xfrm>
                      </wpg:grpSpPr>
                      <pic:pic xmlns:pic="http://schemas.openxmlformats.org/drawingml/2006/picture">
                        <pic:nvPicPr>
                          <pic:cNvPr id="19" name="Picture 19" descr="Chart, bar chart&#10;&#10;Description automatically generated"/>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43891" y="43892"/>
                            <a:ext cx="3090545" cy="2169795"/>
                          </a:xfrm>
                          <a:prstGeom prst="rect">
                            <a:avLst/>
                          </a:prstGeom>
                          <a:noFill/>
                          <a:ln>
                            <a:noFill/>
                          </a:ln>
                        </pic:spPr>
                      </pic:pic>
                      <wps:wsp>
                        <wps:cNvPr id="20" name="Text Box 2"/>
                        <wps:cNvSpPr txBox="1">
                          <a:spLocks noChangeArrowheads="1"/>
                        </wps:cNvSpPr>
                        <wps:spPr bwMode="auto">
                          <a:xfrm>
                            <a:off x="0" y="21947"/>
                            <a:ext cx="368300" cy="286385"/>
                          </a:xfrm>
                          <a:prstGeom prst="rect">
                            <a:avLst/>
                          </a:prstGeom>
                          <a:noFill/>
                          <a:ln w="9525">
                            <a:noFill/>
                            <a:miter lim="800000"/>
                            <a:headEnd/>
                            <a:tailEnd/>
                          </a:ln>
                        </wps:spPr>
                        <wps:txbx>
                          <w:txbxContent>
                            <w:p w14:paraId="3404D76A" w14:textId="3467A62E" w:rsidR="003E564E" w:rsidRDefault="003E564E" w:rsidP="00EB5C8F"/>
                          </w:txbxContent>
                        </wps:txbx>
                        <wps:bodyPr rot="0" vert="horz" wrap="square" lIns="91440" tIns="45720" rIns="91440" bIns="45720" anchor="t" anchorCtr="0">
                          <a:noAutofit/>
                        </wps:bodyPr>
                      </wps:wsp>
                    </wpg:wgp>
                  </a:graphicData>
                </a:graphic>
              </wp:inline>
            </w:drawing>
          </mc:Choice>
          <mc:Fallback>
            <w:pict>
              <v:group w14:anchorId="0699BF9A" id="Group 17" o:spid="_x0000_s1026" style="width:285pt;height:225.75pt;mso-position-horizontal-relative:char;mso-position-vertical-relative:line" coordorigin=",219" coordsize="31344,219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lx+bWAwAAuwgAAA4AAABkcnMvZTJvRG9jLnhtbKxW247bNhB9L9B/&#10;IFigT/VKsuWL1PUGjr1ZBEjbRZN+AE1RFhGJZEnaslv03ztDydddoIugBiwPyeFczswZ+f7dvqnJ&#10;TlgntZrT5C6mRCiuC6k2c/rHlw+DGSXOM1WwWisxpwfh6LuH77+7b00uhrrSdSEsASPK5a2Z08p7&#10;k0eR45VomLvTRig4LLVtmIel3USFZS1Yb+poGMeTqNW2MFZz4RzsrrpD+hDsl6Xg/reydMKTek4h&#10;Nh+eNjzX+Iwe7lm+scxUkvdhsG+IomFSgdOTqRXzjGytfGGqkdxqp0t/x3UT6bKUXIQcIJskvsnm&#10;yeqtCbls8nZjTjABtDc4fbNZ/uvu2RJZQO2mlCjWQI2CWwJrAKc1mxx0nqz5bJ5tv7HpVpjvvrQN&#10;/kImZB9gPZxgFXtPOGyOJkk2jgF9DmfD2WQaD8cd8LyC6pzvDZMsDV5ZzqvH4+1klKajSX87yZJp&#10;GsoWHZ1HGOMpJCN5Dt8eK5BeYPXfPQW3/NYK2htp3mSjYfbr1gygrIZ5uZa19IfQolBADErtniV/&#10;tt3iAvbsCDsco1eSwE4hHIcuXVbM+p/ImlnCUfzxh/3i5/BYoYI0HmhH2NZroIfkrK4PZCOUsMyL&#10;AiFGx+ir88wQmU+af3VEabCtNmLhDHAEqo/a0bV6WF6Fva6l+SDrGiuOcg8QRHrTj69g3PX6SvNt&#10;I5TvyGtFDXFr5SppHCU2F81aQC/aj0US6AQt9Ml5dIfNFAj193C2iONs+H6wHMfLQRpPHwcL6JvB&#10;NH6E1khnyTJZ/oO3kzTfOgH5snplZB8r7L6I9lX29HOm42XgN9mxMEUQqRDQ8TeECFsICcbqLP8d&#10;UAU9kL0VnlcoloBcvw/Kp4MA8xlZrIEDrpF1+4sugI5Y3gDGDdfS0SxLKAFOoTTsGHXiXJzF43R8&#10;ZM0km2aBcyfWQC9Y55+EbggKgDlEHNywHeTT5XhUweiVxsqHnGp1tQE2cSfkgZH3IiSC8wPmujs2&#10;CqzeBj5O9dcm4ueKGQFRotkzh4YwW7rR9QXzf6/3JMDRa+HkIn4P29jnoSjmhgXW6rYSrIDwOiZc&#10;XO28vakkEAeOuPMYO5VjMhtdTMDR7P8sBmnnNBvDTL2qCssb6eHdWstmTmcxfroWwTwfVREq6Zms&#10;O/lYREy8KyJKfr/egyKKa10cAEeroVcgT3jng1Bp+xclLbw/59T9uWU4NOuPCmDMkhTmNPFhkY6n&#10;WCN7ebK+PGGKg6k59ZR04tLDKu4zWgADShl68hwJdBkuoLmCFN6QIF29gi/XQev8n+PhX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8Yi4/3AAAAAUBAAAPAAAAZHJzL2Rvd25yZXYu&#10;eG1sTI9BS8NAEIXvgv9hGcGb3USNSsymlKKeitBWKL1Nk2kSmp0N2W2S/ntHL3p58HjDe99k88m2&#10;aqDeN44NxLMIFHHhyoYrA1/b97sXUD4gl9g6JgMX8jDPr68yTEs38pqGTaiUlLBP0UAdQpdq7Yua&#10;LPqZ64glO7reYhDbV7rscZRy2+r7KHrSFhuWhRo7WtZUnDZna+BjxHHxEL8Nq9Nxedlvk8/dKiZj&#10;bm+mxSuoQFP4O4YffEGHXJgO7sylV60BeST8qmTJcyT2YOAxiRPQeab/0+ffAAAA//8DAFBLAwQK&#10;AAAAAAAAACEA6Zq+XUQlAABEJQAAFQAAAGRycy9tZWRpYS9pbWFnZTEuanBlZ//Y/+AAEEpGSUYA&#10;AQEAAAEAAQAA/9sAQwAGBAUGBQQGBgUGBwcGCAoQCgoJCQoUDg8MEBcUGBgXFBYWGh0lHxobIxwW&#10;FiAsICMmJykqKRkfLTAtKDAlKCko/9sAQwEHBwcKCAoTCgoTKBoWGigoKCgoKCgoKCgoKCgoKCgo&#10;KCgoKCgoKCgoKCgoKCgoKCgoKCgoKCgoKCgoKCgoKCgo/8AAEQgBLgGCAwEiAAIRAQMRAf/EABwA&#10;AQEAAwEBAQEAAAAAAAAAAAADBQYIBAIHAf/EAEcQAAEDAQMHCgIIBAQHAQEAAAABAgMEBRESBhMU&#10;IVJT0RUxNFRzkZKTsdIiQRYXNlFVdJSzIzJhcQdCgaQIN0NFg4TDwXL/xAAaAQEAAgMBAAAAAAAA&#10;AAAAAAAAAQUCBAYD/8QAMREBAAECAggEBQUBAQAAAAAAAAECEQMyBAUhMVJxkfATFEFREhVhodEz&#10;QoGxwTTh/9oADAMBAAIRAxEAPwDp6kpoHUkLnQxK5WNVVVia9RXRKfcReBBRdDg7NvoWAjolPuIv&#10;Ag0Sn3EXgQsAI6JT7iLwINEp9xF4ELACOiU+4i8CDRKfcReBCwAjolPuIvAg0Sn3EXgQsAI6JT7i&#10;LwINEp9xF4ELACOiU+4i8CDRKfcReBCwAjolPuIvAg0Sn3EXgQsAI6JT7iLwINEp9xF4ELACOiU+&#10;4i8CDRKfcReBCwAjolPuIvAg0Sn3EXgQsAI6JT7iLwINEp9xF4ELACOiU+4i8CDRKfcReBCwAjol&#10;PuIvAg0Sn3EXgQsAI6JT7iLwINEp9xF4ELACOiU+4i8CDRKfcReBCwAjolPuIvAg0Sn3EXgQsAI6&#10;JT7iLwINEp9xF4ELACOiU+4i8CDRKfcReBCwAjolPuIvAg0Sn3EXgQsAI6JT7iLwINEp9xF4ELAC&#10;OiU+4i8CDRKfcReBCwAjolPuIvAg0Sn3EXgQsAI6JT7iLwINEp9xF4ELADU6v4auZrdTUe5ERPlr&#10;AremT9o71AGzUXQ4Ozb6FiNF0ODs2+hYAAAAMNlbXVNn2Or6Bj31UsscEebRquRXvRt7UeqNvRFW&#10;7Et191+o15LStGtjkpaS0rQpJqSnnlldUw07plla5ERj8LVZh+fw61RU+JNZF+/umzegeezqhauz&#10;6Woc1GrNE2RWp8r0RbiskjY7sSPW/ZarvQymLTaWMTeLvsEdJZsy+U7gNJZsy+U7gQlYEdJZsy+U&#10;7gYDLp1n1OTc8NpVlLQ07pInLLaFOr4FVsjXI17VVqORcN116c5EphsoPy6aGxraySoKSWxrJfUV&#10;NQ+hopoLOuizavcrpoUVFwpga56XKuu7WvOfpEEkEEMcUUcrY42oxrUhdciIlyJzGSHpBHSWbMvl&#10;O4DSWbMvlO4ECwI6SzZl8p3AaSzZl8p3ACwI6SzZl8p3AaSzZl8p3ACwI6SzZl8p3AaSzZl8p3AC&#10;wI6SzZl8p3AaSzZl8p3ACwI6SzZl8p3AaSzZl8p3ACwI6SzZl8p3AaSzZl8p3ACwI6SzZl8p3AaS&#10;zZl8p3ACwI6SzZl8p3AaSzZl8p3ACwI6SzZl8p3AaSzZl8p3ACwI6SzZl8p3AaSzZl8p3ACwI6Sz&#10;Zl8p3AaSzZl8p3ACwI6SzZl8p3AaSzZl8p3ACwI6SzZl8p3AaSzZl8p3ACwI6SzZl8p3AaSzZl8p&#10;3ACwI6SzZl8p3AaSzZl8p3ACwPiORsl+FHpdtNVvqfYGp1vTJ+0d6gVvTJ+0d6gDZqLocHZt9CxG&#10;i6HB2bfQsAAAHmtGhp7RpH01WxXxOVF1OVqoqLeio5FRUVFRFRUW9DGy5K2RLTxQvp5VZHjS9KmV&#10;HPR6or0e5HXvRyol6OVUW4zYANRGtRGoiImpET5AAAAAAOVvpRlB+OWr+rk4j6UZQfjlq/q5OJc/&#10;J6+KGh5+n2dUg5W+lGUH45av6uTiPpRlB+OWr+rk4j5PXxQefp9nVIOa8k8o7cnypsaKe2bSkikr&#10;YWPY+qerXIr0RUVFXWh0oaOl6JOjTETN7tjAx4xomYgABqPcAAAAAAAAAAAAAAAAAAAAAAAAAAAA&#10;AAAAAAAAAAABqdb0yftHeoFb0yftHeoA2ai6HB2bfQsRouhwdm30LAAAAB47Xr22bQuqXQTVCo9k&#10;bYocOJznuRqImJUTncnOqGOr8okooYllsu0XVDonzyU0aROkhjatyudc/CvOlyNVVX5JqUDOg+YZ&#10;GTRMlicjo3tRzXJzKi8yn0AAAHHwAO4c6AADMZG/a+w/z8H7jTqk5WyN+19h/n4P3GnVJQa4z08l&#10;noGWQAFM3wAAAAAAAAAAAAAAAAAAAAAAAAAAAAAAAAAAAAAAAGp1vTJ+0d6gVvTJ+0d6gDZqLocH&#10;Zt9CxGi6HB2bfQsAAAHgtyndV2bJA2hoq9HqmKnrH4YnJffr+B/Nz8xrEGTlrUNM3QUs1HywzwPg&#10;dI9sVM2R+JqR3NVXI3WmFUbfquw8xuwIsm6NFTpSUVPTtcrmwxtjRV51REuPuSNsl2JXpdsuVvof&#10;YMpm83ljEWi0I6Mzal813EaMzal813EsCEuPgAdw50AAGXyOTFldYiLfctdAmpbv+o06k0Zm1L5r&#10;uJy5kb9r7D/PwfuNOqSg1xnp5LPQMso6Mzal813EaMzal813EsCmb6OjM2pfNdxGjM2pfNdxLACO&#10;jM2pfNdxGjM2pfNdxLACOjM2pfNdxGjM2pfNdxLACOjM2pfNdxGjM2pfNdxLACOjM2pfNdxGjM2p&#10;fNdxLACOjM2pfNdxGjM2pfNdxLACOjM2pfNdxGjM2pfNdxLACOjM2pfNdxGjM2pfNdxLACOjM2pf&#10;NdxGjM2pfNdxLACOjM2pfNdxGjM2pfNdxLACOjM2pfNdxGjM2pfNdxLACOjM2pfNdxGjM2pfNdxL&#10;ACOjM2pfNdxGjM2pfNdxLACOjM2pfNdxGjM2pfNdxLAD4jjbHfhV637Tld6n2ABqdb0yftHeoFb0&#10;yftHeoA2ai6HB2bfQsRouhwdm30LAAAAAAAAAAABx8ADuHOgAAzGRv2vsP8APwfuNOqTlbI37X2H&#10;+fg/cadUlBrjPTyWegZZAAUzfAAAAAAAAAAAAAAAAAAAAAAAAAAAAAAAAAAAAAAAAanW9Mn7R3qB&#10;W9Mn7R3qANmouhwdm30LEaLocHZt9CwABeY/PLByepaLKKyZWSWE6rdElQ+WN6LUTLm3sc5iXXua&#10;5XI5XX6lRee+9Ebz0bdlM6tSynMs2mnqJZXJG/MPY17GL/M5uNzUvu5tfOqL8j8+VbNWyqaK3aNt&#10;JRMo6tlHDVKxUzqSas3hcqY0RURt3xalwn6sCLJu81mZ7k2k0q/SM0zOYufFcl9/+paR7mXYY3vv&#10;2btXeqH2DKZvN2MRaLI55/Vpe9vuGef1aXvb7iwIS4+AB3DnQAAZfI5bsrrEVEVVSug1J8/4jTqT&#10;PP6tL3t9xy5kb9r7D/PwfuNOqSg1xnp5LPQMso55/Vpe9vuGef1aXvb7iwKZvo55/Vpe9vuGef1a&#10;Xvb7iwAjnn9Wl72+4Z5/Vpe9vuLACOef1aXvb7hnn9Wl72+4sAI55/Vpe9vuGef1aXvb7iwAjnn9&#10;Wl72+4Z5/Vpe9vuLACOef1aXvb7hnn9Wl72+4sAI55/Vpe9vuGef1aXvb7iwAjnn9Wl72+4Z5/Vp&#10;e9vuLACOef1aXvb7hnn9Wl72+4sAI55/Vpe9vuGef1aXvb7iwAjnn9Wl72+4Z5/Vpe9vuLACOef1&#10;aXvb7hnn9Wl72+4sAI55/Vpe9vuGef1aXvb7iwAjnn9Wl72+4Z5/Vpe9vuLAD4je59+KN7Ltq7X3&#10;Kp9gAanW9Mn7R3qBW9Mn7R3qANmouhwdm30LEaLocHZt9CwBeZb+Y0PJd1lvkoc3HaSObVtbTOqX&#10;ROcrUpnrGi4f8iMc67/Nevxc6m+LzGoZNzQJVUlVUZMw0FoVqKj6+LRUZM5UV6q1zZVe5HYb7rl/&#10;rzXiN5O5t4AAAAAAAOPgAdw50AAGYyN+19h/n4P3GnVJytkb9r7D/PwfuNOqSg1xnp5LPQMsgAKZ&#10;vgAAAAAAAAAAAAAAAAAAAAAAAAAAAAAAAAAAAAAAANTremT9o71AremT9o71AGzUXQ4Ozb6FiNF0&#10;ODs2+hYCNZTsqqaSCV0rWPS5VikdG7/RzVRU/wBFNGyXp6ennsOV1HOtJNeygllteaoe1UjdcroX&#10;XMYuBHJ8KrhVbv7b+vMfmtiZRWNTWtTWhLWZJxS2g57Z0p2MiqIL0V38SXGuPW1EW9G3qqKn3Kje&#10;Tub7bNatnWbNVNSn/h3a6idIY01ol7nqi4UT+y/2MCmVNZNQQS0dlxTTuglqZGLVYWZtjsKOjfgX&#10;Hi526moqa1VNRsVfHUzUqpZ9THT1F6K2SSLOs59aK29FVFT7lQ1z6K1UUd9HacUNTMydlS9aXE16&#10;SvxKrG40wKi33Xq7n14iNqdjaKaZlTTRTxKqxysR7b0u1Kl6FCdNCympooIkVI4mIxt636kS5D+y&#10;RRy3ZxjH3c2JL7jKbX2MYvba+wR0Sn3EXgQaJT7iLwIQlyIADuHOgAAzGRv2vsP8/B+406pOVcjk&#10;R2V1iI5EVFroEVF+f8Rp1JolPuIvAhQa4z08lnoGWVgR0Sn3EXgQaJT7iLwIUzfWBHRKfcReBBol&#10;PuIvAgFgR0Sn3EXgQaJT7iLwIBYEdEp9xF4EGiU+4i8CAWBHRKfcReBBolPuIvAgFgR0Sn3EXgQa&#10;JT7iLwIBYEdEp9xF4EGiU+4i8CAWBHRKfcReBBolPuIvAgFgR0Sn3EXgQaJT7iLwIBYEdEp9xF4E&#10;GiU+4i8CAWBHRKfcReBBolPuIvAgFgR0Sn3EXgQaJT7iLwIBYEdEp9xF4EGiU+4i8CAWBHRKfcRe&#10;BBolPuIvAgFgR0Sn3EXgQaJT7iLwIBYHxHFHFfm2MZfz4UuvPsDU63pk/aO9QK3pk/aO9QBs1F0O&#10;Ds2+hYjRdDg7NvoWAnPI6NrVZC+VVcjVRitRURV59apqTn+/7kUw0tu1sTHvdkzbOFqKqq11K5bk&#10;+5EmvX+yJeZ1eY0zJzJ+WGuoayOCyWsjxPfaVLK589e1zVRM58KanKqPW979bUu+9Ebz0bmi3oig&#10;AAAAAAA4+AB3DnQAAZjI37X2H+fg/cadUnK2Rv2vsP8APwfuNOqSg1xnp5LPQMsgAKZvgAAAAAAA&#10;AAAAAAAAAAAAAAAAAAAAAAAAAAAAAAAANTremT9o71AremT9o71AGzUXQ4Ozb6FiNF0ODs2+hYAv&#10;MaNk1EylrLMlZQVNNR1SvbSols1E6t+Fzv4kDvgTUjr7ldct3903C0LPo7SgzFo0lPVw34s3PG2R&#10;t/33Kl1546LJyxKGpZU0VjWbTVDL8MsNKxjm3pctyol6alEbydzIVdTBR08lRVzRQQRpe+SV6Na1&#10;PvVV1IeSW27KhpaeqmtOhjpqhboZXVDEZIv3NW+5f9Bb9Y2z7LlqnUc9a6NWqyGCJZHq69LlRERV&#10;1Lrvu1XXmlNjbTU+dWhr6tlVRVUSo2gm1TySI9zcDmorGOV1yK5Ebc3WpF++/fcmz9FB5rMikgs2&#10;kinW+aOJjXrffe5ERF1lpEkW7NuY378Tb/8A9QymLTZjE3i77BHDUb2Ly19ww1G9i8tfcQlyIADu&#10;HOgAAzGRv2vsP8/B+406pOVcjr/pdYmFURdOguVUv/6jTqTDUb2Ly19xQa4z08lnoGWVgRw1G9i8&#10;tfcMNRvYvLX3FM31gRw1G9i8tfcMNRvYvLX3AWBHDUb2Ly19ww1G9i8tfcBYEcNRvYvLX3DDUb2L&#10;y19wFgRw1G9i8tfcMNRvYvLX3AWBHDUb2Ly19ww1G9i8tfcBYEcNRvYvLX3DDUb2Ly19wFgRw1G9&#10;i8tfcMNRvYvLX3AWBHDUb2Ly19ww1G9i8tfcBYEcNRvYvLX3DDUb2Ly19wFgRw1G9i8tfcMNRvYv&#10;LX3AWBHDUb2Ly19ww1G9i8tfcBYEcNRvYvLX3DDUb2Ly19wFgRw1G9i8tfcMNRvYvLX3AWBHDUb2&#10;Ly19ww1G9i8tfcBYHxGkiX5xzHfdhbd/+qfYGp1vTJ+0d6gVvTJ+0d6gDZqLocHZt9CxGi6HB2bf&#10;QsAAAAAAAAAAAHHwAO4c6AADMZG/a+w/z8H7jTqk5WyN+19h/n4P3GnVJQa4z08lnoGWQAFM3wAA&#10;AAAAAAAAAAAAAAAAAAAAAAAAAAAAAAAAAAAAAGp1vTJ+0d6gVvTJ+0d6gDZqLocHZt9CxGi6HB2b&#10;fQsAAAAHmtJs7qGZKSZsE2HVIrMeH77kvuvuvuv1X86LzLqS2jatdZlnpDaL6SbknTpJWRRuWWS5&#10;tyKjmqiNvvVUREVb9SpcRfvrP+Jt33zbsDz2dULV2fS1Dmo1ZomyK1PleiLcVkljiuzj2Mv5sS3X&#10;mUxabSxibxd9gjpdPv4vGg0un38XjQhLkQAHcOdAABmMjftfYf5+D9xp1Scq5HKjcrrEVyoiJXQK&#10;qr8v4jTqTS6ffxeNCg1xnp5LPQMsrAjpdPv4vGg0un38XjQpm+sCOl0+/i8aDS6ffxeNALHktesW&#10;z7KrKxIXzrTxOlSJnO+5L7kK6XT7+LxoeK244LTsirom1zKd08asSVrkVW3/ANL9afenzS9CJvbY&#10;mN+15ckrdfb1NUyuipEbFLm2zUdVpMEqYUW9kmFt9yqqKl2pU5zOmu5L2dHYyVjpq6z3vqXtdm6O&#10;BKaFmFqN+FmN2tbta367k+4zml0+/i8aGU/RjF/VYEdLp9/F40Gl0+/i8aEJWBHS6ffxeNBpdPv4&#10;vGgFgR0un38XjQaXT7+LxoBYEdLp9/F40Gl0+/i8aAWBHS6ffxeNBpdPv4vGgFgR0un38XjQaXT7&#10;+LxoBYEdLp9/F40Gl0+/i8aAWBHS6ffxeNBpdPv4vGgFgR0un38XjQaXT7+LxoBYEdLp9/F40Gl0&#10;+/i8aAWBHS6ffxeNBpdPv4vGgFgfEcsct+bex93PhW+4+wNTremT9o71AremT9o71AGzUXQ4Ozb6&#10;FiNF0ODs2+hYAAAIV1LHW0slPOsqRv1KsUr4nc/yc1UVP9FMS7JSyHUdNSuhqFhp2OjjRaua/A66&#10;9irjvcxbk+FVVurmM6ADURrURqIiJqRE+QAAAADj4AHcOdAABmMjftfYf5+D9xp1ScrZG/a+w/z8&#10;H7jTqkoNcZ6eSz0DLIACmb4eO17TpLHs6WutGXM0sV2N+FXXXqiJqRFXnVD2Gn/4u/8ALy1v/F+8&#10;w9MGiMTEpon1mIYYlXw0zVHofWVkl+Lf7ab2D6yskvxb/bTew5uBf/KMH3n7fhW+exPaO/5dI/WV&#10;kl+Lf7ab2D6yskvxb/bTew5uA+UYPvP2/B57E9o7/l1Tk9lLZOUWkcj1ekZjDnP4b2YcV938yJf/&#10;ACrzGYPx/wD4fP8Av/8A6/8A9D9gKXS8GnAxpw6d0fhYYGJOJRFUgANZ6gAAAGNtm2IbJdSNmgqZ&#10;dJmZCjoo72sVzmtRXOW5ES9yar7113Ity3PoMkAAAAAAAAAAABjW2xC631snMVKTZl0ySujwxqjV&#10;aioirrVfjbrRFTnS+9FQfQZIAAAAAAAGp1vTJ+0d6gVvTJ+0d6gDZqLocHZt9CxGi6HB2bfQsAAA&#10;AA8Fr2m2zkga2mqKuonerIoKfDjdciqq3uc1qIiJzqqd6oB7weazK2K0bPgrKdHpHMxHI16XOb96&#10;KnyVF1Kn3oekAAAOPgAdw50AAGYyN+19h/n4P3GnVJytkb9r7D/PwfuNOqSg1xnp5LPQMsgAKZvh&#10;p/8Ai7/y8tb/AMX7zDcDT/8AF3/l5a3/AIv3mHvov61HOP7eeN+nVylzcADsVCAAD9h/4fP+/wD/&#10;AK//AND9gPx//h8/7/8A+v8A/Q/YDldZf9NX8f1C50T9GO/UABotkAPHaFqWfZub5RrqWkzl+DPz&#10;NjxXXX3XrruvTvJiJmbQiZtvewwGV9JaldS0sNkwUUqsqIp5Fqql8N2bka9ETDG++/CqfK7+pf6U&#10;ZP8A45ZX6uPiPpRk/wDjllfq4+Jl4Ve+0o+On3ZdiuVjVeiI+7WiLeiL/c/ph/pRk/8Ajllfq4+I&#10;+lGT/wCOWV+rj4k+FXwyfHT7swCNHVU9bTsqKOeKogffhkiej2uuW5blTVzoqFjzmLbJZAAAAGKm&#10;yjsOCaSKe2bNjljcrHsfVMRzVTUqKirqUyppmrdCJmI3sqa/UUlrPyxpa5lNQcmw08lOr1qnpKqP&#10;Vjldgzd2pWXXYtd996cx6PpRk/8Ajllfq4+I+lGT/wCOWV+rj4mUYVd72lHx07rswDD/AEoyf/HL&#10;K/Vx8R9KMn/xyyv1cfEeFXwyfHT7swADzZAAA1Ot6ZP2jvUCt6ZP2jvUAbNRdDg7NvoWI0XQ4Ozb&#10;6FgAAAGIt2jrZaigrLNbTyVFLI5ViqJHRte1zFavxI1yoqLcvMvz/uZcAeCwaF9m2RTUsz2vlY1V&#10;e5qXNVyqqrd/S9VuPZIxz7sMj2XbN2vvRT7AEcy/rMvc32jMv6zL3N9pYAaT9V+S3Upf1D+I+q/J&#10;bqUv6h/E2O3bYSx6dZ5KKsqYWMdJK+BrbomN53OxOS/+yXrqXUfVqWqyhZTZunnrJql2GGGnw4n6&#10;lcq3uc1qIiJzqqfL5qh7+axuOesvPwcPhjo1r6r8lupS/qH8R9V+S3Upf1D+JtNJaUVXZDLRp45n&#10;xvjziRoz+J//ADh2r9V33kbMtiKuhrHSQT0clG/BPFUYcTFwo6+9jnIqYXIupVE6VjR++esng4c/&#10;tjowVF/hxk3RVkFVTUsrJ4JGyxuz7lwuat6Lcq3c6G1Zl/WZe5vtMdYluxWrI6NKSrpX5pk7EqGt&#10;TORuvuemFy/dzLcqfNDLnnXiV17a5mebKmmmnLCOZf1mXub7RmX9Zl7m+0sDBkjmX9Zl7m+08dr2&#10;NT2xZ0tDaL5ZqWW7Gy9G33KiprREXnRDJAmJmJvCJi+yWk/Vfkt1KX9Q/iPqvyW6lL+ofxNipbYb&#10;Na7rPkoqynfgfJFJK1qMlaxyNcrbnK5Nbk/mRL79V5J2UECWslFo1Usee0ZatGtzKS4cWD+bFfdq&#10;vw3Xrdfee0aVjT++essPBw+GOjBfVfkt1KX9Q/iPqvyW6lL+ofxNjt22Esenz8lFWVMLWuklfA1t&#10;0TE53OxOS/8Asl6/0Pu1rUbZ6UzWUtRVz1DlbFBTo3E65quVb3ua1ERE+ajzWNxz1k8HD4Y6PDk9&#10;kpZmTukcjtlp8/hznx48WG+7+a+7+ZeYzGZf1mXub7T4s2titGgp6ymxZqZiPbiS5Uv+Sp8lPSeV&#10;dVVU3qm8s6YiItCOZf1mXub7RmX9Zl7m+0sDFKOZf1mXub7TD5Q5KWZlFo/LDZajMYs38eDDiuv/&#10;AJbr/wCVOczx/HORrVc5URqJeqr8jKmuaJ+KmbSiaYqi0w0r6r8lupS/qH8R9V+S3Upf1D+JslkW&#10;zTWpQzVcLZI4InuarpURL0REXElyr8KoqKl+v+iErFt2K1ZnRJSVdK5Ymzx6Q1qZ2NyqiPbhcv3a&#10;0W5UvS9NZ6+Zx+OessPBw+GOjAfVfkt1KX9Q/iPqvyW6lL+ofxNlmtenitqCy8Mj6iVivVzUTDHq&#10;VUR2u+9Ua665F5vlqPPaOUEFDXrTPpqqVkebz88bW5uDOOwtxXuRy3rsotya1uHmsbjnrJ4OHwx0&#10;Xsixqex7OiobOfLDSxX4GXo669VVdaoq86qezMv6zL3N9pYHjMzM3lnEW2QjmX9Zl7m+0Zl/WZe5&#10;vtLAhKOZf1mXub7TVa3/AA4ybrayeqqaWV888jpZHZ9yYnOW9VuRbudTcDwWxaXJzKfBR1NZLUS5&#10;qOKnViOVcLnX3vc1Lrmr8zOjErw9tEzHJjVRTVmi7WPqvyW6lL+ofxH1X5LdSl/UP4mz19ptobOZ&#10;VT08+cerGNpm4Vkc9yoiM58N968993Ot92s+rJtFlpUjpmRTQPY90UkMyIj43tW5UW5VT+t6KqKi&#10;op6eaxuOessfBw+GOjVvqvyW6lL+ofxH1X5LdSl/UP4myWFarrWpW1PJ9XSQva18TqhYv4jXJeio&#10;jHuu+XPdzkLOyggrq9KZlNVRMkzmYnka3Nz5t2F2G5yuS5V/zIl6a0vHmce9vjnrJ4OHwx0ZPMv6&#10;zL3N9ozL+sy9zfaWB4PR8Rscy/FI99+1dq7kQ+wANTremT9o71AremT9o71AGzUXQ4Ozb6FiNF0O&#10;Ds2+hYAAAAAAAAAAAMFlRS2rWpTwWfDRTUKqq1Uc9Q6F0iJdcxFSN/wrrxJdrTV94tSltWeooqul&#10;godIpJFVsUlQ9GSMdHc69yRqrVRy6tS3onyv1Z0Aa/Z9iT2ZZbX00mdtZkDmtSSplbTLIt6640VU&#10;RL158OK75n9sKktOmonRWhSULpZpFdUSNq3SZ29q3uW+Jv3NajeZG/PVcufAGtZLWBJZtbUVdREy&#10;BXRNp4oGVs1U1jGqq6nSIl196JhaiImH536tlAAAAAAANZpbJr4bcqLRjo7MpnYJEXR5XNWtcqpg&#10;Wb4PhVERdfxr8S3f1+XWJaElovjetK2zX1qVyyNlfnkXAiYETCifzJfixX3arr9ZtAEbLd/Una1e&#10;3cn5Z6GGjoKalqWNR6sqLQqpXz0si3XSRvcj3Kqc92JvMlyp8vRblm1lbRxxtpaeomp3pmZnWhNT&#10;PuwXK/HGzEiqqqmFFuVPn8jYAB4bCs5tk2PSUDX48xGjFfr+JfmutVXWt/OqnuAG8jYAAAeS16Ft&#10;p2bUUT5poGTNwOkhVMSJ87r0VNfNrTmU9YA16zLFraKGvgmrH1sdbM5XPmcxjo2Ky69EZGiK69E1&#10;aku+fyXzWZYFbMrOW3RxpBSspI9AqpWOejVvV6uTA5t9yfCir871U2oDv/Dv/WtLk1PDbdPXU1q1&#10;qxJO6eSCVY1Rb2YURHZtXXXIia3X3c2sjbOT9Ra9dTyTUtPTo9IlqpYq+a9cDsWDNI1rJE+SOfzX&#10;rq1XLtYAAAAAABicpKJ9fRshbZVmWm3HiWK0H4WNW5bnJ/Dfeuv7k5+cywImLjWXWPaUdhUFFE6m&#10;mnoMxJHLLK5Elexfia5MKq1t2pHXuX701a/RZViyRI6rrXO5QdNJUZqCrlbAiu5mqiXI9ERE1ub9&#10;63JzGeBPvPfeyBrFg2NV2ZWVdVDZ1k0DZmxx6HRyuSNbnKrpHOzbfiudciYddyXu+5ZWTz4Molr3&#10;wRU1PCkqQxR1s0yOV7r1dgciMi1IupqLerl16tezgAAAAAA1Ot6ZP2jvUCt6ZP2jvUAbNRdDg7Nv&#10;oWI0XQ4Ozb6FgAAAAAAAAAAAAAAAAAAAAAAAAAAAGDyhtmqs2ohp6Ggjq5ZIJqhc5UZprWx4L9eF&#10;16rj1auKZw81TQU1TO2aePFI2J8KLiVPgfhxJqX54W9xE39Exa+1rkeVky0NRPLQQwOSCGppmyVD&#10;nZ2OVytajsEblR+r+VqPvVURFUguWytsptRPSU9JPpi0bkrah9PC1Ujzl6vfGjkvS5ERWJeq/drM&#10;9Nk/ZksCQvp1wNhjgarZXtc1sa3suci3oqLrxIt/9TF2lkfE+mhjsiqkoXMqHVD3PknkWVzmYVVX&#10;tlZJfdd/nuX5opM+tu9v4RH172fl5EywtBaFankRiNioGWjUNWruVkblf8Lb2fE65l9y3Jzpemq/&#10;0W/bFoU6WlyZc6WGWkRqTSNaxrZHIi3XRquvmW+/nvS665cpRWBTx2c+nrnyVks9MlJUTSPffKxM&#10;S3a3KqJ8brlvV13OqrrPTVWPQ1LKps0KqlSjElVsjmquD+VUVFvaqfelykz9Dvv7vA+35IoaxZ6R&#10;iS0tZT0b2smxNVZc1eqKrU1Jnfu14flfqxVVb9XUWjZc7adILJ0+aLPMqFV8qRxTIqPjwpc1XMVU&#10;+Jf5UvRDNS5MWVLVNqJIJnStWNyqtTKqOdHdge5MVznJcnxKirquvPqLJyy4q9KxlO/PJI6ZqLM9&#10;WMe5FRzmsV2FqriW+5Evv1kd/wBf+no8eSeUk1vOeslmT0kSxtmikcyVGva75Kr42Ji5l+FXJr5z&#10;YzH2VZFJZSPbQpUMjciIkb6mSRjETmRjXOVGJ/RqIZAmQABAAAAAAAAAAAAAAAAAAADU63pk/aO9&#10;QK3pk/aO9QBs1F0ODs2+hYxNPa0EVPFG5kt7Wo1bkT5J/c++WafYl7k4gZMGM5Zp9iXuTiOWafYl&#10;7k4gZMGM5Zp9iXuTiOWafYl7k4gZMGM5Zp9iXuTiOWafYl7k4gZMGM5Zp9iXuTiOWafYl7k4gZMG&#10;M5Zp9iXuTiOWafYl7k4gZMGM5Zp9iXuTiOWafYl7k4gZMGM5Zp9iXuTiOWafYl7k4gZMGM5Zp9iX&#10;uTiOWafYl7k4gZMGM5Zp9iXuTiOWafYl7k4gZMGM5Zp9iXuTiOWafYl7k4gZMGM5Zp9iXuTiOWaf&#10;Yl7k4gZMGM5Zp9iXuTiOWafYl7k4gZMGM5Zp9iXuTiOWafYl7k4gZMGM5Zp9iXuTiOWafYl7k4gZ&#10;MGM5Zp9iXuTiOWafYl7k4gZMGM5Zp9iXuTiOWafYl7k4gZMGM5Zp9iXuTiOWafYl7k4gZMGM5Zp9&#10;iXuTiOWafYl7k4gZMGM5Zp9iXuTiOWafYl7k4gZMGM5Zp9iXuTiOWafYl7k4gZMGM5Zp9iXuTiOW&#10;afYl7k4gZMGM5Zp9iXuTiOWafYl7k4gZMGM5Zp9iXuTiOWafYl7k4gYat6ZP2jvUH8qHJLUSyN5n&#10;OVyX/wBVAH//2VBLAQItABQABgAIAAAAIQCKFT+YDAEAABUCAAATAAAAAAAAAAAAAAAAAAAAAABb&#10;Q29udGVudF9UeXBlc10ueG1sUEsBAi0AFAAGAAgAAAAhADj9If/WAAAAlAEAAAsAAAAAAAAAAAAA&#10;AAAAPQEAAF9yZWxzLy5yZWxzUEsBAi0AFAAGAAgAAAAhACblx+bWAwAAuwgAAA4AAAAAAAAAAAAA&#10;AAAAPAIAAGRycy9lMm9Eb2MueG1sUEsBAi0AFAAGAAgAAAAhAFhgsxu6AAAAIgEAABkAAAAAAAAA&#10;AAAAAAAAPgYAAGRycy9fcmVscy9lMm9Eb2MueG1sLnJlbHNQSwECLQAUAAYACAAAACEAvGIuP9wA&#10;AAAFAQAADwAAAAAAAAAAAAAAAAAvBwAAZHJzL2Rvd25yZXYueG1sUEsBAi0ACgAAAAAAAAAhAOma&#10;vl1EJQAARCUAABUAAAAAAAAAAAAAAAAAOAgAAGRycy9tZWRpYS9pbWFnZTEuanBlZ1BLBQYAAAAA&#10;BgAGAH0BAACvL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alt="Chart, bar chart&#10;&#10;Description automatically generated" style="position:absolute;left:438;top:438;width:30906;height:21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TQrwAAAANsAAAAPAAAAZHJzL2Rvd25yZXYueG1sRE/fa8Iw&#10;EH4X/B/CDfam6cqY2hllFAZ7mqwNPh/N2ZQ1l9pk2v33ZjDw7T6+n7fdT64XFxpD51nB0zIDQdx4&#10;03GrQNfvizWIEJEN9p5JwS8F2O/msy0Wxl/5iy5VbEUK4VCgAhvjUEgZGksOw9IPxIk7+dFhTHBs&#10;pRnxmsJdL/Mse5EOO04NFgcqLTXf1Y9TwGw+D3pzPNq6zM/PWne9W1VKPT5Mb68gIk3xLv53f5g0&#10;fwN/v6QD5O4GAAD//wMAUEsBAi0AFAAGAAgAAAAhANvh9svuAAAAhQEAABMAAAAAAAAAAAAAAAAA&#10;AAAAAFtDb250ZW50X1R5cGVzXS54bWxQSwECLQAUAAYACAAAACEAWvQsW78AAAAVAQAACwAAAAAA&#10;AAAAAAAAAAAfAQAAX3JlbHMvLnJlbHNQSwECLQAUAAYACAAAACEALjk0K8AAAADbAAAADwAAAAAA&#10;AAAAAAAAAAAHAgAAZHJzL2Rvd25yZXYueG1sUEsFBgAAAAADAAMAtwAAAPQCAAAAAA==&#10;">
                  <v:imagedata r:id="rId38" o:title="Chart, bar chart&#10;&#10;Description automatically generated"/>
                  <v:path arrowok="t"/>
                </v:shape>
                <v:shapetype id="_x0000_t202" coordsize="21600,21600" o:spt="202" path="m,l,21600r21600,l21600,xe">
                  <v:stroke joinstyle="miter"/>
                  <v:path gradientshapeok="t" o:connecttype="rect"/>
                </v:shapetype>
                <v:shape id="Text Box 2" o:spid="_x0000_s1028" type="#_x0000_t202" style="position:absolute;top:219;width:3683;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3404D76A" w14:textId="3467A62E" w:rsidR="003E564E" w:rsidRDefault="003E564E" w:rsidP="00EB5C8F"/>
                    </w:txbxContent>
                  </v:textbox>
                </v:shape>
                <w10:anchorlock/>
              </v:group>
            </w:pict>
          </mc:Fallback>
        </mc:AlternateContent>
      </w:r>
    </w:p>
    <w:p w14:paraId="4164347C" w14:textId="79BA7AFF" w:rsidR="00EB5C8F" w:rsidRDefault="00EB5C8F" w:rsidP="00EB5C8F">
      <w:pPr>
        <w:spacing w:after="0" w:line="240" w:lineRule="auto"/>
        <w:ind w:firstLine="709"/>
        <w:jc w:val="center"/>
        <w:rPr>
          <w:rFonts w:ascii="Times New Roman" w:hAnsi="Times New Roman" w:cs="Times New Roman"/>
          <w:b/>
          <w:sz w:val="24"/>
        </w:rPr>
      </w:pPr>
      <w:r>
        <w:rPr>
          <w:rFonts w:ascii="Times New Roman" w:hAnsi="Times New Roman" w:cs="Times New Roman"/>
          <w:b/>
          <w:noProof/>
          <w:sz w:val="24"/>
        </w:rPr>
        <w:lastRenderedPageBreak/>
        <w:drawing>
          <wp:inline distT="0" distB="0" distL="0" distR="0" wp14:anchorId="020D8AA4" wp14:editId="315EB24E">
            <wp:extent cx="4972685" cy="2764952"/>
            <wp:effectExtent l="0" t="0" r="0" b="0"/>
            <wp:docPr id="24" name="Picture 2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10;&#10;Description automatically generated"/>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79548" cy="2768768"/>
                    </a:xfrm>
                    <a:prstGeom prst="rect">
                      <a:avLst/>
                    </a:prstGeom>
                    <a:noFill/>
                    <a:ln>
                      <a:noFill/>
                    </a:ln>
                  </pic:spPr>
                </pic:pic>
              </a:graphicData>
            </a:graphic>
          </wp:inline>
        </w:drawing>
      </w:r>
    </w:p>
    <w:p w14:paraId="3C3E597B" w14:textId="77777777" w:rsidR="00EB5C8F" w:rsidRPr="00401D9A" w:rsidRDefault="00EB5C8F" w:rsidP="00EB5C8F">
      <w:pPr>
        <w:spacing w:after="0" w:line="240" w:lineRule="auto"/>
        <w:jc w:val="center"/>
        <w:rPr>
          <w:rFonts w:ascii="Times New Roman" w:hAnsi="Times New Roman" w:cs="Times New Roman"/>
          <w:i/>
          <w:sz w:val="20"/>
          <w:szCs w:val="20"/>
        </w:rPr>
      </w:pPr>
      <w:r w:rsidRPr="00401D9A">
        <w:rPr>
          <w:rFonts w:ascii="Times New Roman" w:hAnsi="Times New Roman" w:cs="Times New Roman"/>
          <w:i/>
          <w:sz w:val="20"/>
          <w:szCs w:val="20"/>
        </w:rPr>
        <w:t>Izvor. Seizmološka služba RH</w:t>
      </w:r>
    </w:p>
    <w:p w14:paraId="3EFB94C2" w14:textId="77777777" w:rsidR="00EB5C8F" w:rsidRDefault="00EB5C8F" w:rsidP="00EB5C8F">
      <w:pPr>
        <w:spacing w:after="0" w:line="240" w:lineRule="auto"/>
        <w:ind w:firstLine="709"/>
        <w:rPr>
          <w:rFonts w:ascii="Times New Roman" w:hAnsi="Times New Roman" w:cs="Times New Roman"/>
          <w:sz w:val="24"/>
        </w:rPr>
      </w:pPr>
    </w:p>
    <w:p w14:paraId="1222E419" w14:textId="77777777" w:rsidR="00EB5C8F" w:rsidRDefault="00EB5C8F" w:rsidP="00EB5C8F">
      <w:pPr>
        <w:spacing w:after="0" w:line="240" w:lineRule="auto"/>
        <w:ind w:left="0" w:right="0" w:firstLine="709"/>
        <w:rPr>
          <w:rFonts w:ascii="Times New Roman" w:hAnsi="Times New Roman" w:cs="Times New Roman"/>
          <w:sz w:val="24"/>
        </w:rPr>
      </w:pPr>
      <w:r w:rsidRPr="007563BF">
        <w:rPr>
          <w:rFonts w:ascii="Times New Roman" w:hAnsi="Times New Roman" w:cs="Times New Roman"/>
          <w:sz w:val="24"/>
        </w:rPr>
        <w:t xml:space="preserve">Prema podacima Seizmološke službe </w:t>
      </w:r>
      <w:r>
        <w:rPr>
          <w:rFonts w:ascii="Times New Roman" w:hAnsi="Times New Roman" w:cs="Times New Roman"/>
          <w:sz w:val="24"/>
        </w:rPr>
        <w:t>RH u</w:t>
      </w:r>
      <w:r w:rsidRPr="00A0564F">
        <w:rPr>
          <w:rFonts w:ascii="Times New Roman" w:hAnsi="Times New Roman" w:cs="Times New Roman"/>
          <w:sz w:val="24"/>
        </w:rPr>
        <w:t xml:space="preserve"> zagrebačkoj seriji potresa, prema opisnoj klasifikaciji po procijenjenom maksimalnom intenzitetu potresa u epicentralnom području, dogodili su se sljedeći potresi u razdoblju od 22. ožujka do 31. prosinca 2021.:</w:t>
      </w:r>
    </w:p>
    <w:p w14:paraId="55C62335" w14:textId="77777777" w:rsidR="00EB5C8F" w:rsidRDefault="00EB5C8F" w:rsidP="0014113B">
      <w:pPr>
        <w:pStyle w:val="ListParagraph"/>
        <w:numPr>
          <w:ilvl w:val="0"/>
          <w:numId w:val="2"/>
        </w:numPr>
        <w:spacing w:after="0" w:line="240" w:lineRule="auto"/>
        <w:ind w:right="0"/>
        <w:rPr>
          <w:rFonts w:ascii="Times New Roman" w:hAnsi="Times New Roman" w:cs="Times New Roman"/>
          <w:sz w:val="24"/>
        </w:rPr>
      </w:pPr>
      <w:r w:rsidRPr="00524B1D">
        <w:rPr>
          <w:rFonts w:ascii="Times New Roman" w:hAnsi="Times New Roman" w:cs="Times New Roman"/>
          <w:sz w:val="24"/>
        </w:rPr>
        <w:t>2 jaka potresa (glavni potres koji se dogodio 22.</w:t>
      </w:r>
      <w:r>
        <w:rPr>
          <w:rFonts w:ascii="Times New Roman" w:hAnsi="Times New Roman" w:cs="Times New Roman"/>
          <w:sz w:val="24"/>
        </w:rPr>
        <w:t xml:space="preserve"> </w:t>
      </w:r>
      <w:r w:rsidRPr="00524B1D">
        <w:rPr>
          <w:rFonts w:ascii="Times New Roman" w:hAnsi="Times New Roman" w:cs="Times New Roman"/>
          <w:sz w:val="24"/>
        </w:rPr>
        <w:t>ožujka magnitude M5.5, bio je intenziteta VII stupnjeva  EMS ljestvice)</w:t>
      </w:r>
    </w:p>
    <w:p w14:paraId="0603F5CD" w14:textId="77777777" w:rsidR="00EB5C8F" w:rsidRDefault="00EB5C8F" w:rsidP="0014113B">
      <w:pPr>
        <w:pStyle w:val="ListParagraph"/>
        <w:numPr>
          <w:ilvl w:val="0"/>
          <w:numId w:val="2"/>
        </w:numPr>
        <w:spacing w:after="0" w:line="240" w:lineRule="auto"/>
        <w:ind w:right="0"/>
        <w:rPr>
          <w:rFonts w:ascii="Times New Roman" w:hAnsi="Times New Roman" w:cs="Times New Roman"/>
          <w:sz w:val="24"/>
        </w:rPr>
      </w:pPr>
      <w:r w:rsidRPr="00524B1D">
        <w:rPr>
          <w:rFonts w:ascii="Times New Roman" w:hAnsi="Times New Roman" w:cs="Times New Roman"/>
          <w:sz w:val="24"/>
        </w:rPr>
        <w:t>6 umjerenih potresa (od IV stupnja do V stupnja EMS)</w:t>
      </w:r>
    </w:p>
    <w:p w14:paraId="25C75AB6" w14:textId="77777777" w:rsidR="00EB5C8F" w:rsidRDefault="00EB5C8F" w:rsidP="0014113B">
      <w:pPr>
        <w:pStyle w:val="ListParagraph"/>
        <w:numPr>
          <w:ilvl w:val="0"/>
          <w:numId w:val="2"/>
        </w:numPr>
        <w:spacing w:after="0" w:line="240" w:lineRule="auto"/>
        <w:ind w:right="0"/>
        <w:rPr>
          <w:rFonts w:ascii="Times New Roman" w:hAnsi="Times New Roman" w:cs="Times New Roman"/>
          <w:sz w:val="24"/>
        </w:rPr>
      </w:pPr>
      <w:r w:rsidRPr="00524B1D">
        <w:rPr>
          <w:rFonts w:ascii="Times New Roman" w:hAnsi="Times New Roman" w:cs="Times New Roman"/>
          <w:sz w:val="24"/>
        </w:rPr>
        <w:t>44 slaba potresa (intenziteta od III stupnja do IV stupnja EMS ljestvice)</w:t>
      </w:r>
    </w:p>
    <w:p w14:paraId="451428FC" w14:textId="7AB7F319" w:rsidR="00EB5C8F" w:rsidRPr="00524B1D" w:rsidRDefault="00EB5C8F" w:rsidP="0014113B">
      <w:pPr>
        <w:pStyle w:val="ListParagraph"/>
        <w:numPr>
          <w:ilvl w:val="0"/>
          <w:numId w:val="2"/>
        </w:numPr>
        <w:spacing w:after="0" w:line="240" w:lineRule="auto"/>
        <w:ind w:right="0"/>
        <w:rPr>
          <w:rFonts w:ascii="Times New Roman" w:hAnsi="Times New Roman" w:cs="Times New Roman"/>
          <w:sz w:val="24"/>
        </w:rPr>
      </w:pPr>
      <w:r w:rsidRPr="00524B1D">
        <w:rPr>
          <w:rFonts w:ascii="Times New Roman" w:hAnsi="Times New Roman" w:cs="Times New Roman"/>
          <w:sz w:val="24"/>
        </w:rPr>
        <w:t>220 vrlo slaba potresa (intenziteta od II stupnja do III stupnja EMS ljestvice)</w:t>
      </w:r>
      <w:r>
        <w:rPr>
          <w:rFonts w:ascii="Times New Roman" w:hAnsi="Times New Roman" w:cs="Times New Roman"/>
          <w:sz w:val="24"/>
        </w:rPr>
        <w:t>.</w:t>
      </w:r>
    </w:p>
    <w:p w14:paraId="06500225" w14:textId="77777777" w:rsidR="00EA3C22" w:rsidRDefault="00EA3C22" w:rsidP="00EA3C22">
      <w:pPr>
        <w:spacing w:after="0" w:line="240" w:lineRule="auto"/>
        <w:ind w:left="0" w:right="0" w:firstLine="0"/>
        <w:rPr>
          <w:rFonts w:ascii="Times New Roman" w:hAnsi="Times New Roman" w:cs="Times New Roman"/>
          <w:b/>
          <w:color w:val="auto"/>
          <w:sz w:val="24"/>
        </w:rPr>
      </w:pPr>
    </w:p>
    <w:p w14:paraId="4F6B07B6" w14:textId="6AB9237A" w:rsidR="00EA3C22" w:rsidRPr="006218CF" w:rsidRDefault="00EA3C22" w:rsidP="00401D9A">
      <w:pPr>
        <w:spacing w:line="240" w:lineRule="auto"/>
        <w:ind w:left="0" w:right="0" w:firstLine="0"/>
        <w:jc w:val="center"/>
        <w:rPr>
          <w:rFonts w:ascii="Times New Roman" w:hAnsi="Times New Roman" w:cs="Times New Roman"/>
          <w:b/>
          <w:color w:val="auto"/>
          <w:sz w:val="24"/>
        </w:rPr>
      </w:pPr>
      <w:r w:rsidRPr="00AC32CB">
        <w:rPr>
          <w:rFonts w:ascii="Times New Roman" w:hAnsi="Times New Roman" w:cs="Times New Roman"/>
          <w:b/>
          <w:color w:val="auto"/>
          <w:sz w:val="24"/>
        </w:rPr>
        <w:t xml:space="preserve">Slika </w:t>
      </w:r>
      <w:r w:rsidR="0060440C">
        <w:rPr>
          <w:rFonts w:ascii="Times New Roman" w:hAnsi="Times New Roman" w:cs="Times New Roman"/>
          <w:b/>
          <w:color w:val="auto"/>
          <w:sz w:val="24"/>
        </w:rPr>
        <w:t>7</w:t>
      </w:r>
      <w:r w:rsidRPr="00AC32CB">
        <w:rPr>
          <w:rFonts w:ascii="Times New Roman" w:hAnsi="Times New Roman" w:cs="Times New Roman"/>
          <w:b/>
          <w:color w:val="auto"/>
          <w:sz w:val="24"/>
        </w:rPr>
        <w:t xml:space="preserve">. </w:t>
      </w:r>
      <w:r w:rsidRPr="006218CF">
        <w:rPr>
          <w:rFonts w:ascii="Times New Roman" w:hAnsi="Times New Roman" w:cs="Times New Roman"/>
          <w:b/>
          <w:color w:val="auto"/>
          <w:sz w:val="24"/>
        </w:rPr>
        <w:t>Karta žarišta s prijavama za brzi pregled oštećenja zgrada nakon potresa, stanje 22. 9. 2020.</w:t>
      </w:r>
    </w:p>
    <w:p w14:paraId="4D556859" w14:textId="103A6849" w:rsidR="00EB5C8F" w:rsidRDefault="00EB5C8F" w:rsidP="00524B1D">
      <w:pPr>
        <w:ind w:left="0" w:firstLine="0"/>
        <w:jc w:val="center"/>
        <w:rPr>
          <w:rFonts w:ascii="Times New Roman" w:hAnsi="Times New Roman" w:cs="Times New Roman"/>
          <w:color w:val="auto"/>
          <w:sz w:val="24"/>
        </w:rPr>
      </w:pPr>
      <w:r>
        <w:rPr>
          <w:rFonts w:ascii="Times New Roman" w:hAnsi="Times New Roman" w:cs="Times New Roman"/>
          <w:noProof/>
          <w:color w:val="auto"/>
          <w:sz w:val="24"/>
        </w:rPr>
        <w:drawing>
          <wp:inline distT="0" distB="0" distL="0" distR="0" wp14:anchorId="79545827" wp14:editId="4F602A5F">
            <wp:extent cx="3946525" cy="3429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46525" cy="3429000"/>
                    </a:xfrm>
                    <a:prstGeom prst="rect">
                      <a:avLst/>
                    </a:prstGeom>
                    <a:noFill/>
                  </pic:spPr>
                </pic:pic>
              </a:graphicData>
            </a:graphic>
          </wp:inline>
        </w:drawing>
      </w:r>
    </w:p>
    <w:p w14:paraId="1FC29466" w14:textId="37465BE0" w:rsidR="00EB5C8F" w:rsidRPr="00401D9A" w:rsidRDefault="00EA3C22" w:rsidP="00401D9A">
      <w:pPr>
        <w:spacing w:after="0" w:line="240" w:lineRule="auto"/>
        <w:ind w:left="0" w:right="0" w:firstLine="709"/>
        <w:jc w:val="center"/>
        <w:rPr>
          <w:rFonts w:ascii="Times New Roman" w:hAnsi="Times New Roman" w:cs="Times New Roman"/>
          <w:i/>
          <w:color w:val="auto"/>
          <w:sz w:val="20"/>
          <w:szCs w:val="20"/>
        </w:rPr>
      </w:pPr>
      <w:r w:rsidRPr="00401D9A">
        <w:rPr>
          <w:rFonts w:ascii="Times New Roman" w:hAnsi="Times New Roman" w:cs="Times New Roman"/>
          <w:i/>
          <w:color w:val="auto"/>
          <w:sz w:val="20"/>
          <w:szCs w:val="20"/>
        </w:rPr>
        <w:t>Izvor: Izvješće Gradskog ureda za strategijsko planiranje i razvoj grada</w:t>
      </w:r>
    </w:p>
    <w:p w14:paraId="57C6E099" w14:textId="5696D726" w:rsidR="00EA3C22" w:rsidRDefault="00EB5C8F" w:rsidP="00EA3C22">
      <w:pPr>
        <w:spacing w:after="0" w:line="240" w:lineRule="auto"/>
        <w:ind w:left="0" w:right="0" w:firstLine="709"/>
        <w:rPr>
          <w:rFonts w:ascii="Times New Roman" w:hAnsi="Times New Roman" w:cs="Times New Roman"/>
          <w:color w:val="auto"/>
          <w:sz w:val="24"/>
        </w:rPr>
      </w:pPr>
      <w:r w:rsidRPr="00613F43">
        <w:rPr>
          <w:rFonts w:ascii="Times New Roman" w:hAnsi="Times New Roman" w:cs="Times New Roman"/>
          <w:color w:val="auto"/>
          <w:sz w:val="24"/>
        </w:rPr>
        <w:lastRenderedPageBreak/>
        <w:t>Do 22. rujna 2020., sveukupni broj pojedinačnih prijava za pregled građevina nakon potresa u Gradu Zagrebu</w:t>
      </w:r>
      <w:r>
        <w:rPr>
          <w:rFonts w:ascii="Times New Roman" w:hAnsi="Times New Roman" w:cs="Times New Roman"/>
          <w:color w:val="auto"/>
          <w:sz w:val="24"/>
        </w:rPr>
        <w:t xml:space="preserve"> </w:t>
      </w:r>
      <w:r w:rsidRPr="00613F43">
        <w:rPr>
          <w:rFonts w:ascii="Times New Roman" w:hAnsi="Times New Roman" w:cs="Times New Roman"/>
          <w:color w:val="auto"/>
          <w:sz w:val="24"/>
        </w:rPr>
        <w:t>iznosio je 4</w:t>
      </w:r>
      <w:r>
        <w:rPr>
          <w:rFonts w:ascii="Times New Roman" w:hAnsi="Times New Roman" w:cs="Times New Roman"/>
          <w:color w:val="auto"/>
          <w:sz w:val="24"/>
        </w:rPr>
        <w:t>1</w:t>
      </w:r>
      <w:r w:rsidRPr="00613F43">
        <w:rPr>
          <w:rFonts w:ascii="Times New Roman" w:hAnsi="Times New Roman" w:cs="Times New Roman"/>
          <w:color w:val="auto"/>
          <w:sz w:val="24"/>
        </w:rPr>
        <w:t xml:space="preserve"> </w:t>
      </w:r>
      <w:r>
        <w:rPr>
          <w:rFonts w:ascii="Times New Roman" w:hAnsi="Times New Roman" w:cs="Times New Roman"/>
          <w:color w:val="auto"/>
          <w:sz w:val="24"/>
        </w:rPr>
        <w:t>666</w:t>
      </w:r>
      <w:r w:rsidRPr="00613F43">
        <w:rPr>
          <w:rFonts w:ascii="Times New Roman" w:hAnsi="Times New Roman" w:cs="Times New Roman"/>
          <w:color w:val="auto"/>
          <w:sz w:val="24"/>
        </w:rPr>
        <w:t xml:space="preserve">, od čega je 16 </w:t>
      </w:r>
      <w:r>
        <w:rPr>
          <w:rFonts w:ascii="Times New Roman" w:hAnsi="Times New Roman" w:cs="Times New Roman"/>
          <w:color w:val="auto"/>
          <w:sz w:val="24"/>
        </w:rPr>
        <w:t>769</w:t>
      </w:r>
      <w:r w:rsidRPr="00613F43">
        <w:rPr>
          <w:rFonts w:ascii="Times New Roman" w:hAnsi="Times New Roman" w:cs="Times New Roman"/>
          <w:color w:val="auto"/>
          <w:sz w:val="24"/>
        </w:rPr>
        <w:t xml:space="preserve"> prijava nevaljano (duple prijave ili pogrešan unos), a 2</w:t>
      </w:r>
      <w:r>
        <w:rPr>
          <w:rFonts w:ascii="Times New Roman" w:hAnsi="Times New Roman" w:cs="Times New Roman"/>
          <w:color w:val="auto"/>
          <w:sz w:val="24"/>
        </w:rPr>
        <w:t>4</w:t>
      </w:r>
      <w:r w:rsidRPr="00613F43">
        <w:rPr>
          <w:rFonts w:ascii="Times New Roman" w:hAnsi="Times New Roman" w:cs="Times New Roman"/>
          <w:color w:val="auto"/>
          <w:sz w:val="24"/>
        </w:rPr>
        <w:t xml:space="preserve"> </w:t>
      </w:r>
      <w:r>
        <w:rPr>
          <w:rFonts w:ascii="Times New Roman" w:hAnsi="Times New Roman" w:cs="Times New Roman"/>
          <w:color w:val="auto"/>
          <w:sz w:val="24"/>
        </w:rPr>
        <w:t xml:space="preserve">897 </w:t>
      </w:r>
      <w:r w:rsidRPr="00613F43">
        <w:rPr>
          <w:rFonts w:ascii="Times New Roman" w:hAnsi="Times New Roman" w:cs="Times New Roman"/>
          <w:color w:val="auto"/>
          <w:sz w:val="24"/>
        </w:rPr>
        <w:t xml:space="preserve">prijava je kvalificirano kao valjano. </w:t>
      </w:r>
      <w:r w:rsidRPr="000A4F7D">
        <w:rPr>
          <w:rFonts w:ascii="Times New Roman" w:hAnsi="Times New Roman" w:cs="Times New Roman"/>
          <w:color w:val="auto"/>
          <w:sz w:val="24"/>
        </w:rPr>
        <w:t>U prva tri mjeseca su pregledane gotovo sve građevine, a 22. rujna 2020. je u potpunosti završen proces pregleda oštećenja i uporabljivosti građevina koji je uključivao i dodatne, višestruke, kontrolne preglede. Ukupno je napravljeno 26 334 pregleda.</w:t>
      </w:r>
    </w:p>
    <w:p w14:paraId="269EFB3A" w14:textId="77777777" w:rsidR="00EA3C22" w:rsidRDefault="00EA3C22">
      <w:pPr>
        <w:spacing w:after="0" w:line="240" w:lineRule="auto"/>
        <w:ind w:left="0" w:right="0" w:firstLine="709"/>
        <w:rPr>
          <w:rFonts w:ascii="Times New Roman" w:hAnsi="Times New Roman" w:cs="Times New Roman"/>
          <w:color w:val="auto"/>
          <w:sz w:val="24"/>
        </w:rPr>
      </w:pPr>
    </w:p>
    <w:p w14:paraId="3B0208AF" w14:textId="3EA74704" w:rsidR="007076DF" w:rsidRDefault="00965D4E">
      <w:pPr>
        <w:spacing w:after="0" w:line="240" w:lineRule="auto"/>
        <w:ind w:left="0" w:right="0" w:firstLine="709"/>
        <w:rPr>
          <w:rFonts w:ascii="Times New Roman" w:hAnsi="Times New Roman" w:cs="Times New Roman"/>
          <w:color w:val="auto"/>
          <w:sz w:val="24"/>
        </w:rPr>
      </w:pPr>
      <w:r w:rsidRPr="00965D4E">
        <w:rPr>
          <w:rFonts w:ascii="Times New Roman" w:hAnsi="Times New Roman" w:cs="Times New Roman"/>
          <w:color w:val="auto"/>
          <w:sz w:val="24"/>
        </w:rPr>
        <w:t>Prema gradskim četvrtima, do 22. 9. 2020., najveći broj prijava za pregled zgrada u Gradu Zagrebu pristigao je iz gradske četvrti Maksimir, i to 3 722 prijave (14,9%), slijedi gradska četvrt Gornja Dubrava s 3 585 prijava (14,4%), gradska četvrt Gornji grad - Medveščak s 3 077 prijava (12,4%), Donji grad s 2 968 (11,9%), Podsljeme s 2 379 (9,6%) te gradska četvrt Sesvete s 1 693 (6,8%), što čini ukupno 70,0% svih prijava. Iz preostalih 11 gradskih četvrti pristiglo je 30,0% prijava za pregled zgrada nakon potresa. Najmanji broj prijava za pregled zgrada pristigao je iz gradske četvrti Brezovica, i to 11 prijava.</w:t>
      </w:r>
    </w:p>
    <w:p w14:paraId="2899C5AB" w14:textId="54AFAB39" w:rsidR="00607207" w:rsidRDefault="00607207" w:rsidP="007076DF">
      <w:pPr>
        <w:spacing w:after="0" w:line="240" w:lineRule="auto"/>
        <w:ind w:left="0" w:right="0" w:firstLine="709"/>
        <w:rPr>
          <w:rFonts w:ascii="Times New Roman" w:hAnsi="Times New Roman" w:cs="Times New Roman"/>
          <w:color w:val="auto"/>
          <w:sz w:val="24"/>
        </w:rPr>
      </w:pPr>
    </w:p>
    <w:p w14:paraId="5A8745DC" w14:textId="25A93B87" w:rsidR="007076DF" w:rsidRPr="006218CF" w:rsidRDefault="00965D4E" w:rsidP="006218CF">
      <w:pPr>
        <w:spacing w:after="0" w:line="240" w:lineRule="auto"/>
        <w:ind w:left="0" w:right="0" w:firstLine="0"/>
        <w:jc w:val="center"/>
        <w:rPr>
          <w:rFonts w:ascii="Times New Roman" w:hAnsi="Times New Roman" w:cs="Times New Roman"/>
          <w:b/>
          <w:color w:val="auto"/>
          <w:sz w:val="24"/>
        </w:rPr>
      </w:pPr>
      <w:r w:rsidRPr="00AC32CB">
        <w:rPr>
          <w:rFonts w:ascii="Times New Roman" w:hAnsi="Times New Roman" w:cs="Times New Roman"/>
          <w:b/>
          <w:color w:val="auto"/>
          <w:sz w:val="24"/>
        </w:rPr>
        <w:t xml:space="preserve">Tablica </w:t>
      </w:r>
      <w:r w:rsidR="005E088F" w:rsidRPr="00AC32CB">
        <w:rPr>
          <w:rFonts w:ascii="Times New Roman" w:hAnsi="Times New Roman" w:cs="Times New Roman"/>
          <w:b/>
          <w:color w:val="auto"/>
          <w:sz w:val="24"/>
        </w:rPr>
        <w:t>26</w:t>
      </w:r>
      <w:r w:rsidRPr="00AC32CB">
        <w:rPr>
          <w:rFonts w:ascii="Times New Roman" w:hAnsi="Times New Roman" w:cs="Times New Roman"/>
          <w:b/>
          <w:color w:val="auto"/>
          <w:sz w:val="24"/>
        </w:rPr>
        <w:t xml:space="preserve">. </w:t>
      </w:r>
      <w:r w:rsidRPr="006218CF">
        <w:rPr>
          <w:rFonts w:ascii="Times New Roman" w:hAnsi="Times New Roman" w:cs="Times New Roman"/>
          <w:b/>
          <w:color w:val="auto"/>
          <w:sz w:val="24"/>
        </w:rPr>
        <w:t>Broj stanovnika i broj prijava za brze preglede oštećenja zgrada nakon potresa prema gradskim četvrtima</w:t>
      </w:r>
    </w:p>
    <w:p w14:paraId="75DCA34C" w14:textId="228D8FC2" w:rsidR="00965D4E" w:rsidRDefault="00965D4E" w:rsidP="00592667">
      <w:pPr>
        <w:spacing w:after="0" w:line="240" w:lineRule="auto"/>
        <w:ind w:right="0"/>
        <w:rPr>
          <w:rFonts w:ascii="Times New Roman" w:hAnsi="Times New Roman" w:cs="Times New Roman"/>
          <w:i/>
          <w:color w:val="auto"/>
          <w:sz w:val="24"/>
        </w:rPr>
      </w:pPr>
      <w:r w:rsidRPr="00965D4E">
        <w:rPr>
          <w:noProof/>
        </w:rPr>
        <w:drawing>
          <wp:inline distT="0" distB="0" distL="0" distR="0" wp14:anchorId="2BD0BF3F" wp14:editId="1D21A60F">
            <wp:extent cx="5724525" cy="39528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7943" t="31157" r="27910" b="8290"/>
                    <a:stretch/>
                  </pic:blipFill>
                  <pic:spPr bwMode="auto">
                    <a:xfrm>
                      <a:off x="0" y="0"/>
                      <a:ext cx="5724525" cy="3952875"/>
                    </a:xfrm>
                    <a:prstGeom prst="rect">
                      <a:avLst/>
                    </a:prstGeom>
                    <a:ln>
                      <a:noFill/>
                    </a:ln>
                    <a:extLst>
                      <a:ext uri="{53640926-AAD7-44D8-BBD7-CCE9431645EC}">
                        <a14:shadowObscured xmlns:a14="http://schemas.microsoft.com/office/drawing/2010/main"/>
                      </a:ext>
                    </a:extLst>
                  </pic:spPr>
                </pic:pic>
              </a:graphicData>
            </a:graphic>
          </wp:inline>
        </w:drawing>
      </w:r>
    </w:p>
    <w:p w14:paraId="157ED3D8" w14:textId="6D231A7A" w:rsidR="00965D4E" w:rsidRPr="00401D9A" w:rsidRDefault="009D5706" w:rsidP="006218CF">
      <w:pPr>
        <w:spacing w:after="0" w:line="240" w:lineRule="auto"/>
        <w:ind w:left="0" w:right="0" w:firstLine="0"/>
        <w:jc w:val="center"/>
        <w:rPr>
          <w:rFonts w:ascii="Times New Roman" w:hAnsi="Times New Roman" w:cs="Times New Roman"/>
          <w:i/>
          <w:color w:val="auto"/>
          <w:sz w:val="20"/>
          <w:szCs w:val="20"/>
        </w:rPr>
      </w:pPr>
      <w:r w:rsidRPr="00401D9A">
        <w:rPr>
          <w:rFonts w:ascii="Times New Roman" w:hAnsi="Times New Roman" w:cs="Times New Roman"/>
          <w:i/>
          <w:color w:val="auto"/>
          <w:sz w:val="20"/>
          <w:szCs w:val="20"/>
        </w:rPr>
        <w:t>Izvor: Izvješće Gradskog ureda za strategijsko planiranje i razvoj grada</w:t>
      </w:r>
    </w:p>
    <w:p w14:paraId="1B3744AA" w14:textId="3251F757" w:rsidR="00965D4E" w:rsidRPr="006218CF" w:rsidRDefault="00965D4E" w:rsidP="00592667">
      <w:pPr>
        <w:spacing w:after="0" w:line="240" w:lineRule="auto"/>
        <w:ind w:right="0"/>
        <w:rPr>
          <w:rFonts w:ascii="Times New Roman" w:hAnsi="Times New Roman" w:cs="Times New Roman"/>
          <w:color w:val="auto"/>
          <w:sz w:val="24"/>
        </w:rPr>
      </w:pPr>
    </w:p>
    <w:p w14:paraId="528B8758" w14:textId="77777777" w:rsidR="009E494F" w:rsidRDefault="009E494F" w:rsidP="006218CF">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U Gradu Zagrebu je na dan 22. rujna 2020. evidentirano 18 573 brzih pregleda s ocjenom uporabljivo, 5 020 brzih pregleda s ocjenom privremeno neuporabljivo, a 1 304 brzih pregleda s ocjenom neuporabljivo.</w:t>
      </w:r>
    </w:p>
    <w:p w14:paraId="0FEF4AEF" w14:textId="4DD4290A" w:rsidR="009E494F" w:rsidRPr="009E494F" w:rsidRDefault="009E494F" w:rsidP="006218CF">
      <w:pPr>
        <w:spacing w:after="0" w:line="240" w:lineRule="auto"/>
        <w:ind w:left="0" w:right="0" w:firstLine="709"/>
        <w:rPr>
          <w:rFonts w:ascii="Times New Roman" w:hAnsi="Times New Roman" w:cs="Times New Roman"/>
          <w:color w:val="auto"/>
          <w:sz w:val="24"/>
        </w:rPr>
      </w:pPr>
      <w:r w:rsidRPr="009E494F">
        <w:rPr>
          <w:rFonts w:ascii="Times New Roman" w:hAnsi="Times New Roman" w:cs="Times New Roman"/>
          <w:color w:val="auto"/>
          <w:sz w:val="24"/>
        </w:rPr>
        <w:t xml:space="preserve">Rezultati brzih pregleda pokazuju da se, od ukupnog broja brzih pregleda s ocjenom uporabljivo u Gradu Zagrebu, najveći broj nalazi u gradskim četvrtima Maksimir (15,2%), Gornja Dubrava (14,5%), Gornji grad - Medveščak (11,2%) te Donji grad (9,4%). </w:t>
      </w:r>
    </w:p>
    <w:p w14:paraId="156E2022" w14:textId="77777777" w:rsidR="009E494F" w:rsidRPr="009E494F" w:rsidRDefault="009E494F" w:rsidP="006218CF">
      <w:pPr>
        <w:spacing w:after="0" w:line="240" w:lineRule="auto"/>
        <w:ind w:left="0" w:right="0" w:firstLine="709"/>
        <w:rPr>
          <w:rFonts w:ascii="Times New Roman" w:hAnsi="Times New Roman" w:cs="Times New Roman"/>
          <w:color w:val="auto"/>
          <w:sz w:val="24"/>
        </w:rPr>
      </w:pPr>
      <w:r w:rsidRPr="009E494F">
        <w:rPr>
          <w:rFonts w:ascii="Times New Roman" w:hAnsi="Times New Roman" w:cs="Times New Roman"/>
          <w:color w:val="auto"/>
          <w:sz w:val="24"/>
        </w:rPr>
        <w:t xml:space="preserve">Najveći broj brzih pregleda s ocjenom privremeno neuporabljivo nalazi se u gradskoj četvrti Donji grad (20,4%), Gornji grad - Medveščak (16,5%), Maksimir (14,4%) te u gradskoj četvrti Gornja Dubrava (12,5%). </w:t>
      </w:r>
    </w:p>
    <w:p w14:paraId="18C4F432" w14:textId="7D8F2F06" w:rsidR="009E494F" w:rsidRDefault="009E494F" w:rsidP="009E494F">
      <w:pPr>
        <w:spacing w:after="0" w:line="240" w:lineRule="auto"/>
        <w:ind w:left="0" w:right="0" w:firstLine="709"/>
        <w:rPr>
          <w:rFonts w:ascii="Times New Roman" w:hAnsi="Times New Roman" w:cs="Times New Roman"/>
          <w:color w:val="auto"/>
          <w:sz w:val="24"/>
        </w:rPr>
      </w:pPr>
      <w:r w:rsidRPr="009E494F">
        <w:rPr>
          <w:rFonts w:ascii="Times New Roman" w:hAnsi="Times New Roman" w:cs="Times New Roman"/>
          <w:color w:val="auto"/>
          <w:sz w:val="24"/>
        </w:rPr>
        <w:lastRenderedPageBreak/>
        <w:t>Najveći broj brzih pregleda s ocjenom neuporabljivo nalazi se u gradskoj četvrti Gornja Dubrava (19,9%), Donji grad (14,7%), gradskim četvrtima Podsljeme i Maksimir (svaka po 13,3%) te u gradskoj četvrti Gornji grad - Medveščak (12,7%).</w:t>
      </w:r>
    </w:p>
    <w:p w14:paraId="7D19D23F" w14:textId="77777777" w:rsidR="001D0E66" w:rsidRPr="009E494F" w:rsidRDefault="001D0E66" w:rsidP="00524B1D">
      <w:pPr>
        <w:spacing w:after="0" w:line="240" w:lineRule="auto"/>
        <w:ind w:left="0" w:right="0" w:firstLine="0"/>
        <w:rPr>
          <w:rFonts w:ascii="Times New Roman" w:hAnsi="Times New Roman" w:cs="Times New Roman"/>
          <w:color w:val="auto"/>
          <w:sz w:val="24"/>
        </w:rPr>
      </w:pPr>
    </w:p>
    <w:p w14:paraId="4C9FAC88" w14:textId="790BE3F3" w:rsidR="009E494F" w:rsidRPr="006218CF" w:rsidRDefault="009E494F" w:rsidP="002D2995">
      <w:pPr>
        <w:spacing w:line="240" w:lineRule="auto"/>
        <w:ind w:right="0"/>
        <w:jc w:val="center"/>
        <w:rPr>
          <w:rFonts w:ascii="Times New Roman" w:hAnsi="Times New Roman" w:cs="Times New Roman"/>
          <w:b/>
          <w:color w:val="auto"/>
          <w:sz w:val="24"/>
        </w:rPr>
      </w:pPr>
      <w:r w:rsidRPr="00AC32CB">
        <w:rPr>
          <w:rFonts w:ascii="Times New Roman" w:hAnsi="Times New Roman" w:cs="Times New Roman"/>
          <w:b/>
          <w:color w:val="auto"/>
          <w:sz w:val="24"/>
        </w:rPr>
        <w:t xml:space="preserve">Grafikon </w:t>
      </w:r>
      <w:r w:rsidR="00607207" w:rsidRPr="00AC32CB">
        <w:rPr>
          <w:rFonts w:ascii="Times New Roman" w:hAnsi="Times New Roman" w:cs="Times New Roman"/>
          <w:b/>
          <w:color w:val="auto"/>
          <w:sz w:val="24"/>
        </w:rPr>
        <w:t>6</w:t>
      </w:r>
      <w:r w:rsidRPr="00AC32CB">
        <w:rPr>
          <w:rFonts w:ascii="Times New Roman" w:hAnsi="Times New Roman" w:cs="Times New Roman"/>
          <w:b/>
          <w:color w:val="auto"/>
          <w:sz w:val="24"/>
        </w:rPr>
        <w:t xml:space="preserve">. </w:t>
      </w:r>
      <w:r w:rsidRPr="006218CF">
        <w:rPr>
          <w:rFonts w:ascii="Times New Roman" w:hAnsi="Times New Roman" w:cs="Times New Roman"/>
          <w:b/>
          <w:color w:val="auto"/>
          <w:sz w:val="24"/>
        </w:rPr>
        <w:t>Statusi brzih pregleda oštećenja zgrada, Grad Zagreb, stanje 22. 9. 2020.</w:t>
      </w:r>
    </w:p>
    <w:p w14:paraId="45950E6D" w14:textId="7F010A91" w:rsidR="009E494F" w:rsidRDefault="009E494F" w:rsidP="006218CF">
      <w:pPr>
        <w:spacing w:after="0" w:line="240" w:lineRule="auto"/>
        <w:ind w:right="0"/>
        <w:jc w:val="center"/>
        <w:rPr>
          <w:rFonts w:ascii="Times New Roman" w:hAnsi="Times New Roman" w:cs="Times New Roman"/>
          <w:color w:val="auto"/>
          <w:sz w:val="24"/>
        </w:rPr>
      </w:pPr>
      <w:r w:rsidRPr="009E494F">
        <w:rPr>
          <w:noProof/>
        </w:rPr>
        <w:drawing>
          <wp:inline distT="0" distB="0" distL="0" distR="0" wp14:anchorId="65FF5A41" wp14:editId="1CBAF980">
            <wp:extent cx="3686175" cy="26479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6872" t="48501" r="36343" b="16814"/>
                    <a:stretch/>
                  </pic:blipFill>
                  <pic:spPr bwMode="auto">
                    <a:xfrm>
                      <a:off x="0" y="0"/>
                      <a:ext cx="3686175" cy="2647950"/>
                    </a:xfrm>
                    <a:prstGeom prst="rect">
                      <a:avLst/>
                    </a:prstGeom>
                    <a:ln>
                      <a:noFill/>
                    </a:ln>
                    <a:extLst>
                      <a:ext uri="{53640926-AAD7-44D8-BBD7-CCE9431645EC}">
                        <a14:shadowObscured xmlns:a14="http://schemas.microsoft.com/office/drawing/2010/main"/>
                      </a:ext>
                    </a:extLst>
                  </pic:spPr>
                </pic:pic>
              </a:graphicData>
            </a:graphic>
          </wp:inline>
        </w:drawing>
      </w:r>
    </w:p>
    <w:p w14:paraId="6B79AF8D" w14:textId="16730C78" w:rsidR="009E494F" w:rsidRPr="00401D9A" w:rsidRDefault="009E494F" w:rsidP="006218CF">
      <w:pPr>
        <w:spacing w:after="0" w:line="240" w:lineRule="auto"/>
        <w:ind w:right="0"/>
        <w:jc w:val="center"/>
        <w:rPr>
          <w:rFonts w:ascii="Times New Roman" w:hAnsi="Times New Roman" w:cs="Times New Roman"/>
          <w:i/>
          <w:color w:val="auto"/>
          <w:sz w:val="20"/>
          <w:szCs w:val="20"/>
        </w:rPr>
      </w:pPr>
      <w:r w:rsidRPr="00401D9A">
        <w:rPr>
          <w:rFonts w:ascii="Times New Roman" w:hAnsi="Times New Roman" w:cs="Times New Roman"/>
          <w:i/>
          <w:color w:val="auto"/>
          <w:sz w:val="20"/>
          <w:szCs w:val="20"/>
        </w:rPr>
        <w:t>Izvor: Izvješće Gradskog ureda za strategijsko planiranje i razvoj grada</w:t>
      </w:r>
    </w:p>
    <w:p w14:paraId="50888976" w14:textId="210E47A4" w:rsidR="009E494F" w:rsidRDefault="009E494F" w:rsidP="00592667">
      <w:pPr>
        <w:spacing w:after="0" w:line="240" w:lineRule="auto"/>
        <w:ind w:right="0"/>
        <w:rPr>
          <w:rFonts w:ascii="Times New Roman" w:hAnsi="Times New Roman" w:cs="Times New Roman"/>
          <w:color w:val="auto"/>
          <w:sz w:val="24"/>
        </w:rPr>
      </w:pPr>
    </w:p>
    <w:p w14:paraId="53067315" w14:textId="1B464D99" w:rsidR="0003514B" w:rsidRDefault="0003514B" w:rsidP="006F7038">
      <w:pPr>
        <w:spacing w:after="0" w:line="240" w:lineRule="auto"/>
        <w:ind w:left="0" w:right="0" w:firstLine="709"/>
        <w:rPr>
          <w:rFonts w:ascii="Times New Roman" w:hAnsi="Times New Roman" w:cs="Times New Roman"/>
          <w:color w:val="auto"/>
          <w:sz w:val="24"/>
        </w:rPr>
      </w:pPr>
      <w:r w:rsidRPr="0003514B">
        <w:rPr>
          <w:rFonts w:ascii="Times New Roman" w:hAnsi="Times New Roman" w:cs="Times New Roman"/>
          <w:color w:val="auto"/>
          <w:sz w:val="24"/>
        </w:rPr>
        <w:t xml:space="preserve">Prema preliminarnim podacima Grada Zagreba i </w:t>
      </w:r>
      <w:r w:rsidR="00E212FB">
        <w:rPr>
          <w:rFonts w:ascii="Times New Roman" w:hAnsi="Times New Roman" w:cs="Times New Roman"/>
          <w:color w:val="auto"/>
          <w:sz w:val="24"/>
        </w:rPr>
        <w:t>M</w:t>
      </w:r>
      <w:r w:rsidRPr="0003514B">
        <w:rPr>
          <w:rFonts w:ascii="Times New Roman" w:hAnsi="Times New Roman" w:cs="Times New Roman"/>
          <w:color w:val="auto"/>
          <w:sz w:val="24"/>
        </w:rPr>
        <w:t>inistarstva kultur</w:t>
      </w:r>
      <w:r w:rsidR="00E212FB">
        <w:rPr>
          <w:rFonts w:ascii="Times New Roman" w:hAnsi="Times New Roman" w:cs="Times New Roman"/>
          <w:color w:val="auto"/>
          <w:sz w:val="24"/>
        </w:rPr>
        <w:t>e</w:t>
      </w:r>
      <w:r w:rsidRPr="0003514B">
        <w:rPr>
          <w:rFonts w:ascii="Times New Roman" w:hAnsi="Times New Roman" w:cs="Times New Roman"/>
          <w:color w:val="auto"/>
          <w:sz w:val="24"/>
        </w:rPr>
        <w:t>, u potresu u Zagrebu</w:t>
      </w:r>
      <w:r>
        <w:rPr>
          <w:rFonts w:ascii="Times New Roman" w:hAnsi="Times New Roman" w:cs="Times New Roman"/>
          <w:color w:val="auto"/>
          <w:sz w:val="24"/>
        </w:rPr>
        <w:t xml:space="preserve"> </w:t>
      </w:r>
      <w:r w:rsidRPr="0003514B">
        <w:rPr>
          <w:rFonts w:ascii="Times New Roman" w:hAnsi="Times New Roman" w:cs="Times New Roman"/>
          <w:color w:val="auto"/>
          <w:sz w:val="24"/>
        </w:rPr>
        <w:t xml:space="preserve">oštećena je vrijedna sakralna, kulturno-povijesna </w:t>
      </w:r>
      <w:r>
        <w:rPr>
          <w:rFonts w:ascii="Times New Roman" w:hAnsi="Times New Roman" w:cs="Times New Roman"/>
          <w:color w:val="auto"/>
          <w:sz w:val="24"/>
        </w:rPr>
        <w:t>i</w:t>
      </w:r>
      <w:r w:rsidRPr="0003514B">
        <w:rPr>
          <w:rFonts w:ascii="Times New Roman" w:hAnsi="Times New Roman" w:cs="Times New Roman"/>
          <w:color w:val="auto"/>
          <w:sz w:val="24"/>
        </w:rPr>
        <w:t xml:space="preserve"> graditeljska baština. </w:t>
      </w:r>
      <w:r w:rsidR="006F7038" w:rsidRPr="00C45A67">
        <w:rPr>
          <w:rFonts w:ascii="Times New Roman" w:hAnsi="Times New Roman" w:cs="Times New Roman"/>
          <w:color w:val="auto"/>
          <w:sz w:val="24"/>
        </w:rPr>
        <w:t xml:space="preserve">Značajne štete nastale </w:t>
      </w:r>
      <w:r w:rsidR="006C605C">
        <w:rPr>
          <w:rFonts w:ascii="Times New Roman" w:hAnsi="Times New Roman" w:cs="Times New Roman"/>
          <w:color w:val="auto"/>
          <w:sz w:val="24"/>
        </w:rPr>
        <w:t xml:space="preserve">su </w:t>
      </w:r>
      <w:r w:rsidR="006F7038" w:rsidRPr="00C45A67">
        <w:rPr>
          <w:rFonts w:ascii="Times New Roman" w:hAnsi="Times New Roman" w:cs="Times New Roman"/>
          <w:color w:val="auto"/>
          <w:sz w:val="24"/>
        </w:rPr>
        <w:t>na kulturnim dobrima i zgradama u povijesnoj urbanoj cjelini Grada Zagreba</w:t>
      </w:r>
      <w:r w:rsidR="006F7038">
        <w:rPr>
          <w:rFonts w:ascii="Times New Roman" w:hAnsi="Times New Roman" w:cs="Times New Roman"/>
          <w:color w:val="auto"/>
          <w:sz w:val="24"/>
        </w:rPr>
        <w:t xml:space="preserve">. </w:t>
      </w:r>
      <w:r w:rsidR="006F7038" w:rsidRPr="00C45A67">
        <w:rPr>
          <w:rFonts w:ascii="Times New Roman" w:hAnsi="Times New Roman" w:cs="Times New Roman"/>
          <w:color w:val="auto"/>
          <w:sz w:val="24"/>
        </w:rPr>
        <w:t>Potres je prouzročio velike štete na pojedinačnim kulturnim dobrima i preventivno zaštićenim dobrima, zgradama javne namjene te njihovim inventarima i zbirkama, sakralnim građevinama i njihovim inventarima na cjelokupnom području Grada Zagreba.</w:t>
      </w:r>
      <w:r w:rsidR="006F7038">
        <w:rPr>
          <w:rFonts w:ascii="Times New Roman" w:hAnsi="Times New Roman" w:cs="Times New Roman"/>
          <w:color w:val="auto"/>
          <w:sz w:val="24"/>
        </w:rPr>
        <w:t xml:space="preserve"> </w:t>
      </w:r>
      <w:r w:rsidRPr="0003514B">
        <w:rPr>
          <w:rFonts w:ascii="Times New Roman" w:hAnsi="Times New Roman" w:cs="Times New Roman"/>
          <w:color w:val="auto"/>
          <w:sz w:val="24"/>
        </w:rPr>
        <w:t>Zabilježene su štete na crkvama,</w:t>
      </w:r>
      <w:r>
        <w:rPr>
          <w:rFonts w:ascii="Times New Roman" w:hAnsi="Times New Roman" w:cs="Times New Roman"/>
          <w:color w:val="auto"/>
          <w:sz w:val="24"/>
        </w:rPr>
        <w:t xml:space="preserve"> </w:t>
      </w:r>
      <w:r w:rsidRPr="0003514B">
        <w:rPr>
          <w:rFonts w:ascii="Times New Roman" w:hAnsi="Times New Roman" w:cs="Times New Roman"/>
          <w:color w:val="auto"/>
          <w:sz w:val="24"/>
        </w:rPr>
        <w:t>muzejima, kazalištima i drugim kulturnim ustanovama, od kojih navodimo samo neke:</w:t>
      </w:r>
      <w:r>
        <w:rPr>
          <w:rFonts w:ascii="Times New Roman" w:hAnsi="Times New Roman" w:cs="Times New Roman"/>
          <w:color w:val="auto"/>
          <w:sz w:val="24"/>
        </w:rPr>
        <w:t xml:space="preserve"> </w:t>
      </w:r>
      <w:r w:rsidRPr="0003514B">
        <w:rPr>
          <w:rFonts w:ascii="Times New Roman" w:hAnsi="Times New Roman" w:cs="Times New Roman"/>
          <w:color w:val="auto"/>
          <w:sz w:val="24"/>
        </w:rPr>
        <w:t>Zagrebačka katedrala,</w:t>
      </w:r>
      <w:r>
        <w:rPr>
          <w:rFonts w:ascii="Times New Roman" w:hAnsi="Times New Roman" w:cs="Times New Roman"/>
          <w:color w:val="auto"/>
          <w:sz w:val="24"/>
        </w:rPr>
        <w:t xml:space="preserve"> </w:t>
      </w:r>
      <w:r w:rsidRPr="0003514B">
        <w:rPr>
          <w:rFonts w:ascii="Times New Roman" w:hAnsi="Times New Roman" w:cs="Times New Roman"/>
          <w:color w:val="auto"/>
          <w:sz w:val="24"/>
        </w:rPr>
        <w:t>Bazilika Srca Isusova u Palmotićevoj ulici,</w:t>
      </w:r>
      <w:r>
        <w:rPr>
          <w:rFonts w:ascii="Times New Roman" w:hAnsi="Times New Roman" w:cs="Times New Roman"/>
          <w:color w:val="auto"/>
          <w:sz w:val="24"/>
        </w:rPr>
        <w:t xml:space="preserve"> </w:t>
      </w:r>
      <w:r w:rsidRPr="0003514B">
        <w:rPr>
          <w:rFonts w:ascii="Times New Roman" w:hAnsi="Times New Roman" w:cs="Times New Roman"/>
          <w:color w:val="auto"/>
          <w:sz w:val="24"/>
        </w:rPr>
        <w:t>Barokna crkva sv. Katarine Aleksandrijske,</w:t>
      </w:r>
      <w:r>
        <w:rPr>
          <w:rFonts w:ascii="Times New Roman" w:hAnsi="Times New Roman" w:cs="Times New Roman"/>
          <w:color w:val="auto"/>
          <w:sz w:val="24"/>
        </w:rPr>
        <w:t xml:space="preserve"> </w:t>
      </w:r>
      <w:r w:rsidRPr="0003514B">
        <w:rPr>
          <w:rFonts w:ascii="Times New Roman" w:hAnsi="Times New Roman" w:cs="Times New Roman"/>
          <w:color w:val="auto"/>
          <w:sz w:val="24"/>
        </w:rPr>
        <w:t>crkva sv. Marka</w:t>
      </w:r>
      <w:r>
        <w:rPr>
          <w:rFonts w:ascii="Times New Roman" w:hAnsi="Times New Roman" w:cs="Times New Roman"/>
          <w:color w:val="auto"/>
          <w:sz w:val="24"/>
        </w:rPr>
        <w:t xml:space="preserve">, </w:t>
      </w:r>
      <w:r w:rsidRPr="0003514B">
        <w:rPr>
          <w:rFonts w:ascii="Times New Roman" w:hAnsi="Times New Roman" w:cs="Times New Roman"/>
          <w:color w:val="auto"/>
          <w:sz w:val="24"/>
        </w:rPr>
        <w:t>srpska pravoslavna crkva sv. Preobraženja,</w:t>
      </w:r>
      <w:r>
        <w:rPr>
          <w:rFonts w:ascii="Times New Roman" w:hAnsi="Times New Roman" w:cs="Times New Roman"/>
          <w:color w:val="auto"/>
          <w:sz w:val="24"/>
        </w:rPr>
        <w:t xml:space="preserve"> </w:t>
      </w:r>
      <w:r w:rsidRPr="0003514B">
        <w:rPr>
          <w:rFonts w:ascii="Times New Roman" w:hAnsi="Times New Roman" w:cs="Times New Roman"/>
          <w:color w:val="auto"/>
          <w:sz w:val="24"/>
        </w:rPr>
        <w:t>Evangelička crkva sa župnim dvorom u Gundulićevoj ulici,</w:t>
      </w:r>
      <w:r>
        <w:rPr>
          <w:rFonts w:ascii="Times New Roman" w:hAnsi="Times New Roman" w:cs="Times New Roman"/>
          <w:color w:val="auto"/>
          <w:sz w:val="24"/>
        </w:rPr>
        <w:t xml:space="preserve"> </w:t>
      </w:r>
      <w:r w:rsidRPr="0003514B">
        <w:rPr>
          <w:rFonts w:ascii="Times New Roman" w:hAnsi="Times New Roman" w:cs="Times New Roman"/>
          <w:color w:val="auto"/>
          <w:sz w:val="24"/>
        </w:rPr>
        <w:t>Muzej za umjetnost i obrt,</w:t>
      </w:r>
      <w:r>
        <w:rPr>
          <w:rFonts w:ascii="Times New Roman" w:hAnsi="Times New Roman" w:cs="Times New Roman"/>
          <w:color w:val="auto"/>
          <w:sz w:val="24"/>
        </w:rPr>
        <w:t xml:space="preserve"> </w:t>
      </w:r>
      <w:r w:rsidRPr="0003514B">
        <w:rPr>
          <w:rFonts w:ascii="Times New Roman" w:hAnsi="Times New Roman" w:cs="Times New Roman"/>
          <w:color w:val="auto"/>
          <w:sz w:val="24"/>
        </w:rPr>
        <w:t>Zgrada HAVC-a (Hrvatskog audio-vizualnog centra) u Novoj Vesi,</w:t>
      </w:r>
      <w:r>
        <w:rPr>
          <w:rFonts w:ascii="Times New Roman" w:hAnsi="Times New Roman" w:cs="Times New Roman"/>
          <w:color w:val="auto"/>
          <w:sz w:val="24"/>
        </w:rPr>
        <w:t xml:space="preserve"> </w:t>
      </w:r>
      <w:r w:rsidRPr="0003514B">
        <w:rPr>
          <w:rFonts w:ascii="Times New Roman" w:hAnsi="Times New Roman" w:cs="Times New Roman"/>
          <w:color w:val="auto"/>
          <w:sz w:val="24"/>
        </w:rPr>
        <w:t>Zgrade Hrvatskog sabora i Vlade Republike Hrvatske,</w:t>
      </w:r>
      <w:r>
        <w:rPr>
          <w:rFonts w:ascii="Times New Roman" w:hAnsi="Times New Roman" w:cs="Times New Roman"/>
          <w:color w:val="auto"/>
          <w:sz w:val="24"/>
        </w:rPr>
        <w:t xml:space="preserve"> </w:t>
      </w:r>
      <w:r w:rsidRPr="0003514B">
        <w:rPr>
          <w:rFonts w:ascii="Times New Roman" w:hAnsi="Times New Roman" w:cs="Times New Roman"/>
          <w:color w:val="auto"/>
          <w:sz w:val="24"/>
        </w:rPr>
        <w:t>Hrvatski povijesni muzej (smješten u palači Vojković-Oršić-Kulmer- Rauch),</w:t>
      </w:r>
      <w:r>
        <w:rPr>
          <w:rFonts w:ascii="Times New Roman" w:hAnsi="Times New Roman" w:cs="Times New Roman"/>
          <w:color w:val="auto"/>
          <w:sz w:val="24"/>
        </w:rPr>
        <w:t xml:space="preserve"> </w:t>
      </w:r>
      <w:r w:rsidRPr="0003514B">
        <w:rPr>
          <w:rFonts w:ascii="Times New Roman" w:hAnsi="Times New Roman" w:cs="Times New Roman"/>
          <w:color w:val="auto"/>
          <w:sz w:val="24"/>
        </w:rPr>
        <w:t>Arheološki muzej u palači Vraniczany-Dobrinović na Zrinjevcu,</w:t>
      </w:r>
      <w:r>
        <w:rPr>
          <w:rFonts w:ascii="Times New Roman" w:hAnsi="Times New Roman" w:cs="Times New Roman"/>
          <w:color w:val="auto"/>
          <w:sz w:val="24"/>
        </w:rPr>
        <w:t xml:space="preserve"> </w:t>
      </w:r>
      <w:r w:rsidRPr="0003514B">
        <w:rPr>
          <w:rFonts w:ascii="Times New Roman" w:hAnsi="Times New Roman" w:cs="Times New Roman"/>
          <w:color w:val="auto"/>
          <w:sz w:val="24"/>
        </w:rPr>
        <w:t>Secesijska zgrada Lubinsky na Marulićevom trgu 21 u kojoj se nalazi Hrvatski državni arhiv</w:t>
      </w:r>
      <w:r>
        <w:rPr>
          <w:rFonts w:ascii="Times New Roman" w:hAnsi="Times New Roman" w:cs="Times New Roman"/>
          <w:color w:val="auto"/>
          <w:sz w:val="24"/>
        </w:rPr>
        <w:t xml:space="preserve"> i</w:t>
      </w:r>
      <w:r w:rsidRPr="0003514B">
        <w:rPr>
          <w:rFonts w:ascii="Times New Roman" w:hAnsi="Times New Roman" w:cs="Times New Roman"/>
          <w:color w:val="auto"/>
          <w:sz w:val="24"/>
        </w:rPr>
        <w:t xml:space="preserve"> Hrvatski</w:t>
      </w:r>
      <w:r>
        <w:rPr>
          <w:rFonts w:ascii="Times New Roman" w:hAnsi="Times New Roman" w:cs="Times New Roman"/>
          <w:color w:val="auto"/>
          <w:sz w:val="24"/>
        </w:rPr>
        <w:t xml:space="preserve"> </w:t>
      </w:r>
      <w:r w:rsidRPr="0003514B">
        <w:rPr>
          <w:rFonts w:ascii="Times New Roman" w:hAnsi="Times New Roman" w:cs="Times New Roman"/>
          <w:color w:val="auto"/>
          <w:sz w:val="24"/>
        </w:rPr>
        <w:t>memorijalno-dokumentacijski centar Domovinskog rata,</w:t>
      </w:r>
      <w:r>
        <w:rPr>
          <w:rFonts w:ascii="Times New Roman" w:hAnsi="Times New Roman" w:cs="Times New Roman"/>
          <w:color w:val="auto"/>
          <w:sz w:val="24"/>
        </w:rPr>
        <w:t xml:space="preserve"> </w:t>
      </w:r>
      <w:r w:rsidRPr="0003514B">
        <w:rPr>
          <w:rFonts w:ascii="Times New Roman" w:hAnsi="Times New Roman" w:cs="Times New Roman"/>
          <w:color w:val="auto"/>
          <w:sz w:val="24"/>
        </w:rPr>
        <w:t>Hrvatski prirodoslovni muzej u Gornjogradskoj palači Amadeo,</w:t>
      </w:r>
      <w:r>
        <w:rPr>
          <w:rFonts w:ascii="Times New Roman" w:hAnsi="Times New Roman" w:cs="Times New Roman"/>
          <w:color w:val="auto"/>
          <w:sz w:val="24"/>
        </w:rPr>
        <w:t xml:space="preserve"> </w:t>
      </w:r>
      <w:r w:rsidRPr="0003514B">
        <w:rPr>
          <w:rFonts w:ascii="Times New Roman" w:hAnsi="Times New Roman" w:cs="Times New Roman"/>
          <w:color w:val="auto"/>
          <w:sz w:val="24"/>
        </w:rPr>
        <w:t>Hrvatski glazbeni zavod,</w:t>
      </w:r>
      <w:r>
        <w:rPr>
          <w:rFonts w:ascii="Times New Roman" w:hAnsi="Times New Roman" w:cs="Times New Roman"/>
          <w:color w:val="auto"/>
          <w:sz w:val="24"/>
        </w:rPr>
        <w:t xml:space="preserve"> </w:t>
      </w:r>
      <w:r w:rsidRPr="0003514B">
        <w:rPr>
          <w:rFonts w:ascii="Times New Roman" w:hAnsi="Times New Roman" w:cs="Times New Roman"/>
          <w:color w:val="auto"/>
          <w:sz w:val="24"/>
        </w:rPr>
        <w:t>Umjetnički paviljon,</w:t>
      </w:r>
      <w:r>
        <w:rPr>
          <w:rFonts w:ascii="Times New Roman" w:hAnsi="Times New Roman" w:cs="Times New Roman"/>
          <w:color w:val="auto"/>
          <w:sz w:val="24"/>
        </w:rPr>
        <w:t xml:space="preserve"> </w:t>
      </w:r>
      <w:r w:rsidRPr="0003514B">
        <w:rPr>
          <w:rFonts w:ascii="Times New Roman" w:hAnsi="Times New Roman" w:cs="Times New Roman"/>
          <w:color w:val="auto"/>
          <w:sz w:val="24"/>
        </w:rPr>
        <w:t>Gliptoteka HAZU u Medvedgradskoj ulici,</w:t>
      </w:r>
      <w:r>
        <w:rPr>
          <w:rFonts w:ascii="Times New Roman" w:hAnsi="Times New Roman" w:cs="Times New Roman"/>
          <w:color w:val="auto"/>
          <w:sz w:val="24"/>
        </w:rPr>
        <w:t xml:space="preserve"> </w:t>
      </w:r>
      <w:r w:rsidRPr="0003514B">
        <w:rPr>
          <w:rFonts w:ascii="Times New Roman" w:hAnsi="Times New Roman" w:cs="Times New Roman"/>
          <w:color w:val="auto"/>
          <w:sz w:val="24"/>
        </w:rPr>
        <w:t>Muzej Mimara (Donjogradska gimnazija),</w:t>
      </w:r>
      <w:r>
        <w:rPr>
          <w:rFonts w:ascii="Times New Roman" w:hAnsi="Times New Roman" w:cs="Times New Roman"/>
          <w:color w:val="auto"/>
          <w:sz w:val="24"/>
        </w:rPr>
        <w:t xml:space="preserve"> </w:t>
      </w:r>
      <w:r w:rsidRPr="0003514B">
        <w:rPr>
          <w:rFonts w:ascii="Times New Roman" w:hAnsi="Times New Roman" w:cs="Times New Roman"/>
          <w:color w:val="auto"/>
          <w:sz w:val="24"/>
        </w:rPr>
        <w:t>Moderna galerija u Palači Vranyzany-Dobrinović,</w:t>
      </w:r>
      <w:r>
        <w:rPr>
          <w:rFonts w:ascii="Times New Roman" w:hAnsi="Times New Roman" w:cs="Times New Roman"/>
          <w:color w:val="auto"/>
          <w:sz w:val="24"/>
        </w:rPr>
        <w:t xml:space="preserve"> </w:t>
      </w:r>
      <w:r w:rsidRPr="0003514B">
        <w:rPr>
          <w:rFonts w:ascii="Times New Roman" w:hAnsi="Times New Roman" w:cs="Times New Roman"/>
          <w:color w:val="auto"/>
          <w:sz w:val="24"/>
        </w:rPr>
        <w:t>Muzej naive (Ćirilometodska 3),</w:t>
      </w:r>
      <w:r>
        <w:rPr>
          <w:rFonts w:ascii="Times New Roman" w:hAnsi="Times New Roman" w:cs="Times New Roman"/>
          <w:color w:val="auto"/>
          <w:sz w:val="24"/>
        </w:rPr>
        <w:t xml:space="preserve"> </w:t>
      </w:r>
      <w:r w:rsidRPr="0003514B">
        <w:rPr>
          <w:rFonts w:ascii="Times New Roman" w:hAnsi="Times New Roman" w:cs="Times New Roman"/>
          <w:color w:val="auto"/>
          <w:sz w:val="24"/>
        </w:rPr>
        <w:t>Muzej arhitekture,</w:t>
      </w:r>
      <w:r>
        <w:rPr>
          <w:rFonts w:ascii="Times New Roman" w:hAnsi="Times New Roman" w:cs="Times New Roman"/>
          <w:color w:val="auto"/>
          <w:sz w:val="24"/>
        </w:rPr>
        <w:t xml:space="preserve"> </w:t>
      </w:r>
      <w:r w:rsidRPr="0003514B">
        <w:rPr>
          <w:rFonts w:ascii="Times New Roman" w:hAnsi="Times New Roman" w:cs="Times New Roman"/>
          <w:color w:val="auto"/>
          <w:sz w:val="24"/>
        </w:rPr>
        <w:t>Tvornica duhana u Klaićevoj 13,</w:t>
      </w:r>
      <w:r>
        <w:rPr>
          <w:rFonts w:ascii="Times New Roman" w:hAnsi="Times New Roman" w:cs="Times New Roman"/>
          <w:color w:val="auto"/>
          <w:sz w:val="24"/>
        </w:rPr>
        <w:t xml:space="preserve"> </w:t>
      </w:r>
      <w:r w:rsidRPr="0003514B">
        <w:rPr>
          <w:rFonts w:ascii="Times New Roman" w:hAnsi="Times New Roman" w:cs="Times New Roman"/>
          <w:color w:val="auto"/>
          <w:sz w:val="24"/>
        </w:rPr>
        <w:t>Arkade na Mirogoju. i dr.</w:t>
      </w:r>
    </w:p>
    <w:p w14:paraId="2DE825A4" w14:textId="2C36E7E2" w:rsidR="0060000A" w:rsidRPr="0060000A" w:rsidRDefault="0060000A" w:rsidP="00AC32CB">
      <w:pPr>
        <w:spacing w:after="0" w:line="240" w:lineRule="auto"/>
        <w:ind w:right="0" w:firstLine="699"/>
        <w:rPr>
          <w:rFonts w:ascii="Times New Roman" w:hAnsi="Times New Roman" w:cs="Times New Roman"/>
          <w:color w:val="auto"/>
          <w:sz w:val="24"/>
        </w:rPr>
      </w:pPr>
      <w:r w:rsidRPr="0060000A">
        <w:rPr>
          <w:rFonts w:ascii="Times New Roman" w:hAnsi="Times New Roman" w:cs="Times New Roman"/>
          <w:color w:val="auto"/>
          <w:sz w:val="24"/>
        </w:rPr>
        <w:t xml:space="preserve">Preliminarna (brza) procjena oštećenja građevine u potresu </w:t>
      </w:r>
      <w:r w:rsidR="00646693">
        <w:rPr>
          <w:rFonts w:ascii="Times New Roman" w:hAnsi="Times New Roman" w:cs="Times New Roman"/>
          <w:color w:val="auto"/>
          <w:sz w:val="24"/>
        </w:rPr>
        <w:t>predstavlja</w:t>
      </w:r>
      <w:r w:rsidRPr="0060000A">
        <w:rPr>
          <w:rFonts w:ascii="Times New Roman" w:hAnsi="Times New Roman" w:cs="Times New Roman"/>
          <w:color w:val="auto"/>
          <w:sz w:val="24"/>
        </w:rPr>
        <w:t xml:space="preserve"> utvrđivanje stupnja oštećenja zgrada u odnosu na zaštitu života i imovine, odnosno određivanje je li zgrada uporabljiva, neuporabljiva ili privremeno neuporabljiva. Ocjena se može odnositi na cijelu zgradu ili na pojedini dio zgrade. Pregled ne uključuje pregled instalacija. Građevinski stručnjak temeljem uočenih oštećenja dodjeljuje jednu od ponuđenih kategorija uporabljivosti: </w:t>
      </w:r>
    </w:p>
    <w:p w14:paraId="0DD013B0" w14:textId="7CB3DAE9" w:rsidR="0060000A" w:rsidRPr="0060000A" w:rsidRDefault="0060000A" w:rsidP="00AC32CB">
      <w:pPr>
        <w:spacing w:after="0" w:line="240" w:lineRule="auto"/>
        <w:ind w:right="0" w:firstLine="699"/>
        <w:rPr>
          <w:rFonts w:ascii="Times New Roman" w:hAnsi="Times New Roman" w:cs="Times New Roman"/>
          <w:color w:val="auto"/>
          <w:sz w:val="24"/>
        </w:rPr>
      </w:pPr>
      <w:r w:rsidRPr="006218CF">
        <w:rPr>
          <w:rFonts w:ascii="Times New Roman" w:hAnsi="Times New Roman" w:cs="Times New Roman"/>
          <w:i/>
          <w:color w:val="auto"/>
          <w:sz w:val="24"/>
        </w:rPr>
        <w:t>Uporabljivo bez oštećenja</w:t>
      </w:r>
      <w:r w:rsidRPr="0060000A">
        <w:rPr>
          <w:rFonts w:ascii="Times New Roman" w:hAnsi="Times New Roman" w:cs="Times New Roman"/>
          <w:color w:val="auto"/>
          <w:sz w:val="24"/>
        </w:rPr>
        <w:t xml:space="preserve"> – zgrada se može upotrebljavati. Zgrada i njezin nosivi sustav nema oštećenja. </w:t>
      </w:r>
    </w:p>
    <w:p w14:paraId="40923A5C" w14:textId="77777777" w:rsidR="0060000A" w:rsidRDefault="0060000A" w:rsidP="00AC32CB">
      <w:pPr>
        <w:spacing w:after="0" w:line="240" w:lineRule="auto"/>
        <w:ind w:right="0" w:firstLine="699"/>
        <w:rPr>
          <w:rFonts w:ascii="Times New Roman" w:hAnsi="Times New Roman" w:cs="Times New Roman"/>
          <w:color w:val="auto"/>
          <w:sz w:val="24"/>
        </w:rPr>
      </w:pPr>
      <w:r w:rsidRPr="006218CF">
        <w:rPr>
          <w:rFonts w:ascii="Times New Roman" w:hAnsi="Times New Roman" w:cs="Times New Roman"/>
          <w:i/>
          <w:color w:val="auto"/>
          <w:sz w:val="24"/>
        </w:rPr>
        <w:t>Uporabljivo bez ograničenja</w:t>
      </w:r>
      <w:r w:rsidRPr="0060000A">
        <w:rPr>
          <w:rFonts w:ascii="Times New Roman" w:hAnsi="Times New Roman" w:cs="Times New Roman"/>
          <w:color w:val="auto"/>
          <w:sz w:val="24"/>
        </w:rPr>
        <w:t xml:space="preserve"> – zgrada se može upotrebljavati. Zgrada nema oštećenja ili ima mala oštećenja koja ne predstavljaju opasnost za nosivost i uporabljivost zgrade. </w:t>
      </w:r>
    </w:p>
    <w:p w14:paraId="58065FD7" w14:textId="603A8878" w:rsidR="0060000A" w:rsidRPr="0060000A" w:rsidRDefault="0060000A" w:rsidP="00AC32CB">
      <w:pPr>
        <w:spacing w:after="0" w:line="240" w:lineRule="auto"/>
        <w:ind w:right="0" w:firstLine="699"/>
        <w:rPr>
          <w:rFonts w:ascii="Times New Roman" w:hAnsi="Times New Roman" w:cs="Times New Roman"/>
          <w:color w:val="auto"/>
          <w:sz w:val="24"/>
        </w:rPr>
      </w:pPr>
      <w:r w:rsidRPr="006218CF">
        <w:rPr>
          <w:rFonts w:ascii="Times New Roman" w:hAnsi="Times New Roman" w:cs="Times New Roman"/>
          <w:i/>
          <w:color w:val="auto"/>
          <w:sz w:val="24"/>
        </w:rPr>
        <w:lastRenderedPageBreak/>
        <w:t>Uporabljivo s preporukom</w:t>
      </w:r>
      <w:r w:rsidRPr="0060000A">
        <w:rPr>
          <w:rFonts w:ascii="Times New Roman" w:hAnsi="Times New Roman" w:cs="Times New Roman"/>
          <w:color w:val="auto"/>
          <w:sz w:val="24"/>
        </w:rPr>
        <w:t xml:space="preserve"> – zgrada se može upotrebljavati u skladu s predviđenom namjenom, osim u pojedinim dijelovima gdje postoji neposredna opasnosti za dio zgrade. Građevinski stručnjak daje preporuke za uklanjanje opasnosti (primjerice dimnjaka) i preporuke korisnicima za privremeno ograničavanje boravka u pojedinim dijelovima zgrade. Nakon uklanjanja opasnosti zgrada se može koristiti bez ograničenja. </w:t>
      </w:r>
    </w:p>
    <w:p w14:paraId="60FFAE21" w14:textId="578BC682" w:rsidR="0060000A" w:rsidRPr="0060000A" w:rsidRDefault="0060000A" w:rsidP="00AC32CB">
      <w:pPr>
        <w:spacing w:after="0" w:line="240" w:lineRule="auto"/>
        <w:ind w:right="0" w:firstLine="699"/>
        <w:rPr>
          <w:rFonts w:ascii="Times New Roman" w:hAnsi="Times New Roman" w:cs="Times New Roman"/>
          <w:color w:val="auto"/>
          <w:sz w:val="24"/>
        </w:rPr>
      </w:pPr>
      <w:r w:rsidRPr="006218CF">
        <w:rPr>
          <w:rFonts w:ascii="Times New Roman" w:hAnsi="Times New Roman" w:cs="Times New Roman"/>
          <w:i/>
          <w:color w:val="auto"/>
          <w:sz w:val="24"/>
        </w:rPr>
        <w:t>Privremeno neuporabljivo – potreban detaljan pregled</w:t>
      </w:r>
      <w:r w:rsidRPr="0060000A">
        <w:rPr>
          <w:rFonts w:ascii="Times New Roman" w:hAnsi="Times New Roman" w:cs="Times New Roman"/>
          <w:color w:val="auto"/>
          <w:sz w:val="24"/>
        </w:rPr>
        <w:t xml:space="preserve"> – zgrada ima umjerena oštećenja bez opasnosti od urušavanja. Nosivost zgrade je djelomično narušena. Ne preporučuje se boravak u zgradi. Kraći boravak u zgradi je moguć, uz savjete građevinskog stručnjaka koji se odnose na potrebne mjere i ograničenje boravka (ovisno o opasnosti). Građevinski stručnjak daje preporuke za uklanjanje opasnosti. </w:t>
      </w:r>
    </w:p>
    <w:p w14:paraId="581F7874" w14:textId="6C0DA130" w:rsidR="0060000A" w:rsidRPr="0060000A" w:rsidRDefault="0060000A" w:rsidP="00AC32CB">
      <w:pPr>
        <w:spacing w:after="0" w:line="240" w:lineRule="auto"/>
        <w:ind w:right="0" w:firstLine="699"/>
        <w:rPr>
          <w:rFonts w:ascii="Times New Roman" w:hAnsi="Times New Roman" w:cs="Times New Roman"/>
          <w:color w:val="auto"/>
          <w:sz w:val="24"/>
        </w:rPr>
      </w:pPr>
      <w:r w:rsidRPr="006218CF">
        <w:rPr>
          <w:rFonts w:ascii="Times New Roman" w:hAnsi="Times New Roman" w:cs="Times New Roman"/>
          <w:i/>
          <w:color w:val="auto"/>
          <w:sz w:val="24"/>
        </w:rPr>
        <w:t xml:space="preserve">Privremeno </w:t>
      </w:r>
      <w:r w:rsidRPr="0060000A">
        <w:rPr>
          <w:rFonts w:ascii="Times New Roman" w:hAnsi="Times New Roman" w:cs="Times New Roman"/>
          <w:color w:val="auto"/>
          <w:sz w:val="24"/>
        </w:rPr>
        <w:t xml:space="preserve">neuporabljivo – potrebne mjere hitne intervencije – zgrada ima umjerena oštećenja bez opasnosti od urušavanja, ali ne može se upotrebljavati zbog potencijalne opasnosti urušavanja pojedinih elemenata sa same zgrade. Građevinski stručnjak utvrđuje hitne mjere intervencije i daje upute korisnicima. Dok se ne provedu mjere, zgrada ili njezin dio nije uporabljiv (primjerice krovište).  </w:t>
      </w:r>
    </w:p>
    <w:p w14:paraId="6AC6619B" w14:textId="5834DB56" w:rsidR="0060000A" w:rsidRPr="0060000A" w:rsidRDefault="0060000A" w:rsidP="00AC32CB">
      <w:pPr>
        <w:spacing w:after="0" w:line="240" w:lineRule="auto"/>
        <w:ind w:right="0" w:firstLine="699"/>
        <w:rPr>
          <w:rFonts w:ascii="Times New Roman" w:hAnsi="Times New Roman" w:cs="Times New Roman"/>
          <w:color w:val="auto"/>
          <w:sz w:val="24"/>
        </w:rPr>
      </w:pPr>
      <w:r w:rsidRPr="006218CF">
        <w:rPr>
          <w:rFonts w:ascii="Times New Roman" w:hAnsi="Times New Roman" w:cs="Times New Roman"/>
          <w:i/>
          <w:color w:val="auto"/>
          <w:sz w:val="24"/>
        </w:rPr>
        <w:t>Neuporabljivo – zbog vanjskog utjecaja</w:t>
      </w:r>
      <w:r w:rsidRPr="0060000A">
        <w:rPr>
          <w:rFonts w:ascii="Times New Roman" w:hAnsi="Times New Roman" w:cs="Times New Roman"/>
          <w:color w:val="auto"/>
          <w:sz w:val="24"/>
        </w:rPr>
        <w:t xml:space="preserve"> – građevina je opasna zbog mogućnosti urušavanja masivnih dijelova susjedne građevine (najčešće zabatni zidovi i masivni dimnjaci). Uslijed takve opasnosti preporuka je da se nikako ne boravi u takvim zgradama. </w:t>
      </w:r>
    </w:p>
    <w:p w14:paraId="3BDF14E7" w14:textId="03CBCC40" w:rsidR="009E494F" w:rsidRPr="006218CF" w:rsidRDefault="0060000A" w:rsidP="00AC32CB">
      <w:pPr>
        <w:spacing w:after="0" w:line="240" w:lineRule="auto"/>
        <w:ind w:right="0" w:firstLine="699"/>
        <w:rPr>
          <w:rFonts w:ascii="Times New Roman" w:hAnsi="Times New Roman" w:cs="Times New Roman"/>
          <w:color w:val="auto"/>
          <w:sz w:val="24"/>
        </w:rPr>
      </w:pPr>
      <w:r w:rsidRPr="006218CF">
        <w:rPr>
          <w:rFonts w:ascii="Times New Roman" w:hAnsi="Times New Roman" w:cs="Times New Roman"/>
          <w:i/>
          <w:color w:val="auto"/>
          <w:sz w:val="24"/>
        </w:rPr>
        <w:t>Neuporabljivo – zbog oštećenja</w:t>
      </w:r>
      <w:r w:rsidRPr="0060000A">
        <w:rPr>
          <w:rFonts w:ascii="Times New Roman" w:hAnsi="Times New Roman" w:cs="Times New Roman"/>
          <w:color w:val="auto"/>
          <w:sz w:val="24"/>
        </w:rPr>
        <w:t xml:space="preserve"> – zgrada ima velika oštećenja u nosivom sustavu, postoje urušavanja nosivih i nenosivih elemenata. Preporuka je da se ne ulazi i </w:t>
      </w:r>
      <w:r w:rsidR="00D06311">
        <w:rPr>
          <w:rFonts w:ascii="Times New Roman" w:hAnsi="Times New Roman" w:cs="Times New Roman"/>
          <w:color w:val="auto"/>
          <w:sz w:val="24"/>
        </w:rPr>
        <w:t xml:space="preserve">ne </w:t>
      </w:r>
      <w:r w:rsidRPr="0060000A">
        <w:rPr>
          <w:rFonts w:ascii="Times New Roman" w:hAnsi="Times New Roman" w:cs="Times New Roman"/>
          <w:color w:val="auto"/>
          <w:sz w:val="24"/>
        </w:rPr>
        <w:t>boravi u zgradi.</w:t>
      </w:r>
    </w:p>
    <w:p w14:paraId="4FBBB4C1" w14:textId="7F65027C" w:rsidR="005F55F3" w:rsidRDefault="00451D86" w:rsidP="005F55F3">
      <w:pPr>
        <w:spacing w:after="0" w:line="240" w:lineRule="auto"/>
        <w:ind w:left="0" w:right="0" w:firstLine="709"/>
        <w:rPr>
          <w:rFonts w:ascii="Times New Roman" w:hAnsi="Times New Roman" w:cs="Times New Roman"/>
          <w:color w:val="auto"/>
          <w:sz w:val="24"/>
        </w:rPr>
      </w:pPr>
      <w:r>
        <w:rPr>
          <w:rFonts w:ascii="Times New Roman" w:hAnsi="Times New Roman" w:cs="Times New Roman"/>
          <w:color w:val="auto"/>
          <w:sz w:val="24"/>
        </w:rPr>
        <w:t>Problem predstavlja činjenica što k</w:t>
      </w:r>
      <w:r w:rsidR="00C45A67" w:rsidRPr="00C45A67">
        <w:rPr>
          <w:rFonts w:ascii="Times New Roman" w:hAnsi="Times New Roman" w:cs="Times New Roman"/>
          <w:color w:val="auto"/>
          <w:sz w:val="24"/>
        </w:rPr>
        <w:t xml:space="preserve">ulturnu baštinu čine zgrade većinom starije od 70 godina, građene prema propisima koji su vrijedili u vrijeme njihove izgradnje i koji ne zadovoljavaju suvremene standarde gradnje. Konstruktivno stanje im je dodatno narušeno potresom čime je dovedeno u pitanje njihovo sigurno korištenje. Većina zgrada koje imaju određeni status zaštite kao kulturno dobro, zidane su konstrukcije i prema usvojenim europskim standardima imaju minimalnu </w:t>
      </w:r>
      <w:r w:rsidR="00077BE4">
        <w:rPr>
          <w:rFonts w:ascii="Times New Roman" w:hAnsi="Times New Roman" w:cs="Times New Roman"/>
          <w:color w:val="auto"/>
          <w:sz w:val="24"/>
        </w:rPr>
        <w:t xml:space="preserve">(inicijalnu) </w:t>
      </w:r>
      <w:r w:rsidR="00C45A67" w:rsidRPr="00C45A67">
        <w:rPr>
          <w:rFonts w:ascii="Times New Roman" w:hAnsi="Times New Roman" w:cs="Times New Roman"/>
          <w:color w:val="auto"/>
          <w:sz w:val="24"/>
        </w:rPr>
        <w:t xml:space="preserve">razinu potresne otpornosti, što </w:t>
      </w:r>
      <w:r w:rsidR="00077BE4">
        <w:rPr>
          <w:rFonts w:ascii="Times New Roman" w:hAnsi="Times New Roman" w:cs="Times New Roman"/>
          <w:color w:val="auto"/>
          <w:sz w:val="24"/>
        </w:rPr>
        <w:t xml:space="preserve">ih čini vrlo oštetljivim kod potresa većih i razornijih magnituda. </w:t>
      </w:r>
      <w:r w:rsidR="00C45A67" w:rsidRPr="00C45A67">
        <w:rPr>
          <w:rFonts w:ascii="Times New Roman" w:hAnsi="Times New Roman" w:cs="Times New Roman"/>
          <w:color w:val="auto"/>
          <w:sz w:val="24"/>
        </w:rPr>
        <w:t>Većina zgrada starijih od 100 godina u centru Grada Zagreba su znatno oštećene, a neke</w:t>
      </w:r>
      <w:r w:rsidR="00C45A67">
        <w:rPr>
          <w:rFonts w:ascii="Times New Roman" w:hAnsi="Times New Roman" w:cs="Times New Roman"/>
          <w:color w:val="auto"/>
          <w:sz w:val="24"/>
        </w:rPr>
        <w:t xml:space="preserve"> </w:t>
      </w:r>
      <w:r w:rsidR="00C45A67" w:rsidRPr="00C45A67">
        <w:rPr>
          <w:rFonts w:ascii="Times New Roman" w:hAnsi="Times New Roman" w:cs="Times New Roman"/>
          <w:color w:val="auto"/>
          <w:sz w:val="24"/>
        </w:rPr>
        <w:t>zgrade koje nemaju značaj graditeljske baštine morat će se srušiti jer obnova tako slabe</w:t>
      </w:r>
      <w:r w:rsidR="00C45A67">
        <w:rPr>
          <w:rFonts w:ascii="Times New Roman" w:hAnsi="Times New Roman" w:cs="Times New Roman"/>
          <w:color w:val="auto"/>
          <w:sz w:val="24"/>
        </w:rPr>
        <w:t xml:space="preserve"> </w:t>
      </w:r>
      <w:r w:rsidR="00C45A67" w:rsidRPr="00C45A67">
        <w:rPr>
          <w:rFonts w:ascii="Times New Roman" w:hAnsi="Times New Roman" w:cs="Times New Roman"/>
          <w:color w:val="auto"/>
          <w:sz w:val="24"/>
        </w:rPr>
        <w:t>konstrukcije nije isplativa.</w:t>
      </w:r>
    </w:p>
    <w:p w14:paraId="47E72523" w14:textId="3BC3E404" w:rsidR="00836CBC" w:rsidRDefault="005F55F3" w:rsidP="00836CBC">
      <w:pPr>
        <w:spacing w:after="0" w:line="240" w:lineRule="auto"/>
        <w:ind w:left="0" w:right="0" w:firstLine="709"/>
        <w:rPr>
          <w:rFonts w:ascii="Times New Roman" w:hAnsi="Times New Roman" w:cs="Times New Roman"/>
          <w:color w:val="auto"/>
          <w:sz w:val="24"/>
        </w:rPr>
      </w:pPr>
      <w:r w:rsidRPr="005F55F3">
        <w:rPr>
          <w:rFonts w:ascii="Times New Roman" w:hAnsi="Times New Roman" w:cs="Times New Roman"/>
          <w:color w:val="auto"/>
          <w:sz w:val="24"/>
        </w:rPr>
        <w:t>Najveća oštećenja pretrpjeli su vjerski i javni objekti. To su uglavnom zidane</w:t>
      </w:r>
      <w:r>
        <w:rPr>
          <w:rFonts w:ascii="Times New Roman" w:hAnsi="Times New Roman" w:cs="Times New Roman"/>
          <w:color w:val="auto"/>
          <w:sz w:val="24"/>
        </w:rPr>
        <w:t xml:space="preserve"> </w:t>
      </w:r>
      <w:r w:rsidRPr="005F55F3">
        <w:rPr>
          <w:rFonts w:ascii="Times New Roman" w:hAnsi="Times New Roman" w:cs="Times New Roman"/>
          <w:color w:val="auto"/>
          <w:sz w:val="24"/>
        </w:rPr>
        <w:t xml:space="preserve">građevine s </w:t>
      </w:r>
      <w:r w:rsidR="00687F92">
        <w:rPr>
          <w:rFonts w:ascii="Times New Roman" w:hAnsi="Times New Roman" w:cs="Times New Roman"/>
          <w:color w:val="auto"/>
          <w:sz w:val="24"/>
        </w:rPr>
        <w:t xml:space="preserve">nepovoljnim konstrukcijskim sustavom koji uključuje </w:t>
      </w:r>
      <w:r w:rsidRPr="005F55F3">
        <w:rPr>
          <w:rFonts w:ascii="Times New Roman" w:hAnsi="Times New Roman" w:cs="Times New Roman"/>
          <w:color w:val="auto"/>
          <w:sz w:val="24"/>
        </w:rPr>
        <w:t>nosiv</w:t>
      </w:r>
      <w:r w:rsidR="001726D1">
        <w:rPr>
          <w:rFonts w:ascii="Times New Roman" w:hAnsi="Times New Roman" w:cs="Times New Roman"/>
          <w:color w:val="auto"/>
          <w:sz w:val="24"/>
        </w:rPr>
        <w:t>e</w:t>
      </w:r>
      <w:r w:rsidRPr="005F55F3">
        <w:rPr>
          <w:rFonts w:ascii="Times New Roman" w:hAnsi="Times New Roman" w:cs="Times New Roman"/>
          <w:color w:val="auto"/>
          <w:sz w:val="24"/>
        </w:rPr>
        <w:t xml:space="preserve"> zidov</w:t>
      </w:r>
      <w:r w:rsidR="001726D1">
        <w:rPr>
          <w:rFonts w:ascii="Times New Roman" w:hAnsi="Times New Roman" w:cs="Times New Roman"/>
          <w:color w:val="auto"/>
          <w:sz w:val="24"/>
        </w:rPr>
        <w:t>e</w:t>
      </w:r>
      <w:r w:rsidRPr="005F55F3">
        <w:rPr>
          <w:rFonts w:ascii="Times New Roman" w:hAnsi="Times New Roman" w:cs="Times New Roman"/>
          <w:color w:val="auto"/>
          <w:sz w:val="24"/>
        </w:rPr>
        <w:t>, stupovima, lukovima i svodovima različitih oblika. Zagrebačka katedrala pretrpjela je djelomično urušavanje sjevernog tornja. Bazilika svetog</w:t>
      </w:r>
      <w:r>
        <w:rPr>
          <w:rFonts w:ascii="Times New Roman" w:hAnsi="Times New Roman" w:cs="Times New Roman"/>
          <w:color w:val="auto"/>
          <w:sz w:val="24"/>
        </w:rPr>
        <w:t xml:space="preserve"> </w:t>
      </w:r>
      <w:r w:rsidRPr="005F55F3">
        <w:rPr>
          <w:rFonts w:ascii="Times New Roman" w:hAnsi="Times New Roman" w:cs="Times New Roman"/>
          <w:color w:val="auto"/>
          <w:sz w:val="24"/>
        </w:rPr>
        <w:t>Srca Isusova, crkva sv. Franje Asiškog, crkva sv. Katarine i dijelovi</w:t>
      </w:r>
      <w:r>
        <w:rPr>
          <w:rFonts w:ascii="Times New Roman" w:hAnsi="Times New Roman" w:cs="Times New Roman"/>
          <w:color w:val="auto"/>
          <w:sz w:val="24"/>
        </w:rPr>
        <w:t xml:space="preserve"> </w:t>
      </w:r>
      <w:r w:rsidRPr="005F55F3">
        <w:rPr>
          <w:rFonts w:ascii="Times New Roman" w:hAnsi="Times New Roman" w:cs="Times New Roman"/>
          <w:color w:val="auto"/>
          <w:sz w:val="24"/>
        </w:rPr>
        <w:t>Muzej</w:t>
      </w:r>
      <w:r>
        <w:rPr>
          <w:rFonts w:ascii="Times New Roman" w:hAnsi="Times New Roman" w:cs="Times New Roman"/>
          <w:color w:val="auto"/>
          <w:sz w:val="24"/>
        </w:rPr>
        <w:t>a</w:t>
      </w:r>
      <w:r w:rsidRPr="005F55F3">
        <w:rPr>
          <w:rFonts w:ascii="Times New Roman" w:hAnsi="Times New Roman" w:cs="Times New Roman"/>
          <w:color w:val="auto"/>
          <w:sz w:val="24"/>
        </w:rPr>
        <w:t xml:space="preserve"> za umjetnost i obrt</w:t>
      </w:r>
      <w:r>
        <w:rPr>
          <w:rFonts w:ascii="Times New Roman" w:hAnsi="Times New Roman" w:cs="Times New Roman"/>
          <w:color w:val="auto"/>
          <w:sz w:val="24"/>
        </w:rPr>
        <w:t xml:space="preserve"> također su pretrpjeli značajna oštećenja. </w:t>
      </w:r>
      <w:r w:rsidRPr="005F55F3">
        <w:rPr>
          <w:rFonts w:ascii="Times New Roman" w:hAnsi="Times New Roman" w:cs="Times New Roman"/>
          <w:color w:val="auto"/>
          <w:sz w:val="24"/>
        </w:rPr>
        <w:t>Među zgradama koje zauzimaju vladine institucije, potres je oštetio</w:t>
      </w:r>
      <w:r>
        <w:rPr>
          <w:rFonts w:ascii="Times New Roman" w:hAnsi="Times New Roman" w:cs="Times New Roman"/>
          <w:color w:val="auto"/>
          <w:sz w:val="24"/>
        </w:rPr>
        <w:t xml:space="preserve"> </w:t>
      </w:r>
      <w:r w:rsidRPr="005F55F3">
        <w:rPr>
          <w:rFonts w:ascii="Times New Roman" w:hAnsi="Times New Roman" w:cs="Times New Roman"/>
          <w:color w:val="auto"/>
          <w:sz w:val="24"/>
        </w:rPr>
        <w:t>Ministarstvo financija, zgrad</w:t>
      </w:r>
      <w:r>
        <w:rPr>
          <w:rFonts w:ascii="Times New Roman" w:hAnsi="Times New Roman" w:cs="Times New Roman"/>
          <w:color w:val="auto"/>
          <w:sz w:val="24"/>
        </w:rPr>
        <w:t>u</w:t>
      </w:r>
      <w:r w:rsidRPr="005F55F3">
        <w:rPr>
          <w:rFonts w:ascii="Times New Roman" w:hAnsi="Times New Roman" w:cs="Times New Roman"/>
          <w:color w:val="auto"/>
          <w:sz w:val="24"/>
        </w:rPr>
        <w:t xml:space="preserve"> </w:t>
      </w:r>
      <w:r>
        <w:rPr>
          <w:rFonts w:ascii="Times New Roman" w:hAnsi="Times New Roman" w:cs="Times New Roman"/>
          <w:color w:val="auto"/>
          <w:sz w:val="24"/>
        </w:rPr>
        <w:t>V</w:t>
      </w:r>
      <w:r w:rsidRPr="005F55F3">
        <w:rPr>
          <w:rFonts w:ascii="Times New Roman" w:hAnsi="Times New Roman" w:cs="Times New Roman"/>
          <w:color w:val="auto"/>
          <w:sz w:val="24"/>
        </w:rPr>
        <w:t>lade poznat</w:t>
      </w:r>
      <w:r>
        <w:rPr>
          <w:rFonts w:ascii="Times New Roman" w:hAnsi="Times New Roman" w:cs="Times New Roman"/>
          <w:color w:val="auto"/>
          <w:sz w:val="24"/>
        </w:rPr>
        <w:t>u</w:t>
      </w:r>
      <w:r w:rsidRPr="005F55F3">
        <w:rPr>
          <w:rFonts w:ascii="Times New Roman" w:hAnsi="Times New Roman" w:cs="Times New Roman"/>
          <w:color w:val="auto"/>
          <w:sz w:val="24"/>
        </w:rPr>
        <w:t xml:space="preserve"> kao Banski dvori, Ministarstvo graditeljstva</w:t>
      </w:r>
      <w:r>
        <w:rPr>
          <w:rFonts w:ascii="Times New Roman" w:hAnsi="Times New Roman" w:cs="Times New Roman"/>
          <w:color w:val="auto"/>
          <w:sz w:val="24"/>
        </w:rPr>
        <w:t xml:space="preserve"> </w:t>
      </w:r>
      <w:r w:rsidRPr="005F55F3">
        <w:rPr>
          <w:rFonts w:ascii="Times New Roman" w:hAnsi="Times New Roman" w:cs="Times New Roman"/>
          <w:color w:val="auto"/>
          <w:sz w:val="24"/>
        </w:rPr>
        <w:t>i prostornog uređenja, Hrvatski sabor i nekoliko drugih.</w:t>
      </w:r>
      <w:r>
        <w:rPr>
          <w:rFonts w:ascii="Times New Roman" w:hAnsi="Times New Roman" w:cs="Times New Roman"/>
          <w:color w:val="auto"/>
          <w:sz w:val="24"/>
        </w:rPr>
        <w:t xml:space="preserve"> </w:t>
      </w:r>
      <w:r w:rsidRPr="005F55F3">
        <w:rPr>
          <w:rFonts w:ascii="Times New Roman" w:hAnsi="Times New Roman" w:cs="Times New Roman"/>
          <w:color w:val="auto"/>
          <w:sz w:val="24"/>
        </w:rPr>
        <w:t>Potresom su narušena određena obilježja zagrebačkog urbanog ambijenta.</w:t>
      </w:r>
      <w:r>
        <w:rPr>
          <w:rFonts w:ascii="Times New Roman" w:hAnsi="Times New Roman" w:cs="Times New Roman"/>
          <w:color w:val="auto"/>
          <w:sz w:val="24"/>
        </w:rPr>
        <w:t xml:space="preserve"> </w:t>
      </w:r>
      <w:r w:rsidRPr="005F55F3">
        <w:rPr>
          <w:rFonts w:ascii="Times New Roman" w:hAnsi="Times New Roman" w:cs="Times New Roman"/>
          <w:color w:val="auto"/>
          <w:sz w:val="24"/>
        </w:rPr>
        <w:t xml:space="preserve">Oštećeni su jedinstveni stilski i dekorativni elementi mnogih njegovih povijesnih objekata, te je bilo potrebno ukloniti mnoge nestabilne </w:t>
      </w:r>
      <w:r>
        <w:rPr>
          <w:rFonts w:ascii="Times New Roman" w:hAnsi="Times New Roman" w:cs="Times New Roman"/>
          <w:color w:val="auto"/>
          <w:sz w:val="24"/>
        </w:rPr>
        <w:t>dijelove</w:t>
      </w:r>
      <w:r w:rsidRPr="005F55F3">
        <w:rPr>
          <w:rFonts w:ascii="Times New Roman" w:hAnsi="Times New Roman" w:cs="Times New Roman"/>
          <w:color w:val="auto"/>
          <w:sz w:val="24"/>
        </w:rPr>
        <w:t>. Velik dio štete</w:t>
      </w:r>
      <w:r>
        <w:rPr>
          <w:rFonts w:ascii="Times New Roman" w:hAnsi="Times New Roman" w:cs="Times New Roman"/>
          <w:color w:val="auto"/>
          <w:sz w:val="24"/>
        </w:rPr>
        <w:t xml:space="preserve"> uključivao </w:t>
      </w:r>
      <w:r w:rsidRPr="005F55F3">
        <w:rPr>
          <w:rFonts w:ascii="Times New Roman" w:hAnsi="Times New Roman" w:cs="Times New Roman"/>
          <w:color w:val="auto"/>
          <w:sz w:val="24"/>
        </w:rPr>
        <w:t>je urušavanje dimnjaka, zabata, potkrovlja, istaknutih vijenaca i drug</w:t>
      </w:r>
      <w:r>
        <w:rPr>
          <w:rFonts w:ascii="Times New Roman" w:hAnsi="Times New Roman" w:cs="Times New Roman"/>
          <w:color w:val="auto"/>
          <w:sz w:val="24"/>
        </w:rPr>
        <w:t xml:space="preserve">ih </w:t>
      </w:r>
      <w:r w:rsidRPr="005F55F3">
        <w:rPr>
          <w:rFonts w:ascii="Times New Roman" w:hAnsi="Times New Roman" w:cs="Times New Roman"/>
          <w:color w:val="auto"/>
          <w:sz w:val="24"/>
        </w:rPr>
        <w:t>elemen</w:t>
      </w:r>
      <w:r>
        <w:rPr>
          <w:rFonts w:ascii="Times New Roman" w:hAnsi="Times New Roman" w:cs="Times New Roman"/>
          <w:color w:val="auto"/>
          <w:sz w:val="24"/>
        </w:rPr>
        <w:t>ata</w:t>
      </w:r>
      <w:r w:rsidRPr="005F55F3">
        <w:rPr>
          <w:rFonts w:ascii="Times New Roman" w:hAnsi="Times New Roman" w:cs="Times New Roman"/>
          <w:color w:val="auto"/>
          <w:sz w:val="24"/>
        </w:rPr>
        <w:t>. Takva urušavanja prouzročila su značajna oštećenja krovnih pokrivača, rešetki i pod</w:t>
      </w:r>
      <w:r>
        <w:rPr>
          <w:rFonts w:ascii="Times New Roman" w:hAnsi="Times New Roman" w:cs="Times New Roman"/>
          <w:color w:val="auto"/>
          <w:sz w:val="24"/>
        </w:rPr>
        <w:t xml:space="preserve">a </w:t>
      </w:r>
      <w:r w:rsidRPr="005F55F3">
        <w:rPr>
          <w:rFonts w:ascii="Times New Roman" w:hAnsi="Times New Roman" w:cs="Times New Roman"/>
          <w:color w:val="auto"/>
          <w:sz w:val="24"/>
        </w:rPr>
        <w:t>strukture. Oštećenje pokretne kulturne baštine zahvatilo je i zbirke muzeja</w:t>
      </w:r>
      <w:r>
        <w:rPr>
          <w:rFonts w:ascii="Times New Roman" w:hAnsi="Times New Roman" w:cs="Times New Roman"/>
          <w:color w:val="auto"/>
          <w:sz w:val="24"/>
        </w:rPr>
        <w:t xml:space="preserve"> i</w:t>
      </w:r>
      <w:r w:rsidRPr="005F55F3">
        <w:rPr>
          <w:rFonts w:ascii="Times New Roman" w:hAnsi="Times New Roman" w:cs="Times New Roman"/>
          <w:color w:val="auto"/>
          <w:sz w:val="24"/>
        </w:rPr>
        <w:t xml:space="preserve"> galerij</w:t>
      </w:r>
      <w:r>
        <w:rPr>
          <w:rFonts w:ascii="Times New Roman" w:hAnsi="Times New Roman" w:cs="Times New Roman"/>
          <w:color w:val="auto"/>
          <w:sz w:val="24"/>
        </w:rPr>
        <w:t>a</w:t>
      </w:r>
      <w:r w:rsidRPr="005F55F3">
        <w:rPr>
          <w:rFonts w:ascii="Times New Roman" w:hAnsi="Times New Roman" w:cs="Times New Roman"/>
          <w:color w:val="auto"/>
          <w:sz w:val="24"/>
        </w:rPr>
        <w:t>, vjerski inventar i druga kulturna dobra u vlasništvu državnih ustanova od</w:t>
      </w:r>
      <w:r>
        <w:rPr>
          <w:rFonts w:ascii="Times New Roman" w:hAnsi="Times New Roman" w:cs="Times New Roman"/>
          <w:color w:val="auto"/>
          <w:sz w:val="24"/>
        </w:rPr>
        <w:t xml:space="preserve">nosno </w:t>
      </w:r>
      <w:r w:rsidRPr="005F55F3">
        <w:rPr>
          <w:rFonts w:ascii="Times New Roman" w:hAnsi="Times New Roman" w:cs="Times New Roman"/>
          <w:color w:val="auto"/>
          <w:sz w:val="24"/>
        </w:rPr>
        <w:t>privatni</w:t>
      </w:r>
      <w:r>
        <w:rPr>
          <w:rFonts w:ascii="Times New Roman" w:hAnsi="Times New Roman" w:cs="Times New Roman"/>
          <w:color w:val="auto"/>
          <w:sz w:val="24"/>
        </w:rPr>
        <w:t>h</w:t>
      </w:r>
      <w:r w:rsidRPr="005F55F3">
        <w:rPr>
          <w:rFonts w:ascii="Times New Roman" w:hAnsi="Times New Roman" w:cs="Times New Roman"/>
          <w:color w:val="auto"/>
          <w:sz w:val="24"/>
        </w:rPr>
        <w:t xml:space="preserve"> subjek</w:t>
      </w:r>
      <w:r>
        <w:rPr>
          <w:rFonts w:ascii="Times New Roman" w:hAnsi="Times New Roman" w:cs="Times New Roman"/>
          <w:color w:val="auto"/>
          <w:sz w:val="24"/>
        </w:rPr>
        <w:t>ata</w:t>
      </w:r>
      <w:r w:rsidRPr="005F55F3">
        <w:rPr>
          <w:rFonts w:ascii="Times New Roman" w:hAnsi="Times New Roman" w:cs="Times New Roman"/>
          <w:color w:val="auto"/>
          <w:sz w:val="24"/>
        </w:rPr>
        <w:t>.</w:t>
      </w:r>
    </w:p>
    <w:p w14:paraId="04416AA9" w14:textId="13C85217" w:rsidR="00D45E3A" w:rsidRDefault="00836CBC">
      <w:pPr>
        <w:spacing w:after="0" w:line="240" w:lineRule="auto"/>
        <w:ind w:left="0" w:right="0" w:firstLine="709"/>
        <w:rPr>
          <w:rFonts w:ascii="Times New Roman" w:hAnsi="Times New Roman" w:cs="Times New Roman"/>
          <w:color w:val="auto"/>
          <w:sz w:val="24"/>
        </w:rPr>
      </w:pPr>
      <w:r>
        <w:rPr>
          <w:rFonts w:ascii="Times New Roman" w:hAnsi="Times New Roman" w:cs="Times New Roman"/>
          <w:color w:val="auto"/>
          <w:sz w:val="24"/>
        </w:rPr>
        <w:t xml:space="preserve">Kada je riječ o zdravstvenom sektoru, </w:t>
      </w:r>
      <w:r w:rsidRPr="00836CBC">
        <w:rPr>
          <w:rFonts w:ascii="Times New Roman" w:hAnsi="Times New Roman" w:cs="Times New Roman"/>
          <w:color w:val="auto"/>
          <w:sz w:val="24"/>
        </w:rPr>
        <w:t xml:space="preserve">pet zgrada </w:t>
      </w:r>
      <w:r>
        <w:rPr>
          <w:rFonts w:ascii="Times New Roman" w:hAnsi="Times New Roman" w:cs="Times New Roman"/>
          <w:color w:val="auto"/>
          <w:sz w:val="24"/>
        </w:rPr>
        <w:t xml:space="preserve">je proglašeno </w:t>
      </w:r>
      <w:r w:rsidRPr="00836CBC">
        <w:rPr>
          <w:rFonts w:ascii="Times New Roman" w:hAnsi="Times New Roman" w:cs="Times New Roman"/>
          <w:color w:val="auto"/>
          <w:sz w:val="24"/>
        </w:rPr>
        <w:t>privremeno ili trajno nesigurnima</w:t>
      </w:r>
      <w:r>
        <w:rPr>
          <w:rFonts w:ascii="Times New Roman" w:hAnsi="Times New Roman" w:cs="Times New Roman"/>
          <w:color w:val="auto"/>
          <w:sz w:val="24"/>
        </w:rPr>
        <w:t xml:space="preserve"> za</w:t>
      </w:r>
      <w:r w:rsidRPr="00836CBC">
        <w:rPr>
          <w:rFonts w:ascii="Times New Roman" w:hAnsi="Times New Roman" w:cs="Times New Roman"/>
          <w:color w:val="auto"/>
          <w:sz w:val="24"/>
        </w:rPr>
        <w:t xml:space="preserve"> korištenje</w:t>
      </w:r>
      <w:r>
        <w:rPr>
          <w:rFonts w:ascii="Times New Roman" w:hAnsi="Times New Roman" w:cs="Times New Roman"/>
          <w:color w:val="auto"/>
          <w:sz w:val="24"/>
        </w:rPr>
        <w:t xml:space="preserve">. </w:t>
      </w:r>
      <w:r w:rsidRPr="00836CBC">
        <w:rPr>
          <w:rFonts w:ascii="Times New Roman" w:hAnsi="Times New Roman" w:cs="Times New Roman"/>
          <w:color w:val="auto"/>
          <w:sz w:val="24"/>
        </w:rPr>
        <w:t>Kao i</w:t>
      </w:r>
      <w:r>
        <w:rPr>
          <w:rFonts w:ascii="Times New Roman" w:hAnsi="Times New Roman" w:cs="Times New Roman"/>
          <w:color w:val="auto"/>
          <w:sz w:val="24"/>
        </w:rPr>
        <w:t xml:space="preserve"> </w:t>
      </w:r>
      <w:r w:rsidRPr="00836CBC">
        <w:rPr>
          <w:rFonts w:ascii="Times New Roman" w:hAnsi="Times New Roman" w:cs="Times New Roman"/>
          <w:color w:val="auto"/>
          <w:sz w:val="24"/>
        </w:rPr>
        <w:t>zgrade, oprema u tim bolnicama (kao što su inkubatori u Dječjoj bolnici Srebrnjak),</w:t>
      </w:r>
      <w:r>
        <w:rPr>
          <w:rFonts w:ascii="Times New Roman" w:hAnsi="Times New Roman" w:cs="Times New Roman"/>
          <w:color w:val="auto"/>
          <w:sz w:val="24"/>
        </w:rPr>
        <w:t xml:space="preserve"> </w:t>
      </w:r>
      <w:r w:rsidRPr="00836CBC">
        <w:rPr>
          <w:rFonts w:ascii="Times New Roman" w:hAnsi="Times New Roman" w:cs="Times New Roman"/>
          <w:color w:val="auto"/>
          <w:sz w:val="24"/>
        </w:rPr>
        <w:t xml:space="preserve">također su oštećeni potresom. Mnoge zgrade </w:t>
      </w:r>
      <w:r>
        <w:rPr>
          <w:rFonts w:ascii="Times New Roman" w:hAnsi="Times New Roman" w:cs="Times New Roman"/>
          <w:color w:val="auto"/>
          <w:sz w:val="24"/>
        </w:rPr>
        <w:t xml:space="preserve">u kojima se </w:t>
      </w:r>
      <w:r w:rsidRPr="00836CBC">
        <w:rPr>
          <w:rFonts w:ascii="Times New Roman" w:hAnsi="Times New Roman" w:cs="Times New Roman"/>
          <w:color w:val="auto"/>
          <w:sz w:val="24"/>
        </w:rPr>
        <w:t>pružaju zdravstvene usluge za djec</w:t>
      </w:r>
      <w:r>
        <w:rPr>
          <w:rFonts w:ascii="Times New Roman" w:hAnsi="Times New Roman" w:cs="Times New Roman"/>
          <w:color w:val="auto"/>
          <w:sz w:val="24"/>
        </w:rPr>
        <w:t xml:space="preserve">u </w:t>
      </w:r>
      <w:r w:rsidRPr="00836CBC">
        <w:rPr>
          <w:rFonts w:ascii="Times New Roman" w:hAnsi="Times New Roman" w:cs="Times New Roman"/>
          <w:color w:val="auto"/>
          <w:sz w:val="24"/>
        </w:rPr>
        <w:t>izgrađene su početkom 1900-ih, a sve su ili pojedinačno zaštićene kao kulturna baština ili</w:t>
      </w:r>
      <w:r>
        <w:rPr>
          <w:rFonts w:ascii="Times New Roman" w:hAnsi="Times New Roman" w:cs="Times New Roman"/>
          <w:color w:val="auto"/>
          <w:sz w:val="24"/>
        </w:rPr>
        <w:t xml:space="preserve"> se </w:t>
      </w:r>
      <w:r w:rsidRPr="00836CBC">
        <w:rPr>
          <w:rFonts w:ascii="Times New Roman" w:hAnsi="Times New Roman" w:cs="Times New Roman"/>
          <w:color w:val="auto"/>
          <w:sz w:val="24"/>
        </w:rPr>
        <w:t>nalaz</w:t>
      </w:r>
      <w:r>
        <w:rPr>
          <w:rFonts w:ascii="Times New Roman" w:hAnsi="Times New Roman" w:cs="Times New Roman"/>
          <w:color w:val="auto"/>
          <w:sz w:val="24"/>
        </w:rPr>
        <w:t xml:space="preserve">e </w:t>
      </w:r>
      <w:r w:rsidRPr="00836CBC">
        <w:rPr>
          <w:rFonts w:ascii="Times New Roman" w:hAnsi="Times New Roman" w:cs="Times New Roman"/>
          <w:color w:val="auto"/>
          <w:sz w:val="24"/>
        </w:rPr>
        <w:t>u dijelu grada koji je pod zaštitom. Potres</w:t>
      </w:r>
      <w:r>
        <w:rPr>
          <w:rFonts w:ascii="Times New Roman" w:hAnsi="Times New Roman" w:cs="Times New Roman"/>
          <w:color w:val="auto"/>
          <w:sz w:val="24"/>
        </w:rPr>
        <w:t xml:space="preserve"> je istaknuo</w:t>
      </w:r>
      <w:r w:rsidRPr="00836CBC">
        <w:rPr>
          <w:rFonts w:ascii="Times New Roman" w:hAnsi="Times New Roman" w:cs="Times New Roman"/>
          <w:color w:val="auto"/>
          <w:sz w:val="24"/>
        </w:rPr>
        <w:t xml:space="preserve"> </w:t>
      </w:r>
      <w:r w:rsidR="00087825">
        <w:rPr>
          <w:rFonts w:ascii="Times New Roman" w:hAnsi="Times New Roman" w:cs="Times New Roman"/>
          <w:color w:val="auto"/>
          <w:sz w:val="24"/>
        </w:rPr>
        <w:lastRenderedPageBreak/>
        <w:t>oštetljivost</w:t>
      </w:r>
      <w:r w:rsidRPr="00836CBC">
        <w:rPr>
          <w:rFonts w:ascii="Times New Roman" w:hAnsi="Times New Roman" w:cs="Times New Roman"/>
          <w:color w:val="auto"/>
          <w:sz w:val="24"/>
        </w:rPr>
        <w:t xml:space="preserve"> ovih zgrada </w:t>
      </w:r>
      <w:r w:rsidR="00087825">
        <w:rPr>
          <w:rFonts w:ascii="Times New Roman" w:hAnsi="Times New Roman" w:cs="Times New Roman"/>
          <w:color w:val="auto"/>
          <w:sz w:val="24"/>
        </w:rPr>
        <w:t xml:space="preserve">na djelovanje potresa </w:t>
      </w:r>
      <w:r w:rsidRPr="00836CBC">
        <w:rPr>
          <w:rFonts w:ascii="Times New Roman" w:hAnsi="Times New Roman" w:cs="Times New Roman"/>
          <w:color w:val="auto"/>
          <w:sz w:val="24"/>
        </w:rPr>
        <w:t>i njihovih ograničenja u pružanju</w:t>
      </w:r>
      <w:r>
        <w:rPr>
          <w:rFonts w:ascii="Times New Roman" w:hAnsi="Times New Roman" w:cs="Times New Roman"/>
          <w:color w:val="auto"/>
          <w:sz w:val="24"/>
        </w:rPr>
        <w:t xml:space="preserve"> </w:t>
      </w:r>
      <w:r w:rsidRPr="00836CBC">
        <w:rPr>
          <w:rFonts w:ascii="Times New Roman" w:hAnsi="Times New Roman" w:cs="Times New Roman"/>
          <w:color w:val="auto"/>
          <w:sz w:val="24"/>
        </w:rPr>
        <w:t>održive zdravstvene usluge.</w:t>
      </w:r>
    </w:p>
    <w:p w14:paraId="5DEB3FB7" w14:textId="6850E019" w:rsidR="0003514B" w:rsidRDefault="0003514B" w:rsidP="0003514B">
      <w:pPr>
        <w:spacing w:after="0" w:line="240" w:lineRule="auto"/>
        <w:ind w:right="0"/>
        <w:rPr>
          <w:rFonts w:ascii="Times New Roman" w:hAnsi="Times New Roman" w:cs="Times New Roman"/>
          <w:color w:val="auto"/>
          <w:sz w:val="24"/>
        </w:rPr>
      </w:pPr>
      <w:r w:rsidRPr="0003514B">
        <w:rPr>
          <w:rFonts w:ascii="Times New Roman" w:hAnsi="Times New Roman" w:cs="Times New Roman"/>
          <w:color w:val="auto"/>
          <w:sz w:val="24"/>
        </w:rPr>
        <w:t>Prema podacima Grada Zagreba i ministarstva nadležnog za znanost i obrazovanje oštećeno</w:t>
      </w:r>
      <w:r>
        <w:rPr>
          <w:rFonts w:ascii="Times New Roman" w:hAnsi="Times New Roman" w:cs="Times New Roman"/>
          <w:color w:val="auto"/>
          <w:sz w:val="24"/>
        </w:rPr>
        <w:t xml:space="preserve"> </w:t>
      </w:r>
      <w:r w:rsidRPr="0003514B">
        <w:rPr>
          <w:rFonts w:ascii="Times New Roman" w:hAnsi="Times New Roman" w:cs="Times New Roman"/>
          <w:color w:val="auto"/>
          <w:sz w:val="24"/>
        </w:rPr>
        <w:t>je:</w:t>
      </w:r>
    </w:p>
    <w:p w14:paraId="24F83E9A" w14:textId="67D9F72B" w:rsidR="0003514B" w:rsidRDefault="0003514B" w:rsidP="0014113B">
      <w:pPr>
        <w:pStyle w:val="ListParagraph"/>
        <w:numPr>
          <w:ilvl w:val="0"/>
          <w:numId w:val="1"/>
        </w:numPr>
        <w:spacing w:after="0" w:line="240" w:lineRule="auto"/>
        <w:ind w:right="0"/>
        <w:rPr>
          <w:rFonts w:ascii="Times New Roman" w:hAnsi="Times New Roman" w:cs="Times New Roman"/>
          <w:color w:val="auto"/>
          <w:sz w:val="24"/>
        </w:rPr>
      </w:pPr>
      <w:r w:rsidRPr="00763495">
        <w:rPr>
          <w:rFonts w:ascii="Times New Roman" w:hAnsi="Times New Roman" w:cs="Times New Roman"/>
          <w:color w:val="auto"/>
          <w:sz w:val="24"/>
        </w:rPr>
        <w:t>dječji vrtići (7 objekata sa žutom oznakom i 32 objekta sa zelenom oznakom)</w:t>
      </w:r>
    </w:p>
    <w:p w14:paraId="62865BBB" w14:textId="2FEC2CF9" w:rsidR="0003514B" w:rsidRDefault="0003514B" w:rsidP="0014113B">
      <w:pPr>
        <w:pStyle w:val="ListParagraph"/>
        <w:numPr>
          <w:ilvl w:val="0"/>
          <w:numId w:val="1"/>
        </w:numPr>
        <w:spacing w:after="0" w:line="240" w:lineRule="auto"/>
        <w:ind w:right="0"/>
        <w:rPr>
          <w:rFonts w:ascii="Times New Roman" w:hAnsi="Times New Roman" w:cs="Times New Roman"/>
          <w:color w:val="auto"/>
          <w:sz w:val="24"/>
        </w:rPr>
      </w:pPr>
      <w:r w:rsidRPr="00763495">
        <w:rPr>
          <w:rFonts w:ascii="Times New Roman" w:hAnsi="Times New Roman" w:cs="Times New Roman"/>
          <w:color w:val="auto"/>
          <w:sz w:val="24"/>
        </w:rPr>
        <w:t>osnovne škole (dva objekta s crvenom oznakom, 8 objekata sa žutom oznakom, 78 objekta sa zelenom</w:t>
      </w:r>
      <w:r>
        <w:rPr>
          <w:rFonts w:ascii="Times New Roman" w:hAnsi="Times New Roman" w:cs="Times New Roman"/>
          <w:color w:val="auto"/>
          <w:sz w:val="24"/>
        </w:rPr>
        <w:t xml:space="preserve"> </w:t>
      </w:r>
      <w:r w:rsidRPr="00763495">
        <w:rPr>
          <w:rFonts w:ascii="Times New Roman" w:hAnsi="Times New Roman" w:cs="Times New Roman"/>
          <w:color w:val="auto"/>
          <w:sz w:val="24"/>
        </w:rPr>
        <w:t>oznakom – uporabljive s oštećenjima)</w:t>
      </w:r>
    </w:p>
    <w:p w14:paraId="577A0134" w14:textId="12862C12" w:rsidR="0003514B" w:rsidRDefault="0003514B" w:rsidP="0014113B">
      <w:pPr>
        <w:pStyle w:val="ListParagraph"/>
        <w:numPr>
          <w:ilvl w:val="0"/>
          <w:numId w:val="1"/>
        </w:numPr>
        <w:spacing w:after="0" w:line="240" w:lineRule="auto"/>
        <w:ind w:right="0"/>
        <w:rPr>
          <w:rFonts w:ascii="Times New Roman" w:hAnsi="Times New Roman" w:cs="Times New Roman"/>
          <w:color w:val="auto"/>
          <w:sz w:val="24"/>
        </w:rPr>
      </w:pPr>
      <w:r w:rsidRPr="00763495">
        <w:rPr>
          <w:rFonts w:ascii="Times New Roman" w:hAnsi="Times New Roman" w:cs="Times New Roman"/>
          <w:color w:val="auto"/>
          <w:sz w:val="24"/>
        </w:rPr>
        <w:t>srednje škole (dva objekta sa žutom oznakom, 9 objekata sa žutom oznakom, 33 objekta sa zeleno</w:t>
      </w:r>
      <w:r>
        <w:rPr>
          <w:rFonts w:ascii="Times New Roman" w:hAnsi="Times New Roman" w:cs="Times New Roman"/>
          <w:color w:val="auto"/>
          <w:sz w:val="24"/>
        </w:rPr>
        <w:t xml:space="preserve">m </w:t>
      </w:r>
      <w:r w:rsidRPr="00763495">
        <w:rPr>
          <w:rFonts w:ascii="Times New Roman" w:hAnsi="Times New Roman" w:cs="Times New Roman"/>
          <w:color w:val="auto"/>
          <w:sz w:val="24"/>
        </w:rPr>
        <w:t>oznakom (uporabljiva s oštećenjima)</w:t>
      </w:r>
    </w:p>
    <w:p w14:paraId="7E8D13C9" w14:textId="40555953" w:rsidR="0003514B" w:rsidRDefault="0003514B" w:rsidP="0014113B">
      <w:pPr>
        <w:pStyle w:val="ListParagraph"/>
        <w:numPr>
          <w:ilvl w:val="0"/>
          <w:numId w:val="1"/>
        </w:numPr>
        <w:spacing w:after="0" w:line="240" w:lineRule="auto"/>
        <w:ind w:right="0"/>
        <w:rPr>
          <w:rFonts w:ascii="Times New Roman" w:hAnsi="Times New Roman" w:cs="Times New Roman"/>
          <w:color w:val="auto"/>
          <w:sz w:val="24"/>
        </w:rPr>
      </w:pPr>
      <w:r w:rsidRPr="00763495">
        <w:rPr>
          <w:rFonts w:ascii="Times New Roman" w:hAnsi="Times New Roman" w:cs="Times New Roman"/>
          <w:color w:val="auto"/>
          <w:sz w:val="24"/>
        </w:rPr>
        <w:t>visoka učilišta (osobito velika oštećenja imaju Medicinski fakultet na Šalati, Ekonomski fakultet, Rektorat</w:t>
      </w:r>
      <w:r>
        <w:rPr>
          <w:rFonts w:ascii="Times New Roman" w:hAnsi="Times New Roman" w:cs="Times New Roman"/>
          <w:color w:val="auto"/>
          <w:sz w:val="24"/>
        </w:rPr>
        <w:t xml:space="preserve">, </w:t>
      </w:r>
      <w:r w:rsidRPr="00763495">
        <w:rPr>
          <w:rFonts w:ascii="Times New Roman" w:hAnsi="Times New Roman" w:cs="Times New Roman"/>
          <w:color w:val="auto"/>
          <w:sz w:val="24"/>
        </w:rPr>
        <w:t xml:space="preserve">Hrvatski učiteljski dom, Pravni fakultet, Tekstilno-tehnološki fakultet, Grafički fakultet </w:t>
      </w:r>
      <w:r>
        <w:rPr>
          <w:rFonts w:ascii="Times New Roman" w:hAnsi="Times New Roman" w:cs="Times New Roman"/>
          <w:color w:val="auto"/>
          <w:sz w:val="24"/>
        </w:rPr>
        <w:t>i</w:t>
      </w:r>
      <w:r w:rsidRPr="00763495">
        <w:rPr>
          <w:rFonts w:ascii="Times New Roman" w:hAnsi="Times New Roman" w:cs="Times New Roman"/>
          <w:color w:val="auto"/>
          <w:sz w:val="24"/>
        </w:rPr>
        <w:t xml:space="preserve"> Farmace</w:t>
      </w:r>
      <w:r w:rsidR="00164BFA">
        <w:rPr>
          <w:rFonts w:ascii="Times New Roman" w:hAnsi="Times New Roman" w:cs="Times New Roman"/>
          <w:color w:val="auto"/>
          <w:sz w:val="24"/>
        </w:rPr>
        <w:t>u</w:t>
      </w:r>
      <w:r w:rsidRPr="00763495">
        <w:rPr>
          <w:rFonts w:ascii="Times New Roman" w:hAnsi="Times New Roman" w:cs="Times New Roman"/>
          <w:color w:val="auto"/>
          <w:sz w:val="24"/>
        </w:rPr>
        <w:t>tsko</w:t>
      </w:r>
      <w:r>
        <w:rPr>
          <w:rFonts w:ascii="Times New Roman" w:hAnsi="Times New Roman" w:cs="Times New Roman"/>
          <w:color w:val="auto"/>
          <w:sz w:val="24"/>
        </w:rPr>
        <w:t>-</w:t>
      </w:r>
      <w:r w:rsidRPr="00763495">
        <w:rPr>
          <w:rFonts w:ascii="Times New Roman" w:hAnsi="Times New Roman" w:cs="Times New Roman"/>
          <w:color w:val="auto"/>
          <w:sz w:val="24"/>
        </w:rPr>
        <w:t>biokemijski fakultet</w:t>
      </w:r>
    </w:p>
    <w:p w14:paraId="053CF571" w14:textId="25509421" w:rsidR="0003514B" w:rsidRDefault="0003514B" w:rsidP="0014113B">
      <w:pPr>
        <w:pStyle w:val="ListParagraph"/>
        <w:numPr>
          <w:ilvl w:val="0"/>
          <w:numId w:val="1"/>
        </w:numPr>
        <w:spacing w:after="0" w:line="240" w:lineRule="auto"/>
        <w:ind w:right="0"/>
        <w:rPr>
          <w:rFonts w:ascii="Times New Roman" w:hAnsi="Times New Roman" w:cs="Times New Roman"/>
          <w:color w:val="auto"/>
          <w:sz w:val="24"/>
        </w:rPr>
      </w:pPr>
      <w:r w:rsidRPr="00763495">
        <w:rPr>
          <w:rFonts w:ascii="Times New Roman" w:hAnsi="Times New Roman" w:cs="Times New Roman"/>
          <w:color w:val="auto"/>
          <w:sz w:val="24"/>
        </w:rPr>
        <w:t>znanstveni instituti (jedan neupotrebljiv, četiri privremeno neupotrebljiva, jedan djelomično privremeno</w:t>
      </w:r>
      <w:r>
        <w:rPr>
          <w:rFonts w:ascii="Times New Roman" w:hAnsi="Times New Roman" w:cs="Times New Roman"/>
          <w:color w:val="auto"/>
          <w:sz w:val="24"/>
        </w:rPr>
        <w:t xml:space="preserve"> </w:t>
      </w:r>
      <w:r w:rsidRPr="00763495">
        <w:rPr>
          <w:rFonts w:ascii="Times New Roman" w:hAnsi="Times New Roman" w:cs="Times New Roman"/>
          <w:color w:val="auto"/>
          <w:sz w:val="24"/>
        </w:rPr>
        <w:t>neupotrebljiv)</w:t>
      </w:r>
    </w:p>
    <w:p w14:paraId="0EA0A76D" w14:textId="77777777" w:rsidR="0003514B" w:rsidRPr="00763495" w:rsidRDefault="0003514B" w:rsidP="0014113B">
      <w:pPr>
        <w:pStyle w:val="ListParagraph"/>
        <w:numPr>
          <w:ilvl w:val="0"/>
          <w:numId w:val="1"/>
        </w:numPr>
        <w:spacing w:after="0" w:line="240" w:lineRule="auto"/>
        <w:ind w:right="0"/>
        <w:rPr>
          <w:rFonts w:ascii="Times New Roman" w:hAnsi="Times New Roman" w:cs="Times New Roman"/>
          <w:color w:val="auto"/>
          <w:sz w:val="24"/>
        </w:rPr>
      </w:pPr>
      <w:r w:rsidRPr="00763495">
        <w:rPr>
          <w:rFonts w:ascii="Times New Roman" w:hAnsi="Times New Roman" w:cs="Times New Roman"/>
          <w:color w:val="auto"/>
          <w:sz w:val="24"/>
        </w:rPr>
        <w:t>Hrvatska akademija znanosti i umjetnosti (velika oštećenja svih zgrada na svim svojim lokacijama).</w:t>
      </w:r>
    </w:p>
    <w:p w14:paraId="7EE2CD4F" w14:textId="77777777" w:rsidR="0003514B" w:rsidRDefault="0003514B" w:rsidP="006218CF">
      <w:pPr>
        <w:spacing w:after="0" w:line="240" w:lineRule="auto"/>
        <w:ind w:left="0" w:right="0" w:firstLine="0"/>
        <w:rPr>
          <w:rFonts w:ascii="Times New Roman" w:hAnsi="Times New Roman" w:cs="Times New Roman"/>
          <w:color w:val="auto"/>
          <w:sz w:val="24"/>
        </w:rPr>
      </w:pPr>
    </w:p>
    <w:p w14:paraId="1A170648" w14:textId="019571F8" w:rsidR="00836CBC" w:rsidRPr="006218CF" w:rsidRDefault="00836CBC">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Od 30 crkava sa statusom kulturne baštine u Gradu Zagrebu, ukupno 15 je klasificirano kao privremeno neuporabljivo zbog potresa, a osam kao potpuno neupotrebljivo. Od ukupno 21 muzeja</w:t>
      </w:r>
      <w:r w:rsidRPr="00836CBC">
        <w:rPr>
          <w:rFonts w:ascii="Times New Roman" w:hAnsi="Times New Roman" w:cs="Times New Roman"/>
          <w:color w:val="auto"/>
          <w:sz w:val="24"/>
        </w:rPr>
        <w:t xml:space="preserve"> </w:t>
      </w:r>
      <w:r w:rsidRPr="006218CF">
        <w:rPr>
          <w:rFonts w:ascii="Times New Roman" w:hAnsi="Times New Roman" w:cs="Times New Roman"/>
          <w:color w:val="auto"/>
          <w:sz w:val="24"/>
        </w:rPr>
        <w:t>i galerija sa statusom kulturne baštine, sedam je privremeno neupotrebljivo, a tri potpuno neupotrebljivo.</w:t>
      </w:r>
      <w:r w:rsidRPr="00836CBC">
        <w:rPr>
          <w:rFonts w:ascii="Times New Roman" w:hAnsi="Times New Roman" w:cs="Times New Roman"/>
          <w:color w:val="auto"/>
          <w:sz w:val="24"/>
        </w:rPr>
        <w:t xml:space="preserve"> </w:t>
      </w:r>
      <w:r w:rsidRPr="006218CF">
        <w:rPr>
          <w:rFonts w:ascii="Times New Roman" w:hAnsi="Times New Roman" w:cs="Times New Roman"/>
          <w:color w:val="auto"/>
          <w:sz w:val="24"/>
        </w:rPr>
        <w:t>Od ukupno tri kazališta, kina i koncertnih prostora, jedno je privremeno</w:t>
      </w:r>
      <w:r w:rsidRPr="00836CBC">
        <w:rPr>
          <w:rFonts w:ascii="Times New Roman" w:hAnsi="Times New Roman" w:cs="Times New Roman"/>
          <w:color w:val="auto"/>
          <w:sz w:val="24"/>
        </w:rPr>
        <w:t xml:space="preserve"> </w:t>
      </w:r>
      <w:r w:rsidRPr="006218CF">
        <w:rPr>
          <w:rFonts w:ascii="Times New Roman" w:hAnsi="Times New Roman" w:cs="Times New Roman"/>
          <w:color w:val="auto"/>
          <w:sz w:val="24"/>
        </w:rPr>
        <w:t>neupotrebljivo. Od ukupno tri zaštićena arhiva i knjižnice, jedna je bila privremeno neupotrebljiva.</w:t>
      </w:r>
    </w:p>
    <w:p w14:paraId="689CEAE7" w14:textId="77777777" w:rsidR="00836CBC" w:rsidRPr="006218CF" w:rsidRDefault="00836CBC" w:rsidP="006218CF">
      <w:pPr>
        <w:spacing w:after="0" w:line="240" w:lineRule="auto"/>
        <w:ind w:left="0" w:right="0" w:firstLine="709"/>
        <w:rPr>
          <w:rFonts w:ascii="Times New Roman" w:hAnsi="Times New Roman" w:cs="Times New Roman"/>
          <w:color w:val="auto"/>
          <w:sz w:val="24"/>
        </w:rPr>
      </w:pPr>
    </w:p>
    <w:p w14:paraId="7F8C2ECA" w14:textId="77777777" w:rsidR="00E40AC8" w:rsidRPr="00B51754" w:rsidRDefault="00900184" w:rsidP="00201092">
      <w:pPr>
        <w:spacing w:after="0" w:line="240" w:lineRule="auto"/>
        <w:ind w:left="0" w:right="0" w:firstLine="709"/>
        <w:rPr>
          <w:rFonts w:ascii="Times New Roman" w:hAnsi="Times New Roman" w:cs="Times New Roman"/>
          <w:color w:val="auto"/>
          <w:sz w:val="24"/>
          <w:u w:val="single"/>
        </w:rPr>
      </w:pPr>
      <w:r w:rsidRPr="00B51754">
        <w:rPr>
          <w:rFonts w:ascii="Times New Roman" w:hAnsi="Times New Roman" w:cs="Times New Roman"/>
          <w:color w:val="auto"/>
          <w:sz w:val="24"/>
          <w:u w:val="single"/>
        </w:rPr>
        <w:t>Poplava</w:t>
      </w:r>
    </w:p>
    <w:p w14:paraId="3FEC04CD" w14:textId="77777777" w:rsidR="00E40AC8" w:rsidRPr="00B51754" w:rsidRDefault="00900184" w:rsidP="00201092">
      <w:pPr>
        <w:spacing w:after="0" w:line="240" w:lineRule="auto"/>
        <w:ind w:left="0" w:right="0" w:firstLine="709"/>
        <w:rPr>
          <w:rFonts w:ascii="Times New Roman" w:hAnsi="Times New Roman" w:cs="Times New Roman"/>
          <w:color w:val="auto"/>
          <w:sz w:val="24"/>
        </w:rPr>
      </w:pPr>
      <w:r w:rsidRPr="00B51754">
        <w:rPr>
          <w:rFonts w:ascii="Times New Roman" w:hAnsi="Times New Roman" w:cs="Times New Roman"/>
          <w:color w:val="auto"/>
          <w:sz w:val="24"/>
        </w:rPr>
        <w:t>Prva zabilježena poplava Save oko Zagreba je ona iz 1469., kada je Sava naglo preko noći narasla i tako spasila grad od sigurnog turskog napada. Najstarija zapisana velika voda Save oko Zagreba je ona iz 1770. kada je kanonik zagrebački Adam Krčelić opisao štete koje je poplava prouzročila na poljoprivrednim površinama koje su se nalazile na današnjem gradskom području. Za značajniju poplavu Save saznaje</w:t>
      </w:r>
      <w:r w:rsidR="00F90290" w:rsidRPr="00B51754">
        <w:rPr>
          <w:rFonts w:ascii="Times New Roman" w:hAnsi="Times New Roman" w:cs="Times New Roman"/>
          <w:color w:val="auto"/>
          <w:sz w:val="24"/>
        </w:rPr>
        <w:t xml:space="preserve"> se</w:t>
      </w:r>
      <w:r w:rsidRPr="00B51754">
        <w:rPr>
          <w:rFonts w:ascii="Times New Roman" w:hAnsi="Times New Roman" w:cs="Times New Roman"/>
          <w:color w:val="auto"/>
          <w:sz w:val="24"/>
        </w:rPr>
        <w:t xml:space="preserve"> da se dogodila od 15. do 17. studenoga 1880.</w:t>
      </w:r>
      <w:r w:rsidR="00F90290" w:rsidRPr="00B51754">
        <w:rPr>
          <w:rFonts w:ascii="Times New Roman" w:hAnsi="Times New Roman" w:cs="Times New Roman"/>
          <w:color w:val="auto"/>
          <w:sz w:val="24"/>
        </w:rPr>
        <w:t>,</w:t>
      </w:r>
      <w:r w:rsidRPr="00B51754">
        <w:rPr>
          <w:rFonts w:ascii="Times New Roman" w:hAnsi="Times New Roman" w:cs="Times New Roman"/>
          <w:color w:val="auto"/>
          <w:sz w:val="24"/>
        </w:rPr>
        <w:t xml:space="preserve"> i to samo nekoliko dana nakon katastrofalnog potresa od 9. studenoga iste godine. Velike vode Save tada su poplavile širu okolicu Zagreba a osobito tadašnja sela i prigradska naselja Trnje, Horvate, Jarun te Savsku cestu.</w:t>
      </w:r>
    </w:p>
    <w:p w14:paraId="5C810B68" w14:textId="77777777" w:rsidR="00E40AC8" w:rsidRPr="00B51754" w:rsidRDefault="00900184" w:rsidP="00201092">
      <w:pPr>
        <w:spacing w:after="0" w:line="240" w:lineRule="auto"/>
        <w:ind w:left="0" w:right="0" w:firstLine="709"/>
        <w:rPr>
          <w:rFonts w:ascii="Times New Roman" w:hAnsi="Times New Roman" w:cs="Times New Roman"/>
          <w:color w:val="auto"/>
          <w:sz w:val="24"/>
        </w:rPr>
      </w:pPr>
      <w:r w:rsidRPr="00B51754">
        <w:rPr>
          <w:rFonts w:ascii="Times New Roman" w:hAnsi="Times New Roman" w:cs="Times New Roman"/>
          <w:color w:val="auto"/>
          <w:sz w:val="24"/>
        </w:rPr>
        <w:t xml:space="preserve">U proljeće 1895. Grad Zagreb i sva nizvodna područja zadesila je velika i dotada nezapamćena poplava Save. Nakon prethodno obilnog snijega došlo je do naglog zatopljenja i brzog otapanja snijega, a ujedno su to područje zahvatile i obilne tople proljetne kiše. Visoka voda naglo je nadošla u noći </w:t>
      </w:r>
      <w:r w:rsidR="00F90290" w:rsidRPr="00B51754">
        <w:rPr>
          <w:rFonts w:ascii="Times New Roman" w:hAnsi="Times New Roman" w:cs="Times New Roman"/>
          <w:color w:val="auto"/>
          <w:sz w:val="24"/>
        </w:rPr>
        <w:t xml:space="preserve">s </w:t>
      </w:r>
      <w:r w:rsidRPr="00B51754">
        <w:rPr>
          <w:rFonts w:ascii="Times New Roman" w:hAnsi="Times New Roman" w:cs="Times New Roman"/>
          <w:color w:val="auto"/>
          <w:sz w:val="24"/>
        </w:rPr>
        <w:t xml:space="preserve">26. na 27. ožujka 1895., a poplavljeni su Jarun, Horvati, Trnje, Savska cesta i dijelovi Donjeg </w:t>
      </w:r>
      <w:r w:rsidR="00F90290" w:rsidRPr="00B51754">
        <w:rPr>
          <w:rFonts w:ascii="Times New Roman" w:hAnsi="Times New Roman" w:cs="Times New Roman"/>
          <w:color w:val="auto"/>
          <w:sz w:val="24"/>
        </w:rPr>
        <w:t xml:space="preserve">grada </w:t>
      </w:r>
      <w:r w:rsidR="00EE6A22" w:rsidRPr="00B51754">
        <w:rPr>
          <w:rFonts w:ascii="Times New Roman" w:hAnsi="Times New Roman" w:cs="Times New Roman"/>
          <w:color w:val="auto"/>
          <w:sz w:val="24"/>
        </w:rPr>
        <w:t>-</w:t>
      </w:r>
      <w:r w:rsidRPr="00B51754">
        <w:rPr>
          <w:rFonts w:ascii="Times New Roman" w:hAnsi="Times New Roman" w:cs="Times New Roman"/>
          <w:color w:val="auto"/>
          <w:sz w:val="24"/>
        </w:rPr>
        <w:t xml:space="preserve"> Magazinska, Tratinska i sve okolne ulice. Iste godine 28. listopada dogodila se još veća poplava tako da su tada neka naselja bila i evakuirana a štete velike.</w:t>
      </w:r>
    </w:p>
    <w:p w14:paraId="5D9F73F0" w14:textId="77777777" w:rsidR="00E40AC8" w:rsidRPr="00B51754" w:rsidRDefault="00900184" w:rsidP="00201092">
      <w:pPr>
        <w:spacing w:after="0" w:line="240" w:lineRule="auto"/>
        <w:ind w:left="0" w:right="0" w:firstLine="709"/>
        <w:rPr>
          <w:rFonts w:ascii="Times New Roman" w:hAnsi="Times New Roman" w:cs="Times New Roman"/>
          <w:color w:val="auto"/>
          <w:sz w:val="24"/>
        </w:rPr>
      </w:pPr>
      <w:r w:rsidRPr="00B51754">
        <w:rPr>
          <w:rFonts w:ascii="Times New Roman" w:hAnsi="Times New Roman" w:cs="Times New Roman"/>
          <w:color w:val="auto"/>
          <w:sz w:val="24"/>
        </w:rPr>
        <w:t>Najveća katastrofalna poplava na području Grada Zagreba dogodila se 26. listopada 1964. Kroz Zagreb je u kritično vrijeme protjecalo oko 4440 kubnih metara vode u sekundi. Već u početku obrane protiv vodenog vala sudjelovalo je 10 000 radnika građevinskih, komunalnih i drugih gospodarskih organizacija, velik broj građana, vatrogasne postrojbe, civilna zaštita, zdravstvena služba i drugi. Pijeskom i zemljom napunjeno je više od 240 000 vreća. Već u prvoj akciji obrane bilo je organizirano više od 300 kamiona i veći broj autobusa za prijevoz materijala i građanstva.</w:t>
      </w:r>
    </w:p>
    <w:p w14:paraId="492FB240" w14:textId="641D6FE7" w:rsidR="00E40AC8" w:rsidRDefault="00900184" w:rsidP="00201092">
      <w:pPr>
        <w:spacing w:after="0" w:line="240" w:lineRule="auto"/>
        <w:ind w:left="0" w:right="0" w:firstLine="709"/>
        <w:rPr>
          <w:rFonts w:ascii="Times New Roman" w:hAnsi="Times New Roman" w:cs="Times New Roman"/>
          <w:color w:val="auto"/>
          <w:sz w:val="24"/>
        </w:rPr>
      </w:pPr>
      <w:r w:rsidRPr="00B51754">
        <w:rPr>
          <w:rFonts w:ascii="Times New Roman" w:hAnsi="Times New Roman" w:cs="Times New Roman"/>
          <w:color w:val="auto"/>
          <w:sz w:val="24"/>
        </w:rPr>
        <w:t>Budući da je Sava na dva mjesta probila nasip, poplavljeno je bilo više od 6</w:t>
      </w:r>
      <w:r w:rsidR="00D506E0" w:rsidRPr="00B51754">
        <w:rPr>
          <w:rFonts w:ascii="Times New Roman" w:hAnsi="Times New Roman" w:cs="Times New Roman"/>
          <w:color w:val="auto"/>
          <w:sz w:val="24"/>
        </w:rPr>
        <w:t> </w:t>
      </w:r>
      <w:r w:rsidRPr="00B51754">
        <w:rPr>
          <w:rFonts w:ascii="Times New Roman" w:hAnsi="Times New Roman" w:cs="Times New Roman"/>
          <w:color w:val="auto"/>
          <w:sz w:val="24"/>
        </w:rPr>
        <w:t>000 hektara užeg gradskog prostora na kojem je živjelo oko 183</w:t>
      </w:r>
      <w:r w:rsidR="00F90290" w:rsidRPr="00B51754">
        <w:rPr>
          <w:rFonts w:ascii="Times New Roman" w:hAnsi="Times New Roman" w:cs="Times New Roman"/>
          <w:color w:val="auto"/>
          <w:sz w:val="24"/>
        </w:rPr>
        <w:t> </w:t>
      </w:r>
      <w:r w:rsidRPr="00B51754">
        <w:rPr>
          <w:rFonts w:ascii="Times New Roman" w:hAnsi="Times New Roman" w:cs="Times New Roman"/>
          <w:color w:val="auto"/>
          <w:sz w:val="24"/>
        </w:rPr>
        <w:t>000 ljudi. Poplavljeno područje bilo je dugačko 14 km. Najveća širina poplavljene zone iznosila je 4 kilometra</w:t>
      </w:r>
      <w:r w:rsidR="00F90290" w:rsidRPr="00B51754">
        <w:rPr>
          <w:rFonts w:ascii="Times New Roman" w:hAnsi="Times New Roman" w:cs="Times New Roman"/>
          <w:color w:val="auto"/>
          <w:sz w:val="24"/>
        </w:rPr>
        <w:t>,</w:t>
      </w:r>
      <w:r w:rsidRPr="00B51754">
        <w:rPr>
          <w:rFonts w:ascii="Times New Roman" w:hAnsi="Times New Roman" w:cs="Times New Roman"/>
          <w:color w:val="auto"/>
          <w:sz w:val="24"/>
        </w:rPr>
        <w:t xml:space="preserve"> i to baš na području grada. Život je izgubilo 17 ljudi, 65 je bilo ozlijeđeno. Oko 40</w:t>
      </w:r>
      <w:r w:rsidR="00F90290" w:rsidRPr="00B51754">
        <w:rPr>
          <w:rFonts w:ascii="Times New Roman" w:hAnsi="Times New Roman" w:cs="Times New Roman"/>
          <w:color w:val="auto"/>
          <w:sz w:val="24"/>
        </w:rPr>
        <w:t> </w:t>
      </w:r>
      <w:r w:rsidRPr="00B51754">
        <w:rPr>
          <w:rFonts w:ascii="Times New Roman" w:hAnsi="Times New Roman" w:cs="Times New Roman"/>
          <w:color w:val="auto"/>
          <w:sz w:val="24"/>
        </w:rPr>
        <w:t xml:space="preserve">000 građana moralo je napustiti </w:t>
      </w:r>
      <w:r w:rsidRPr="00B51754">
        <w:rPr>
          <w:rFonts w:ascii="Times New Roman" w:hAnsi="Times New Roman" w:cs="Times New Roman"/>
          <w:color w:val="auto"/>
          <w:sz w:val="24"/>
        </w:rPr>
        <w:lastRenderedPageBreak/>
        <w:t>domove, poplavljeno je bilo 15</w:t>
      </w:r>
      <w:r w:rsidR="00F90290" w:rsidRPr="00B51754">
        <w:rPr>
          <w:rFonts w:ascii="Times New Roman" w:hAnsi="Times New Roman" w:cs="Times New Roman"/>
          <w:color w:val="auto"/>
          <w:sz w:val="24"/>
        </w:rPr>
        <w:t> </w:t>
      </w:r>
      <w:r w:rsidRPr="00B51754">
        <w:rPr>
          <w:rFonts w:ascii="Times New Roman" w:hAnsi="Times New Roman" w:cs="Times New Roman"/>
          <w:color w:val="auto"/>
          <w:sz w:val="24"/>
        </w:rPr>
        <w:t>000 stambenih zgrada (od toga 300 višekatnica) i 3</w:t>
      </w:r>
      <w:r w:rsidR="00F90290" w:rsidRPr="00B51754">
        <w:rPr>
          <w:rFonts w:ascii="Times New Roman" w:hAnsi="Times New Roman" w:cs="Times New Roman"/>
          <w:color w:val="auto"/>
          <w:sz w:val="24"/>
        </w:rPr>
        <w:t> </w:t>
      </w:r>
      <w:r w:rsidRPr="00B51754">
        <w:rPr>
          <w:rFonts w:ascii="Times New Roman" w:hAnsi="Times New Roman" w:cs="Times New Roman"/>
          <w:color w:val="auto"/>
          <w:sz w:val="24"/>
        </w:rPr>
        <w:t>297 gospodarskih zgrada. Oko 10</w:t>
      </w:r>
      <w:r w:rsidR="00F90290" w:rsidRPr="00B51754">
        <w:rPr>
          <w:rFonts w:ascii="Times New Roman" w:hAnsi="Times New Roman" w:cs="Times New Roman"/>
          <w:color w:val="auto"/>
          <w:sz w:val="24"/>
        </w:rPr>
        <w:t> </w:t>
      </w:r>
      <w:r w:rsidRPr="00B51754">
        <w:rPr>
          <w:rFonts w:ascii="Times New Roman" w:hAnsi="Times New Roman" w:cs="Times New Roman"/>
          <w:color w:val="auto"/>
          <w:sz w:val="24"/>
        </w:rPr>
        <w:t xml:space="preserve">000 stambenih jedinica potpuno je </w:t>
      </w:r>
      <w:r w:rsidR="00F90290" w:rsidRPr="00B51754">
        <w:rPr>
          <w:rFonts w:ascii="Times New Roman" w:hAnsi="Times New Roman" w:cs="Times New Roman"/>
          <w:color w:val="auto"/>
          <w:sz w:val="24"/>
        </w:rPr>
        <w:t xml:space="preserve">bilo </w:t>
      </w:r>
      <w:r w:rsidRPr="00B51754">
        <w:rPr>
          <w:rFonts w:ascii="Times New Roman" w:hAnsi="Times New Roman" w:cs="Times New Roman"/>
          <w:color w:val="auto"/>
          <w:sz w:val="24"/>
        </w:rPr>
        <w:t>neupotrebljivo za stanovanje, a 35</w:t>
      </w:r>
      <w:r w:rsidR="00F90290" w:rsidRPr="00B51754">
        <w:rPr>
          <w:rFonts w:ascii="Times New Roman" w:hAnsi="Times New Roman" w:cs="Times New Roman"/>
          <w:color w:val="auto"/>
          <w:sz w:val="24"/>
        </w:rPr>
        <w:t> </w:t>
      </w:r>
      <w:r w:rsidRPr="00B51754">
        <w:rPr>
          <w:rFonts w:ascii="Times New Roman" w:hAnsi="Times New Roman" w:cs="Times New Roman"/>
          <w:color w:val="auto"/>
          <w:sz w:val="24"/>
        </w:rPr>
        <w:t>000 teže ili lakše oštećeno. Oštećeno je 120 tvrtki, oko 13</w:t>
      </w:r>
      <w:r w:rsidR="00F90290" w:rsidRPr="00B51754">
        <w:rPr>
          <w:rFonts w:ascii="Times New Roman" w:hAnsi="Times New Roman" w:cs="Times New Roman"/>
          <w:color w:val="auto"/>
          <w:sz w:val="24"/>
        </w:rPr>
        <w:t> </w:t>
      </w:r>
      <w:r w:rsidRPr="00B51754">
        <w:rPr>
          <w:rFonts w:ascii="Times New Roman" w:hAnsi="Times New Roman" w:cs="Times New Roman"/>
          <w:color w:val="auto"/>
          <w:sz w:val="24"/>
        </w:rPr>
        <w:t>000 učenika i studenata ostalo je bez prostorija. Procjena je da je uništeno 65</w:t>
      </w:r>
      <w:r w:rsidR="00E05F09" w:rsidRPr="00B51754">
        <w:rPr>
          <w:rFonts w:ascii="Times New Roman" w:hAnsi="Times New Roman" w:cs="Times New Roman"/>
          <w:color w:val="auto"/>
          <w:sz w:val="24"/>
        </w:rPr>
        <w:t> %</w:t>
      </w:r>
      <w:r w:rsidRPr="00B51754">
        <w:rPr>
          <w:rFonts w:ascii="Times New Roman" w:hAnsi="Times New Roman" w:cs="Times New Roman"/>
          <w:color w:val="auto"/>
          <w:sz w:val="24"/>
        </w:rPr>
        <w:t xml:space="preserve"> opreme i materijala građevinske operative i industrije građevinskog materijala. Poplavljeno je oko 350 kilometara cesta, tadašnji auto</w:t>
      </w:r>
      <w:r w:rsidR="00EE6A22" w:rsidRPr="00B51754">
        <w:rPr>
          <w:rFonts w:ascii="Times New Roman" w:hAnsi="Times New Roman" w:cs="Times New Roman"/>
          <w:color w:val="auto"/>
          <w:sz w:val="24"/>
        </w:rPr>
        <w:t>-</w:t>
      </w:r>
      <w:r w:rsidRPr="00B51754">
        <w:rPr>
          <w:rFonts w:ascii="Times New Roman" w:hAnsi="Times New Roman" w:cs="Times New Roman"/>
          <w:color w:val="auto"/>
          <w:sz w:val="24"/>
        </w:rPr>
        <w:t>put oštećen je u dužini od 2 kilometra, oštećen je i most kod Jankomira i most kod Jakuševca, oštećena je ili uništena 81 trafostanica.</w:t>
      </w:r>
    </w:p>
    <w:p w14:paraId="45D628F3" w14:textId="77777777" w:rsidR="00E40AC8" w:rsidRPr="00B51754" w:rsidRDefault="00900184" w:rsidP="00201092">
      <w:pPr>
        <w:spacing w:after="0" w:line="240" w:lineRule="auto"/>
        <w:ind w:left="0" w:right="0" w:firstLine="709"/>
        <w:rPr>
          <w:rFonts w:ascii="Times New Roman" w:hAnsi="Times New Roman" w:cs="Times New Roman"/>
          <w:color w:val="auto"/>
          <w:sz w:val="24"/>
        </w:rPr>
      </w:pPr>
      <w:r w:rsidRPr="00B51754">
        <w:rPr>
          <w:rFonts w:ascii="Times New Roman" w:hAnsi="Times New Roman" w:cs="Times New Roman"/>
          <w:color w:val="auto"/>
          <w:sz w:val="24"/>
        </w:rPr>
        <w:t xml:space="preserve">Pod vodom je bila trećina Zagreba. Poplavljen je dio općine Črnomerec, više od polovice općine Trešnjevka, dio Trnja, Peščenice, i dio Remetinca na užem </w:t>
      </w:r>
      <w:r w:rsidR="00F90290" w:rsidRPr="00B51754">
        <w:rPr>
          <w:rFonts w:ascii="Times New Roman" w:hAnsi="Times New Roman" w:cs="Times New Roman"/>
          <w:color w:val="auto"/>
          <w:sz w:val="24"/>
        </w:rPr>
        <w:t xml:space="preserve">gradskom </w:t>
      </w:r>
      <w:r w:rsidRPr="00B51754">
        <w:rPr>
          <w:rFonts w:ascii="Times New Roman" w:hAnsi="Times New Roman" w:cs="Times New Roman"/>
          <w:color w:val="auto"/>
          <w:sz w:val="24"/>
        </w:rPr>
        <w:t>području. U akciji obrane od poplave sudjelovalo je 3</w:t>
      </w:r>
      <w:r w:rsidR="00D57F0E" w:rsidRPr="00B51754">
        <w:rPr>
          <w:rFonts w:ascii="Times New Roman" w:hAnsi="Times New Roman" w:cs="Times New Roman"/>
          <w:color w:val="auto"/>
          <w:sz w:val="24"/>
        </w:rPr>
        <w:t> </w:t>
      </w:r>
      <w:r w:rsidRPr="00B51754">
        <w:rPr>
          <w:rFonts w:ascii="Times New Roman" w:hAnsi="Times New Roman" w:cs="Times New Roman"/>
          <w:color w:val="auto"/>
          <w:sz w:val="24"/>
        </w:rPr>
        <w:t>188 vojnika s 142 čamca, 203 vozila, 4 helikoptera i jednim remorkerom. Oni su spasili oko 30</w:t>
      </w:r>
      <w:r w:rsidR="00D57F0E" w:rsidRPr="00B51754">
        <w:rPr>
          <w:rFonts w:ascii="Times New Roman" w:hAnsi="Times New Roman" w:cs="Times New Roman"/>
          <w:color w:val="auto"/>
          <w:sz w:val="24"/>
        </w:rPr>
        <w:t> </w:t>
      </w:r>
      <w:r w:rsidRPr="00B51754">
        <w:rPr>
          <w:rFonts w:ascii="Times New Roman" w:hAnsi="Times New Roman" w:cs="Times New Roman"/>
          <w:color w:val="auto"/>
          <w:sz w:val="24"/>
        </w:rPr>
        <w:t>000 građana s poplavljenog područja. Samo jedna grupa s dva ju</w:t>
      </w:r>
      <w:r w:rsidR="00C611D9" w:rsidRPr="00B51754">
        <w:rPr>
          <w:rFonts w:ascii="Times New Roman" w:hAnsi="Times New Roman" w:cs="Times New Roman"/>
          <w:color w:val="auto"/>
          <w:sz w:val="24"/>
        </w:rPr>
        <w:t xml:space="preserve">rišna čamca sama je spasila 526 </w:t>
      </w:r>
      <w:r w:rsidRPr="00B51754">
        <w:rPr>
          <w:rFonts w:ascii="Times New Roman" w:hAnsi="Times New Roman" w:cs="Times New Roman"/>
          <w:color w:val="auto"/>
          <w:sz w:val="24"/>
        </w:rPr>
        <w:t>ugroženih osoba. Oko 40</w:t>
      </w:r>
      <w:r w:rsidR="00D57F0E" w:rsidRPr="00B51754">
        <w:rPr>
          <w:rFonts w:ascii="Times New Roman" w:hAnsi="Times New Roman" w:cs="Times New Roman"/>
          <w:color w:val="auto"/>
          <w:sz w:val="24"/>
        </w:rPr>
        <w:t> </w:t>
      </w:r>
      <w:r w:rsidRPr="00B51754">
        <w:rPr>
          <w:rFonts w:ascii="Times New Roman" w:hAnsi="Times New Roman" w:cs="Times New Roman"/>
          <w:color w:val="auto"/>
          <w:sz w:val="24"/>
        </w:rPr>
        <w:t>000 građana moralo je napustiti svoje domove, od tog broja oko 20</w:t>
      </w:r>
      <w:r w:rsidR="00D57F0E" w:rsidRPr="00B51754">
        <w:rPr>
          <w:rFonts w:ascii="Times New Roman" w:hAnsi="Times New Roman" w:cs="Times New Roman"/>
          <w:color w:val="auto"/>
          <w:sz w:val="24"/>
        </w:rPr>
        <w:t> </w:t>
      </w:r>
      <w:r w:rsidRPr="00B51754">
        <w:rPr>
          <w:rFonts w:ascii="Times New Roman" w:hAnsi="Times New Roman" w:cs="Times New Roman"/>
          <w:color w:val="auto"/>
          <w:sz w:val="24"/>
        </w:rPr>
        <w:t>000 građana smjestilo se u drugim domovima (kod prijatelja, rodbine, neznanih ljudi koji su pomogli), jedan dio zbrinule su radne organizacije</w:t>
      </w:r>
      <w:r w:rsidR="00D57F0E" w:rsidRPr="00B51754">
        <w:rPr>
          <w:rFonts w:ascii="Times New Roman" w:hAnsi="Times New Roman" w:cs="Times New Roman"/>
          <w:color w:val="auto"/>
          <w:sz w:val="24"/>
        </w:rPr>
        <w:t>,</w:t>
      </w:r>
      <w:r w:rsidRPr="00B51754">
        <w:rPr>
          <w:rFonts w:ascii="Times New Roman" w:hAnsi="Times New Roman" w:cs="Times New Roman"/>
          <w:color w:val="auto"/>
          <w:sz w:val="24"/>
        </w:rPr>
        <w:t xml:space="preserve"> a 10</w:t>
      </w:r>
      <w:r w:rsidR="00D57F0E" w:rsidRPr="00B51754">
        <w:rPr>
          <w:rFonts w:ascii="Times New Roman" w:hAnsi="Times New Roman" w:cs="Times New Roman"/>
          <w:color w:val="auto"/>
          <w:sz w:val="24"/>
        </w:rPr>
        <w:t> </w:t>
      </w:r>
      <w:r w:rsidRPr="00B51754">
        <w:rPr>
          <w:rFonts w:ascii="Times New Roman" w:hAnsi="Times New Roman" w:cs="Times New Roman"/>
          <w:color w:val="auto"/>
          <w:sz w:val="24"/>
        </w:rPr>
        <w:t>000 ljudi smješteno je u škole, domove i slične objekte. Nakon poplave planirana je izgradnja 10</w:t>
      </w:r>
      <w:r w:rsidR="00D57F0E" w:rsidRPr="00B51754">
        <w:rPr>
          <w:rFonts w:ascii="Times New Roman" w:hAnsi="Times New Roman" w:cs="Times New Roman"/>
          <w:color w:val="auto"/>
          <w:sz w:val="24"/>
        </w:rPr>
        <w:t> </w:t>
      </w:r>
      <w:r w:rsidRPr="00B51754">
        <w:rPr>
          <w:rFonts w:ascii="Times New Roman" w:hAnsi="Times New Roman" w:cs="Times New Roman"/>
          <w:color w:val="auto"/>
          <w:sz w:val="24"/>
        </w:rPr>
        <w:t>000 stanova te obnova odnosno popravak 35</w:t>
      </w:r>
      <w:r w:rsidR="00D57F0E" w:rsidRPr="00B51754">
        <w:rPr>
          <w:rFonts w:ascii="Times New Roman" w:hAnsi="Times New Roman" w:cs="Times New Roman"/>
          <w:color w:val="auto"/>
          <w:sz w:val="24"/>
        </w:rPr>
        <w:t> </w:t>
      </w:r>
      <w:r w:rsidRPr="00B51754">
        <w:rPr>
          <w:rFonts w:ascii="Times New Roman" w:hAnsi="Times New Roman" w:cs="Times New Roman"/>
          <w:color w:val="auto"/>
          <w:sz w:val="24"/>
        </w:rPr>
        <w:t>000 stanova za trajnu uporabu</w:t>
      </w:r>
      <w:r w:rsidR="00D57F0E" w:rsidRPr="00B51754">
        <w:rPr>
          <w:rFonts w:ascii="Times New Roman" w:hAnsi="Times New Roman" w:cs="Times New Roman"/>
          <w:color w:val="auto"/>
          <w:sz w:val="24"/>
        </w:rPr>
        <w:t>,</w:t>
      </w:r>
      <w:r w:rsidRPr="00B51754">
        <w:rPr>
          <w:rFonts w:ascii="Times New Roman" w:hAnsi="Times New Roman" w:cs="Times New Roman"/>
          <w:color w:val="auto"/>
          <w:sz w:val="24"/>
        </w:rPr>
        <w:t xml:space="preserve"> a 6</w:t>
      </w:r>
      <w:r w:rsidR="00D57F0E" w:rsidRPr="00B51754">
        <w:rPr>
          <w:rFonts w:ascii="Times New Roman" w:hAnsi="Times New Roman" w:cs="Times New Roman"/>
          <w:color w:val="auto"/>
          <w:sz w:val="24"/>
        </w:rPr>
        <w:t> </w:t>
      </w:r>
      <w:r w:rsidRPr="00B51754">
        <w:rPr>
          <w:rFonts w:ascii="Times New Roman" w:hAnsi="Times New Roman" w:cs="Times New Roman"/>
          <w:color w:val="auto"/>
          <w:sz w:val="24"/>
        </w:rPr>
        <w:t>000 za privremeni smještaj. 15</w:t>
      </w:r>
      <w:r w:rsidR="00D57F0E" w:rsidRPr="00B51754">
        <w:rPr>
          <w:rFonts w:ascii="Times New Roman" w:hAnsi="Times New Roman" w:cs="Times New Roman"/>
          <w:color w:val="auto"/>
          <w:sz w:val="24"/>
        </w:rPr>
        <w:t> </w:t>
      </w:r>
      <w:r w:rsidRPr="00B51754">
        <w:rPr>
          <w:rFonts w:ascii="Times New Roman" w:hAnsi="Times New Roman" w:cs="Times New Roman"/>
          <w:color w:val="auto"/>
          <w:sz w:val="24"/>
        </w:rPr>
        <w:t>000 stanova je teže, 10</w:t>
      </w:r>
      <w:r w:rsidR="00D57F0E" w:rsidRPr="00B51754">
        <w:rPr>
          <w:rFonts w:ascii="Times New Roman" w:hAnsi="Times New Roman" w:cs="Times New Roman"/>
          <w:color w:val="auto"/>
          <w:sz w:val="24"/>
        </w:rPr>
        <w:t> </w:t>
      </w:r>
      <w:r w:rsidRPr="00B51754">
        <w:rPr>
          <w:rFonts w:ascii="Times New Roman" w:hAnsi="Times New Roman" w:cs="Times New Roman"/>
          <w:color w:val="auto"/>
          <w:sz w:val="24"/>
        </w:rPr>
        <w:t>000 srednje i 10</w:t>
      </w:r>
      <w:r w:rsidR="00D57F0E" w:rsidRPr="00B51754">
        <w:rPr>
          <w:rFonts w:ascii="Times New Roman" w:hAnsi="Times New Roman" w:cs="Times New Roman"/>
          <w:color w:val="auto"/>
          <w:sz w:val="24"/>
        </w:rPr>
        <w:t> </w:t>
      </w:r>
      <w:r w:rsidRPr="00B51754">
        <w:rPr>
          <w:rFonts w:ascii="Times New Roman" w:hAnsi="Times New Roman" w:cs="Times New Roman"/>
          <w:color w:val="auto"/>
          <w:sz w:val="24"/>
        </w:rPr>
        <w:t>000 lakše oštećeno. Od ukupno 26 operativno</w:t>
      </w:r>
      <w:r w:rsidR="00EE6A22" w:rsidRPr="00B51754">
        <w:rPr>
          <w:rFonts w:ascii="Times New Roman" w:hAnsi="Times New Roman" w:cs="Times New Roman"/>
          <w:color w:val="auto"/>
          <w:sz w:val="24"/>
        </w:rPr>
        <w:t>-</w:t>
      </w:r>
      <w:r w:rsidRPr="00B51754">
        <w:rPr>
          <w:rFonts w:ascii="Times New Roman" w:hAnsi="Times New Roman" w:cs="Times New Roman"/>
          <w:color w:val="auto"/>
          <w:sz w:val="24"/>
        </w:rPr>
        <w:t>građevinskih poduzeća u Zagrebu poplavljeno je i stradalo čak 10.</w:t>
      </w:r>
    </w:p>
    <w:p w14:paraId="43EDDB1A" w14:textId="77777777" w:rsidR="00201092" w:rsidRPr="00B51754" w:rsidRDefault="00201092" w:rsidP="00201092">
      <w:pPr>
        <w:spacing w:after="0" w:line="240" w:lineRule="auto"/>
        <w:ind w:right="0"/>
        <w:rPr>
          <w:rFonts w:ascii="Times New Roman" w:hAnsi="Times New Roman" w:cs="Times New Roman"/>
          <w:color w:val="auto"/>
          <w:sz w:val="24"/>
        </w:rPr>
      </w:pPr>
    </w:p>
    <w:p w14:paraId="16FB52B5" w14:textId="77777777" w:rsidR="00E40AC8" w:rsidRPr="00B51754" w:rsidRDefault="00900184" w:rsidP="00201092">
      <w:pPr>
        <w:spacing w:after="0" w:line="240" w:lineRule="auto"/>
        <w:ind w:left="0" w:right="0" w:firstLine="709"/>
        <w:jc w:val="left"/>
        <w:rPr>
          <w:rFonts w:ascii="Times New Roman" w:hAnsi="Times New Roman" w:cs="Times New Roman"/>
          <w:b/>
          <w:color w:val="auto"/>
          <w:sz w:val="24"/>
        </w:rPr>
      </w:pPr>
      <w:bookmarkStart w:id="39" w:name="_Toc2938558"/>
      <w:r w:rsidRPr="00B51754">
        <w:rPr>
          <w:rFonts w:ascii="Times New Roman" w:hAnsi="Times New Roman" w:cs="Times New Roman"/>
          <w:b/>
          <w:color w:val="auto"/>
          <w:sz w:val="24"/>
        </w:rPr>
        <w:t xml:space="preserve">2.5.2. Štete </w:t>
      </w:r>
      <w:r w:rsidR="00D57F0E" w:rsidRPr="00B51754">
        <w:rPr>
          <w:rFonts w:ascii="Times New Roman" w:hAnsi="Times New Roman" w:cs="Times New Roman"/>
          <w:b/>
          <w:color w:val="auto"/>
          <w:sz w:val="24"/>
        </w:rPr>
        <w:t xml:space="preserve">zbog </w:t>
      </w:r>
      <w:r w:rsidRPr="00B51754">
        <w:rPr>
          <w:rFonts w:ascii="Times New Roman" w:hAnsi="Times New Roman" w:cs="Times New Roman"/>
          <w:b/>
          <w:color w:val="auto"/>
          <w:sz w:val="24"/>
        </w:rPr>
        <w:t>prijašnjih događaja</w:t>
      </w:r>
      <w:bookmarkEnd w:id="39"/>
    </w:p>
    <w:p w14:paraId="1F7F52B2" w14:textId="77777777" w:rsidR="00DB39FA" w:rsidRDefault="00DB39FA" w:rsidP="00201092">
      <w:pPr>
        <w:spacing w:after="0" w:line="240" w:lineRule="auto"/>
        <w:ind w:left="0" w:right="0" w:firstLine="709"/>
        <w:rPr>
          <w:rFonts w:ascii="Times New Roman" w:hAnsi="Times New Roman" w:cs="Times New Roman"/>
          <w:color w:val="auto"/>
          <w:sz w:val="24"/>
          <w:u w:val="single"/>
        </w:rPr>
      </w:pPr>
    </w:p>
    <w:p w14:paraId="42A0B090" w14:textId="32B33184" w:rsidR="00E40AC8" w:rsidRPr="00B51754" w:rsidRDefault="00900184" w:rsidP="00201092">
      <w:pPr>
        <w:spacing w:after="0" w:line="240" w:lineRule="auto"/>
        <w:ind w:left="0" w:right="0" w:firstLine="709"/>
        <w:rPr>
          <w:rFonts w:ascii="Times New Roman" w:hAnsi="Times New Roman" w:cs="Times New Roman"/>
          <w:color w:val="auto"/>
          <w:sz w:val="24"/>
          <w:u w:val="single"/>
        </w:rPr>
      </w:pPr>
      <w:r w:rsidRPr="00B51754">
        <w:rPr>
          <w:rFonts w:ascii="Times New Roman" w:hAnsi="Times New Roman" w:cs="Times New Roman"/>
          <w:color w:val="auto"/>
          <w:sz w:val="24"/>
          <w:u w:val="single"/>
        </w:rPr>
        <w:t>Potres</w:t>
      </w:r>
      <w:r w:rsidR="00B51754" w:rsidRPr="00B51754">
        <w:rPr>
          <w:rFonts w:ascii="Times New Roman" w:hAnsi="Times New Roman" w:cs="Times New Roman"/>
          <w:color w:val="auto"/>
          <w:sz w:val="24"/>
          <w:u w:val="single"/>
        </w:rPr>
        <w:t xml:space="preserve"> 1880. godine</w:t>
      </w:r>
    </w:p>
    <w:p w14:paraId="29A250BE" w14:textId="201D4A48" w:rsidR="00201092" w:rsidRDefault="00900184" w:rsidP="00201092">
      <w:pPr>
        <w:spacing w:after="0" w:line="240" w:lineRule="auto"/>
        <w:ind w:left="0" w:right="0" w:firstLine="709"/>
        <w:rPr>
          <w:rFonts w:ascii="Times New Roman" w:hAnsi="Times New Roman" w:cs="Times New Roman"/>
          <w:color w:val="auto"/>
          <w:sz w:val="24"/>
        </w:rPr>
      </w:pPr>
      <w:r w:rsidRPr="00B51754">
        <w:rPr>
          <w:rFonts w:ascii="Times New Roman" w:hAnsi="Times New Roman" w:cs="Times New Roman"/>
          <w:color w:val="auto"/>
          <w:sz w:val="24"/>
        </w:rPr>
        <w:t>U Gradu Zagrebu 1880. kada se dogodio potres s najrazornijim posljedicama u povijesti Grada, bilo je 2483 stambenih zgrada i 1187 gospodarskih zgrada, a grad je imao oko 30</w:t>
      </w:r>
      <w:r w:rsidR="00D57F0E" w:rsidRPr="00B51754">
        <w:rPr>
          <w:rFonts w:ascii="Times New Roman" w:hAnsi="Times New Roman" w:cs="Times New Roman"/>
          <w:color w:val="auto"/>
          <w:sz w:val="24"/>
        </w:rPr>
        <w:t> </w:t>
      </w:r>
      <w:r w:rsidRPr="00B51754">
        <w:rPr>
          <w:rFonts w:ascii="Times New Roman" w:hAnsi="Times New Roman" w:cs="Times New Roman"/>
          <w:color w:val="auto"/>
          <w:sz w:val="24"/>
        </w:rPr>
        <w:t>000 stanovnika. Od ukupno 3</w:t>
      </w:r>
      <w:r w:rsidR="00D57F0E" w:rsidRPr="00B51754">
        <w:rPr>
          <w:rFonts w:ascii="Times New Roman" w:hAnsi="Times New Roman" w:cs="Times New Roman"/>
          <w:color w:val="auto"/>
          <w:sz w:val="24"/>
        </w:rPr>
        <w:t> </w:t>
      </w:r>
      <w:r w:rsidRPr="00B51754">
        <w:rPr>
          <w:rFonts w:ascii="Times New Roman" w:hAnsi="Times New Roman" w:cs="Times New Roman"/>
          <w:color w:val="auto"/>
          <w:sz w:val="24"/>
        </w:rPr>
        <w:t>670 objekata gotovo svi su oštećeni, a 12,6 posto zgrada je teško oštećeno (otvori u zidovima, rušenje unutarnjih zidova i dijelova zgrade, do rušenja cijele zgrade). Najveće štete bile su u selu Planina, sjeverno od Kašine gdje su sve zidane kuće teško oštećene. Potres je uzrokovao i pukotine u tlu iz kojih je izlazio sitni sivi pijesak i stvarao kupčiće u nekim mjestima blizu rijeke Save (Jarun, Resnik,</w:t>
      </w:r>
      <w:r w:rsidR="00201092" w:rsidRPr="00B51754">
        <w:rPr>
          <w:rFonts w:ascii="Times New Roman" w:hAnsi="Times New Roman" w:cs="Times New Roman"/>
          <w:color w:val="auto"/>
          <w:sz w:val="24"/>
        </w:rPr>
        <w:t xml:space="preserve"> </w:t>
      </w:r>
      <w:r w:rsidRPr="00B51754">
        <w:rPr>
          <w:rFonts w:ascii="Times New Roman" w:hAnsi="Times New Roman" w:cs="Times New Roman"/>
          <w:color w:val="auto"/>
          <w:sz w:val="24"/>
        </w:rPr>
        <w:t xml:space="preserve">Drenje, Trstenik). Šteta koja je iznosila gotovo 2,000.000 forinti </w:t>
      </w:r>
      <w:r w:rsidR="00D57F0E" w:rsidRPr="00B51754">
        <w:rPr>
          <w:rFonts w:ascii="Times New Roman" w:hAnsi="Times New Roman" w:cs="Times New Roman"/>
          <w:color w:val="auto"/>
          <w:sz w:val="24"/>
        </w:rPr>
        <w:t xml:space="preserve">trebala </w:t>
      </w:r>
      <w:r w:rsidRPr="00B51754">
        <w:rPr>
          <w:rFonts w:ascii="Times New Roman" w:hAnsi="Times New Roman" w:cs="Times New Roman"/>
          <w:color w:val="auto"/>
          <w:sz w:val="24"/>
        </w:rPr>
        <w:t>se pokriti djelomično doprinosima privatnika, a djelomično državnim beskamatnim zajmom i potporama.</w:t>
      </w:r>
    </w:p>
    <w:p w14:paraId="1EB7767D" w14:textId="7F495413" w:rsidR="00F94B54" w:rsidRDefault="00F94B54" w:rsidP="00201092">
      <w:pPr>
        <w:spacing w:after="0" w:line="240" w:lineRule="auto"/>
        <w:ind w:left="0" w:right="0" w:firstLine="709"/>
        <w:rPr>
          <w:rFonts w:ascii="Times New Roman" w:hAnsi="Times New Roman" w:cs="Times New Roman"/>
          <w:color w:val="auto"/>
          <w:sz w:val="24"/>
        </w:rPr>
      </w:pPr>
    </w:p>
    <w:p w14:paraId="49CB41AA" w14:textId="77777777" w:rsidR="00EC2A00" w:rsidRDefault="00EC2A00" w:rsidP="00EC2A00">
      <w:pPr>
        <w:spacing w:after="0" w:line="240" w:lineRule="auto"/>
        <w:ind w:left="0" w:right="0" w:firstLine="709"/>
        <w:rPr>
          <w:rFonts w:ascii="Times New Roman" w:hAnsi="Times New Roman" w:cs="Times New Roman"/>
          <w:color w:val="auto"/>
          <w:sz w:val="24"/>
          <w:u w:color="000000"/>
        </w:rPr>
      </w:pPr>
      <w:r w:rsidRPr="00763495">
        <w:rPr>
          <w:rFonts w:ascii="Times New Roman" w:hAnsi="Times New Roman" w:cs="Times New Roman"/>
          <w:color w:val="auto"/>
          <w:sz w:val="24"/>
          <w:u w:val="single"/>
        </w:rPr>
        <w:t>Potres 2020. godine</w:t>
      </w:r>
    </w:p>
    <w:p w14:paraId="2D5BF5A8" w14:textId="15A2F937" w:rsidR="00EC2A00" w:rsidRDefault="00EC2A00" w:rsidP="006218CF">
      <w:pPr>
        <w:spacing w:after="0" w:line="240" w:lineRule="auto"/>
        <w:ind w:left="0" w:right="0" w:firstLine="709"/>
        <w:rPr>
          <w:rFonts w:ascii="Times New Roman" w:hAnsi="Times New Roman" w:cs="Times New Roman"/>
          <w:color w:val="auto"/>
          <w:sz w:val="24"/>
        </w:rPr>
      </w:pPr>
      <w:r w:rsidRPr="003B13F0">
        <w:rPr>
          <w:rFonts w:ascii="Times New Roman" w:hAnsi="Times New Roman" w:cs="Times New Roman"/>
          <w:color w:val="auto"/>
          <w:sz w:val="24"/>
          <w:u w:color="000000"/>
        </w:rPr>
        <w:t>Ukupan trošak potresa u gradu Zagrebu,</w:t>
      </w:r>
      <w:r>
        <w:rPr>
          <w:rFonts w:ascii="Times New Roman" w:hAnsi="Times New Roman" w:cs="Times New Roman"/>
          <w:color w:val="auto"/>
          <w:sz w:val="24"/>
          <w:u w:color="000000"/>
        </w:rPr>
        <w:t xml:space="preserve"> </w:t>
      </w:r>
      <w:r w:rsidRPr="003B13F0">
        <w:rPr>
          <w:rFonts w:ascii="Times New Roman" w:hAnsi="Times New Roman" w:cs="Times New Roman"/>
          <w:color w:val="auto"/>
          <w:sz w:val="24"/>
          <w:u w:color="000000"/>
        </w:rPr>
        <w:t>Zagrebačkoj županiji i Krapinsko-zagorskoj</w:t>
      </w:r>
      <w:r>
        <w:rPr>
          <w:rFonts w:ascii="Times New Roman" w:hAnsi="Times New Roman" w:cs="Times New Roman"/>
          <w:color w:val="auto"/>
          <w:sz w:val="24"/>
          <w:u w:color="000000"/>
        </w:rPr>
        <w:t xml:space="preserve"> </w:t>
      </w:r>
      <w:r w:rsidRPr="003B13F0">
        <w:rPr>
          <w:rFonts w:ascii="Times New Roman" w:hAnsi="Times New Roman" w:cs="Times New Roman"/>
          <w:color w:val="auto"/>
          <w:sz w:val="24"/>
          <w:u w:color="000000"/>
        </w:rPr>
        <w:t xml:space="preserve">županiji </w:t>
      </w:r>
      <w:r>
        <w:rPr>
          <w:rFonts w:ascii="Times New Roman" w:hAnsi="Times New Roman" w:cs="Times New Roman"/>
          <w:color w:val="auto"/>
          <w:sz w:val="24"/>
          <w:u w:color="000000"/>
        </w:rPr>
        <w:t xml:space="preserve">prema dokumentu </w:t>
      </w:r>
      <w:r w:rsidRPr="00763495">
        <w:rPr>
          <w:rFonts w:ascii="Times New Roman" w:hAnsi="Times New Roman" w:cs="Times New Roman"/>
          <w:i/>
          <w:color w:val="auto"/>
          <w:sz w:val="24"/>
          <w:u w:color="000000"/>
        </w:rPr>
        <w:t>Croatia Earthquake 2020 - Rapid Damage and Needs Assesment</w:t>
      </w:r>
      <w:r>
        <w:rPr>
          <w:rFonts w:ascii="Times New Roman" w:hAnsi="Times New Roman" w:cs="Times New Roman"/>
          <w:color w:val="auto"/>
          <w:sz w:val="24"/>
          <w:u w:color="000000"/>
        </w:rPr>
        <w:t xml:space="preserve"> kojeg je izdala Vlada RH i Svjetska banka, </w:t>
      </w:r>
      <w:r w:rsidRPr="003B13F0">
        <w:rPr>
          <w:rFonts w:ascii="Times New Roman" w:hAnsi="Times New Roman" w:cs="Times New Roman"/>
          <w:color w:val="auto"/>
          <w:sz w:val="24"/>
          <w:u w:color="000000"/>
        </w:rPr>
        <w:t>procjenjuje se na 11,301</w:t>
      </w:r>
      <w:r>
        <w:rPr>
          <w:rFonts w:ascii="Times New Roman" w:hAnsi="Times New Roman" w:cs="Times New Roman"/>
          <w:color w:val="auto"/>
          <w:sz w:val="24"/>
          <w:u w:color="000000"/>
        </w:rPr>
        <w:t xml:space="preserve"> </w:t>
      </w:r>
      <w:r w:rsidRPr="003B13F0">
        <w:rPr>
          <w:rFonts w:ascii="Times New Roman" w:hAnsi="Times New Roman" w:cs="Times New Roman"/>
          <w:color w:val="auto"/>
          <w:sz w:val="24"/>
          <w:u w:color="000000"/>
        </w:rPr>
        <w:t>milijardi eura, od</w:t>
      </w:r>
      <w:r>
        <w:rPr>
          <w:rFonts w:ascii="Times New Roman" w:hAnsi="Times New Roman" w:cs="Times New Roman"/>
          <w:color w:val="auto"/>
          <w:sz w:val="24"/>
          <w:u w:color="000000"/>
        </w:rPr>
        <w:t xml:space="preserve"> </w:t>
      </w:r>
      <w:r w:rsidRPr="003B13F0">
        <w:rPr>
          <w:rFonts w:ascii="Times New Roman" w:hAnsi="Times New Roman" w:cs="Times New Roman"/>
          <w:color w:val="auto"/>
          <w:sz w:val="24"/>
          <w:u w:color="000000"/>
        </w:rPr>
        <w:t>čega je 10,661 milijardi eura vrijednost</w:t>
      </w:r>
      <w:r>
        <w:rPr>
          <w:rFonts w:ascii="Times New Roman" w:hAnsi="Times New Roman" w:cs="Times New Roman"/>
          <w:color w:val="auto"/>
          <w:sz w:val="24"/>
          <w:u w:color="000000"/>
        </w:rPr>
        <w:t xml:space="preserve"> </w:t>
      </w:r>
      <w:r w:rsidRPr="003B13F0">
        <w:rPr>
          <w:rFonts w:ascii="Times New Roman" w:hAnsi="Times New Roman" w:cs="Times New Roman"/>
          <w:color w:val="auto"/>
          <w:sz w:val="24"/>
          <w:u w:color="000000"/>
        </w:rPr>
        <w:t>uništene fizičke imovine dok su 0,640</w:t>
      </w:r>
      <w:r>
        <w:rPr>
          <w:rFonts w:ascii="Times New Roman" w:hAnsi="Times New Roman" w:cs="Times New Roman"/>
          <w:color w:val="auto"/>
          <w:sz w:val="24"/>
          <w:u w:color="000000"/>
        </w:rPr>
        <w:t xml:space="preserve"> </w:t>
      </w:r>
      <w:r w:rsidRPr="003B13F0">
        <w:rPr>
          <w:rFonts w:ascii="Times New Roman" w:hAnsi="Times New Roman" w:cs="Times New Roman"/>
          <w:color w:val="auto"/>
          <w:sz w:val="24"/>
          <w:u w:color="000000"/>
        </w:rPr>
        <w:t>milijardi eura gubici.</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Najveća su oštećenja zabilježena u stambenom</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sektoru (64 %), nakon čega slijede</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sektor kulture i kulturnoga nasljeđa u koji</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 xml:space="preserve">su uključene i povijesne građevine </w:t>
      </w:r>
      <w:r>
        <w:rPr>
          <w:rFonts w:ascii="Times New Roman" w:hAnsi="Times New Roman" w:cs="Times New Roman"/>
          <w:color w:val="auto"/>
          <w:sz w:val="24"/>
          <w:u w:color="000000"/>
        </w:rPr>
        <w:t>Vlade RH</w:t>
      </w:r>
      <w:r w:rsidRPr="00953FED">
        <w:rPr>
          <w:rFonts w:ascii="Times New Roman" w:hAnsi="Times New Roman" w:cs="Times New Roman"/>
          <w:color w:val="auto"/>
          <w:sz w:val="24"/>
          <w:u w:color="000000"/>
        </w:rPr>
        <w:t xml:space="preserve"> (13</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 sektor obrazovanja (10%), sektor zdravstva (8 %) i poslovni sektor</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(5 %). Najveći ukupni gubici zabilježeni su</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u stambenom sektoru (57 %), nakon čega</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slijede poslovni sektor (29 %), zdravstveni</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sektor (10 %), kultura i kulturno nasljeđe</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(3 %) te sektor obrazovanja (1 %).</w:t>
      </w:r>
    </w:p>
    <w:p w14:paraId="6675C485" w14:textId="77777777" w:rsidR="00EC2A00" w:rsidRDefault="00EC2A00" w:rsidP="00F94B54">
      <w:pPr>
        <w:spacing w:after="0" w:line="240" w:lineRule="auto"/>
        <w:ind w:left="0" w:right="0" w:firstLine="709"/>
        <w:jc w:val="center"/>
        <w:rPr>
          <w:rFonts w:ascii="Times New Roman" w:hAnsi="Times New Roman" w:cs="Times New Roman"/>
          <w:color w:val="auto"/>
          <w:sz w:val="24"/>
        </w:rPr>
      </w:pPr>
    </w:p>
    <w:p w14:paraId="7942BDBC" w14:textId="77777777" w:rsidR="00EC2A00" w:rsidRDefault="00EC2A00" w:rsidP="00F94B54">
      <w:pPr>
        <w:spacing w:after="0" w:line="240" w:lineRule="auto"/>
        <w:ind w:left="0" w:right="0" w:firstLine="709"/>
        <w:jc w:val="center"/>
        <w:rPr>
          <w:rFonts w:ascii="Times New Roman" w:hAnsi="Times New Roman" w:cs="Times New Roman"/>
          <w:color w:val="auto"/>
          <w:sz w:val="24"/>
        </w:rPr>
      </w:pPr>
    </w:p>
    <w:p w14:paraId="33050F01" w14:textId="6F5F71EC" w:rsidR="00DB39FA" w:rsidRDefault="00DB39FA" w:rsidP="006218CF">
      <w:pPr>
        <w:spacing w:after="0" w:line="240" w:lineRule="auto"/>
        <w:ind w:left="0" w:right="0" w:firstLine="0"/>
        <w:rPr>
          <w:rFonts w:ascii="Times New Roman" w:hAnsi="Times New Roman" w:cs="Times New Roman"/>
          <w:color w:val="auto"/>
          <w:sz w:val="24"/>
        </w:rPr>
      </w:pPr>
    </w:p>
    <w:p w14:paraId="3BA258E1" w14:textId="33702D6A" w:rsidR="00AE2C0B" w:rsidRDefault="00AE2C0B" w:rsidP="006218CF">
      <w:pPr>
        <w:spacing w:after="0" w:line="240" w:lineRule="auto"/>
        <w:ind w:left="0" w:right="0" w:firstLine="0"/>
        <w:rPr>
          <w:rFonts w:ascii="Times New Roman" w:hAnsi="Times New Roman" w:cs="Times New Roman"/>
          <w:color w:val="auto"/>
          <w:sz w:val="24"/>
        </w:rPr>
      </w:pPr>
    </w:p>
    <w:p w14:paraId="718B14BF" w14:textId="49ED42F7" w:rsidR="00382983" w:rsidRDefault="00382983" w:rsidP="006218CF">
      <w:pPr>
        <w:spacing w:after="0" w:line="240" w:lineRule="auto"/>
        <w:ind w:left="0" w:right="0" w:firstLine="0"/>
        <w:rPr>
          <w:rFonts w:ascii="Times New Roman" w:hAnsi="Times New Roman" w:cs="Times New Roman"/>
          <w:color w:val="auto"/>
          <w:sz w:val="24"/>
        </w:rPr>
      </w:pPr>
    </w:p>
    <w:p w14:paraId="2E2EE32F" w14:textId="5D3859D3" w:rsidR="00382983" w:rsidRDefault="00382983" w:rsidP="006218CF">
      <w:pPr>
        <w:spacing w:after="0" w:line="240" w:lineRule="auto"/>
        <w:ind w:left="0" w:right="0" w:firstLine="0"/>
        <w:rPr>
          <w:rFonts w:ascii="Times New Roman" w:hAnsi="Times New Roman" w:cs="Times New Roman"/>
          <w:color w:val="auto"/>
          <w:sz w:val="24"/>
        </w:rPr>
      </w:pPr>
    </w:p>
    <w:p w14:paraId="55DAE16C" w14:textId="030C74BC" w:rsidR="00382983" w:rsidRDefault="00382983" w:rsidP="006218CF">
      <w:pPr>
        <w:spacing w:after="0" w:line="240" w:lineRule="auto"/>
        <w:ind w:left="0" w:right="0" w:firstLine="0"/>
        <w:rPr>
          <w:rFonts w:ascii="Times New Roman" w:hAnsi="Times New Roman" w:cs="Times New Roman"/>
          <w:color w:val="auto"/>
          <w:sz w:val="24"/>
        </w:rPr>
      </w:pPr>
    </w:p>
    <w:p w14:paraId="48220D1D" w14:textId="77777777" w:rsidR="00AE2C0B" w:rsidRDefault="00AE2C0B" w:rsidP="006218CF">
      <w:pPr>
        <w:spacing w:after="0" w:line="240" w:lineRule="auto"/>
        <w:ind w:left="0" w:right="0" w:firstLine="0"/>
        <w:rPr>
          <w:rFonts w:ascii="Times New Roman" w:hAnsi="Times New Roman" w:cs="Times New Roman"/>
          <w:color w:val="auto"/>
          <w:sz w:val="24"/>
        </w:rPr>
      </w:pPr>
    </w:p>
    <w:p w14:paraId="3B2B65B9" w14:textId="3568C009" w:rsidR="00F94B54" w:rsidRPr="005E088F" w:rsidRDefault="00F94B54" w:rsidP="001D0309">
      <w:pPr>
        <w:spacing w:line="240" w:lineRule="auto"/>
        <w:ind w:left="0" w:right="0" w:firstLine="709"/>
        <w:jc w:val="center"/>
        <w:rPr>
          <w:rFonts w:ascii="Times New Roman" w:hAnsi="Times New Roman" w:cs="Times New Roman"/>
          <w:b/>
          <w:color w:val="auto"/>
          <w:sz w:val="24"/>
        </w:rPr>
      </w:pPr>
      <w:r w:rsidRPr="005E088F">
        <w:rPr>
          <w:rFonts w:ascii="Times New Roman" w:hAnsi="Times New Roman" w:cs="Times New Roman"/>
          <w:b/>
          <w:color w:val="auto"/>
          <w:sz w:val="24"/>
        </w:rPr>
        <w:lastRenderedPageBreak/>
        <w:t xml:space="preserve">Slika </w:t>
      </w:r>
      <w:r w:rsidR="0060440C">
        <w:rPr>
          <w:rFonts w:ascii="Times New Roman" w:hAnsi="Times New Roman" w:cs="Times New Roman"/>
          <w:b/>
          <w:color w:val="auto"/>
          <w:sz w:val="24"/>
        </w:rPr>
        <w:t>8</w:t>
      </w:r>
      <w:r w:rsidRPr="005E088F">
        <w:rPr>
          <w:rFonts w:ascii="Times New Roman" w:hAnsi="Times New Roman" w:cs="Times New Roman"/>
          <w:b/>
          <w:color w:val="auto"/>
          <w:sz w:val="24"/>
        </w:rPr>
        <w:t>. Štete na objektima u užem centru grada nakon potresa 1880.</w:t>
      </w:r>
    </w:p>
    <w:p w14:paraId="5669E73D" w14:textId="7BBBE558" w:rsidR="00F94B54" w:rsidRDefault="00F94B54" w:rsidP="00201092">
      <w:pPr>
        <w:spacing w:after="0" w:line="240" w:lineRule="auto"/>
        <w:ind w:left="0" w:right="0" w:firstLine="709"/>
        <w:rPr>
          <w:rFonts w:ascii="Times New Roman" w:hAnsi="Times New Roman" w:cs="Times New Roman"/>
          <w:color w:val="auto"/>
          <w:sz w:val="24"/>
        </w:rPr>
      </w:pPr>
      <w:r>
        <w:rPr>
          <w:rFonts w:ascii="Times New Roman" w:hAnsi="Times New Roman" w:cs="Times New Roman"/>
          <w:noProof/>
          <w:color w:val="auto"/>
          <w:sz w:val="24"/>
        </w:rPr>
        <w:drawing>
          <wp:inline distT="0" distB="0" distL="0" distR="0" wp14:anchorId="7258855E" wp14:editId="51351037">
            <wp:extent cx="5297805" cy="612076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97805" cy="6120765"/>
                    </a:xfrm>
                    <a:prstGeom prst="rect">
                      <a:avLst/>
                    </a:prstGeom>
                    <a:noFill/>
                  </pic:spPr>
                </pic:pic>
              </a:graphicData>
            </a:graphic>
          </wp:inline>
        </w:drawing>
      </w:r>
    </w:p>
    <w:p w14:paraId="6DDF0B7E" w14:textId="77777777" w:rsidR="007F51EC" w:rsidRPr="001D0309" w:rsidRDefault="00F94B54" w:rsidP="006218CF">
      <w:pPr>
        <w:spacing w:after="0" w:line="240" w:lineRule="auto"/>
        <w:ind w:left="0" w:right="0" w:firstLine="709"/>
        <w:jc w:val="center"/>
        <w:rPr>
          <w:rFonts w:ascii="Times New Roman" w:hAnsi="Times New Roman" w:cs="Times New Roman"/>
          <w:i/>
          <w:color w:val="auto"/>
          <w:sz w:val="20"/>
          <w:szCs w:val="20"/>
        </w:rPr>
      </w:pPr>
      <w:r w:rsidRPr="001D0309">
        <w:rPr>
          <w:rFonts w:ascii="Times New Roman" w:hAnsi="Times New Roman" w:cs="Times New Roman"/>
          <w:i/>
          <w:color w:val="auto"/>
          <w:sz w:val="20"/>
          <w:szCs w:val="20"/>
        </w:rPr>
        <w:t>Izvor:</w:t>
      </w:r>
      <w:r w:rsidR="007F51EC" w:rsidRPr="001D0309">
        <w:rPr>
          <w:sz w:val="20"/>
          <w:szCs w:val="20"/>
        </w:rPr>
        <w:t xml:space="preserve"> </w:t>
      </w:r>
      <w:r w:rsidR="007F51EC" w:rsidRPr="001D0309">
        <w:rPr>
          <w:rFonts w:ascii="Times New Roman" w:hAnsi="Times New Roman" w:cs="Times New Roman"/>
          <w:i/>
          <w:color w:val="auto"/>
          <w:sz w:val="20"/>
          <w:szCs w:val="20"/>
        </w:rPr>
        <w:t>Knjiga "Izvješće o zagrebačkom potresu" iz 1882. godine,</w:t>
      </w:r>
    </w:p>
    <w:p w14:paraId="5E52C9F8" w14:textId="77C223A9" w:rsidR="00F94B54" w:rsidRPr="001D0309" w:rsidRDefault="00F94B54" w:rsidP="006218CF">
      <w:pPr>
        <w:spacing w:after="0" w:line="240" w:lineRule="auto"/>
        <w:ind w:left="0" w:right="0" w:firstLine="709"/>
        <w:jc w:val="center"/>
        <w:rPr>
          <w:rFonts w:ascii="Times New Roman" w:hAnsi="Times New Roman" w:cs="Times New Roman"/>
          <w:i/>
          <w:color w:val="auto"/>
          <w:sz w:val="20"/>
          <w:szCs w:val="20"/>
        </w:rPr>
      </w:pPr>
      <w:r w:rsidRPr="001D0309">
        <w:rPr>
          <w:rFonts w:ascii="Times New Roman" w:hAnsi="Times New Roman" w:cs="Times New Roman"/>
          <w:i/>
          <w:color w:val="auto"/>
          <w:sz w:val="20"/>
          <w:szCs w:val="20"/>
        </w:rPr>
        <w:t xml:space="preserve"> Knjižnice Grada Zagreba</w:t>
      </w:r>
    </w:p>
    <w:p w14:paraId="5E51791F" w14:textId="6992BE00" w:rsidR="00953FED" w:rsidRDefault="00953FED" w:rsidP="006218CF">
      <w:pPr>
        <w:spacing w:after="0" w:line="240" w:lineRule="auto"/>
        <w:ind w:left="0" w:right="0" w:firstLine="0"/>
        <w:rPr>
          <w:rFonts w:ascii="Times New Roman" w:hAnsi="Times New Roman" w:cs="Times New Roman"/>
          <w:color w:val="auto"/>
          <w:sz w:val="24"/>
          <w:u w:color="000000"/>
        </w:rPr>
      </w:pPr>
    </w:p>
    <w:p w14:paraId="575ECDD7" w14:textId="795DB6E2" w:rsidR="00953FED" w:rsidRDefault="00953FED" w:rsidP="006218CF">
      <w:pPr>
        <w:spacing w:after="0" w:line="240" w:lineRule="auto"/>
        <w:ind w:right="0" w:firstLine="709"/>
        <w:rPr>
          <w:rFonts w:ascii="Times New Roman" w:hAnsi="Times New Roman" w:cs="Times New Roman"/>
          <w:color w:val="auto"/>
          <w:sz w:val="24"/>
          <w:u w:color="000000"/>
        </w:rPr>
      </w:pPr>
      <w:r w:rsidRPr="00953FED">
        <w:rPr>
          <w:rFonts w:ascii="Times New Roman" w:hAnsi="Times New Roman" w:cs="Times New Roman"/>
          <w:color w:val="auto"/>
          <w:sz w:val="24"/>
          <w:u w:color="000000"/>
        </w:rPr>
        <w:t>Stambeni je sektor najteže pogođen, s otprilike</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22,811</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oštećenih</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građevina raspoređenih po čitavom području</w:t>
      </w:r>
      <w:r>
        <w:rPr>
          <w:rFonts w:ascii="Times New Roman" w:hAnsi="Times New Roman" w:cs="Times New Roman"/>
          <w:color w:val="auto"/>
          <w:sz w:val="24"/>
          <w:u w:color="000000"/>
        </w:rPr>
        <w:t xml:space="preserve"> grada</w:t>
      </w:r>
      <w:r w:rsidRPr="00953FED">
        <w:rPr>
          <w:rFonts w:ascii="Times New Roman" w:hAnsi="Times New Roman" w:cs="Times New Roman"/>
          <w:color w:val="auto"/>
          <w:sz w:val="24"/>
          <w:u w:color="000000"/>
        </w:rPr>
        <w:t>. Otprilike</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4.600 građevina pretrpjelo je srednja do</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jaka oštećenja konstrukcije (19 %), dok je</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kod 1.243 građevina (5 %) zabilježen visok</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stupanj oštećenja konstrukcije. Potres je pogodio oko 17% građevinskog fonda Grada Zagreba</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 xml:space="preserve">(22.811 oštećenih objekata </w:t>
      </w:r>
      <w:r>
        <w:rPr>
          <w:rFonts w:ascii="Times New Roman" w:hAnsi="Times New Roman" w:cs="Times New Roman"/>
          <w:color w:val="auto"/>
          <w:sz w:val="24"/>
          <w:u w:color="000000"/>
        </w:rPr>
        <w:t>od</w:t>
      </w:r>
      <w:r w:rsidRPr="00953FED">
        <w:rPr>
          <w:rFonts w:ascii="Times New Roman" w:hAnsi="Times New Roman" w:cs="Times New Roman"/>
          <w:color w:val="auto"/>
          <w:sz w:val="24"/>
          <w:u w:color="000000"/>
        </w:rPr>
        <w:t xml:space="preserve"> ukupno 136.605) </w:t>
      </w:r>
      <w:r>
        <w:rPr>
          <w:rFonts w:ascii="Times New Roman" w:hAnsi="Times New Roman" w:cs="Times New Roman"/>
          <w:color w:val="auto"/>
          <w:sz w:val="24"/>
          <w:u w:color="000000"/>
        </w:rPr>
        <w:t>a</w:t>
      </w:r>
      <w:r w:rsidRPr="00953FED">
        <w:rPr>
          <w:rFonts w:ascii="Times New Roman" w:hAnsi="Times New Roman" w:cs="Times New Roman"/>
          <w:color w:val="auto"/>
          <w:sz w:val="24"/>
          <w:u w:color="000000"/>
        </w:rPr>
        <w:t xml:space="preserve"> svak</w:t>
      </w:r>
      <w:r>
        <w:rPr>
          <w:rFonts w:ascii="Times New Roman" w:hAnsi="Times New Roman" w:cs="Times New Roman"/>
          <w:color w:val="auto"/>
          <w:sz w:val="24"/>
          <w:u w:color="000000"/>
        </w:rPr>
        <w:t>a</w:t>
      </w:r>
      <w:r w:rsidRPr="00953FED">
        <w:rPr>
          <w:rFonts w:ascii="Times New Roman" w:hAnsi="Times New Roman" w:cs="Times New Roman"/>
          <w:color w:val="auto"/>
          <w:sz w:val="24"/>
          <w:u w:color="000000"/>
        </w:rPr>
        <w:t xml:space="preserve"> 6. stamben</w:t>
      </w:r>
      <w:r>
        <w:rPr>
          <w:rFonts w:ascii="Times New Roman" w:hAnsi="Times New Roman" w:cs="Times New Roman"/>
          <w:color w:val="auto"/>
          <w:sz w:val="24"/>
          <w:u w:color="000000"/>
        </w:rPr>
        <w:t>a</w:t>
      </w:r>
      <w:r w:rsidRPr="00953FED">
        <w:rPr>
          <w:rFonts w:ascii="Times New Roman" w:hAnsi="Times New Roman" w:cs="Times New Roman"/>
          <w:color w:val="auto"/>
          <w:sz w:val="24"/>
          <w:u w:color="000000"/>
        </w:rPr>
        <w:t xml:space="preserve"> zgrad</w:t>
      </w:r>
      <w:r>
        <w:rPr>
          <w:rFonts w:ascii="Times New Roman" w:hAnsi="Times New Roman" w:cs="Times New Roman"/>
          <w:color w:val="auto"/>
          <w:sz w:val="24"/>
          <w:u w:color="000000"/>
        </w:rPr>
        <w:t>a</w:t>
      </w:r>
      <w:r w:rsidRPr="00953FED">
        <w:rPr>
          <w:rFonts w:ascii="Times New Roman" w:hAnsi="Times New Roman" w:cs="Times New Roman"/>
          <w:color w:val="auto"/>
          <w:sz w:val="24"/>
          <w:u w:color="000000"/>
        </w:rPr>
        <w:t xml:space="preserve"> u gradu</w:t>
      </w:r>
      <w:r>
        <w:rPr>
          <w:rFonts w:ascii="Times New Roman" w:hAnsi="Times New Roman" w:cs="Times New Roman"/>
          <w:color w:val="auto"/>
          <w:sz w:val="24"/>
          <w:u w:color="000000"/>
        </w:rPr>
        <w:t xml:space="preserve"> pretrpjela je određena seizmička oštećenja. </w:t>
      </w:r>
    </w:p>
    <w:p w14:paraId="08363138" w14:textId="02DDEC56" w:rsidR="00953FED" w:rsidRDefault="00953FED" w:rsidP="006218CF">
      <w:pPr>
        <w:spacing w:after="0" w:line="240" w:lineRule="auto"/>
        <w:ind w:right="0" w:firstLine="709"/>
        <w:rPr>
          <w:rFonts w:ascii="Times New Roman" w:hAnsi="Times New Roman" w:cs="Times New Roman"/>
          <w:color w:val="auto"/>
          <w:sz w:val="24"/>
          <w:u w:color="000000"/>
        </w:rPr>
      </w:pPr>
      <w:r w:rsidRPr="00953FED">
        <w:rPr>
          <w:rFonts w:ascii="Times New Roman" w:hAnsi="Times New Roman" w:cs="Times New Roman"/>
          <w:color w:val="auto"/>
          <w:sz w:val="24"/>
          <w:u w:color="000000"/>
        </w:rPr>
        <w:t>Ukupna</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vrijednost šteta zabilježenih u stambenom</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sektoru iznosi 6,799.80</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milijardi eura,</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dok procijenjeni gubici iznose 359.54 milijuna</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eura. U iznos koji se odnosi na gubitke</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uključena je evakuacija osoba iz nesigurnih</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zgrada te čišćenje i zbrinjavanje otpadnoga</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 xml:space="preserve">materijala nakon potresa. </w:t>
      </w:r>
    </w:p>
    <w:p w14:paraId="696458ED" w14:textId="49B4643F" w:rsidR="00953FED" w:rsidRDefault="00953FED" w:rsidP="006218CF">
      <w:pPr>
        <w:spacing w:after="0" w:line="240" w:lineRule="auto"/>
        <w:ind w:right="0" w:firstLine="709"/>
        <w:rPr>
          <w:rFonts w:ascii="Times New Roman" w:hAnsi="Times New Roman" w:cs="Times New Roman"/>
          <w:color w:val="auto"/>
          <w:sz w:val="24"/>
          <w:u w:color="000000"/>
        </w:rPr>
      </w:pPr>
    </w:p>
    <w:p w14:paraId="2876B129" w14:textId="76861A45" w:rsidR="00953FED" w:rsidRDefault="00953FED" w:rsidP="00AE2C0B">
      <w:pPr>
        <w:spacing w:after="0" w:line="240" w:lineRule="auto"/>
        <w:ind w:right="0" w:firstLine="709"/>
        <w:rPr>
          <w:rFonts w:ascii="Times New Roman" w:hAnsi="Times New Roman" w:cs="Times New Roman"/>
          <w:color w:val="auto"/>
          <w:sz w:val="24"/>
          <w:u w:color="000000"/>
        </w:rPr>
      </w:pPr>
      <w:r w:rsidRPr="00953FED">
        <w:rPr>
          <w:rFonts w:ascii="Times New Roman" w:hAnsi="Times New Roman" w:cs="Times New Roman"/>
          <w:color w:val="auto"/>
          <w:sz w:val="24"/>
          <w:u w:color="000000"/>
        </w:rPr>
        <w:lastRenderedPageBreak/>
        <w:t>U zdravstvenom je sektoru u potresu</w:t>
      </w:r>
      <w:r>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oštećeno ukupno 214 građevina, od čega</w:t>
      </w:r>
      <w:r w:rsidR="00574C92">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46 domova zdravlja (22 %), 125 bolnica i</w:t>
      </w:r>
      <w:r w:rsidR="00574C92">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klinika (58 %), 20 medicinskih instituta (9</w:t>
      </w:r>
      <w:r w:rsidR="00574C92">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 te 23 ljekarne (11 %). Srednje do jako</w:t>
      </w:r>
      <w:r w:rsidR="00574C92">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oštećenje zabilježeno je na ukupno 40 građevina</w:t>
      </w:r>
      <w:r w:rsidR="00574C92">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(19 %), dok su jaka oštećenja konstrukcije</w:t>
      </w:r>
      <w:r w:rsidR="00574C92">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zabilježena na osam građevina (4</w:t>
      </w:r>
      <w:r w:rsidR="00574C92">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 Ukupan trošak oštećenja fizičke imovine</w:t>
      </w:r>
      <w:r w:rsidR="00574C92">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 xml:space="preserve">procijenjen je na </w:t>
      </w:r>
      <w:r w:rsidR="00574C92" w:rsidRPr="00574C92">
        <w:rPr>
          <w:rFonts w:ascii="Times New Roman" w:hAnsi="Times New Roman" w:cs="Times New Roman"/>
          <w:color w:val="auto"/>
          <w:sz w:val="24"/>
          <w:u w:color="000000"/>
        </w:rPr>
        <w:t>793.43</w:t>
      </w:r>
      <w:r w:rsidRPr="00953FED">
        <w:rPr>
          <w:rFonts w:ascii="Times New Roman" w:hAnsi="Times New Roman" w:cs="Times New Roman"/>
          <w:color w:val="auto"/>
          <w:sz w:val="24"/>
          <w:u w:color="000000"/>
        </w:rPr>
        <w:t xml:space="preserve"> milijuna eura. Većina</w:t>
      </w:r>
      <w:r w:rsidR="00574C92">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toga troška odnosi se na bolnice i klinike</w:t>
      </w:r>
      <w:r w:rsidR="00AE2C0B">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 xml:space="preserve">(88 %). Zabilježeni gubici iznose </w:t>
      </w:r>
      <w:r w:rsidR="00574C92" w:rsidRPr="00574C92">
        <w:rPr>
          <w:rFonts w:ascii="Times New Roman" w:hAnsi="Times New Roman" w:cs="Times New Roman"/>
          <w:color w:val="auto"/>
          <w:sz w:val="24"/>
          <w:u w:color="000000"/>
        </w:rPr>
        <w:t>60.97</w:t>
      </w:r>
      <w:r w:rsidR="00574C92">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milijun</w:t>
      </w:r>
      <w:r w:rsidR="00574C92">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eura, a uglavnom se odnose na hitnu</w:t>
      </w:r>
      <w:r w:rsidR="00574C92">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evakuaciju pacijenata te na nemogućnosti</w:t>
      </w:r>
      <w:r w:rsidR="00574C92">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zdravstvenih ustanova (uglavnom bolnica i</w:t>
      </w:r>
      <w:r w:rsidR="00574C92">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domova zdravlja) da pruže medicinske usluge</w:t>
      </w:r>
      <w:r w:rsidR="00574C92">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u razdoblju hitnoga djelovanja (zbog</w:t>
      </w:r>
      <w:r w:rsidR="00574C92">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jakoga oštećenja konstrukcija) i naplate</w:t>
      </w:r>
      <w:r w:rsidR="00574C92">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svoje troškove Hrvatskom zavodu za javno</w:t>
      </w:r>
      <w:r w:rsidR="00574C92">
        <w:rPr>
          <w:rFonts w:ascii="Times New Roman" w:hAnsi="Times New Roman" w:cs="Times New Roman"/>
          <w:color w:val="auto"/>
          <w:sz w:val="24"/>
          <w:u w:color="000000"/>
        </w:rPr>
        <w:t xml:space="preserve"> </w:t>
      </w:r>
      <w:r w:rsidRPr="00953FED">
        <w:rPr>
          <w:rFonts w:ascii="Times New Roman" w:hAnsi="Times New Roman" w:cs="Times New Roman"/>
          <w:color w:val="auto"/>
          <w:sz w:val="24"/>
          <w:u w:color="000000"/>
        </w:rPr>
        <w:t>zdravstvo.</w:t>
      </w:r>
    </w:p>
    <w:p w14:paraId="1B55E937" w14:textId="73735A7B" w:rsidR="00574C92" w:rsidRDefault="00574C92" w:rsidP="006218CF">
      <w:pPr>
        <w:spacing w:after="0" w:line="240" w:lineRule="auto"/>
        <w:ind w:right="0" w:firstLine="709"/>
        <w:rPr>
          <w:rFonts w:ascii="Times New Roman" w:hAnsi="Times New Roman" w:cs="Times New Roman"/>
          <w:color w:val="auto"/>
          <w:sz w:val="24"/>
          <w:u w:color="000000"/>
        </w:rPr>
      </w:pPr>
      <w:r w:rsidRPr="00574C92">
        <w:rPr>
          <w:rFonts w:ascii="Times New Roman" w:hAnsi="Times New Roman" w:cs="Times New Roman"/>
          <w:color w:val="auto"/>
          <w:sz w:val="24"/>
          <w:u w:color="000000"/>
        </w:rPr>
        <w:t>U sektoru obrazovanja oštećen</w:t>
      </w:r>
      <w:r>
        <w:rPr>
          <w:rFonts w:ascii="Times New Roman" w:hAnsi="Times New Roman" w:cs="Times New Roman"/>
          <w:color w:val="auto"/>
          <w:sz w:val="24"/>
          <w:u w:color="000000"/>
        </w:rPr>
        <w:t>e su</w:t>
      </w:r>
      <w:r w:rsidRPr="00574C92">
        <w:rPr>
          <w:rFonts w:ascii="Times New Roman" w:hAnsi="Times New Roman" w:cs="Times New Roman"/>
          <w:color w:val="auto"/>
          <w:sz w:val="24"/>
          <w:u w:color="000000"/>
        </w:rPr>
        <w:t xml:space="preserve"> 484 </w:t>
      </w:r>
      <w:r>
        <w:rPr>
          <w:rFonts w:ascii="Times New Roman" w:hAnsi="Times New Roman" w:cs="Times New Roman"/>
          <w:color w:val="auto"/>
          <w:sz w:val="24"/>
          <w:u w:color="000000"/>
        </w:rPr>
        <w:t>građevine.</w:t>
      </w:r>
      <w:r w:rsidR="00167933">
        <w:rPr>
          <w:rFonts w:ascii="Times New Roman" w:hAnsi="Times New Roman" w:cs="Times New Roman"/>
          <w:color w:val="auto"/>
          <w:sz w:val="24"/>
          <w:u w:color="000000"/>
        </w:rPr>
        <w:t xml:space="preserve"> </w:t>
      </w:r>
      <w:r w:rsidRPr="00574C92">
        <w:rPr>
          <w:rFonts w:ascii="Times New Roman" w:hAnsi="Times New Roman" w:cs="Times New Roman"/>
          <w:color w:val="auto"/>
          <w:sz w:val="24"/>
          <w:u w:color="000000"/>
        </w:rPr>
        <w:t>Srednja do jaka oštećenja konstrukcije</w:t>
      </w:r>
      <w:r w:rsidR="00167933">
        <w:rPr>
          <w:rFonts w:ascii="Times New Roman" w:hAnsi="Times New Roman" w:cs="Times New Roman"/>
          <w:color w:val="auto"/>
          <w:sz w:val="24"/>
          <w:u w:color="000000"/>
        </w:rPr>
        <w:t xml:space="preserve"> </w:t>
      </w:r>
      <w:r w:rsidRPr="00574C92">
        <w:rPr>
          <w:rFonts w:ascii="Times New Roman" w:hAnsi="Times New Roman" w:cs="Times New Roman"/>
          <w:color w:val="auto"/>
          <w:sz w:val="24"/>
          <w:u w:color="000000"/>
        </w:rPr>
        <w:t>zabilježena su na 160 građevina,</w:t>
      </w:r>
      <w:r w:rsidR="00167933">
        <w:rPr>
          <w:rFonts w:ascii="Times New Roman" w:hAnsi="Times New Roman" w:cs="Times New Roman"/>
          <w:color w:val="auto"/>
          <w:sz w:val="24"/>
          <w:u w:color="000000"/>
        </w:rPr>
        <w:t xml:space="preserve"> </w:t>
      </w:r>
      <w:r w:rsidRPr="00574C92">
        <w:rPr>
          <w:rFonts w:ascii="Times New Roman" w:hAnsi="Times New Roman" w:cs="Times New Roman"/>
          <w:color w:val="auto"/>
          <w:sz w:val="24"/>
          <w:u w:color="000000"/>
        </w:rPr>
        <w:t>dok je 12 građevina pretrpjelo teška</w:t>
      </w:r>
      <w:r w:rsidR="00167933">
        <w:rPr>
          <w:rFonts w:ascii="Times New Roman" w:hAnsi="Times New Roman" w:cs="Times New Roman"/>
          <w:color w:val="auto"/>
          <w:sz w:val="24"/>
          <w:u w:color="000000"/>
        </w:rPr>
        <w:t xml:space="preserve"> </w:t>
      </w:r>
      <w:r w:rsidRPr="00574C92">
        <w:rPr>
          <w:rFonts w:ascii="Times New Roman" w:hAnsi="Times New Roman" w:cs="Times New Roman"/>
          <w:color w:val="auto"/>
          <w:sz w:val="24"/>
          <w:u w:color="000000"/>
        </w:rPr>
        <w:t>oštećenja konstrukcije. Ukupna šteta na</w:t>
      </w:r>
      <w:r w:rsidR="00167933">
        <w:rPr>
          <w:rFonts w:ascii="Times New Roman" w:hAnsi="Times New Roman" w:cs="Times New Roman"/>
          <w:color w:val="auto"/>
          <w:sz w:val="24"/>
          <w:u w:color="000000"/>
        </w:rPr>
        <w:t xml:space="preserve"> </w:t>
      </w:r>
      <w:r w:rsidRPr="00574C92">
        <w:rPr>
          <w:rFonts w:ascii="Times New Roman" w:hAnsi="Times New Roman" w:cs="Times New Roman"/>
          <w:color w:val="auto"/>
          <w:sz w:val="24"/>
          <w:u w:color="000000"/>
        </w:rPr>
        <w:t>građevinama i ostaloj fizičkoj imovini procjenjuje</w:t>
      </w:r>
      <w:r w:rsidR="00167933">
        <w:rPr>
          <w:rFonts w:ascii="Times New Roman" w:hAnsi="Times New Roman" w:cs="Times New Roman"/>
          <w:color w:val="auto"/>
          <w:sz w:val="24"/>
          <w:u w:color="000000"/>
        </w:rPr>
        <w:t xml:space="preserve"> </w:t>
      </w:r>
      <w:r w:rsidRPr="00574C92">
        <w:rPr>
          <w:rFonts w:ascii="Times New Roman" w:hAnsi="Times New Roman" w:cs="Times New Roman"/>
          <w:color w:val="auto"/>
          <w:sz w:val="24"/>
          <w:u w:color="000000"/>
        </w:rPr>
        <w:t xml:space="preserve">se na </w:t>
      </w:r>
      <w:r w:rsidR="00167933" w:rsidRPr="00167933">
        <w:rPr>
          <w:rFonts w:ascii="Times New Roman" w:hAnsi="Times New Roman" w:cs="Times New Roman"/>
          <w:color w:val="auto"/>
          <w:sz w:val="24"/>
          <w:u w:color="000000"/>
        </w:rPr>
        <w:t>1,048.49</w:t>
      </w:r>
      <w:r w:rsidR="00167933">
        <w:rPr>
          <w:rFonts w:ascii="Times New Roman" w:hAnsi="Times New Roman" w:cs="Times New Roman"/>
          <w:color w:val="auto"/>
          <w:sz w:val="24"/>
          <w:u w:color="000000"/>
        </w:rPr>
        <w:t xml:space="preserve"> </w:t>
      </w:r>
      <w:r w:rsidRPr="00574C92">
        <w:rPr>
          <w:rFonts w:ascii="Times New Roman" w:hAnsi="Times New Roman" w:cs="Times New Roman"/>
          <w:color w:val="auto"/>
          <w:sz w:val="24"/>
          <w:u w:color="000000"/>
        </w:rPr>
        <w:t>milijardi eura. Gubici</w:t>
      </w:r>
      <w:r w:rsidR="00167933">
        <w:rPr>
          <w:rFonts w:ascii="Times New Roman" w:hAnsi="Times New Roman" w:cs="Times New Roman"/>
          <w:color w:val="auto"/>
          <w:sz w:val="24"/>
          <w:u w:color="000000"/>
        </w:rPr>
        <w:t xml:space="preserve"> </w:t>
      </w:r>
      <w:r w:rsidRPr="00574C92">
        <w:rPr>
          <w:rFonts w:ascii="Times New Roman" w:hAnsi="Times New Roman" w:cs="Times New Roman"/>
          <w:color w:val="auto"/>
          <w:sz w:val="24"/>
          <w:u w:color="000000"/>
        </w:rPr>
        <w:t xml:space="preserve">se procjenjuju na </w:t>
      </w:r>
      <w:r w:rsidR="00167933" w:rsidRPr="00167933">
        <w:rPr>
          <w:rFonts w:ascii="Times New Roman" w:hAnsi="Times New Roman" w:cs="Times New Roman"/>
          <w:color w:val="auto"/>
          <w:sz w:val="24"/>
          <w:u w:color="000000"/>
        </w:rPr>
        <w:t>8.67</w:t>
      </w:r>
      <w:r w:rsidR="00167933">
        <w:rPr>
          <w:rFonts w:ascii="Times New Roman" w:hAnsi="Times New Roman" w:cs="Times New Roman"/>
          <w:color w:val="auto"/>
          <w:sz w:val="24"/>
          <w:u w:color="000000"/>
        </w:rPr>
        <w:t xml:space="preserve"> </w:t>
      </w:r>
      <w:r w:rsidRPr="00574C92">
        <w:rPr>
          <w:rFonts w:ascii="Times New Roman" w:hAnsi="Times New Roman" w:cs="Times New Roman"/>
          <w:color w:val="auto"/>
          <w:sz w:val="24"/>
          <w:u w:color="000000"/>
        </w:rPr>
        <w:t>milijuna eura,</w:t>
      </w:r>
      <w:r w:rsidR="00167933">
        <w:rPr>
          <w:rFonts w:ascii="Times New Roman" w:hAnsi="Times New Roman" w:cs="Times New Roman"/>
          <w:color w:val="auto"/>
          <w:sz w:val="24"/>
          <w:u w:color="000000"/>
        </w:rPr>
        <w:t xml:space="preserve"> </w:t>
      </w:r>
      <w:r w:rsidRPr="00574C92">
        <w:rPr>
          <w:rFonts w:ascii="Times New Roman" w:hAnsi="Times New Roman" w:cs="Times New Roman"/>
          <w:color w:val="auto"/>
          <w:sz w:val="24"/>
          <w:u w:color="000000"/>
        </w:rPr>
        <w:t>a uglavnom se odnose na kratkoročne</w:t>
      </w:r>
      <w:r w:rsidR="00167933">
        <w:rPr>
          <w:rFonts w:ascii="Times New Roman" w:hAnsi="Times New Roman" w:cs="Times New Roman"/>
          <w:color w:val="auto"/>
          <w:sz w:val="24"/>
          <w:u w:color="000000"/>
        </w:rPr>
        <w:t xml:space="preserve"> </w:t>
      </w:r>
      <w:r w:rsidRPr="00574C92">
        <w:rPr>
          <w:rFonts w:ascii="Times New Roman" w:hAnsi="Times New Roman" w:cs="Times New Roman"/>
          <w:color w:val="auto"/>
          <w:sz w:val="24"/>
          <w:u w:color="000000"/>
        </w:rPr>
        <w:t>protumjere potrebne za zaštitu korisnika</w:t>
      </w:r>
      <w:r w:rsidR="00167933">
        <w:rPr>
          <w:rFonts w:ascii="Times New Roman" w:hAnsi="Times New Roman" w:cs="Times New Roman"/>
          <w:color w:val="auto"/>
          <w:sz w:val="24"/>
          <w:u w:color="000000"/>
        </w:rPr>
        <w:t xml:space="preserve"> </w:t>
      </w:r>
      <w:r w:rsidRPr="00574C92">
        <w:rPr>
          <w:rFonts w:ascii="Times New Roman" w:hAnsi="Times New Roman" w:cs="Times New Roman"/>
          <w:color w:val="auto"/>
          <w:sz w:val="24"/>
          <w:u w:color="000000"/>
        </w:rPr>
        <w:t>od potencijalnih rizika te za sprječavanje</w:t>
      </w:r>
      <w:r w:rsidR="00167933">
        <w:rPr>
          <w:rFonts w:ascii="Times New Roman" w:hAnsi="Times New Roman" w:cs="Times New Roman"/>
          <w:color w:val="auto"/>
          <w:sz w:val="24"/>
          <w:u w:color="000000"/>
        </w:rPr>
        <w:t xml:space="preserve"> </w:t>
      </w:r>
      <w:r w:rsidRPr="00574C92">
        <w:rPr>
          <w:rFonts w:ascii="Times New Roman" w:hAnsi="Times New Roman" w:cs="Times New Roman"/>
          <w:color w:val="auto"/>
          <w:sz w:val="24"/>
          <w:u w:color="000000"/>
        </w:rPr>
        <w:t>daljnjeg propadanja građevina.</w:t>
      </w:r>
    </w:p>
    <w:p w14:paraId="686D4ADB" w14:textId="5D858A01" w:rsidR="005F55F3" w:rsidRDefault="005F55F3" w:rsidP="00AE2C0B">
      <w:pPr>
        <w:spacing w:after="0" w:line="240" w:lineRule="auto"/>
        <w:ind w:right="0" w:firstLine="709"/>
        <w:rPr>
          <w:rFonts w:ascii="Times New Roman" w:hAnsi="Times New Roman" w:cs="Times New Roman"/>
          <w:color w:val="auto"/>
          <w:sz w:val="24"/>
          <w:u w:color="000000"/>
        </w:rPr>
      </w:pPr>
      <w:r>
        <w:rPr>
          <w:rFonts w:ascii="Times New Roman" w:hAnsi="Times New Roman" w:cs="Times New Roman"/>
          <w:color w:val="auto"/>
          <w:sz w:val="24"/>
          <w:u w:color="000000"/>
        </w:rPr>
        <w:t>Kada je riječ o povijesnom naslijeđu, v</w:t>
      </w:r>
      <w:r w:rsidRPr="005F55F3">
        <w:rPr>
          <w:rFonts w:ascii="Times New Roman" w:hAnsi="Times New Roman" w:cs="Times New Roman"/>
          <w:color w:val="auto"/>
          <w:sz w:val="24"/>
          <w:u w:color="000000"/>
        </w:rPr>
        <w:t>elik</w:t>
      </w:r>
      <w:r>
        <w:rPr>
          <w:rFonts w:ascii="Times New Roman" w:hAnsi="Times New Roman" w:cs="Times New Roman"/>
          <w:color w:val="auto"/>
          <w:sz w:val="24"/>
          <w:u w:color="000000"/>
        </w:rPr>
        <w:t>i</w:t>
      </w:r>
      <w:r w:rsidRPr="005F55F3">
        <w:rPr>
          <w:rFonts w:ascii="Times New Roman" w:hAnsi="Times New Roman" w:cs="Times New Roman"/>
          <w:color w:val="auto"/>
          <w:sz w:val="24"/>
          <w:u w:color="000000"/>
        </w:rPr>
        <w:t xml:space="preserve"> dio </w:t>
      </w:r>
      <w:r>
        <w:rPr>
          <w:rFonts w:ascii="Times New Roman" w:hAnsi="Times New Roman" w:cs="Times New Roman"/>
          <w:color w:val="auto"/>
          <w:sz w:val="24"/>
          <w:u w:color="000000"/>
        </w:rPr>
        <w:t xml:space="preserve">centra Grada Zagreba </w:t>
      </w:r>
      <w:r w:rsidRPr="005F55F3">
        <w:rPr>
          <w:rFonts w:ascii="Times New Roman" w:hAnsi="Times New Roman" w:cs="Times New Roman"/>
          <w:color w:val="auto"/>
          <w:sz w:val="24"/>
          <w:u w:color="000000"/>
        </w:rPr>
        <w:t>čini zaštićeni povijesni urbani kompleks koji se sastoji od</w:t>
      </w:r>
      <w:r>
        <w:rPr>
          <w:rFonts w:ascii="Times New Roman" w:hAnsi="Times New Roman" w:cs="Times New Roman"/>
          <w:color w:val="auto"/>
          <w:sz w:val="24"/>
          <w:u w:color="000000"/>
        </w:rPr>
        <w:t xml:space="preserve"> </w:t>
      </w:r>
      <w:r w:rsidRPr="005F55F3">
        <w:rPr>
          <w:rFonts w:ascii="Times New Roman" w:hAnsi="Times New Roman" w:cs="Times New Roman"/>
          <w:color w:val="auto"/>
          <w:sz w:val="24"/>
          <w:u w:color="000000"/>
        </w:rPr>
        <w:t>ukupno 13.388 zgrada,</w:t>
      </w:r>
      <w:r>
        <w:rPr>
          <w:rFonts w:ascii="Times New Roman" w:hAnsi="Times New Roman" w:cs="Times New Roman"/>
          <w:color w:val="auto"/>
          <w:sz w:val="24"/>
          <w:u w:color="000000"/>
        </w:rPr>
        <w:t xml:space="preserve"> </w:t>
      </w:r>
      <w:r w:rsidRPr="005F55F3">
        <w:rPr>
          <w:rFonts w:ascii="Times New Roman" w:hAnsi="Times New Roman" w:cs="Times New Roman"/>
          <w:color w:val="auto"/>
          <w:sz w:val="24"/>
          <w:u w:color="000000"/>
        </w:rPr>
        <w:t>od kojih se 4.017 nalazi u povijesnoj jezgri Zagreba (zona</w:t>
      </w:r>
      <w:r>
        <w:rPr>
          <w:rFonts w:ascii="Times New Roman" w:hAnsi="Times New Roman" w:cs="Times New Roman"/>
          <w:color w:val="auto"/>
          <w:sz w:val="24"/>
          <w:u w:color="000000"/>
        </w:rPr>
        <w:t xml:space="preserve"> </w:t>
      </w:r>
      <w:r w:rsidRPr="005F55F3">
        <w:rPr>
          <w:rFonts w:ascii="Times New Roman" w:hAnsi="Times New Roman" w:cs="Times New Roman"/>
          <w:color w:val="auto"/>
          <w:sz w:val="24"/>
          <w:u w:color="000000"/>
        </w:rPr>
        <w:t xml:space="preserve">A). Čak 72% objekata u ovoj zaštićenoj zoni je oštećeno, od čega </w:t>
      </w:r>
      <w:r>
        <w:rPr>
          <w:rFonts w:ascii="Times New Roman" w:hAnsi="Times New Roman" w:cs="Times New Roman"/>
          <w:color w:val="auto"/>
          <w:sz w:val="24"/>
          <w:u w:color="000000"/>
        </w:rPr>
        <w:t xml:space="preserve">je </w:t>
      </w:r>
      <w:r w:rsidRPr="005F55F3">
        <w:rPr>
          <w:rFonts w:ascii="Times New Roman" w:hAnsi="Times New Roman" w:cs="Times New Roman"/>
          <w:color w:val="auto"/>
          <w:sz w:val="24"/>
          <w:u w:color="000000"/>
        </w:rPr>
        <w:t xml:space="preserve">27% </w:t>
      </w:r>
      <w:r>
        <w:rPr>
          <w:rFonts w:ascii="Times New Roman" w:hAnsi="Times New Roman" w:cs="Times New Roman"/>
          <w:color w:val="auto"/>
          <w:sz w:val="24"/>
          <w:u w:color="000000"/>
        </w:rPr>
        <w:t xml:space="preserve">pretrpjelo </w:t>
      </w:r>
      <w:r w:rsidRPr="005F55F3">
        <w:rPr>
          <w:rFonts w:ascii="Times New Roman" w:hAnsi="Times New Roman" w:cs="Times New Roman"/>
          <w:color w:val="auto"/>
          <w:sz w:val="24"/>
          <w:u w:color="000000"/>
        </w:rPr>
        <w:t>umjerena, a 6% teška konstrukcijska oštećenja. Unutar šireg gradskog područja (zona B) ukupno je 40 %</w:t>
      </w:r>
      <w:r>
        <w:rPr>
          <w:rFonts w:ascii="Times New Roman" w:hAnsi="Times New Roman" w:cs="Times New Roman"/>
          <w:color w:val="auto"/>
          <w:sz w:val="24"/>
          <w:u w:color="000000"/>
        </w:rPr>
        <w:t xml:space="preserve"> zgrada oštećeno</w:t>
      </w:r>
      <w:r w:rsidRPr="005F55F3">
        <w:rPr>
          <w:rFonts w:ascii="Times New Roman" w:hAnsi="Times New Roman" w:cs="Times New Roman"/>
          <w:color w:val="auto"/>
          <w:sz w:val="24"/>
          <w:u w:color="000000"/>
        </w:rPr>
        <w:t xml:space="preserve">, od čega je 9% pretrpjelo umjerena do teška strukturalna oštećenja. </w:t>
      </w:r>
      <w:r>
        <w:rPr>
          <w:rFonts w:ascii="Times New Roman" w:hAnsi="Times New Roman" w:cs="Times New Roman"/>
          <w:color w:val="auto"/>
          <w:sz w:val="24"/>
          <w:u w:color="000000"/>
        </w:rPr>
        <w:t>O</w:t>
      </w:r>
      <w:r w:rsidRPr="005F55F3">
        <w:rPr>
          <w:rFonts w:ascii="Times New Roman" w:hAnsi="Times New Roman" w:cs="Times New Roman"/>
          <w:color w:val="auto"/>
          <w:sz w:val="24"/>
          <w:u w:color="000000"/>
        </w:rPr>
        <w:t>v</w:t>
      </w:r>
      <w:r>
        <w:rPr>
          <w:rFonts w:ascii="Times New Roman" w:hAnsi="Times New Roman" w:cs="Times New Roman"/>
          <w:color w:val="auto"/>
          <w:sz w:val="24"/>
          <w:u w:color="000000"/>
        </w:rPr>
        <w:t xml:space="preserve">i podaci </w:t>
      </w:r>
      <w:r w:rsidRPr="005F55F3">
        <w:rPr>
          <w:rFonts w:ascii="Times New Roman" w:hAnsi="Times New Roman" w:cs="Times New Roman"/>
          <w:color w:val="auto"/>
          <w:sz w:val="24"/>
          <w:u w:color="000000"/>
        </w:rPr>
        <w:t xml:space="preserve">se odnose na sve zgrade kulturne baštine. </w:t>
      </w:r>
    </w:p>
    <w:p w14:paraId="2FF71C26" w14:textId="5AEA2FA2" w:rsidR="00574C92" w:rsidRDefault="00167933" w:rsidP="00AE2C0B">
      <w:pPr>
        <w:spacing w:after="0" w:line="240" w:lineRule="auto"/>
        <w:ind w:right="0" w:firstLine="709"/>
        <w:rPr>
          <w:rFonts w:ascii="Times New Roman" w:hAnsi="Times New Roman" w:cs="Times New Roman"/>
          <w:color w:val="auto"/>
          <w:sz w:val="24"/>
          <w:u w:color="000000"/>
        </w:rPr>
      </w:pPr>
      <w:r>
        <w:rPr>
          <w:rFonts w:ascii="Times New Roman" w:hAnsi="Times New Roman" w:cs="Times New Roman"/>
          <w:color w:val="auto"/>
          <w:sz w:val="24"/>
          <w:u w:color="000000"/>
        </w:rPr>
        <w:t>U sektoru</w:t>
      </w:r>
      <w:r w:rsidRPr="00167933">
        <w:rPr>
          <w:rFonts w:ascii="Times New Roman" w:hAnsi="Times New Roman" w:cs="Times New Roman"/>
          <w:color w:val="auto"/>
          <w:sz w:val="24"/>
          <w:u w:color="000000"/>
        </w:rPr>
        <w:t xml:space="preserve"> kulture i kulturnoga nasljeđa</w:t>
      </w:r>
      <w:r>
        <w:rPr>
          <w:rFonts w:ascii="Times New Roman" w:hAnsi="Times New Roman" w:cs="Times New Roman"/>
          <w:color w:val="auto"/>
          <w:sz w:val="24"/>
          <w:u w:color="000000"/>
        </w:rPr>
        <w:t xml:space="preserve"> </w:t>
      </w:r>
      <w:r w:rsidRPr="00167933">
        <w:rPr>
          <w:rFonts w:ascii="Times New Roman" w:hAnsi="Times New Roman" w:cs="Times New Roman"/>
          <w:color w:val="auto"/>
          <w:sz w:val="24"/>
          <w:u w:color="000000"/>
        </w:rPr>
        <w:t xml:space="preserve">ukupno </w:t>
      </w:r>
      <w:r>
        <w:rPr>
          <w:rFonts w:ascii="Times New Roman" w:hAnsi="Times New Roman" w:cs="Times New Roman"/>
          <w:color w:val="auto"/>
          <w:sz w:val="24"/>
          <w:u w:color="000000"/>
        </w:rPr>
        <w:t xml:space="preserve">su </w:t>
      </w:r>
      <w:r w:rsidRPr="00167933">
        <w:rPr>
          <w:rFonts w:ascii="Times New Roman" w:hAnsi="Times New Roman" w:cs="Times New Roman"/>
          <w:color w:val="auto"/>
          <w:sz w:val="24"/>
          <w:u w:color="000000"/>
        </w:rPr>
        <w:t>oštećene 192</w:t>
      </w:r>
      <w:r w:rsidR="00C87AE5">
        <w:rPr>
          <w:rFonts w:ascii="Times New Roman" w:hAnsi="Times New Roman" w:cs="Times New Roman"/>
          <w:color w:val="auto"/>
          <w:sz w:val="24"/>
          <w:u w:color="000000"/>
        </w:rPr>
        <w:t xml:space="preserve"> </w:t>
      </w:r>
      <w:r w:rsidRPr="00167933">
        <w:rPr>
          <w:rFonts w:ascii="Times New Roman" w:hAnsi="Times New Roman" w:cs="Times New Roman"/>
          <w:color w:val="auto"/>
          <w:sz w:val="24"/>
          <w:u w:color="000000"/>
        </w:rPr>
        <w:t>kulturne institucije, 13 državnih građevina</w:t>
      </w:r>
      <w:r w:rsidR="00C87AE5">
        <w:rPr>
          <w:rFonts w:ascii="Times New Roman" w:hAnsi="Times New Roman" w:cs="Times New Roman"/>
          <w:color w:val="auto"/>
          <w:sz w:val="24"/>
          <w:u w:color="000000"/>
        </w:rPr>
        <w:t xml:space="preserve"> </w:t>
      </w:r>
      <w:r w:rsidRPr="00167933">
        <w:rPr>
          <w:rFonts w:ascii="Times New Roman" w:hAnsi="Times New Roman" w:cs="Times New Roman"/>
          <w:color w:val="auto"/>
          <w:sz w:val="24"/>
          <w:u w:color="000000"/>
        </w:rPr>
        <w:t>koje spadaju u kulturno nasljeđe te 159</w:t>
      </w:r>
      <w:r w:rsidR="00C87AE5">
        <w:rPr>
          <w:rFonts w:ascii="Times New Roman" w:hAnsi="Times New Roman" w:cs="Times New Roman"/>
          <w:color w:val="auto"/>
          <w:sz w:val="24"/>
          <w:u w:color="000000"/>
        </w:rPr>
        <w:t xml:space="preserve"> </w:t>
      </w:r>
      <w:r w:rsidRPr="00167933">
        <w:rPr>
          <w:rFonts w:ascii="Times New Roman" w:hAnsi="Times New Roman" w:cs="Times New Roman"/>
          <w:color w:val="auto"/>
          <w:sz w:val="24"/>
          <w:u w:color="000000"/>
        </w:rPr>
        <w:t>vjerskih građevina. Kako su građevine zastupljene</w:t>
      </w:r>
      <w:r w:rsidR="00C87AE5">
        <w:rPr>
          <w:rFonts w:ascii="Times New Roman" w:hAnsi="Times New Roman" w:cs="Times New Roman"/>
          <w:color w:val="auto"/>
          <w:sz w:val="24"/>
          <w:u w:color="000000"/>
        </w:rPr>
        <w:t xml:space="preserve"> </w:t>
      </w:r>
      <w:r w:rsidRPr="00167933">
        <w:rPr>
          <w:rFonts w:ascii="Times New Roman" w:hAnsi="Times New Roman" w:cs="Times New Roman"/>
          <w:color w:val="auto"/>
          <w:sz w:val="24"/>
          <w:u w:color="000000"/>
        </w:rPr>
        <w:t>u ovom sektoru uglavnom vrlo</w:t>
      </w:r>
      <w:r w:rsidR="00C87AE5">
        <w:rPr>
          <w:rFonts w:ascii="Times New Roman" w:hAnsi="Times New Roman" w:cs="Times New Roman"/>
          <w:color w:val="auto"/>
          <w:sz w:val="24"/>
          <w:u w:color="000000"/>
        </w:rPr>
        <w:t xml:space="preserve"> </w:t>
      </w:r>
      <w:r w:rsidRPr="00167933">
        <w:rPr>
          <w:rFonts w:ascii="Times New Roman" w:hAnsi="Times New Roman" w:cs="Times New Roman"/>
          <w:color w:val="auto"/>
          <w:sz w:val="24"/>
          <w:u w:color="000000"/>
        </w:rPr>
        <w:t>stare, na 118 građevina (32 %) zabilježeno</w:t>
      </w:r>
      <w:r w:rsidR="00C87AE5">
        <w:rPr>
          <w:rFonts w:ascii="Times New Roman" w:hAnsi="Times New Roman" w:cs="Times New Roman"/>
          <w:color w:val="auto"/>
          <w:sz w:val="24"/>
          <w:u w:color="000000"/>
        </w:rPr>
        <w:t xml:space="preserve"> </w:t>
      </w:r>
      <w:r w:rsidRPr="00167933">
        <w:rPr>
          <w:rFonts w:ascii="Times New Roman" w:hAnsi="Times New Roman" w:cs="Times New Roman"/>
          <w:color w:val="auto"/>
          <w:sz w:val="24"/>
          <w:u w:color="000000"/>
        </w:rPr>
        <w:t>je jako oštećenje konstrukcije, dok su teška</w:t>
      </w:r>
      <w:r w:rsidR="00C87AE5">
        <w:rPr>
          <w:rFonts w:ascii="Times New Roman" w:hAnsi="Times New Roman" w:cs="Times New Roman"/>
          <w:color w:val="auto"/>
          <w:sz w:val="24"/>
          <w:u w:color="000000"/>
        </w:rPr>
        <w:t xml:space="preserve"> </w:t>
      </w:r>
      <w:r w:rsidRPr="00167933">
        <w:rPr>
          <w:rFonts w:ascii="Times New Roman" w:hAnsi="Times New Roman" w:cs="Times New Roman"/>
          <w:color w:val="auto"/>
          <w:sz w:val="24"/>
          <w:u w:color="000000"/>
        </w:rPr>
        <w:t>oštećenja konstrukcije zabilježena na 41</w:t>
      </w:r>
      <w:r w:rsidR="00C87AE5">
        <w:rPr>
          <w:rFonts w:ascii="Times New Roman" w:hAnsi="Times New Roman" w:cs="Times New Roman"/>
          <w:color w:val="auto"/>
          <w:sz w:val="24"/>
          <w:u w:color="000000"/>
        </w:rPr>
        <w:t xml:space="preserve"> </w:t>
      </w:r>
      <w:r w:rsidR="00C87AE5" w:rsidRPr="00C87AE5">
        <w:rPr>
          <w:rFonts w:ascii="Times New Roman" w:hAnsi="Times New Roman" w:cs="Times New Roman"/>
          <w:color w:val="auto"/>
          <w:sz w:val="24"/>
          <w:u w:color="000000"/>
        </w:rPr>
        <w:t>građevini (11 %). Ukupna šteta na građevinama</w:t>
      </w:r>
      <w:r w:rsidR="00C87AE5">
        <w:rPr>
          <w:rFonts w:ascii="Times New Roman" w:hAnsi="Times New Roman" w:cs="Times New Roman"/>
          <w:color w:val="auto"/>
          <w:sz w:val="24"/>
          <w:u w:color="000000"/>
        </w:rPr>
        <w:t xml:space="preserve"> </w:t>
      </w:r>
      <w:r w:rsidR="00C87AE5" w:rsidRPr="00C87AE5">
        <w:rPr>
          <w:rFonts w:ascii="Times New Roman" w:hAnsi="Times New Roman" w:cs="Times New Roman"/>
          <w:color w:val="auto"/>
          <w:sz w:val="24"/>
          <w:u w:color="000000"/>
        </w:rPr>
        <w:t>i ostaloj fizičkoj imovini procjenjuje</w:t>
      </w:r>
      <w:r w:rsidR="00C87AE5">
        <w:rPr>
          <w:rFonts w:ascii="Times New Roman" w:hAnsi="Times New Roman" w:cs="Times New Roman"/>
          <w:color w:val="auto"/>
          <w:sz w:val="24"/>
          <w:u w:color="000000"/>
        </w:rPr>
        <w:t xml:space="preserve"> </w:t>
      </w:r>
      <w:r w:rsidR="00C87AE5" w:rsidRPr="00C87AE5">
        <w:rPr>
          <w:rFonts w:ascii="Times New Roman" w:hAnsi="Times New Roman" w:cs="Times New Roman"/>
          <w:color w:val="auto"/>
          <w:sz w:val="24"/>
          <w:u w:color="000000"/>
        </w:rPr>
        <w:t xml:space="preserve">se na </w:t>
      </w:r>
      <w:r w:rsidR="00D30777" w:rsidRPr="00D30777">
        <w:rPr>
          <w:rFonts w:ascii="Times New Roman" w:hAnsi="Times New Roman" w:cs="Times New Roman"/>
          <w:color w:val="auto"/>
          <w:sz w:val="24"/>
          <w:u w:color="000000"/>
        </w:rPr>
        <w:t>1.181.06</w:t>
      </w:r>
      <w:r w:rsidR="00D30777">
        <w:rPr>
          <w:rFonts w:ascii="Times New Roman" w:hAnsi="Times New Roman" w:cs="Times New Roman"/>
          <w:color w:val="auto"/>
          <w:sz w:val="24"/>
          <w:u w:color="000000"/>
        </w:rPr>
        <w:t xml:space="preserve"> </w:t>
      </w:r>
      <w:r w:rsidR="00C87AE5" w:rsidRPr="00C87AE5">
        <w:rPr>
          <w:rFonts w:ascii="Times New Roman" w:hAnsi="Times New Roman" w:cs="Times New Roman"/>
          <w:color w:val="auto"/>
          <w:sz w:val="24"/>
          <w:u w:color="000000"/>
        </w:rPr>
        <w:t>milijardi eura. Štete procijenjene</w:t>
      </w:r>
      <w:r w:rsidR="00D30777">
        <w:rPr>
          <w:rFonts w:ascii="Times New Roman" w:hAnsi="Times New Roman" w:cs="Times New Roman"/>
          <w:color w:val="auto"/>
          <w:sz w:val="24"/>
          <w:u w:color="000000"/>
        </w:rPr>
        <w:t xml:space="preserve"> </w:t>
      </w:r>
      <w:r w:rsidR="00C87AE5" w:rsidRPr="00C87AE5">
        <w:rPr>
          <w:rFonts w:ascii="Times New Roman" w:hAnsi="Times New Roman" w:cs="Times New Roman"/>
          <w:color w:val="auto"/>
          <w:sz w:val="24"/>
          <w:u w:color="000000"/>
        </w:rPr>
        <w:t xml:space="preserve">na </w:t>
      </w:r>
      <w:r w:rsidR="00D30777" w:rsidRPr="00D30777">
        <w:rPr>
          <w:rFonts w:ascii="Times New Roman" w:hAnsi="Times New Roman" w:cs="Times New Roman"/>
          <w:color w:val="auto"/>
          <w:sz w:val="24"/>
          <w:u w:color="000000"/>
        </w:rPr>
        <w:t>19.32</w:t>
      </w:r>
      <w:r w:rsidR="00D30777">
        <w:rPr>
          <w:rFonts w:ascii="Times New Roman" w:hAnsi="Times New Roman" w:cs="Times New Roman"/>
          <w:color w:val="auto"/>
          <w:sz w:val="24"/>
          <w:u w:color="000000"/>
        </w:rPr>
        <w:t xml:space="preserve"> </w:t>
      </w:r>
      <w:r w:rsidR="00C87AE5" w:rsidRPr="00C87AE5">
        <w:rPr>
          <w:rFonts w:ascii="Times New Roman" w:hAnsi="Times New Roman" w:cs="Times New Roman"/>
          <w:color w:val="auto"/>
          <w:sz w:val="24"/>
          <w:u w:color="000000"/>
        </w:rPr>
        <w:t>milijun eura uglavnom se odnose</w:t>
      </w:r>
      <w:r w:rsidR="00D30777">
        <w:rPr>
          <w:rFonts w:ascii="Times New Roman" w:hAnsi="Times New Roman" w:cs="Times New Roman"/>
          <w:color w:val="auto"/>
          <w:sz w:val="24"/>
          <w:u w:color="000000"/>
        </w:rPr>
        <w:t xml:space="preserve"> </w:t>
      </w:r>
      <w:r w:rsidR="00C87AE5" w:rsidRPr="00C87AE5">
        <w:rPr>
          <w:rFonts w:ascii="Times New Roman" w:hAnsi="Times New Roman" w:cs="Times New Roman"/>
          <w:color w:val="auto"/>
          <w:sz w:val="24"/>
          <w:u w:color="000000"/>
        </w:rPr>
        <w:t>na hitne mjere poduzete kako bi se</w:t>
      </w:r>
      <w:r w:rsidR="00D30777">
        <w:rPr>
          <w:rFonts w:ascii="Times New Roman" w:hAnsi="Times New Roman" w:cs="Times New Roman"/>
          <w:color w:val="auto"/>
          <w:sz w:val="24"/>
          <w:u w:color="000000"/>
        </w:rPr>
        <w:t xml:space="preserve"> </w:t>
      </w:r>
      <w:r w:rsidR="00C87AE5" w:rsidRPr="00C87AE5">
        <w:rPr>
          <w:rFonts w:ascii="Times New Roman" w:hAnsi="Times New Roman" w:cs="Times New Roman"/>
          <w:color w:val="auto"/>
          <w:sz w:val="24"/>
          <w:u w:color="000000"/>
        </w:rPr>
        <w:t>zaštitile građevine koje spadaju u kulturno</w:t>
      </w:r>
      <w:r w:rsidR="00D30777">
        <w:rPr>
          <w:rFonts w:ascii="Times New Roman" w:hAnsi="Times New Roman" w:cs="Times New Roman"/>
          <w:color w:val="auto"/>
          <w:sz w:val="24"/>
          <w:u w:color="000000"/>
        </w:rPr>
        <w:t xml:space="preserve"> </w:t>
      </w:r>
      <w:r w:rsidR="00C87AE5" w:rsidRPr="00C87AE5">
        <w:rPr>
          <w:rFonts w:ascii="Times New Roman" w:hAnsi="Times New Roman" w:cs="Times New Roman"/>
          <w:color w:val="auto"/>
          <w:sz w:val="24"/>
          <w:u w:color="000000"/>
        </w:rPr>
        <w:t>nasljeđe, s naročitim naglaskom na zaštitu</w:t>
      </w:r>
      <w:r w:rsidR="00AE2C0B">
        <w:rPr>
          <w:rFonts w:ascii="Times New Roman" w:hAnsi="Times New Roman" w:cs="Times New Roman"/>
          <w:color w:val="auto"/>
          <w:sz w:val="24"/>
          <w:u w:color="000000"/>
        </w:rPr>
        <w:t xml:space="preserve"> </w:t>
      </w:r>
      <w:r w:rsidR="00C87AE5" w:rsidRPr="00C87AE5">
        <w:rPr>
          <w:rFonts w:ascii="Times New Roman" w:hAnsi="Times New Roman" w:cs="Times New Roman"/>
          <w:color w:val="auto"/>
          <w:sz w:val="24"/>
          <w:u w:color="000000"/>
        </w:rPr>
        <w:t>crkvenih zdanja. U ovom sektoru štete i</w:t>
      </w:r>
      <w:r w:rsidR="00D30777">
        <w:rPr>
          <w:rFonts w:ascii="Times New Roman" w:hAnsi="Times New Roman" w:cs="Times New Roman"/>
          <w:color w:val="auto"/>
          <w:sz w:val="24"/>
          <w:u w:color="000000"/>
        </w:rPr>
        <w:t xml:space="preserve"> </w:t>
      </w:r>
      <w:r w:rsidR="00C87AE5" w:rsidRPr="00C87AE5">
        <w:rPr>
          <w:rFonts w:ascii="Times New Roman" w:hAnsi="Times New Roman" w:cs="Times New Roman"/>
          <w:color w:val="auto"/>
          <w:sz w:val="24"/>
          <w:u w:color="000000"/>
        </w:rPr>
        <w:t>gubici zabilježeni su na kulturnim institucijama</w:t>
      </w:r>
      <w:r w:rsidR="00D30777">
        <w:rPr>
          <w:rFonts w:ascii="Times New Roman" w:hAnsi="Times New Roman" w:cs="Times New Roman"/>
          <w:color w:val="auto"/>
          <w:sz w:val="24"/>
          <w:u w:color="000000"/>
        </w:rPr>
        <w:t xml:space="preserve"> </w:t>
      </w:r>
      <w:r w:rsidR="00C87AE5" w:rsidRPr="00C87AE5">
        <w:rPr>
          <w:rFonts w:ascii="Times New Roman" w:hAnsi="Times New Roman" w:cs="Times New Roman"/>
          <w:color w:val="auto"/>
          <w:sz w:val="24"/>
          <w:u w:color="000000"/>
        </w:rPr>
        <w:t>i u kreativnoj industriji, na državnim i</w:t>
      </w:r>
      <w:r w:rsidR="00D30777">
        <w:rPr>
          <w:rFonts w:ascii="Times New Roman" w:hAnsi="Times New Roman" w:cs="Times New Roman"/>
          <w:color w:val="auto"/>
          <w:sz w:val="24"/>
          <w:u w:color="000000"/>
        </w:rPr>
        <w:t xml:space="preserve"> </w:t>
      </w:r>
      <w:r w:rsidR="00C87AE5" w:rsidRPr="00C87AE5">
        <w:rPr>
          <w:rFonts w:ascii="Times New Roman" w:hAnsi="Times New Roman" w:cs="Times New Roman"/>
          <w:color w:val="auto"/>
          <w:sz w:val="24"/>
          <w:u w:color="000000"/>
        </w:rPr>
        <w:t>vladinim građevinama koje spadaju u kulturno</w:t>
      </w:r>
      <w:r w:rsidR="00D30777">
        <w:rPr>
          <w:rFonts w:ascii="Times New Roman" w:hAnsi="Times New Roman" w:cs="Times New Roman"/>
          <w:color w:val="auto"/>
          <w:sz w:val="24"/>
          <w:u w:color="000000"/>
        </w:rPr>
        <w:t xml:space="preserve"> </w:t>
      </w:r>
      <w:r w:rsidR="00C87AE5" w:rsidRPr="00C87AE5">
        <w:rPr>
          <w:rFonts w:ascii="Times New Roman" w:hAnsi="Times New Roman" w:cs="Times New Roman"/>
          <w:color w:val="auto"/>
          <w:sz w:val="24"/>
          <w:u w:color="000000"/>
        </w:rPr>
        <w:t>nasljeđe, na pokretnom kulturnom</w:t>
      </w:r>
      <w:r w:rsidR="00D30777">
        <w:rPr>
          <w:rFonts w:ascii="Times New Roman" w:hAnsi="Times New Roman" w:cs="Times New Roman"/>
          <w:color w:val="auto"/>
          <w:sz w:val="24"/>
          <w:u w:color="000000"/>
        </w:rPr>
        <w:t xml:space="preserve"> </w:t>
      </w:r>
      <w:r w:rsidR="00C87AE5" w:rsidRPr="00C87AE5">
        <w:rPr>
          <w:rFonts w:ascii="Times New Roman" w:hAnsi="Times New Roman" w:cs="Times New Roman"/>
          <w:color w:val="auto"/>
          <w:sz w:val="24"/>
          <w:u w:color="000000"/>
        </w:rPr>
        <w:t>nasljeđu, na crkvama i na ostalim vjerskim</w:t>
      </w:r>
      <w:r w:rsidR="00D30777">
        <w:rPr>
          <w:rFonts w:ascii="Times New Roman" w:hAnsi="Times New Roman" w:cs="Times New Roman"/>
          <w:color w:val="auto"/>
          <w:sz w:val="24"/>
          <w:u w:color="000000"/>
        </w:rPr>
        <w:t xml:space="preserve"> </w:t>
      </w:r>
      <w:r w:rsidR="00C87AE5" w:rsidRPr="00C87AE5">
        <w:rPr>
          <w:rFonts w:ascii="Times New Roman" w:hAnsi="Times New Roman" w:cs="Times New Roman"/>
          <w:color w:val="auto"/>
          <w:sz w:val="24"/>
          <w:u w:color="000000"/>
        </w:rPr>
        <w:t xml:space="preserve">građevinama. </w:t>
      </w:r>
    </w:p>
    <w:p w14:paraId="6F193D34" w14:textId="35E89E48" w:rsidR="00603E09" w:rsidRDefault="0072128E" w:rsidP="00603E09">
      <w:pPr>
        <w:spacing w:after="0" w:line="240" w:lineRule="auto"/>
        <w:ind w:left="0" w:right="0" w:firstLine="709"/>
        <w:rPr>
          <w:rFonts w:ascii="Times New Roman" w:hAnsi="Times New Roman" w:cs="Times New Roman"/>
          <w:color w:val="auto"/>
          <w:sz w:val="24"/>
          <w:u w:color="000000"/>
        </w:rPr>
      </w:pPr>
      <w:r w:rsidRPr="0072128E">
        <w:rPr>
          <w:rFonts w:ascii="Times New Roman" w:hAnsi="Times New Roman" w:cs="Times New Roman"/>
          <w:color w:val="auto"/>
          <w:sz w:val="24"/>
          <w:u w:color="000000"/>
        </w:rPr>
        <w:t>Prema prikupljenim podacima, ukupno</w:t>
      </w:r>
      <w:r>
        <w:rPr>
          <w:rFonts w:ascii="Times New Roman" w:hAnsi="Times New Roman" w:cs="Times New Roman"/>
          <w:color w:val="auto"/>
          <w:sz w:val="24"/>
          <w:u w:color="000000"/>
        </w:rPr>
        <w:t xml:space="preserve"> </w:t>
      </w:r>
      <w:r w:rsidRPr="0072128E">
        <w:rPr>
          <w:rFonts w:ascii="Times New Roman" w:hAnsi="Times New Roman" w:cs="Times New Roman"/>
          <w:color w:val="auto"/>
          <w:sz w:val="24"/>
          <w:u w:color="000000"/>
        </w:rPr>
        <w:t xml:space="preserve">2,067 poslovne građevine </w:t>
      </w:r>
      <w:r>
        <w:rPr>
          <w:rFonts w:ascii="Times New Roman" w:hAnsi="Times New Roman" w:cs="Times New Roman"/>
          <w:color w:val="auto"/>
          <w:sz w:val="24"/>
          <w:u w:color="000000"/>
        </w:rPr>
        <w:t>oštećene</w:t>
      </w:r>
      <w:r w:rsidRPr="0072128E">
        <w:rPr>
          <w:rFonts w:ascii="Times New Roman" w:hAnsi="Times New Roman" w:cs="Times New Roman"/>
          <w:color w:val="auto"/>
          <w:sz w:val="24"/>
          <w:u w:color="000000"/>
        </w:rPr>
        <w:t xml:space="preserve"> su potresom. Čak 27 % posto</w:t>
      </w:r>
      <w:r>
        <w:rPr>
          <w:rFonts w:ascii="Times New Roman" w:hAnsi="Times New Roman" w:cs="Times New Roman"/>
          <w:color w:val="auto"/>
          <w:sz w:val="24"/>
          <w:u w:color="000000"/>
        </w:rPr>
        <w:t xml:space="preserve"> </w:t>
      </w:r>
      <w:r w:rsidRPr="0072128E">
        <w:rPr>
          <w:rFonts w:ascii="Times New Roman" w:hAnsi="Times New Roman" w:cs="Times New Roman"/>
          <w:color w:val="auto"/>
          <w:sz w:val="24"/>
          <w:u w:color="000000"/>
        </w:rPr>
        <w:t>površine koju zauzimaju poslovne građevine</w:t>
      </w:r>
      <w:r>
        <w:rPr>
          <w:rFonts w:ascii="Times New Roman" w:hAnsi="Times New Roman" w:cs="Times New Roman"/>
          <w:color w:val="auto"/>
          <w:sz w:val="24"/>
          <w:u w:color="000000"/>
        </w:rPr>
        <w:t xml:space="preserve"> </w:t>
      </w:r>
      <w:r w:rsidRPr="0072128E">
        <w:rPr>
          <w:rFonts w:ascii="Times New Roman" w:hAnsi="Times New Roman" w:cs="Times New Roman"/>
          <w:color w:val="auto"/>
          <w:sz w:val="24"/>
          <w:u w:color="000000"/>
        </w:rPr>
        <w:t>pretrpjelo je prema procjenama</w:t>
      </w:r>
      <w:r>
        <w:rPr>
          <w:rFonts w:ascii="Times New Roman" w:hAnsi="Times New Roman" w:cs="Times New Roman"/>
          <w:color w:val="auto"/>
          <w:sz w:val="24"/>
          <w:u w:color="000000"/>
        </w:rPr>
        <w:t xml:space="preserve"> </w:t>
      </w:r>
      <w:r w:rsidRPr="0072128E">
        <w:rPr>
          <w:rFonts w:ascii="Times New Roman" w:hAnsi="Times New Roman" w:cs="Times New Roman"/>
          <w:color w:val="auto"/>
          <w:sz w:val="24"/>
          <w:u w:color="000000"/>
        </w:rPr>
        <w:t>umjerena do vrlo teška oštećenja, a ukupan</w:t>
      </w:r>
      <w:r>
        <w:rPr>
          <w:rFonts w:ascii="Times New Roman" w:hAnsi="Times New Roman" w:cs="Times New Roman"/>
          <w:color w:val="auto"/>
          <w:sz w:val="24"/>
          <w:u w:color="000000"/>
        </w:rPr>
        <w:t xml:space="preserve"> </w:t>
      </w:r>
      <w:r w:rsidRPr="0072128E">
        <w:rPr>
          <w:rFonts w:ascii="Times New Roman" w:hAnsi="Times New Roman" w:cs="Times New Roman"/>
          <w:color w:val="auto"/>
          <w:sz w:val="24"/>
          <w:u w:color="000000"/>
        </w:rPr>
        <w:t>iznos štete procjenjuje se na 489.21 milijuna eura. Prema procjenama,</w:t>
      </w:r>
      <w:r>
        <w:rPr>
          <w:rFonts w:ascii="Times New Roman" w:hAnsi="Times New Roman" w:cs="Times New Roman"/>
          <w:color w:val="auto"/>
          <w:sz w:val="24"/>
          <w:u w:color="000000"/>
        </w:rPr>
        <w:t xml:space="preserve"> </w:t>
      </w:r>
      <w:r w:rsidRPr="0072128E">
        <w:rPr>
          <w:rFonts w:ascii="Times New Roman" w:hAnsi="Times New Roman" w:cs="Times New Roman"/>
          <w:color w:val="auto"/>
          <w:sz w:val="24"/>
          <w:u w:color="000000"/>
        </w:rPr>
        <w:t>gubici iznose 182.46 milijuna eura, a u</w:t>
      </w:r>
      <w:r>
        <w:rPr>
          <w:rFonts w:ascii="Times New Roman" w:hAnsi="Times New Roman" w:cs="Times New Roman"/>
          <w:color w:val="auto"/>
          <w:sz w:val="24"/>
          <w:u w:color="000000"/>
        </w:rPr>
        <w:t xml:space="preserve"> </w:t>
      </w:r>
      <w:r w:rsidRPr="0072128E">
        <w:rPr>
          <w:rFonts w:ascii="Times New Roman" w:hAnsi="Times New Roman" w:cs="Times New Roman"/>
          <w:color w:val="auto"/>
          <w:sz w:val="24"/>
          <w:u w:color="000000"/>
        </w:rPr>
        <w:t>najvećoj se mjeri odnose na smanjenje</w:t>
      </w:r>
      <w:r>
        <w:rPr>
          <w:rFonts w:ascii="Times New Roman" w:hAnsi="Times New Roman" w:cs="Times New Roman"/>
          <w:color w:val="auto"/>
          <w:sz w:val="24"/>
          <w:u w:color="000000"/>
        </w:rPr>
        <w:t xml:space="preserve"> </w:t>
      </w:r>
      <w:r w:rsidRPr="0072128E">
        <w:rPr>
          <w:rFonts w:ascii="Times New Roman" w:hAnsi="Times New Roman" w:cs="Times New Roman"/>
          <w:color w:val="auto"/>
          <w:sz w:val="24"/>
          <w:u w:color="000000"/>
        </w:rPr>
        <w:t>prihoda zbog umanjenja ili potpunoga</w:t>
      </w:r>
      <w:r>
        <w:rPr>
          <w:rFonts w:ascii="Times New Roman" w:hAnsi="Times New Roman" w:cs="Times New Roman"/>
          <w:color w:val="auto"/>
          <w:sz w:val="24"/>
          <w:u w:color="000000"/>
        </w:rPr>
        <w:t xml:space="preserve"> </w:t>
      </w:r>
      <w:r w:rsidRPr="0072128E">
        <w:rPr>
          <w:rFonts w:ascii="Times New Roman" w:hAnsi="Times New Roman" w:cs="Times New Roman"/>
          <w:color w:val="auto"/>
          <w:sz w:val="24"/>
          <w:u w:color="000000"/>
        </w:rPr>
        <w:t>prekida poslovnih aktivnosti.</w:t>
      </w:r>
      <w:r w:rsidRPr="0072128E">
        <w:t xml:space="preserve"> </w:t>
      </w:r>
      <w:r>
        <w:rPr>
          <w:rFonts w:ascii="Times New Roman" w:hAnsi="Times New Roman" w:cs="Times New Roman"/>
          <w:color w:val="auto"/>
          <w:sz w:val="24"/>
          <w:u w:color="000000"/>
        </w:rPr>
        <w:t>U</w:t>
      </w:r>
      <w:r w:rsidRPr="0072128E">
        <w:rPr>
          <w:rFonts w:ascii="Times New Roman" w:hAnsi="Times New Roman" w:cs="Times New Roman"/>
          <w:color w:val="auto"/>
          <w:sz w:val="24"/>
          <w:u w:color="000000"/>
        </w:rPr>
        <w:t>kupni gubici procijenjen</w:t>
      </w:r>
      <w:r>
        <w:rPr>
          <w:rFonts w:ascii="Times New Roman" w:hAnsi="Times New Roman" w:cs="Times New Roman"/>
          <w:color w:val="auto"/>
          <w:sz w:val="24"/>
          <w:u w:color="000000"/>
        </w:rPr>
        <w:t>i</w:t>
      </w:r>
      <w:r w:rsidRPr="0072128E">
        <w:rPr>
          <w:rFonts w:ascii="Times New Roman" w:hAnsi="Times New Roman" w:cs="Times New Roman"/>
          <w:color w:val="auto"/>
          <w:sz w:val="24"/>
          <w:u w:color="000000"/>
        </w:rPr>
        <w:t xml:space="preserve"> su na 671.67 milijuna eura.</w:t>
      </w:r>
    </w:p>
    <w:p w14:paraId="1A54844D" w14:textId="2E6350CA" w:rsidR="00603E09" w:rsidRDefault="00603E09" w:rsidP="00603E09">
      <w:pPr>
        <w:spacing w:after="0" w:line="240" w:lineRule="auto"/>
        <w:ind w:left="0" w:right="0" w:firstLine="709"/>
        <w:rPr>
          <w:rFonts w:ascii="Times New Roman" w:eastAsiaTheme="minorHAnsi" w:hAnsi="Times New Roman" w:cs="Times New Roman"/>
          <w:color w:val="auto"/>
          <w:sz w:val="24"/>
          <w:szCs w:val="24"/>
          <w:lang w:eastAsia="en-US"/>
        </w:rPr>
      </w:pPr>
      <w:r w:rsidRPr="00E91B8E">
        <w:rPr>
          <w:rFonts w:ascii="Times New Roman" w:eastAsiaTheme="minorHAnsi" w:hAnsi="Times New Roman" w:cs="Times New Roman"/>
          <w:color w:val="auto"/>
          <w:sz w:val="24"/>
          <w:szCs w:val="24"/>
          <w:lang w:eastAsia="en-US"/>
        </w:rPr>
        <w:t>Nakon potresa koji se dogodio 22.</w:t>
      </w:r>
      <w:r w:rsidR="00D21CB1">
        <w:rPr>
          <w:rFonts w:ascii="Times New Roman" w:eastAsiaTheme="minorHAnsi" w:hAnsi="Times New Roman" w:cs="Times New Roman"/>
          <w:color w:val="auto"/>
          <w:sz w:val="24"/>
          <w:szCs w:val="24"/>
          <w:lang w:eastAsia="en-US"/>
        </w:rPr>
        <w:t xml:space="preserve"> ožujka </w:t>
      </w:r>
      <w:r w:rsidRPr="00E91B8E">
        <w:rPr>
          <w:rFonts w:ascii="Times New Roman" w:eastAsiaTheme="minorHAnsi" w:hAnsi="Times New Roman" w:cs="Times New Roman"/>
          <w:color w:val="auto"/>
          <w:sz w:val="24"/>
          <w:szCs w:val="24"/>
          <w:lang w:eastAsia="en-US"/>
        </w:rPr>
        <w:t>2020. godine, a sukladno Zakonu o ublažavanju i uklanjanju posljedica prirodnih nepogoda (Narodne novine 16/19, u daljnjem tekstu: Zakon), Gradonačelnik je na prijedlog Gradskog povjerenstva Grada Zagreba za procjenu šteta od prirodnih nepogoda 23. ožujka 2020. godine proglasio prirodnu nepogodu uzrokovanu potresom. Nadalje, Grad Zagreb je Javnim pozivom za prijavu štete na imovini  koji je objavljen 25.</w:t>
      </w:r>
      <w:r w:rsidR="008551B0">
        <w:rPr>
          <w:rFonts w:ascii="Times New Roman" w:eastAsiaTheme="minorHAnsi" w:hAnsi="Times New Roman" w:cs="Times New Roman"/>
          <w:color w:val="auto"/>
          <w:sz w:val="24"/>
          <w:szCs w:val="24"/>
          <w:lang w:eastAsia="en-US"/>
        </w:rPr>
        <w:t xml:space="preserve"> </w:t>
      </w:r>
      <w:r w:rsidR="00D21CB1">
        <w:rPr>
          <w:rFonts w:ascii="Times New Roman" w:eastAsiaTheme="minorHAnsi" w:hAnsi="Times New Roman" w:cs="Times New Roman"/>
          <w:color w:val="auto"/>
          <w:sz w:val="24"/>
          <w:szCs w:val="24"/>
          <w:lang w:eastAsia="en-US"/>
        </w:rPr>
        <w:t>ožujka</w:t>
      </w:r>
      <w:r w:rsidR="008551B0">
        <w:rPr>
          <w:rFonts w:ascii="Times New Roman" w:eastAsiaTheme="minorHAnsi" w:hAnsi="Times New Roman" w:cs="Times New Roman"/>
          <w:color w:val="auto"/>
          <w:sz w:val="24"/>
          <w:szCs w:val="24"/>
          <w:lang w:eastAsia="en-US"/>
        </w:rPr>
        <w:t xml:space="preserve"> </w:t>
      </w:r>
      <w:r w:rsidRPr="00E91B8E">
        <w:rPr>
          <w:rFonts w:ascii="Times New Roman" w:eastAsiaTheme="minorHAnsi" w:hAnsi="Times New Roman" w:cs="Times New Roman"/>
          <w:color w:val="auto"/>
          <w:sz w:val="24"/>
          <w:szCs w:val="24"/>
          <w:lang w:eastAsia="en-US"/>
        </w:rPr>
        <w:t>2020. godine pozvao sve ošte</w:t>
      </w:r>
      <w:r w:rsidR="008551B0">
        <w:rPr>
          <w:rFonts w:ascii="Times New Roman" w:eastAsiaTheme="minorHAnsi" w:hAnsi="Times New Roman" w:cs="Times New Roman"/>
          <w:color w:val="auto"/>
          <w:sz w:val="24"/>
          <w:szCs w:val="24"/>
          <w:lang w:eastAsia="en-US"/>
        </w:rPr>
        <w:t>ć</w:t>
      </w:r>
      <w:r w:rsidRPr="00E91B8E">
        <w:rPr>
          <w:rFonts w:ascii="Times New Roman" w:eastAsiaTheme="minorHAnsi" w:hAnsi="Times New Roman" w:cs="Times New Roman"/>
          <w:color w:val="auto"/>
          <w:sz w:val="24"/>
          <w:szCs w:val="24"/>
          <w:lang w:eastAsia="en-US"/>
        </w:rPr>
        <w:t>enike, fizičke i pravne osobe, na čijoj</w:t>
      </w:r>
      <w:r w:rsidRPr="00CA4FDE">
        <w:rPr>
          <w:rFonts w:ascii="Times New Roman" w:eastAsiaTheme="minorHAnsi" w:hAnsi="Times New Roman" w:cs="Times New Roman"/>
          <w:color w:val="auto"/>
          <w:sz w:val="24"/>
          <w:szCs w:val="24"/>
          <w:lang w:eastAsia="en-US"/>
        </w:rPr>
        <w:t xml:space="preserve"> je imovini nastala šteta od prirodne nepogode (potres) da štetu na imovini prijave Gradskom povjerenstvu Grada Zagreba za procjenu šteta od prirodnih nepogoda. </w:t>
      </w:r>
    </w:p>
    <w:p w14:paraId="347E79F2" w14:textId="57C600AA" w:rsidR="00603E09" w:rsidRDefault="00603E09">
      <w:pPr>
        <w:shd w:val="clear" w:color="auto" w:fill="FFFFFF"/>
        <w:spacing w:after="0" w:line="240" w:lineRule="auto"/>
        <w:ind w:left="0" w:right="0" w:firstLine="709"/>
        <w:rPr>
          <w:rFonts w:ascii="Times New Roman" w:eastAsia="Calibri" w:hAnsi="Times New Roman" w:cs="Times New Roman"/>
          <w:color w:val="auto"/>
          <w:sz w:val="24"/>
          <w:szCs w:val="24"/>
          <w:lang w:eastAsia="en-US"/>
        </w:rPr>
      </w:pPr>
      <w:r w:rsidRPr="006218CF">
        <w:rPr>
          <w:rFonts w:ascii="Times New Roman" w:eastAsia="Calibri" w:hAnsi="Times New Roman" w:cs="Times New Roman"/>
          <w:color w:val="auto"/>
          <w:sz w:val="24"/>
          <w:szCs w:val="24"/>
          <w:lang w:eastAsia="en-US"/>
        </w:rPr>
        <w:t>Od ukupno zaprimljenih 31.532 prijava u Registar šteta</w:t>
      </w:r>
      <w:r w:rsidRPr="00CA4FDE">
        <w:rPr>
          <w:rFonts w:ascii="Times New Roman" w:eastAsia="Calibri" w:hAnsi="Times New Roman" w:cs="Times New Roman"/>
          <w:color w:val="auto"/>
          <w:sz w:val="24"/>
          <w:szCs w:val="24"/>
          <w:lang w:eastAsia="en-US"/>
        </w:rPr>
        <w:t>, prijave su geolocirane na 11</w:t>
      </w:r>
      <w:r w:rsidR="008551B0">
        <w:rPr>
          <w:rFonts w:ascii="Times New Roman" w:eastAsia="Calibri" w:hAnsi="Times New Roman" w:cs="Times New Roman"/>
          <w:color w:val="auto"/>
          <w:sz w:val="24"/>
          <w:szCs w:val="24"/>
          <w:lang w:eastAsia="en-US"/>
        </w:rPr>
        <w:t>.</w:t>
      </w:r>
      <w:r w:rsidRPr="00CA4FDE">
        <w:rPr>
          <w:rFonts w:ascii="Times New Roman" w:eastAsia="Calibri" w:hAnsi="Times New Roman" w:cs="Times New Roman"/>
          <w:color w:val="auto"/>
          <w:sz w:val="24"/>
          <w:szCs w:val="24"/>
          <w:lang w:eastAsia="en-US"/>
        </w:rPr>
        <w:t xml:space="preserve">750 jedinstvene adrese na području Grada Zagreba. Od toga se 4.861 adresa prijavljenih oštećenih građevina odnosi na kulturna dobra zaštićene povijesne cjeline, te isti sukladno Zakonu nisu predmet financijske procjene štete. </w:t>
      </w:r>
    </w:p>
    <w:p w14:paraId="53A67597" w14:textId="4C675D98" w:rsidR="00603E09" w:rsidRPr="006218CF" w:rsidRDefault="00603E09" w:rsidP="006218CF">
      <w:pPr>
        <w:shd w:val="clear" w:color="auto" w:fill="FFFFFF"/>
        <w:spacing w:after="0" w:line="240" w:lineRule="auto"/>
        <w:ind w:left="0" w:right="0" w:firstLine="709"/>
        <w:rPr>
          <w:rFonts w:ascii="Times New Roman" w:eastAsia="Calibri" w:hAnsi="Times New Roman" w:cs="Times New Roman"/>
          <w:color w:val="auto"/>
          <w:sz w:val="24"/>
          <w:szCs w:val="24"/>
          <w:lang w:eastAsia="en-US"/>
        </w:rPr>
      </w:pPr>
      <w:r w:rsidRPr="00E91B8E">
        <w:rPr>
          <w:rFonts w:ascii="Times New Roman" w:eastAsiaTheme="minorHAnsi" w:hAnsi="Times New Roman" w:cs="Times New Roman"/>
          <w:color w:val="auto"/>
          <w:sz w:val="24"/>
          <w:szCs w:val="24"/>
          <w:lang w:eastAsia="en-US"/>
        </w:rPr>
        <w:lastRenderedPageBreak/>
        <w:t>Stručno povjerenstvo prilikom samog pregleda objekata zapisnički konstatira štete te ima zadaću pružanja stručne pomoći Gradskom povjerenstvu Grada Zagreba pri procjeni šteta od prirodnih nepogoda, obavlja pregled i fotodokumentira štete na licu mjesta sukladno prijavi u Regist</w:t>
      </w:r>
      <w:r w:rsidRPr="00CA4FDE">
        <w:rPr>
          <w:rFonts w:ascii="Times New Roman" w:eastAsiaTheme="minorHAnsi" w:hAnsi="Times New Roman" w:cs="Times New Roman"/>
          <w:color w:val="auto"/>
          <w:sz w:val="24"/>
          <w:szCs w:val="24"/>
          <w:lang w:eastAsia="en-US"/>
        </w:rPr>
        <w:t xml:space="preserve">ar šteta, procjenjuje štete sukladno Pravilniku, ispunjava zapisnik, te dostavlja izvješća o pregledanom objektu i izvršenoj procjeni štete nadležnom Gradskom povjerenstvu. </w:t>
      </w:r>
    </w:p>
    <w:p w14:paraId="33FA0FB4" w14:textId="77777777" w:rsidR="00603E09" w:rsidRPr="00CA4FDE" w:rsidRDefault="00603E09" w:rsidP="006218CF">
      <w:pPr>
        <w:spacing w:after="0" w:line="240" w:lineRule="auto"/>
        <w:ind w:left="0" w:right="0" w:firstLine="709"/>
        <w:rPr>
          <w:rFonts w:ascii="Times New Roman" w:eastAsiaTheme="minorHAnsi" w:hAnsi="Times New Roman" w:cs="Times New Roman"/>
          <w:color w:val="auto"/>
          <w:sz w:val="24"/>
          <w:szCs w:val="24"/>
          <w:lang w:eastAsia="en-US"/>
        </w:rPr>
      </w:pPr>
    </w:p>
    <w:p w14:paraId="7B2C066F" w14:textId="186A3E80" w:rsidR="00603E09" w:rsidRPr="006218CF" w:rsidRDefault="00603E09" w:rsidP="001D0309">
      <w:pPr>
        <w:spacing w:line="240" w:lineRule="auto"/>
        <w:ind w:left="0" w:right="0" w:firstLine="709"/>
        <w:jc w:val="center"/>
        <w:rPr>
          <w:rFonts w:ascii="Times New Roman" w:eastAsiaTheme="minorHAnsi" w:hAnsi="Times New Roman" w:cs="Times New Roman"/>
          <w:b/>
          <w:color w:val="auto"/>
          <w:sz w:val="24"/>
          <w:szCs w:val="24"/>
          <w:lang w:eastAsia="en-US"/>
        </w:rPr>
      </w:pPr>
      <w:r>
        <w:rPr>
          <w:rFonts w:ascii="Times New Roman" w:eastAsiaTheme="minorHAnsi" w:hAnsi="Times New Roman" w:cs="Times New Roman"/>
          <w:b/>
          <w:color w:val="auto"/>
          <w:sz w:val="24"/>
          <w:szCs w:val="24"/>
          <w:lang w:eastAsia="en-US"/>
        </w:rPr>
        <w:t xml:space="preserve">Tablica </w:t>
      </w:r>
      <w:r w:rsidR="005E088F">
        <w:rPr>
          <w:rFonts w:ascii="Times New Roman" w:eastAsiaTheme="minorHAnsi" w:hAnsi="Times New Roman" w:cs="Times New Roman"/>
          <w:b/>
          <w:color w:val="auto"/>
          <w:sz w:val="24"/>
          <w:szCs w:val="24"/>
          <w:lang w:eastAsia="en-US"/>
        </w:rPr>
        <w:t>27</w:t>
      </w:r>
      <w:r>
        <w:rPr>
          <w:rFonts w:ascii="Times New Roman" w:eastAsiaTheme="minorHAnsi" w:hAnsi="Times New Roman" w:cs="Times New Roman"/>
          <w:b/>
          <w:color w:val="auto"/>
          <w:sz w:val="24"/>
          <w:szCs w:val="24"/>
          <w:lang w:eastAsia="en-US"/>
        </w:rPr>
        <w:t xml:space="preserve">. </w:t>
      </w:r>
      <w:r w:rsidRPr="006218CF">
        <w:rPr>
          <w:rFonts w:ascii="Times New Roman" w:eastAsiaTheme="minorHAnsi" w:hAnsi="Times New Roman" w:cs="Times New Roman"/>
          <w:b/>
          <w:color w:val="auto"/>
          <w:sz w:val="24"/>
          <w:szCs w:val="24"/>
          <w:lang w:eastAsia="en-US"/>
        </w:rPr>
        <w:t>Procjena štete od prirodne nepogode - potresa za građevine na području Grada Zagreba za koje je šteta prijavljena putem Obrasca PN i za koju je izvršen upis u Registar šteta</w:t>
      </w:r>
    </w:p>
    <w:tbl>
      <w:tblPr>
        <w:tblW w:w="8599" w:type="dxa"/>
        <w:jc w:val="center"/>
        <w:tblCellMar>
          <w:left w:w="0" w:type="dxa"/>
          <w:right w:w="0" w:type="dxa"/>
        </w:tblCellMar>
        <w:tblLook w:val="04A0" w:firstRow="1" w:lastRow="0" w:firstColumn="1" w:lastColumn="0" w:noHBand="0" w:noVBand="1"/>
      </w:tblPr>
      <w:tblGrid>
        <w:gridCol w:w="2040"/>
        <w:gridCol w:w="2041"/>
        <w:gridCol w:w="4518"/>
      </w:tblGrid>
      <w:tr w:rsidR="00603E09" w:rsidRPr="00603E09" w14:paraId="44220FC2" w14:textId="77777777" w:rsidTr="006632FB">
        <w:trPr>
          <w:trHeight w:val="284"/>
          <w:jc w:val="center"/>
        </w:trPr>
        <w:tc>
          <w:tcPr>
            <w:tcW w:w="2040" w:type="dxa"/>
            <w:tcBorders>
              <w:top w:val="single" w:sz="8" w:space="0" w:color="BFBFBF"/>
              <w:left w:val="nil"/>
              <w:bottom w:val="single" w:sz="8" w:space="0" w:color="BFBFBF"/>
              <w:right w:val="single" w:sz="8" w:space="0" w:color="BFBFBF"/>
            </w:tcBorders>
            <w:shd w:val="clear" w:color="auto" w:fill="FFC000"/>
            <w:noWrap/>
            <w:tcMar>
              <w:top w:w="0" w:type="dxa"/>
              <w:left w:w="108" w:type="dxa"/>
              <w:bottom w:w="0" w:type="dxa"/>
              <w:right w:w="108" w:type="dxa"/>
            </w:tcMar>
            <w:vAlign w:val="center"/>
            <w:hideMark/>
          </w:tcPr>
          <w:p w14:paraId="62FFDC37"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color w:val="auto"/>
                <w:sz w:val="24"/>
                <w:szCs w:val="24"/>
                <w:lang w:eastAsia="en-US"/>
              </w:rPr>
            </w:pPr>
            <w:r w:rsidRPr="006218CF">
              <w:rPr>
                <w:rFonts w:ascii="Times New Roman" w:eastAsiaTheme="minorHAnsi" w:hAnsi="Times New Roman" w:cs="Times New Roman"/>
                <w:b/>
                <w:bCs/>
                <w:sz w:val="24"/>
                <w:szCs w:val="24"/>
                <w:lang w:eastAsia="en-US"/>
              </w:rPr>
              <w:t>Oštećenje u %</w:t>
            </w:r>
          </w:p>
        </w:tc>
        <w:tc>
          <w:tcPr>
            <w:tcW w:w="2041" w:type="dxa"/>
            <w:tcBorders>
              <w:top w:val="single" w:sz="8" w:space="0" w:color="BFBFBF"/>
              <w:left w:val="nil"/>
              <w:bottom w:val="single" w:sz="8" w:space="0" w:color="BFBFBF"/>
              <w:right w:val="single" w:sz="8" w:space="0" w:color="BFBFBF"/>
            </w:tcBorders>
            <w:shd w:val="clear" w:color="auto" w:fill="FFC000"/>
            <w:noWrap/>
            <w:tcMar>
              <w:top w:w="0" w:type="dxa"/>
              <w:left w:w="108" w:type="dxa"/>
              <w:bottom w:w="0" w:type="dxa"/>
              <w:right w:w="108" w:type="dxa"/>
            </w:tcMar>
            <w:vAlign w:val="center"/>
            <w:hideMark/>
          </w:tcPr>
          <w:p w14:paraId="0CB0089E" w14:textId="77777777" w:rsidR="00603E09" w:rsidRPr="006218CF" w:rsidRDefault="00603E09" w:rsidP="006218CF">
            <w:pPr>
              <w:spacing w:after="0" w:line="240" w:lineRule="auto"/>
              <w:ind w:left="0" w:right="0" w:firstLine="0"/>
              <w:jc w:val="center"/>
              <w:rPr>
                <w:rFonts w:ascii="Times New Roman" w:eastAsiaTheme="minorHAnsi" w:hAnsi="Times New Roman" w:cs="Times New Roman"/>
                <w:color w:val="auto"/>
                <w:sz w:val="24"/>
                <w:szCs w:val="24"/>
                <w:lang w:eastAsia="en-US"/>
              </w:rPr>
            </w:pPr>
            <w:r w:rsidRPr="006218CF">
              <w:rPr>
                <w:rFonts w:ascii="Times New Roman" w:eastAsiaTheme="minorHAnsi" w:hAnsi="Times New Roman" w:cs="Times New Roman"/>
                <w:b/>
                <w:bCs/>
                <w:sz w:val="24"/>
                <w:szCs w:val="24"/>
                <w:lang w:eastAsia="en-US"/>
              </w:rPr>
              <w:t>broj adresa</w:t>
            </w:r>
          </w:p>
        </w:tc>
        <w:tc>
          <w:tcPr>
            <w:tcW w:w="4518" w:type="dxa"/>
            <w:tcBorders>
              <w:top w:val="single" w:sz="8" w:space="0" w:color="BFBFBF"/>
              <w:left w:val="nil"/>
              <w:bottom w:val="single" w:sz="8" w:space="0" w:color="BFBFBF"/>
              <w:right w:val="single" w:sz="8" w:space="0" w:color="BFBFBF"/>
            </w:tcBorders>
            <w:shd w:val="clear" w:color="auto" w:fill="FFC000"/>
            <w:noWrap/>
            <w:tcMar>
              <w:top w:w="0" w:type="dxa"/>
              <w:left w:w="108" w:type="dxa"/>
              <w:bottom w:w="0" w:type="dxa"/>
              <w:right w:w="108" w:type="dxa"/>
            </w:tcMar>
            <w:vAlign w:val="center"/>
            <w:hideMark/>
          </w:tcPr>
          <w:p w14:paraId="584758AF" w14:textId="0335858F" w:rsidR="00603E09" w:rsidRPr="006218CF" w:rsidRDefault="00603E09" w:rsidP="00C47641">
            <w:pPr>
              <w:spacing w:after="0" w:line="240" w:lineRule="auto"/>
              <w:ind w:right="0"/>
              <w:jc w:val="center"/>
              <w:rPr>
                <w:rFonts w:ascii="Times New Roman" w:eastAsiaTheme="minorHAnsi" w:hAnsi="Times New Roman" w:cs="Times New Roman"/>
                <w:color w:val="auto"/>
                <w:sz w:val="24"/>
                <w:szCs w:val="24"/>
                <w:lang w:eastAsia="en-US"/>
              </w:rPr>
            </w:pPr>
            <w:r>
              <w:rPr>
                <w:rFonts w:ascii="Times New Roman" w:eastAsiaTheme="minorHAnsi" w:hAnsi="Times New Roman" w:cs="Times New Roman"/>
                <w:b/>
                <w:bCs/>
                <w:sz w:val="24"/>
                <w:szCs w:val="24"/>
                <w:lang w:eastAsia="en-US"/>
              </w:rPr>
              <w:t>G</w:t>
            </w:r>
            <w:r w:rsidRPr="006218CF">
              <w:rPr>
                <w:rFonts w:ascii="Times New Roman" w:eastAsiaTheme="minorHAnsi" w:hAnsi="Times New Roman" w:cs="Times New Roman"/>
                <w:b/>
                <w:bCs/>
                <w:sz w:val="24"/>
                <w:szCs w:val="24"/>
                <w:lang w:eastAsia="en-US"/>
              </w:rPr>
              <w:t>radska četvrt</w:t>
            </w:r>
          </w:p>
        </w:tc>
      </w:tr>
      <w:tr w:rsidR="00603E09" w:rsidRPr="00603E09" w14:paraId="056811A4" w14:textId="77777777" w:rsidTr="00C97DDD">
        <w:trPr>
          <w:trHeight w:val="284"/>
          <w:jc w:val="center"/>
        </w:trPr>
        <w:tc>
          <w:tcPr>
            <w:tcW w:w="2040"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69C36BAD"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0,6 – 1,0 crvena</w:t>
            </w:r>
          </w:p>
        </w:tc>
        <w:tc>
          <w:tcPr>
            <w:tcW w:w="2041"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0906C2C3" w14:textId="77777777" w:rsidR="00603E09" w:rsidRPr="006218CF" w:rsidRDefault="00603E09" w:rsidP="00FE3877">
            <w:pPr>
              <w:spacing w:after="0" w:line="240" w:lineRule="auto"/>
              <w:ind w:left="0" w:right="0" w:firstLine="709"/>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374</w:t>
            </w:r>
          </w:p>
        </w:tc>
        <w:tc>
          <w:tcPr>
            <w:tcW w:w="4518"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636A706E" w14:textId="77777777" w:rsidR="00603E09" w:rsidRPr="006218CF" w:rsidRDefault="00603E09" w:rsidP="00FE3877">
            <w:pPr>
              <w:spacing w:after="0" w:line="240" w:lineRule="auto"/>
              <w:ind w:right="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Gornja Dubrava</w:t>
            </w:r>
          </w:p>
        </w:tc>
      </w:tr>
      <w:tr w:rsidR="00603E09" w:rsidRPr="00603E09" w14:paraId="53FB725D" w14:textId="77777777" w:rsidTr="00C97DDD">
        <w:trPr>
          <w:trHeight w:val="284"/>
          <w:jc w:val="center"/>
        </w:trPr>
        <w:tc>
          <w:tcPr>
            <w:tcW w:w="2040"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047986B7"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0,6 – 1,0 crvena</w:t>
            </w:r>
          </w:p>
        </w:tc>
        <w:tc>
          <w:tcPr>
            <w:tcW w:w="2041"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4531CE8E" w14:textId="77777777" w:rsidR="00603E09" w:rsidRPr="006218CF" w:rsidRDefault="00603E09" w:rsidP="00FE3877">
            <w:pPr>
              <w:spacing w:after="0" w:line="240" w:lineRule="auto"/>
              <w:ind w:left="0" w:right="0" w:firstLine="709"/>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280</w:t>
            </w:r>
          </w:p>
        </w:tc>
        <w:tc>
          <w:tcPr>
            <w:tcW w:w="4518"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22CE00A5" w14:textId="77777777" w:rsidR="00603E09" w:rsidRPr="006218CF" w:rsidRDefault="00603E09" w:rsidP="00FE3877">
            <w:pPr>
              <w:spacing w:after="0" w:line="240" w:lineRule="auto"/>
              <w:ind w:right="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Podsljeme</w:t>
            </w:r>
          </w:p>
        </w:tc>
      </w:tr>
      <w:tr w:rsidR="00603E09" w:rsidRPr="00603E09" w14:paraId="79F91646" w14:textId="77777777" w:rsidTr="00C97DDD">
        <w:trPr>
          <w:trHeight w:val="284"/>
          <w:jc w:val="center"/>
        </w:trPr>
        <w:tc>
          <w:tcPr>
            <w:tcW w:w="2040"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705F2B01"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0,6 – 1,0 crvena</w:t>
            </w:r>
          </w:p>
        </w:tc>
        <w:tc>
          <w:tcPr>
            <w:tcW w:w="2041"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0E01C1AC" w14:textId="77777777" w:rsidR="00603E09" w:rsidRPr="006218CF" w:rsidRDefault="00603E09" w:rsidP="00FE3877">
            <w:pPr>
              <w:spacing w:after="0" w:line="240" w:lineRule="auto"/>
              <w:ind w:left="0" w:right="0" w:firstLine="709"/>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181</w:t>
            </w:r>
          </w:p>
        </w:tc>
        <w:tc>
          <w:tcPr>
            <w:tcW w:w="4518"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746FA425" w14:textId="77777777" w:rsidR="00603E09" w:rsidRPr="006218CF" w:rsidRDefault="00603E09" w:rsidP="00FE3877">
            <w:pPr>
              <w:spacing w:after="0" w:line="240" w:lineRule="auto"/>
              <w:ind w:right="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Maksimir</w:t>
            </w:r>
          </w:p>
        </w:tc>
      </w:tr>
      <w:tr w:rsidR="00603E09" w:rsidRPr="00603E09" w14:paraId="67E86893" w14:textId="77777777" w:rsidTr="00C97DDD">
        <w:trPr>
          <w:trHeight w:val="284"/>
          <w:jc w:val="center"/>
        </w:trPr>
        <w:tc>
          <w:tcPr>
            <w:tcW w:w="2040"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63D87EED"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0,6 – 1,0 crvena</w:t>
            </w:r>
          </w:p>
        </w:tc>
        <w:tc>
          <w:tcPr>
            <w:tcW w:w="2041"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038A41E9" w14:textId="77777777" w:rsidR="00603E09" w:rsidRPr="006218CF" w:rsidRDefault="00603E09" w:rsidP="00FE3877">
            <w:pPr>
              <w:spacing w:after="0" w:line="240" w:lineRule="auto"/>
              <w:ind w:left="0" w:right="0" w:firstLine="709"/>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136</w:t>
            </w:r>
          </w:p>
        </w:tc>
        <w:tc>
          <w:tcPr>
            <w:tcW w:w="4518"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6A0F4C20" w14:textId="77777777" w:rsidR="00603E09" w:rsidRPr="006218CF" w:rsidRDefault="00603E09" w:rsidP="00FE3877">
            <w:pPr>
              <w:spacing w:after="0" w:line="240" w:lineRule="auto"/>
              <w:ind w:right="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Sesvete</w:t>
            </w:r>
          </w:p>
        </w:tc>
      </w:tr>
      <w:tr w:rsidR="00603E09" w:rsidRPr="00603E09" w14:paraId="7D9FC876" w14:textId="77777777" w:rsidTr="00C97DDD">
        <w:trPr>
          <w:trHeight w:val="498"/>
          <w:jc w:val="center"/>
        </w:trPr>
        <w:tc>
          <w:tcPr>
            <w:tcW w:w="2040"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5A00C065"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0,6 – 1,0 crvena</w:t>
            </w:r>
          </w:p>
        </w:tc>
        <w:tc>
          <w:tcPr>
            <w:tcW w:w="2041"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69E1B93B" w14:textId="77777777" w:rsidR="00603E09" w:rsidRPr="006218CF" w:rsidRDefault="00603E09" w:rsidP="00FE3877">
            <w:pPr>
              <w:spacing w:after="0" w:line="240" w:lineRule="auto"/>
              <w:ind w:left="0" w:right="0" w:firstLine="709"/>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106</w:t>
            </w:r>
          </w:p>
        </w:tc>
        <w:tc>
          <w:tcPr>
            <w:tcW w:w="4518"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138C04C5" w14:textId="77777777" w:rsidR="00603E09" w:rsidRPr="006218CF" w:rsidRDefault="00603E09" w:rsidP="00FE3877">
            <w:pPr>
              <w:spacing w:after="0" w:line="240" w:lineRule="auto"/>
              <w:ind w:left="0" w:right="0" w:firstLine="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Črnomerec, Stenjevec, Podsused - Vrapče</w:t>
            </w:r>
          </w:p>
        </w:tc>
      </w:tr>
      <w:tr w:rsidR="00603E09" w:rsidRPr="00603E09" w14:paraId="1726CA9B" w14:textId="77777777" w:rsidTr="00C97DDD">
        <w:trPr>
          <w:trHeight w:val="284"/>
          <w:jc w:val="center"/>
        </w:trPr>
        <w:tc>
          <w:tcPr>
            <w:tcW w:w="2040"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75DA6155"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0,6 – 1,0 crvena</w:t>
            </w:r>
          </w:p>
        </w:tc>
        <w:tc>
          <w:tcPr>
            <w:tcW w:w="2041"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55D4ED7E" w14:textId="77777777" w:rsidR="00603E09" w:rsidRPr="006218CF" w:rsidRDefault="00603E09" w:rsidP="00FE3877">
            <w:pPr>
              <w:spacing w:after="0" w:line="240" w:lineRule="auto"/>
              <w:ind w:left="0" w:right="0" w:firstLine="709"/>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54</w:t>
            </w:r>
          </w:p>
        </w:tc>
        <w:tc>
          <w:tcPr>
            <w:tcW w:w="4518"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64A7DF1A" w14:textId="77777777" w:rsidR="00603E09" w:rsidRPr="006218CF" w:rsidRDefault="00603E09" w:rsidP="00FE3877">
            <w:pPr>
              <w:spacing w:after="0" w:line="240" w:lineRule="auto"/>
              <w:ind w:right="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Donja Dubrava, Peščenica - Žitnjak</w:t>
            </w:r>
          </w:p>
        </w:tc>
      </w:tr>
      <w:tr w:rsidR="00603E09" w:rsidRPr="00603E09" w14:paraId="4481AD41" w14:textId="77777777" w:rsidTr="00C97DDD">
        <w:trPr>
          <w:trHeight w:val="284"/>
          <w:jc w:val="center"/>
        </w:trPr>
        <w:tc>
          <w:tcPr>
            <w:tcW w:w="2040"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46374DD6"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0,6 – 1,0 crvena</w:t>
            </w:r>
          </w:p>
        </w:tc>
        <w:tc>
          <w:tcPr>
            <w:tcW w:w="2041"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52B1E70E" w14:textId="77777777" w:rsidR="00603E09" w:rsidRPr="006218CF" w:rsidRDefault="00603E09" w:rsidP="00FE3877">
            <w:pPr>
              <w:spacing w:after="0" w:line="240" w:lineRule="auto"/>
              <w:ind w:left="0" w:right="0" w:firstLine="709"/>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96</w:t>
            </w:r>
          </w:p>
        </w:tc>
        <w:tc>
          <w:tcPr>
            <w:tcW w:w="4518"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0DF9D589" w14:textId="77777777" w:rsidR="00603E09" w:rsidRPr="006218CF" w:rsidRDefault="00603E09" w:rsidP="00FE3877">
            <w:pPr>
              <w:spacing w:after="0" w:line="240" w:lineRule="auto"/>
              <w:ind w:right="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Trešnjevka - jug, Trešnjevka - sjever</w:t>
            </w:r>
          </w:p>
        </w:tc>
      </w:tr>
      <w:tr w:rsidR="00603E09" w:rsidRPr="00603E09" w14:paraId="24012FE5" w14:textId="77777777" w:rsidTr="00C97DDD">
        <w:trPr>
          <w:trHeight w:val="541"/>
          <w:jc w:val="center"/>
        </w:trPr>
        <w:tc>
          <w:tcPr>
            <w:tcW w:w="2040"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3DE07134"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0,6 – 1,0 crvena</w:t>
            </w:r>
          </w:p>
        </w:tc>
        <w:tc>
          <w:tcPr>
            <w:tcW w:w="2041"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6663A284" w14:textId="77777777" w:rsidR="00603E09" w:rsidRPr="006218CF" w:rsidRDefault="00603E09" w:rsidP="00FE3877">
            <w:pPr>
              <w:spacing w:after="0" w:line="240" w:lineRule="auto"/>
              <w:ind w:left="0" w:right="0" w:firstLine="709"/>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88</w:t>
            </w:r>
          </w:p>
        </w:tc>
        <w:tc>
          <w:tcPr>
            <w:tcW w:w="4518"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175E9EDD" w14:textId="77777777" w:rsidR="00603E09" w:rsidRPr="006218CF" w:rsidRDefault="00603E09" w:rsidP="00FE3877">
            <w:pPr>
              <w:spacing w:after="0" w:line="240" w:lineRule="auto"/>
              <w:ind w:left="0" w:right="0" w:firstLine="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Donji Grad, Gornji Grad - Medveščak, Trnje, Novi Zagreb - istok, Novi Zagreb - zapad, Brezovica</w:t>
            </w:r>
          </w:p>
        </w:tc>
      </w:tr>
      <w:tr w:rsidR="00603E09" w:rsidRPr="00603E09" w14:paraId="6CA9F426" w14:textId="77777777" w:rsidTr="006632FB">
        <w:trPr>
          <w:trHeight w:val="284"/>
          <w:jc w:val="center"/>
        </w:trPr>
        <w:tc>
          <w:tcPr>
            <w:tcW w:w="2040" w:type="dxa"/>
            <w:tcBorders>
              <w:top w:val="nil"/>
              <w:left w:val="nil"/>
              <w:bottom w:val="single" w:sz="8" w:space="0" w:color="BFBFBF"/>
              <w:right w:val="single" w:sz="8" w:space="0" w:color="BFBFBF"/>
            </w:tcBorders>
            <w:shd w:val="clear" w:color="auto" w:fill="FFC000"/>
            <w:tcMar>
              <w:top w:w="0" w:type="dxa"/>
              <w:left w:w="108" w:type="dxa"/>
              <w:bottom w:w="0" w:type="dxa"/>
              <w:right w:w="108" w:type="dxa"/>
            </w:tcMar>
            <w:vAlign w:val="center"/>
          </w:tcPr>
          <w:p w14:paraId="5C973317"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p>
        </w:tc>
        <w:tc>
          <w:tcPr>
            <w:tcW w:w="2041" w:type="dxa"/>
            <w:tcBorders>
              <w:top w:val="nil"/>
              <w:left w:val="nil"/>
              <w:bottom w:val="single" w:sz="8" w:space="0" w:color="BFBFBF"/>
              <w:right w:val="single" w:sz="8" w:space="0" w:color="BFBFBF"/>
            </w:tcBorders>
            <w:shd w:val="clear" w:color="auto" w:fill="FFC000"/>
            <w:tcMar>
              <w:top w:w="0" w:type="dxa"/>
              <w:left w:w="108" w:type="dxa"/>
              <w:bottom w:w="0" w:type="dxa"/>
              <w:right w:w="108" w:type="dxa"/>
            </w:tcMar>
            <w:vAlign w:val="bottom"/>
          </w:tcPr>
          <w:p w14:paraId="2F8FDD76" w14:textId="77777777" w:rsidR="00603E09" w:rsidRPr="006218CF" w:rsidRDefault="00603E09" w:rsidP="00FE3877">
            <w:pPr>
              <w:spacing w:after="0" w:line="240" w:lineRule="auto"/>
              <w:ind w:left="0" w:right="0" w:firstLine="709"/>
              <w:rPr>
                <w:rFonts w:ascii="Times New Roman" w:eastAsiaTheme="minorHAnsi" w:hAnsi="Times New Roman" w:cs="Times New Roman"/>
                <w:b/>
                <w:color w:val="auto"/>
                <w:sz w:val="24"/>
                <w:szCs w:val="24"/>
                <w:lang w:eastAsia="en-US"/>
              </w:rPr>
            </w:pPr>
            <w:r w:rsidRPr="006218CF">
              <w:rPr>
                <w:rFonts w:ascii="Times New Roman" w:eastAsiaTheme="minorHAnsi" w:hAnsi="Times New Roman" w:cs="Times New Roman"/>
                <w:b/>
                <w:color w:val="auto"/>
                <w:sz w:val="24"/>
                <w:szCs w:val="24"/>
                <w:lang w:eastAsia="en-US"/>
              </w:rPr>
              <w:t>= 1315</w:t>
            </w:r>
          </w:p>
        </w:tc>
        <w:tc>
          <w:tcPr>
            <w:tcW w:w="4518" w:type="dxa"/>
            <w:tcBorders>
              <w:top w:val="nil"/>
              <w:left w:val="nil"/>
              <w:bottom w:val="single" w:sz="8" w:space="0" w:color="BFBFBF"/>
              <w:right w:val="single" w:sz="8" w:space="0" w:color="BFBFBF"/>
            </w:tcBorders>
            <w:shd w:val="clear" w:color="auto" w:fill="FFC000"/>
            <w:tcMar>
              <w:top w:w="0" w:type="dxa"/>
              <w:left w:w="108" w:type="dxa"/>
              <w:bottom w:w="0" w:type="dxa"/>
              <w:right w:w="108" w:type="dxa"/>
            </w:tcMar>
            <w:vAlign w:val="center"/>
          </w:tcPr>
          <w:p w14:paraId="3D2FC51E" w14:textId="77777777" w:rsidR="00603E09" w:rsidRPr="006218CF" w:rsidRDefault="00603E09" w:rsidP="006218CF">
            <w:pPr>
              <w:spacing w:after="0" w:line="240" w:lineRule="auto"/>
              <w:ind w:left="0" w:right="0" w:firstLine="709"/>
              <w:jc w:val="left"/>
              <w:rPr>
                <w:rFonts w:ascii="Times New Roman" w:eastAsiaTheme="minorHAnsi" w:hAnsi="Times New Roman" w:cs="Times New Roman"/>
                <w:sz w:val="24"/>
                <w:szCs w:val="24"/>
                <w:lang w:eastAsia="en-US"/>
              </w:rPr>
            </w:pPr>
          </w:p>
        </w:tc>
      </w:tr>
      <w:tr w:rsidR="00603E09" w:rsidRPr="00603E09" w14:paraId="0667746E" w14:textId="77777777" w:rsidTr="006632FB">
        <w:trPr>
          <w:trHeight w:val="284"/>
          <w:jc w:val="center"/>
        </w:trPr>
        <w:tc>
          <w:tcPr>
            <w:tcW w:w="2040" w:type="dxa"/>
            <w:tcBorders>
              <w:top w:val="nil"/>
              <w:left w:val="nil"/>
              <w:bottom w:val="single" w:sz="8" w:space="0" w:color="BFBFBF"/>
              <w:right w:val="single" w:sz="8" w:space="0" w:color="BFBFBF"/>
            </w:tcBorders>
            <w:shd w:val="clear" w:color="auto" w:fill="FFC000"/>
            <w:tcMar>
              <w:top w:w="0" w:type="dxa"/>
              <w:left w:w="108" w:type="dxa"/>
              <w:bottom w:w="0" w:type="dxa"/>
              <w:right w:w="108" w:type="dxa"/>
            </w:tcMar>
            <w:vAlign w:val="center"/>
          </w:tcPr>
          <w:p w14:paraId="30D016EE"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color w:val="auto"/>
                <w:sz w:val="24"/>
                <w:szCs w:val="24"/>
                <w:lang w:eastAsia="en-US"/>
              </w:rPr>
            </w:pPr>
            <w:r w:rsidRPr="006218CF">
              <w:rPr>
                <w:rFonts w:ascii="Times New Roman" w:eastAsiaTheme="minorHAnsi" w:hAnsi="Times New Roman" w:cs="Times New Roman"/>
                <w:b/>
                <w:bCs/>
                <w:sz w:val="24"/>
                <w:szCs w:val="24"/>
                <w:lang w:eastAsia="en-US"/>
              </w:rPr>
              <w:t>oštećenje</w:t>
            </w:r>
          </w:p>
        </w:tc>
        <w:tc>
          <w:tcPr>
            <w:tcW w:w="2041" w:type="dxa"/>
            <w:tcBorders>
              <w:top w:val="nil"/>
              <w:left w:val="nil"/>
              <w:bottom w:val="single" w:sz="8" w:space="0" w:color="BFBFBF"/>
              <w:right w:val="single" w:sz="8" w:space="0" w:color="BFBFBF"/>
            </w:tcBorders>
            <w:shd w:val="clear" w:color="auto" w:fill="FFC000"/>
            <w:tcMar>
              <w:top w:w="0" w:type="dxa"/>
              <w:left w:w="108" w:type="dxa"/>
              <w:bottom w:w="0" w:type="dxa"/>
              <w:right w:w="108" w:type="dxa"/>
            </w:tcMar>
            <w:vAlign w:val="center"/>
          </w:tcPr>
          <w:p w14:paraId="3A0C6574" w14:textId="77777777" w:rsidR="00603E09" w:rsidRPr="006218CF" w:rsidRDefault="00603E09" w:rsidP="006218CF">
            <w:pPr>
              <w:spacing w:after="0" w:line="240" w:lineRule="auto"/>
              <w:ind w:left="0" w:right="0" w:firstLine="0"/>
              <w:jc w:val="center"/>
              <w:rPr>
                <w:rFonts w:ascii="Times New Roman" w:eastAsiaTheme="minorHAnsi" w:hAnsi="Times New Roman" w:cs="Times New Roman"/>
                <w:color w:val="auto"/>
                <w:sz w:val="24"/>
                <w:szCs w:val="24"/>
                <w:lang w:eastAsia="en-US"/>
              </w:rPr>
            </w:pPr>
            <w:r w:rsidRPr="006218CF">
              <w:rPr>
                <w:rFonts w:ascii="Times New Roman" w:eastAsiaTheme="minorHAnsi" w:hAnsi="Times New Roman" w:cs="Times New Roman"/>
                <w:b/>
                <w:bCs/>
                <w:sz w:val="24"/>
                <w:szCs w:val="24"/>
                <w:lang w:eastAsia="en-US"/>
              </w:rPr>
              <w:t>broj adresa</w:t>
            </w:r>
          </w:p>
        </w:tc>
        <w:tc>
          <w:tcPr>
            <w:tcW w:w="4518" w:type="dxa"/>
            <w:tcBorders>
              <w:top w:val="nil"/>
              <w:left w:val="nil"/>
              <w:bottom w:val="single" w:sz="8" w:space="0" w:color="BFBFBF"/>
              <w:right w:val="single" w:sz="8" w:space="0" w:color="BFBFBF"/>
            </w:tcBorders>
            <w:shd w:val="clear" w:color="auto" w:fill="FFC000"/>
            <w:tcMar>
              <w:top w:w="0" w:type="dxa"/>
              <w:left w:w="108" w:type="dxa"/>
              <w:bottom w:w="0" w:type="dxa"/>
              <w:right w:w="108" w:type="dxa"/>
            </w:tcMar>
            <w:vAlign w:val="center"/>
          </w:tcPr>
          <w:p w14:paraId="089CE770" w14:textId="04E2F545" w:rsidR="00603E09" w:rsidRPr="006218CF" w:rsidRDefault="00C47641" w:rsidP="00C47641">
            <w:pPr>
              <w:spacing w:after="0" w:line="240" w:lineRule="auto"/>
              <w:ind w:right="0"/>
              <w:jc w:val="center"/>
              <w:rPr>
                <w:rFonts w:ascii="Times New Roman" w:eastAsiaTheme="minorHAnsi" w:hAnsi="Times New Roman" w:cs="Times New Roman"/>
                <w:color w:val="auto"/>
                <w:sz w:val="24"/>
                <w:szCs w:val="24"/>
                <w:lang w:eastAsia="en-US"/>
              </w:rPr>
            </w:pPr>
            <w:r>
              <w:rPr>
                <w:rFonts w:ascii="Times New Roman" w:eastAsiaTheme="minorHAnsi" w:hAnsi="Times New Roman" w:cs="Times New Roman"/>
                <w:b/>
                <w:bCs/>
                <w:sz w:val="24"/>
                <w:szCs w:val="24"/>
                <w:lang w:eastAsia="en-US"/>
              </w:rPr>
              <w:t>G</w:t>
            </w:r>
            <w:r w:rsidR="00603E09" w:rsidRPr="006218CF">
              <w:rPr>
                <w:rFonts w:ascii="Times New Roman" w:eastAsiaTheme="minorHAnsi" w:hAnsi="Times New Roman" w:cs="Times New Roman"/>
                <w:b/>
                <w:bCs/>
                <w:sz w:val="24"/>
                <w:szCs w:val="24"/>
                <w:lang w:eastAsia="en-US"/>
              </w:rPr>
              <w:t>radska četvrt</w:t>
            </w:r>
          </w:p>
        </w:tc>
      </w:tr>
      <w:tr w:rsidR="00603E09" w:rsidRPr="00603E09" w14:paraId="74B6564C" w14:textId="77777777" w:rsidTr="00C97DDD">
        <w:trPr>
          <w:trHeight w:val="284"/>
          <w:jc w:val="center"/>
        </w:trPr>
        <w:tc>
          <w:tcPr>
            <w:tcW w:w="2040"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49EA510A"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0,3 – 0,5 žuta</w:t>
            </w:r>
          </w:p>
        </w:tc>
        <w:tc>
          <w:tcPr>
            <w:tcW w:w="2041"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3D33C580" w14:textId="77777777" w:rsidR="00603E09" w:rsidRPr="006218CF" w:rsidRDefault="00603E09" w:rsidP="00FE3877">
            <w:pPr>
              <w:spacing w:after="0" w:line="240" w:lineRule="auto"/>
              <w:ind w:left="0" w:right="0" w:firstLine="709"/>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630</w:t>
            </w:r>
          </w:p>
        </w:tc>
        <w:tc>
          <w:tcPr>
            <w:tcW w:w="4518"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062C8350" w14:textId="77777777" w:rsidR="00603E09" w:rsidRPr="006218CF" w:rsidRDefault="00603E09" w:rsidP="00FE3877">
            <w:pPr>
              <w:spacing w:after="0" w:line="240" w:lineRule="auto"/>
              <w:ind w:right="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Gornja Dubrava</w:t>
            </w:r>
          </w:p>
        </w:tc>
      </w:tr>
      <w:tr w:rsidR="00603E09" w:rsidRPr="00603E09" w14:paraId="6E396218" w14:textId="77777777" w:rsidTr="00C97DDD">
        <w:trPr>
          <w:trHeight w:val="284"/>
          <w:jc w:val="center"/>
        </w:trPr>
        <w:tc>
          <w:tcPr>
            <w:tcW w:w="2040"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12199155"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0,3 – 0,5 žuta</w:t>
            </w:r>
          </w:p>
        </w:tc>
        <w:tc>
          <w:tcPr>
            <w:tcW w:w="2041"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79E916C2" w14:textId="77777777" w:rsidR="00603E09" w:rsidRPr="006218CF" w:rsidRDefault="00603E09" w:rsidP="00FE3877">
            <w:pPr>
              <w:spacing w:after="0" w:line="240" w:lineRule="auto"/>
              <w:ind w:left="0" w:right="0" w:firstLine="709"/>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434</w:t>
            </w:r>
          </w:p>
        </w:tc>
        <w:tc>
          <w:tcPr>
            <w:tcW w:w="4518"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7E1B091C" w14:textId="77777777" w:rsidR="00603E09" w:rsidRPr="006218CF" w:rsidRDefault="00603E09" w:rsidP="00FE3877">
            <w:pPr>
              <w:spacing w:after="0" w:line="240" w:lineRule="auto"/>
              <w:ind w:right="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Podsljeme</w:t>
            </w:r>
          </w:p>
        </w:tc>
      </w:tr>
      <w:tr w:rsidR="00603E09" w:rsidRPr="00603E09" w14:paraId="6F6A315E" w14:textId="77777777" w:rsidTr="00C97DDD">
        <w:trPr>
          <w:trHeight w:val="284"/>
          <w:jc w:val="center"/>
        </w:trPr>
        <w:tc>
          <w:tcPr>
            <w:tcW w:w="2040"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2A75145A"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0,3 – 0,5 žuta</w:t>
            </w:r>
          </w:p>
        </w:tc>
        <w:tc>
          <w:tcPr>
            <w:tcW w:w="2041"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689A8E3E" w14:textId="77777777" w:rsidR="00603E09" w:rsidRPr="006218CF" w:rsidRDefault="00603E09" w:rsidP="00FE3877">
            <w:pPr>
              <w:spacing w:after="0" w:line="240" w:lineRule="auto"/>
              <w:ind w:left="0" w:right="0" w:firstLine="709"/>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441</w:t>
            </w:r>
          </w:p>
        </w:tc>
        <w:tc>
          <w:tcPr>
            <w:tcW w:w="4518"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0C4FE0A7" w14:textId="77777777" w:rsidR="00603E09" w:rsidRPr="006218CF" w:rsidRDefault="00603E09" w:rsidP="00FE3877">
            <w:pPr>
              <w:spacing w:after="0" w:line="240" w:lineRule="auto"/>
              <w:ind w:right="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Maksimir</w:t>
            </w:r>
          </w:p>
        </w:tc>
      </w:tr>
      <w:tr w:rsidR="00603E09" w:rsidRPr="00603E09" w14:paraId="1C5D564C" w14:textId="77777777" w:rsidTr="00C97DDD">
        <w:trPr>
          <w:trHeight w:val="284"/>
          <w:jc w:val="center"/>
        </w:trPr>
        <w:tc>
          <w:tcPr>
            <w:tcW w:w="2040"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57F4E705"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0,3 – 0,5 žuta</w:t>
            </w:r>
          </w:p>
        </w:tc>
        <w:tc>
          <w:tcPr>
            <w:tcW w:w="2041"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694F9F07" w14:textId="77777777" w:rsidR="00603E09" w:rsidRPr="006218CF" w:rsidRDefault="00603E09" w:rsidP="00FE3877">
            <w:pPr>
              <w:spacing w:after="0" w:line="240" w:lineRule="auto"/>
              <w:ind w:left="0" w:right="0" w:firstLine="709"/>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312</w:t>
            </w:r>
          </w:p>
        </w:tc>
        <w:tc>
          <w:tcPr>
            <w:tcW w:w="4518"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2E94C52F" w14:textId="77777777" w:rsidR="00603E09" w:rsidRPr="006218CF" w:rsidRDefault="00603E09" w:rsidP="00FE3877">
            <w:pPr>
              <w:spacing w:after="0" w:line="240" w:lineRule="auto"/>
              <w:ind w:right="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Sesvete</w:t>
            </w:r>
          </w:p>
        </w:tc>
      </w:tr>
      <w:tr w:rsidR="00603E09" w:rsidRPr="00603E09" w14:paraId="182FB306" w14:textId="77777777" w:rsidTr="00C97DDD">
        <w:trPr>
          <w:trHeight w:val="498"/>
          <w:jc w:val="center"/>
        </w:trPr>
        <w:tc>
          <w:tcPr>
            <w:tcW w:w="2040"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43C45A41"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0,3 – 0,5 žuta</w:t>
            </w:r>
          </w:p>
        </w:tc>
        <w:tc>
          <w:tcPr>
            <w:tcW w:w="2041"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5EC755BD" w14:textId="77777777" w:rsidR="00603E09" w:rsidRPr="006218CF" w:rsidRDefault="00603E09" w:rsidP="00FE3877">
            <w:pPr>
              <w:spacing w:after="0" w:line="240" w:lineRule="auto"/>
              <w:ind w:left="0" w:right="0" w:firstLine="709"/>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313</w:t>
            </w:r>
          </w:p>
        </w:tc>
        <w:tc>
          <w:tcPr>
            <w:tcW w:w="4518"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2031239B" w14:textId="77777777" w:rsidR="00603E09" w:rsidRPr="006218CF" w:rsidRDefault="00603E09" w:rsidP="00FE3877">
            <w:pPr>
              <w:spacing w:after="0" w:line="240" w:lineRule="auto"/>
              <w:ind w:left="0" w:right="0" w:firstLine="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Črnomerec, Stenjevec, Podsused - Vrapče</w:t>
            </w:r>
          </w:p>
        </w:tc>
      </w:tr>
      <w:tr w:rsidR="00603E09" w:rsidRPr="00603E09" w14:paraId="4B896DC6" w14:textId="77777777" w:rsidTr="00C97DDD">
        <w:trPr>
          <w:trHeight w:val="284"/>
          <w:jc w:val="center"/>
        </w:trPr>
        <w:tc>
          <w:tcPr>
            <w:tcW w:w="2040"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78F3AC1E"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0,3 – 0,5 žuta</w:t>
            </w:r>
          </w:p>
        </w:tc>
        <w:tc>
          <w:tcPr>
            <w:tcW w:w="2041"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371EEAEB" w14:textId="77777777" w:rsidR="00603E09" w:rsidRPr="006218CF" w:rsidRDefault="00603E09" w:rsidP="00FE3877">
            <w:pPr>
              <w:spacing w:after="0" w:line="240" w:lineRule="auto"/>
              <w:ind w:left="0" w:right="0" w:firstLine="709"/>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157</w:t>
            </w:r>
          </w:p>
        </w:tc>
        <w:tc>
          <w:tcPr>
            <w:tcW w:w="4518"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38270221" w14:textId="77777777" w:rsidR="00603E09" w:rsidRPr="006218CF" w:rsidRDefault="00603E09" w:rsidP="00FE3877">
            <w:pPr>
              <w:spacing w:after="0" w:line="240" w:lineRule="auto"/>
              <w:ind w:right="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Donja Dubrava, Peščenica - Žitnjak</w:t>
            </w:r>
          </w:p>
        </w:tc>
      </w:tr>
      <w:tr w:rsidR="00603E09" w:rsidRPr="00603E09" w14:paraId="5544CF54" w14:textId="77777777" w:rsidTr="00C97DDD">
        <w:trPr>
          <w:trHeight w:val="284"/>
          <w:jc w:val="center"/>
        </w:trPr>
        <w:tc>
          <w:tcPr>
            <w:tcW w:w="2040"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72453133"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0,3 – 0,5 žuta</w:t>
            </w:r>
          </w:p>
        </w:tc>
        <w:tc>
          <w:tcPr>
            <w:tcW w:w="2041"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637D5D6C" w14:textId="77777777" w:rsidR="00603E09" w:rsidRPr="006218CF" w:rsidRDefault="00603E09" w:rsidP="00FE3877">
            <w:pPr>
              <w:spacing w:after="0" w:line="240" w:lineRule="auto"/>
              <w:ind w:left="0" w:right="0" w:firstLine="709"/>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338</w:t>
            </w:r>
          </w:p>
        </w:tc>
        <w:tc>
          <w:tcPr>
            <w:tcW w:w="4518"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5B75E7A7" w14:textId="77777777" w:rsidR="00603E09" w:rsidRPr="006218CF" w:rsidRDefault="00603E09" w:rsidP="00FE3877">
            <w:pPr>
              <w:spacing w:after="0" w:line="240" w:lineRule="auto"/>
              <w:ind w:right="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Trešnjevka - jug, Trešnjevka - sjever</w:t>
            </w:r>
          </w:p>
        </w:tc>
      </w:tr>
      <w:tr w:rsidR="00603E09" w:rsidRPr="00603E09" w14:paraId="1EAAA9BA" w14:textId="77777777" w:rsidTr="00C97DDD">
        <w:trPr>
          <w:trHeight w:val="546"/>
          <w:jc w:val="center"/>
        </w:trPr>
        <w:tc>
          <w:tcPr>
            <w:tcW w:w="2040"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4BD2A54D"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0,3 – 0,5 žuta</w:t>
            </w:r>
          </w:p>
        </w:tc>
        <w:tc>
          <w:tcPr>
            <w:tcW w:w="2041"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6B1C685E" w14:textId="77777777" w:rsidR="00603E09" w:rsidRPr="006218CF" w:rsidRDefault="00603E09" w:rsidP="00FE3877">
            <w:pPr>
              <w:spacing w:after="0" w:line="240" w:lineRule="auto"/>
              <w:ind w:left="0" w:right="0" w:firstLine="709"/>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306</w:t>
            </w:r>
          </w:p>
        </w:tc>
        <w:tc>
          <w:tcPr>
            <w:tcW w:w="4518"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3BDCBF7B" w14:textId="77777777" w:rsidR="00603E09" w:rsidRPr="006218CF" w:rsidRDefault="00603E09" w:rsidP="00FE3877">
            <w:pPr>
              <w:spacing w:after="0" w:line="240" w:lineRule="auto"/>
              <w:ind w:left="0" w:right="0" w:firstLine="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Donji Grad, Gornji Grad - Medveščak, Trnje, Novi Zagreb - istok, Novi Zagreb - zapad, Brezovica</w:t>
            </w:r>
          </w:p>
        </w:tc>
      </w:tr>
      <w:tr w:rsidR="00603E09" w:rsidRPr="00603E09" w14:paraId="7959103D" w14:textId="77777777" w:rsidTr="006632FB">
        <w:trPr>
          <w:trHeight w:val="284"/>
          <w:jc w:val="center"/>
        </w:trPr>
        <w:tc>
          <w:tcPr>
            <w:tcW w:w="2040" w:type="dxa"/>
            <w:tcBorders>
              <w:top w:val="nil"/>
              <w:left w:val="nil"/>
              <w:bottom w:val="single" w:sz="8" w:space="0" w:color="BFBFBF"/>
              <w:right w:val="single" w:sz="8" w:space="0" w:color="BFBFBF"/>
            </w:tcBorders>
            <w:shd w:val="clear" w:color="auto" w:fill="FFC000"/>
            <w:tcMar>
              <w:top w:w="0" w:type="dxa"/>
              <w:left w:w="108" w:type="dxa"/>
              <w:bottom w:w="0" w:type="dxa"/>
              <w:right w:w="108" w:type="dxa"/>
            </w:tcMar>
            <w:vAlign w:val="center"/>
          </w:tcPr>
          <w:p w14:paraId="143E0875"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p>
        </w:tc>
        <w:tc>
          <w:tcPr>
            <w:tcW w:w="2041" w:type="dxa"/>
            <w:tcBorders>
              <w:top w:val="nil"/>
              <w:left w:val="nil"/>
              <w:bottom w:val="single" w:sz="8" w:space="0" w:color="BFBFBF"/>
              <w:right w:val="single" w:sz="8" w:space="0" w:color="BFBFBF"/>
            </w:tcBorders>
            <w:shd w:val="clear" w:color="auto" w:fill="FFC000"/>
            <w:tcMar>
              <w:top w:w="0" w:type="dxa"/>
              <w:left w:w="108" w:type="dxa"/>
              <w:bottom w:w="0" w:type="dxa"/>
              <w:right w:w="108" w:type="dxa"/>
            </w:tcMar>
            <w:vAlign w:val="bottom"/>
          </w:tcPr>
          <w:p w14:paraId="2AD739B6" w14:textId="77777777" w:rsidR="00603E09" w:rsidRPr="006218CF" w:rsidRDefault="00603E09" w:rsidP="00FE3877">
            <w:pPr>
              <w:spacing w:after="0" w:line="240" w:lineRule="auto"/>
              <w:ind w:left="0" w:right="0" w:firstLine="709"/>
              <w:rPr>
                <w:rFonts w:ascii="Times New Roman" w:eastAsiaTheme="minorHAnsi" w:hAnsi="Times New Roman" w:cs="Times New Roman"/>
                <w:b/>
                <w:color w:val="auto"/>
                <w:sz w:val="24"/>
                <w:szCs w:val="24"/>
                <w:lang w:eastAsia="en-US"/>
              </w:rPr>
            </w:pPr>
            <w:r w:rsidRPr="006218CF">
              <w:rPr>
                <w:rFonts w:ascii="Times New Roman" w:eastAsiaTheme="minorHAnsi" w:hAnsi="Times New Roman" w:cs="Times New Roman"/>
                <w:b/>
                <w:color w:val="auto"/>
                <w:sz w:val="24"/>
                <w:szCs w:val="24"/>
                <w:lang w:eastAsia="en-US"/>
              </w:rPr>
              <w:t>= 2931</w:t>
            </w:r>
          </w:p>
        </w:tc>
        <w:tc>
          <w:tcPr>
            <w:tcW w:w="4518" w:type="dxa"/>
            <w:tcBorders>
              <w:top w:val="nil"/>
              <w:left w:val="nil"/>
              <w:bottom w:val="single" w:sz="8" w:space="0" w:color="BFBFBF"/>
              <w:right w:val="single" w:sz="8" w:space="0" w:color="BFBFBF"/>
            </w:tcBorders>
            <w:shd w:val="clear" w:color="auto" w:fill="FFC000"/>
            <w:tcMar>
              <w:top w:w="0" w:type="dxa"/>
              <w:left w:w="108" w:type="dxa"/>
              <w:bottom w:w="0" w:type="dxa"/>
              <w:right w:w="108" w:type="dxa"/>
            </w:tcMar>
            <w:vAlign w:val="center"/>
          </w:tcPr>
          <w:p w14:paraId="1DCDC05A" w14:textId="77777777" w:rsidR="00603E09" w:rsidRPr="006218CF" w:rsidRDefault="00603E09" w:rsidP="006218CF">
            <w:pPr>
              <w:spacing w:after="0" w:line="240" w:lineRule="auto"/>
              <w:ind w:left="0" w:right="0" w:firstLine="709"/>
              <w:jc w:val="left"/>
              <w:rPr>
                <w:rFonts w:ascii="Times New Roman" w:eastAsiaTheme="minorHAnsi" w:hAnsi="Times New Roman" w:cs="Times New Roman"/>
                <w:sz w:val="24"/>
                <w:szCs w:val="24"/>
                <w:lang w:eastAsia="en-US"/>
              </w:rPr>
            </w:pPr>
          </w:p>
        </w:tc>
      </w:tr>
      <w:tr w:rsidR="00603E09" w:rsidRPr="00603E09" w14:paraId="008B1A1B" w14:textId="77777777" w:rsidTr="006632FB">
        <w:trPr>
          <w:trHeight w:val="218"/>
          <w:jc w:val="center"/>
        </w:trPr>
        <w:tc>
          <w:tcPr>
            <w:tcW w:w="2040" w:type="dxa"/>
            <w:tcBorders>
              <w:top w:val="single" w:sz="8" w:space="0" w:color="BFBFBF"/>
              <w:left w:val="nil"/>
              <w:bottom w:val="single" w:sz="8" w:space="0" w:color="BFBFBF"/>
              <w:right w:val="single" w:sz="8" w:space="0" w:color="BFBFBF"/>
            </w:tcBorders>
            <w:shd w:val="clear" w:color="auto" w:fill="FFC000"/>
            <w:noWrap/>
            <w:tcMar>
              <w:top w:w="0" w:type="dxa"/>
              <w:left w:w="108" w:type="dxa"/>
              <w:bottom w:w="0" w:type="dxa"/>
              <w:right w:w="108" w:type="dxa"/>
            </w:tcMar>
            <w:vAlign w:val="center"/>
            <w:hideMark/>
          </w:tcPr>
          <w:p w14:paraId="3086A4C7"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color w:val="auto"/>
                <w:sz w:val="24"/>
                <w:szCs w:val="24"/>
                <w:lang w:eastAsia="en-US"/>
              </w:rPr>
            </w:pPr>
            <w:r w:rsidRPr="006218CF">
              <w:rPr>
                <w:rFonts w:ascii="Times New Roman" w:eastAsiaTheme="minorHAnsi" w:hAnsi="Times New Roman" w:cs="Times New Roman"/>
                <w:b/>
                <w:bCs/>
                <w:sz w:val="24"/>
                <w:szCs w:val="24"/>
                <w:lang w:eastAsia="en-US"/>
              </w:rPr>
              <w:lastRenderedPageBreak/>
              <w:t>oštećenje</w:t>
            </w:r>
          </w:p>
        </w:tc>
        <w:tc>
          <w:tcPr>
            <w:tcW w:w="2041" w:type="dxa"/>
            <w:tcBorders>
              <w:top w:val="single" w:sz="8" w:space="0" w:color="BFBFBF"/>
              <w:left w:val="nil"/>
              <w:bottom w:val="single" w:sz="8" w:space="0" w:color="BFBFBF"/>
              <w:right w:val="single" w:sz="8" w:space="0" w:color="BFBFBF"/>
            </w:tcBorders>
            <w:shd w:val="clear" w:color="auto" w:fill="FFC000"/>
            <w:noWrap/>
            <w:tcMar>
              <w:top w:w="0" w:type="dxa"/>
              <w:left w:w="108" w:type="dxa"/>
              <w:bottom w:w="0" w:type="dxa"/>
              <w:right w:w="108" w:type="dxa"/>
            </w:tcMar>
            <w:vAlign w:val="center"/>
            <w:hideMark/>
          </w:tcPr>
          <w:p w14:paraId="386C22FC" w14:textId="77777777" w:rsidR="00603E09" w:rsidRPr="006218CF" w:rsidRDefault="00603E09" w:rsidP="006632FB">
            <w:pPr>
              <w:spacing w:after="0" w:line="240" w:lineRule="auto"/>
              <w:ind w:left="0" w:right="0" w:firstLine="0"/>
              <w:jc w:val="center"/>
              <w:rPr>
                <w:rFonts w:ascii="Times New Roman" w:eastAsiaTheme="minorHAnsi" w:hAnsi="Times New Roman" w:cs="Times New Roman"/>
                <w:color w:val="auto"/>
                <w:sz w:val="24"/>
                <w:szCs w:val="24"/>
                <w:lang w:eastAsia="en-US"/>
              </w:rPr>
            </w:pPr>
            <w:r w:rsidRPr="006218CF">
              <w:rPr>
                <w:rFonts w:ascii="Times New Roman" w:eastAsiaTheme="minorHAnsi" w:hAnsi="Times New Roman" w:cs="Times New Roman"/>
                <w:b/>
                <w:bCs/>
                <w:sz w:val="24"/>
                <w:szCs w:val="24"/>
                <w:lang w:eastAsia="en-US"/>
              </w:rPr>
              <w:t>broj adresa</w:t>
            </w:r>
          </w:p>
        </w:tc>
        <w:tc>
          <w:tcPr>
            <w:tcW w:w="4518" w:type="dxa"/>
            <w:tcBorders>
              <w:top w:val="single" w:sz="8" w:space="0" w:color="BFBFBF"/>
              <w:left w:val="nil"/>
              <w:bottom w:val="single" w:sz="8" w:space="0" w:color="BFBFBF"/>
              <w:right w:val="single" w:sz="8" w:space="0" w:color="BFBFBF"/>
            </w:tcBorders>
            <w:shd w:val="clear" w:color="auto" w:fill="FFC000"/>
            <w:noWrap/>
            <w:tcMar>
              <w:top w:w="0" w:type="dxa"/>
              <w:left w:w="108" w:type="dxa"/>
              <w:bottom w:w="0" w:type="dxa"/>
              <w:right w:w="108" w:type="dxa"/>
            </w:tcMar>
            <w:vAlign w:val="center"/>
            <w:hideMark/>
          </w:tcPr>
          <w:p w14:paraId="2786FC55" w14:textId="0CB6B4B1" w:rsidR="00603E09" w:rsidRPr="006218CF" w:rsidRDefault="00C47641" w:rsidP="00C47641">
            <w:pPr>
              <w:spacing w:after="0" w:line="240" w:lineRule="auto"/>
              <w:ind w:right="0"/>
              <w:jc w:val="center"/>
              <w:rPr>
                <w:rFonts w:ascii="Times New Roman" w:eastAsiaTheme="minorHAnsi" w:hAnsi="Times New Roman" w:cs="Times New Roman"/>
                <w:color w:val="auto"/>
                <w:sz w:val="24"/>
                <w:szCs w:val="24"/>
                <w:lang w:eastAsia="en-US"/>
              </w:rPr>
            </w:pPr>
            <w:r>
              <w:rPr>
                <w:rFonts w:ascii="Times New Roman" w:eastAsiaTheme="minorHAnsi" w:hAnsi="Times New Roman" w:cs="Times New Roman"/>
                <w:b/>
                <w:bCs/>
                <w:sz w:val="24"/>
                <w:szCs w:val="24"/>
                <w:lang w:eastAsia="en-US"/>
              </w:rPr>
              <w:t>G</w:t>
            </w:r>
            <w:r w:rsidR="00603E09" w:rsidRPr="006218CF">
              <w:rPr>
                <w:rFonts w:ascii="Times New Roman" w:eastAsiaTheme="minorHAnsi" w:hAnsi="Times New Roman" w:cs="Times New Roman"/>
                <w:b/>
                <w:bCs/>
                <w:sz w:val="24"/>
                <w:szCs w:val="24"/>
                <w:lang w:eastAsia="en-US"/>
              </w:rPr>
              <w:t>radska četvrt</w:t>
            </w:r>
          </w:p>
        </w:tc>
      </w:tr>
      <w:tr w:rsidR="00603E09" w:rsidRPr="00603E09" w14:paraId="075D9BA5" w14:textId="77777777" w:rsidTr="00C97DDD">
        <w:trPr>
          <w:trHeight w:val="218"/>
          <w:jc w:val="center"/>
        </w:trPr>
        <w:tc>
          <w:tcPr>
            <w:tcW w:w="2040"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73752D63"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nema – 0,2 zelena</w:t>
            </w:r>
          </w:p>
        </w:tc>
        <w:tc>
          <w:tcPr>
            <w:tcW w:w="2041"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715B15EA" w14:textId="77777777" w:rsidR="00603E09" w:rsidRPr="006218CF" w:rsidRDefault="00603E09" w:rsidP="00FE3877">
            <w:pPr>
              <w:spacing w:after="0" w:line="240" w:lineRule="auto"/>
              <w:ind w:right="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630</w:t>
            </w:r>
          </w:p>
        </w:tc>
        <w:tc>
          <w:tcPr>
            <w:tcW w:w="4518"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4E64AD6A" w14:textId="77777777" w:rsidR="00603E09" w:rsidRPr="006218CF" w:rsidRDefault="00603E09" w:rsidP="00FE3877">
            <w:pPr>
              <w:spacing w:after="0" w:line="240" w:lineRule="auto"/>
              <w:ind w:right="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Gornja Dubrava</w:t>
            </w:r>
          </w:p>
        </w:tc>
      </w:tr>
      <w:tr w:rsidR="00603E09" w:rsidRPr="00603E09" w14:paraId="2738B65B" w14:textId="77777777" w:rsidTr="00C97DDD">
        <w:trPr>
          <w:trHeight w:val="218"/>
          <w:jc w:val="center"/>
        </w:trPr>
        <w:tc>
          <w:tcPr>
            <w:tcW w:w="2040"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2D28BE24"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nema – 0,2 zelena</w:t>
            </w:r>
          </w:p>
        </w:tc>
        <w:tc>
          <w:tcPr>
            <w:tcW w:w="2041"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0F134392" w14:textId="77777777" w:rsidR="00603E09" w:rsidRPr="006218CF" w:rsidRDefault="00603E09" w:rsidP="00FE3877">
            <w:pPr>
              <w:spacing w:after="0" w:line="240" w:lineRule="auto"/>
              <w:ind w:left="0" w:right="0" w:firstLine="709"/>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451</w:t>
            </w:r>
          </w:p>
        </w:tc>
        <w:tc>
          <w:tcPr>
            <w:tcW w:w="4518"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7113FF5E" w14:textId="77777777" w:rsidR="00603E09" w:rsidRPr="006218CF" w:rsidRDefault="00603E09" w:rsidP="00FE3877">
            <w:pPr>
              <w:spacing w:after="0" w:line="240" w:lineRule="auto"/>
              <w:ind w:right="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Podsljeme</w:t>
            </w:r>
          </w:p>
        </w:tc>
      </w:tr>
      <w:tr w:rsidR="00603E09" w:rsidRPr="00603E09" w14:paraId="3AA1809E" w14:textId="77777777" w:rsidTr="00C97DDD">
        <w:trPr>
          <w:trHeight w:val="218"/>
          <w:jc w:val="center"/>
        </w:trPr>
        <w:tc>
          <w:tcPr>
            <w:tcW w:w="2040"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45B8889D"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nema – 0,2 zelena</w:t>
            </w:r>
          </w:p>
        </w:tc>
        <w:tc>
          <w:tcPr>
            <w:tcW w:w="2041"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535DDAC8" w14:textId="77777777" w:rsidR="00603E09" w:rsidRPr="006218CF" w:rsidRDefault="00603E09" w:rsidP="00FE3877">
            <w:pPr>
              <w:spacing w:after="0" w:line="240" w:lineRule="auto"/>
              <w:ind w:left="0" w:right="0" w:firstLine="709"/>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577</w:t>
            </w:r>
          </w:p>
        </w:tc>
        <w:tc>
          <w:tcPr>
            <w:tcW w:w="4518"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529F0C23" w14:textId="77777777" w:rsidR="00603E09" w:rsidRPr="006218CF" w:rsidRDefault="00603E09" w:rsidP="00FE3877">
            <w:pPr>
              <w:spacing w:after="0" w:line="240" w:lineRule="auto"/>
              <w:ind w:right="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Maksimir</w:t>
            </w:r>
          </w:p>
        </w:tc>
      </w:tr>
      <w:tr w:rsidR="00603E09" w:rsidRPr="00603E09" w14:paraId="47F10B09" w14:textId="77777777" w:rsidTr="00C97DDD">
        <w:trPr>
          <w:trHeight w:val="218"/>
          <w:jc w:val="center"/>
        </w:trPr>
        <w:tc>
          <w:tcPr>
            <w:tcW w:w="2040"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60D0086F"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nema – 0,2 zelena</w:t>
            </w:r>
          </w:p>
        </w:tc>
        <w:tc>
          <w:tcPr>
            <w:tcW w:w="2041"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27E07EC4" w14:textId="77777777" w:rsidR="00603E09" w:rsidRPr="006218CF" w:rsidRDefault="00603E09" w:rsidP="00FE3877">
            <w:pPr>
              <w:spacing w:after="0" w:line="240" w:lineRule="auto"/>
              <w:ind w:left="0" w:right="0" w:firstLine="709"/>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242</w:t>
            </w:r>
          </w:p>
        </w:tc>
        <w:tc>
          <w:tcPr>
            <w:tcW w:w="4518"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6A6BE304" w14:textId="77777777" w:rsidR="00603E09" w:rsidRPr="006218CF" w:rsidRDefault="00603E09" w:rsidP="00FE3877">
            <w:pPr>
              <w:spacing w:after="0" w:line="240" w:lineRule="auto"/>
              <w:ind w:right="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Sesvete</w:t>
            </w:r>
          </w:p>
        </w:tc>
      </w:tr>
      <w:tr w:rsidR="00603E09" w:rsidRPr="00603E09" w14:paraId="11B7672F" w14:textId="77777777" w:rsidTr="00C97DDD">
        <w:trPr>
          <w:trHeight w:val="218"/>
          <w:jc w:val="center"/>
        </w:trPr>
        <w:tc>
          <w:tcPr>
            <w:tcW w:w="2040"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05413868"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nema – 0,2 zelena</w:t>
            </w:r>
          </w:p>
        </w:tc>
        <w:tc>
          <w:tcPr>
            <w:tcW w:w="2041"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321DA2FB" w14:textId="77777777" w:rsidR="00603E09" w:rsidRPr="006218CF" w:rsidRDefault="00603E09" w:rsidP="00FE3877">
            <w:pPr>
              <w:spacing w:after="0" w:line="240" w:lineRule="auto"/>
              <w:ind w:left="0" w:right="0" w:firstLine="709"/>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312</w:t>
            </w:r>
          </w:p>
        </w:tc>
        <w:tc>
          <w:tcPr>
            <w:tcW w:w="4518"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36024FAD" w14:textId="77777777" w:rsidR="00603E09" w:rsidRPr="006218CF" w:rsidRDefault="00603E09" w:rsidP="00FE3877">
            <w:pPr>
              <w:spacing w:after="0" w:line="240" w:lineRule="auto"/>
              <w:ind w:left="0" w:right="0" w:firstLine="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Črnomerec, Stenjevec, Podsused - Vrapče</w:t>
            </w:r>
          </w:p>
        </w:tc>
      </w:tr>
      <w:tr w:rsidR="00603E09" w:rsidRPr="00603E09" w14:paraId="11E4AB3F" w14:textId="77777777" w:rsidTr="00C97DDD">
        <w:trPr>
          <w:trHeight w:val="381"/>
          <w:jc w:val="center"/>
        </w:trPr>
        <w:tc>
          <w:tcPr>
            <w:tcW w:w="2040"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43FE268E"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nema – 0,2 zelena</w:t>
            </w:r>
          </w:p>
        </w:tc>
        <w:tc>
          <w:tcPr>
            <w:tcW w:w="2041"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0819DD12" w14:textId="77777777" w:rsidR="00603E09" w:rsidRPr="006218CF" w:rsidRDefault="00603E09" w:rsidP="00FE3877">
            <w:pPr>
              <w:spacing w:after="0" w:line="240" w:lineRule="auto"/>
              <w:ind w:left="0" w:right="0" w:firstLine="709"/>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350</w:t>
            </w:r>
          </w:p>
        </w:tc>
        <w:tc>
          <w:tcPr>
            <w:tcW w:w="4518"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6342B9F4" w14:textId="77777777" w:rsidR="00603E09" w:rsidRPr="006218CF" w:rsidRDefault="00603E09" w:rsidP="00FE3877">
            <w:pPr>
              <w:spacing w:after="0" w:line="240" w:lineRule="auto"/>
              <w:ind w:right="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Donja Dubrava, Peščenica - Žitnjak</w:t>
            </w:r>
          </w:p>
        </w:tc>
      </w:tr>
      <w:tr w:rsidR="00603E09" w:rsidRPr="00603E09" w14:paraId="7DA9140B" w14:textId="77777777" w:rsidTr="00C97DDD">
        <w:trPr>
          <w:trHeight w:val="218"/>
          <w:jc w:val="center"/>
        </w:trPr>
        <w:tc>
          <w:tcPr>
            <w:tcW w:w="2040"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0C8A4F0E"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nema – 0,2 zelena</w:t>
            </w:r>
          </w:p>
        </w:tc>
        <w:tc>
          <w:tcPr>
            <w:tcW w:w="2041"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31078449" w14:textId="77777777" w:rsidR="00603E09" w:rsidRPr="006218CF" w:rsidRDefault="00603E09" w:rsidP="00FE3877">
            <w:pPr>
              <w:spacing w:after="0" w:line="240" w:lineRule="auto"/>
              <w:ind w:left="0" w:right="0" w:firstLine="709"/>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390</w:t>
            </w:r>
          </w:p>
        </w:tc>
        <w:tc>
          <w:tcPr>
            <w:tcW w:w="4518" w:type="dxa"/>
            <w:tcBorders>
              <w:top w:val="nil"/>
              <w:left w:val="nil"/>
              <w:bottom w:val="single" w:sz="8" w:space="0" w:color="BFBFBF"/>
              <w:right w:val="single" w:sz="8" w:space="0" w:color="BFBFBF"/>
            </w:tcBorders>
            <w:tcMar>
              <w:top w:w="0" w:type="dxa"/>
              <w:left w:w="108" w:type="dxa"/>
              <w:bottom w:w="0" w:type="dxa"/>
              <w:right w:w="108" w:type="dxa"/>
            </w:tcMar>
            <w:vAlign w:val="center"/>
            <w:hideMark/>
          </w:tcPr>
          <w:p w14:paraId="086AA0D7" w14:textId="77777777" w:rsidR="00603E09" w:rsidRPr="006218CF" w:rsidRDefault="00603E09" w:rsidP="00FE3877">
            <w:pPr>
              <w:spacing w:after="0" w:line="240" w:lineRule="auto"/>
              <w:ind w:right="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Trešnjevka - jug, Trešnjevka - sjever</w:t>
            </w:r>
          </w:p>
        </w:tc>
      </w:tr>
      <w:tr w:rsidR="00603E09" w:rsidRPr="00603E09" w14:paraId="4B6530EE" w14:textId="77777777" w:rsidTr="00C97DDD">
        <w:trPr>
          <w:trHeight w:val="567"/>
          <w:jc w:val="center"/>
        </w:trPr>
        <w:tc>
          <w:tcPr>
            <w:tcW w:w="2040" w:type="dxa"/>
            <w:tcBorders>
              <w:top w:val="nil"/>
              <w:left w:val="nil"/>
              <w:bottom w:val="single" w:sz="8" w:space="0" w:color="BFBFBF"/>
              <w:right w:val="single" w:sz="8" w:space="0" w:color="BFBFBF"/>
            </w:tcBorders>
            <w:tcMar>
              <w:top w:w="0" w:type="dxa"/>
              <w:left w:w="108" w:type="dxa"/>
              <w:bottom w:w="0" w:type="dxa"/>
              <w:right w:w="108" w:type="dxa"/>
            </w:tcMar>
            <w:vAlign w:val="bottom"/>
            <w:hideMark/>
          </w:tcPr>
          <w:p w14:paraId="5A72F630"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nema – 0,2 zelena</w:t>
            </w:r>
          </w:p>
        </w:tc>
        <w:tc>
          <w:tcPr>
            <w:tcW w:w="2041" w:type="dxa"/>
            <w:tcBorders>
              <w:top w:val="nil"/>
              <w:left w:val="nil"/>
              <w:bottom w:val="single" w:sz="8" w:space="0" w:color="BFBFBF"/>
              <w:right w:val="single" w:sz="8" w:space="0" w:color="BFBFBF"/>
            </w:tcBorders>
            <w:tcMar>
              <w:top w:w="0" w:type="dxa"/>
              <w:left w:w="108" w:type="dxa"/>
              <w:bottom w:w="0" w:type="dxa"/>
              <w:right w:w="108" w:type="dxa"/>
            </w:tcMar>
            <w:vAlign w:val="bottom"/>
            <w:hideMark/>
          </w:tcPr>
          <w:p w14:paraId="075B6396" w14:textId="77777777" w:rsidR="00603E09" w:rsidRPr="006218CF" w:rsidRDefault="00603E09" w:rsidP="00FE3877">
            <w:pPr>
              <w:spacing w:after="0" w:line="240" w:lineRule="auto"/>
              <w:ind w:left="0" w:right="0" w:firstLine="709"/>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563</w:t>
            </w:r>
          </w:p>
        </w:tc>
        <w:tc>
          <w:tcPr>
            <w:tcW w:w="4518" w:type="dxa"/>
            <w:tcBorders>
              <w:top w:val="nil"/>
              <w:left w:val="nil"/>
              <w:bottom w:val="single" w:sz="8" w:space="0" w:color="BFBFBF"/>
              <w:right w:val="single" w:sz="8" w:space="0" w:color="BFBFBF"/>
            </w:tcBorders>
            <w:tcMar>
              <w:top w:w="0" w:type="dxa"/>
              <w:left w:w="108" w:type="dxa"/>
              <w:bottom w:w="0" w:type="dxa"/>
              <w:right w:w="108" w:type="dxa"/>
            </w:tcMar>
            <w:vAlign w:val="bottom"/>
            <w:hideMark/>
          </w:tcPr>
          <w:p w14:paraId="5808244B" w14:textId="77777777" w:rsidR="00603E09" w:rsidRPr="006218CF" w:rsidRDefault="00603E09" w:rsidP="00FE3877">
            <w:pPr>
              <w:spacing w:after="0" w:line="240" w:lineRule="auto"/>
              <w:ind w:left="0" w:right="0" w:firstLine="0"/>
              <w:jc w:val="center"/>
              <w:rPr>
                <w:rFonts w:ascii="Times New Roman" w:eastAsiaTheme="minorHAnsi" w:hAnsi="Times New Roman" w:cs="Times New Roman"/>
                <w:sz w:val="24"/>
                <w:szCs w:val="24"/>
                <w:lang w:eastAsia="en-US"/>
              </w:rPr>
            </w:pPr>
            <w:r w:rsidRPr="006218CF">
              <w:rPr>
                <w:rFonts w:ascii="Times New Roman" w:eastAsiaTheme="minorHAnsi" w:hAnsi="Times New Roman" w:cs="Times New Roman"/>
                <w:sz w:val="24"/>
                <w:szCs w:val="24"/>
                <w:lang w:eastAsia="en-US"/>
              </w:rPr>
              <w:t>Donji Grad, Gornji Grad - Medveščak, Trnje, Novi Zagreb - istok, Novi Zagreb - zapad, Brezovica</w:t>
            </w:r>
          </w:p>
        </w:tc>
      </w:tr>
      <w:tr w:rsidR="00603E09" w:rsidRPr="00603E09" w14:paraId="6503F470" w14:textId="77777777" w:rsidTr="006632FB">
        <w:trPr>
          <w:trHeight w:val="218"/>
          <w:jc w:val="center"/>
        </w:trPr>
        <w:tc>
          <w:tcPr>
            <w:tcW w:w="2040" w:type="dxa"/>
            <w:tcBorders>
              <w:top w:val="nil"/>
              <w:left w:val="nil"/>
              <w:bottom w:val="single" w:sz="8" w:space="0" w:color="BFBFBF"/>
              <w:right w:val="single" w:sz="8" w:space="0" w:color="BFBFBF"/>
            </w:tcBorders>
            <w:shd w:val="clear" w:color="auto" w:fill="FFC000"/>
            <w:tcMar>
              <w:top w:w="0" w:type="dxa"/>
              <w:left w:w="108" w:type="dxa"/>
              <w:bottom w:w="0" w:type="dxa"/>
              <w:right w:w="108" w:type="dxa"/>
            </w:tcMar>
            <w:vAlign w:val="center"/>
          </w:tcPr>
          <w:p w14:paraId="0412F295" w14:textId="77777777" w:rsidR="00603E09" w:rsidRPr="006218CF" w:rsidRDefault="00603E09" w:rsidP="006218CF">
            <w:pPr>
              <w:spacing w:after="0" w:line="240" w:lineRule="auto"/>
              <w:ind w:left="0" w:right="0" w:firstLine="709"/>
              <w:jc w:val="center"/>
              <w:rPr>
                <w:rFonts w:ascii="Times New Roman" w:eastAsiaTheme="minorHAnsi" w:hAnsi="Times New Roman" w:cs="Times New Roman"/>
                <w:sz w:val="24"/>
                <w:szCs w:val="24"/>
                <w:lang w:eastAsia="en-US"/>
              </w:rPr>
            </w:pPr>
          </w:p>
        </w:tc>
        <w:tc>
          <w:tcPr>
            <w:tcW w:w="2041" w:type="dxa"/>
            <w:tcBorders>
              <w:top w:val="nil"/>
              <w:left w:val="nil"/>
              <w:bottom w:val="single" w:sz="8" w:space="0" w:color="BFBFBF"/>
              <w:right w:val="single" w:sz="8" w:space="0" w:color="BFBFBF"/>
            </w:tcBorders>
            <w:shd w:val="clear" w:color="auto" w:fill="FFC000"/>
            <w:tcMar>
              <w:top w:w="0" w:type="dxa"/>
              <w:left w:w="108" w:type="dxa"/>
              <w:bottom w:w="0" w:type="dxa"/>
              <w:right w:w="108" w:type="dxa"/>
            </w:tcMar>
            <w:vAlign w:val="bottom"/>
          </w:tcPr>
          <w:p w14:paraId="65F0E29E" w14:textId="77777777" w:rsidR="00603E09" w:rsidRPr="006218CF" w:rsidRDefault="00603E09" w:rsidP="00FE3877">
            <w:pPr>
              <w:spacing w:after="0" w:line="240" w:lineRule="auto"/>
              <w:ind w:right="0"/>
              <w:jc w:val="center"/>
              <w:rPr>
                <w:rFonts w:ascii="Times New Roman" w:eastAsiaTheme="minorHAnsi" w:hAnsi="Times New Roman" w:cs="Times New Roman"/>
                <w:b/>
                <w:color w:val="auto"/>
                <w:sz w:val="24"/>
                <w:szCs w:val="24"/>
                <w:lang w:eastAsia="en-US"/>
              </w:rPr>
            </w:pPr>
            <w:r w:rsidRPr="006218CF">
              <w:rPr>
                <w:rFonts w:ascii="Times New Roman" w:eastAsiaTheme="minorHAnsi" w:hAnsi="Times New Roman" w:cs="Times New Roman"/>
                <w:b/>
                <w:color w:val="auto"/>
                <w:sz w:val="24"/>
                <w:szCs w:val="24"/>
                <w:lang w:eastAsia="en-US"/>
              </w:rPr>
              <w:t>= 3515</w:t>
            </w:r>
          </w:p>
        </w:tc>
        <w:tc>
          <w:tcPr>
            <w:tcW w:w="4518" w:type="dxa"/>
            <w:tcBorders>
              <w:top w:val="nil"/>
              <w:left w:val="nil"/>
              <w:bottom w:val="single" w:sz="8" w:space="0" w:color="BFBFBF"/>
              <w:right w:val="single" w:sz="8" w:space="0" w:color="BFBFBF"/>
            </w:tcBorders>
            <w:shd w:val="clear" w:color="auto" w:fill="FFC000"/>
            <w:tcMar>
              <w:top w:w="0" w:type="dxa"/>
              <w:left w:w="108" w:type="dxa"/>
              <w:bottom w:w="0" w:type="dxa"/>
              <w:right w:w="108" w:type="dxa"/>
            </w:tcMar>
            <w:vAlign w:val="center"/>
          </w:tcPr>
          <w:p w14:paraId="6532B2D8" w14:textId="77777777" w:rsidR="00603E09" w:rsidRPr="006218CF" w:rsidRDefault="00603E09" w:rsidP="006218CF">
            <w:pPr>
              <w:spacing w:after="0" w:line="240" w:lineRule="auto"/>
              <w:ind w:left="0" w:right="0" w:firstLine="709"/>
              <w:jc w:val="left"/>
              <w:rPr>
                <w:rFonts w:ascii="Times New Roman" w:eastAsiaTheme="minorHAnsi" w:hAnsi="Times New Roman" w:cs="Times New Roman"/>
                <w:sz w:val="24"/>
                <w:szCs w:val="24"/>
                <w:lang w:eastAsia="en-US"/>
              </w:rPr>
            </w:pPr>
          </w:p>
        </w:tc>
      </w:tr>
    </w:tbl>
    <w:p w14:paraId="63C56313" w14:textId="34F96005" w:rsidR="00603E09" w:rsidRPr="001D0309" w:rsidRDefault="00745927" w:rsidP="00873059">
      <w:pPr>
        <w:spacing w:after="0" w:line="240" w:lineRule="auto"/>
        <w:ind w:left="0" w:right="0" w:firstLine="709"/>
        <w:jc w:val="left"/>
        <w:rPr>
          <w:rFonts w:ascii="Times New Roman" w:eastAsiaTheme="minorHAnsi" w:hAnsi="Times New Roman" w:cs="Times New Roman"/>
          <w:i/>
          <w:color w:val="auto"/>
          <w:sz w:val="20"/>
          <w:szCs w:val="20"/>
          <w:lang w:eastAsia="en-US"/>
        </w:rPr>
      </w:pPr>
      <w:r w:rsidRPr="001D0309">
        <w:rPr>
          <w:rFonts w:ascii="Times New Roman" w:eastAsiaTheme="minorHAnsi" w:hAnsi="Times New Roman" w:cs="Times New Roman"/>
          <w:i/>
          <w:color w:val="auto"/>
          <w:sz w:val="20"/>
          <w:szCs w:val="20"/>
          <w:lang w:eastAsia="en-US"/>
        </w:rPr>
        <w:t>Izvor: Gradski ured za gospodarstvo, ekološku održivost i strategijsko planiranje</w:t>
      </w:r>
    </w:p>
    <w:p w14:paraId="5AECBA43" w14:textId="77777777" w:rsidR="00745927" w:rsidRPr="006218CF" w:rsidRDefault="00745927" w:rsidP="006218CF">
      <w:pPr>
        <w:spacing w:after="0" w:line="240" w:lineRule="auto"/>
        <w:ind w:left="0" w:right="0" w:firstLine="709"/>
        <w:jc w:val="left"/>
        <w:rPr>
          <w:rFonts w:ascii="Times New Roman" w:eastAsiaTheme="minorHAnsi" w:hAnsi="Times New Roman" w:cs="Times New Roman"/>
          <w:color w:val="auto"/>
          <w:sz w:val="24"/>
          <w:szCs w:val="24"/>
          <w:lang w:eastAsia="en-US"/>
        </w:rPr>
      </w:pPr>
    </w:p>
    <w:p w14:paraId="2676A972" w14:textId="77777777" w:rsidR="00603E09" w:rsidRPr="006218CF" w:rsidRDefault="00603E09" w:rsidP="006218CF">
      <w:pPr>
        <w:spacing w:after="0" w:line="240" w:lineRule="auto"/>
        <w:ind w:left="0" w:right="0" w:firstLine="709"/>
        <w:rPr>
          <w:rFonts w:ascii="Times New Roman" w:eastAsiaTheme="minorHAnsi" w:hAnsi="Times New Roman" w:cs="Times New Roman"/>
          <w:color w:val="auto"/>
          <w:sz w:val="24"/>
          <w:szCs w:val="24"/>
          <w:lang w:eastAsia="en-US"/>
        </w:rPr>
      </w:pPr>
      <w:r w:rsidRPr="006218CF">
        <w:rPr>
          <w:rFonts w:ascii="Times New Roman" w:eastAsiaTheme="minorHAnsi" w:hAnsi="Times New Roman" w:cs="Times New Roman"/>
          <w:color w:val="auto"/>
          <w:sz w:val="24"/>
          <w:szCs w:val="24"/>
          <w:lang w:eastAsia="en-US"/>
        </w:rPr>
        <w:t xml:space="preserve">Sukladno Zakonu o ublažavanju i uklanjanju posljedica prirodnih nepogoda (Narodne novine 16/19) te Pravilniku o registru šteta od prirodnih nepogoda (Narodne novine 65/19) te na temelju podataka koje su inženjeri utvrdili terenskim očevidom, Stručno povjerenstvo procjenjuje štetu na nekretnini prema formuli Š=C·A·P·E sukladno Pravilniku gdje je: </w:t>
      </w:r>
    </w:p>
    <w:p w14:paraId="314F3037" w14:textId="77777777" w:rsidR="00603E09" w:rsidRPr="006218CF" w:rsidRDefault="00603E09" w:rsidP="006218CF">
      <w:pPr>
        <w:spacing w:after="0" w:line="240" w:lineRule="auto"/>
        <w:ind w:left="0" w:right="0" w:firstLine="709"/>
        <w:rPr>
          <w:rFonts w:ascii="Times New Roman" w:eastAsiaTheme="minorHAnsi" w:hAnsi="Times New Roman" w:cs="Times New Roman"/>
          <w:color w:val="auto"/>
          <w:sz w:val="24"/>
          <w:szCs w:val="24"/>
          <w:lang w:eastAsia="en-US"/>
        </w:rPr>
      </w:pPr>
      <w:r w:rsidRPr="006218CF">
        <w:rPr>
          <w:rFonts w:ascii="Times New Roman" w:eastAsiaTheme="minorHAnsi" w:hAnsi="Times New Roman" w:cs="Times New Roman"/>
          <w:color w:val="auto"/>
          <w:sz w:val="24"/>
          <w:szCs w:val="24"/>
          <w:lang w:eastAsia="en-US"/>
        </w:rPr>
        <w:t>•C važeća tržišna cijena (samo troškovi građenja) nove građevine po jedinici mjere. Cijena građenja utvrđena je od strane Ministarstva graditeljstva i prostornog uređenja 3. lipnja 2020. godine (KLASA: 360-01/20-02/288, URBROJ: 531-01-20-4) i iznosi 7.756,38 kuna (neto cijena bez PDV-a)</w:t>
      </w:r>
    </w:p>
    <w:p w14:paraId="45F9717E" w14:textId="77777777" w:rsidR="00603E09" w:rsidRPr="006218CF" w:rsidRDefault="00603E09" w:rsidP="006218CF">
      <w:pPr>
        <w:spacing w:after="0" w:line="240" w:lineRule="auto"/>
        <w:ind w:left="0" w:right="0" w:firstLine="709"/>
        <w:rPr>
          <w:rFonts w:ascii="Times New Roman" w:eastAsiaTheme="minorHAnsi" w:hAnsi="Times New Roman" w:cs="Times New Roman"/>
          <w:color w:val="auto"/>
          <w:sz w:val="24"/>
          <w:szCs w:val="24"/>
          <w:lang w:eastAsia="en-US"/>
        </w:rPr>
      </w:pPr>
      <w:r w:rsidRPr="006218CF">
        <w:rPr>
          <w:rFonts w:ascii="Times New Roman" w:eastAsiaTheme="minorHAnsi" w:hAnsi="Times New Roman" w:cs="Times New Roman"/>
          <w:color w:val="auto"/>
          <w:sz w:val="24"/>
          <w:szCs w:val="24"/>
          <w:lang w:eastAsia="en-US"/>
        </w:rPr>
        <w:t>•A veličina građevine (bruto površina*koeficijent izgradnje K)</w:t>
      </w:r>
    </w:p>
    <w:p w14:paraId="0D83BB81" w14:textId="77777777" w:rsidR="00603E09" w:rsidRPr="006218CF" w:rsidRDefault="00603E09" w:rsidP="006218CF">
      <w:pPr>
        <w:spacing w:after="0" w:line="240" w:lineRule="auto"/>
        <w:ind w:left="0" w:right="0" w:firstLine="709"/>
        <w:rPr>
          <w:rFonts w:ascii="Times New Roman" w:eastAsiaTheme="minorHAnsi" w:hAnsi="Times New Roman" w:cs="Times New Roman"/>
          <w:color w:val="auto"/>
          <w:sz w:val="24"/>
          <w:szCs w:val="24"/>
          <w:lang w:eastAsia="en-US"/>
        </w:rPr>
      </w:pPr>
      <w:r w:rsidRPr="006218CF">
        <w:rPr>
          <w:rFonts w:ascii="Times New Roman" w:eastAsiaTheme="minorHAnsi" w:hAnsi="Times New Roman" w:cs="Times New Roman"/>
          <w:color w:val="auto"/>
          <w:sz w:val="24"/>
          <w:szCs w:val="24"/>
          <w:lang w:eastAsia="en-US"/>
        </w:rPr>
        <w:t>•P oštećenje građevine kao cjeline koje se izražava brojevima od 0,0 do 1,0 u koracima po 0,10. Za potpuno uništenu građevinu oštećenje je P=1,00.</w:t>
      </w:r>
    </w:p>
    <w:p w14:paraId="363083C5" w14:textId="77777777" w:rsidR="00603E09" w:rsidRDefault="00603E09" w:rsidP="006218CF">
      <w:pPr>
        <w:spacing w:after="0" w:line="240" w:lineRule="auto"/>
        <w:ind w:left="0" w:right="0" w:firstLine="709"/>
        <w:rPr>
          <w:rFonts w:ascii="Times New Roman" w:eastAsiaTheme="minorHAnsi" w:hAnsi="Times New Roman" w:cs="Times New Roman"/>
          <w:color w:val="auto"/>
          <w:sz w:val="24"/>
          <w:szCs w:val="24"/>
          <w:lang w:eastAsia="en-US"/>
        </w:rPr>
      </w:pPr>
      <w:r w:rsidRPr="006218CF">
        <w:rPr>
          <w:rFonts w:ascii="Times New Roman" w:eastAsiaTheme="minorHAnsi" w:hAnsi="Times New Roman" w:cs="Times New Roman"/>
          <w:color w:val="auto"/>
          <w:sz w:val="24"/>
          <w:szCs w:val="24"/>
          <w:lang w:eastAsia="en-US"/>
        </w:rPr>
        <w:t>•E koeficijent istrošenosti građevine</w:t>
      </w:r>
    </w:p>
    <w:p w14:paraId="5BC7403D" w14:textId="77777777" w:rsidR="00603E09" w:rsidRDefault="00603E09" w:rsidP="006218CF">
      <w:pPr>
        <w:spacing w:after="0" w:line="240" w:lineRule="auto"/>
        <w:ind w:left="0" w:right="0" w:firstLine="709"/>
        <w:rPr>
          <w:rFonts w:ascii="Times New Roman" w:eastAsiaTheme="minorHAnsi" w:hAnsi="Times New Roman" w:cs="Times New Roman"/>
          <w:color w:val="auto"/>
          <w:sz w:val="24"/>
          <w:szCs w:val="24"/>
          <w:lang w:eastAsia="en-US"/>
        </w:rPr>
      </w:pPr>
    </w:p>
    <w:p w14:paraId="19699648" w14:textId="3891F759" w:rsidR="00603E09" w:rsidRPr="006218CF" w:rsidRDefault="00603E09" w:rsidP="006218CF">
      <w:pPr>
        <w:spacing w:after="0" w:line="240" w:lineRule="auto"/>
        <w:ind w:left="0" w:right="0" w:firstLine="709"/>
        <w:rPr>
          <w:rFonts w:ascii="Times New Roman" w:eastAsiaTheme="minorHAnsi" w:hAnsi="Times New Roman" w:cs="Times New Roman"/>
          <w:color w:val="auto"/>
          <w:sz w:val="24"/>
          <w:szCs w:val="24"/>
          <w:lang w:eastAsia="en-US"/>
        </w:rPr>
      </w:pPr>
      <w:r w:rsidRPr="00603E09">
        <w:rPr>
          <w:rFonts w:ascii="Times New Roman" w:eastAsiaTheme="minorHAnsi" w:hAnsi="Times New Roman" w:cs="Times New Roman"/>
          <w:color w:val="auto"/>
          <w:sz w:val="24"/>
          <w:szCs w:val="24"/>
          <w:lang w:eastAsia="en-US"/>
        </w:rPr>
        <w:t>Ukupna šteta na navedenim građevinama iznosi 6.107.751.933,14 kuna (neto cijena bez poreza na dodanu vrijednost)</w:t>
      </w:r>
      <w:r>
        <w:rPr>
          <w:rFonts w:ascii="Times New Roman" w:eastAsiaTheme="minorHAnsi" w:hAnsi="Times New Roman" w:cs="Times New Roman"/>
          <w:color w:val="auto"/>
          <w:sz w:val="24"/>
          <w:szCs w:val="24"/>
          <w:lang w:eastAsia="en-US"/>
        </w:rPr>
        <w:t>.</w:t>
      </w:r>
    </w:p>
    <w:p w14:paraId="1FB07612" w14:textId="6EF3AC2D" w:rsidR="00201092" w:rsidRPr="00B51754" w:rsidRDefault="00201092" w:rsidP="006218CF">
      <w:pPr>
        <w:spacing w:after="0" w:line="240" w:lineRule="auto"/>
        <w:ind w:left="0" w:right="0" w:firstLine="0"/>
        <w:rPr>
          <w:rFonts w:ascii="Times New Roman" w:hAnsi="Times New Roman" w:cs="Times New Roman"/>
          <w:color w:val="auto"/>
          <w:sz w:val="24"/>
          <w:u w:color="000000"/>
        </w:rPr>
      </w:pPr>
    </w:p>
    <w:p w14:paraId="4FAE467D" w14:textId="77777777" w:rsidR="00E40AC8" w:rsidRPr="00B51754" w:rsidRDefault="00900184" w:rsidP="00201092">
      <w:pPr>
        <w:spacing w:after="0" w:line="240" w:lineRule="auto"/>
        <w:ind w:left="0" w:right="0" w:firstLine="709"/>
        <w:rPr>
          <w:rFonts w:ascii="Times New Roman" w:hAnsi="Times New Roman" w:cs="Times New Roman"/>
          <w:color w:val="auto"/>
          <w:sz w:val="24"/>
        </w:rPr>
      </w:pPr>
      <w:r w:rsidRPr="00B51754">
        <w:rPr>
          <w:rFonts w:ascii="Times New Roman" w:hAnsi="Times New Roman" w:cs="Times New Roman"/>
          <w:color w:val="auto"/>
          <w:sz w:val="24"/>
          <w:u w:val="single" w:color="000000"/>
        </w:rPr>
        <w:t>Poplava</w:t>
      </w:r>
    </w:p>
    <w:p w14:paraId="0A7FF6F0" w14:textId="3027736E" w:rsidR="00201092" w:rsidRPr="00B51754" w:rsidRDefault="00900184">
      <w:pPr>
        <w:spacing w:after="0" w:line="240" w:lineRule="auto"/>
        <w:ind w:left="0" w:right="0" w:firstLine="709"/>
        <w:rPr>
          <w:rFonts w:ascii="Times New Roman" w:hAnsi="Times New Roman" w:cs="Times New Roman"/>
          <w:color w:val="auto"/>
          <w:sz w:val="24"/>
        </w:rPr>
      </w:pPr>
      <w:r w:rsidRPr="00B51754">
        <w:rPr>
          <w:rFonts w:ascii="Times New Roman" w:hAnsi="Times New Roman" w:cs="Times New Roman"/>
          <w:color w:val="auto"/>
          <w:sz w:val="24"/>
        </w:rPr>
        <w:t xml:space="preserve">Šteta od katastrofalne poplave koja se dogodila 1964. premašila </w:t>
      </w:r>
      <w:r w:rsidR="00D57F0E" w:rsidRPr="00B51754">
        <w:rPr>
          <w:rFonts w:ascii="Times New Roman" w:hAnsi="Times New Roman" w:cs="Times New Roman"/>
          <w:color w:val="auto"/>
          <w:sz w:val="24"/>
        </w:rPr>
        <w:t xml:space="preserve">je </w:t>
      </w:r>
      <w:r w:rsidRPr="00B51754">
        <w:rPr>
          <w:rFonts w:ascii="Times New Roman" w:hAnsi="Times New Roman" w:cs="Times New Roman"/>
          <w:color w:val="auto"/>
          <w:sz w:val="24"/>
        </w:rPr>
        <w:t xml:space="preserve">tadašnjih 130 milijardi dinara ne računajući pritom privatnu imovinu građana. </w:t>
      </w:r>
      <w:r w:rsidR="00D57F0E" w:rsidRPr="00B51754">
        <w:rPr>
          <w:rFonts w:ascii="Times New Roman" w:hAnsi="Times New Roman" w:cs="Times New Roman"/>
          <w:color w:val="auto"/>
          <w:sz w:val="24"/>
        </w:rPr>
        <w:t xml:space="preserve">Da </w:t>
      </w:r>
      <w:r w:rsidRPr="00B51754">
        <w:rPr>
          <w:rFonts w:ascii="Times New Roman" w:hAnsi="Times New Roman" w:cs="Times New Roman"/>
          <w:color w:val="auto"/>
          <w:sz w:val="24"/>
        </w:rPr>
        <w:t>bi se moglo vidjeti koji su bili razmjeri štete, potrebno je istaknuti da su te 1964. industrijska poduzeća Zagreba ostvarila 28,2 ukupnog prihoda industrije Hrvatske. Zagrebačkom gospodarstvu nan</w:t>
      </w:r>
      <w:r w:rsidR="00D57F0E" w:rsidRPr="00B51754">
        <w:rPr>
          <w:rFonts w:ascii="Times New Roman" w:hAnsi="Times New Roman" w:cs="Times New Roman"/>
          <w:color w:val="auto"/>
          <w:sz w:val="24"/>
        </w:rPr>
        <w:t>esena</w:t>
      </w:r>
      <w:r w:rsidRPr="00B51754">
        <w:rPr>
          <w:rFonts w:ascii="Times New Roman" w:hAnsi="Times New Roman" w:cs="Times New Roman"/>
          <w:color w:val="auto"/>
          <w:sz w:val="24"/>
        </w:rPr>
        <w:t xml:space="preserve"> je šteta od oko 30 milijardi tadašnjih dinara. Konačna bilanca štete iznosila je 9,8</w:t>
      </w:r>
      <w:r w:rsidR="00E05F09" w:rsidRPr="00B51754">
        <w:rPr>
          <w:rFonts w:ascii="Times New Roman" w:hAnsi="Times New Roman" w:cs="Times New Roman"/>
          <w:color w:val="auto"/>
          <w:sz w:val="24"/>
        </w:rPr>
        <w:t> %</w:t>
      </w:r>
      <w:r w:rsidRPr="00B51754">
        <w:rPr>
          <w:rFonts w:ascii="Times New Roman" w:hAnsi="Times New Roman" w:cs="Times New Roman"/>
          <w:color w:val="auto"/>
          <w:sz w:val="24"/>
        </w:rPr>
        <w:t xml:space="preserve"> tadašnjeg republičkog BDP</w:t>
      </w:r>
      <w:r w:rsidR="00EE6A22" w:rsidRPr="00B51754">
        <w:rPr>
          <w:rFonts w:ascii="Times New Roman" w:hAnsi="Times New Roman" w:cs="Times New Roman"/>
          <w:color w:val="auto"/>
          <w:sz w:val="24"/>
        </w:rPr>
        <w:t>-</w:t>
      </w:r>
      <w:r w:rsidRPr="00B51754">
        <w:rPr>
          <w:rFonts w:ascii="Times New Roman" w:hAnsi="Times New Roman" w:cs="Times New Roman"/>
          <w:color w:val="auto"/>
          <w:sz w:val="24"/>
        </w:rPr>
        <w:t xml:space="preserve">a. Štete u </w:t>
      </w:r>
      <w:r w:rsidR="00D57F0E" w:rsidRPr="00B51754">
        <w:rPr>
          <w:rFonts w:ascii="Times New Roman" w:hAnsi="Times New Roman" w:cs="Times New Roman"/>
          <w:color w:val="auto"/>
          <w:sz w:val="24"/>
        </w:rPr>
        <w:t xml:space="preserve">zagrebačkom </w:t>
      </w:r>
      <w:r w:rsidRPr="00B51754">
        <w:rPr>
          <w:rFonts w:ascii="Times New Roman" w:hAnsi="Times New Roman" w:cs="Times New Roman"/>
          <w:color w:val="auto"/>
          <w:sz w:val="24"/>
        </w:rPr>
        <w:t>građevinarstvu prvih dana nakon poplave dostigle su iznos od 6 milijardi tadašnjih dinara. Za stambenu obnovu i stambenu izgradnju, zajedno s komunalnim instalacijama i prometnicama u novim naseljima, bilo je potrebno izdvojiti gotovo 70 milijardi dinara, a za građevinska poduzeća i za poduzeća za proizvodnju građevinskog materijala više od 23 milijarde dinara.</w:t>
      </w:r>
    </w:p>
    <w:p w14:paraId="6A311027" w14:textId="77777777" w:rsidR="00E40AC8" w:rsidRPr="00B51754" w:rsidRDefault="00900184" w:rsidP="00201092">
      <w:pPr>
        <w:spacing w:after="0" w:line="240" w:lineRule="auto"/>
        <w:ind w:left="0" w:right="0" w:firstLine="709"/>
        <w:rPr>
          <w:rFonts w:ascii="Times New Roman" w:hAnsi="Times New Roman" w:cs="Times New Roman"/>
          <w:color w:val="auto"/>
          <w:sz w:val="24"/>
        </w:rPr>
      </w:pPr>
      <w:r w:rsidRPr="00B51754">
        <w:rPr>
          <w:rFonts w:ascii="Times New Roman" w:hAnsi="Times New Roman" w:cs="Times New Roman"/>
          <w:color w:val="auto"/>
          <w:sz w:val="24"/>
        </w:rPr>
        <w:t xml:space="preserve">Poplavom su najveće štete i gubitke pretrpjeli industrija, građevinarstvo i promet, zatim trgovina, komunalna privreda, zanatstvo i ugostiteljstvo. Od industrijskih poduzeća, najviše su </w:t>
      </w:r>
      <w:r w:rsidRPr="00B51754">
        <w:rPr>
          <w:rFonts w:ascii="Times New Roman" w:hAnsi="Times New Roman" w:cs="Times New Roman"/>
          <w:color w:val="auto"/>
          <w:sz w:val="24"/>
        </w:rPr>
        <w:lastRenderedPageBreak/>
        <w:t>poplavom uništeni: tiskara Vjesnik, tvornica obuće Šimecki, Rade Končar, Janko Gredelj, Elektrosond i Geoistraživanja</w:t>
      </w:r>
      <w:r w:rsidR="00E40AC8" w:rsidRPr="00B51754">
        <w:rPr>
          <w:rFonts w:ascii="Times New Roman" w:hAnsi="Times New Roman" w:cs="Times New Roman"/>
          <w:color w:val="auto"/>
          <w:sz w:val="24"/>
        </w:rPr>
        <w:t xml:space="preserve"> </w:t>
      </w:r>
      <w:r w:rsidR="00D57F0E" w:rsidRPr="00B51754">
        <w:rPr>
          <w:rFonts w:ascii="Times New Roman" w:hAnsi="Times New Roman" w:cs="Times New Roman"/>
          <w:color w:val="auto"/>
          <w:sz w:val="24"/>
        </w:rPr>
        <w:t xml:space="preserve">te </w:t>
      </w:r>
      <w:r w:rsidRPr="00B51754">
        <w:rPr>
          <w:rFonts w:ascii="Times New Roman" w:hAnsi="Times New Roman" w:cs="Times New Roman"/>
          <w:color w:val="auto"/>
          <w:sz w:val="24"/>
        </w:rPr>
        <w:t>pogon Kraša u Savskoj ulici.</w:t>
      </w:r>
    </w:p>
    <w:p w14:paraId="7745A67E" w14:textId="77777777" w:rsidR="00E40AC8" w:rsidRPr="00B51754" w:rsidRDefault="00900184" w:rsidP="00201092">
      <w:pPr>
        <w:spacing w:after="0" w:line="240" w:lineRule="auto"/>
        <w:ind w:left="0" w:right="0" w:firstLine="709"/>
        <w:rPr>
          <w:rFonts w:ascii="Times New Roman" w:hAnsi="Times New Roman" w:cs="Times New Roman"/>
          <w:color w:val="auto"/>
          <w:sz w:val="24"/>
        </w:rPr>
      </w:pPr>
      <w:r w:rsidRPr="00B51754">
        <w:rPr>
          <w:rFonts w:ascii="Times New Roman" w:hAnsi="Times New Roman" w:cs="Times New Roman"/>
          <w:color w:val="auto"/>
          <w:sz w:val="24"/>
        </w:rPr>
        <w:t xml:space="preserve">Građevinarstvo je </w:t>
      </w:r>
      <w:r w:rsidR="00D57F0E" w:rsidRPr="00B51754">
        <w:rPr>
          <w:rFonts w:ascii="Times New Roman" w:hAnsi="Times New Roman" w:cs="Times New Roman"/>
          <w:color w:val="auto"/>
          <w:sz w:val="24"/>
        </w:rPr>
        <w:t xml:space="preserve">jednako </w:t>
      </w:r>
      <w:r w:rsidRPr="00B51754">
        <w:rPr>
          <w:rFonts w:ascii="Times New Roman" w:hAnsi="Times New Roman" w:cs="Times New Roman"/>
          <w:color w:val="auto"/>
          <w:sz w:val="24"/>
        </w:rPr>
        <w:t xml:space="preserve">tako pretrpjelo veliku štetu. Osobito su stradala poduzeća Tehnika, Viadukt i Hidroelektra. Od poljoprivrednih poduzeća najveću štetu je pretrpio poljoprivrednoprehrambeni kombinat Zagreb. Komunalna poduzeća su pretrpjela veliku štetu, osobito Vodovod i Elektra. </w:t>
      </w:r>
      <w:r w:rsidR="00D57F0E" w:rsidRPr="00B51754">
        <w:rPr>
          <w:rFonts w:ascii="Times New Roman" w:hAnsi="Times New Roman" w:cs="Times New Roman"/>
          <w:color w:val="auto"/>
          <w:sz w:val="24"/>
        </w:rPr>
        <w:t xml:space="preserve">Bila </w:t>
      </w:r>
      <w:r w:rsidRPr="00B51754">
        <w:rPr>
          <w:rFonts w:ascii="Times New Roman" w:hAnsi="Times New Roman" w:cs="Times New Roman"/>
          <w:color w:val="auto"/>
          <w:sz w:val="24"/>
        </w:rPr>
        <w:t>je i velika šteta na telekomunikacijskim vodovima, željezničkoj pruzi itd. Komunalna privreda pretrpjela je ukupnu štetu od približno 2 milijarde i 260 milijuna dinara.</w:t>
      </w:r>
    </w:p>
    <w:p w14:paraId="4611396B" w14:textId="77777777" w:rsidR="00E40AC8" w:rsidRPr="003D097F" w:rsidRDefault="00900184" w:rsidP="00201092">
      <w:pPr>
        <w:spacing w:after="0" w:line="240" w:lineRule="auto"/>
        <w:ind w:left="0" w:right="0" w:firstLine="709"/>
        <w:rPr>
          <w:rFonts w:ascii="Times New Roman" w:hAnsi="Times New Roman" w:cs="Times New Roman"/>
          <w:color w:val="00B050"/>
          <w:sz w:val="24"/>
        </w:rPr>
      </w:pPr>
      <w:r w:rsidRPr="00B51754">
        <w:rPr>
          <w:rFonts w:ascii="Times New Roman" w:hAnsi="Times New Roman" w:cs="Times New Roman"/>
          <w:color w:val="auto"/>
          <w:sz w:val="24"/>
        </w:rPr>
        <w:t>Za troškove borbe protiv poplave, smještaj djece, starih i nezbrinutih, za pogonsko gorivo, opskrbu vodom, odvodnjavanje i čišćenje poplavljenog područja i sl. bilo je potrebno 1060 milijuna dinara</w:t>
      </w:r>
      <w:r w:rsidR="00233D59" w:rsidRPr="00B51754">
        <w:rPr>
          <w:rFonts w:ascii="Times New Roman" w:hAnsi="Times New Roman" w:cs="Times New Roman"/>
          <w:color w:val="auto"/>
          <w:sz w:val="24"/>
        </w:rPr>
        <w:t>, z</w:t>
      </w:r>
      <w:r w:rsidRPr="00B51754">
        <w:rPr>
          <w:rFonts w:ascii="Times New Roman" w:hAnsi="Times New Roman" w:cs="Times New Roman"/>
          <w:color w:val="auto"/>
          <w:sz w:val="24"/>
        </w:rPr>
        <w:t>a popravak oštećenih cesta u dužini od 350 kilometara, uključujući i tadašnji auto</w:t>
      </w:r>
      <w:r w:rsidR="00EE6A22" w:rsidRPr="00B51754">
        <w:rPr>
          <w:rFonts w:ascii="Times New Roman" w:hAnsi="Times New Roman" w:cs="Times New Roman"/>
          <w:color w:val="auto"/>
          <w:sz w:val="24"/>
        </w:rPr>
        <w:t>-</w:t>
      </w:r>
      <w:r w:rsidRPr="00B51754">
        <w:rPr>
          <w:rFonts w:ascii="Times New Roman" w:hAnsi="Times New Roman" w:cs="Times New Roman"/>
          <w:color w:val="auto"/>
          <w:sz w:val="24"/>
        </w:rPr>
        <w:t xml:space="preserve">put (danas Slavonsku i Zagrebačku aveniju) u čitavoj oštećenoj dužini </w:t>
      </w:r>
      <w:r w:rsidR="00EE6A22" w:rsidRPr="00B51754">
        <w:rPr>
          <w:rFonts w:ascii="Times New Roman" w:hAnsi="Times New Roman" w:cs="Times New Roman"/>
          <w:color w:val="auto"/>
          <w:sz w:val="24"/>
        </w:rPr>
        <w:t>-</w:t>
      </w:r>
      <w:r w:rsidRPr="00B51754">
        <w:rPr>
          <w:rFonts w:ascii="Times New Roman" w:hAnsi="Times New Roman" w:cs="Times New Roman"/>
          <w:color w:val="auto"/>
          <w:sz w:val="24"/>
        </w:rPr>
        <w:t xml:space="preserve"> 1870 milijuna dinara</w:t>
      </w:r>
      <w:r w:rsidR="00233D59" w:rsidRPr="00B51754">
        <w:rPr>
          <w:rFonts w:ascii="Times New Roman" w:hAnsi="Times New Roman" w:cs="Times New Roman"/>
          <w:color w:val="auto"/>
          <w:sz w:val="24"/>
        </w:rPr>
        <w:t>, z</w:t>
      </w:r>
      <w:r w:rsidRPr="00B51754">
        <w:rPr>
          <w:rFonts w:ascii="Times New Roman" w:hAnsi="Times New Roman" w:cs="Times New Roman"/>
          <w:color w:val="auto"/>
          <w:sz w:val="24"/>
        </w:rPr>
        <w:t xml:space="preserve">a popravak oštećenih i porušenih mostova </w:t>
      </w:r>
      <w:r w:rsidR="00EE6A22" w:rsidRPr="00B51754">
        <w:rPr>
          <w:rFonts w:ascii="Times New Roman" w:hAnsi="Times New Roman" w:cs="Times New Roman"/>
          <w:color w:val="auto"/>
          <w:sz w:val="24"/>
        </w:rPr>
        <w:t>-</w:t>
      </w:r>
      <w:r w:rsidRPr="00B51754">
        <w:rPr>
          <w:rFonts w:ascii="Times New Roman" w:hAnsi="Times New Roman" w:cs="Times New Roman"/>
          <w:color w:val="auto"/>
          <w:sz w:val="24"/>
        </w:rPr>
        <w:t xml:space="preserve"> 590 milijuna dinara</w:t>
      </w:r>
      <w:r w:rsidR="00233D59" w:rsidRPr="00B51754">
        <w:rPr>
          <w:rFonts w:ascii="Times New Roman" w:hAnsi="Times New Roman" w:cs="Times New Roman"/>
          <w:color w:val="auto"/>
          <w:sz w:val="24"/>
        </w:rPr>
        <w:t>, z</w:t>
      </w:r>
      <w:r w:rsidRPr="00B51754">
        <w:rPr>
          <w:rFonts w:ascii="Times New Roman" w:hAnsi="Times New Roman" w:cs="Times New Roman"/>
          <w:color w:val="auto"/>
          <w:sz w:val="24"/>
        </w:rPr>
        <w:t>a obnovu oštećenih i porušenih obala te inundaciju Save</w:t>
      </w:r>
      <w:r w:rsidR="00E977F2" w:rsidRPr="00B51754">
        <w:rPr>
          <w:rFonts w:ascii="Times New Roman" w:hAnsi="Times New Roman" w:cs="Times New Roman"/>
          <w:color w:val="auto"/>
          <w:sz w:val="24"/>
        </w:rPr>
        <w:t xml:space="preserve"> </w:t>
      </w:r>
      <w:r w:rsidR="00EE6A22" w:rsidRPr="00B51754">
        <w:rPr>
          <w:rFonts w:ascii="Times New Roman" w:hAnsi="Times New Roman" w:cs="Times New Roman"/>
          <w:color w:val="auto"/>
          <w:sz w:val="24"/>
        </w:rPr>
        <w:t>-</w:t>
      </w:r>
      <w:r w:rsidRPr="00B51754">
        <w:rPr>
          <w:rFonts w:ascii="Times New Roman" w:hAnsi="Times New Roman" w:cs="Times New Roman"/>
          <w:color w:val="auto"/>
          <w:sz w:val="24"/>
        </w:rPr>
        <w:t xml:space="preserve"> 2500 milijuna dinara</w:t>
      </w:r>
      <w:r w:rsidR="00233D59" w:rsidRPr="00B51754">
        <w:rPr>
          <w:rFonts w:ascii="Times New Roman" w:hAnsi="Times New Roman" w:cs="Times New Roman"/>
          <w:color w:val="auto"/>
          <w:sz w:val="24"/>
        </w:rPr>
        <w:t>, z</w:t>
      </w:r>
      <w:r w:rsidRPr="00B51754">
        <w:rPr>
          <w:rFonts w:ascii="Times New Roman" w:hAnsi="Times New Roman" w:cs="Times New Roman"/>
          <w:color w:val="auto"/>
          <w:sz w:val="24"/>
        </w:rPr>
        <w:t xml:space="preserve">a popravak oštećenih školskih i predškolskih objekata </w:t>
      </w:r>
      <w:r w:rsidR="00EE6A22" w:rsidRPr="00B51754">
        <w:rPr>
          <w:rFonts w:ascii="Times New Roman" w:hAnsi="Times New Roman" w:cs="Times New Roman"/>
          <w:color w:val="auto"/>
          <w:sz w:val="24"/>
        </w:rPr>
        <w:t>-</w:t>
      </w:r>
      <w:r w:rsidRPr="00B51754">
        <w:rPr>
          <w:rFonts w:ascii="Times New Roman" w:hAnsi="Times New Roman" w:cs="Times New Roman"/>
          <w:color w:val="auto"/>
          <w:sz w:val="24"/>
        </w:rPr>
        <w:t xml:space="preserve"> 440 milijuna dinara</w:t>
      </w:r>
      <w:r w:rsidR="00E977F2" w:rsidRPr="00B51754">
        <w:rPr>
          <w:rFonts w:ascii="Times New Roman" w:hAnsi="Times New Roman" w:cs="Times New Roman"/>
          <w:color w:val="auto"/>
          <w:sz w:val="24"/>
        </w:rPr>
        <w:t>, za</w:t>
      </w:r>
      <w:r w:rsidRPr="00B51754">
        <w:rPr>
          <w:rFonts w:ascii="Times New Roman" w:hAnsi="Times New Roman" w:cs="Times New Roman"/>
          <w:color w:val="auto"/>
          <w:sz w:val="24"/>
        </w:rPr>
        <w:t xml:space="preserve"> obnovu fakulteta i studentskih domova </w:t>
      </w:r>
      <w:r w:rsidR="00EE6A22" w:rsidRPr="00B51754">
        <w:rPr>
          <w:rFonts w:ascii="Times New Roman" w:hAnsi="Times New Roman" w:cs="Times New Roman"/>
          <w:color w:val="auto"/>
          <w:sz w:val="24"/>
        </w:rPr>
        <w:t>-</w:t>
      </w:r>
      <w:r w:rsidRPr="00B51754">
        <w:rPr>
          <w:rFonts w:ascii="Times New Roman" w:hAnsi="Times New Roman" w:cs="Times New Roman"/>
          <w:color w:val="auto"/>
          <w:sz w:val="24"/>
        </w:rPr>
        <w:t xml:space="preserve"> 1200 milijuna dinara</w:t>
      </w:r>
      <w:r w:rsidR="00E977F2" w:rsidRPr="00B51754">
        <w:rPr>
          <w:rFonts w:ascii="Times New Roman" w:hAnsi="Times New Roman" w:cs="Times New Roman"/>
          <w:color w:val="auto"/>
          <w:sz w:val="24"/>
        </w:rPr>
        <w:t>, za</w:t>
      </w:r>
      <w:r w:rsidRPr="00B51754">
        <w:rPr>
          <w:rFonts w:ascii="Times New Roman" w:hAnsi="Times New Roman" w:cs="Times New Roman"/>
          <w:color w:val="auto"/>
          <w:sz w:val="24"/>
        </w:rPr>
        <w:t xml:space="preserve"> popravak sveučilišta </w:t>
      </w:r>
      <w:r w:rsidR="00EE6A22" w:rsidRPr="00B51754">
        <w:rPr>
          <w:rFonts w:ascii="Times New Roman" w:hAnsi="Times New Roman" w:cs="Times New Roman"/>
          <w:color w:val="auto"/>
          <w:sz w:val="24"/>
        </w:rPr>
        <w:t>-</w:t>
      </w:r>
      <w:r w:rsidRPr="00B51754">
        <w:rPr>
          <w:rFonts w:ascii="Times New Roman" w:hAnsi="Times New Roman" w:cs="Times New Roman"/>
          <w:color w:val="auto"/>
          <w:sz w:val="24"/>
        </w:rPr>
        <w:t xml:space="preserve"> 450 milijuna dinara</w:t>
      </w:r>
      <w:r w:rsidR="00E977F2" w:rsidRPr="00B51754">
        <w:rPr>
          <w:rFonts w:ascii="Times New Roman" w:hAnsi="Times New Roman" w:cs="Times New Roman"/>
          <w:color w:val="auto"/>
          <w:sz w:val="24"/>
        </w:rPr>
        <w:t>, za</w:t>
      </w:r>
      <w:r w:rsidRPr="00B51754">
        <w:rPr>
          <w:rFonts w:ascii="Times New Roman" w:hAnsi="Times New Roman" w:cs="Times New Roman"/>
          <w:color w:val="auto"/>
          <w:sz w:val="24"/>
        </w:rPr>
        <w:t xml:space="preserve"> obnovu objekata kulture i sportske kulture </w:t>
      </w:r>
      <w:r w:rsidR="00EE6A22" w:rsidRPr="00B51754">
        <w:rPr>
          <w:rFonts w:ascii="Times New Roman" w:hAnsi="Times New Roman" w:cs="Times New Roman"/>
          <w:color w:val="auto"/>
          <w:sz w:val="24"/>
        </w:rPr>
        <w:t>-</w:t>
      </w:r>
      <w:r w:rsidRPr="00B51754">
        <w:rPr>
          <w:rFonts w:ascii="Times New Roman" w:hAnsi="Times New Roman" w:cs="Times New Roman"/>
          <w:color w:val="auto"/>
          <w:sz w:val="24"/>
        </w:rPr>
        <w:t xml:space="preserve"> 380 milijuna dinara. To je ukupno trošak od 8480 milijuna dinara ne uključujući štete u industriji i na stambenim objektima.</w:t>
      </w:r>
    </w:p>
    <w:p w14:paraId="1DD48B46" w14:textId="77777777" w:rsidR="00201092" w:rsidRPr="003D097F" w:rsidRDefault="00201092" w:rsidP="00201092">
      <w:pPr>
        <w:spacing w:after="0" w:line="240" w:lineRule="auto"/>
        <w:ind w:right="0"/>
        <w:rPr>
          <w:rFonts w:ascii="Times New Roman" w:hAnsi="Times New Roman" w:cs="Times New Roman"/>
          <w:color w:val="00B050"/>
          <w:sz w:val="24"/>
        </w:rPr>
      </w:pPr>
    </w:p>
    <w:p w14:paraId="7DEFC841" w14:textId="77777777" w:rsidR="00201092" w:rsidRPr="00B51754" w:rsidRDefault="00900184" w:rsidP="00201092">
      <w:pPr>
        <w:spacing w:after="0" w:line="240" w:lineRule="auto"/>
        <w:ind w:left="0" w:right="0" w:firstLine="709"/>
        <w:rPr>
          <w:rFonts w:ascii="Times New Roman" w:hAnsi="Times New Roman" w:cs="Times New Roman"/>
          <w:b/>
          <w:color w:val="auto"/>
          <w:sz w:val="24"/>
          <w:u w:color="000000"/>
        </w:rPr>
      </w:pPr>
      <w:bookmarkStart w:id="40" w:name="_Toc2938559"/>
      <w:r w:rsidRPr="00B51754">
        <w:rPr>
          <w:rFonts w:ascii="Times New Roman" w:hAnsi="Times New Roman" w:cs="Times New Roman"/>
          <w:b/>
          <w:color w:val="auto"/>
          <w:sz w:val="24"/>
          <w:u w:color="000000"/>
        </w:rPr>
        <w:t>2.5.3. Uvedene mjere nakon događaja koji su uzrokovali štetu</w:t>
      </w:r>
    </w:p>
    <w:p w14:paraId="72E25EEB" w14:textId="3BE2CCD4" w:rsidR="00E40AC8" w:rsidRPr="00B51754" w:rsidRDefault="00900184" w:rsidP="00201092">
      <w:pPr>
        <w:spacing w:after="0" w:line="240" w:lineRule="auto"/>
        <w:ind w:left="0" w:right="0" w:firstLine="709"/>
        <w:rPr>
          <w:rFonts w:ascii="Times New Roman" w:hAnsi="Times New Roman" w:cs="Times New Roman"/>
          <w:color w:val="auto"/>
          <w:sz w:val="24"/>
          <w:u w:val="single" w:color="000000"/>
        </w:rPr>
      </w:pPr>
      <w:r w:rsidRPr="00B51754">
        <w:rPr>
          <w:rFonts w:ascii="Times New Roman" w:hAnsi="Times New Roman" w:cs="Times New Roman"/>
          <w:color w:val="auto"/>
          <w:sz w:val="24"/>
          <w:u w:val="single" w:color="000000"/>
        </w:rPr>
        <w:t>Potres</w:t>
      </w:r>
      <w:bookmarkEnd w:id="40"/>
    </w:p>
    <w:p w14:paraId="71606091" w14:textId="0FFB699E" w:rsidR="00E40AC8" w:rsidRDefault="00900184" w:rsidP="00201092">
      <w:pPr>
        <w:spacing w:after="0" w:line="240" w:lineRule="auto"/>
        <w:ind w:left="0" w:right="0" w:firstLine="709"/>
        <w:rPr>
          <w:rFonts w:ascii="Times New Roman" w:hAnsi="Times New Roman" w:cs="Times New Roman"/>
          <w:color w:val="auto"/>
          <w:sz w:val="24"/>
        </w:rPr>
      </w:pPr>
      <w:r w:rsidRPr="00B51754">
        <w:rPr>
          <w:rFonts w:ascii="Times New Roman" w:hAnsi="Times New Roman" w:cs="Times New Roman"/>
          <w:color w:val="auto"/>
          <w:sz w:val="24"/>
        </w:rPr>
        <w:t xml:space="preserve">Građevine zidane do 1920. imale su stropne konstrukcije isključivo od drveta. Armiranobetonski stropovi postupno su primjenjivani u razdoblju od 1920. do 1945. </w:t>
      </w:r>
      <w:r w:rsidR="00F64D0A" w:rsidRPr="00B51754">
        <w:rPr>
          <w:rFonts w:ascii="Times New Roman" w:hAnsi="Times New Roman" w:cs="Times New Roman"/>
          <w:color w:val="auto"/>
          <w:sz w:val="24"/>
        </w:rPr>
        <w:t xml:space="preserve">godine. </w:t>
      </w:r>
      <w:r w:rsidRPr="00B51754">
        <w:rPr>
          <w:rFonts w:ascii="Times New Roman" w:hAnsi="Times New Roman" w:cs="Times New Roman"/>
          <w:color w:val="auto"/>
          <w:sz w:val="24"/>
        </w:rPr>
        <w:t xml:space="preserve">Od godine 1945. do 1964. prevladavaju armiranobetonski monolitni stropovi polumontažnih tipova ili izvedeni na licu mjesta. Nakon 1964. zidane se zgrade sustavno grade s horizontalnim i vertikalnim serklažima, a zgrade kolektivnog stanovanja s armiranobetonskim nosivim sustavom koji je izgrađen prema odredbama seizmičkih propisa iz 1964. (nakon potresa u Skoplju) i 1981. (nakon potresa u Crnogorskom primorju), što </w:t>
      </w:r>
      <w:r w:rsidR="00E977F2" w:rsidRPr="00B51754">
        <w:rPr>
          <w:rFonts w:ascii="Times New Roman" w:hAnsi="Times New Roman" w:cs="Times New Roman"/>
          <w:color w:val="auto"/>
          <w:sz w:val="24"/>
        </w:rPr>
        <w:t xml:space="preserve">se </w:t>
      </w:r>
      <w:r w:rsidRPr="00B51754">
        <w:rPr>
          <w:rFonts w:ascii="Times New Roman" w:hAnsi="Times New Roman" w:cs="Times New Roman"/>
          <w:color w:val="auto"/>
          <w:sz w:val="24"/>
        </w:rPr>
        <w:t xml:space="preserve">može smatrati modernim načinom izgradnje u smislu tadašnjih znanstvenih (seizmičkih, geotehničkih, geomehaničkih i dr.) spoznaja. </w:t>
      </w:r>
      <w:r w:rsidR="00E977F2" w:rsidRPr="00B51754">
        <w:rPr>
          <w:rFonts w:ascii="Times New Roman" w:hAnsi="Times New Roman" w:cs="Times New Roman"/>
          <w:color w:val="auto"/>
          <w:sz w:val="24"/>
        </w:rPr>
        <w:t xml:space="preserve">Godine </w:t>
      </w:r>
      <w:r w:rsidRPr="00B51754">
        <w:rPr>
          <w:rFonts w:ascii="Times New Roman" w:hAnsi="Times New Roman" w:cs="Times New Roman"/>
          <w:color w:val="auto"/>
          <w:sz w:val="24"/>
        </w:rPr>
        <w:t>1981. na snagu je stupio Pravilnik o izmjenama i dopunama Pravilnika o tehničkim normativima za izgradnju objekata visokogradnje u seizmičkim područjima (Sl. list 49/1982, 29/1983 i 20/1988).</w:t>
      </w:r>
    </w:p>
    <w:p w14:paraId="19659CFB" w14:textId="05EC09E2" w:rsidR="00E40AC8" w:rsidRDefault="00900184" w:rsidP="00201092">
      <w:pPr>
        <w:spacing w:after="0" w:line="240" w:lineRule="auto"/>
        <w:ind w:left="0" w:right="0" w:firstLine="709"/>
        <w:rPr>
          <w:rFonts w:ascii="Times New Roman" w:hAnsi="Times New Roman" w:cs="Times New Roman"/>
          <w:color w:val="auto"/>
          <w:sz w:val="24"/>
        </w:rPr>
      </w:pPr>
      <w:r w:rsidRPr="00B51754">
        <w:rPr>
          <w:rFonts w:ascii="Times New Roman" w:hAnsi="Times New Roman" w:cs="Times New Roman"/>
          <w:color w:val="auto"/>
          <w:sz w:val="24"/>
        </w:rPr>
        <w:t xml:space="preserve">Nakon velikog potresa u Zagrebu, kao izravne ili neizravne posljedice potresa provedene su mnogobrojne mjere s više aspekata </w:t>
      </w:r>
      <w:r w:rsidR="00E977F2" w:rsidRPr="00B51754">
        <w:rPr>
          <w:rFonts w:ascii="Times New Roman" w:hAnsi="Times New Roman" w:cs="Times New Roman"/>
          <w:color w:val="auto"/>
          <w:sz w:val="24"/>
        </w:rPr>
        <w:t xml:space="preserve">s </w:t>
      </w:r>
      <w:r w:rsidRPr="00B51754">
        <w:rPr>
          <w:rFonts w:ascii="Times New Roman" w:hAnsi="Times New Roman" w:cs="Times New Roman"/>
          <w:color w:val="auto"/>
          <w:sz w:val="24"/>
        </w:rPr>
        <w:t>cilj</w:t>
      </w:r>
      <w:r w:rsidR="00E977F2" w:rsidRPr="00B51754">
        <w:rPr>
          <w:rFonts w:ascii="Times New Roman" w:hAnsi="Times New Roman" w:cs="Times New Roman"/>
          <w:color w:val="auto"/>
          <w:sz w:val="24"/>
        </w:rPr>
        <w:t>em</w:t>
      </w:r>
      <w:r w:rsidRPr="00B51754">
        <w:rPr>
          <w:rFonts w:ascii="Times New Roman" w:hAnsi="Times New Roman" w:cs="Times New Roman"/>
          <w:color w:val="auto"/>
          <w:sz w:val="24"/>
        </w:rPr>
        <w:t xml:space="preserve"> prevencije i zaštite od potresa. Znatna sredstva uložena su u razvoj seizmo</w:t>
      </w:r>
      <w:r w:rsidR="00174C28">
        <w:rPr>
          <w:rFonts w:ascii="Times New Roman" w:hAnsi="Times New Roman" w:cs="Times New Roman"/>
          <w:color w:val="auto"/>
          <w:sz w:val="24"/>
        </w:rPr>
        <w:t>logije</w:t>
      </w:r>
      <w:r w:rsidRPr="00B51754">
        <w:rPr>
          <w:rFonts w:ascii="Times New Roman" w:hAnsi="Times New Roman" w:cs="Times New Roman"/>
          <w:color w:val="auto"/>
          <w:sz w:val="24"/>
        </w:rPr>
        <w:t xml:space="preserve"> kao znanosti, izgradnju mreža seizmografa, izradu seizmičke mikrozonacije, educiranje stanovništva i razvoj operativnih snaga. Kao najbolja preventiva u zaštiti od potresa pokazalo se planiranje, projektiranje i gradnja objekata prema načelima aseizmičnosti. </w:t>
      </w:r>
      <w:r w:rsidR="00C86F4C">
        <w:rPr>
          <w:rFonts w:ascii="Times New Roman" w:hAnsi="Times New Roman" w:cs="Times New Roman"/>
          <w:color w:val="auto"/>
          <w:sz w:val="24"/>
        </w:rPr>
        <w:t>Grad Zagreb</w:t>
      </w:r>
      <w:r w:rsidRPr="00B51754">
        <w:rPr>
          <w:rFonts w:ascii="Times New Roman" w:hAnsi="Times New Roman" w:cs="Times New Roman"/>
          <w:color w:val="auto"/>
          <w:sz w:val="24"/>
        </w:rPr>
        <w:t xml:space="preserve"> redovito izdaje letke koji se dostavljaju svim kućanstvima na području grada s ciljem informiranja stanovništva o najvećim prijetnjama i poželjnom ponašanju u slučaju pojave takvih događaja. Određene su i površine za evakuaciju stanovništva i koridori evakuacije.</w:t>
      </w:r>
      <w:r w:rsidR="003C4E7B">
        <w:rPr>
          <w:rFonts w:ascii="Times New Roman" w:hAnsi="Times New Roman" w:cs="Times New Roman"/>
          <w:color w:val="auto"/>
          <w:sz w:val="24"/>
        </w:rPr>
        <w:t xml:space="preserve"> </w:t>
      </w:r>
    </w:p>
    <w:p w14:paraId="7F53FA14" w14:textId="3F0D42AA" w:rsidR="00A12348" w:rsidRPr="006218CF" w:rsidRDefault="00B051E8">
      <w:pPr>
        <w:spacing w:after="0" w:line="240" w:lineRule="auto"/>
        <w:ind w:left="0" w:right="0" w:firstLine="709"/>
        <w:rPr>
          <w:rFonts w:ascii="Times New Roman" w:hAnsi="Times New Roman" w:cs="Times New Roman"/>
          <w:color w:val="auto"/>
          <w:sz w:val="24"/>
        </w:rPr>
      </w:pPr>
      <w:r>
        <w:rPr>
          <w:rFonts w:ascii="Times New Roman" w:hAnsi="Times New Roman" w:cs="Times New Roman"/>
          <w:color w:val="auto"/>
          <w:sz w:val="24"/>
        </w:rPr>
        <w:t>O</w:t>
      </w:r>
      <w:r w:rsidR="006D5ECD" w:rsidRPr="006D5ECD">
        <w:rPr>
          <w:rFonts w:ascii="Times New Roman" w:hAnsi="Times New Roman" w:cs="Times New Roman"/>
          <w:color w:val="auto"/>
          <w:sz w:val="24"/>
        </w:rPr>
        <w:t>bzirom na katastrofalne štete nakon potresa</w:t>
      </w:r>
      <w:r w:rsidR="00A12348">
        <w:rPr>
          <w:rFonts w:ascii="Times New Roman" w:hAnsi="Times New Roman" w:cs="Times New Roman"/>
          <w:color w:val="auto"/>
          <w:sz w:val="24"/>
        </w:rPr>
        <w:t xml:space="preserve"> koji se dogodio 2020. godine</w:t>
      </w:r>
      <w:r w:rsidR="006D5ECD" w:rsidRPr="006D5ECD">
        <w:rPr>
          <w:rFonts w:ascii="Times New Roman" w:hAnsi="Times New Roman" w:cs="Times New Roman"/>
          <w:color w:val="auto"/>
          <w:sz w:val="24"/>
        </w:rPr>
        <w:t>, posebice uzimajući u obzir činjenicu da je velik dio stanovništva na</w:t>
      </w:r>
      <w:r w:rsidR="006D5ECD">
        <w:rPr>
          <w:rFonts w:ascii="Times New Roman" w:hAnsi="Times New Roman" w:cs="Times New Roman"/>
          <w:color w:val="auto"/>
          <w:sz w:val="24"/>
        </w:rPr>
        <w:t xml:space="preserve"> </w:t>
      </w:r>
      <w:r w:rsidR="006D5ECD" w:rsidRPr="006D5ECD">
        <w:rPr>
          <w:rFonts w:ascii="Times New Roman" w:hAnsi="Times New Roman" w:cs="Times New Roman"/>
          <w:color w:val="auto"/>
          <w:sz w:val="24"/>
        </w:rPr>
        <w:t xml:space="preserve">pogođenim područjima ostao bez doma, </w:t>
      </w:r>
      <w:r w:rsidR="006D5ECD">
        <w:rPr>
          <w:rFonts w:ascii="Times New Roman" w:hAnsi="Times New Roman" w:cs="Times New Roman"/>
          <w:color w:val="auto"/>
          <w:sz w:val="24"/>
        </w:rPr>
        <w:t>donijet je</w:t>
      </w:r>
      <w:r w:rsidR="006D5ECD" w:rsidRPr="006D5ECD">
        <w:rPr>
          <w:rFonts w:ascii="Times New Roman" w:hAnsi="Times New Roman" w:cs="Times New Roman"/>
          <w:color w:val="auto"/>
          <w:sz w:val="24"/>
        </w:rPr>
        <w:t xml:space="preserve"> Zakon o obnovi zgrada oštećenih potresom na području Grada</w:t>
      </w:r>
      <w:r w:rsidR="006D5ECD">
        <w:rPr>
          <w:rFonts w:ascii="Times New Roman" w:hAnsi="Times New Roman" w:cs="Times New Roman"/>
          <w:color w:val="auto"/>
          <w:sz w:val="24"/>
        </w:rPr>
        <w:t xml:space="preserve"> </w:t>
      </w:r>
      <w:r w:rsidR="006D5ECD" w:rsidRPr="006D5ECD">
        <w:rPr>
          <w:rFonts w:ascii="Times New Roman" w:hAnsi="Times New Roman" w:cs="Times New Roman"/>
          <w:color w:val="auto"/>
          <w:sz w:val="24"/>
        </w:rPr>
        <w:t>Zagreba, Krapinsko-zagorske županije</w:t>
      </w:r>
      <w:r w:rsidR="00012F75">
        <w:rPr>
          <w:rFonts w:ascii="Times New Roman" w:hAnsi="Times New Roman" w:cs="Times New Roman"/>
          <w:color w:val="auto"/>
          <w:sz w:val="24"/>
        </w:rPr>
        <w:t xml:space="preserve"> i Zagrebačke županije (</w:t>
      </w:r>
      <w:r w:rsidR="006D5ECD" w:rsidRPr="006D5ECD">
        <w:rPr>
          <w:rFonts w:ascii="Times New Roman" w:hAnsi="Times New Roman" w:cs="Times New Roman"/>
          <w:color w:val="auto"/>
          <w:sz w:val="24"/>
        </w:rPr>
        <w:t>Narodne novine 102/20</w:t>
      </w:r>
      <w:r w:rsidR="00012F75">
        <w:rPr>
          <w:rFonts w:ascii="Times New Roman" w:hAnsi="Times New Roman" w:cs="Times New Roman"/>
          <w:color w:val="auto"/>
          <w:sz w:val="24"/>
        </w:rPr>
        <w:t xml:space="preserve">, </w:t>
      </w:r>
      <w:r w:rsidR="006D5ECD">
        <w:rPr>
          <w:rFonts w:ascii="Times New Roman" w:hAnsi="Times New Roman" w:cs="Times New Roman"/>
          <w:color w:val="auto"/>
          <w:sz w:val="24"/>
        </w:rPr>
        <w:t xml:space="preserve">u daljnjem tekstu: </w:t>
      </w:r>
      <w:r w:rsidR="001D7DEB">
        <w:rPr>
          <w:rFonts w:ascii="Times New Roman" w:hAnsi="Times New Roman" w:cs="Times New Roman"/>
          <w:color w:val="auto"/>
          <w:sz w:val="24"/>
        </w:rPr>
        <w:t>Z</w:t>
      </w:r>
      <w:r w:rsidR="006D5ECD">
        <w:rPr>
          <w:rFonts w:ascii="Times New Roman" w:hAnsi="Times New Roman" w:cs="Times New Roman"/>
          <w:color w:val="auto"/>
          <w:sz w:val="24"/>
        </w:rPr>
        <w:t xml:space="preserve">akon) te naknadne </w:t>
      </w:r>
      <w:r w:rsidR="006D5ECD" w:rsidRPr="006D5ECD">
        <w:rPr>
          <w:rFonts w:ascii="Times New Roman" w:hAnsi="Times New Roman" w:cs="Times New Roman"/>
          <w:color w:val="auto"/>
          <w:sz w:val="24"/>
        </w:rPr>
        <w:t>izmjene i dopune t</w:t>
      </w:r>
      <w:r w:rsidR="00012F75">
        <w:rPr>
          <w:rFonts w:ascii="Times New Roman" w:hAnsi="Times New Roman" w:cs="Times New Roman"/>
          <w:color w:val="auto"/>
          <w:sz w:val="24"/>
        </w:rPr>
        <w:t>og Zakona (</w:t>
      </w:r>
      <w:r w:rsidR="006D5ECD" w:rsidRPr="006D5ECD">
        <w:rPr>
          <w:rFonts w:ascii="Times New Roman" w:hAnsi="Times New Roman" w:cs="Times New Roman"/>
          <w:color w:val="auto"/>
          <w:sz w:val="24"/>
        </w:rPr>
        <w:t>Narodn</w:t>
      </w:r>
      <w:r w:rsidR="00012F75">
        <w:rPr>
          <w:rFonts w:ascii="Times New Roman" w:hAnsi="Times New Roman" w:cs="Times New Roman"/>
          <w:color w:val="auto"/>
          <w:sz w:val="24"/>
        </w:rPr>
        <w:t>e</w:t>
      </w:r>
      <w:r w:rsidR="006D5ECD" w:rsidRPr="006D5ECD">
        <w:rPr>
          <w:rFonts w:ascii="Times New Roman" w:hAnsi="Times New Roman" w:cs="Times New Roman"/>
          <w:color w:val="auto"/>
          <w:sz w:val="24"/>
        </w:rPr>
        <w:t xml:space="preserve"> novin</w:t>
      </w:r>
      <w:r w:rsidR="00012F75">
        <w:rPr>
          <w:rFonts w:ascii="Times New Roman" w:hAnsi="Times New Roman" w:cs="Times New Roman"/>
          <w:color w:val="auto"/>
          <w:sz w:val="24"/>
        </w:rPr>
        <w:t xml:space="preserve">e 10/21 i </w:t>
      </w:r>
      <w:r w:rsidR="006D5ECD" w:rsidRPr="006D5ECD">
        <w:rPr>
          <w:rFonts w:ascii="Times New Roman" w:hAnsi="Times New Roman" w:cs="Times New Roman"/>
          <w:color w:val="auto"/>
          <w:sz w:val="24"/>
        </w:rPr>
        <w:t>117/21</w:t>
      </w:r>
      <w:r w:rsidR="00012F75">
        <w:rPr>
          <w:rFonts w:ascii="Times New Roman" w:hAnsi="Times New Roman" w:cs="Times New Roman"/>
          <w:color w:val="auto"/>
          <w:sz w:val="24"/>
        </w:rPr>
        <w:t>)</w:t>
      </w:r>
      <w:r w:rsidR="006D5ECD" w:rsidRPr="006D5ECD">
        <w:rPr>
          <w:rFonts w:ascii="Times New Roman" w:hAnsi="Times New Roman" w:cs="Times New Roman"/>
          <w:color w:val="auto"/>
          <w:sz w:val="24"/>
        </w:rPr>
        <w:t>.</w:t>
      </w:r>
      <w:r w:rsidR="00A12348" w:rsidRPr="00A12348">
        <w:rPr>
          <w:rFonts w:ascii="Times New Roman" w:hAnsi="Times New Roman" w:cs="Times New Roman"/>
          <w:color w:val="00B050"/>
          <w:sz w:val="24"/>
        </w:rPr>
        <w:t xml:space="preserve"> </w:t>
      </w:r>
      <w:r w:rsidR="00A12348" w:rsidRPr="006D5ECD">
        <w:rPr>
          <w:rFonts w:ascii="Times New Roman" w:hAnsi="Times New Roman" w:cs="Times New Roman"/>
          <w:color w:val="auto"/>
          <w:sz w:val="24"/>
        </w:rPr>
        <w:t>Zakonom je postavljen uvjet da konstrukcije javnih zgrada budu pouzdane i kod potresa većih i razornijih</w:t>
      </w:r>
      <w:r w:rsidR="00A12348">
        <w:rPr>
          <w:rFonts w:ascii="Times New Roman" w:hAnsi="Times New Roman" w:cs="Times New Roman"/>
          <w:color w:val="auto"/>
          <w:sz w:val="24"/>
        </w:rPr>
        <w:t xml:space="preserve"> </w:t>
      </w:r>
      <w:r w:rsidR="00A12348" w:rsidRPr="006D5ECD">
        <w:rPr>
          <w:rFonts w:ascii="Times New Roman" w:hAnsi="Times New Roman" w:cs="Times New Roman"/>
          <w:color w:val="auto"/>
          <w:sz w:val="24"/>
        </w:rPr>
        <w:t>magnituda čija je vjerojatnost događanja vrlo izvjesna jer se želi u budućnosti smanjiti moguća stradavanja,</w:t>
      </w:r>
      <w:r w:rsidR="00A12348">
        <w:rPr>
          <w:rFonts w:ascii="Times New Roman" w:hAnsi="Times New Roman" w:cs="Times New Roman"/>
          <w:color w:val="auto"/>
          <w:sz w:val="24"/>
        </w:rPr>
        <w:t xml:space="preserve"> </w:t>
      </w:r>
      <w:r w:rsidR="00A12348" w:rsidRPr="006D5ECD">
        <w:rPr>
          <w:rFonts w:ascii="Times New Roman" w:hAnsi="Times New Roman" w:cs="Times New Roman"/>
          <w:color w:val="auto"/>
          <w:sz w:val="24"/>
        </w:rPr>
        <w:t>materijalnu štetu i gubitke ljudskih života.</w:t>
      </w:r>
      <w:r w:rsidR="00A12348" w:rsidRPr="00A12348">
        <w:rPr>
          <w:rFonts w:ascii="Times New Roman" w:hAnsi="Times New Roman" w:cs="Times New Roman"/>
          <w:color w:val="auto"/>
          <w:sz w:val="24"/>
        </w:rPr>
        <w:t xml:space="preserve"> </w:t>
      </w:r>
      <w:r w:rsidR="00A12348" w:rsidRPr="006D5ECD">
        <w:rPr>
          <w:rFonts w:ascii="Times New Roman" w:hAnsi="Times New Roman" w:cs="Times New Roman"/>
          <w:color w:val="auto"/>
          <w:sz w:val="24"/>
        </w:rPr>
        <w:t>Organizirana obnova prema Zakonu ima primarni i kratkoročni cilj osigurati zdravlje i živote ljudi koji</w:t>
      </w:r>
      <w:r w:rsidR="00A12348">
        <w:rPr>
          <w:rFonts w:ascii="Times New Roman" w:hAnsi="Times New Roman" w:cs="Times New Roman"/>
          <w:color w:val="auto"/>
          <w:sz w:val="24"/>
        </w:rPr>
        <w:t xml:space="preserve"> </w:t>
      </w:r>
      <w:r w:rsidR="00A12348" w:rsidRPr="006D5ECD">
        <w:rPr>
          <w:rFonts w:ascii="Times New Roman" w:hAnsi="Times New Roman" w:cs="Times New Roman"/>
          <w:color w:val="auto"/>
          <w:sz w:val="24"/>
        </w:rPr>
        <w:t xml:space="preserve">oštećene </w:t>
      </w:r>
      <w:r w:rsidR="00A12348" w:rsidRPr="006D5ECD">
        <w:rPr>
          <w:rFonts w:ascii="Times New Roman" w:hAnsi="Times New Roman" w:cs="Times New Roman"/>
          <w:color w:val="auto"/>
          <w:sz w:val="24"/>
        </w:rPr>
        <w:lastRenderedPageBreak/>
        <w:t>zgrade koriste ili se nalaze u njihovoj blizini kao i spriječiti nastajanje daljnjih šteta, te sekundarni,</w:t>
      </w:r>
      <w:r w:rsidR="00A12348">
        <w:rPr>
          <w:rFonts w:ascii="Times New Roman" w:hAnsi="Times New Roman" w:cs="Times New Roman"/>
          <w:color w:val="auto"/>
          <w:sz w:val="24"/>
        </w:rPr>
        <w:t xml:space="preserve"> </w:t>
      </w:r>
      <w:r w:rsidR="00A12348" w:rsidRPr="006D5ECD">
        <w:rPr>
          <w:rFonts w:ascii="Times New Roman" w:hAnsi="Times New Roman" w:cs="Times New Roman"/>
          <w:color w:val="auto"/>
          <w:sz w:val="24"/>
        </w:rPr>
        <w:t>odnosno dugoročni cilj koji se odnosi na cjelovitu obnovu zgrada i urbanu obnovu Grada Zagreba.</w:t>
      </w:r>
      <w:r w:rsidR="00A12348">
        <w:rPr>
          <w:rFonts w:ascii="Times New Roman" w:hAnsi="Times New Roman" w:cs="Times New Roman"/>
          <w:color w:val="auto"/>
          <w:sz w:val="24"/>
        </w:rPr>
        <w:t xml:space="preserve"> </w:t>
      </w:r>
      <w:r w:rsidR="00A12348" w:rsidRPr="006D5ECD">
        <w:rPr>
          <w:rFonts w:ascii="Times New Roman" w:hAnsi="Times New Roman" w:cs="Times New Roman"/>
          <w:color w:val="auto"/>
          <w:sz w:val="24"/>
        </w:rPr>
        <w:t xml:space="preserve">Zakonom </w:t>
      </w:r>
      <w:r w:rsidR="00A12348">
        <w:rPr>
          <w:rFonts w:ascii="Times New Roman" w:hAnsi="Times New Roman" w:cs="Times New Roman"/>
          <w:color w:val="auto"/>
          <w:sz w:val="24"/>
        </w:rPr>
        <w:t xml:space="preserve">je </w:t>
      </w:r>
      <w:r w:rsidR="00A12348" w:rsidRPr="006D5ECD">
        <w:rPr>
          <w:rFonts w:ascii="Times New Roman" w:hAnsi="Times New Roman" w:cs="Times New Roman"/>
          <w:color w:val="auto"/>
          <w:sz w:val="24"/>
        </w:rPr>
        <w:t xml:space="preserve">utvrđeno da će Zavod za prostorno </w:t>
      </w:r>
      <w:r w:rsidR="00A12348" w:rsidRPr="00A12348">
        <w:rPr>
          <w:rFonts w:ascii="Times New Roman" w:hAnsi="Times New Roman" w:cs="Times New Roman"/>
          <w:color w:val="auto"/>
          <w:sz w:val="24"/>
        </w:rPr>
        <w:t xml:space="preserve">uređenje Grada Zagreba za povijesnu urbanu cjelinu Grada Zagreba izraditi Program cjelovite obnove. </w:t>
      </w:r>
      <w:r w:rsidR="00A12348" w:rsidRPr="006218CF">
        <w:rPr>
          <w:rFonts w:ascii="Times New Roman" w:hAnsi="Times New Roman" w:cs="Times New Roman"/>
          <w:color w:val="auto"/>
          <w:sz w:val="24"/>
        </w:rPr>
        <w:t>Nakon što je Sabor 29. listopada 2021. izglasao izmjene Zakona o obnovi kojim su pojednostavljeni postupci obnove na potresom pogođenim područjima, Vlada je 10. prosinca 2021. usvojila novi Program mjera obnove zgrada oštećenih potresom kojim se detaljno razrađuje postupanje po podnesenim zahtjevima za obnovu.</w:t>
      </w:r>
    </w:p>
    <w:p w14:paraId="6A43F7DD" w14:textId="77777777" w:rsidR="00201092" w:rsidRPr="00B51754" w:rsidRDefault="00201092" w:rsidP="006218CF">
      <w:pPr>
        <w:spacing w:after="0" w:line="240" w:lineRule="auto"/>
        <w:ind w:left="0" w:right="0" w:firstLine="0"/>
        <w:rPr>
          <w:rFonts w:ascii="Times New Roman" w:hAnsi="Times New Roman" w:cs="Times New Roman"/>
          <w:color w:val="auto"/>
          <w:sz w:val="24"/>
        </w:rPr>
      </w:pPr>
    </w:p>
    <w:p w14:paraId="4C88B958" w14:textId="77777777" w:rsidR="00E40AC8" w:rsidRPr="00B51754" w:rsidRDefault="00900184" w:rsidP="00201092">
      <w:pPr>
        <w:spacing w:after="0" w:line="240" w:lineRule="auto"/>
        <w:ind w:left="0" w:right="0" w:firstLine="709"/>
        <w:rPr>
          <w:rFonts w:ascii="Times New Roman" w:hAnsi="Times New Roman" w:cs="Times New Roman"/>
          <w:color w:val="auto"/>
          <w:sz w:val="24"/>
          <w:u w:val="single" w:color="000000"/>
        </w:rPr>
      </w:pPr>
      <w:r w:rsidRPr="00B51754">
        <w:rPr>
          <w:rFonts w:ascii="Times New Roman" w:hAnsi="Times New Roman" w:cs="Times New Roman"/>
          <w:color w:val="auto"/>
          <w:sz w:val="24"/>
          <w:u w:val="single" w:color="000000"/>
        </w:rPr>
        <w:t>Poplava</w:t>
      </w:r>
    </w:p>
    <w:p w14:paraId="343B3990" w14:textId="77777777" w:rsidR="00E40AC8" w:rsidRPr="00B51754" w:rsidRDefault="00900184" w:rsidP="00201092">
      <w:pPr>
        <w:spacing w:after="0" w:line="240" w:lineRule="auto"/>
        <w:ind w:left="0" w:right="0" w:firstLine="709"/>
        <w:rPr>
          <w:rFonts w:ascii="Times New Roman" w:hAnsi="Times New Roman" w:cs="Times New Roman"/>
          <w:color w:val="auto"/>
          <w:sz w:val="24"/>
        </w:rPr>
      </w:pPr>
      <w:r w:rsidRPr="00B51754">
        <w:rPr>
          <w:rFonts w:ascii="Times New Roman" w:hAnsi="Times New Roman" w:cs="Times New Roman"/>
          <w:color w:val="auto"/>
          <w:sz w:val="24"/>
        </w:rPr>
        <w:t xml:space="preserve">Nakon velikih šteta koje su prouzročile dvije poplave 1895., pokrenuta je izrada projekta regulacije Save. </w:t>
      </w:r>
      <w:r w:rsidR="00E977F2" w:rsidRPr="00B51754">
        <w:rPr>
          <w:rFonts w:ascii="Times New Roman" w:hAnsi="Times New Roman" w:cs="Times New Roman"/>
          <w:color w:val="auto"/>
          <w:sz w:val="24"/>
        </w:rPr>
        <w:t xml:space="preserve">Godine </w:t>
      </w:r>
      <w:r w:rsidRPr="00B51754">
        <w:rPr>
          <w:rFonts w:ascii="Times New Roman" w:hAnsi="Times New Roman" w:cs="Times New Roman"/>
          <w:color w:val="auto"/>
          <w:sz w:val="24"/>
        </w:rPr>
        <w:t>1899. donosi se povijesna odluka o početku regulacije rijeke kod Zagreba. Tijekom tih priprema Zagreb je zadesila još jedna katastrofalna poplava 1897</w:t>
      </w:r>
      <w:r w:rsidR="00F64D0A" w:rsidRPr="00B51754">
        <w:rPr>
          <w:rFonts w:ascii="Times New Roman" w:hAnsi="Times New Roman" w:cs="Times New Roman"/>
          <w:color w:val="auto"/>
          <w:sz w:val="24"/>
        </w:rPr>
        <w:t xml:space="preserve">. </w:t>
      </w:r>
      <w:r w:rsidRPr="00B51754">
        <w:rPr>
          <w:rFonts w:ascii="Times New Roman" w:hAnsi="Times New Roman" w:cs="Times New Roman"/>
          <w:color w:val="auto"/>
          <w:sz w:val="24"/>
        </w:rPr>
        <w:t>Sukladno projektu, svrha planirane regulacije bila je osigurati posjede od poplava uz rijeku Savu, ukloniti štetne meandre, zaštititi naselja od poplave, privesti kulturi 7 000 jutara do tada neplodnog tla i omogućiti plovidbu Savom do Zagreba. Cijeli projekt napravljen je po uzoru na tzv. sustav visećih odboja koji je s velikim uspjehom bio primijenjen na rijeci Isar u Bavarskoj.</w:t>
      </w:r>
    </w:p>
    <w:p w14:paraId="5F1C25EC" w14:textId="77777777" w:rsidR="00E40AC8" w:rsidRPr="00B51754" w:rsidRDefault="00900184" w:rsidP="00201092">
      <w:pPr>
        <w:spacing w:after="0" w:line="240" w:lineRule="auto"/>
        <w:ind w:left="0" w:right="0" w:firstLine="709"/>
        <w:rPr>
          <w:rFonts w:ascii="Times New Roman" w:hAnsi="Times New Roman" w:cs="Times New Roman"/>
          <w:color w:val="auto"/>
          <w:sz w:val="24"/>
        </w:rPr>
      </w:pPr>
      <w:r w:rsidRPr="00B51754">
        <w:rPr>
          <w:rFonts w:ascii="Times New Roman" w:hAnsi="Times New Roman" w:cs="Times New Roman"/>
          <w:color w:val="auto"/>
          <w:sz w:val="24"/>
        </w:rPr>
        <w:t>Sustav visećih odboja sastojao se od korištenja vodenog nanosa</w:t>
      </w:r>
      <w:r w:rsidR="00E977F2" w:rsidRPr="00B51754">
        <w:rPr>
          <w:rFonts w:ascii="Times New Roman" w:hAnsi="Times New Roman" w:cs="Times New Roman"/>
          <w:color w:val="auto"/>
          <w:sz w:val="24"/>
        </w:rPr>
        <w:t xml:space="preserve"> </w:t>
      </w:r>
      <w:r w:rsidR="00EE6A22" w:rsidRPr="00B51754">
        <w:rPr>
          <w:rFonts w:ascii="Times New Roman" w:hAnsi="Times New Roman" w:cs="Times New Roman"/>
          <w:color w:val="auto"/>
          <w:sz w:val="24"/>
        </w:rPr>
        <w:t>-</w:t>
      </w:r>
      <w:r w:rsidRPr="00B51754">
        <w:rPr>
          <w:rFonts w:ascii="Times New Roman" w:hAnsi="Times New Roman" w:cs="Times New Roman"/>
          <w:color w:val="auto"/>
          <w:sz w:val="24"/>
        </w:rPr>
        <w:t xml:space="preserve"> šljunka i primjene vrbovog šiblja te drvenih stupova (pilota) koji su služili za učvršćivanje novog korita, te na koje se kasnije nabacuje lomljeni kamen koji trajno osigurava obale novog korita. Ovakva tehnika regulacije tražila je razmjerno mala financijska i tehnička sredstva, a njezin uspjeh ovisio je </w:t>
      </w:r>
      <w:r w:rsidR="00E977F2" w:rsidRPr="00B51754">
        <w:rPr>
          <w:rFonts w:ascii="Times New Roman" w:hAnsi="Times New Roman" w:cs="Times New Roman"/>
          <w:color w:val="auto"/>
          <w:sz w:val="24"/>
        </w:rPr>
        <w:t xml:space="preserve">ponajprije </w:t>
      </w:r>
      <w:r w:rsidRPr="00B51754">
        <w:rPr>
          <w:rFonts w:ascii="Times New Roman" w:hAnsi="Times New Roman" w:cs="Times New Roman"/>
          <w:color w:val="auto"/>
          <w:sz w:val="24"/>
        </w:rPr>
        <w:t>o upornosti kontinuiranog provođenja radova prema unaprijed utvrđenom planu.</w:t>
      </w:r>
    </w:p>
    <w:p w14:paraId="55E7BC0E" w14:textId="77777777" w:rsidR="00E40AC8" w:rsidRPr="00B51754" w:rsidRDefault="00900184" w:rsidP="00201092">
      <w:pPr>
        <w:spacing w:after="0" w:line="240" w:lineRule="auto"/>
        <w:ind w:left="0" w:right="0" w:firstLine="709"/>
        <w:rPr>
          <w:rFonts w:ascii="Times New Roman" w:hAnsi="Times New Roman" w:cs="Times New Roman"/>
          <w:color w:val="auto"/>
          <w:sz w:val="24"/>
        </w:rPr>
      </w:pPr>
      <w:r w:rsidRPr="00B51754">
        <w:rPr>
          <w:rFonts w:ascii="Times New Roman" w:hAnsi="Times New Roman" w:cs="Times New Roman"/>
          <w:color w:val="auto"/>
          <w:sz w:val="24"/>
        </w:rPr>
        <w:t>Veći dio radova ispravljanj</w:t>
      </w:r>
      <w:r w:rsidR="00E977F2" w:rsidRPr="00B51754">
        <w:rPr>
          <w:rFonts w:ascii="Times New Roman" w:hAnsi="Times New Roman" w:cs="Times New Roman"/>
          <w:color w:val="auto"/>
          <w:sz w:val="24"/>
        </w:rPr>
        <w:t>a</w:t>
      </w:r>
      <w:r w:rsidRPr="00B51754">
        <w:rPr>
          <w:rFonts w:ascii="Times New Roman" w:hAnsi="Times New Roman" w:cs="Times New Roman"/>
          <w:color w:val="auto"/>
          <w:sz w:val="24"/>
        </w:rPr>
        <w:t xml:space="preserve"> toka završen je do 1918. Sava je dobila jedinstven tok, isušeni su brojni rukavci te je utvrđena sjeverna i južna obala Save. Sava je tada u Zagrebu dobila svoj karakteristič</w:t>
      </w:r>
      <w:r w:rsidR="00E977F2" w:rsidRPr="00B51754">
        <w:rPr>
          <w:rFonts w:ascii="Times New Roman" w:hAnsi="Times New Roman" w:cs="Times New Roman"/>
          <w:color w:val="auto"/>
          <w:sz w:val="24"/>
        </w:rPr>
        <w:t>a</w:t>
      </w:r>
      <w:r w:rsidRPr="00B51754">
        <w:rPr>
          <w:rFonts w:ascii="Times New Roman" w:hAnsi="Times New Roman" w:cs="Times New Roman"/>
          <w:color w:val="auto"/>
          <w:sz w:val="24"/>
        </w:rPr>
        <w:t>n pravil</w:t>
      </w:r>
      <w:r w:rsidR="00E977F2" w:rsidRPr="00B51754">
        <w:rPr>
          <w:rFonts w:ascii="Times New Roman" w:hAnsi="Times New Roman" w:cs="Times New Roman"/>
          <w:color w:val="auto"/>
          <w:sz w:val="24"/>
        </w:rPr>
        <w:t>a</w:t>
      </w:r>
      <w:r w:rsidRPr="00B51754">
        <w:rPr>
          <w:rFonts w:ascii="Times New Roman" w:hAnsi="Times New Roman" w:cs="Times New Roman"/>
          <w:color w:val="auto"/>
          <w:sz w:val="24"/>
        </w:rPr>
        <w:t xml:space="preserve">n luk kakav poznajemo i danas. Stari rukavci zagrađeni su šibljem od glavnog toka, </w:t>
      </w:r>
      <w:r w:rsidR="00E977F2" w:rsidRPr="00B51754">
        <w:rPr>
          <w:rFonts w:ascii="Times New Roman" w:hAnsi="Times New Roman" w:cs="Times New Roman"/>
          <w:color w:val="auto"/>
          <w:sz w:val="24"/>
        </w:rPr>
        <w:t xml:space="preserve">ali </w:t>
      </w:r>
      <w:r w:rsidRPr="00B51754">
        <w:rPr>
          <w:rFonts w:ascii="Times New Roman" w:hAnsi="Times New Roman" w:cs="Times New Roman"/>
          <w:color w:val="auto"/>
          <w:sz w:val="24"/>
        </w:rPr>
        <w:t xml:space="preserve">nasipa još uvijek nije bilo. Tako uređen tok Save znatno je poboljšao protok vode i smanjio učestalost poplava, </w:t>
      </w:r>
      <w:r w:rsidR="00E977F2" w:rsidRPr="00B51754">
        <w:rPr>
          <w:rFonts w:ascii="Times New Roman" w:hAnsi="Times New Roman" w:cs="Times New Roman"/>
          <w:color w:val="auto"/>
          <w:sz w:val="24"/>
        </w:rPr>
        <w:t xml:space="preserve">ali </w:t>
      </w:r>
      <w:r w:rsidRPr="00B51754">
        <w:rPr>
          <w:rFonts w:ascii="Times New Roman" w:hAnsi="Times New Roman" w:cs="Times New Roman"/>
          <w:color w:val="auto"/>
          <w:sz w:val="24"/>
        </w:rPr>
        <w:t>zbog nepostojanja nasipa, u vrijeme iznimno visokih padalina, poplave su i dalje plavile dio Zagreba južno od željezničke pruge. Između dva</w:t>
      </w:r>
      <w:r w:rsidR="00E977F2" w:rsidRPr="00B51754">
        <w:rPr>
          <w:rFonts w:ascii="Times New Roman" w:hAnsi="Times New Roman" w:cs="Times New Roman"/>
          <w:color w:val="auto"/>
          <w:sz w:val="24"/>
        </w:rPr>
        <w:t>ju</w:t>
      </w:r>
      <w:r w:rsidRPr="00B51754">
        <w:rPr>
          <w:rFonts w:ascii="Times New Roman" w:hAnsi="Times New Roman" w:cs="Times New Roman"/>
          <w:color w:val="auto"/>
          <w:sz w:val="24"/>
        </w:rPr>
        <w:t xml:space="preserve"> svjetsk</w:t>
      </w:r>
      <w:r w:rsidR="00E977F2" w:rsidRPr="00B51754">
        <w:rPr>
          <w:rFonts w:ascii="Times New Roman" w:hAnsi="Times New Roman" w:cs="Times New Roman"/>
          <w:color w:val="auto"/>
          <w:sz w:val="24"/>
        </w:rPr>
        <w:t>ih</w:t>
      </w:r>
      <w:r w:rsidRPr="00B51754">
        <w:rPr>
          <w:rFonts w:ascii="Times New Roman" w:hAnsi="Times New Roman" w:cs="Times New Roman"/>
          <w:color w:val="auto"/>
          <w:sz w:val="24"/>
        </w:rPr>
        <w:t xml:space="preserve"> rat</w:t>
      </w:r>
      <w:r w:rsidR="00E977F2" w:rsidRPr="00B51754">
        <w:rPr>
          <w:rFonts w:ascii="Times New Roman" w:hAnsi="Times New Roman" w:cs="Times New Roman"/>
          <w:color w:val="auto"/>
          <w:sz w:val="24"/>
        </w:rPr>
        <w:t>ov</w:t>
      </w:r>
      <w:r w:rsidRPr="00B51754">
        <w:rPr>
          <w:rFonts w:ascii="Times New Roman" w:hAnsi="Times New Roman" w:cs="Times New Roman"/>
          <w:color w:val="auto"/>
          <w:sz w:val="24"/>
        </w:rPr>
        <w:t>a radovi se nastavljaju te se utvrđuju novi nasipi. Grad biva često plavljen zbog neizgrađenosti cijelog sustava zaštite (poplave 1922., 1923., 1924., 1925., 1926., 1933., 1936.). Nedovršeni nasipi ponekad su bivali uništeni visokim vodama. Radovi izgradnj</w:t>
      </w:r>
      <w:r w:rsidR="00E977F2" w:rsidRPr="00B51754">
        <w:rPr>
          <w:rFonts w:ascii="Times New Roman" w:hAnsi="Times New Roman" w:cs="Times New Roman"/>
          <w:color w:val="auto"/>
          <w:sz w:val="24"/>
        </w:rPr>
        <w:t>e</w:t>
      </w:r>
      <w:r w:rsidRPr="00B51754">
        <w:rPr>
          <w:rFonts w:ascii="Times New Roman" w:hAnsi="Times New Roman" w:cs="Times New Roman"/>
          <w:color w:val="auto"/>
          <w:sz w:val="24"/>
        </w:rPr>
        <w:t xml:space="preserve"> sustava obrana od poplave ponovno prestaju početkom 2. svj. rata.</w:t>
      </w:r>
    </w:p>
    <w:p w14:paraId="36263F73" w14:textId="77777777" w:rsidR="00E40AC8" w:rsidRDefault="00900184" w:rsidP="00201092">
      <w:pPr>
        <w:spacing w:after="0" w:line="240" w:lineRule="auto"/>
        <w:ind w:left="0" w:right="0" w:firstLine="709"/>
        <w:rPr>
          <w:rFonts w:ascii="Times New Roman" w:hAnsi="Times New Roman" w:cs="Times New Roman"/>
          <w:color w:val="auto"/>
          <w:sz w:val="24"/>
        </w:rPr>
      </w:pPr>
      <w:r w:rsidRPr="00B51754">
        <w:rPr>
          <w:rFonts w:ascii="Times New Roman" w:hAnsi="Times New Roman" w:cs="Times New Roman"/>
          <w:color w:val="auto"/>
          <w:sz w:val="24"/>
        </w:rPr>
        <w:t>Naseljavanje u nizinsko, pretežno poplavno područje uz Savu teklo je znatno brže n</w:t>
      </w:r>
      <w:r w:rsidR="00E977F2" w:rsidRPr="00B51754">
        <w:rPr>
          <w:rFonts w:ascii="Times New Roman" w:hAnsi="Times New Roman" w:cs="Times New Roman"/>
          <w:color w:val="auto"/>
          <w:sz w:val="24"/>
        </w:rPr>
        <w:t>eg</w:t>
      </w:r>
      <w:r w:rsidRPr="00B51754">
        <w:rPr>
          <w:rFonts w:ascii="Times New Roman" w:hAnsi="Times New Roman" w:cs="Times New Roman"/>
          <w:color w:val="auto"/>
          <w:sz w:val="24"/>
        </w:rPr>
        <w:t xml:space="preserve">o što su građeni objekti za zaštitu od poplava. Regulacijski i zaštitni radovi koji su tada obavljani omogućili su širenje grada u nizinu, </w:t>
      </w:r>
      <w:r w:rsidR="00E977F2" w:rsidRPr="00B51754">
        <w:rPr>
          <w:rFonts w:ascii="Times New Roman" w:hAnsi="Times New Roman" w:cs="Times New Roman"/>
          <w:color w:val="auto"/>
          <w:sz w:val="24"/>
        </w:rPr>
        <w:t xml:space="preserve">ali </w:t>
      </w:r>
      <w:r w:rsidRPr="00B51754">
        <w:rPr>
          <w:rFonts w:ascii="Times New Roman" w:hAnsi="Times New Roman" w:cs="Times New Roman"/>
          <w:color w:val="auto"/>
          <w:sz w:val="24"/>
        </w:rPr>
        <w:t xml:space="preserve">nisu bili sustavni pa je područje i dalje bilo jako </w:t>
      </w:r>
      <w:r w:rsidR="00C517E5" w:rsidRPr="00B51754">
        <w:rPr>
          <w:rFonts w:ascii="Times New Roman" w:hAnsi="Times New Roman" w:cs="Times New Roman"/>
          <w:color w:val="auto"/>
          <w:sz w:val="24"/>
        </w:rPr>
        <w:t xml:space="preserve">ranjivo </w:t>
      </w:r>
      <w:r w:rsidRPr="00B51754">
        <w:rPr>
          <w:rFonts w:ascii="Times New Roman" w:hAnsi="Times New Roman" w:cs="Times New Roman"/>
          <w:color w:val="auto"/>
          <w:sz w:val="24"/>
        </w:rPr>
        <w:t>od poplava. Poplava 1964. najveća je elementarna nepogoda ove vrste koja je zadesila Zagreb.</w:t>
      </w:r>
      <w:r w:rsidRPr="00B51754">
        <w:rPr>
          <w:rFonts w:ascii="Times New Roman" w:eastAsia="Calibri" w:hAnsi="Times New Roman" w:cs="Times New Roman"/>
          <w:color w:val="auto"/>
          <w:sz w:val="24"/>
        </w:rPr>
        <w:t xml:space="preserve"> </w:t>
      </w:r>
      <w:r w:rsidRPr="00B51754">
        <w:rPr>
          <w:rFonts w:ascii="Times New Roman" w:hAnsi="Times New Roman" w:cs="Times New Roman"/>
          <w:color w:val="auto"/>
          <w:sz w:val="24"/>
        </w:rPr>
        <w:t>Nakon velikih kiša u gornjem slivu rijeke Save i formiranja velikog vodnog vala, nabujala Sava prelila je lijevi nasip na području Zagreba na dugim dionicama, a zatim ga i probila na slabim mjestima, pa su mnogi dijelovi grada bili poplavljeni. Nakon poplave iz 1964. počela je gradnja sustava obrane od poplava srednjeg Posavlja, gradnja boljih nasipa i odvodnih kanala za Zagreb, Karlovac i Sisak.</w:t>
      </w:r>
      <w:r w:rsidRPr="00B51754">
        <w:rPr>
          <w:rFonts w:ascii="Times New Roman" w:eastAsia="Calibri" w:hAnsi="Times New Roman" w:cs="Times New Roman"/>
          <w:color w:val="auto"/>
          <w:sz w:val="24"/>
        </w:rPr>
        <w:t xml:space="preserve"> </w:t>
      </w:r>
      <w:r w:rsidRPr="00B51754">
        <w:rPr>
          <w:rFonts w:ascii="Times New Roman" w:hAnsi="Times New Roman" w:cs="Times New Roman"/>
          <w:color w:val="auto"/>
          <w:sz w:val="24"/>
        </w:rPr>
        <w:t xml:space="preserve">Projekt </w:t>
      </w:r>
      <w:r w:rsidR="00EE6A22" w:rsidRPr="00B51754">
        <w:rPr>
          <w:rFonts w:ascii="Times New Roman" w:hAnsi="Times New Roman" w:cs="Times New Roman"/>
          <w:color w:val="auto"/>
          <w:sz w:val="24"/>
        </w:rPr>
        <w:t>"</w:t>
      </w:r>
      <w:r w:rsidRPr="00B51754">
        <w:rPr>
          <w:rFonts w:ascii="Times New Roman" w:hAnsi="Times New Roman" w:cs="Times New Roman"/>
          <w:i/>
          <w:color w:val="auto"/>
          <w:sz w:val="24"/>
        </w:rPr>
        <w:t>Studije regulacije i uređenja rijeke Save</w:t>
      </w:r>
      <w:r w:rsidR="00EE6A22" w:rsidRPr="00B51754">
        <w:rPr>
          <w:rFonts w:ascii="Times New Roman" w:hAnsi="Times New Roman" w:cs="Times New Roman"/>
          <w:color w:val="auto"/>
          <w:sz w:val="24"/>
        </w:rPr>
        <w:t>"</w:t>
      </w:r>
      <w:r w:rsidRPr="00B51754">
        <w:rPr>
          <w:rFonts w:ascii="Times New Roman" w:hAnsi="Times New Roman" w:cs="Times New Roman"/>
          <w:color w:val="auto"/>
          <w:sz w:val="24"/>
        </w:rPr>
        <w:t xml:space="preserve"> koji je obuhvatio cjelokupnu i kompleksnu vodnogospodarsku problematiku sliva</w:t>
      </w:r>
      <w:r w:rsidR="00201092" w:rsidRPr="00B51754">
        <w:rPr>
          <w:rFonts w:ascii="Times New Roman" w:hAnsi="Times New Roman" w:cs="Times New Roman"/>
          <w:color w:val="auto"/>
          <w:sz w:val="24"/>
        </w:rPr>
        <w:t xml:space="preserve"> </w:t>
      </w:r>
      <w:r w:rsidRPr="00B51754">
        <w:rPr>
          <w:rFonts w:ascii="Times New Roman" w:hAnsi="Times New Roman" w:cs="Times New Roman"/>
          <w:color w:val="auto"/>
          <w:sz w:val="24"/>
        </w:rPr>
        <w:t>(obrana od poplava, svi aspekti korištenja voda te zaštita voda od zagađivanja) dovršen je 1972. godine. Koncept obrane od poplava osniva se na efektu redukcije vršnog protoka vodnog vala pri izlijevanju vodnog vala u retencijske prostore. Sam sustav uključuje 7 retencija, 3 oteretna kanala, 10 preljeva i 11 ustava za upravljanje poplavnom vodom.</w:t>
      </w:r>
      <w:r w:rsidRPr="00B51754">
        <w:rPr>
          <w:rFonts w:ascii="Times New Roman" w:eastAsia="Calibri" w:hAnsi="Times New Roman" w:cs="Times New Roman"/>
          <w:color w:val="auto"/>
          <w:sz w:val="24"/>
        </w:rPr>
        <w:t xml:space="preserve"> </w:t>
      </w:r>
      <w:r w:rsidRPr="00B51754">
        <w:rPr>
          <w:rFonts w:ascii="Times New Roman" w:hAnsi="Times New Roman" w:cs="Times New Roman"/>
          <w:color w:val="auto"/>
          <w:sz w:val="24"/>
        </w:rPr>
        <w:t>Svi veliki vodni valovi koji su se pojavili nakon 1964. uspješno su protekli kroz Zagreb, bez ikakvih posljedica ili oštećenja. Preljev Jankomir, koji je počeo djelovati u 1970</w:t>
      </w:r>
      <w:r w:rsidR="00EE6A22" w:rsidRPr="00B51754">
        <w:rPr>
          <w:rFonts w:ascii="Times New Roman" w:hAnsi="Times New Roman" w:cs="Times New Roman"/>
          <w:color w:val="auto"/>
          <w:sz w:val="24"/>
        </w:rPr>
        <w:t>-</w:t>
      </w:r>
      <w:r w:rsidRPr="00B51754">
        <w:rPr>
          <w:rFonts w:ascii="Times New Roman" w:hAnsi="Times New Roman" w:cs="Times New Roman"/>
          <w:color w:val="auto"/>
          <w:sz w:val="24"/>
        </w:rPr>
        <w:t>ima, pokazao se vrhunskim rješenjem, jer svojim automatskim radom rješava Zagreb značajnih količina viškova voda. Kanal je do sada bio u funkciji 6 puta: dva puta 1979., 1980., 1990., 1998 i 2010. godine.</w:t>
      </w:r>
    </w:p>
    <w:p w14:paraId="745CFADD" w14:textId="77777777" w:rsidR="00B51754" w:rsidRDefault="00B51754" w:rsidP="00201092">
      <w:pPr>
        <w:spacing w:after="0" w:line="240" w:lineRule="auto"/>
        <w:ind w:left="0" w:right="0" w:firstLine="709"/>
        <w:rPr>
          <w:rFonts w:ascii="Times New Roman" w:hAnsi="Times New Roman" w:cs="Times New Roman"/>
          <w:color w:val="auto"/>
          <w:sz w:val="24"/>
        </w:rPr>
      </w:pPr>
    </w:p>
    <w:p w14:paraId="2E10D331" w14:textId="239DA0C0" w:rsidR="00B51754" w:rsidRDefault="00CD4FB6" w:rsidP="00E87BEB">
      <w:pPr>
        <w:spacing w:after="0" w:line="240" w:lineRule="auto"/>
        <w:ind w:right="0" w:firstLine="0"/>
        <w:rPr>
          <w:rFonts w:ascii="Times New Roman" w:hAnsi="Times New Roman" w:cs="Times New Roman"/>
          <w:b/>
          <w:color w:val="auto"/>
          <w:sz w:val="24"/>
        </w:rPr>
      </w:pPr>
      <w:r w:rsidRPr="006218CF">
        <w:rPr>
          <w:rFonts w:ascii="Times New Roman" w:hAnsi="Times New Roman" w:cs="Times New Roman"/>
          <w:b/>
          <w:color w:val="auto"/>
          <w:sz w:val="24"/>
        </w:rPr>
        <w:t xml:space="preserve">2.6. </w:t>
      </w:r>
      <w:r w:rsidR="00364E10">
        <w:rPr>
          <w:rFonts w:ascii="Times New Roman" w:hAnsi="Times New Roman" w:cs="Times New Roman"/>
          <w:b/>
          <w:color w:val="auto"/>
          <w:sz w:val="24"/>
        </w:rPr>
        <w:t>Epidemija i pandemija</w:t>
      </w:r>
      <w:r w:rsidRPr="006218CF">
        <w:rPr>
          <w:rFonts w:ascii="Times New Roman" w:hAnsi="Times New Roman" w:cs="Times New Roman"/>
          <w:b/>
          <w:color w:val="auto"/>
          <w:sz w:val="24"/>
        </w:rPr>
        <w:t xml:space="preserve"> - povijesni pokazatelji </w:t>
      </w:r>
    </w:p>
    <w:p w14:paraId="71F82519" w14:textId="57B42BDD" w:rsidR="00575A2B" w:rsidRDefault="00575A2B" w:rsidP="00201092">
      <w:pPr>
        <w:spacing w:after="0" w:line="240" w:lineRule="auto"/>
        <w:ind w:left="0" w:right="0" w:firstLine="709"/>
        <w:rPr>
          <w:rFonts w:ascii="Times New Roman" w:hAnsi="Times New Roman" w:cs="Times New Roman"/>
          <w:b/>
          <w:color w:val="auto"/>
          <w:sz w:val="24"/>
        </w:rPr>
      </w:pPr>
    </w:p>
    <w:p w14:paraId="360399D3" w14:textId="45002045" w:rsidR="00575A2B" w:rsidRPr="006218CF" w:rsidRDefault="00575A2B" w:rsidP="00201092">
      <w:pPr>
        <w:spacing w:after="0" w:line="240" w:lineRule="auto"/>
        <w:ind w:left="0" w:right="0" w:firstLine="709"/>
        <w:rPr>
          <w:rFonts w:ascii="Times New Roman" w:hAnsi="Times New Roman" w:cs="Times New Roman"/>
          <w:color w:val="auto"/>
          <w:sz w:val="24"/>
          <w:u w:val="single"/>
        </w:rPr>
      </w:pPr>
      <w:r w:rsidRPr="006218CF">
        <w:rPr>
          <w:rFonts w:ascii="Times New Roman" w:hAnsi="Times New Roman" w:cs="Times New Roman"/>
          <w:color w:val="auto"/>
          <w:sz w:val="24"/>
          <w:u w:val="single"/>
        </w:rPr>
        <w:t>Troškovi i posljedice pandemije Covid-19 na području Grada Zagreba</w:t>
      </w:r>
    </w:p>
    <w:p w14:paraId="7238AE4D" w14:textId="0383A727" w:rsidR="008D13B5" w:rsidRDefault="008D13B5" w:rsidP="00201092">
      <w:pPr>
        <w:spacing w:after="0" w:line="240" w:lineRule="auto"/>
        <w:ind w:left="0" w:right="0" w:firstLine="709"/>
        <w:rPr>
          <w:rFonts w:ascii="Times New Roman" w:hAnsi="Times New Roman" w:cs="Times New Roman"/>
          <w:b/>
          <w:color w:val="auto"/>
          <w:sz w:val="24"/>
        </w:rPr>
      </w:pPr>
    </w:p>
    <w:p w14:paraId="19DF8772" w14:textId="6F5A383D" w:rsidR="00372467" w:rsidRDefault="00372467" w:rsidP="00372467">
      <w:pPr>
        <w:spacing w:after="0" w:line="240" w:lineRule="auto"/>
        <w:ind w:left="0" w:right="0" w:firstLine="709"/>
        <w:rPr>
          <w:rFonts w:ascii="Times New Roman" w:hAnsi="Times New Roman" w:cs="Times New Roman"/>
          <w:color w:val="auto"/>
          <w:sz w:val="24"/>
        </w:rPr>
      </w:pPr>
      <w:r w:rsidRPr="00372467">
        <w:rPr>
          <w:rFonts w:ascii="Times New Roman" w:hAnsi="Times New Roman" w:cs="Times New Roman"/>
          <w:color w:val="auto"/>
          <w:sz w:val="24"/>
        </w:rPr>
        <w:t>Pandemije kao specifična vrsta katastrofe su, osim klimatskih potaknute i dodatnim čimbenicima rizika, te kako je pokazala Covid-19 kriza predstavljaju u današnje vrijeme visoku razinu rizika radi niske otpornosti i ranjivosti stanovništva na svjetsko</w:t>
      </w:r>
      <w:r>
        <w:rPr>
          <w:rFonts w:ascii="Times New Roman" w:hAnsi="Times New Roman" w:cs="Times New Roman"/>
          <w:color w:val="auto"/>
          <w:sz w:val="24"/>
        </w:rPr>
        <w:t>j</w:t>
      </w:r>
      <w:r w:rsidRPr="00372467">
        <w:rPr>
          <w:rFonts w:ascii="Times New Roman" w:hAnsi="Times New Roman" w:cs="Times New Roman"/>
          <w:color w:val="auto"/>
          <w:sz w:val="24"/>
        </w:rPr>
        <w:t xml:space="preserve"> razini. Posljedična potreba hitnog odvajanja sredstava države koja nisu bila ni planirana ni rezervirana proračunom predstavljaju fiskalni rizik (OECD, 2019).</w:t>
      </w:r>
    </w:p>
    <w:p w14:paraId="13A254B5" w14:textId="132537CD" w:rsidR="00CD4FB6" w:rsidRDefault="002566A3" w:rsidP="008C5014">
      <w:pPr>
        <w:spacing w:after="0" w:line="240" w:lineRule="auto"/>
        <w:ind w:left="0" w:right="0" w:firstLine="709"/>
        <w:rPr>
          <w:rFonts w:ascii="Times New Roman" w:hAnsi="Times New Roman" w:cs="Times New Roman"/>
          <w:color w:val="auto"/>
          <w:sz w:val="24"/>
        </w:rPr>
      </w:pPr>
      <w:r w:rsidRPr="002566A3">
        <w:rPr>
          <w:rFonts w:ascii="Times New Roman" w:hAnsi="Times New Roman" w:cs="Times New Roman"/>
          <w:color w:val="auto"/>
          <w:sz w:val="24"/>
        </w:rPr>
        <w:t xml:space="preserve">Pandemija COVID-19, poznata kao i pandemija koronavirusa, tekuća je pandemija nove bolesti dišnih puteva COVID-19 (engl. Coronavirus Disease 2019). Bolest se prvi put pojavila krajem prosinca 2019. u </w:t>
      </w:r>
      <w:r>
        <w:rPr>
          <w:rFonts w:ascii="Times New Roman" w:hAnsi="Times New Roman" w:cs="Times New Roman"/>
          <w:color w:val="auto"/>
          <w:sz w:val="24"/>
        </w:rPr>
        <w:t xml:space="preserve">gradu </w:t>
      </w:r>
      <w:r w:rsidRPr="002566A3">
        <w:rPr>
          <w:rFonts w:ascii="Times New Roman" w:hAnsi="Times New Roman" w:cs="Times New Roman"/>
          <w:color w:val="auto"/>
          <w:sz w:val="24"/>
        </w:rPr>
        <w:t>Wuhanu u kineskoj provinciji Hubei. U siječnju 2020. razvila se u epidemiju u NR Kini i proširila diljem svijeta. Potaknuo ju je do tada nepoznati virus iz porodice koronavirusa SARS-CoV-2.</w:t>
      </w:r>
      <w:r w:rsidRPr="002566A3">
        <w:t xml:space="preserve"> </w:t>
      </w:r>
      <w:r w:rsidRPr="002566A3">
        <w:rPr>
          <w:rFonts w:ascii="Times New Roman" w:hAnsi="Times New Roman" w:cs="Times New Roman"/>
          <w:color w:val="auto"/>
          <w:sz w:val="24"/>
        </w:rPr>
        <w:t>Kako bi spriječila širenje u zemljama bez učinkovitih zdravstvenih mjera, Svjetska zdravstvena organizacija (</w:t>
      </w:r>
      <w:r>
        <w:rPr>
          <w:rFonts w:ascii="Times New Roman" w:hAnsi="Times New Roman" w:cs="Times New Roman"/>
          <w:color w:val="auto"/>
          <w:sz w:val="24"/>
        </w:rPr>
        <w:t xml:space="preserve">u daljnjem tekstu: </w:t>
      </w:r>
      <w:r w:rsidRPr="002566A3">
        <w:rPr>
          <w:rFonts w:ascii="Times New Roman" w:hAnsi="Times New Roman" w:cs="Times New Roman"/>
          <w:color w:val="auto"/>
          <w:sz w:val="24"/>
        </w:rPr>
        <w:t xml:space="preserve">SZO) proglasila je međunarodnu hitnu situaciju 30. siječnja 2020. Već 9. veljače 2020. broj registriranih smrtnih slučajeva premašio je ukupan broj umrlih u pandemiji SARS 2002./2003. Izvještaj SZO od 26. veljače 2020. prvi put </w:t>
      </w:r>
      <w:r>
        <w:rPr>
          <w:rFonts w:ascii="Times New Roman" w:hAnsi="Times New Roman" w:cs="Times New Roman"/>
          <w:color w:val="auto"/>
          <w:sz w:val="24"/>
        </w:rPr>
        <w:t>pokazuje</w:t>
      </w:r>
      <w:r w:rsidRPr="002566A3">
        <w:rPr>
          <w:rFonts w:ascii="Times New Roman" w:hAnsi="Times New Roman" w:cs="Times New Roman"/>
          <w:color w:val="auto"/>
          <w:sz w:val="24"/>
        </w:rPr>
        <w:t xml:space="preserve"> više novih infekcija </w:t>
      </w:r>
      <w:r>
        <w:rPr>
          <w:rFonts w:ascii="Times New Roman" w:hAnsi="Times New Roman" w:cs="Times New Roman"/>
          <w:color w:val="auto"/>
          <w:sz w:val="24"/>
        </w:rPr>
        <w:t>iz</w:t>
      </w:r>
      <w:r w:rsidRPr="002566A3">
        <w:rPr>
          <w:rFonts w:ascii="Times New Roman" w:hAnsi="Times New Roman" w:cs="Times New Roman"/>
          <w:color w:val="auto"/>
          <w:sz w:val="24"/>
        </w:rPr>
        <w:t>van Kine nego u njoj. Dana 11. ožujka 2020. godine, SZO je službeno proglasila prethodnu epidemiju pandemijom, prvu nakon pandemije svinjske gripe 2009.</w:t>
      </w:r>
      <w:r w:rsidR="00575A2B" w:rsidRPr="00575A2B">
        <w:t xml:space="preserve"> </w:t>
      </w:r>
      <w:r w:rsidR="00575A2B" w:rsidRPr="00575A2B">
        <w:rPr>
          <w:rFonts w:ascii="Times New Roman" w:hAnsi="Times New Roman" w:cs="Times New Roman"/>
          <w:color w:val="auto"/>
          <w:sz w:val="24"/>
        </w:rPr>
        <w:t>Prvi slučaj zaraze virusom SARS-CoV-2 u Hrvatskoj potvrđen je 25. veljače 2020.</w:t>
      </w:r>
      <w:r w:rsidR="00575A2B">
        <w:rPr>
          <w:rFonts w:ascii="Times New Roman" w:hAnsi="Times New Roman" w:cs="Times New Roman"/>
          <w:color w:val="auto"/>
          <w:sz w:val="24"/>
        </w:rPr>
        <w:t xml:space="preserve"> </w:t>
      </w:r>
      <w:r w:rsidR="00575A2B" w:rsidRPr="00575A2B">
        <w:rPr>
          <w:rFonts w:ascii="Times New Roman" w:hAnsi="Times New Roman" w:cs="Times New Roman"/>
          <w:color w:val="auto"/>
          <w:sz w:val="24"/>
        </w:rPr>
        <w:t xml:space="preserve">Do </w:t>
      </w:r>
      <w:r w:rsidR="00575A2B">
        <w:rPr>
          <w:rFonts w:ascii="Times New Roman" w:hAnsi="Times New Roman" w:cs="Times New Roman"/>
          <w:color w:val="auto"/>
          <w:sz w:val="24"/>
        </w:rPr>
        <w:t>06</w:t>
      </w:r>
      <w:r w:rsidR="00575A2B" w:rsidRPr="00575A2B">
        <w:rPr>
          <w:rFonts w:ascii="Times New Roman" w:hAnsi="Times New Roman" w:cs="Times New Roman"/>
          <w:color w:val="auto"/>
          <w:sz w:val="24"/>
        </w:rPr>
        <w:t xml:space="preserve">. </w:t>
      </w:r>
      <w:r w:rsidR="00575A2B">
        <w:rPr>
          <w:rFonts w:ascii="Times New Roman" w:hAnsi="Times New Roman" w:cs="Times New Roman"/>
          <w:color w:val="auto"/>
          <w:sz w:val="24"/>
        </w:rPr>
        <w:t>srpnja</w:t>
      </w:r>
      <w:r w:rsidR="00575A2B" w:rsidRPr="00575A2B">
        <w:rPr>
          <w:rFonts w:ascii="Times New Roman" w:hAnsi="Times New Roman" w:cs="Times New Roman"/>
          <w:color w:val="auto"/>
          <w:sz w:val="24"/>
        </w:rPr>
        <w:t xml:space="preserve"> 2022. u Republici Hrvatskoj </w:t>
      </w:r>
      <w:r w:rsidR="00575A2B">
        <w:rPr>
          <w:rFonts w:ascii="Times New Roman" w:hAnsi="Times New Roman" w:cs="Times New Roman"/>
          <w:color w:val="auto"/>
          <w:sz w:val="24"/>
        </w:rPr>
        <w:t xml:space="preserve">je </w:t>
      </w:r>
      <w:r w:rsidR="00575A2B" w:rsidRPr="00575A2B">
        <w:rPr>
          <w:rFonts w:ascii="Times New Roman" w:hAnsi="Times New Roman" w:cs="Times New Roman"/>
          <w:color w:val="auto"/>
          <w:sz w:val="24"/>
        </w:rPr>
        <w:t>na koronavirus testirano  4.952.840 osoba, potvrđeno zaraženih bilo je 1 1</w:t>
      </w:r>
      <w:r w:rsidR="00575A2B">
        <w:rPr>
          <w:rFonts w:ascii="Times New Roman" w:hAnsi="Times New Roman" w:cs="Times New Roman"/>
          <w:color w:val="auto"/>
          <w:sz w:val="24"/>
        </w:rPr>
        <w:t>52</w:t>
      </w:r>
      <w:r w:rsidR="00575A2B" w:rsidRPr="00575A2B">
        <w:rPr>
          <w:rFonts w:ascii="Times New Roman" w:hAnsi="Times New Roman" w:cs="Times New Roman"/>
          <w:color w:val="auto"/>
          <w:sz w:val="24"/>
        </w:rPr>
        <w:t xml:space="preserve"> </w:t>
      </w:r>
      <w:r w:rsidR="00575A2B">
        <w:rPr>
          <w:rFonts w:ascii="Times New Roman" w:hAnsi="Times New Roman" w:cs="Times New Roman"/>
          <w:color w:val="auto"/>
          <w:sz w:val="24"/>
        </w:rPr>
        <w:t>335</w:t>
      </w:r>
      <w:r w:rsidR="00575A2B" w:rsidRPr="00575A2B">
        <w:rPr>
          <w:rFonts w:ascii="Times New Roman" w:hAnsi="Times New Roman" w:cs="Times New Roman"/>
          <w:color w:val="auto"/>
          <w:sz w:val="24"/>
        </w:rPr>
        <w:t>, a 1</w:t>
      </w:r>
      <w:r w:rsidR="00575A2B">
        <w:rPr>
          <w:rFonts w:ascii="Times New Roman" w:hAnsi="Times New Roman" w:cs="Times New Roman"/>
          <w:color w:val="auto"/>
          <w:sz w:val="24"/>
        </w:rPr>
        <w:t>6</w:t>
      </w:r>
      <w:r w:rsidR="00575A2B" w:rsidRPr="00575A2B">
        <w:rPr>
          <w:rFonts w:ascii="Times New Roman" w:hAnsi="Times New Roman" w:cs="Times New Roman"/>
          <w:color w:val="auto"/>
          <w:sz w:val="24"/>
        </w:rPr>
        <w:t xml:space="preserve"> </w:t>
      </w:r>
      <w:r w:rsidR="00575A2B">
        <w:rPr>
          <w:rFonts w:ascii="Times New Roman" w:hAnsi="Times New Roman" w:cs="Times New Roman"/>
          <w:color w:val="auto"/>
          <w:sz w:val="24"/>
        </w:rPr>
        <w:t>089</w:t>
      </w:r>
      <w:r w:rsidR="00575A2B" w:rsidRPr="00575A2B">
        <w:rPr>
          <w:rFonts w:ascii="Times New Roman" w:hAnsi="Times New Roman" w:cs="Times New Roman"/>
          <w:color w:val="auto"/>
          <w:sz w:val="24"/>
        </w:rPr>
        <w:t xml:space="preserve"> osoba od zaraze je preminulo</w:t>
      </w:r>
      <w:r w:rsidR="00575A2B">
        <w:rPr>
          <w:rStyle w:val="FootnoteReference"/>
          <w:rFonts w:ascii="Times New Roman" w:hAnsi="Times New Roman" w:cs="Times New Roman"/>
          <w:color w:val="auto"/>
          <w:sz w:val="24"/>
        </w:rPr>
        <w:footnoteReference w:id="2"/>
      </w:r>
      <w:r w:rsidR="00575A2B" w:rsidRPr="00575A2B">
        <w:rPr>
          <w:rFonts w:ascii="Times New Roman" w:hAnsi="Times New Roman" w:cs="Times New Roman"/>
          <w:color w:val="auto"/>
          <w:sz w:val="24"/>
        </w:rPr>
        <w:t>.</w:t>
      </w:r>
      <w:r w:rsidR="00575A2B">
        <w:rPr>
          <w:rFonts w:ascii="Times New Roman" w:hAnsi="Times New Roman" w:cs="Times New Roman"/>
          <w:color w:val="auto"/>
          <w:sz w:val="24"/>
        </w:rPr>
        <w:t xml:space="preserve"> </w:t>
      </w:r>
      <w:r w:rsidR="008C5014">
        <w:rPr>
          <w:rFonts w:ascii="Times New Roman" w:hAnsi="Times New Roman" w:cs="Times New Roman"/>
          <w:color w:val="auto"/>
          <w:sz w:val="24"/>
        </w:rPr>
        <w:t>Prema I</w:t>
      </w:r>
      <w:r w:rsidR="008C5014" w:rsidRPr="008C5014">
        <w:rPr>
          <w:rFonts w:ascii="Times New Roman" w:hAnsi="Times New Roman" w:cs="Times New Roman"/>
          <w:color w:val="auto"/>
          <w:sz w:val="24"/>
        </w:rPr>
        <w:t>zvješć</w:t>
      </w:r>
      <w:r w:rsidR="008C5014">
        <w:rPr>
          <w:rFonts w:ascii="Times New Roman" w:hAnsi="Times New Roman" w:cs="Times New Roman"/>
          <w:color w:val="auto"/>
          <w:sz w:val="24"/>
        </w:rPr>
        <w:t>u</w:t>
      </w:r>
      <w:r w:rsidR="008C5014" w:rsidRPr="008C5014">
        <w:rPr>
          <w:rFonts w:ascii="Times New Roman" w:hAnsi="Times New Roman" w:cs="Times New Roman"/>
          <w:color w:val="auto"/>
          <w:sz w:val="24"/>
        </w:rPr>
        <w:t xml:space="preserve"> o poslovanju</w:t>
      </w:r>
      <w:r w:rsidR="008C5014">
        <w:rPr>
          <w:rFonts w:ascii="Times New Roman" w:hAnsi="Times New Roman" w:cs="Times New Roman"/>
          <w:color w:val="auto"/>
          <w:sz w:val="24"/>
        </w:rPr>
        <w:t xml:space="preserve"> H</w:t>
      </w:r>
      <w:r w:rsidR="008C5014" w:rsidRPr="008C5014">
        <w:rPr>
          <w:rFonts w:ascii="Times New Roman" w:hAnsi="Times New Roman" w:cs="Times New Roman"/>
          <w:color w:val="auto"/>
          <w:sz w:val="24"/>
        </w:rPr>
        <w:t>rvatskog zavoda za zdravstveno osiguranje</w:t>
      </w:r>
      <w:r w:rsidR="008C5014">
        <w:rPr>
          <w:rFonts w:ascii="Times New Roman" w:hAnsi="Times New Roman" w:cs="Times New Roman"/>
          <w:color w:val="auto"/>
          <w:sz w:val="24"/>
        </w:rPr>
        <w:t xml:space="preserve"> </w:t>
      </w:r>
      <w:r w:rsidR="008C5014" w:rsidRPr="008C5014">
        <w:rPr>
          <w:rFonts w:ascii="Times New Roman" w:hAnsi="Times New Roman" w:cs="Times New Roman"/>
          <w:color w:val="auto"/>
          <w:sz w:val="24"/>
        </w:rPr>
        <w:t xml:space="preserve">za 2021. </w:t>
      </w:r>
      <w:r w:rsidR="008C5014">
        <w:rPr>
          <w:rFonts w:ascii="Times New Roman" w:hAnsi="Times New Roman" w:cs="Times New Roman"/>
          <w:color w:val="auto"/>
          <w:sz w:val="24"/>
        </w:rPr>
        <w:t>g</w:t>
      </w:r>
      <w:r w:rsidR="008C5014" w:rsidRPr="008C5014">
        <w:rPr>
          <w:rFonts w:ascii="Times New Roman" w:hAnsi="Times New Roman" w:cs="Times New Roman"/>
          <w:color w:val="auto"/>
          <w:sz w:val="24"/>
        </w:rPr>
        <w:t>odinu</w:t>
      </w:r>
      <w:r w:rsidR="008C5014">
        <w:rPr>
          <w:rFonts w:ascii="Times New Roman" w:hAnsi="Times New Roman" w:cs="Times New Roman"/>
          <w:color w:val="auto"/>
          <w:sz w:val="24"/>
        </w:rPr>
        <w:t xml:space="preserve"> k</w:t>
      </w:r>
      <w:r w:rsidR="008C5014" w:rsidRPr="008C5014">
        <w:rPr>
          <w:rFonts w:ascii="Times New Roman" w:hAnsi="Times New Roman" w:cs="Times New Roman"/>
          <w:color w:val="auto"/>
          <w:sz w:val="24"/>
        </w:rPr>
        <w:t>umulativ COVID</w:t>
      </w:r>
      <w:r w:rsidR="008C5014">
        <w:rPr>
          <w:rFonts w:ascii="Times New Roman" w:hAnsi="Times New Roman" w:cs="Times New Roman"/>
          <w:color w:val="auto"/>
          <w:sz w:val="24"/>
        </w:rPr>
        <w:t xml:space="preserve"> </w:t>
      </w:r>
      <w:r w:rsidR="008C5014" w:rsidRPr="008C5014">
        <w:rPr>
          <w:rFonts w:ascii="Times New Roman" w:hAnsi="Times New Roman" w:cs="Times New Roman"/>
          <w:color w:val="auto"/>
          <w:sz w:val="24"/>
        </w:rPr>
        <w:t>troškova od početka</w:t>
      </w:r>
      <w:r w:rsidR="008C5014">
        <w:rPr>
          <w:rFonts w:ascii="Times New Roman" w:hAnsi="Times New Roman" w:cs="Times New Roman"/>
          <w:color w:val="auto"/>
          <w:sz w:val="24"/>
        </w:rPr>
        <w:t xml:space="preserve"> </w:t>
      </w:r>
      <w:r w:rsidR="008C5014" w:rsidRPr="008C5014">
        <w:rPr>
          <w:rFonts w:ascii="Times New Roman" w:hAnsi="Times New Roman" w:cs="Times New Roman"/>
          <w:color w:val="auto"/>
          <w:sz w:val="24"/>
        </w:rPr>
        <w:t>pandemije do</w:t>
      </w:r>
      <w:r w:rsidR="008C5014">
        <w:rPr>
          <w:rFonts w:ascii="Times New Roman" w:hAnsi="Times New Roman" w:cs="Times New Roman"/>
          <w:color w:val="auto"/>
          <w:sz w:val="24"/>
        </w:rPr>
        <w:t xml:space="preserve"> </w:t>
      </w:r>
      <w:r w:rsidR="008C5014" w:rsidRPr="008C5014">
        <w:rPr>
          <w:rFonts w:ascii="Times New Roman" w:hAnsi="Times New Roman" w:cs="Times New Roman"/>
          <w:color w:val="auto"/>
          <w:sz w:val="24"/>
        </w:rPr>
        <w:t>31.12.2021.</w:t>
      </w:r>
      <w:r w:rsidR="008C5014">
        <w:rPr>
          <w:rFonts w:ascii="Times New Roman" w:hAnsi="Times New Roman" w:cs="Times New Roman"/>
          <w:color w:val="auto"/>
          <w:sz w:val="24"/>
        </w:rPr>
        <w:t xml:space="preserve"> iznosi </w:t>
      </w:r>
      <w:r w:rsidR="008C5014" w:rsidRPr="008C5014">
        <w:rPr>
          <w:rFonts w:ascii="Times New Roman" w:hAnsi="Times New Roman" w:cs="Times New Roman"/>
          <w:color w:val="auto"/>
          <w:sz w:val="24"/>
        </w:rPr>
        <w:t>4.199.045.746</w:t>
      </w:r>
      <w:r w:rsidR="00C82939">
        <w:rPr>
          <w:rFonts w:ascii="Times New Roman" w:hAnsi="Times New Roman" w:cs="Times New Roman"/>
          <w:color w:val="auto"/>
          <w:sz w:val="24"/>
        </w:rPr>
        <w:t xml:space="preserve"> kuna</w:t>
      </w:r>
      <w:r w:rsidR="00C82939">
        <w:rPr>
          <w:rStyle w:val="FootnoteReference"/>
          <w:rFonts w:ascii="Times New Roman" w:hAnsi="Times New Roman" w:cs="Times New Roman"/>
          <w:color w:val="auto"/>
          <w:sz w:val="24"/>
        </w:rPr>
        <w:footnoteReference w:id="3"/>
      </w:r>
      <w:r w:rsidR="00C82939">
        <w:rPr>
          <w:rFonts w:ascii="Times New Roman" w:hAnsi="Times New Roman" w:cs="Times New Roman"/>
          <w:color w:val="auto"/>
          <w:sz w:val="24"/>
        </w:rPr>
        <w:t xml:space="preserve">. </w:t>
      </w:r>
      <w:r w:rsidR="00575A2B" w:rsidRPr="006218CF">
        <w:rPr>
          <w:rFonts w:ascii="Times New Roman" w:hAnsi="Times New Roman" w:cs="Times New Roman"/>
          <w:color w:val="auto"/>
          <w:sz w:val="24"/>
        </w:rPr>
        <w:t xml:space="preserve">Hrvatski zavod za zdravstveno osiguranje na naknade za bolovanje i troškove testiranja, liječenja i cijepljenje </w:t>
      </w:r>
      <w:r w:rsidR="00575A2B">
        <w:rPr>
          <w:rFonts w:ascii="Times New Roman" w:hAnsi="Times New Roman" w:cs="Times New Roman"/>
          <w:color w:val="auto"/>
          <w:sz w:val="24"/>
        </w:rPr>
        <w:t xml:space="preserve">do travnja 2022. godine </w:t>
      </w:r>
      <w:r w:rsidR="00575A2B" w:rsidRPr="006218CF">
        <w:rPr>
          <w:rFonts w:ascii="Times New Roman" w:hAnsi="Times New Roman" w:cs="Times New Roman"/>
          <w:color w:val="auto"/>
          <w:sz w:val="24"/>
        </w:rPr>
        <w:t>potrošio je više od pet milijardi kuna, a ukupni troškovi koje je pokrivala država</w:t>
      </w:r>
      <w:r w:rsidR="00C82939">
        <w:rPr>
          <w:rFonts w:ascii="Times New Roman" w:hAnsi="Times New Roman" w:cs="Times New Roman"/>
          <w:color w:val="auto"/>
          <w:sz w:val="24"/>
        </w:rPr>
        <w:t>, kroz ostale sektorske mjere, poput gospodarskih,</w:t>
      </w:r>
      <w:r w:rsidR="00575A2B" w:rsidRPr="006218CF">
        <w:rPr>
          <w:rFonts w:ascii="Times New Roman" w:hAnsi="Times New Roman" w:cs="Times New Roman"/>
          <w:color w:val="auto"/>
          <w:sz w:val="24"/>
        </w:rPr>
        <w:t xml:space="preserve"> premašili su dvadeset i tri milijarde kuna</w:t>
      </w:r>
      <w:r w:rsidR="00575A2B">
        <w:rPr>
          <w:rStyle w:val="FootnoteReference"/>
          <w:rFonts w:ascii="Times New Roman" w:hAnsi="Times New Roman" w:cs="Times New Roman"/>
          <w:color w:val="auto"/>
          <w:sz w:val="24"/>
        </w:rPr>
        <w:footnoteReference w:id="4"/>
      </w:r>
      <w:r w:rsidR="00575A2B" w:rsidRPr="006218CF">
        <w:rPr>
          <w:rFonts w:ascii="Times New Roman" w:hAnsi="Times New Roman" w:cs="Times New Roman"/>
          <w:color w:val="auto"/>
          <w:sz w:val="24"/>
        </w:rPr>
        <w:t>.</w:t>
      </w:r>
    </w:p>
    <w:p w14:paraId="4FA6B1AD" w14:textId="068AD774" w:rsidR="0072429F" w:rsidRDefault="0072429F" w:rsidP="0072429F">
      <w:pPr>
        <w:spacing w:after="0" w:line="240" w:lineRule="auto"/>
        <w:ind w:left="0" w:right="0" w:firstLine="709"/>
        <w:rPr>
          <w:rFonts w:ascii="Times New Roman" w:hAnsi="Times New Roman" w:cs="Times New Roman"/>
          <w:color w:val="auto"/>
          <w:sz w:val="24"/>
        </w:rPr>
      </w:pPr>
      <w:r w:rsidRPr="0072429F">
        <w:rPr>
          <w:rFonts w:ascii="Times New Roman" w:hAnsi="Times New Roman" w:cs="Times New Roman"/>
          <w:color w:val="auto"/>
          <w:sz w:val="24"/>
        </w:rPr>
        <w:t>U skladu sa sveobuhvatnim i pravovremenim planiranjem, pandemiju Covid-19 preporučljivo je analizirati u svrhu optimalnije procjene utrošenih sredstava, te povećanja razine otpornosti i pripravnosti pri slijedećem mogućem pandemijskom riziku. Osim smrtnosti, troškova liječenja, provedbe protuepidemijskih mjera</w:t>
      </w:r>
      <w:r>
        <w:rPr>
          <w:rFonts w:ascii="Times New Roman" w:hAnsi="Times New Roman" w:cs="Times New Roman"/>
          <w:color w:val="auto"/>
          <w:sz w:val="24"/>
        </w:rPr>
        <w:t xml:space="preserve">, </w:t>
      </w:r>
      <w:r w:rsidRPr="0072429F">
        <w:rPr>
          <w:rFonts w:ascii="Times New Roman" w:hAnsi="Times New Roman" w:cs="Times New Roman"/>
          <w:color w:val="auto"/>
          <w:sz w:val="24"/>
        </w:rPr>
        <w:t xml:space="preserve">cijepljenja, troškova bolovanja radi karantene bliskih kontakata ili bolovanja njihovih bližnjih ukoliko se radi o maloljetnicima ili osobama kojima je bila nužna skrb tijekom karantene, potrebno je u posljedice uključiti i trošak prekida školovanja, gubitka ušteđevine ili iskorištenja dana godišnjih odmora tijekom provedbe mjera, povećanje broja nezaposlenosti, sniženje gospodarske proizvodnje i pruženih usluga, nemogućnost plaćanja kredita, te dostupnost hrane (Applebby J, 2022; CBPP, 2022). U Hrvatskoj je rizik od siromaštva radi pandemije posebno identificiran kao visok za nezaposlene i osobe starije životne dobi (WB, 2021). Za Zagreb isto predstavlja značajan rizik radi značajnog rasta udjela stanovništva iznad 65 godina (Šikić S, 2022). U Velikoj Britaniji je tako ukupni trošak pandemije procijenjen na 259,5 milijardi funti, pri čemu je najveći udio bio usmjeren na potpore za gospodarski sektor, dok je zdravstveni bio odmah iza. U ovoj procjeni izvršena je procjena posljedica prikazom podataka samo za zdravstveni sektor, samo za područje Grada Zagreba. Međutim, radi zakonodavno određenih nadležnosti i administrativnih </w:t>
      </w:r>
      <w:r w:rsidRPr="0072429F">
        <w:rPr>
          <w:rFonts w:ascii="Times New Roman" w:hAnsi="Times New Roman" w:cs="Times New Roman"/>
          <w:color w:val="auto"/>
          <w:sz w:val="24"/>
        </w:rPr>
        <w:lastRenderedPageBreak/>
        <w:t>determinanti poslovanja HZZO-a neki od zdravstveno-ekonomskih indikatora i financijskog opterećenja (provedba testiranja na uputnice, liječenja, naknade tijekom bolovanja i izolacija, provedba mobilnog cijepljenja) prikazani su</w:t>
      </w:r>
      <w:r w:rsidR="0080065A">
        <w:rPr>
          <w:rFonts w:ascii="Times New Roman" w:hAnsi="Times New Roman" w:cs="Times New Roman"/>
          <w:color w:val="auto"/>
          <w:sz w:val="24"/>
        </w:rPr>
        <w:t xml:space="preserve"> zbirno</w:t>
      </w:r>
      <w:r w:rsidRPr="0072429F">
        <w:rPr>
          <w:rFonts w:ascii="Times New Roman" w:hAnsi="Times New Roman" w:cs="Times New Roman"/>
          <w:color w:val="auto"/>
          <w:sz w:val="24"/>
        </w:rPr>
        <w:t xml:space="preserve"> za Grad Zagreb i Zagrebačku županiju.</w:t>
      </w:r>
    </w:p>
    <w:p w14:paraId="4FAFA338" w14:textId="6E7ABBFE" w:rsidR="00575A2B" w:rsidRDefault="0072429F" w:rsidP="0072429F">
      <w:pPr>
        <w:spacing w:after="0" w:line="240" w:lineRule="auto"/>
        <w:ind w:left="0" w:right="0" w:firstLine="709"/>
        <w:rPr>
          <w:rFonts w:ascii="Times New Roman" w:hAnsi="Times New Roman" w:cs="Times New Roman"/>
          <w:color w:val="auto"/>
          <w:sz w:val="24"/>
        </w:rPr>
      </w:pPr>
      <w:r w:rsidRPr="0072429F">
        <w:rPr>
          <w:rFonts w:ascii="Times New Roman" w:hAnsi="Times New Roman" w:cs="Times New Roman"/>
          <w:color w:val="auto"/>
          <w:sz w:val="24"/>
        </w:rPr>
        <w:t>Odabrani zdravstveno ekonomski indikatori</w:t>
      </w:r>
      <w:r w:rsidR="0080065A">
        <w:rPr>
          <w:rStyle w:val="FootnoteReference"/>
          <w:rFonts w:ascii="Times New Roman" w:hAnsi="Times New Roman" w:cs="Times New Roman"/>
          <w:color w:val="auto"/>
          <w:sz w:val="24"/>
        </w:rPr>
        <w:footnoteReference w:id="5"/>
      </w:r>
      <w:r w:rsidRPr="0072429F">
        <w:rPr>
          <w:rFonts w:ascii="Times New Roman" w:hAnsi="Times New Roman" w:cs="Times New Roman"/>
          <w:color w:val="auto"/>
          <w:sz w:val="24"/>
        </w:rPr>
        <w:t xml:space="preserve"> - troškovi liječenja, nabavke cjepiva, naknada koje je davala država, broj preminulih i sl. korišteni su u ovom dokumentu u svrhu procjene posljedica pandemije Covid-19 u Gradu Zagrebu (</w:t>
      </w:r>
      <w:r w:rsidRPr="00B51AE1">
        <w:rPr>
          <w:rFonts w:ascii="Times New Roman" w:hAnsi="Times New Roman" w:cs="Times New Roman"/>
          <w:color w:val="auto"/>
          <w:sz w:val="24"/>
        </w:rPr>
        <w:t xml:space="preserve">Tablica </w:t>
      </w:r>
      <w:r w:rsidR="005E088F" w:rsidRPr="00B51AE1">
        <w:rPr>
          <w:rFonts w:ascii="Times New Roman" w:hAnsi="Times New Roman" w:cs="Times New Roman"/>
          <w:color w:val="auto"/>
          <w:sz w:val="24"/>
        </w:rPr>
        <w:t>28</w:t>
      </w:r>
      <w:r w:rsidRPr="00B51AE1">
        <w:rPr>
          <w:rFonts w:ascii="Times New Roman" w:hAnsi="Times New Roman" w:cs="Times New Roman"/>
          <w:color w:val="auto"/>
          <w:sz w:val="24"/>
        </w:rPr>
        <w:t>.</w:t>
      </w:r>
      <w:r w:rsidRPr="00BD3BF4">
        <w:rPr>
          <w:rFonts w:ascii="Times New Roman" w:hAnsi="Times New Roman" w:cs="Times New Roman"/>
          <w:color w:val="auto"/>
          <w:sz w:val="24"/>
        </w:rPr>
        <w:t>)</w:t>
      </w:r>
      <w:r w:rsidR="00766BDA" w:rsidRPr="00BD3BF4">
        <w:rPr>
          <w:rFonts w:ascii="Times New Roman" w:hAnsi="Times New Roman" w:cs="Times New Roman"/>
          <w:color w:val="auto"/>
          <w:sz w:val="24"/>
        </w:rPr>
        <w:t>.</w:t>
      </w:r>
    </w:p>
    <w:p w14:paraId="37381453" w14:textId="7D70732A" w:rsidR="00A07A0E" w:rsidRDefault="00A07A0E" w:rsidP="0072429F">
      <w:pPr>
        <w:spacing w:after="0" w:line="240" w:lineRule="auto"/>
        <w:ind w:left="0" w:right="0" w:firstLine="709"/>
        <w:rPr>
          <w:rFonts w:ascii="Times New Roman" w:hAnsi="Times New Roman" w:cs="Times New Roman"/>
          <w:color w:val="auto"/>
          <w:sz w:val="24"/>
        </w:rPr>
      </w:pPr>
    </w:p>
    <w:p w14:paraId="59A963AF" w14:textId="5729358C" w:rsidR="00DF2734" w:rsidRPr="005E088F" w:rsidRDefault="00DF2734" w:rsidP="00DF2734">
      <w:pPr>
        <w:spacing w:after="160" w:line="259" w:lineRule="auto"/>
        <w:ind w:left="0" w:right="0" w:firstLine="0"/>
        <w:jc w:val="center"/>
        <w:rPr>
          <w:rFonts w:ascii="Times New Roman" w:eastAsia="Calibri" w:hAnsi="Times New Roman" w:cs="Times New Roman"/>
          <w:b/>
          <w:color w:val="auto"/>
          <w:sz w:val="24"/>
          <w:szCs w:val="24"/>
          <w:lang w:eastAsia="en-US"/>
        </w:rPr>
      </w:pPr>
      <w:bookmarkStart w:id="41" w:name="_Hlk108004721"/>
      <w:r w:rsidRPr="005E088F">
        <w:rPr>
          <w:rFonts w:ascii="Times New Roman" w:eastAsia="Calibri" w:hAnsi="Times New Roman" w:cs="Times New Roman"/>
          <w:b/>
          <w:bCs/>
          <w:color w:val="auto"/>
          <w:sz w:val="24"/>
          <w:szCs w:val="24"/>
          <w:lang w:eastAsia="en-US"/>
        </w:rPr>
        <w:t xml:space="preserve">Tablica </w:t>
      </w:r>
      <w:r w:rsidR="005E088F" w:rsidRPr="005E088F">
        <w:rPr>
          <w:rFonts w:ascii="Times New Roman" w:eastAsia="Calibri" w:hAnsi="Times New Roman" w:cs="Times New Roman"/>
          <w:b/>
          <w:bCs/>
          <w:color w:val="auto"/>
          <w:sz w:val="24"/>
          <w:szCs w:val="24"/>
          <w:lang w:eastAsia="en-US"/>
        </w:rPr>
        <w:t>28</w:t>
      </w:r>
      <w:r w:rsidRPr="005E088F">
        <w:rPr>
          <w:rFonts w:ascii="Times New Roman" w:eastAsia="Calibri" w:hAnsi="Times New Roman" w:cs="Times New Roman"/>
          <w:b/>
          <w:color w:val="auto"/>
          <w:sz w:val="24"/>
          <w:szCs w:val="24"/>
          <w:lang w:eastAsia="en-US"/>
        </w:rPr>
        <w:t>. Procjena zdravstveno-ekonomskih indikatora posljedica pandemije Covid-19 u Gradu Zagrebu</w:t>
      </w:r>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2"/>
        <w:gridCol w:w="1344"/>
        <w:gridCol w:w="1422"/>
        <w:gridCol w:w="1158"/>
        <w:gridCol w:w="2861"/>
        <w:gridCol w:w="365"/>
      </w:tblGrid>
      <w:tr w:rsidR="00DF2734" w:rsidRPr="00DF2734" w14:paraId="31CE10CD" w14:textId="77777777" w:rsidTr="0080065A">
        <w:trPr>
          <w:trHeight w:val="237"/>
          <w:jc w:val="center"/>
        </w:trPr>
        <w:tc>
          <w:tcPr>
            <w:tcW w:w="1912" w:type="dxa"/>
            <w:shd w:val="clear" w:color="auto" w:fill="FFC000"/>
            <w:vAlign w:val="center"/>
            <w:hideMark/>
          </w:tcPr>
          <w:p w14:paraId="52620C49" w14:textId="77777777" w:rsidR="00DF2734" w:rsidRPr="00DF2734" w:rsidRDefault="00DF2734" w:rsidP="00DF2734">
            <w:pPr>
              <w:spacing w:after="0" w:line="240" w:lineRule="auto"/>
              <w:ind w:left="0" w:right="0" w:firstLine="0"/>
              <w:jc w:val="center"/>
              <w:rPr>
                <w:rFonts w:ascii="Calibri" w:eastAsia="Times New Roman" w:hAnsi="Calibri" w:cs="Calibri"/>
                <w:b/>
                <w:bCs/>
              </w:rPr>
            </w:pPr>
            <w:r w:rsidRPr="00DF2734">
              <w:rPr>
                <w:rFonts w:ascii="Calibri" w:eastAsia="Times New Roman" w:hAnsi="Calibri" w:cs="Calibri"/>
                <w:b/>
                <w:bCs/>
              </w:rPr>
              <w:t>Trošak/Indikator</w:t>
            </w:r>
          </w:p>
        </w:tc>
        <w:tc>
          <w:tcPr>
            <w:tcW w:w="1344" w:type="dxa"/>
            <w:shd w:val="clear" w:color="auto" w:fill="FFC000"/>
            <w:vAlign w:val="center"/>
            <w:hideMark/>
          </w:tcPr>
          <w:p w14:paraId="167E32F3" w14:textId="77777777" w:rsidR="00DF2734" w:rsidRPr="00DF2734" w:rsidRDefault="00DF2734" w:rsidP="00DF2734">
            <w:pPr>
              <w:spacing w:after="0" w:line="240" w:lineRule="auto"/>
              <w:ind w:left="0" w:right="0" w:firstLine="0"/>
              <w:jc w:val="center"/>
              <w:rPr>
                <w:rFonts w:ascii="Calibri" w:eastAsia="Times New Roman" w:hAnsi="Calibri" w:cs="Calibri"/>
                <w:b/>
                <w:bCs/>
              </w:rPr>
            </w:pPr>
            <w:r w:rsidRPr="00DF2734">
              <w:rPr>
                <w:rFonts w:ascii="Calibri" w:eastAsia="Times New Roman" w:hAnsi="Calibri" w:cs="Calibri"/>
                <w:b/>
                <w:bCs/>
              </w:rPr>
              <w:t>Razdoblje</w:t>
            </w:r>
          </w:p>
        </w:tc>
        <w:tc>
          <w:tcPr>
            <w:tcW w:w="1422" w:type="dxa"/>
            <w:shd w:val="clear" w:color="auto" w:fill="FFC000"/>
            <w:vAlign w:val="center"/>
            <w:hideMark/>
          </w:tcPr>
          <w:p w14:paraId="0275535F" w14:textId="77777777" w:rsidR="00DF2734" w:rsidRPr="00DF2734" w:rsidRDefault="00DF2734" w:rsidP="00DF2734">
            <w:pPr>
              <w:spacing w:after="0" w:line="240" w:lineRule="auto"/>
              <w:ind w:left="0" w:right="0" w:firstLine="0"/>
              <w:jc w:val="center"/>
              <w:rPr>
                <w:rFonts w:ascii="Calibri" w:eastAsia="Times New Roman" w:hAnsi="Calibri" w:cs="Calibri"/>
                <w:b/>
                <w:bCs/>
              </w:rPr>
            </w:pPr>
            <w:r w:rsidRPr="00DF2734">
              <w:rPr>
                <w:rFonts w:ascii="Calibri" w:eastAsia="Times New Roman" w:hAnsi="Calibri" w:cs="Calibri"/>
                <w:b/>
                <w:bCs/>
              </w:rPr>
              <w:t>Broj</w:t>
            </w:r>
          </w:p>
        </w:tc>
        <w:tc>
          <w:tcPr>
            <w:tcW w:w="1158" w:type="dxa"/>
            <w:shd w:val="clear" w:color="auto" w:fill="FFC000"/>
            <w:vAlign w:val="center"/>
            <w:hideMark/>
          </w:tcPr>
          <w:p w14:paraId="6A0C14BD" w14:textId="77777777" w:rsidR="00DF2734" w:rsidRPr="00DF2734" w:rsidRDefault="00DF2734" w:rsidP="00DF2734">
            <w:pPr>
              <w:spacing w:after="0" w:line="240" w:lineRule="auto"/>
              <w:ind w:left="0" w:right="0" w:firstLine="0"/>
              <w:jc w:val="center"/>
              <w:rPr>
                <w:rFonts w:ascii="Calibri" w:eastAsia="Times New Roman" w:hAnsi="Calibri" w:cs="Calibri"/>
                <w:b/>
                <w:bCs/>
              </w:rPr>
            </w:pPr>
            <w:r w:rsidRPr="00DF2734">
              <w:rPr>
                <w:rFonts w:ascii="Calibri" w:eastAsia="Times New Roman" w:hAnsi="Calibri" w:cs="Calibri"/>
                <w:b/>
                <w:bCs/>
              </w:rPr>
              <w:t>Iznos (M - milijuna HRK)</w:t>
            </w:r>
          </w:p>
        </w:tc>
        <w:tc>
          <w:tcPr>
            <w:tcW w:w="3226" w:type="dxa"/>
            <w:gridSpan w:val="2"/>
            <w:shd w:val="clear" w:color="auto" w:fill="FFC000"/>
            <w:vAlign w:val="center"/>
            <w:hideMark/>
          </w:tcPr>
          <w:p w14:paraId="6C847D76" w14:textId="77777777" w:rsidR="00DF2734" w:rsidRPr="00DF2734" w:rsidRDefault="00DF2734" w:rsidP="00DF2734">
            <w:pPr>
              <w:spacing w:after="0" w:line="240" w:lineRule="auto"/>
              <w:ind w:left="0" w:right="0" w:firstLine="0"/>
              <w:jc w:val="center"/>
              <w:rPr>
                <w:rFonts w:ascii="Calibri" w:eastAsia="Times New Roman" w:hAnsi="Calibri" w:cs="Calibri"/>
                <w:b/>
                <w:bCs/>
              </w:rPr>
            </w:pPr>
            <w:r w:rsidRPr="00DF2734">
              <w:rPr>
                <w:rFonts w:ascii="Calibri" w:eastAsia="Times New Roman" w:hAnsi="Calibri" w:cs="Calibri"/>
                <w:b/>
                <w:bCs/>
              </w:rPr>
              <w:t>Napomena</w:t>
            </w:r>
          </w:p>
        </w:tc>
      </w:tr>
      <w:tr w:rsidR="00DF2734" w:rsidRPr="00DF2734" w14:paraId="79818F85" w14:textId="77777777" w:rsidTr="0080065A">
        <w:trPr>
          <w:trHeight w:val="223"/>
          <w:jc w:val="center"/>
        </w:trPr>
        <w:tc>
          <w:tcPr>
            <w:tcW w:w="1912" w:type="dxa"/>
            <w:shd w:val="clear" w:color="auto" w:fill="auto"/>
            <w:vAlign w:val="center"/>
            <w:hideMark/>
          </w:tcPr>
          <w:p w14:paraId="496768E8"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Broj oboljelih</w:t>
            </w:r>
          </w:p>
        </w:tc>
        <w:tc>
          <w:tcPr>
            <w:tcW w:w="1344" w:type="dxa"/>
            <w:vMerge w:val="restart"/>
            <w:shd w:val="clear" w:color="auto" w:fill="auto"/>
            <w:vAlign w:val="center"/>
            <w:hideMark/>
          </w:tcPr>
          <w:p w14:paraId="1F305D5B"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1.3.2020.-3.05.2022.</w:t>
            </w:r>
          </w:p>
          <w:p w14:paraId="1D7A3411"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 </w:t>
            </w:r>
          </w:p>
        </w:tc>
        <w:tc>
          <w:tcPr>
            <w:tcW w:w="1422" w:type="dxa"/>
            <w:shd w:val="clear" w:color="auto" w:fill="auto"/>
            <w:vAlign w:val="center"/>
            <w:hideMark/>
          </w:tcPr>
          <w:p w14:paraId="742C3901"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251.717</w:t>
            </w:r>
          </w:p>
        </w:tc>
        <w:tc>
          <w:tcPr>
            <w:tcW w:w="1158" w:type="dxa"/>
            <w:shd w:val="clear" w:color="auto" w:fill="auto"/>
            <w:noWrap/>
            <w:vAlign w:val="bottom"/>
            <w:hideMark/>
          </w:tcPr>
          <w:p w14:paraId="5F93CA7B" w14:textId="77777777" w:rsidR="00DF2734" w:rsidRPr="00DF2734" w:rsidRDefault="00DF2734" w:rsidP="00DF2734">
            <w:pPr>
              <w:spacing w:after="0" w:line="240" w:lineRule="auto"/>
              <w:ind w:left="0" w:right="0" w:firstLine="0"/>
              <w:jc w:val="center"/>
              <w:rPr>
                <w:rFonts w:ascii="Calibri" w:eastAsia="Times New Roman" w:hAnsi="Calibri" w:cs="Calibri"/>
              </w:rPr>
            </w:pPr>
            <w:r w:rsidRPr="00DF2734">
              <w:rPr>
                <w:rFonts w:ascii="Calibri" w:eastAsia="Times New Roman" w:hAnsi="Calibri" w:cs="Calibri"/>
              </w:rPr>
              <w:t>n.p. </w:t>
            </w:r>
          </w:p>
        </w:tc>
        <w:tc>
          <w:tcPr>
            <w:tcW w:w="3226" w:type="dxa"/>
            <w:gridSpan w:val="2"/>
            <w:shd w:val="clear" w:color="auto" w:fill="auto"/>
            <w:vAlign w:val="center"/>
            <w:hideMark/>
          </w:tcPr>
          <w:p w14:paraId="43CBB8E9"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 </w:t>
            </w:r>
          </w:p>
        </w:tc>
      </w:tr>
      <w:tr w:rsidR="00DF2734" w:rsidRPr="00DF2734" w14:paraId="51F35D34" w14:textId="77777777" w:rsidTr="0080065A">
        <w:trPr>
          <w:trHeight w:val="223"/>
          <w:jc w:val="center"/>
        </w:trPr>
        <w:tc>
          <w:tcPr>
            <w:tcW w:w="1912" w:type="dxa"/>
            <w:shd w:val="clear" w:color="auto" w:fill="auto"/>
            <w:vAlign w:val="center"/>
            <w:hideMark/>
          </w:tcPr>
          <w:p w14:paraId="7A6BC917"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Broj umrlih</w:t>
            </w:r>
          </w:p>
        </w:tc>
        <w:tc>
          <w:tcPr>
            <w:tcW w:w="1344" w:type="dxa"/>
            <w:vMerge/>
            <w:shd w:val="clear" w:color="auto" w:fill="auto"/>
            <w:vAlign w:val="center"/>
            <w:hideMark/>
          </w:tcPr>
          <w:p w14:paraId="140E673A" w14:textId="77777777" w:rsidR="00DF2734" w:rsidRPr="00DF2734" w:rsidRDefault="00DF2734" w:rsidP="00DF2734">
            <w:pPr>
              <w:spacing w:after="0" w:line="240" w:lineRule="auto"/>
              <w:ind w:left="0" w:right="0" w:firstLine="0"/>
              <w:jc w:val="left"/>
              <w:rPr>
                <w:rFonts w:ascii="Calibri" w:eastAsia="Times New Roman" w:hAnsi="Calibri" w:cs="Calibri"/>
              </w:rPr>
            </w:pPr>
          </w:p>
        </w:tc>
        <w:tc>
          <w:tcPr>
            <w:tcW w:w="1422" w:type="dxa"/>
            <w:shd w:val="clear" w:color="auto" w:fill="auto"/>
            <w:vAlign w:val="center"/>
            <w:hideMark/>
          </w:tcPr>
          <w:p w14:paraId="079AD6E5"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4.857</w:t>
            </w:r>
          </w:p>
        </w:tc>
        <w:tc>
          <w:tcPr>
            <w:tcW w:w="1158" w:type="dxa"/>
            <w:shd w:val="clear" w:color="auto" w:fill="auto"/>
            <w:noWrap/>
            <w:vAlign w:val="bottom"/>
            <w:hideMark/>
          </w:tcPr>
          <w:p w14:paraId="5A32B2DB" w14:textId="77777777" w:rsidR="00DF2734" w:rsidRPr="00DF2734" w:rsidRDefault="00DF2734" w:rsidP="00DF2734">
            <w:pPr>
              <w:spacing w:after="0" w:line="240" w:lineRule="auto"/>
              <w:ind w:left="0" w:right="0" w:firstLine="0"/>
              <w:jc w:val="center"/>
              <w:rPr>
                <w:rFonts w:ascii="Calibri" w:eastAsia="Times New Roman" w:hAnsi="Calibri" w:cs="Calibri"/>
              </w:rPr>
            </w:pPr>
            <w:r w:rsidRPr="00DF2734">
              <w:rPr>
                <w:rFonts w:ascii="Calibri" w:eastAsia="Times New Roman" w:hAnsi="Calibri" w:cs="Calibri"/>
              </w:rPr>
              <w:t>n.p. </w:t>
            </w:r>
          </w:p>
        </w:tc>
        <w:tc>
          <w:tcPr>
            <w:tcW w:w="3226" w:type="dxa"/>
            <w:gridSpan w:val="2"/>
            <w:shd w:val="clear" w:color="auto" w:fill="auto"/>
            <w:vAlign w:val="center"/>
            <w:hideMark/>
          </w:tcPr>
          <w:p w14:paraId="66046714"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 </w:t>
            </w:r>
          </w:p>
        </w:tc>
      </w:tr>
      <w:tr w:rsidR="00DF2734" w:rsidRPr="00DF2734" w14:paraId="2878A211" w14:textId="77777777" w:rsidTr="0080065A">
        <w:trPr>
          <w:trHeight w:val="447"/>
          <w:jc w:val="center"/>
        </w:trPr>
        <w:tc>
          <w:tcPr>
            <w:tcW w:w="1912" w:type="dxa"/>
            <w:shd w:val="clear" w:color="auto" w:fill="auto"/>
            <w:vAlign w:val="center"/>
            <w:hideMark/>
          </w:tcPr>
          <w:p w14:paraId="004B8629"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Ukupno utrošene doze cjepiva</w:t>
            </w:r>
          </w:p>
        </w:tc>
        <w:tc>
          <w:tcPr>
            <w:tcW w:w="1344" w:type="dxa"/>
            <w:shd w:val="clear" w:color="auto" w:fill="auto"/>
            <w:vAlign w:val="center"/>
            <w:hideMark/>
          </w:tcPr>
          <w:p w14:paraId="7E4B6434" w14:textId="77777777" w:rsidR="0080065A" w:rsidRDefault="0080065A" w:rsidP="00DF2734">
            <w:pPr>
              <w:spacing w:after="0" w:line="240" w:lineRule="auto"/>
              <w:ind w:left="0" w:right="0" w:firstLine="0"/>
              <w:jc w:val="left"/>
              <w:rPr>
                <w:rFonts w:ascii="Calibri" w:eastAsia="Times New Roman" w:hAnsi="Calibri" w:cs="Calibri"/>
              </w:rPr>
            </w:pPr>
          </w:p>
          <w:p w14:paraId="6C668671" w14:textId="46656F09"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27.12.2020</w:t>
            </w:r>
            <w:r w:rsidR="0080065A">
              <w:rPr>
                <w:rFonts w:ascii="Calibri" w:eastAsia="Times New Roman" w:hAnsi="Calibri" w:cs="Calibri"/>
              </w:rPr>
              <w:t>.</w:t>
            </w:r>
            <w:r w:rsidRPr="00DF2734">
              <w:rPr>
                <w:rFonts w:ascii="Calibri" w:eastAsia="Times New Roman" w:hAnsi="Calibri" w:cs="Calibri"/>
              </w:rPr>
              <w:t xml:space="preserve"> - 11.5.2022.</w:t>
            </w:r>
          </w:p>
          <w:p w14:paraId="34409C0F" w14:textId="77777777" w:rsidR="00DF2734" w:rsidRPr="00DF2734" w:rsidRDefault="00DF2734" w:rsidP="00DF2734">
            <w:pPr>
              <w:spacing w:after="0" w:line="240" w:lineRule="auto"/>
              <w:ind w:left="0" w:right="0" w:firstLine="0"/>
              <w:jc w:val="left"/>
              <w:rPr>
                <w:rFonts w:ascii="Calibri" w:eastAsia="Times New Roman" w:hAnsi="Calibri" w:cs="Calibri"/>
              </w:rPr>
            </w:pPr>
          </w:p>
          <w:p w14:paraId="2DAFA8D1" w14:textId="77777777" w:rsidR="00DF2734" w:rsidRPr="00DF2734" w:rsidRDefault="00DF2734" w:rsidP="00DF2734">
            <w:pPr>
              <w:spacing w:after="0" w:line="240" w:lineRule="auto"/>
              <w:ind w:left="0" w:right="0" w:firstLine="0"/>
              <w:jc w:val="left"/>
              <w:rPr>
                <w:rFonts w:ascii="Calibri" w:eastAsia="Times New Roman" w:hAnsi="Calibri" w:cs="Calibri"/>
              </w:rPr>
            </w:pPr>
          </w:p>
          <w:p w14:paraId="46EC2AB3" w14:textId="77777777" w:rsidR="00DF2734" w:rsidRPr="00DF2734" w:rsidRDefault="00DF2734" w:rsidP="00DF2734">
            <w:pPr>
              <w:spacing w:after="0" w:line="240" w:lineRule="auto"/>
              <w:ind w:left="0" w:right="0" w:firstLine="0"/>
              <w:jc w:val="left"/>
              <w:rPr>
                <w:rFonts w:ascii="Calibri" w:eastAsia="Times New Roman" w:hAnsi="Calibri" w:cs="Calibri"/>
              </w:rPr>
            </w:pPr>
          </w:p>
        </w:tc>
        <w:tc>
          <w:tcPr>
            <w:tcW w:w="1422" w:type="dxa"/>
            <w:shd w:val="clear" w:color="auto" w:fill="auto"/>
            <w:vAlign w:val="center"/>
            <w:hideMark/>
          </w:tcPr>
          <w:p w14:paraId="6D2EE785" w14:textId="77777777" w:rsidR="00DF2734" w:rsidRPr="00DF2734" w:rsidRDefault="00DF2734" w:rsidP="00DF2734">
            <w:pPr>
              <w:spacing w:after="0" w:line="240" w:lineRule="auto"/>
              <w:ind w:left="0" w:right="0" w:firstLine="0"/>
              <w:jc w:val="left"/>
              <w:rPr>
                <w:rFonts w:ascii="Calibri" w:eastAsia="Times New Roman" w:hAnsi="Calibri" w:cs="Calibri"/>
                <w:color w:val="auto"/>
              </w:rPr>
            </w:pPr>
            <w:r w:rsidRPr="00DF2734">
              <w:rPr>
                <w:rFonts w:ascii="Calibri" w:eastAsia="Times New Roman" w:hAnsi="Calibri" w:cs="Calibri"/>
                <w:color w:val="auto"/>
              </w:rPr>
              <w:t>5.248.022,00</w:t>
            </w:r>
          </w:p>
        </w:tc>
        <w:tc>
          <w:tcPr>
            <w:tcW w:w="1158" w:type="dxa"/>
            <w:shd w:val="clear" w:color="auto" w:fill="auto"/>
            <w:vAlign w:val="center"/>
            <w:hideMark/>
          </w:tcPr>
          <w:p w14:paraId="3B74D8FF" w14:textId="77777777" w:rsidR="00DF2734" w:rsidRPr="00DF2734" w:rsidRDefault="00DF2734" w:rsidP="00DF2734">
            <w:pPr>
              <w:spacing w:after="0" w:line="240" w:lineRule="auto"/>
              <w:ind w:left="0" w:right="0" w:firstLine="0"/>
              <w:jc w:val="center"/>
              <w:rPr>
                <w:rFonts w:ascii="Calibri" w:eastAsia="Times New Roman" w:hAnsi="Calibri" w:cs="Calibri"/>
              </w:rPr>
            </w:pPr>
            <w:r w:rsidRPr="00DF2734">
              <w:rPr>
                <w:rFonts w:ascii="Calibri" w:eastAsia="Times New Roman" w:hAnsi="Calibri" w:cs="Calibri"/>
              </w:rPr>
              <w:t> n.p.</w:t>
            </w:r>
          </w:p>
        </w:tc>
        <w:tc>
          <w:tcPr>
            <w:tcW w:w="3226" w:type="dxa"/>
            <w:gridSpan w:val="2"/>
            <w:shd w:val="clear" w:color="auto" w:fill="auto"/>
            <w:noWrap/>
            <w:vAlign w:val="bottom"/>
            <w:hideMark/>
          </w:tcPr>
          <w:p w14:paraId="0CB575E6"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Za ovu procjenu troška pandemije nisu ishodovani i uključeni podatci utroška nabave cjepiva za područje Grada Zagreba</w:t>
            </w:r>
          </w:p>
        </w:tc>
      </w:tr>
      <w:tr w:rsidR="00DF2734" w:rsidRPr="00DF2734" w14:paraId="6808EA5F" w14:textId="77777777" w:rsidTr="0080065A">
        <w:trPr>
          <w:trHeight w:val="1035"/>
          <w:jc w:val="center"/>
        </w:trPr>
        <w:tc>
          <w:tcPr>
            <w:tcW w:w="1912" w:type="dxa"/>
            <w:shd w:val="clear" w:color="auto" w:fill="auto"/>
            <w:vAlign w:val="center"/>
            <w:hideMark/>
          </w:tcPr>
          <w:p w14:paraId="36EE31C8"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Ukupno utrošak liječenja, bolovanja i karantene</w:t>
            </w:r>
          </w:p>
        </w:tc>
        <w:tc>
          <w:tcPr>
            <w:tcW w:w="1344" w:type="dxa"/>
            <w:shd w:val="clear" w:color="auto" w:fill="auto"/>
            <w:vAlign w:val="center"/>
            <w:hideMark/>
          </w:tcPr>
          <w:p w14:paraId="6AF883B2"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1.2.2020.-30.4.2022. </w:t>
            </w:r>
          </w:p>
        </w:tc>
        <w:tc>
          <w:tcPr>
            <w:tcW w:w="1422" w:type="dxa"/>
            <w:shd w:val="clear" w:color="auto" w:fill="auto"/>
            <w:noWrap/>
            <w:vAlign w:val="bottom"/>
            <w:hideMark/>
          </w:tcPr>
          <w:p w14:paraId="5AE12CCA"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 </w:t>
            </w:r>
          </w:p>
        </w:tc>
        <w:tc>
          <w:tcPr>
            <w:tcW w:w="1158" w:type="dxa"/>
            <w:shd w:val="clear" w:color="auto" w:fill="auto"/>
            <w:vAlign w:val="center"/>
            <w:hideMark/>
          </w:tcPr>
          <w:p w14:paraId="0B80153B" w14:textId="77777777" w:rsidR="00DF2734" w:rsidRPr="00DF2734" w:rsidRDefault="00DF2734" w:rsidP="00DF2734">
            <w:pPr>
              <w:spacing w:after="0" w:line="240" w:lineRule="auto"/>
              <w:ind w:left="0" w:right="0" w:firstLine="0"/>
              <w:jc w:val="center"/>
              <w:rPr>
                <w:rFonts w:ascii="Calibri" w:eastAsia="Times New Roman" w:hAnsi="Calibri" w:cs="Calibri"/>
              </w:rPr>
            </w:pPr>
            <w:r w:rsidRPr="00DF2734">
              <w:rPr>
                <w:rFonts w:ascii="Calibri" w:eastAsia="Times New Roman" w:hAnsi="Calibri" w:cs="Calibri"/>
              </w:rPr>
              <w:t>673,06</w:t>
            </w:r>
          </w:p>
        </w:tc>
        <w:tc>
          <w:tcPr>
            <w:tcW w:w="3226" w:type="dxa"/>
            <w:gridSpan w:val="2"/>
            <w:shd w:val="clear" w:color="auto" w:fill="auto"/>
            <w:vAlign w:val="center"/>
            <w:hideMark/>
          </w:tcPr>
          <w:p w14:paraId="4BBB35B9"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Trošak liječenja prikazan je sukladno administrativnim funkcionalnostima HZZO zbirno za Grad Zagreb i Zagrebačku županiju.</w:t>
            </w:r>
          </w:p>
        </w:tc>
      </w:tr>
      <w:tr w:rsidR="00DF2734" w:rsidRPr="00DF2734" w14:paraId="5CA1DB3C" w14:textId="77777777" w:rsidTr="0080065A">
        <w:trPr>
          <w:trHeight w:val="671"/>
          <w:jc w:val="center"/>
        </w:trPr>
        <w:tc>
          <w:tcPr>
            <w:tcW w:w="1912" w:type="dxa"/>
            <w:shd w:val="clear" w:color="auto" w:fill="auto"/>
            <w:vAlign w:val="center"/>
            <w:hideMark/>
          </w:tcPr>
          <w:p w14:paraId="39143B7E"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Uspostava cijepnih lokacija i protuepidemijskih mjera higijene</w:t>
            </w:r>
          </w:p>
        </w:tc>
        <w:tc>
          <w:tcPr>
            <w:tcW w:w="1344" w:type="dxa"/>
            <w:vMerge w:val="restart"/>
            <w:shd w:val="clear" w:color="auto" w:fill="auto"/>
            <w:vAlign w:val="center"/>
            <w:hideMark/>
          </w:tcPr>
          <w:p w14:paraId="583B29B6"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 1.3.2020 – 30.4.2022</w:t>
            </w:r>
          </w:p>
          <w:p w14:paraId="70BC1C42"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 </w:t>
            </w:r>
          </w:p>
        </w:tc>
        <w:tc>
          <w:tcPr>
            <w:tcW w:w="1422" w:type="dxa"/>
            <w:shd w:val="clear" w:color="auto" w:fill="auto"/>
            <w:vAlign w:val="center"/>
            <w:hideMark/>
          </w:tcPr>
          <w:p w14:paraId="7B94F474"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 </w:t>
            </w:r>
          </w:p>
        </w:tc>
        <w:tc>
          <w:tcPr>
            <w:tcW w:w="1158" w:type="dxa"/>
            <w:shd w:val="clear" w:color="auto" w:fill="auto"/>
            <w:noWrap/>
            <w:vAlign w:val="bottom"/>
            <w:hideMark/>
          </w:tcPr>
          <w:p w14:paraId="1C72F650" w14:textId="77777777" w:rsidR="00DF2734" w:rsidRPr="00DF2734" w:rsidRDefault="00DF2734" w:rsidP="00DF2734">
            <w:pPr>
              <w:spacing w:after="0" w:line="240" w:lineRule="auto"/>
              <w:ind w:left="0" w:right="0" w:firstLine="0"/>
              <w:jc w:val="center"/>
              <w:rPr>
                <w:rFonts w:ascii="Calibri" w:eastAsia="Times New Roman" w:hAnsi="Calibri" w:cs="Calibri"/>
              </w:rPr>
            </w:pPr>
            <w:r w:rsidRPr="00DF2734">
              <w:rPr>
                <w:rFonts w:ascii="Calibri" w:eastAsia="Times New Roman" w:hAnsi="Calibri" w:cs="Calibri"/>
              </w:rPr>
              <w:t>138,96</w:t>
            </w:r>
          </w:p>
        </w:tc>
        <w:tc>
          <w:tcPr>
            <w:tcW w:w="3226" w:type="dxa"/>
            <w:gridSpan w:val="2"/>
            <w:shd w:val="clear" w:color="auto" w:fill="auto"/>
            <w:vAlign w:val="center"/>
            <w:hideMark/>
          </w:tcPr>
          <w:p w14:paraId="01600B65"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 </w:t>
            </w:r>
          </w:p>
        </w:tc>
      </w:tr>
      <w:tr w:rsidR="00DF2734" w:rsidRPr="00DF2734" w14:paraId="1FDC4D6A" w14:textId="77777777" w:rsidTr="0080065A">
        <w:trPr>
          <w:trHeight w:val="447"/>
          <w:jc w:val="center"/>
        </w:trPr>
        <w:tc>
          <w:tcPr>
            <w:tcW w:w="1912" w:type="dxa"/>
            <w:shd w:val="clear" w:color="auto" w:fill="auto"/>
            <w:vAlign w:val="center"/>
            <w:hideMark/>
          </w:tcPr>
          <w:p w14:paraId="486479D2"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Dežurstva i pozivni centri - usluge savjetovanja</w:t>
            </w:r>
          </w:p>
        </w:tc>
        <w:tc>
          <w:tcPr>
            <w:tcW w:w="1344" w:type="dxa"/>
            <w:vMerge/>
            <w:shd w:val="clear" w:color="auto" w:fill="auto"/>
            <w:vAlign w:val="center"/>
            <w:hideMark/>
          </w:tcPr>
          <w:p w14:paraId="51A2373E" w14:textId="77777777" w:rsidR="00DF2734" w:rsidRPr="00DF2734" w:rsidRDefault="00DF2734" w:rsidP="00DF2734">
            <w:pPr>
              <w:spacing w:after="0" w:line="240" w:lineRule="auto"/>
              <w:ind w:left="0" w:right="0" w:firstLine="0"/>
              <w:jc w:val="left"/>
              <w:rPr>
                <w:rFonts w:ascii="Times New Roman" w:eastAsia="Times New Roman" w:hAnsi="Times New Roman" w:cs="Times New Roman"/>
                <w:color w:val="auto"/>
              </w:rPr>
            </w:pPr>
          </w:p>
        </w:tc>
        <w:tc>
          <w:tcPr>
            <w:tcW w:w="1422" w:type="dxa"/>
            <w:shd w:val="clear" w:color="auto" w:fill="auto"/>
            <w:vAlign w:val="center"/>
            <w:hideMark/>
          </w:tcPr>
          <w:p w14:paraId="572E2A13" w14:textId="77777777" w:rsidR="00DF2734" w:rsidRPr="00DF2734" w:rsidRDefault="00DF2734" w:rsidP="00DF2734">
            <w:pPr>
              <w:spacing w:after="0" w:line="240" w:lineRule="auto"/>
              <w:ind w:left="0" w:right="0" w:firstLine="0"/>
              <w:jc w:val="left"/>
              <w:rPr>
                <w:rFonts w:ascii="Times New Roman" w:eastAsia="Times New Roman" w:hAnsi="Times New Roman" w:cs="Times New Roman"/>
                <w:color w:val="auto"/>
              </w:rPr>
            </w:pPr>
          </w:p>
        </w:tc>
        <w:tc>
          <w:tcPr>
            <w:tcW w:w="1158" w:type="dxa"/>
            <w:shd w:val="clear" w:color="auto" w:fill="auto"/>
            <w:vAlign w:val="center"/>
            <w:hideMark/>
          </w:tcPr>
          <w:p w14:paraId="211111F7" w14:textId="77777777" w:rsidR="00DF2734" w:rsidRPr="00DF2734" w:rsidRDefault="00DF2734" w:rsidP="00DF2734">
            <w:pPr>
              <w:spacing w:after="0" w:line="240" w:lineRule="auto"/>
              <w:ind w:left="0" w:right="0" w:firstLine="0"/>
              <w:jc w:val="center"/>
              <w:rPr>
                <w:rFonts w:ascii="Calibri" w:eastAsia="Times New Roman" w:hAnsi="Calibri" w:cs="Calibri"/>
                <w:color w:val="auto"/>
              </w:rPr>
            </w:pPr>
            <w:r w:rsidRPr="00DF2734">
              <w:rPr>
                <w:rFonts w:ascii="Calibri" w:eastAsia="Times New Roman" w:hAnsi="Calibri" w:cs="Calibri"/>
                <w:color w:val="auto"/>
              </w:rPr>
              <w:t>32,34</w:t>
            </w:r>
          </w:p>
        </w:tc>
        <w:tc>
          <w:tcPr>
            <w:tcW w:w="3226" w:type="dxa"/>
            <w:gridSpan w:val="2"/>
            <w:shd w:val="clear" w:color="auto" w:fill="auto"/>
            <w:vAlign w:val="center"/>
            <w:hideMark/>
          </w:tcPr>
          <w:p w14:paraId="26EAFC43" w14:textId="77777777" w:rsidR="00DF2734" w:rsidRPr="00DF2734" w:rsidRDefault="00DF2734" w:rsidP="00DF2734">
            <w:pPr>
              <w:spacing w:after="0" w:line="240" w:lineRule="auto"/>
              <w:ind w:left="0" w:right="0" w:firstLine="0"/>
              <w:jc w:val="center"/>
              <w:rPr>
                <w:rFonts w:ascii="Calibri" w:eastAsia="Times New Roman" w:hAnsi="Calibri" w:cs="Calibri"/>
                <w:b/>
                <w:bCs/>
                <w:color w:val="auto"/>
              </w:rPr>
            </w:pPr>
          </w:p>
        </w:tc>
      </w:tr>
      <w:tr w:rsidR="00DF2734" w:rsidRPr="00DF2734" w14:paraId="3DC91512" w14:textId="77777777" w:rsidTr="0080065A">
        <w:trPr>
          <w:trHeight w:val="447"/>
          <w:jc w:val="center"/>
        </w:trPr>
        <w:tc>
          <w:tcPr>
            <w:tcW w:w="1912" w:type="dxa"/>
            <w:shd w:val="clear" w:color="auto" w:fill="auto"/>
            <w:vAlign w:val="center"/>
            <w:hideMark/>
          </w:tcPr>
          <w:p w14:paraId="6192A263"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Uspostava i provedba testiranja</w:t>
            </w:r>
          </w:p>
        </w:tc>
        <w:tc>
          <w:tcPr>
            <w:tcW w:w="1344" w:type="dxa"/>
            <w:vMerge/>
            <w:shd w:val="clear" w:color="auto" w:fill="auto"/>
            <w:vAlign w:val="center"/>
            <w:hideMark/>
          </w:tcPr>
          <w:p w14:paraId="516CA9B9" w14:textId="77777777" w:rsidR="00DF2734" w:rsidRPr="00DF2734" w:rsidRDefault="00DF2734" w:rsidP="00DF2734">
            <w:pPr>
              <w:spacing w:after="0" w:line="240" w:lineRule="auto"/>
              <w:ind w:left="0" w:right="0" w:firstLine="0"/>
              <w:jc w:val="left"/>
              <w:rPr>
                <w:rFonts w:ascii="Calibri" w:eastAsia="Times New Roman" w:hAnsi="Calibri" w:cs="Calibri"/>
              </w:rPr>
            </w:pPr>
          </w:p>
        </w:tc>
        <w:tc>
          <w:tcPr>
            <w:tcW w:w="1422" w:type="dxa"/>
            <w:shd w:val="clear" w:color="auto" w:fill="auto"/>
            <w:vAlign w:val="center"/>
            <w:hideMark/>
          </w:tcPr>
          <w:p w14:paraId="50B7FE6A"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 </w:t>
            </w:r>
          </w:p>
        </w:tc>
        <w:tc>
          <w:tcPr>
            <w:tcW w:w="1158" w:type="dxa"/>
            <w:shd w:val="clear" w:color="auto" w:fill="auto"/>
            <w:vAlign w:val="center"/>
            <w:hideMark/>
          </w:tcPr>
          <w:p w14:paraId="3DA80B0A" w14:textId="77777777" w:rsidR="00DF2734" w:rsidRPr="00DF2734" w:rsidRDefault="00DF2734" w:rsidP="00DF2734">
            <w:pPr>
              <w:spacing w:after="0" w:line="240" w:lineRule="auto"/>
              <w:ind w:left="0" w:right="0" w:firstLine="0"/>
              <w:jc w:val="center"/>
              <w:rPr>
                <w:rFonts w:ascii="Calibri" w:eastAsia="Times New Roman" w:hAnsi="Calibri" w:cs="Calibri"/>
                <w:color w:val="auto"/>
              </w:rPr>
            </w:pPr>
            <w:r w:rsidRPr="00DF2734">
              <w:rPr>
                <w:rFonts w:ascii="Calibri" w:eastAsia="Times New Roman" w:hAnsi="Calibri" w:cs="Calibri"/>
                <w:color w:val="auto"/>
              </w:rPr>
              <w:t>767,35</w:t>
            </w:r>
          </w:p>
        </w:tc>
        <w:tc>
          <w:tcPr>
            <w:tcW w:w="3226" w:type="dxa"/>
            <w:gridSpan w:val="2"/>
            <w:shd w:val="clear" w:color="auto" w:fill="auto"/>
            <w:vAlign w:val="center"/>
            <w:hideMark/>
          </w:tcPr>
          <w:p w14:paraId="72BC5300"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 </w:t>
            </w:r>
          </w:p>
        </w:tc>
      </w:tr>
      <w:tr w:rsidR="00DF2734" w:rsidRPr="00DF2734" w14:paraId="611EB9DA" w14:textId="77777777" w:rsidTr="0080065A">
        <w:trPr>
          <w:trHeight w:val="447"/>
          <w:jc w:val="center"/>
        </w:trPr>
        <w:tc>
          <w:tcPr>
            <w:tcW w:w="1912" w:type="dxa"/>
            <w:shd w:val="clear" w:color="auto" w:fill="auto"/>
            <w:vAlign w:val="center"/>
            <w:hideMark/>
          </w:tcPr>
          <w:p w14:paraId="663A26EF"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Potpore i povrati lokalne i nacionalne razine</w:t>
            </w:r>
          </w:p>
        </w:tc>
        <w:tc>
          <w:tcPr>
            <w:tcW w:w="1344" w:type="dxa"/>
            <w:shd w:val="clear" w:color="auto" w:fill="auto"/>
            <w:noWrap/>
            <w:vAlign w:val="bottom"/>
            <w:hideMark/>
          </w:tcPr>
          <w:p w14:paraId="5FF47F08" w14:textId="77777777" w:rsidR="00DF2734" w:rsidRPr="00DF2734" w:rsidRDefault="00DF2734" w:rsidP="00DF2734">
            <w:pPr>
              <w:spacing w:after="0" w:line="240" w:lineRule="auto"/>
              <w:ind w:left="0" w:right="0" w:firstLine="0"/>
              <w:jc w:val="left"/>
              <w:rPr>
                <w:rFonts w:ascii="Times New Roman" w:eastAsia="Times New Roman" w:hAnsi="Times New Roman" w:cs="Times New Roman"/>
                <w:color w:val="auto"/>
              </w:rPr>
            </w:pPr>
            <w:r w:rsidRPr="00DF2734">
              <w:rPr>
                <w:rFonts w:ascii="Times New Roman" w:eastAsia="Times New Roman" w:hAnsi="Times New Roman" w:cs="Times New Roman"/>
                <w:color w:val="auto"/>
              </w:rPr>
              <w:t>2020. i 2021.</w:t>
            </w:r>
          </w:p>
        </w:tc>
        <w:tc>
          <w:tcPr>
            <w:tcW w:w="1422" w:type="dxa"/>
            <w:shd w:val="clear" w:color="auto" w:fill="auto"/>
            <w:noWrap/>
            <w:vAlign w:val="bottom"/>
            <w:hideMark/>
          </w:tcPr>
          <w:p w14:paraId="41BA3870" w14:textId="77777777" w:rsidR="00DF2734" w:rsidRPr="00DF2734" w:rsidRDefault="00DF2734" w:rsidP="00DF2734">
            <w:pPr>
              <w:spacing w:after="0" w:line="240" w:lineRule="auto"/>
              <w:ind w:left="0" w:right="0" w:firstLine="0"/>
              <w:jc w:val="left"/>
              <w:rPr>
                <w:rFonts w:ascii="Times New Roman" w:eastAsia="Times New Roman" w:hAnsi="Times New Roman" w:cs="Times New Roman"/>
                <w:color w:val="auto"/>
              </w:rPr>
            </w:pPr>
          </w:p>
        </w:tc>
        <w:tc>
          <w:tcPr>
            <w:tcW w:w="1158" w:type="dxa"/>
            <w:shd w:val="clear" w:color="auto" w:fill="auto"/>
            <w:noWrap/>
            <w:vAlign w:val="bottom"/>
            <w:hideMark/>
          </w:tcPr>
          <w:p w14:paraId="2013F50F" w14:textId="77777777" w:rsidR="00DF2734" w:rsidRPr="00DF2734" w:rsidRDefault="00DF2734" w:rsidP="00DF2734">
            <w:pPr>
              <w:spacing w:after="0" w:line="240" w:lineRule="auto"/>
              <w:ind w:left="0" w:right="0" w:firstLine="0"/>
              <w:jc w:val="center"/>
              <w:rPr>
                <w:rFonts w:ascii="Calibri" w:eastAsia="Times New Roman" w:hAnsi="Calibri" w:cs="Calibri"/>
              </w:rPr>
            </w:pPr>
            <w:r w:rsidRPr="00DF2734">
              <w:rPr>
                <w:rFonts w:ascii="Calibri" w:eastAsia="Times New Roman" w:hAnsi="Calibri" w:cs="Calibri"/>
              </w:rPr>
              <w:t>1,79</w:t>
            </w:r>
          </w:p>
        </w:tc>
        <w:tc>
          <w:tcPr>
            <w:tcW w:w="3226" w:type="dxa"/>
            <w:gridSpan w:val="2"/>
            <w:shd w:val="clear" w:color="auto" w:fill="auto"/>
            <w:noWrap/>
            <w:vAlign w:val="bottom"/>
            <w:hideMark/>
          </w:tcPr>
          <w:p w14:paraId="38AD0828" w14:textId="77777777" w:rsidR="00DF2734" w:rsidRPr="00DF2734" w:rsidRDefault="00DF2734" w:rsidP="00DF2734">
            <w:pPr>
              <w:spacing w:after="0" w:line="240" w:lineRule="auto"/>
              <w:ind w:left="0" w:right="0" w:firstLine="0"/>
              <w:jc w:val="center"/>
              <w:rPr>
                <w:rFonts w:ascii="Calibri" w:eastAsia="Times New Roman" w:hAnsi="Calibri" w:cs="Calibri"/>
                <w:b/>
                <w:bCs/>
              </w:rPr>
            </w:pPr>
          </w:p>
        </w:tc>
      </w:tr>
      <w:tr w:rsidR="00DF2734" w:rsidRPr="00DF2734" w14:paraId="7C07547D" w14:textId="77777777" w:rsidTr="0080065A">
        <w:trPr>
          <w:trHeight w:val="223"/>
          <w:jc w:val="center"/>
        </w:trPr>
        <w:tc>
          <w:tcPr>
            <w:tcW w:w="1912" w:type="dxa"/>
            <w:shd w:val="clear" w:color="auto" w:fill="auto"/>
            <w:noWrap/>
            <w:vAlign w:val="bottom"/>
            <w:hideMark/>
          </w:tcPr>
          <w:p w14:paraId="72CCB96F" w14:textId="77777777" w:rsidR="00DF2734" w:rsidRPr="00DF2734" w:rsidRDefault="00DF2734" w:rsidP="00DF2734">
            <w:pPr>
              <w:spacing w:after="0" w:line="240" w:lineRule="auto"/>
              <w:ind w:left="0" w:right="0" w:firstLine="0"/>
              <w:jc w:val="left"/>
              <w:rPr>
                <w:rFonts w:ascii="Calibri" w:eastAsia="Times New Roman" w:hAnsi="Calibri" w:cs="Calibri"/>
                <w:b/>
                <w:bCs/>
              </w:rPr>
            </w:pPr>
            <w:r w:rsidRPr="00DF2734">
              <w:rPr>
                <w:rFonts w:ascii="Calibri" w:eastAsia="Times New Roman" w:hAnsi="Calibri" w:cs="Calibri"/>
                <w:b/>
                <w:bCs/>
              </w:rPr>
              <w:t>Ukupno (milijuna HRK)</w:t>
            </w:r>
          </w:p>
        </w:tc>
        <w:tc>
          <w:tcPr>
            <w:tcW w:w="1344" w:type="dxa"/>
            <w:shd w:val="clear" w:color="auto" w:fill="auto"/>
            <w:noWrap/>
            <w:vAlign w:val="bottom"/>
            <w:hideMark/>
          </w:tcPr>
          <w:p w14:paraId="32F2BDFA"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 </w:t>
            </w:r>
          </w:p>
        </w:tc>
        <w:tc>
          <w:tcPr>
            <w:tcW w:w="1422" w:type="dxa"/>
            <w:shd w:val="clear" w:color="auto" w:fill="auto"/>
            <w:noWrap/>
            <w:vAlign w:val="bottom"/>
            <w:hideMark/>
          </w:tcPr>
          <w:p w14:paraId="256EF3F7"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 </w:t>
            </w:r>
          </w:p>
        </w:tc>
        <w:tc>
          <w:tcPr>
            <w:tcW w:w="1158" w:type="dxa"/>
            <w:shd w:val="clear" w:color="auto" w:fill="auto"/>
            <w:noWrap/>
            <w:vAlign w:val="bottom"/>
            <w:hideMark/>
          </w:tcPr>
          <w:p w14:paraId="2C9223E6" w14:textId="77777777" w:rsidR="00DF2734" w:rsidRPr="00DF2734" w:rsidRDefault="00DF2734" w:rsidP="00DF2734">
            <w:pPr>
              <w:spacing w:after="0" w:line="240" w:lineRule="auto"/>
              <w:ind w:left="0" w:right="0" w:firstLine="0"/>
              <w:jc w:val="center"/>
              <w:rPr>
                <w:rFonts w:ascii="Calibri" w:eastAsia="Times New Roman" w:hAnsi="Calibri" w:cs="Calibri"/>
                <w:b/>
                <w:bCs/>
              </w:rPr>
            </w:pPr>
            <w:r w:rsidRPr="00DF2734">
              <w:rPr>
                <w:rFonts w:ascii="Calibri" w:eastAsia="Times New Roman" w:hAnsi="Calibri" w:cs="Calibri"/>
                <w:b/>
                <w:bCs/>
              </w:rPr>
              <w:t>1.613,50</w:t>
            </w:r>
          </w:p>
        </w:tc>
        <w:tc>
          <w:tcPr>
            <w:tcW w:w="3226" w:type="dxa"/>
            <w:gridSpan w:val="2"/>
            <w:shd w:val="clear" w:color="auto" w:fill="auto"/>
            <w:noWrap/>
            <w:vAlign w:val="bottom"/>
            <w:hideMark/>
          </w:tcPr>
          <w:p w14:paraId="7D77E7DF" w14:textId="77777777" w:rsidR="00DF2734" w:rsidRPr="00DF2734" w:rsidRDefault="00DF2734" w:rsidP="00DF2734">
            <w:pPr>
              <w:spacing w:after="0" w:line="240" w:lineRule="auto"/>
              <w:ind w:left="0" w:right="0" w:firstLine="0"/>
              <w:jc w:val="left"/>
              <w:rPr>
                <w:rFonts w:ascii="Calibri" w:eastAsia="Times New Roman" w:hAnsi="Calibri" w:cs="Calibri"/>
              </w:rPr>
            </w:pPr>
            <w:r w:rsidRPr="00DF2734">
              <w:rPr>
                <w:rFonts w:ascii="Calibri" w:eastAsia="Times New Roman" w:hAnsi="Calibri" w:cs="Calibri"/>
              </w:rPr>
              <w:t> </w:t>
            </w:r>
          </w:p>
        </w:tc>
      </w:tr>
      <w:bookmarkEnd w:id="41"/>
      <w:tr w:rsidR="00DF2734" w:rsidRPr="005B29FD" w14:paraId="1FF355A6" w14:textId="77777777" w:rsidTr="0080065A">
        <w:trPr>
          <w:gridAfter w:val="1"/>
          <w:wAfter w:w="365" w:type="dxa"/>
          <w:trHeight w:val="461"/>
          <w:jc w:val="center"/>
        </w:trPr>
        <w:tc>
          <w:tcPr>
            <w:tcW w:w="8697" w:type="dxa"/>
            <w:gridSpan w:val="5"/>
            <w:tcBorders>
              <w:top w:val="single" w:sz="4" w:space="0" w:color="auto"/>
              <w:left w:val="nil"/>
              <w:bottom w:val="nil"/>
              <w:right w:val="nil"/>
            </w:tcBorders>
            <w:shd w:val="clear" w:color="000000" w:fill="FFFFFF"/>
            <w:vAlign w:val="center"/>
            <w:hideMark/>
          </w:tcPr>
          <w:p w14:paraId="404130A1" w14:textId="25764C9A" w:rsidR="00DF2734" w:rsidRPr="005B29FD" w:rsidRDefault="00DF2734" w:rsidP="00DF2734">
            <w:pPr>
              <w:spacing w:after="0" w:line="240" w:lineRule="auto"/>
              <w:ind w:left="0" w:right="0" w:firstLine="0"/>
              <w:jc w:val="center"/>
              <w:rPr>
                <w:rFonts w:ascii="Calibri" w:eastAsia="Times New Roman" w:hAnsi="Calibri" w:cs="Calibri"/>
                <w:b/>
                <w:bCs/>
                <w:sz w:val="20"/>
                <w:szCs w:val="20"/>
              </w:rPr>
            </w:pPr>
            <w:r w:rsidRPr="005B29FD">
              <w:rPr>
                <w:rFonts w:ascii="Calibri" w:eastAsia="Times New Roman" w:hAnsi="Calibri" w:cs="Calibri"/>
                <w:b/>
                <w:bCs/>
                <w:sz w:val="20"/>
                <w:szCs w:val="20"/>
              </w:rPr>
              <w:t>Kratice:</w:t>
            </w:r>
            <w:r w:rsidRPr="005B29FD">
              <w:rPr>
                <w:rFonts w:ascii="Calibri" w:eastAsia="Times New Roman" w:hAnsi="Calibri" w:cs="Calibri"/>
                <w:sz w:val="20"/>
                <w:szCs w:val="20"/>
              </w:rPr>
              <w:t xml:space="preserve"> n.p. – nije primjenjivo ; </w:t>
            </w:r>
            <w:r w:rsidRPr="005B29FD">
              <w:rPr>
                <w:rFonts w:ascii="Calibri" w:eastAsia="Times New Roman" w:hAnsi="Calibri" w:cs="Calibri"/>
                <w:b/>
                <w:bCs/>
                <w:sz w:val="20"/>
                <w:szCs w:val="20"/>
              </w:rPr>
              <w:t>Napomena:</w:t>
            </w:r>
            <w:r w:rsidRPr="005B29FD">
              <w:rPr>
                <w:rFonts w:ascii="Calibri" w:eastAsia="Times New Roman" w:hAnsi="Calibri" w:cs="Calibri"/>
                <w:sz w:val="20"/>
                <w:szCs w:val="20"/>
              </w:rPr>
              <w:t xml:space="preserve"> Za ovu procjenu troška pandemije nisu ishodovani i uključeni podatci utroška nabave/razvoja IT sustava za </w:t>
            </w:r>
            <w:r w:rsidR="0080065A" w:rsidRPr="005B29FD">
              <w:rPr>
                <w:rFonts w:ascii="Calibri" w:eastAsia="Times New Roman" w:hAnsi="Calibri" w:cs="Calibri"/>
                <w:sz w:val="20"/>
                <w:szCs w:val="20"/>
              </w:rPr>
              <w:t>provedbu svih protuepidemijskih mjera</w:t>
            </w:r>
          </w:p>
        </w:tc>
      </w:tr>
    </w:tbl>
    <w:p w14:paraId="35B6E204" w14:textId="77777777" w:rsidR="005B29FD" w:rsidRDefault="005B29FD" w:rsidP="00A07A0E">
      <w:pPr>
        <w:spacing w:after="0" w:line="240" w:lineRule="auto"/>
        <w:ind w:left="0" w:right="0" w:firstLine="709"/>
        <w:rPr>
          <w:rFonts w:ascii="Times New Roman" w:hAnsi="Times New Roman" w:cs="Times New Roman"/>
          <w:color w:val="auto"/>
          <w:sz w:val="24"/>
          <w:u w:val="single"/>
        </w:rPr>
      </w:pPr>
    </w:p>
    <w:p w14:paraId="3A24E5CE" w14:textId="5BD5D771" w:rsidR="00A07A0E" w:rsidRPr="006218CF" w:rsidRDefault="00A07A0E" w:rsidP="00A07A0E">
      <w:pPr>
        <w:spacing w:after="0" w:line="240" w:lineRule="auto"/>
        <w:ind w:left="0" w:right="0" w:firstLine="709"/>
        <w:rPr>
          <w:rFonts w:ascii="Times New Roman" w:hAnsi="Times New Roman" w:cs="Times New Roman"/>
          <w:color w:val="auto"/>
          <w:sz w:val="24"/>
          <w:u w:val="single"/>
        </w:rPr>
      </w:pPr>
      <w:r w:rsidRPr="006218CF">
        <w:rPr>
          <w:rFonts w:ascii="Times New Roman" w:hAnsi="Times New Roman" w:cs="Times New Roman"/>
          <w:color w:val="auto"/>
          <w:sz w:val="24"/>
          <w:u w:val="single"/>
        </w:rPr>
        <w:t>Zaključak</w:t>
      </w:r>
    </w:p>
    <w:p w14:paraId="3490D213" w14:textId="7B3EC4B2" w:rsidR="00A07A0E" w:rsidRPr="00A07A0E" w:rsidRDefault="00A07A0E" w:rsidP="00A07A0E">
      <w:pPr>
        <w:spacing w:after="0" w:line="240" w:lineRule="auto"/>
        <w:ind w:left="0" w:right="0" w:firstLine="709"/>
        <w:rPr>
          <w:rFonts w:ascii="Times New Roman" w:hAnsi="Times New Roman" w:cs="Times New Roman"/>
          <w:color w:val="auto"/>
          <w:sz w:val="24"/>
        </w:rPr>
      </w:pPr>
      <w:r w:rsidRPr="00A07A0E">
        <w:rPr>
          <w:rFonts w:ascii="Times New Roman" w:hAnsi="Times New Roman" w:cs="Times New Roman"/>
          <w:color w:val="auto"/>
          <w:sz w:val="24"/>
        </w:rPr>
        <w:t>Izazovi u postupku prikupljanja odabranog seta zdravstveno-ekonomskih indikatora, nemogućnost jednostavn</w:t>
      </w:r>
      <w:r w:rsidR="0080065A">
        <w:rPr>
          <w:rFonts w:ascii="Times New Roman" w:hAnsi="Times New Roman" w:cs="Times New Roman"/>
          <w:color w:val="auto"/>
          <w:sz w:val="24"/>
        </w:rPr>
        <w:t>og</w:t>
      </w:r>
      <w:r w:rsidRPr="00A07A0E">
        <w:rPr>
          <w:rFonts w:ascii="Times New Roman" w:hAnsi="Times New Roman" w:cs="Times New Roman"/>
          <w:color w:val="auto"/>
          <w:sz w:val="24"/>
        </w:rPr>
        <w:t xml:space="preserve"> </w:t>
      </w:r>
      <w:r w:rsidR="0080065A">
        <w:rPr>
          <w:rFonts w:ascii="Times New Roman" w:hAnsi="Times New Roman" w:cs="Times New Roman"/>
          <w:color w:val="auto"/>
          <w:sz w:val="24"/>
        </w:rPr>
        <w:t>dohvata</w:t>
      </w:r>
      <w:r w:rsidR="0080065A" w:rsidRPr="00A07A0E">
        <w:rPr>
          <w:rFonts w:ascii="Times New Roman" w:hAnsi="Times New Roman" w:cs="Times New Roman"/>
          <w:color w:val="auto"/>
          <w:sz w:val="24"/>
        </w:rPr>
        <w:t xml:space="preserve"> </w:t>
      </w:r>
      <w:r w:rsidRPr="00A07A0E">
        <w:rPr>
          <w:rFonts w:ascii="Times New Roman" w:hAnsi="Times New Roman" w:cs="Times New Roman"/>
          <w:color w:val="auto"/>
          <w:sz w:val="24"/>
        </w:rPr>
        <w:t xml:space="preserve">podataka </w:t>
      </w:r>
      <w:r w:rsidR="0080065A">
        <w:rPr>
          <w:rFonts w:ascii="Times New Roman" w:hAnsi="Times New Roman" w:cs="Times New Roman"/>
          <w:color w:val="auto"/>
          <w:sz w:val="24"/>
        </w:rPr>
        <w:t xml:space="preserve">za potrebe ključnih dionika </w:t>
      </w:r>
      <w:r w:rsidRPr="00A07A0E">
        <w:rPr>
          <w:rFonts w:ascii="Times New Roman" w:hAnsi="Times New Roman" w:cs="Times New Roman"/>
          <w:color w:val="auto"/>
          <w:sz w:val="24"/>
        </w:rPr>
        <w:t xml:space="preserve">u odnosu na </w:t>
      </w:r>
      <w:r w:rsidRPr="00A07A0E">
        <w:rPr>
          <w:rFonts w:ascii="Times New Roman" w:hAnsi="Times New Roman" w:cs="Times New Roman"/>
          <w:color w:val="auto"/>
          <w:sz w:val="24"/>
        </w:rPr>
        <w:lastRenderedPageBreak/>
        <w:t>vremensko-prostorni prikaz</w:t>
      </w:r>
      <w:r w:rsidR="0011454A">
        <w:rPr>
          <w:rFonts w:ascii="Times New Roman" w:hAnsi="Times New Roman" w:cs="Times New Roman"/>
          <w:color w:val="auto"/>
          <w:sz w:val="24"/>
        </w:rPr>
        <w:t>,</w:t>
      </w:r>
      <w:r w:rsidRPr="00A07A0E">
        <w:rPr>
          <w:rFonts w:ascii="Times New Roman" w:hAnsi="Times New Roman" w:cs="Times New Roman"/>
          <w:color w:val="auto"/>
          <w:sz w:val="24"/>
        </w:rPr>
        <w:t xml:space="preserve"> kategorije i vrste korištenih zdravstvenih usluga, te kategorij</w:t>
      </w:r>
      <w:r w:rsidR="0011454A">
        <w:rPr>
          <w:rFonts w:ascii="Times New Roman" w:hAnsi="Times New Roman" w:cs="Times New Roman"/>
          <w:color w:val="auto"/>
          <w:sz w:val="24"/>
        </w:rPr>
        <w:t>e</w:t>
      </w:r>
      <w:r w:rsidRPr="00A07A0E">
        <w:rPr>
          <w:rFonts w:ascii="Times New Roman" w:hAnsi="Times New Roman" w:cs="Times New Roman"/>
          <w:color w:val="auto"/>
          <w:sz w:val="24"/>
        </w:rPr>
        <w:t xml:space="preserve"> korisnika usluga, svjedoči o potrebi nastavka podizanja razine informatizacije i integracija heterogenih baza podataka u zdravstvu. Isto je nužno potrebno u svrhu optimalnog iskorištenja prikupljenih indikatora za pravovremeno planiranje, osiguranje zdravstvenih usluga s najvišim omjerom troškova i koristi, te poticaja preventivnog pristupa.</w:t>
      </w:r>
    </w:p>
    <w:p w14:paraId="3A41441C" w14:textId="77777777" w:rsidR="00A07A0E" w:rsidRPr="00A07A0E" w:rsidRDefault="00A07A0E" w:rsidP="006218CF">
      <w:pPr>
        <w:spacing w:after="0" w:line="240" w:lineRule="auto"/>
        <w:ind w:left="0" w:right="0" w:firstLine="0"/>
        <w:rPr>
          <w:rFonts w:ascii="Times New Roman" w:hAnsi="Times New Roman" w:cs="Times New Roman"/>
          <w:color w:val="auto"/>
          <w:sz w:val="24"/>
        </w:rPr>
      </w:pPr>
    </w:p>
    <w:p w14:paraId="74DEAEB3" w14:textId="77777777" w:rsidR="00A07A0E" w:rsidRPr="006218CF" w:rsidRDefault="00A07A0E" w:rsidP="00A07A0E">
      <w:pPr>
        <w:spacing w:after="0" w:line="240" w:lineRule="auto"/>
        <w:ind w:left="0" w:right="0" w:firstLine="709"/>
        <w:rPr>
          <w:rFonts w:ascii="Times New Roman" w:hAnsi="Times New Roman" w:cs="Times New Roman"/>
          <w:color w:val="auto"/>
          <w:sz w:val="24"/>
          <w:u w:val="single"/>
        </w:rPr>
      </w:pPr>
      <w:r w:rsidRPr="006218CF">
        <w:rPr>
          <w:rFonts w:ascii="Times New Roman" w:hAnsi="Times New Roman" w:cs="Times New Roman"/>
          <w:color w:val="auto"/>
          <w:sz w:val="24"/>
          <w:u w:val="single"/>
        </w:rPr>
        <w:t>Reference</w:t>
      </w:r>
    </w:p>
    <w:p w14:paraId="1DE102A3" w14:textId="77777777" w:rsidR="00A07A0E" w:rsidRPr="00A07A0E" w:rsidRDefault="00A07A0E" w:rsidP="00A07A0E">
      <w:pPr>
        <w:spacing w:after="0" w:line="240" w:lineRule="auto"/>
        <w:ind w:left="0" w:right="0" w:firstLine="709"/>
        <w:rPr>
          <w:rFonts w:ascii="Times New Roman" w:hAnsi="Times New Roman" w:cs="Times New Roman"/>
          <w:color w:val="auto"/>
          <w:sz w:val="24"/>
        </w:rPr>
      </w:pPr>
      <w:r w:rsidRPr="00A07A0E">
        <w:rPr>
          <w:rFonts w:ascii="Times New Roman" w:hAnsi="Times New Roman" w:cs="Times New Roman"/>
          <w:color w:val="auto"/>
          <w:sz w:val="24"/>
        </w:rPr>
        <w:t>Appleby J. The public finance cost of covid-19. BMJ 2022;376:o490. http://dx.doi.org/10.1136/bmj.o490</w:t>
      </w:r>
    </w:p>
    <w:p w14:paraId="5C2EF98F" w14:textId="77777777" w:rsidR="00A07A0E" w:rsidRPr="00A07A0E" w:rsidRDefault="00A07A0E" w:rsidP="00A07A0E">
      <w:pPr>
        <w:spacing w:after="0" w:line="240" w:lineRule="auto"/>
        <w:ind w:left="0" w:right="0" w:firstLine="709"/>
        <w:rPr>
          <w:rFonts w:ascii="Times New Roman" w:hAnsi="Times New Roman" w:cs="Times New Roman"/>
          <w:color w:val="auto"/>
          <w:sz w:val="24"/>
        </w:rPr>
      </w:pPr>
      <w:r w:rsidRPr="00A07A0E">
        <w:rPr>
          <w:rFonts w:ascii="Times New Roman" w:hAnsi="Times New Roman" w:cs="Times New Roman"/>
          <w:color w:val="auto"/>
          <w:sz w:val="24"/>
        </w:rPr>
        <w:t>CBPP - Center on Budget and Policy Priorities. Tracking the COVID-19 Economy’s Effects on Food, Housing, and Employment Hardships. Pristupljeno 03.06.2022.  Dostupno na: https://www.cbpp.org/research/poverty-and-inequality/tracking-the-covid-19-economys-effects-on-food-housing-and</w:t>
      </w:r>
    </w:p>
    <w:p w14:paraId="1128D4B2" w14:textId="7595ED91" w:rsidR="00A07A0E" w:rsidRPr="00A07A0E" w:rsidRDefault="00A07A0E" w:rsidP="00A07A0E">
      <w:pPr>
        <w:spacing w:after="0" w:line="240" w:lineRule="auto"/>
        <w:ind w:left="0" w:right="0" w:firstLine="709"/>
        <w:rPr>
          <w:rFonts w:ascii="Times New Roman" w:hAnsi="Times New Roman" w:cs="Times New Roman"/>
          <w:color w:val="auto"/>
          <w:sz w:val="24"/>
        </w:rPr>
      </w:pPr>
      <w:r w:rsidRPr="00A07A0E">
        <w:rPr>
          <w:rFonts w:ascii="Times New Roman" w:hAnsi="Times New Roman" w:cs="Times New Roman"/>
          <w:color w:val="auto"/>
          <w:sz w:val="24"/>
        </w:rPr>
        <w:t>OECD, The World Bank (2019.), Fiscal Resilience to Natural Disasters: Chapter 1. Understanding the economic and fiscal impacts of disasters. Pristupljeno 03.06.2022. Dostupno na:https://www.oecd-ilibrary.org/sites/e6d700b2-en/index.html?itemId=/content/component/e6d700b2-en</w:t>
      </w:r>
    </w:p>
    <w:p w14:paraId="667459CC" w14:textId="77777777" w:rsidR="00A07A0E" w:rsidRPr="00A07A0E" w:rsidRDefault="00A07A0E" w:rsidP="00A07A0E">
      <w:pPr>
        <w:spacing w:after="0" w:line="240" w:lineRule="auto"/>
        <w:ind w:left="0" w:right="0" w:firstLine="709"/>
        <w:rPr>
          <w:rFonts w:ascii="Times New Roman" w:hAnsi="Times New Roman" w:cs="Times New Roman"/>
          <w:color w:val="auto"/>
          <w:sz w:val="24"/>
        </w:rPr>
      </w:pPr>
      <w:r w:rsidRPr="00A07A0E">
        <w:rPr>
          <w:rFonts w:ascii="Times New Roman" w:hAnsi="Times New Roman" w:cs="Times New Roman"/>
          <w:color w:val="auto"/>
          <w:sz w:val="24"/>
        </w:rPr>
        <w:t>WB - The World Bank (2021.), How has the COVID-19 Pandemic Affected Croatian Households?</w:t>
      </w:r>
    </w:p>
    <w:p w14:paraId="7346D943" w14:textId="320CE8E3" w:rsidR="0072429F" w:rsidRDefault="00A07A0E">
      <w:pPr>
        <w:spacing w:after="0" w:line="240" w:lineRule="auto"/>
        <w:ind w:left="0" w:right="0" w:firstLine="709"/>
        <w:rPr>
          <w:rFonts w:ascii="Times New Roman" w:hAnsi="Times New Roman" w:cs="Times New Roman"/>
          <w:color w:val="auto"/>
          <w:sz w:val="24"/>
        </w:rPr>
      </w:pPr>
      <w:r w:rsidRPr="00A07A0E">
        <w:rPr>
          <w:rFonts w:ascii="Times New Roman" w:hAnsi="Times New Roman" w:cs="Times New Roman"/>
          <w:color w:val="auto"/>
          <w:sz w:val="24"/>
        </w:rPr>
        <w:t>Šikić S i sur (2022). Zdravstveno-statistički ljetopis Grada Zagreba za 2021. godinu. Pristupljeno 03.06.2022. Dostupno na: https://www.stampar.hr/hr/novosti/zdravstveno-statisticki-ljetopis-grada-zagreba-za-2021-godinu</w:t>
      </w:r>
    </w:p>
    <w:p w14:paraId="4AE79BC2" w14:textId="77777777" w:rsidR="00575A2B" w:rsidRDefault="00575A2B" w:rsidP="00524B1D">
      <w:pPr>
        <w:spacing w:after="0" w:line="240" w:lineRule="auto"/>
        <w:ind w:left="0" w:right="0" w:firstLine="0"/>
        <w:rPr>
          <w:rFonts w:ascii="Times New Roman" w:hAnsi="Times New Roman" w:cs="Times New Roman"/>
          <w:b/>
          <w:color w:val="auto"/>
          <w:sz w:val="24"/>
        </w:rPr>
      </w:pPr>
    </w:p>
    <w:p w14:paraId="51AA74D8" w14:textId="7A174E63" w:rsidR="00CD4FB6" w:rsidRDefault="00364E10" w:rsidP="00B51AE1">
      <w:pPr>
        <w:spacing w:after="0" w:line="240" w:lineRule="auto"/>
        <w:ind w:right="0"/>
        <w:rPr>
          <w:rFonts w:ascii="Times New Roman" w:hAnsi="Times New Roman" w:cs="Times New Roman"/>
          <w:b/>
          <w:color w:val="auto"/>
          <w:sz w:val="24"/>
        </w:rPr>
      </w:pPr>
      <w:r>
        <w:rPr>
          <w:rFonts w:ascii="Times New Roman" w:hAnsi="Times New Roman" w:cs="Times New Roman"/>
          <w:b/>
          <w:color w:val="auto"/>
          <w:sz w:val="24"/>
        </w:rPr>
        <w:t>2.7. Klizišta - povijesni pokazatelji</w:t>
      </w:r>
    </w:p>
    <w:p w14:paraId="6B27251F" w14:textId="57C80B86" w:rsidR="00133200" w:rsidRDefault="00133200" w:rsidP="00201092">
      <w:pPr>
        <w:spacing w:after="0" w:line="240" w:lineRule="auto"/>
        <w:ind w:left="0" w:right="0" w:firstLine="709"/>
        <w:rPr>
          <w:rFonts w:ascii="Times New Roman" w:hAnsi="Times New Roman" w:cs="Times New Roman"/>
          <w:b/>
          <w:color w:val="auto"/>
          <w:sz w:val="24"/>
        </w:rPr>
      </w:pPr>
    </w:p>
    <w:p w14:paraId="306EF7DC" w14:textId="6E6019F8" w:rsidR="00133200" w:rsidRPr="006218CF" w:rsidRDefault="00263169">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xml:space="preserve">Financijska sredstva koja je Grad Zagreb utrošio u sanaciju klizišta u periodu od 2012. godine do 2022. godine iznose 212 590 623,98 kn.  Prosječno se godišnje sanira 10-15 klizišta koja su ugrožavala javnu infrastrukturu. S obzirom na nepredvidivost pojave klizišta zbog mnogih faktora koji utječu na aktivaciju istih, teško je predvidjeti dinamiku i količinu u kojoj će pojavljivati. Stoga je pažnju potrebno usmjeriti na prevenciju pojave klizišta. </w:t>
      </w:r>
      <w:r w:rsidR="001121BE">
        <w:rPr>
          <w:rFonts w:ascii="Times New Roman" w:hAnsi="Times New Roman" w:cs="Times New Roman"/>
          <w:color w:val="auto"/>
          <w:sz w:val="24"/>
        </w:rPr>
        <w:t>Način postupanja</w:t>
      </w:r>
      <w:r w:rsidRPr="006218CF">
        <w:rPr>
          <w:rFonts w:ascii="Times New Roman" w:hAnsi="Times New Roman" w:cs="Times New Roman"/>
          <w:color w:val="auto"/>
          <w:sz w:val="24"/>
        </w:rPr>
        <w:t xml:space="preserve"> u slučaju dojave o aktivaciji klizišta i same aktivacije klizišta određeno je Odlukom o načinu postupanja na nestabilnim padinama na zemljištu u privatnom vlasništvu (Službeni glasnik Grada Zagreba br. 21/14) kao i ostalim zakonskim propisima.</w:t>
      </w:r>
      <w:r w:rsidR="00FB4F8C">
        <w:rPr>
          <w:rFonts w:ascii="Times New Roman" w:hAnsi="Times New Roman" w:cs="Times New Roman"/>
          <w:color w:val="auto"/>
          <w:sz w:val="24"/>
        </w:rPr>
        <w:t xml:space="preserve"> </w:t>
      </w:r>
    </w:p>
    <w:p w14:paraId="5682CFA6" w14:textId="77777777" w:rsidR="00201092" w:rsidRPr="005142C4" w:rsidRDefault="00201092" w:rsidP="00201092">
      <w:pPr>
        <w:spacing w:after="0" w:line="240" w:lineRule="auto"/>
        <w:ind w:right="0"/>
        <w:rPr>
          <w:rFonts w:ascii="Times New Roman" w:hAnsi="Times New Roman" w:cs="Times New Roman"/>
          <w:sz w:val="24"/>
        </w:rPr>
      </w:pPr>
    </w:p>
    <w:p w14:paraId="7364ECC4" w14:textId="633F3B6F" w:rsidR="00E40AC8" w:rsidRPr="006218CF" w:rsidRDefault="00900184" w:rsidP="00E977F2">
      <w:pPr>
        <w:spacing w:after="0" w:line="240" w:lineRule="auto"/>
        <w:ind w:right="0"/>
        <w:rPr>
          <w:rFonts w:ascii="Times New Roman" w:hAnsi="Times New Roman" w:cs="Times New Roman"/>
          <w:b/>
          <w:color w:val="auto"/>
          <w:sz w:val="24"/>
          <w:u w:color="000000"/>
        </w:rPr>
      </w:pPr>
      <w:bookmarkStart w:id="42" w:name="_Toc2938560"/>
      <w:r w:rsidRPr="006218CF">
        <w:rPr>
          <w:rFonts w:ascii="Times New Roman" w:hAnsi="Times New Roman" w:cs="Times New Roman"/>
          <w:b/>
          <w:color w:val="auto"/>
          <w:sz w:val="24"/>
          <w:u w:color="000000"/>
        </w:rPr>
        <w:t>2.</w:t>
      </w:r>
      <w:r w:rsidR="00E027AB" w:rsidRPr="006218CF">
        <w:rPr>
          <w:rFonts w:ascii="Times New Roman" w:hAnsi="Times New Roman" w:cs="Times New Roman"/>
          <w:b/>
          <w:color w:val="auto"/>
          <w:sz w:val="24"/>
          <w:u w:color="000000"/>
        </w:rPr>
        <w:t>8</w:t>
      </w:r>
      <w:r w:rsidRPr="006218CF">
        <w:rPr>
          <w:rFonts w:ascii="Times New Roman" w:hAnsi="Times New Roman" w:cs="Times New Roman"/>
          <w:b/>
          <w:color w:val="auto"/>
          <w:sz w:val="24"/>
          <w:u w:color="000000"/>
        </w:rPr>
        <w:t>. Pokazatelji operativne sposobnosti</w:t>
      </w:r>
      <w:bookmarkEnd w:id="42"/>
    </w:p>
    <w:p w14:paraId="01DC16C4" w14:textId="77777777" w:rsidR="00E977F2" w:rsidRPr="00E977F2" w:rsidRDefault="00E977F2" w:rsidP="00E977F2">
      <w:pPr>
        <w:spacing w:after="0" w:line="240" w:lineRule="auto"/>
        <w:ind w:right="0"/>
        <w:rPr>
          <w:rFonts w:ascii="Times New Roman" w:hAnsi="Times New Roman" w:cs="Times New Roman"/>
          <w:sz w:val="24"/>
          <w:u w:color="000000"/>
        </w:rPr>
      </w:pPr>
    </w:p>
    <w:p w14:paraId="7361FE8B" w14:textId="0BD7F0B6" w:rsidR="00E40AC8" w:rsidRPr="00E977F2" w:rsidRDefault="00900184" w:rsidP="00E977F2">
      <w:pPr>
        <w:spacing w:after="0" w:line="240" w:lineRule="auto"/>
        <w:ind w:left="0" w:right="0" w:firstLine="709"/>
        <w:rPr>
          <w:rFonts w:ascii="Times New Roman" w:hAnsi="Times New Roman" w:cs="Times New Roman"/>
          <w:b/>
          <w:sz w:val="24"/>
          <w:u w:color="000000"/>
        </w:rPr>
      </w:pPr>
      <w:bookmarkStart w:id="43" w:name="_Toc2938561"/>
      <w:r w:rsidRPr="00E977F2">
        <w:rPr>
          <w:rFonts w:ascii="Times New Roman" w:hAnsi="Times New Roman" w:cs="Times New Roman"/>
          <w:b/>
          <w:sz w:val="24"/>
          <w:u w:color="000000"/>
        </w:rPr>
        <w:t>2.</w:t>
      </w:r>
      <w:r w:rsidR="00E027AB">
        <w:rPr>
          <w:rFonts w:ascii="Times New Roman" w:hAnsi="Times New Roman" w:cs="Times New Roman"/>
          <w:b/>
          <w:sz w:val="24"/>
          <w:u w:color="000000"/>
        </w:rPr>
        <w:t>8</w:t>
      </w:r>
      <w:r w:rsidRPr="00E977F2">
        <w:rPr>
          <w:rFonts w:ascii="Times New Roman" w:hAnsi="Times New Roman" w:cs="Times New Roman"/>
          <w:b/>
          <w:sz w:val="24"/>
          <w:u w:color="000000"/>
        </w:rPr>
        <w:t>.1. Popis operativnih snaga</w:t>
      </w:r>
      <w:bookmarkEnd w:id="43"/>
    </w:p>
    <w:p w14:paraId="116F142F" w14:textId="77777777" w:rsidR="00E40AC8" w:rsidRPr="005142C4" w:rsidRDefault="00900184" w:rsidP="00E977F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Mjere i aktivnosti u sustavu civilne zaštite u Gradu Zagrebu provode sljedeće operativne snage sustava civilne zaštite:</w:t>
      </w:r>
    </w:p>
    <w:p w14:paraId="6F4902A3" w14:textId="53351E5C" w:rsidR="00CA4FDE" w:rsidRDefault="00900184" w:rsidP="00F13248">
      <w:pPr>
        <w:spacing w:after="0" w:line="240" w:lineRule="auto"/>
        <w:ind w:left="0" w:right="0" w:firstLine="709"/>
        <w:rPr>
          <w:rFonts w:ascii="Times New Roman" w:hAnsi="Times New Roman" w:cs="Times New Roman"/>
          <w:color w:val="FF0000"/>
          <w:sz w:val="24"/>
        </w:rPr>
      </w:pPr>
      <w:r w:rsidRPr="00E977F2">
        <w:rPr>
          <w:rFonts w:ascii="Times New Roman" w:hAnsi="Times New Roman" w:cs="Times New Roman"/>
          <w:sz w:val="24"/>
        </w:rPr>
        <w:t xml:space="preserve">1) </w:t>
      </w:r>
      <w:r w:rsidRPr="00E977F2">
        <w:rPr>
          <w:rFonts w:ascii="Times New Roman" w:hAnsi="Times New Roman" w:cs="Times New Roman"/>
          <w:sz w:val="24"/>
          <w:u w:val="single" w:color="000000"/>
        </w:rPr>
        <w:t>Stožer civilne zaštite Grada Zagreba</w:t>
      </w:r>
    </w:p>
    <w:p w14:paraId="3F0F179F" w14:textId="7A831E3D" w:rsidR="00F13248" w:rsidRPr="006218CF" w:rsidRDefault="00CA4FDE"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Zaključkom gradonačelnika Grada Zagreba (Službeni glasnik Grada Zagreba 18/17, 19/17, 5/18, 14/18, 18/19, 6/20, 7/20, 8/20, 30/20, 32/20, 33/20, 7/21, 10/2</w:t>
      </w:r>
      <w:r w:rsidR="001C5694">
        <w:rPr>
          <w:rFonts w:ascii="Times New Roman" w:hAnsi="Times New Roman" w:cs="Times New Roman"/>
          <w:color w:val="auto"/>
          <w:sz w:val="24"/>
        </w:rPr>
        <w:t xml:space="preserve">1, 16/21, 18/21, 22/21, 26/21, </w:t>
      </w:r>
      <w:r w:rsidRPr="006218CF">
        <w:rPr>
          <w:rFonts w:ascii="Times New Roman" w:hAnsi="Times New Roman" w:cs="Times New Roman"/>
          <w:color w:val="auto"/>
          <w:sz w:val="24"/>
        </w:rPr>
        <w:t>3/22</w:t>
      </w:r>
      <w:r w:rsidR="001C5694">
        <w:rPr>
          <w:rFonts w:ascii="Times New Roman" w:hAnsi="Times New Roman" w:cs="Times New Roman"/>
          <w:color w:val="auto"/>
          <w:sz w:val="24"/>
        </w:rPr>
        <w:t xml:space="preserve"> i 5/22</w:t>
      </w:r>
      <w:r w:rsidRPr="006218CF">
        <w:rPr>
          <w:rFonts w:ascii="Times New Roman" w:hAnsi="Times New Roman" w:cs="Times New Roman"/>
          <w:color w:val="auto"/>
          <w:sz w:val="24"/>
        </w:rPr>
        <w:t>) osnovan je i imenovan Stožer civilne zaštite Grada Zagreba (u daljnjem tekstu: Stožer). Stožer ima načelnika, zamjenika načelnika i 12 članova. U svim aktivnostima Stožer usko surađuje s Ministarstvom unutarnjih poslova – Ravnateljstvom civilne zaštite, (u daljnjem tekstu: Ravnateljstvo CZ), Policijskom upravom zagrebačkom, te ostalim operativnim snagama sustava civilne zaštite na području Grada Zagreba.</w:t>
      </w:r>
    </w:p>
    <w:p w14:paraId="6D85BDED" w14:textId="77777777" w:rsidR="00E40AC8" w:rsidRPr="005142C4" w:rsidRDefault="00900184" w:rsidP="00E977F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2) </w:t>
      </w:r>
      <w:r w:rsidR="00E977F2" w:rsidRPr="005142C4">
        <w:rPr>
          <w:rFonts w:ascii="Times New Roman" w:hAnsi="Times New Roman" w:cs="Times New Roman"/>
          <w:sz w:val="24"/>
          <w:u w:val="single" w:color="000000"/>
        </w:rPr>
        <w:t xml:space="preserve">stožeri </w:t>
      </w:r>
      <w:r w:rsidRPr="005142C4">
        <w:rPr>
          <w:rFonts w:ascii="Times New Roman" w:hAnsi="Times New Roman" w:cs="Times New Roman"/>
          <w:sz w:val="24"/>
          <w:u w:val="single" w:color="000000"/>
        </w:rPr>
        <w:t>civilne zaštite gradskih četvrti</w:t>
      </w:r>
      <w:r w:rsidRPr="005142C4">
        <w:rPr>
          <w:rFonts w:ascii="Times New Roman" w:hAnsi="Times New Roman" w:cs="Times New Roman"/>
          <w:sz w:val="24"/>
        </w:rPr>
        <w:t xml:space="preserve"> U Gradu Zagrebu osnovano je 17 stožera:</w:t>
      </w:r>
    </w:p>
    <w:p w14:paraId="30E4380C" w14:textId="5BFE8B2B" w:rsidR="00F13248" w:rsidRPr="006218CF" w:rsidRDefault="00F13248" w:rsidP="00F13248">
      <w:pPr>
        <w:spacing w:after="0" w:line="240" w:lineRule="auto"/>
        <w:ind w:left="1304" w:right="0" w:hanging="340"/>
        <w:rPr>
          <w:rFonts w:ascii="Times New Roman" w:hAnsi="Times New Roman" w:cs="Times New Roman"/>
          <w:color w:val="auto"/>
          <w:sz w:val="24"/>
        </w:rPr>
      </w:pPr>
      <w:r w:rsidRPr="006218CF">
        <w:rPr>
          <w:rFonts w:ascii="Times New Roman" w:hAnsi="Times New Roman" w:cs="Times New Roman"/>
          <w:color w:val="auto"/>
          <w:sz w:val="24"/>
          <w:u w:color="000000"/>
        </w:rPr>
        <w:lastRenderedPageBreak/>
        <w:t>1.</w:t>
      </w:r>
      <w:r w:rsidRPr="006218CF">
        <w:rPr>
          <w:rFonts w:ascii="Times New Roman" w:hAnsi="Times New Roman" w:cs="Times New Roman"/>
          <w:color w:val="auto"/>
          <w:sz w:val="24"/>
          <w:u w:color="000000"/>
        </w:rPr>
        <w:tab/>
      </w:r>
      <w:r w:rsidRPr="006218CF">
        <w:rPr>
          <w:rFonts w:ascii="Times New Roman" w:hAnsi="Times New Roman" w:cs="Times New Roman"/>
          <w:color w:val="auto"/>
          <w:sz w:val="24"/>
        </w:rPr>
        <w:t>Stožer civilne zaštite Gradske četvrti Donji grad (Službeni glasnik Grada Zagreba 5/18, 19/19,</w:t>
      </w:r>
      <w:r w:rsidR="00B51AE1">
        <w:rPr>
          <w:rFonts w:ascii="Times New Roman" w:hAnsi="Times New Roman" w:cs="Times New Roman"/>
          <w:color w:val="FF0000"/>
          <w:sz w:val="24"/>
        </w:rPr>
        <w:t xml:space="preserve"> </w:t>
      </w:r>
      <w:r w:rsidRPr="006218CF">
        <w:rPr>
          <w:rFonts w:ascii="Times New Roman" w:hAnsi="Times New Roman" w:cs="Times New Roman"/>
          <w:color w:val="auto"/>
          <w:sz w:val="24"/>
        </w:rPr>
        <w:t>prijedlog novih članova prihvaćen na 3. sjednici Vijeća 24. kolovoza 2021.);</w:t>
      </w:r>
    </w:p>
    <w:p w14:paraId="3E46F3C9" w14:textId="77777777" w:rsidR="00F13248" w:rsidRPr="006218CF" w:rsidRDefault="00F13248" w:rsidP="00F13248">
      <w:pPr>
        <w:spacing w:after="0" w:line="240" w:lineRule="auto"/>
        <w:ind w:left="1304" w:right="0" w:hanging="340"/>
        <w:rPr>
          <w:rFonts w:ascii="Times New Roman" w:hAnsi="Times New Roman" w:cs="Times New Roman"/>
          <w:color w:val="auto"/>
          <w:sz w:val="24"/>
        </w:rPr>
      </w:pPr>
      <w:r w:rsidRPr="006218CF">
        <w:rPr>
          <w:rFonts w:ascii="Times New Roman" w:hAnsi="Times New Roman" w:cs="Times New Roman"/>
          <w:color w:val="auto"/>
          <w:sz w:val="24"/>
          <w:u w:color="000000"/>
        </w:rPr>
        <w:t>2.</w:t>
      </w:r>
      <w:r w:rsidRPr="006218CF">
        <w:rPr>
          <w:rFonts w:ascii="Times New Roman" w:hAnsi="Times New Roman" w:cs="Times New Roman"/>
          <w:color w:val="auto"/>
          <w:sz w:val="24"/>
          <w:u w:color="000000"/>
        </w:rPr>
        <w:tab/>
      </w:r>
      <w:r w:rsidRPr="006218CF">
        <w:rPr>
          <w:rFonts w:ascii="Times New Roman" w:hAnsi="Times New Roman" w:cs="Times New Roman"/>
          <w:color w:val="auto"/>
          <w:sz w:val="24"/>
        </w:rPr>
        <w:t>Stožer civilne zaštite Gradske četvrti Gornji grad - Medveščak (Službeni glasnik Grada Zagreba 6/18, 26/19, 22/21);</w:t>
      </w:r>
    </w:p>
    <w:p w14:paraId="43032E2D" w14:textId="77777777" w:rsidR="00F13248" w:rsidRPr="006218CF" w:rsidRDefault="00F13248" w:rsidP="00F13248">
      <w:pPr>
        <w:spacing w:after="0" w:line="240" w:lineRule="auto"/>
        <w:ind w:left="1304" w:right="0" w:hanging="340"/>
        <w:rPr>
          <w:rFonts w:ascii="Times New Roman" w:hAnsi="Times New Roman" w:cs="Times New Roman"/>
          <w:color w:val="auto"/>
          <w:sz w:val="24"/>
        </w:rPr>
      </w:pPr>
      <w:r w:rsidRPr="006218CF">
        <w:rPr>
          <w:rFonts w:ascii="Times New Roman" w:hAnsi="Times New Roman" w:cs="Times New Roman"/>
          <w:color w:val="auto"/>
          <w:sz w:val="24"/>
          <w:u w:color="000000"/>
        </w:rPr>
        <w:t>3.</w:t>
      </w:r>
      <w:r w:rsidRPr="006218CF">
        <w:rPr>
          <w:rFonts w:ascii="Times New Roman" w:hAnsi="Times New Roman" w:cs="Times New Roman"/>
          <w:color w:val="auto"/>
          <w:sz w:val="24"/>
          <w:u w:color="000000"/>
        </w:rPr>
        <w:tab/>
      </w:r>
      <w:r w:rsidRPr="006218CF">
        <w:rPr>
          <w:rFonts w:ascii="Times New Roman" w:hAnsi="Times New Roman" w:cs="Times New Roman"/>
          <w:color w:val="auto"/>
          <w:sz w:val="24"/>
        </w:rPr>
        <w:t>Stožer civilne zaštite Gradske četvrti Trnje (Službeni glasnik Grada Zagreba 1/18, 22/21);</w:t>
      </w:r>
    </w:p>
    <w:p w14:paraId="6C0F4B1D" w14:textId="77777777" w:rsidR="00F13248" w:rsidRPr="006218CF" w:rsidRDefault="00F13248" w:rsidP="00F13248">
      <w:pPr>
        <w:spacing w:after="0" w:line="240" w:lineRule="auto"/>
        <w:ind w:left="1304" w:right="0" w:hanging="340"/>
        <w:rPr>
          <w:rFonts w:ascii="Times New Roman" w:hAnsi="Times New Roman" w:cs="Times New Roman"/>
          <w:color w:val="auto"/>
          <w:sz w:val="24"/>
        </w:rPr>
      </w:pPr>
      <w:r w:rsidRPr="006218CF">
        <w:rPr>
          <w:rFonts w:ascii="Times New Roman" w:hAnsi="Times New Roman" w:cs="Times New Roman"/>
          <w:color w:val="auto"/>
          <w:sz w:val="24"/>
          <w:u w:color="000000"/>
        </w:rPr>
        <w:t>4.</w:t>
      </w:r>
      <w:r w:rsidRPr="006218CF">
        <w:rPr>
          <w:rFonts w:ascii="Times New Roman" w:hAnsi="Times New Roman" w:cs="Times New Roman"/>
          <w:color w:val="auto"/>
          <w:sz w:val="24"/>
          <w:u w:color="000000"/>
        </w:rPr>
        <w:tab/>
      </w:r>
      <w:r w:rsidRPr="006218CF">
        <w:rPr>
          <w:rFonts w:ascii="Times New Roman" w:hAnsi="Times New Roman" w:cs="Times New Roman"/>
          <w:color w:val="auto"/>
          <w:sz w:val="24"/>
        </w:rPr>
        <w:t>Stožer civilne zaštite Gradske četvrti Maksimir (Službeni glasnik Grada Zagreba 1/18, 22/21);</w:t>
      </w:r>
    </w:p>
    <w:p w14:paraId="21C17E6A" w14:textId="77777777" w:rsidR="00F13248" w:rsidRPr="006218CF" w:rsidRDefault="00F13248" w:rsidP="00F13248">
      <w:pPr>
        <w:spacing w:after="0" w:line="240" w:lineRule="auto"/>
        <w:ind w:left="1304" w:right="0" w:hanging="340"/>
        <w:rPr>
          <w:rFonts w:ascii="Times New Roman" w:hAnsi="Times New Roman" w:cs="Times New Roman"/>
          <w:color w:val="auto"/>
          <w:sz w:val="24"/>
        </w:rPr>
      </w:pPr>
      <w:r w:rsidRPr="006218CF">
        <w:rPr>
          <w:rFonts w:ascii="Times New Roman" w:hAnsi="Times New Roman" w:cs="Times New Roman"/>
          <w:color w:val="auto"/>
          <w:sz w:val="24"/>
          <w:u w:color="000000"/>
        </w:rPr>
        <w:t>5.</w:t>
      </w:r>
      <w:r w:rsidRPr="006218CF">
        <w:rPr>
          <w:rFonts w:ascii="Times New Roman" w:hAnsi="Times New Roman" w:cs="Times New Roman"/>
          <w:color w:val="auto"/>
          <w:sz w:val="24"/>
          <w:u w:color="000000"/>
        </w:rPr>
        <w:tab/>
      </w:r>
      <w:r w:rsidRPr="006218CF">
        <w:rPr>
          <w:rFonts w:ascii="Times New Roman" w:hAnsi="Times New Roman" w:cs="Times New Roman"/>
          <w:color w:val="auto"/>
          <w:sz w:val="24"/>
        </w:rPr>
        <w:t>Stožer civilne zaštite Gradske četvrti Peščenica - Žitnjak (Službeni glasnik Grada Zagreba 5/18, 22/21);</w:t>
      </w:r>
    </w:p>
    <w:p w14:paraId="171B6B1F" w14:textId="77777777" w:rsidR="00F13248" w:rsidRPr="006218CF" w:rsidRDefault="00F13248" w:rsidP="00F13248">
      <w:pPr>
        <w:spacing w:after="0" w:line="240" w:lineRule="auto"/>
        <w:ind w:left="1304" w:right="0" w:hanging="340"/>
        <w:rPr>
          <w:rFonts w:ascii="Times New Roman" w:hAnsi="Times New Roman" w:cs="Times New Roman"/>
          <w:color w:val="auto"/>
          <w:sz w:val="24"/>
        </w:rPr>
      </w:pPr>
      <w:r w:rsidRPr="006218CF">
        <w:rPr>
          <w:rFonts w:ascii="Times New Roman" w:hAnsi="Times New Roman" w:cs="Times New Roman"/>
          <w:color w:val="auto"/>
          <w:sz w:val="24"/>
          <w:u w:color="000000"/>
        </w:rPr>
        <w:t>6.</w:t>
      </w:r>
      <w:r w:rsidRPr="006218CF">
        <w:rPr>
          <w:rFonts w:ascii="Times New Roman" w:hAnsi="Times New Roman" w:cs="Times New Roman"/>
          <w:color w:val="auto"/>
          <w:sz w:val="24"/>
          <w:u w:color="000000"/>
        </w:rPr>
        <w:tab/>
      </w:r>
      <w:r w:rsidRPr="006218CF">
        <w:rPr>
          <w:rFonts w:ascii="Times New Roman" w:hAnsi="Times New Roman" w:cs="Times New Roman"/>
          <w:color w:val="auto"/>
          <w:sz w:val="24"/>
        </w:rPr>
        <w:t>Stožer civilne zaštite Gradske četvrti Novi Zagreb - istok (Službeni glasnik Grada Zagreba 1/18, 2/20, 22/21);</w:t>
      </w:r>
    </w:p>
    <w:p w14:paraId="11E94A19" w14:textId="77777777" w:rsidR="00F13248" w:rsidRPr="006218CF" w:rsidRDefault="00F13248" w:rsidP="00F13248">
      <w:pPr>
        <w:spacing w:after="0" w:line="240" w:lineRule="auto"/>
        <w:ind w:left="1304" w:right="0" w:hanging="340"/>
        <w:rPr>
          <w:rFonts w:ascii="Times New Roman" w:hAnsi="Times New Roman" w:cs="Times New Roman"/>
          <w:color w:val="auto"/>
          <w:sz w:val="24"/>
        </w:rPr>
      </w:pPr>
      <w:r w:rsidRPr="006218CF">
        <w:rPr>
          <w:rFonts w:ascii="Times New Roman" w:hAnsi="Times New Roman" w:cs="Times New Roman"/>
          <w:color w:val="auto"/>
          <w:sz w:val="24"/>
          <w:u w:color="000000"/>
        </w:rPr>
        <w:t>7.</w:t>
      </w:r>
      <w:r w:rsidRPr="006218CF">
        <w:rPr>
          <w:rFonts w:ascii="Times New Roman" w:hAnsi="Times New Roman" w:cs="Times New Roman"/>
          <w:color w:val="auto"/>
          <w:sz w:val="24"/>
          <w:u w:color="000000"/>
        </w:rPr>
        <w:tab/>
      </w:r>
      <w:r w:rsidRPr="006218CF">
        <w:rPr>
          <w:rFonts w:ascii="Times New Roman" w:hAnsi="Times New Roman" w:cs="Times New Roman"/>
          <w:color w:val="auto"/>
          <w:sz w:val="24"/>
        </w:rPr>
        <w:t>Stožer civilne zaštite Gradske četvrti Novi Zagreb - zapad (Službeni glasnik Grada Zagreba 1/18, 22/21);</w:t>
      </w:r>
    </w:p>
    <w:p w14:paraId="3DCC5FA6" w14:textId="77777777" w:rsidR="00F13248" w:rsidRPr="006218CF" w:rsidRDefault="00F13248" w:rsidP="00F13248">
      <w:pPr>
        <w:spacing w:after="0" w:line="240" w:lineRule="auto"/>
        <w:ind w:left="1304" w:right="0" w:hanging="340"/>
        <w:rPr>
          <w:rFonts w:ascii="Times New Roman" w:hAnsi="Times New Roman" w:cs="Times New Roman"/>
          <w:color w:val="auto"/>
          <w:sz w:val="24"/>
        </w:rPr>
      </w:pPr>
      <w:r w:rsidRPr="006218CF">
        <w:rPr>
          <w:rFonts w:ascii="Times New Roman" w:hAnsi="Times New Roman" w:cs="Times New Roman"/>
          <w:color w:val="auto"/>
          <w:sz w:val="24"/>
          <w:u w:color="000000"/>
        </w:rPr>
        <w:t>8.</w:t>
      </w:r>
      <w:r w:rsidRPr="006218CF">
        <w:rPr>
          <w:rFonts w:ascii="Times New Roman" w:hAnsi="Times New Roman" w:cs="Times New Roman"/>
          <w:color w:val="auto"/>
          <w:sz w:val="24"/>
          <w:u w:color="000000"/>
        </w:rPr>
        <w:tab/>
      </w:r>
      <w:r w:rsidRPr="006218CF">
        <w:rPr>
          <w:rFonts w:ascii="Times New Roman" w:hAnsi="Times New Roman" w:cs="Times New Roman"/>
          <w:color w:val="auto"/>
          <w:sz w:val="24"/>
        </w:rPr>
        <w:t>Stožer civilne zaštite Gradske četvrti Trešnjevka - sjever (Službeni glasnik Grada Zagreba 5/18, 22/21);</w:t>
      </w:r>
    </w:p>
    <w:p w14:paraId="647E307B" w14:textId="11966EDE" w:rsidR="00F13248" w:rsidRPr="006218CF" w:rsidRDefault="00F13248" w:rsidP="00F13248">
      <w:pPr>
        <w:spacing w:after="0" w:line="240" w:lineRule="auto"/>
        <w:ind w:left="1304" w:right="0" w:hanging="340"/>
        <w:rPr>
          <w:rFonts w:ascii="Times New Roman" w:hAnsi="Times New Roman" w:cs="Times New Roman"/>
          <w:color w:val="auto"/>
          <w:sz w:val="24"/>
        </w:rPr>
      </w:pPr>
      <w:r w:rsidRPr="006218CF">
        <w:rPr>
          <w:rFonts w:ascii="Times New Roman" w:hAnsi="Times New Roman" w:cs="Times New Roman"/>
          <w:color w:val="auto"/>
          <w:sz w:val="24"/>
          <w:u w:color="000000"/>
        </w:rPr>
        <w:t>9.</w:t>
      </w:r>
      <w:r w:rsidRPr="006218CF">
        <w:rPr>
          <w:rFonts w:ascii="Times New Roman" w:hAnsi="Times New Roman" w:cs="Times New Roman"/>
          <w:color w:val="auto"/>
          <w:sz w:val="24"/>
          <w:u w:color="000000"/>
        </w:rPr>
        <w:tab/>
      </w:r>
      <w:r w:rsidRPr="006218CF">
        <w:rPr>
          <w:rFonts w:ascii="Times New Roman" w:hAnsi="Times New Roman" w:cs="Times New Roman"/>
          <w:color w:val="auto"/>
          <w:sz w:val="24"/>
        </w:rPr>
        <w:t>Stožer civilne zaštite Gradske četvrti Trešnjevka - jug (Službeni glasnik Grada Zagreba 1/18, 27/20, 22/21,</w:t>
      </w:r>
      <w:r w:rsidR="00B51AE1">
        <w:rPr>
          <w:rFonts w:ascii="Times New Roman" w:hAnsi="Times New Roman" w:cs="Times New Roman"/>
          <w:color w:val="FF0000"/>
          <w:sz w:val="24"/>
        </w:rPr>
        <w:t xml:space="preserve"> </w:t>
      </w:r>
      <w:r w:rsidRPr="006218CF">
        <w:rPr>
          <w:rFonts w:ascii="Times New Roman" w:hAnsi="Times New Roman" w:cs="Times New Roman"/>
          <w:color w:val="auto"/>
          <w:sz w:val="24"/>
        </w:rPr>
        <w:t>razrješenje i imenovanje novog člana prihvaćeno na 5. sjednici Vijeća 22. listopada 2021. );</w:t>
      </w:r>
    </w:p>
    <w:p w14:paraId="5816BBF8" w14:textId="77777777" w:rsidR="00F13248" w:rsidRPr="006218CF" w:rsidRDefault="00F13248" w:rsidP="00F13248">
      <w:pPr>
        <w:spacing w:after="0" w:line="240" w:lineRule="auto"/>
        <w:ind w:left="1304" w:right="0" w:hanging="340"/>
        <w:rPr>
          <w:rFonts w:ascii="Times New Roman" w:hAnsi="Times New Roman" w:cs="Times New Roman"/>
          <w:color w:val="auto"/>
          <w:sz w:val="24"/>
        </w:rPr>
      </w:pPr>
      <w:r w:rsidRPr="006218CF">
        <w:rPr>
          <w:rFonts w:ascii="Times New Roman" w:hAnsi="Times New Roman" w:cs="Times New Roman"/>
          <w:color w:val="auto"/>
          <w:sz w:val="24"/>
          <w:u w:color="000000"/>
        </w:rPr>
        <w:t>10.</w:t>
      </w:r>
      <w:r w:rsidRPr="006218CF">
        <w:rPr>
          <w:rFonts w:ascii="Times New Roman" w:hAnsi="Times New Roman" w:cs="Times New Roman"/>
          <w:color w:val="auto"/>
          <w:sz w:val="24"/>
          <w:u w:color="000000"/>
        </w:rPr>
        <w:tab/>
      </w:r>
      <w:r w:rsidRPr="006218CF">
        <w:rPr>
          <w:rFonts w:ascii="Times New Roman" w:hAnsi="Times New Roman" w:cs="Times New Roman"/>
          <w:color w:val="auto"/>
          <w:sz w:val="24"/>
        </w:rPr>
        <w:t>Stožer civilne zaštite Gradske četvrti Črnomerec (Službeni glasnik Grada Zagreba 2/18, 22/21);</w:t>
      </w:r>
    </w:p>
    <w:p w14:paraId="7B35F866" w14:textId="77777777" w:rsidR="00F13248" w:rsidRPr="006218CF" w:rsidRDefault="00F13248" w:rsidP="00F13248">
      <w:pPr>
        <w:spacing w:after="0" w:line="240" w:lineRule="auto"/>
        <w:ind w:left="1304" w:right="0" w:hanging="340"/>
        <w:rPr>
          <w:rFonts w:ascii="Times New Roman" w:hAnsi="Times New Roman" w:cs="Times New Roman"/>
          <w:color w:val="auto"/>
          <w:sz w:val="24"/>
        </w:rPr>
      </w:pPr>
      <w:r w:rsidRPr="006218CF">
        <w:rPr>
          <w:rFonts w:ascii="Times New Roman" w:hAnsi="Times New Roman" w:cs="Times New Roman"/>
          <w:color w:val="auto"/>
          <w:sz w:val="24"/>
          <w:u w:color="000000"/>
        </w:rPr>
        <w:t>11.</w:t>
      </w:r>
      <w:r w:rsidRPr="006218CF">
        <w:rPr>
          <w:rFonts w:ascii="Times New Roman" w:hAnsi="Times New Roman" w:cs="Times New Roman"/>
          <w:color w:val="auto"/>
          <w:sz w:val="24"/>
          <w:u w:color="000000"/>
        </w:rPr>
        <w:tab/>
      </w:r>
      <w:r w:rsidRPr="006218CF">
        <w:rPr>
          <w:rFonts w:ascii="Times New Roman" w:hAnsi="Times New Roman" w:cs="Times New Roman"/>
          <w:color w:val="auto"/>
          <w:sz w:val="24"/>
        </w:rPr>
        <w:t>Stožer civilne zaštite Gradske četvrti Gornja Dubrava (Službeni glasnik Grada Zagreba 1/18, 33/20, 22/21);</w:t>
      </w:r>
    </w:p>
    <w:p w14:paraId="6087630E" w14:textId="77777777" w:rsidR="00F13248" w:rsidRPr="006218CF" w:rsidRDefault="00F13248" w:rsidP="00F13248">
      <w:pPr>
        <w:spacing w:after="0" w:line="240" w:lineRule="auto"/>
        <w:ind w:left="1304" w:right="0" w:hanging="340"/>
        <w:rPr>
          <w:rFonts w:ascii="Times New Roman" w:hAnsi="Times New Roman" w:cs="Times New Roman"/>
          <w:color w:val="auto"/>
          <w:sz w:val="24"/>
        </w:rPr>
      </w:pPr>
      <w:r w:rsidRPr="006218CF">
        <w:rPr>
          <w:rFonts w:ascii="Times New Roman" w:hAnsi="Times New Roman" w:cs="Times New Roman"/>
          <w:color w:val="auto"/>
          <w:sz w:val="24"/>
          <w:u w:color="000000"/>
        </w:rPr>
        <w:t>12.</w:t>
      </w:r>
      <w:r w:rsidRPr="006218CF">
        <w:rPr>
          <w:rFonts w:ascii="Times New Roman" w:hAnsi="Times New Roman" w:cs="Times New Roman"/>
          <w:color w:val="auto"/>
          <w:sz w:val="24"/>
          <w:u w:color="000000"/>
        </w:rPr>
        <w:tab/>
      </w:r>
      <w:r w:rsidRPr="006218CF">
        <w:rPr>
          <w:rFonts w:ascii="Times New Roman" w:hAnsi="Times New Roman" w:cs="Times New Roman"/>
          <w:color w:val="auto"/>
          <w:sz w:val="24"/>
        </w:rPr>
        <w:t>Stožer civilne zaštite Gradske četvrti Donja Dubrava (Službeni glasnik Grada Zagreba 1/18, 29/20, 22/21);</w:t>
      </w:r>
    </w:p>
    <w:p w14:paraId="44EFEF9F" w14:textId="77777777" w:rsidR="00F13248" w:rsidRPr="006218CF" w:rsidRDefault="00F13248" w:rsidP="00F13248">
      <w:pPr>
        <w:spacing w:after="0" w:line="240" w:lineRule="auto"/>
        <w:ind w:left="1304" w:right="0" w:hanging="340"/>
        <w:rPr>
          <w:rFonts w:ascii="Times New Roman" w:hAnsi="Times New Roman" w:cs="Times New Roman"/>
          <w:color w:val="auto"/>
          <w:sz w:val="24"/>
        </w:rPr>
      </w:pPr>
      <w:r w:rsidRPr="006218CF">
        <w:rPr>
          <w:rFonts w:ascii="Times New Roman" w:hAnsi="Times New Roman" w:cs="Times New Roman"/>
          <w:color w:val="auto"/>
          <w:sz w:val="24"/>
          <w:u w:color="000000"/>
        </w:rPr>
        <w:t>13.</w:t>
      </w:r>
      <w:r w:rsidRPr="006218CF">
        <w:rPr>
          <w:rFonts w:ascii="Times New Roman" w:hAnsi="Times New Roman" w:cs="Times New Roman"/>
          <w:color w:val="auto"/>
          <w:sz w:val="24"/>
          <w:u w:color="000000"/>
        </w:rPr>
        <w:tab/>
      </w:r>
      <w:r w:rsidRPr="006218CF">
        <w:rPr>
          <w:rFonts w:ascii="Times New Roman" w:hAnsi="Times New Roman" w:cs="Times New Roman"/>
          <w:color w:val="auto"/>
          <w:sz w:val="24"/>
        </w:rPr>
        <w:t>Stožer civilne zaštite Gradske četvrti Stenjevec (Službeni glasnik Grada Zagreba 7/18, 22/21);</w:t>
      </w:r>
    </w:p>
    <w:p w14:paraId="43C870F1" w14:textId="3E0991BF" w:rsidR="00F13248" w:rsidRPr="006218CF" w:rsidRDefault="00F13248" w:rsidP="00F13248">
      <w:pPr>
        <w:spacing w:after="0" w:line="240" w:lineRule="auto"/>
        <w:ind w:left="1304" w:right="0" w:hanging="340"/>
        <w:rPr>
          <w:rFonts w:ascii="Times New Roman" w:hAnsi="Times New Roman" w:cs="Times New Roman"/>
          <w:color w:val="auto"/>
          <w:sz w:val="24"/>
        </w:rPr>
      </w:pPr>
      <w:r w:rsidRPr="006218CF">
        <w:rPr>
          <w:rFonts w:ascii="Times New Roman" w:hAnsi="Times New Roman" w:cs="Times New Roman"/>
          <w:color w:val="auto"/>
          <w:sz w:val="24"/>
          <w:u w:color="000000"/>
        </w:rPr>
        <w:t>14.</w:t>
      </w:r>
      <w:r w:rsidRPr="006218CF">
        <w:rPr>
          <w:rFonts w:ascii="Times New Roman" w:hAnsi="Times New Roman" w:cs="Times New Roman"/>
          <w:color w:val="auto"/>
          <w:sz w:val="24"/>
          <w:u w:color="000000"/>
        </w:rPr>
        <w:tab/>
      </w:r>
      <w:r w:rsidRPr="006218CF">
        <w:rPr>
          <w:rFonts w:ascii="Times New Roman" w:hAnsi="Times New Roman" w:cs="Times New Roman"/>
          <w:color w:val="auto"/>
          <w:sz w:val="24"/>
        </w:rPr>
        <w:t>Stožer civilne zaštite Gradske četvrti Podsused - Vrapče (Službeni glasnik Grada Zagreba 7/18, 9/19,</w:t>
      </w:r>
      <w:r w:rsidR="00B51AE1">
        <w:rPr>
          <w:rFonts w:ascii="Times New Roman" w:hAnsi="Times New Roman" w:cs="Times New Roman"/>
          <w:color w:val="FF0000"/>
          <w:sz w:val="24"/>
        </w:rPr>
        <w:t xml:space="preserve"> </w:t>
      </w:r>
      <w:r w:rsidRPr="006218CF">
        <w:rPr>
          <w:rFonts w:ascii="Times New Roman" w:hAnsi="Times New Roman" w:cs="Times New Roman"/>
          <w:color w:val="auto"/>
          <w:sz w:val="24"/>
        </w:rPr>
        <w:t>prijedlog novih članova prihvaćen na 3. sjednici Vijeća 23. kolovoza 2021.);</w:t>
      </w:r>
    </w:p>
    <w:p w14:paraId="7BA1A0A5" w14:textId="10291AB1" w:rsidR="00F13248" w:rsidRPr="006218CF" w:rsidRDefault="00F13248" w:rsidP="00F13248">
      <w:pPr>
        <w:spacing w:after="0" w:line="240" w:lineRule="auto"/>
        <w:ind w:left="1304" w:right="0" w:hanging="340"/>
        <w:rPr>
          <w:rFonts w:ascii="Times New Roman" w:hAnsi="Times New Roman" w:cs="Times New Roman"/>
          <w:color w:val="auto"/>
          <w:sz w:val="24"/>
        </w:rPr>
      </w:pPr>
      <w:r w:rsidRPr="006218CF">
        <w:rPr>
          <w:rFonts w:ascii="Times New Roman" w:hAnsi="Times New Roman" w:cs="Times New Roman"/>
          <w:color w:val="auto"/>
          <w:sz w:val="24"/>
          <w:u w:color="000000"/>
        </w:rPr>
        <w:t>15.</w:t>
      </w:r>
      <w:r w:rsidRPr="006218CF">
        <w:rPr>
          <w:rFonts w:ascii="Times New Roman" w:hAnsi="Times New Roman" w:cs="Times New Roman"/>
          <w:color w:val="auto"/>
          <w:sz w:val="24"/>
          <w:u w:color="000000"/>
        </w:rPr>
        <w:tab/>
      </w:r>
      <w:r w:rsidRPr="006218CF">
        <w:rPr>
          <w:rFonts w:ascii="Times New Roman" w:hAnsi="Times New Roman" w:cs="Times New Roman"/>
          <w:color w:val="auto"/>
          <w:sz w:val="24"/>
        </w:rPr>
        <w:t>Stožer civilne zaštite Gradske četvrti Podsljeme (Službeni glasnik Grada Zagreba 1/18,</w:t>
      </w:r>
      <w:r w:rsidRPr="006218CF">
        <w:rPr>
          <w:color w:val="auto"/>
        </w:rPr>
        <w:t xml:space="preserve"> </w:t>
      </w:r>
      <w:r w:rsidRPr="006218CF">
        <w:rPr>
          <w:rFonts w:ascii="Times New Roman" w:hAnsi="Times New Roman" w:cs="Times New Roman"/>
          <w:color w:val="auto"/>
          <w:sz w:val="24"/>
        </w:rPr>
        <w:t>prijedlog novih članova prihvaćen na 3. sjednici Vijeća 24. kolovoza 2021.);</w:t>
      </w:r>
    </w:p>
    <w:p w14:paraId="029CC4A5" w14:textId="77777777" w:rsidR="00F13248" w:rsidRPr="006218CF" w:rsidRDefault="00F13248" w:rsidP="00F13248">
      <w:pPr>
        <w:spacing w:after="0" w:line="240" w:lineRule="auto"/>
        <w:ind w:left="1304" w:right="0" w:hanging="340"/>
        <w:rPr>
          <w:rFonts w:ascii="Times New Roman" w:hAnsi="Times New Roman" w:cs="Times New Roman"/>
          <w:color w:val="auto"/>
          <w:sz w:val="24"/>
        </w:rPr>
      </w:pPr>
      <w:r w:rsidRPr="006218CF">
        <w:rPr>
          <w:rFonts w:ascii="Times New Roman" w:hAnsi="Times New Roman" w:cs="Times New Roman"/>
          <w:color w:val="auto"/>
          <w:sz w:val="24"/>
          <w:u w:color="000000"/>
        </w:rPr>
        <w:t>16.</w:t>
      </w:r>
      <w:r w:rsidRPr="006218CF">
        <w:rPr>
          <w:rFonts w:ascii="Times New Roman" w:hAnsi="Times New Roman" w:cs="Times New Roman"/>
          <w:color w:val="auto"/>
          <w:sz w:val="24"/>
          <w:u w:color="000000"/>
        </w:rPr>
        <w:tab/>
      </w:r>
      <w:r w:rsidRPr="006218CF">
        <w:rPr>
          <w:rFonts w:ascii="Times New Roman" w:hAnsi="Times New Roman" w:cs="Times New Roman"/>
          <w:color w:val="auto"/>
          <w:sz w:val="24"/>
        </w:rPr>
        <w:t>Stožer civilne zaštite Gradske četvrti Sesvete (Službeni glasnik Grada Zagreba 2/19, 22/21);</w:t>
      </w:r>
    </w:p>
    <w:p w14:paraId="5330943B" w14:textId="3846AF40" w:rsidR="00F13248" w:rsidRPr="006218CF" w:rsidRDefault="00F13248" w:rsidP="00F13248">
      <w:pPr>
        <w:spacing w:after="0" w:line="240" w:lineRule="auto"/>
        <w:ind w:left="1304" w:right="0" w:hanging="340"/>
        <w:rPr>
          <w:rFonts w:ascii="Times New Roman" w:hAnsi="Times New Roman" w:cs="Times New Roman"/>
          <w:color w:val="auto"/>
          <w:sz w:val="24"/>
        </w:rPr>
      </w:pPr>
      <w:r w:rsidRPr="006218CF">
        <w:rPr>
          <w:rFonts w:ascii="Times New Roman" w:hAnsi="Times New Roman" w:cs="Times New Roman"/>
          <w:color w:val="auto"/>
          <w:sz w:val="24"/>
          <w:u w:color="000000"/>
        </w:rPr>
        <w:t>17.</w:t>
      </w:r>
      <w:r w:rsidRPr="006218CF">
        <w:rPr>
          <w:rFonts w:ascii="Times New Roman" w:hAnsi="Times New Roman" w:cs="Times New Roman"/>
          <w:color w:val="auto"/>
          <w:sz w:val="24"/>
          <w:u w:color="000000"/>
        </w:rPr>
        <w:tab/>
      </w:r>
      <w:r w:rsidRPr="006218CF">
        <w:rPr>
          <w:rFonts w:ascii="Times New Roman" w:hAnsi="Times New Roman" w:cs="Times New Roman"/>
          <w:color w:val="auto"/>
          <w:sz w:val="24"/>
        </w:rPr>
        <w:t>Stožer civilne zaštite Gradske četvrti Brezovica (Službeni glasnik Grada Zagreba 1/18,</w:t>
      </w:r>
      <w:r w:rsidRPr="006218CF">
        <w:rPr>
          <w:color w:val="auto"/>
        </w:rPr>
        <w:t xml:space="preserve"> </w:t>
      </w:r>
      <w:r w:rsidRPr="006218CF">
        <w:rPr>
          <w:rFonts w:ascii="Times New Roman" w:hAnsi="Times New Roman" w:cs="Times New Roman"/>
          <w:color w:val="auto"/>
          <w:sz w:val="24"/>
        </w:rPr>
        <w:t>prijedlog novih članova prihvaćen na 2. sjednici Vijeća 23. kolovoza 2021.).</w:t>
      </w:r>
    </w:p>
    <w:p w14:paraId="09B36E4F" w14:textId="77777777"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Stožeri imaju načelnika, zamjenika načelnika i 5 članova. Načelnik je po dužnosti predsjednik vijeća gradske četvrti i rukovodi radom stožera, zamjenik načelnika je po dužnosti potpredsjednik vijeća gradske četvrti. Članovi stožera su tri člana iz redova vijeća gradske četvrti i dva člana su iz redova stručnih osoba za pojedina područja prirodnih, tehničkih i drugih znanosti, po prethodno pribavljenom mišljenju pravne osobe kojoj je redovna djelatnost zaštita i spašavanje.</w:t>
      </w:r>
    </w:p>
    <w:p w14:paraId="011DABB2" w14:textId="77777777" w:rsidR="00F13248" w:rsidRPr="005142C4" w:rsidRDefault="00F13248" w:rsidP="006218CF">
      <w:pPr>
        <w:spacing w:after="0" w:line="240" w:lineRule="auto"/>
        <w:ind w:left="0" w:right="0" w:firstLine="0"/>
        <w:rPr>
          <w:rFonts w:ascii="Times New Roman" w:hAnsi="Times New Roman" w:cs="Times New Roman"/>
          <w:sz w:val="24"/>
        </w:rPr>
      </w:pPr>
    </w:p>
    <w:p w14:paraId="610AE8FA" w14:textId="04BC3072" w:rsidR="00F13248" w:rsidRDefault="00900184" w:rsidP="00F13248">
      <w:pPr>
        <w:spacing w:after="0" w:line="240" w:lineRule="auto"/>
        <w:ind w:left="0" w:right="0" w:firstLine="709"/>
        <w:rPr>
          <w:rFonts w:ascii="Times New Roman" w:hAnsi="Times New Roman" w:cs="Times New Roman"/>
          <w:color w:val="FF0000"/>
          <w:sz w:val="24"/>
        </w:rPr>
      </w:pPr>
      <w:r w:rsidRPr="005142C4">
        <w:rPr>
          <w:rFonts w:ascii="Times New Roman" w:hAnsi="Times New Roman" w:cs="Times New Roman"/>
          <w:sz w:val="24"/>
        </w:rPr>
        <w:t xml:space="preserve">3) </w:t>
      </w:r>
      <w:r w:rsidRPr="005142C4">
        <w:rPr>
          <w:rFonts w:ascii="Times New Roman" w:hAnsi="Times New Roman" w:cs="Times New Roman"/>
          <w:sz w:val="24"/>
          <w:u w:val="single" w:color="000000"/>
        </w:rPr>
        <w:t>operativne snage vatrogastva</w:t>
      </w:r>
    </w:p>
    <w:p w14:paraId="6CFCE437" w14:textId="77777777"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Operativne snage vatrogastva na području Grada Zagreba čine Javna vatrogasna postrojba Grada Zagreba (u daljnjem tekstu: JVP GZ) i dobrovoljna vatrogasna društva (u daljnjem tekstu: DVD-ovi) udružena u Vatrogasnu zajednicu Grada Zagreba.</w:t>
      </w:r>
    </w:p>
    <w:p w14:paraId="3CCC067F" w14:textId="050D9C6F"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xml:space="preserve">Na dan 1. </w:t>
      </w:r>
      <w:r w:rsidR="005E0C81">
        <w:rPr>
          <w:rFonts w:ascii="Times New Roman" w:hAnsi="Times New Roman" w:cs="Times New Roman"/>
          <w:color w:val="auto"/>
          <w:sz w:val="24"/>
        </w:rPr>
        <w:t>rujna</w:t>
      </w:r>
      <w:r w:rsidRPr="006218CF">
        <w:rPr>
          <w:rFonts w:ascii="Times New Roman" w:hAnsi="Times New Roman" w:cs="Times New Roman"/>
          <w:color w:val="auto"/>
          <w:sz w:val="24"/>
        </w:rPr>
        <w:t xml:space="preserve"> 202</w:t>
      </w:r>
      <w:r w:rsidR="005E0C81">
        <w:rPr>
          <w:rFonts w:ascii="Times New Roman" w:hAnsi="Times New Roman" w:cs="Times New Roman"/>
          <w:color w:val="auto"/>
          <w:sz w:val="24"/>
        </w:rPr>
        <w:t>2</w:t>
      </w:r>
      <w:r w:rsidRPr="006218CF">
        <w:rPr>
          <w:rFonts w:ascii="Times New Roman" w:hAnsi="Times New Roman" w:cs="Times New Roman"/>
          <w:color w:val="auto"/>
          <w:sz w:val="24"/>
        </w:rPr>
        <w:t xml:space="preserve">. godine u JVP GZ bilo je ukupno zaposleno </w:t>
      </w:r>
      <w:r w:rsidR="00B36632">
        <w:rPr>
          <w:rFonts w:ascii="Times New Roman" w:hAnsi="Times New Roman" w:cs="Times New Roman"/>
          <w:color w:val="auto"/>
          <w:sz w:val="24"/>
        </w:rPr>
        <w:t>318</w:t>
      </w:r>
      <w:r w:rsidRPr="006218CF">
        <w:rPr>
          <w:rFonts w:ascii="Times New Roman" w:hAnsi="Times New Roman" w:cs="Times New Roman"/>
          <w:color w:val="auto"/>
          <w:sz w:val="24"/>
        </w:rPr>
        <w:t xml:space="preserve"> </w:t>
      </w:r>
      <w:r w:rsidR="00071131" w:rsidRPr="00071131">
        <w:rPr>
          <w:rFonts w:ascii="Times New Roman" w:hAnsi="Times New Roman" w:cs="Times New Roman"/>
          <w:color w:val="auto"/>
          <w:sz w:val="24"/>
        </w:rPr>
        <w:t>operativni</w:t>
      </w:r>
      <w:r w:rsidR="00071131">
        <w:rPr>
          <w:rFonts w:ascii="Times New Roman" w:hAnsi="Times New Roman" w:cs="Times New Roman"/>
          <w:color w:val="auto"/>
          <w:sz w:val="24"/>
        </w:rPr>
        <w:t>h</w:t>
      </w:r>
      <w:r w:rsidR="00071131" w:rsidRPr="00071131">
        <w:rPr>
          <w:rFonts w:ascii="Times New Roman" w:hAnsi="Times New Roman" w:cs="Times New Roman"/>
          <w:color w:val="auto"/>
          <w:sz w:val="24"/>
        </w:rPr>
        <w:t xml:space="preserve"> vatrogas</w:t>
      </w:r>
      <w:r w:rsidR="00071131">
        <w:rPr>
          <w:rFonts w:ascii="Times New Roman" w:hAnsi="Times New Roman" w:cs="Times New Roman"/>
          <w:color w:val="auto"/>
          <w:sz w:val="24"/>
        </w:rPr>
        <w:t>aca</w:t>
      </w:r>
      <w:r w:rsidR="00071131" w:rsidRPr="00071131">
        <w:rPr>
          <w:rFonts w:ascii="Times New Roman" w:hAnsi="Times New Roman" w:cs="Times New Roman"/>
          <w:color w:val="auto"/>
          <w:sz w:val="24"/>
        </w:rPr>
        <w:t xml:space="preserve"> po postajama i u vatrogasnom operativno komunikacijskom centru</w:t>
      </w:r>
      <w:r w:rsidRPr="006218CF">
        <w:rPr>
          <w:rFonts w:ascii="Times New Roman" w:hAnsi="Times New Roman" w:cs="Times New Roman"/>
          <w:color w:val="auto"/>
          <w:sz w:val="24"/>
        </w:rPr>
        <w:t xml:space="preserve">. Vatrogasci su </w:t>
      </w:r>
      <w:r w:rsidRPr="006218CF">
        <w:rPr>
          <w:rFonts w:ascii="Times New Roman" w:hAnsi="Times New Roman" w:cs="Times New Roman"/>
          <w:color w:val="auto"/>
          <w:sz w:val="24"/>
        </w:rPr>
        <w:lastRenderedPageBreak/>
        <w:t>raspoređeni u pet vatrogasnih postaja na području grada Zagreba (Vatrogasnu postaju Centar, Vatrogasnu postaju Dubrava, Vatrogasnu postaju Jankomir, Vatrogasnu postaju Novi Zagreb i Vatrogasnu postaju Žitnjak). Brojno stanje po postajama je sljedeće:</w:t>
      </w:r>
    </w:p>
    <w:p w14:paraId="7A21FAFE" w14:textId="5EADA16B"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xml:space="preserve">-   Vatrogasna postaja Centar: </w:t>
      </w:r>
      <w:r w:rsidR="005E4480">
        <w:rPr>
          <w:rFonts w:ascii="Times New Roman" w:hAnsi="Times New Roman" w:cs="Times New Roman"/>
          <w:color w:val="auto"/>
          <w:sz w:val="24"/>
        </w:rPr>
        <w:t>81</w:t>
      </w:r>
      <w:r w:rsidRPr="006218CF">
        <w:rPr>
          <w:rFonts w:ascii="Times New Roman" w:hAnsi="Times New Roman" w:cs="Times New Roman"/>
          <w:color w:val="auto"/>
          <w:sz w:val="24"/>
        </w:rPr>
        <w:t xml:space="preserve"> operativna vatrogasca</w:t>
      </w:r>
      <w:r w:rsidR="00766BDA">
        <w:rPr>
          <w:rFonts w:ascii="Times New Roman" w:hAnsi="Times New Roman" w:cs="Times New Roman"/>
          <w:color w:val="auto"/>
          <w:sz w:val="24"/>
        </w:rPr>
        <w:t>,</w:t>
      </w:r>
    </w:p>
    <w:p w14:paraId="04A6DFB5" w14:textId="23AA02DB"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xml:space="preserve">-   Vatrogasna postaja Dubrava: </w:t>
      </w:r>
      <w:r w:rsidR="005E4480">
        <w:rPr>
          <w:rFonts w:ascii="Times New Roman" w:hAnsi="Times New Roman" w:cs="Times New Roman"/>
          <w:color w:val="auto"/>
          <w:sz w:val="24"/>
        </w:rPr>
        <w:t>54</w:t>
      </w:r>
      <w:r w:rsidRPr="006218CF">
        <w:rPr>
          <w:rFonts w:ascii="Times New Roman" w:hAnsi="Times New Roman" w:cs="Times New Roman"/>
          <w:color w:val="auto"/>
          <w:sz w:val="24"/>
        </w:rPr>
        <w:t xml:space="preserve"> operativnih vatrogasaca</w:t>
      </w:r>
      <w:r w:rsidR="00766BDA">
        <w:rPr>
          <w:rFonts w:ascii="Times New Roman" w:hAnsi="Times New Roman" w:cs="Times New Roman"/>
          <w:color w:val="auto"/>
          <w:sz w:val="24"/>
        </w:rPr>
        <w:t>,</w:t>
      </w:r>
    </w:p>
    <w:p w14:paraId="10E0D8EE" w14:textId="741AE01A"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xml:space="preserve">-   Vatrogasna postaja Žitnjak: </w:t>
      </w:r>
      <w:r w:rsidR="005E4480">
        <w:rPr>
          <w:rFonts w:ascii="Times New Roman" w:hAnsi="Times New Roman" w:cs="Times New Roman"/>
          <w:color w:val="auto"/>
          <w:sz w:val="24"/>
        </w:rPr>
        <w:t>50</w:t>
      </w:r>
      <w:r w:rsidRPr="006218CF">
        <w:rPr>
          <w:rFonts w:ascii="Times New Roman" w:hAnsi="Times New Roman" w:cs="Times New Roman"/>
          <w:color w:val="auto"/>
          <w:sz w:val="24"/>
        </w:rPr>
        <w:t xml:space="preserve"> operativnih vatrogasaca</w:t>
      </w:r>
      <w:r w:rsidR="00766BDA">
        <w:rPr>
          <w:rFonts w:ascii="Times New Roman" w:hAnsi="Times New Roman" w:cs="Times New Roman"/>
          <w:color w:val="auto"/>
          <w:sz w:val="24"/>
        </w:rPr>
        <w:t>,</w:t>
      </w:r>
    </w:p>
    <w:p w14:paraId="1CEEE274" w14:textId="6912625A"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Vatrogasna postaja Novi Zagreb: 48 operativnih vatrogasaca</w:t>
      </w:r>
      <w:r w:rsidR="00766BDA">
        <w:rPr>
          <w:rFonts w:ascii="Times New Roman" w:hAnsi="Times New Roman" w:cs="Times New Roman"/>
          <w:color w:val="auto"/>
          <w:sz w:val="24"/>
        </w:rPr>
        <w:t>,</w:t>
      </w:r>
    </w:p>
    <w:p w14:paraId="13723444" w14:textId="2A0019A7"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Vatrogasna postaja Jankomir: 48 operativnih vatrogasaca</w:t>
      </w:r>
      <w:r w:rsidR="00766BDA">
        <w:rPr>
          <w:rFonts w:ascii="Times New Roman" w:hAnsi="Times New Roman" w:cs="Times New Roman"/>
          <w:color w:val="auto"/>
          <w:sz w:val="24"/>
        </w:rPr>
        <w:t>,</w:t>
      </w:r>
    </w:p>
    <w:p w14:paraId="1F4BCA0E" w14:textId="6357CC9C"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Centar veze: ukupno 21 (16 operativnih dežurnih vatrogasaca i 5 zapovjednika smjene)</w:t>
      </w:r>
      <w:r w:rsidR="00766BDA">
        <w:rPr>
          <w:rFonts w:ascii="Times New Roman" w:hAnsi="Times New Roman" w:cs="Times New Roman"/>
          <w:color w:val="auto"/>
          <w:sz w:val="24"/>
        </w:rPr>
        <w:t>.</w:t>
      </w:r>
    </w:p>
    <w:p w14:paraId="39933B26" w14:textId="77777777"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Izvansmjenskih profesionalnih vatrogasaca je devet. Vatrogasni timovi kontinuirano provode vježbe u koje uključuju i druge službe s kojima bi spašavali građane u slučaju katastrofe izazvane potresom ili urušavanjem građevina. Ukupno je 52 vatrogasaca - ruševinaca posebno osposobljeno prema programima i stupnjevima - 1/2/3 za spašavanje iz ruševina (u daljnjem tekstu: SUR) kako slijedi:</w:t>
      </w:r>
    </w:p>
    <w:p w14:paraId="60510642" w14:textId="3CF8B4F3"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11 pripadnika JVP GZ osposobljeno prema programu SUR-1</w:t>
      </w:r>
      <w:r w:rsidR="00766BDA">
        <w:rPr>
          <w:rFonts w:ascii="Times New Roman" w:hAnsi="Times New Roman" w:cs="Times New Roman"/>
          <w:color w:val="auto"/>
          <w:sz w:val="24"/>
        </w:rPr>
        <w:t>,</w:t>
      </w:r>
    </w:p>
    <w:p w14:paraId="1F69E992" w14:textId="005D5FBD"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38 pripadnika JVP GZ osposobljeno prema programu SUR-2</w:t>
      </w:r>
      <w:r w:rsidR="00766BDA">
        <w:rPr>
          <w:rFonts w:ascii="Times New Roman" w:hAnsi="Times New Roman" w:cs="Times New Roman"/>
          <w:color w:val="auto"/>
          <w:sz w:val="24"/>
        </w:rPr>
        <w:t>,</w:t>
      </w:r>
    </w:p>
    <w:p w14:paraId="3D32467A" w14:textId="77777777"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3 pripadnika JVP GZ osposobljeno prema programu SUR-3.</w:t>
      </w:r>
    </w:p>
    <w:p w14:paraId="4CC69840" w14:textId="77777777"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U JVP-u GZ-a djeluje 16 vatrogasaca ronilaca, od toga 15 ronilaca ima liječničko uvjerenje da su sposobni obavljati ronilačke aktivnosti. Ronioci su završili obuku za naprednog ronioca sa specijalnošću: ronjenje na olupinama, noćno ronjenje, navigacijsko ronjenje, prva pomoć unesrećenom roniocu. Tri člana ronilačkog tima završili su izobrazbu za instruktore ronjenja. Deset ronilaca ima prekvalifikaciju: ronitelj za podvodne metalske radove.</w:t>
      </w:r>
    </w:p>
    <w:p w14:paraId="79CBB899" w14:textId="77777777"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JVP GZ raspolaže sa 68 vatrogasnih vozila, a prema vrstama razvrstani su na:</w:t>
      </w:r>
    </w:p>
    <w:p w14:paraId="1775AE42" w14:textId="3E8C0C10"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12 navalnih vozila</w:t>
      </w:r>
      <w:r w:rsidR="00766BDA">
        <w:rPr>
          <w:rFonts w:ascii="Times New Roman" w:hAnsi="Times New Roman" w:cs="Times New Roman"/>
          <w:color w:val="auto"/>
          <w:sz w:val="24"/>
        </w:rPr>
        <w:t>,</w:t>
      </w:r>
    </w:p>
    <w:p w14:paraId="18AAEA61" w14:textId="0673E80C"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9 zapovjednih vozila</w:t>
      </w:r>
      <w:r w:rsidR="00766BDA">
        <w:rPr>
          <w:rFonts w:ascii="Times New Roman" w:hAnsi="Times New Roman" w:cs="Times New Roman"/>
          <w:color w:val="auto"/>
          <w:sz w:val="24"/>
        </w:rPr>
        <w:t>,</w:t>
      </w:r>
    </w:p>
    <w:p w14:paraId="6FEE3AE4" w14:textId="1CE30F03"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7 autocisterni</w:t>
      </w:r>
      <w:r w:rsidR="00766BDA">
        <w:rPr>
          <w:rFonts w:ascii="Times New Roman" w:hAnsi="Times New Roman" w:cs="Times New Roman"/>
          <w:color w:val="auto"/>
          <w:sz w:val="24"/>
        </w:rPr>
        <w:t>,</w:t>
      </w:r>
    </w:p>
    <w:p w14:paraId="21562AC0" w14:textId="424B3D44"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4 šumara</w:t>
      </w:r>
      <w:r w:rsidR="00766BDA">
        <w:rPr>
          <w:rFonts w:ascii="Times New Roman" w:hAnsi="Times New Roman" w:cs="Times New Roman"/>
          <w:color w:val="auto"/>
          <w:sz w:val="24"/>
        </w:rPr>
        <w:t>,</w:t>
      </w:r>
    </w:p>
    <w:p w14:paraId="01B2CD36" w14:textId="7780FCDC"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10 tehničkih vozila</w:t>
      </w:r>
      <w:r w:rsidR="00766BDA">
        <w:rPr>
          <w:rFonts w:ascii="Times New Roman" w:hAnsi="Times New Roman" w:cs="Times New Roman"/>
          <w:color w:val="auto"/>
          <w:sz w:val="24"/>
        </w:rPr>
        <w:t>,</w:t>
      </w:r>
    </w:p>
    <w:p w14:paraId="437752B4" w14:textId="667EEBCC"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3 vozila za prijevoz vatrogasaca</w:t>
      </w:r>
      <w:r w:rsidR="00766BDA">
        <w:rPr>
          <w:rFonts w:ascii="Times New Roman" w:hAnsi="Times New Roman" w:cs="Times New Roman"/>
          <w:color w:val="auto"/>
          <w:sz w:val="24"/>
        </w:rPr>
        <w:t>,</w:t>
      </w:r>
    </w:p>
    <w:p w14:paraId="53ACA52C" w14:textId="0E616414"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3 vozila za prijevoz vatrogasaca i opreme (Caddy, Crafter, VW transporter)</w:t>
      </w:r>
      <w:r w:rsidR="00766BDA">
        <w:rPr>
          <w:rFonts w:ascii="Times New Roman" w:hAnsi="Times New Roman" w:cs="Times New Roman"/>
          <w:color w:val="auto"/>
          <w:sz w:val="24"/>
        </w:rPr>
        <w:t>,</w:t>
      </w:r>
    </w:p>
    <w:p w14:paraId="21497B67" w14:textId="5B31552A"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16 specijalnih vatrogasnih vozila</w:t>
      </w:r>
      <w:r w:rsidR="00766BDA">
        <w:rPr>
          <w:rFonts w:ascii="Times New Roman" w:hAnsi="Times New Roman" w:cs="Times New Roman"/>
          <w:color w:val="auto"/>
          <w:sz w:val="24"/>
        </w:rPr>
        <w:t>,</w:t>
      </w:r>
    </w:p>
    <w:p w14:paraId="1B0FDFE8" w14:textId="77777777"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4 ostalih vozila (autobus, teretno i servisno vozilo).</w:t>
      </w:r>
    </w:p>
    <w:p w14:paraId="4B0D97AE" w14:textId="77777777"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JVP GZ posjeduje i:</w:t>
      </w:r>
    </w:p>
    <w:p w14:paraId="6380C43A" w14:textId="38101E4B"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6 čamaca s prikolicom + 1 čamac za spašavanje iz poplava</w:t>
      </w:r>
      <w:r w:rsidR="00766BDA">
        <w:rPr>
          <w:rFonts w:ascii="Times New Roman" w:hAnsi="Times New Roman" w:cs="Times New Roman"/>
          <w:color w:val="auto"/>
          <w:sz w:val="24"/>
        </w:rPr>
        <w:t>,</w:t>
      </w:r>
    </w:p>
    <w:p w14:paraId="5DF4D2FD" w14:textId="2D305EE6"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2 prikolice za prijevoz građe</w:t>
      </w:r>
      <w:r w:rsidR="00766BDA">
        <w:rPr>
          <w:rFonts w:ascii="Times New Roman" w:hAnsi="Times New Roman" w:cs="Times New Roman"/>
          <w:color w:val="auto"/>
          <w:sz w:val="24"/>
        </w:rPr>
        <w:t>,</w:t>
      </w:r>
    </w:p>
    <w:p w14:paraId="144F1FA9" w14:textId="5138F1A6"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prikolicu zapovjednu za veće intervencije</w:t>
      </w:r>
      <w:r w:rsidR="00766BDA">
        <w:rPr>
          <w:rFonts w:ascii="Times New Roman" w:hAnsi="Times New Roman" w:cs="Times New Roman"/>
          <w:color w:val="auto"/>
          <w:sz w:val="24"/>
        </w:rPr>
        <w:t>,</w:t>
      </w:r>
    </w:p>
    <w:p w14:paraId="3A7E5183" w14:textId="639434FC"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prikolicu za tehničke intervencije tzv. Parateh</w:t>
      </w:r>
      <w:r w:rsidR="00766BDA">
        <w:rPr>
          <w:rFonts w:ascii="Times New Roman" w:hAnsi="Times New Roman" w:cs="Times New Roman"/>
          <w:color w:val="auto"/>
          <w:sz w:val="24"/>
        </w:rPr>
        <w:t>,</w:t>
      </w:r>
    </w:p>
    <w:p w14:paraId="1B09F47F" w14:textId="641E5371"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2 prikolice za prijevoz opreme</w:t>
      </w:r>
      <w:r w:rsidR="00766BDA">
        <w:rPr>
          <w:rFonts w:ascii="Times New Roman" w:hAnsi="Times New Roman" w:cs="Times New Roman"/>
          <w:color w:val="auto"/>
          <w:sz w:val="24"/>
        </w:rPr>
        <w:t>,</w:t>
      </w:r>
    </w:p>
    <w:p w14:paraId="67F560CF" w14:textId="7EC157C9"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2 prikolice s agregatom za struju</w:t>
      </w:r>
      <w:r w:rsidR="00766BDA">
        <w:rPr>
          <w:rFonts w:ascii="Times New Roman" w:hAnsi="Times New Roman" w:cs="Times New Roman"/>
          <w:color w:val="auto"/>
          <w:sz w:val="24"/>
        </w:rPr>
        <w:t>,</w:t>
      </w:r>
    </w:p>
    <w:p w14:paraId="4B8FD9A3" w14:textId="77777777"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10 prikolica sa spremnikom za vodu.</w:t>
      </w:r>
    </w:p>
    <w:p w14:paraId="689D2664" w14:textId="77777777"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U 57 DVD-ova udruženih u Vatrogasnu zajednicu Grada Zagreba (u daljnjem tekstu: VZGZ) ukupno je bilo učlanjeno 9187 osoba, od čega je 2546 djece i mladeži u dobi od 6 do 18 godina. Članova vatrogasnih postrojbi je 3728, dok je broj pričuvnih članova 2913.</w:t>
      </w:r>
    </w:p>
    <w:p w14:paraId="6FD6C4E9" w14:textId="77777777"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Ukupno je 611 pripadnika DVD-ova posebno osposobljeno za spašavanje u ruševinama, prema programima, i to kako slijedi:</w:t>
      </w:r>
    </w:p>
    <w:p w14:paraId="1D4CFEC8" w14:textId="0F63D5BA"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553 člana DVD-ova osposobljena su prema programu SUR-1</w:t>
      </w:r>
      <w:r w:rsidR="00766BDA">
        <w:rPr>
          <w:rFonts w:ascii="Times New Roman" w:hAnsi="Times New Roman" w:cs="Times New Roman"/>
          <w:color w:val="auto"/>
          <w:sz w:val="24"/>
        </w:rPr>
        <w:t>,</w:t>
      </w:r>
    </w:p>
    <w:p w14:paraId="2DD6F3EF" w14:textId="03C06C29"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55 članova DVD-ova osposobljeno je prema programu SUR-2</w:t>
      </w:r>
      <w:r w:rsidR="00766BDA">
        <w:rPr>
          <w:rFonts w:ascii="Times New Roman" w:hAnsi="Times New Roman" w:cs="Times New Roman"/>
          <w:color w:val="auto"/>
          <w:sz w:val="24"/>
        </w:rPr>
        <w:t>,</w:t>
      </w:r>
    </w:p>
    <w:p w14:paraId="2A58D0EC" w14:textId="77777777"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3 člana DVD-ova osposobljena su prema programu SUR-3.</w:t>
      </w:r>
    </w:p>
    <w:p w14:paraId="2C53B0F2" w14:textId="77777777"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DVD-ovi raspolažu sa 117 vatrogasnih vozila, i to:</w:t>
      </w:r>
    </w:p>
    <w:p w14:paraId="21B80B22" w14:textId="59712E3F"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lastRenderedPageBreak/>
        <w:t>-   9 navalnih vozila</w:t>
      </w:r>
      <w:r w:rsidR="00766BDA">
        <w:rPr>
          <w:rFonts w:ascii="Times New Roman" w:hAnsi="Times New Roman" w:cs="Times New Roman"/>
          <w:color w:val="auto"/>
          <w:sz w:val="24"/>
        </w:rPr>
        <w:t>,</w:t>
      </w:r>
    </w:p>
    <w:p w14:paraId="2C8FDB50" w14:textId="6CABFA50"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4 zapovjedna vozila</w:t>
      </w:r>
      <w:r w:rsidR="00766BDA">
        <w:rPr>
          <w:rFonts w:ascii="Times New Roman" w:hAnsi="Times New Roman" w:cs="Times New Roman"/>
          <w:color w:val="auto"/>
          <w:sz w:val="24"/>
        </w:rPr>
        <w:t>,</w:t>
      </w:r>
    </w:p>
    <w:p w14:paraId="25DD5C3D" w14:textId="3F778FF1"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23 autocisterni</w:t>
      </w:r>
      <w:r w:rsidR="00766BDA">
        <w:rPr>
          <w:rFonts w:ascii="Times New Roman" w:hAnsi="Times New Roman" w:cs="Times New Roman"/>
          <w:color w:val="auto"/>
          <w:sz w:val="24"/>
        </w:rPr>
        <w:t>,</w:t>
      </w:r>
    </w:p>
    <w:p w14:paraId="38285146" w14:textId="0B837150"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9 šumara</w:t>
      </w:r>
      <w:r w:rsidR="00766BDA">
        <w:rPr>
          <w:rFonts w:ascii="Times New Roman" w:hAnsi="Times New Roman" w:cs="Times New Roman"/>
          <w:color w:val="auto"/>
          <w:sz w:val="24"/>
        </w:rPr>
        <w:t>,</w:t>
      </w:r>
    </w:p>
    <w:p w14:paraId="7DC2BE59" w14:textId="5A99674B"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48 terenskih vozila s ugrađenim visokotlačnim modulom za gašenje požara</w:t>
      </w:r>
      <w:r w:rsidR="00766BDA">
        <w:rPr>
          <w:rFonts w:ascii="Times New Roman" w:hAnsi="Times New Roman" w:cs="Times New Roman"/>
          <w:color w:val="auto"/>
          <w:sz w:val="24"/>
        </w:rPr>
        <w:t>,</w:t>
      </w:r>
    </w:p>
    <w:p w14:paraId="47EAC7BA" w14:textId="330D46F5"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24 vozila za prijevoz vatrogasaca i vatrogasne opreme.</w:t>
      </w:r>
    </w:p>
    <w:p w14:paraId="4EC9FED7" w14:textId="0902F13B" w:rsidR="00F13248" w:rsidRPr="006218CF" w:rsidRDefault="00F13248" w:rsidP="00E977F2">
      <w:pPr>
        <w:spacing w:after="0" w:line="240" w:lineRule="auto"/>
        <w:ind w:left="0" w:right="0" w:firstLine="709"/>
        <w:rPr>
          <w:rFonts w:ascii="Times New Roman" w:hAnsi="Times New Roman" w:cs="Times New Roman"/>
          <w:color w:val="auto"/>
          <w:sz w:val="24"/>
        </w:rPr>
      </w:pPr>
    </w:p>
    <w:p w14:paraId="50ED2D1D" w14:textId="7184FD46" w:rsidR="00F13248" w:rsidRPr="006218CF" w:rsidRDefault="00F13248" w:rsidP="00E977F2">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Ekipe za intervencije stižu do krajnje točke djelovanja u propisanom roku od 15 minuta.</w:t>
      </w:r>
    </w:p>
    <w:p w14:paraId="5F50329C" w14:textId="77777777" w:rsidR="00F13248" w:rsidRPr="005156ED" w:rsidRDefault="00F13248" w:rsidP="006218CF">
      <w:pPr>
        <w:spacing w:after="0" w:line="240" w:lineRule="auto"/>
        <w:ind w:left="0" w:right="0" w:firstLine="0"/>
        <w:rPr>
          <w:rFonts w:ascii="Times New Roman" w:hAnsi="Times New Roman" w:cs="Times New Roman"/>
          <w:color w:val="FF0000"/>
          <w:sz w:val="24"/>
        </w:rPr>
      </w:pPr>
    </w:p>
    <w:p w14:paraId="4CA8B3B8" w14:textId="77777777" w:rsidR="00E40AC8" w:rsidRPr="00E977F2" w:rsidRDefault="00900184" w:rsidP="00E977F2">
      <w:pPr>
        <w:spacing w:after="0" w:line="240" w:lineRule="auto"/>
        <w:ind w:left="0" w:right="0" w:firstLine="709"/>
        <w:rPr>
          <w:rFonts w:ascii="Times New Roman" w:hAnsi="Times New Roman" w:cs="Times New Roman"/>
          <w:sz w:val="24"/>
        </w:rPr>
      </w:pPr>
      <w:r w:rsidRPr="00E977F2">
        <w:rPr>
          <w:rFonts w:ascii="Times New Roman" w:hAnsi="Times New Roman" w:cs="Times New Roman"/>
          <w:sz w:val="24"/>
        </w:rPr>
        <w:t xml:space="preserve">4) </w:t>
      </w:r>
      <w:r w:rsidRPr="00E977F2">
        <w:rPr>
          <w:rFonts w:ascii="Times New Roman" w:hAnsi="Times New Roman" w:cs="Times New Roman"/>
          <w:sz w:val="24"/>
          <w:u w:val="single" w:color="000000"/>
        </w:rPr>
        <w:t>operativne snage Hrvatskog Crvenog križa</w:t>
      </w:r>
      <w:r w:rsidR="00E977F2" w:rsidRPr="00E977F2">
        <w:rPr>
          <w:rFonts w:ascii="Times New Roman" w:hAnsi="Times New Roman" w:cs="Times New Roman"/>
          <w:sz w:val="24"/>
          <w:u w:color="000000"/>
        </w:rPr>
        <w:t xml:space="preserve"> </w:t>
      </w:r>
      <w:r w:rsidR="00EE6A22" w:rsidRPr="00E977F2">
        <w:rPr>
          <w:rFonts w:ascii="Times New Roman" w:hAnsi="Times New Roman" w:cs="Times New Roman"/>
          <w:sz w:val="24"/>
        </w:rPr>
        <w:t>-</w:t>
      </w:r>
      <w:r w:rsidRPr="00E977F2">
        <w:rPr>
          <w:rFonts w:ascii="Times New Roman" w:hAnsi="Times New Roman" w:cs="Times New Roman"/>
          <w:sz w:val="24"/>
        </w:rPr>
        <w:t xml:space="preserve"> Gradsko društvo Crvenog križa Zagreb</w:t>
      </w:r>
    </w:p>
    <w:p w14:paraId="304D6ACF" w14:textId="77777777" w:rsidR="00F13248" w:rsidRPr="00F13248" w:rsidRDefault="00F13248" w:rsidP="00F13248">
      <w:pPr>
        <w:spacing w:after="0" w:line="240" w:lineRule="auto"/>
        <w:ind w:left="0" w:right="0" w:firstLine="709"/>
        <w:rPr>
          <w:rFonts w:ascii="Times New Roman" w:hAnsi="Times New Roman" w:cs="Times New Roman"/>
          <w:sz w:val="24"/>
        </w:rPr>
      </w:pPr>
      <w:r w:rsidRPr="00F13248">
        <w:rPr>
          <w:rFonts w:ascii="Times New Roman" w:hAnsi="Times New Roman" w:cs="Times New Roman"/>
          <w:sz w:val="24"/>
        </w:rPr>
        <w:t>Gradsko društvo Crvenog križa Zagreb (u daljnjem tekstu: GDCK Zagreb) punopravni je član Hrvatskog Crvenog križa.</w:t>
      </w:r>
    </w:p>
    <w:p w14:paraId="250761B7" w14:textId="77777777" w:rsidR="00F13248" w:rsidRPr="00F13248" w:rsidRDefault="00F13248" w:rsidP="00F13248">
      <w:pPr>
        <w:spacing w:after="0" w:line="240" w:lineRule="auto"/>
        <w:ind w:left="0" w:right="0" w:firstLine="709"/>
        <w:rPr>
          <w:rFonts w:ascii="Times New Roman" w:hAnsi="Times New Roman" w:cs="Times New Roman"/>
          <w:sz w:val="24"/>
        </w:rPr>
      </w:pPr>
      <w:r w:rsidRPr="00F13248">
        <w:rPr>
          <w:rFonts w:ascii="Times New Roman" w:hAnsi="Times New Roman" w:cs="Times New Roman"/>
          <w:sz w:val="24"/>
        </w:rPr>
        <w:t>Glavna uloga GDCK Zagreb je ublažavanje ljudskih patnji, osobito onih izazvanih oružanim sukobima, velikim prirodnim, ekološkim, tehnološkim i drugim nesrećama, s posljedicama masovnih stradanja i epidemija. Velike tragedije koje se učestalo pojavljuju širom svijeta u posljednjih nekoliko godina naglašavaju potrebu razvoja i usavršavanja službi za pripremu i odgovor na katastrofe. GDCK Zagreb zato u svom djelovanju stavlja poseban naglasak na aktivnosti vezane za pripremu i djelovanje u kriznim situacijama te pomaganje pogođenim zajednicama u oporavku.</w:t>
      </w:r>
    </w:p>
    <w:p w14:paraId="273C6D24" w14:textId="77777777" w:rsidR="00F13248" w:rsidRPr="00F13248" w:rsidRDefault="00F13248" w:rsidP="00F13248">
      <w:pPr>
        <w:spacing w:after="0" w:line="240" w:lineRule="auto"/>
        <w:ind w:left="0" w:right="0" w:firstLine="709"/>
        <w:rPr>
          <w:rFonts w:ascii="Times New Roman" w:hAnsi="Times New Roman" w:cs="Times New Roman"/>
          <w:sz w:val="24"/>
        </w:rPr>
      </w:pPr>
      <w:r w:rsidRPr="00F13248">
        <w:rPr>
          <w:rFonts w:ascii="Times New Roman" w:hAnsi="Times New Roman" w:cs="Times New Roman"/>
          <w:sz w:val="24"/>
        </w:rPr>
        <w:t>Kako bi što bolje reagirao kada je to potrebno, GDCK Zagreb ima specijalističke ekipe za brzi odgovor na katastrofe. To su specijalističke ekipe koje su vrhunski osposobljene i opremljene za samostalno djelovanje na ugroženom području u određenom razdoblju, koje nazivamo interventni tim GDCK Zagreb. Uže specijalnosti interventnog tima GDCK Zagreb su organiziranje i vođenje službe spašavanja, služba traženja, psihosocijalna podrška, prihvat i podjela humanitarne pomoći, prva pomoć, spašavanje života na vodi te osposobljavanje spašavatelja. Ukupan broj članova interventnog tima je 50 od čega je 30 aktivnih članova.</w:t>
      </w:r>
    </w:p>
    <w:p w14:paraId="5433D8BE" w14:textId="77777777" w:rsidR="00F13248" w:rsidRPr="00F13248" w:rsidRDefault="00F13248" w:rsidP="00F13248">
      <w:pPr>
        <w:spacing w:after="0" w:line="240" w:lineRule="auto"/>
        <w:ind w:left="0" w:right="0" w:firstLine="709"/>
        <w:rPr>
          <w:rFonts w:ascii="Times New Roman" w:hAnsi="Times New Roman" w:cs="Times New Roman"/>
          <w:sz w:val="24"/>
        </w:rPr>
      </w:pPr>
      <w:r w:rsidRPr="00F13248">
        <w:rPr>
          <w:rFonts w:ascii="Times New Roman" w:hAnsi="Times New Roman" w:cs="Times New Roman"/>
          <w:sz w:val="24"/>
        </w:rPr>
        <w:t>Unutar GDCK Zagreb djeluje i Spasilački klub "Henry Dunant" koji broji 25 članova od kojih su svi aktivni. Članovi kluba su licencirani spasioci na vodi koji su prošli napredni tečaj za spašavanje u otežanim uvjetima te su osposobljeni za spašavanja u urbanim poplavama, velikim poplavama i slično.</w:t>
      </w:r>
    </w:p>
    <w:p w14:paraId="640EC29E" w14:textId="77777777" w:rsidR="00F13248" w:rsidRPr="00F13248" w:rsidRDefault="00F13248" w:rsidP="00F13248">
      <w:pPr>
        <w:spacing w:after="0" w:line="240" w:lineRule="auto"/>
        <w:ind w:left="0" w:right="0" w:firstLine="709"/>
        <w:rPr>
          <w:rFonts w:ascii="Times New Roman" w:hAnsi="Times New Roman" w:cs="Times New Roman"/>
          <w:sz w:val="24"/>
        </w:rPr>
      </w:pPr>
      <w:r w:rsidRPr="00F13248">
        <w:rPr>
          <w:rFonts w:ascii="Times New Roman" w:hAnsi="Times New Roman" w:cs="Times New Roman"/>
          <w:sz w:val="24"/>
        </w:rPr>
        <w:t>Društvo raspolaže s trinaest vozila i jednim plovilom:</w:t>
      </w:r>
    </w:p>
    <w:p w14:paraId="254D202F" w14:textId="79BE580F" w:rsidR="00F13248" w:rsidRPr="00F13248" w:rsidRDefault="00F13248" w:rsidP="00F13248">
      <w:pPr>
        <w:spacing w:after="0" w:line="240" w:lineRule="auto"/>
        <w:ind w:left="0" w:right="0" w:firstLine="709"/>
        <w:rPr>
          <w:rFonts w:ascii="Times New Roman" w:hAnsi="Times New Roman" w:cs="Times New Roman"/>
          <w:sz w:val="24"/>
        </w:rPr>
      </w:pPr>
      <w:r w:rsidRPr="00F13248">
        <w:rPr>
          <w:rFonts w:ascii="Times New Roman" w:hAnsi="Times New Roman" w:cs="Times New Roman"/>
          <w:sz w:val="24"/>
        </w:rPr>
        <w:t>-   8 osobnih vozila</w:t>
      </w:r>
      <w:r w:rsidR="00766BDA">
        <w:rPr>
          <w:rFonts w:ascii="Times New Roman" w:hAnsi="Times New Roman" w:cs="Times New Roman"/>
          <w:sz w:val="24"/>
        </w:rPr>
        <w:t>,</w:t>
      </w:r>
    </w:p>
    <w:p w14:paraId="1AD87D6C" w14:textId="70D2BE81" w:rsidR="00F13248" w:rsidRPr="00F13248" w:rsidRDefault="00F13248" w:rsidP="00F13248">
      <w:pPr>
        <w:spacing w:after="0" w:line="240" w:lineRule="auto"/>
        <w:ind w:left="0" w:right="0" w:firstLine="709"/>
        <w:rPr>
          <w:rFonts w:ascii="Times New Roman" w:hAnsi="Times New Roman" w:cs="Times New Roman"/>
          <w:sz w:val="24"/>
        </w:rPr>
      </w:pPr>
      <w:r w:rsidRPr="00F13248">
        <w:rPr>
          <w:rFonts w:ascii="Times New Roman" w:hAnsi="Times New Roman" w:cs="Times New Roman"/>
          <w:sz w:val="24"/>
        </w:rPr>
        <w:t>-   2 putnička vozila</w:t>
      </w:r>
      <w:r w:rsidR="00766BDA">
        <w:rPr>
          <w:rFonts w:ascii="Times New Roman" w:hAnsi="Times New Roman" w:cs="Times New Roman"/>
          <w:sz w:val="24"/>
        </w:rPr>
        <w:t>,</w:t>
      </w:r>
    </w:p>
    <w:p w14:paraId="7E50639C" w14:textId="7905D25F" w:rsidR="00F13248" w:rsidRPr="00F13248" w:rsidRDefault="00F13248" w:rsidP="00F13248">
      <w:pPr>
        <w:spacing w:after="0" w:line="240" w:lineRule="auto"/>
        <w:ind w:left="0" w:right="0" w:firstLine="709"/>
        <w:rPr>
          <w:rFonts w:ascii="Times New Roman" w:hAnsi="Times New Roman" w:cs="Times New Roman"/>
          <w:sz w:val="24"/>
        </w:rPr>
      </w:pPr>
      <w:r w:rsidRPr="00F13248">
        <w:rPr>
          <w:rFonts w:ascii="Times New Roman" w:hAnsi="Times New Roman" w:cs="Times New Roman"/>
          <w:sz w:val="24"/>
        </w:rPr>
        <w:t>-   2 teretna vozila</w:t>
      </w:r>
      <w:r w:rsidR="00766BDA">
        <w:rPr>
          <w:rFonts w:ascii="Times New Roman" w:hAnsi="Times New Roman" w:cs="Times New Roman"/>
          <w:sz w:val="24"/>
        </w:rPr>
        <w:t>,</w:t>
      </w:r>
    </w:p>
    <w:p w14:paraId="6D0A4D88" w14:textId="593DD056" w:rsidR="00F13248" w:rsidRPr="00F13248" w:rsidRDefault="00F13248" w:rsidP="00F13248">
      <w:pPr>
        <w:spacing w:after="0" w:line="240" w:lineRule="auto"/>
        <w:ind w:left="0" w:right="0" w:firstLine="709"/>
        <w:rPr>
          <w:rFonts w:ascii="Times New Roman" w:hAnsi="Times New Roman" w:cs="Times New Roman"/>
          <w:sz w:val="24"/>
        </w:rPr>
      </w:pPr>
      <w:r w:rsidRPr="00F13248">
        <w:rPr>
          <w:rFonts w:ascii="Times New Roman" w:hAnsi="Times New Roman" w:cs="Times New Roman"/>
          <w:sz w:val="24"/>
        </w:rPr>
        <w:t>-   1 terensko 4x4 vozilo</w:t>
      </w:r>
      <w:r w:rsidR="00766BDA">
        <w:rPr>
          <w:rFonts w:ascii="Times New Roman" w:hAnsi="Times New Roman" w:cs="Times New Roman"/>
          <w:sz w:val="24"/>
        </w:rPr>
        <w:t>,</w:t>
      </w:r>
    </w:p>
    <w:p w14:paraId="3F4D4FF8" w14:textId="77777777" w:rsidR="00F13248" w:rsidRPr="00F13248" w:rsidRDefault="00F13248" w:rsidP="00F13248">
      <w:pPr>
        <w:spacing w:after="0" w:line="240" w:lineRule="auto"/>
        <w:ind w:left="0" w:right="0" w:firstLine="709"/>
        <w:rPr>
          <w:rFonts w:ascii="Times New Roman" w:hAnsi="Times New Roman" w:cs="Times New Roman"/>
          <w:sz w:val="24"/>
        </w:rPr>
      </w:pPr>
      <w:r w:rsidRPr="00F13248">
        <w:rPr>
          <w:rFonts w:ascii="Times New Roman" w:hAnsi="Times New Roman" w:cs="Times New Roman"/>
          <w:sz w:val="24"/>
        </w:rPr>
        <w:t>-   1 plovilo.</w:t>
      </w:r>
    </w:p>
    <w:p w14:paraId="1401B6C9" w14:textId="77777777" w:rsidR="00F13248" w:rsidRPr="00F13248" w:rsidRDefault="00F13248" w:rsidP="00F13248">
      <w:pPr>
        <w:spacing w:after="0" w:line="240" w:lineRule="auto"/>
        <w:ind w:left="0" w:right="0" w:firstLine="709"/>
        <w:rPr>
          <w:rFonts w:ascii="Times New Roman" w:hAnsi="Times New Roman" w:cs="Times New Roman"/>
          <w:sz w:val="24"/>
        </w:rPr>
      </w:pPr>
      <w:r w:rsidRPr="00F13248">
        <w:rPr>
          <w:rFonts w:ascii="Times New Roman" w:hAnsi="Times New Roman" w:cs="Times New Roman"/>
          <w:sz w:val="24"/>
        </w:rPr>
        <w:t>Materijalna sredstva i oprema za provođenje mjera i aktivnosti sustava civilne zaštite u posjedu GDCK Zagreb:</w:t>
      </w:r>
    </w:p>
    <w:p w14:paraId="20CE00C2" w14:textId="06DB9F53" w:rsidR="00F13248" w:rsidRPr="00F13248" w:rsidRDefault="00F13248" w:rsidP="00F13248">
      <w:pPr>
        <w:spacing w:after="0" w:line="240" w:lineRule="auto"/>
        <w:ind w:left="0" w:right="0" w:firstLine="709"/>
        <w:rPr>
          <w:rFonts w:ascii="Times New Roman" w:hAnsi="Times New Roman" w:cs="Times New Roman"/>
          <w:sz w:val="24"/>
        </w:rPr>
      </w:pPr>
      <w:r w:rsidRPr="00F13248">
        <w:rPr>
          <w:rFonts w:ascii="Times New Roman" w:hAnsi="Times New Roman" w:cs="Times New Roman"/>
          <w:sz w:val="24"/>
        </w:rPr>
        <w:t>-   6 šatora 35 m2,1 šator 45 m2,1 šator na napuhavanje 30 m2, 3 pop-up šatora 9 m2</w:t>
      </w:r>
      <w:r w:rsidR="00766BDA">
        <w:rPr>
          <w:rFonts w:ascii="Times New Roman" w:hAnsi="Times New Roman" w:cs="Times New Roman"/>
          <w:sz w:val="24"/>
        </w:rPr>
        <w:t>,</w:t>
      </w:r>
    </w:p>
    <w:p w14:paraId="19FFCDBF" w14:textId="554C1ABA" w:rsidR="00F13248" w:rsidRPr="00F13248" w:rsidRDefault="00F13248" w:rsidP="00F13248">
      <w:pPr>
        <w:spacing w:after="0" w:line="240" w:lineRule="auto"/>
        <w:ind w:left="0" w:right="0" w:firstLine="709"/>
        <w:rPr>
          <w:rFonts w:ascii="Times New Roman" w:hAnsi="Times New Roman" w:cs="Times New Roman"/>
          <w:sz w:val="24"/>
        </w:rPr>
      </w:pPr>
      <w:r w:rsidRPr="00F13248">
        <w:rPr>
          <w:rFonts w:ascii="Times New Roman" w:hAnsi="Times New Roman" w:cs="Times New Roman"/>
          <w:sz w:val="24"/>
        </w:rPr>
        <w:t>-   500 vreća za spavanje, 1000 deka</w:t>
      </w:r>
      <w:r w:rsidR="00766BDA">
        <w:rPr>
          <w:rFonts w:ascii="Times New Roman" w:hAnsi="Times New Roman" w:cs="Times New Roman"/>
          <w:sz w:val="24"/>
        </w:rPr>
        <w:t>,</w:t>
      </w:r>
    </w:p>
    <w:p w14:paraId="0584E5DE" w14:textId="1EF100EC" w:rsidR="00F13248" w:rsidRPr="00F13248" w:rsidRDefault="00F13248" w:rsidP="00F13248">
      <w:pPr>
        <w:spacing w:after="0" w:line="240" w:lineRule="auto"/>
        <w:ind w:left="0" w:right="0" w:firstLine="709"/>
        <w:rPr>
          <w:rFonts w:ascii="Times New Roman" w:hAnsi="Times New Roman" w:cs="Times New Roman"/>
          <w:sz w:val="24"/>
        </w:rPr>
      </w:pPr>
      <w:r w:rsidRPr="00F13248">
        <w:rPr>
          <w:rFonts w:ascii="Times New Roman" w:hAnsi="Times New Roman" w:cs="Times New Roman"/>
          <w:sz w:val="24"/>
        </w:rPr>
        <w:t>-   38 ležajeva na rasklapanje, 10 aluminijskih kreveta, 20 bolničkih kreveta</w:t>
      </w:r>
      <w:r w:rsidR="00766BDA">
        <w:rPr>
          <w:rFonts w:ascii="Times New Roman" w:hAnsi="Times New Roman" w:cs="Times New Roman"/>
          <w:sz w:val="24"/>
        </w:rPr>
        <w:t>,</w:t>
      </w:r>
    </w:p>
    <w:p w14:paraId="56732214" w14:textId="5AA04633" w:rsidR="00F13248" w:rsidRPr="00F13248" w:rsidRDefault="00F13248" w:rsidP="00F13248">
      <w:pPr>
        <w:spacing w:after="0" w:line="240" w:lineRule="auto"/>
        <w:ind w:left="0" w:right="0" w:firstLine="709"/>
        <w:rPr>
          <w:rFonts w:ascii="Times New Roman" w:hAnsi="Times New Roman" w:cs="Times New Roman"/>
          <w:sz w:val="24"/>
        </w:rPr>
      </w:pPr>
      <w:r w:rsidRPr="00F13248">
        <w:rPr>
          <w:rFonts w:ascii="Times New Roman" w:hAnsi="Times New Roman" w:cs="Times New Roman"/>
          <w:sz w:val="24"/>
        </w:rPr>
        <w:t>-   2 agregata, 2 pumpe za vodu, 80 isušivača vlage, 10 električnih grijalica, 2 uljna grijača</w:t>
      </w:r>
      <w:r w:rsidR="00766BDA">
        <w:rPr>
          <w:rFonts w:ascii="Times New Roman" w:hAnsi="Times New Roman" w:cs="Times New Roman"/>
          <w:sz w:val="24"/>
        </w:rPr>
        <w:t>,</w:t>
      </w:r>
    </w:p>
    <w:p w14:paraId="19EF4E75" w14:textId="31F02094" w:rsidR="00F13248" w:rsidRPr="00F13248" w:rsidRDefault="00F13248" w:rsidP="00F13248">
      <w:pPr>
        <w:spacing w:after="0" w:line="240" w:lineRule="auto"/>
        <w:ind w:left="0" w:right="0" w:firstLine="709"/>
        <w:rPr>
          <w:rFonts w:ascii="Times New Roman" w:hAnsi="Times New Roman" w:cs="Times New Roman"/>
          <w:sz w:val="24"/>
        </w:rPr>
      </w:pPr>
      <w:r w:rsidRPr="00F13248">
        <w:rPr>
          <w:rFonts w:ascii="Times New Roman" w:hAnsi="Times New Roman" w:cs="Times New Roman"/>
          <w:sz w:val="24"/>
        </w:rPr>
        <w:t>-   1 daska za imobilizaciju, 1 daska za evakuaciju, osobna zaštitna oprema</w:t>
      </w:r>
      <w:r w:rsidR="00766BDA">
        <w:rPr>
          <w:rFonts w:ascii="Times New Roman" w:hAnsi="Times New Roman" w:cs="Times New Roman"/>
          <w:sz w:val="24"/>
        </w:rPr>
        <w:t>,</w:t>
      </w:r>
    </w:p>
    <w:p w14:paraId="0CA19548" w14:textId="2F7C6210" w:rsidR="00F13248" w:rsidRPr="00F13248" w:rsidRDefault="00F13248" w:rsidP="00F13248">
      <w:pPr>
        <w:spacing w:after="0" w:line="240" w:lineRule="auto"/>
        <w:ind w:left="0" w:right="0" w:firstLine="709"/>
        <w:rPr>
          <w:rFonts w:ascii="Times New Roman" w:hAnsi="Times New Roman" w:cs="Times New Roman"/>
          <w:sz w:val="24"/>
        </w:rPr>
      </w:pPr>
      <w:r w:rsidRPr="00F13248">
        <w:rPr>
          <w:rFonts w:ascii="Times New Roman" w:hAnsi="Times New Roman" w:cs="Times New Roman"/>
          <w:sz w:val="24"/>
        </w:rPr>
        <w:t>-   6 TETRA radiostanica, 1 mobilni ured (2 računala, printer, 2 tableta, 2 mobitela)</w:t>
      </w:r>
      <w:r w:rsidR="00766BDA">
        <w:rPr>
          <w:rFonts w:ascii="Times New Roman" w:hAnsi="Times New Roman" w:cs="Times New Roman"/>
          <w:sz w:val="24"/>
        </w:rPr>
        <w:t>,</w:t>
      </w:r>
    </w:p>
    <w:p w14:paraId="2DE8962B" w14:textId="77777777" w:rsidR="00F13248" w:rsidRPr="00F13248" w:rsidRDefault="00F13248" w:rsidP="00F13248">
      <w:pPr>
        <w:spacing w:after="0" w:line="240" w:lineRule="auto"/>
        <w:ind w:left="0" w:right="0" w:firstLine="709"/>
        <w:rPr>
          <w:rFonts w:ascii="Times New Roman" w:hAnsi="Times New Roman" w:cs="Times New Roman"/>
          <w:sz w:val="24"/>
        </w:rPr>
      </w:pPr>
      <w:r w:rsidRPr="00F13248">
        <w:rPr>
          <w:rFonts w:ascii="Times New Roman" w:hAnsi="Times New Roman" w:cs="Times New Roman"/>
          <w:sz w:val="24"/>
        </w:rPr>
        <w:t>-   razni alat, lopate, 2 motorne pile, 15 setova klupa i stolova.</w:t>
      </w:r>
    </w:p>
    <w:p w14:paraId="4ED5AD23" w14:textId="77777777" w:rsidR="00F13248" w:rsidRPr="00F13248" w:rsidRDefault="00F13248" w:rsidP="00F13248">
      <w:pPr>
        <w:spacing w:after="0" w:line="240" w:lineRule="auto"/>
        <w:ind w:left="0" w:right="0" w:firstLine="709"/>
        <w:rPr>
          <w:rFonts w:ascii="Times New Roman" w:hAnsi="Times New Roman" w:cs="Times New Roman"/>
          <w:sz w:val="24"/>
        </w:rPr>
      </w:pPr>
      <w:r w:rsidRPr="00F13248">
        <w:rPr>
          <w:rFonts w:ascii="Times New Roman" w:hAnsi="Times New Roman" w:cs="Times New Roman"/>
          <w:sz w:val="24"/>
        </w:rPr>
        <w:t>Za obavljanje djelatnosti sukladno posebnim propisima GDCK Zagreb raspolaže i prostorom za smještaj beskućnika u Velikoj Kosnici pokraj Zagreba. Kapacitet prihvata osoba je 135 korisnika.</w:t>
      </w:r>
    </w:p>
    <w:p w14:paraId="27873F73" w14:textId="7B020707" w:rsidR="00F13248" w:rsidRDefault="00F13248" w:rsidP="00E977F2">
      <w:pPr>
        <w:spacing w:after="0" w:line="240" w:lineRule="auto"/>
        <w:ind w:left="0" w:right="0" w:firstLine="709"/>
        <w:rPr>
          <w:rFonts w:ascii="Times New Roman" w:hAnsi="Times New Roman" w:cs="Times New Roman"/>
          <w:sz w:val="24"/>
        </w:rPr>
      </w:pPr>
      <w:r w:rsidRPr="00F13248">
        <w:rPr>
          <w:rFonts w:ascii="Times New Roman" w:hAnsi="Times New Roman" w:cs="Times New Roman"/>
          <w:sz w:val="24"/>
        </w:rPr>
        <w:lastRenderedPageBreak/>
        <w:t>GDCK Zagreb otvorilo je novi logističko-distributivni centar za prikupljanje humanitarne pomoći socijalno ugroženim građanima Grada Zagreba. Također, centar se koristi za skladištenje kompletne opreme za djelovanje u kriznim situacijama, a u slučaju velikih katastrofa služi za prikupljanje humanitarne pomoći. GDCK Zagreb koristi i dva pričuvna skladišta. U sklopu centra napravljena je i prostorija za boravak i dežurstvo operativnih snaga.</w:t>
      </w:r>
    </w:p>
    <w:p w14:paraId="77E1813C" w14:textId="77777777" w:rsidR="00F13248" w:rsidRDefault="00F13248" w:rsidP="006218CF">
      <w:pPr>
        <w:spacing w:after="0" w:line="240" w:lineRule="auto"/>
        <w:ind w:left="0" w:right="0" w:firstLine="0"/>
        <w:rPr>
          <w:rFonts w:ascii="Times New Roman" w:hAnsi="Times New Roman" w:cs="Times New Roman"/>
          <w:sz w:val="24"/>
        </w:rPr>
      </w:pPr>
    </w:p>
    <w:p w14:paraId="3886DA30" w14:textId="77777777" w:rsidR="00E40AC8" w:rsidRPr="00E977F2" w:rsidRDefault="00900184" w:rsidP="00E977F2">
      <w:pPr>
        <w:spacing w:after="0" w:line="240" w:lineRule="auto"/>
        <w:ind w:left="0" w:right="0" w:firstLine="709"/>
        <w:rPr>
          <w:rFonts w:ascii="Times New Roman" w:hAnsi="Times New Roman" w:cs="Times New Roman"/>
          <w:sz w:val="24"/>
        </w:rPr>
      </w:pPr>
      <w:r w:rsidRPr="00E977F2">
        <w:rPr>
          <w:rFonts w:ascii="Times New Roman" w:hAnsi="Times New Roman" w:cs="Times New Roman"/>
          <w:sz w:val="24"/>
        </w:rPr>
        <w:t xml:space="preserve">5) </w:t>
      </w:r>
      <w:r w:rsidRPr="00E977F2">
        <w:rPr>
          <w:rFonts w:ascii="Times New Roman" w:hAnsi="Times New Roman" w:cs="Times New Roman"/>
          <w:sz w:val="24"/>
          <w:u w:val="single" w:color="000000"/>
        </w:rPr>
        <w:t xml:space="preserve">operativne snage Hrvatske gorske službe spašavanja </w:t>
      </w:r>
      <w:r w:rsidR="00EE6A22" w:rsidRPr="00E977F2">
        <w:rPr>
          <w:rFonts w:ascii="Times New Roman" w:hAnsi="Times New Roman" w:cs="Times New Roman"/>
          <w:sz w:val="24"/>
          <w:u w:val="single" w:color="000000"/>
        </w:rPr>
        <w:t>-</w:t>
      </w:r>
      <w:r w:rsidRPr="00E977F2">
        <w:rPr>
          <w:rFonts w:ascii="Times New Roman" w:hAnsi="Times New Roman" w:cs="Times New Roman"/>
          <w:sz w:val="24"/>
          <w:u w:val="single" w:color="000000"/>
        </w:rPr>
        <w:t xml:space="preserve"> Stanica Zagreb</w:t>
      </w:r>
    </w:p>
    <w:p w14:paraId="757F585F" w14:textId="637A74C0" w:rsidR="00F13248" w:rsidRPr="006218CF" w:rsidRDefault="00F13248" w:rsidP="00F1324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Hrvatska gorska služba spašavanja - Stanica Zagreb ima 86 članova: 78 gorskih spašavatelja, od toga 12 instruktora HGSS-a te osam pripravnika. U svom sastavu ima pet liječnika, jednog medicinskog tehničara, osam članova s položenim tečajem za asistenciju liječnicima pri helikopterskom spašavanju, 38 članova s ITLS licencom, 86 članova s položenom prvom pomoći, pet letača spašavatelja, dva instruktora helikopterskog spašavanja s licencom Air Zermatt, devet učitelja skijanja, 16 osoba osposobljenih za digitalnu kartografiju i vođenje potraga, jednog licenciranog pilota bespilotnih letjelica, dva licencirana potražna tima s psima, 15 osposobljenih voditelja spašavanja u speleološkim objektima, 31 ronioca raznih kategorija, od toga trojicu osposobljenih za spašavanje iz potopljenih speleoloških objekata ili dubina do 100 metara, 29 članova osposobljenih za spašavanje na brzim vodama i potopljenim područjima te 14 članova sa završenim tečajem rukovanja eksplozivnim tvarima.</w:t>
      </w:r>
    </w:p>
    <w:p w14:paraId="4E06BB55" w14:textId="77777777" w:rsidR="00F13248" w:rsidRPr="005156ED" w:rsidRDefault="00F13248" w:rsidP="00E977F2">
      <w:pPr>
        <w:spacing w:after="0" w:line="240" w:lineRule="auto"/>
        <w:ind w:left="0" w:right="0" w:firstLine="709"/>
        <w:rPr>
          <w:rFonts w:ascii="Times New Roman" w:hAnsi="Times New Roman" w:cs="Times New Roman"/>
          <w:color w:val="FF0000"/>
          <w:sz w:val="24"/>
        </w:rPr>
      </w:pPr>
    </w:p>
    <w:p w14:paraId="7E67E5E8" w14:textId="77777777" w:rsidR="00E40AC8" w:rsidRPr="00E977F2" w:rsidRDefault="00900184" w:rsidP="00E977F2">
      <w:pPr>
        <w:spacing w:after="0" w:line="240" w:lineRule="auto"/>
        <w:ind w:left="0" w:right="0" w:firstLine="709"/>
        <w:rPr>
          <w:rFonts w:ascii="Times New Roman" w:hAnsi="Times New Roman" w:cs="Times New Roman"/>
          <w:sz w:val="24"/>
        </w:rPr>
      </w:pPr>
      <w:r w:rsidRPr="00E977F2">
        <w:rPr>
          <w:rFonts w:ascii="Times New Roman" w:hAnsi="Times New Roman" w:cs="Times New Roman"/>
          <w:sz w:val="24"/>
        </w:rPr>
        <w:t xml:space="preserve">6) </w:t>
      </w:r>
      <w:r w:rsidRPr="00E977F2">
        <w:rPr>
          <w:rFonts w:ascii="Times New Roman" w:hAnsi="Times New Roman" w:cs="Times New Roman"/>
          <w:sz w:val="24"/>
          <w:u w:val="single" w:color="000000"/>
        </w:rPr>
        <w:t>udruge građana od interesa za sustav CZ Grada Zagreba</w:t>
      </w:r>
    </w:p>
    <w:p w14:paraId="72EBEBF7" w14:textId="77777777" w:rsidR="00E40AC8" w:rsidRPr="005142C4" w:rsidRDefault="00900184" w:rsidP="00E977F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Hrvatska udruga za obuku potražnih pasa (HUOPP) i Klub za obuku službenih i sportskih pasa </w:t>
      </w:r>
      <w:r w:rsidR="00EE6A22" w:rsidRPr="005142C4">
        <w:rPr>
          <w:rFonts w:ascii="Times New Roman" w:hAnsi="Times New Roman" w:cs="Times New Roman"/>
          <w:sz w:val="24"/>
        </w:rPr>
        <w:t>"</w:t>
      </w:r>
      <w:r w:rsidRPr="005142C4">
        <w:rPr>
          <w:rFonts w:ascii="Times New Roman" w:hAnsi="Times New Roman" w:cs="Times New Roman"/>
          <w:sz w:val="24"/>
        </w:rPr>
        <w:t>Zagreb</w:t>
      </w:r>
      <w:r w:rsidR="00EE6A22" w:rsidRPr="005142C4">
        <w:rPr>
          <w:rFonts w:ascii="Times New Roman" w:hAnsi="Times New Roman" w:cs="Times New Roman"/>
          <w:sz w:val="24"/>
        </w:rPr>
        <w:t>"</w:t>
      </w:r>
      <w:r w:rsidRPr="005142C4">
        <w:rPr>
          <w:rFonts w:ascii="Times New Roman" w:hAnsi="Times New Roman" w:cs="Times New Roman"/>
          <w:sz w:val="24"/>
        </w:rPr>
        <w:t xml:space="preserve"> (KOSSP) dobrovoljne su udruge koje se bave školovanjem pasa i njihovih vodiča radi sudjelovanja u potražnim akcijama za izgubljenim i nestalim osobama.</w:t>
      </w:r>
    </w:p>
    <w:p w14:paraId="5FC85824" w14:textId="77777777" w:rsidR="00E40AC8" w:rsidRPr="005142C4" w:rsidRDefault="00900184" w:rsidP="00E977F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Zagrebački speleološki savez osnovan je radi razvoja i unapređenja speleologije kao stručne i znanstvene aktivnosti u Gradu Zagrebu i Zagrebačkoj županiji. Članovi Zagrebačkoga speleološkog saveza sastavni su dio postrojbi civilne zaštite specijalističke namjene Grada Zagreba.</w:t>
      </w:r>
    </w:p>
    <w:p w14:paraId="23EA4F32" w14:textId="77777777" w:rsidR="00924FB7" w:rsidRDefault="00900184" w:rsidP="00DE3701">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Zagrebački radioamaterski savez je udruženje radioklubova, neprofitna organizacija, koji djeluje na području Grada Zagreba u svojstvu pravne osobe i upisan je u registar nadležnoga gradskog upravnog tijela. Savez je osnovan 1994. Trideset članova Zagrebačkog radioamaterskog saveza sastavni je dio postrojbi civilne zaštite specijalističke namjene Grada Zagreba.</w:t>
      </w:r>
    </w:p>
    <w:p w14:paraId="6EECFD24" w14:textId="37691DC1" w:rsidR="00E40AC8" w:rsidRPr="006218CF" w:rsidRDefault="00900184" w:rsidP="00E977F2">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xml:space="preserve">7) </w:t>
      </w:r>
      <w:r w:rsidRPr="006218CF">
        <w:rPr>
          <w:rFonts w:ascii="Times New Roman" w:hAnsi="Times New Roman" w:cs="Times New Roman"/>
          <w:color w:val="auto"/>
          <w:sz w:val="24"/>
          <w:u w:val="single" w:color="000000"/>
        </w:rPr>
        <w:t>postrojbe civilne zaštite opće namjene Grada Zagreba</w:t>
      </w:r>
      <w:r w:rsidRPr="006218CF">
        <w:rPr>
          <w:rFonts w:ascii="Times New Roman" w:hAnsi="Times New Roman" w:cs="Times New Roman"/>
          <w:color w:val="auto"/>
          <w:sz w:val="24"/>
        </w:rPr>
        <w:t xml:space="preserve"> (ukupno </w:t>
      </w:r>
      <w:r w:rsidR="002D2995">
        <w:rPr>
          <w:rFonts w:ascii="Times New Roman" w:hAnsi="Times New Roman" w:cs="Times New Roman"/>
          <w:color w:val="auto"/>
          <w:sz w:val="24"/>
        </w:rPr>
        <w:t>3047</w:t>
      </w:r>
      <w:r w:rsidR="000D6F7D" w:rsidRPr="006218CF">
        <w:rPr>
          <w:rFonts w:ascii="Times New Roman" w:hAnsi="Times New Roman" w:cs="Times New Roman"/>
          <w:color w:val="auto"/>
          <w:sz w:val="24"/>
        </w:rPr>
        <w:t xml:space="preserve"> </w:t>
      </w:r>
      <w:r w:rsidRPr="006218CF">
        <w:rPr>
          <w:rFonts w:ascii="Times New Roman" w:hAnsi="Times New Roman" w:cs="Times New Roman"/>
          <w:color w:val="auto"/>
          <w:sz w:val="24"/>
        </w:rPr>
        <w:t>pripadnika)</w:t>
      </w:r>
    </w:p>
    <w:p w14:paraId="14B82EF7" w14:textId="77777777" w:rsidR="00E40AC8" w:rsidRPr="005142C4" w:rsidRDefault="00900184" w:rsidP="00E977F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Gradska skupština Grada Zagreba Odlukom o osnivanju postrojbi civilne zaštite opće namjene Grada Zagreba (Službeni glasnik Grada Zagreba 11/18) osnovala je sljedeće postrojbe:</w:t>
      </w:r>
    </w:p>
    <w:p w14:paraId="78EE67F5" w14:textId="77777777" w:rsidR="00E40AC8" w:rsidRPr="005142C4" w:rsidRDefault="00E40AC8" w:rsidP="00E977F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color="000000"/>
        </w:rPr>
        <w:t>1.</w:t>
      </w:r>
      <w:r w:rsidR="00E977F2">
        <w:rPr>
          <w:rFonts w:ascii="Times New Roman" w:hAnsi="Times New Roman" w:cs="Times New Roman"/>
          <w:sz w:val="24"/>
          <w:u w:color="000000"/>
        </w:rPr>
        <w:t xml:space="preserve"> </w:t>
      </w:r>
      <w:r w:rsidR="00900184" w:rsidRPr="005142C4">
        <w:rPr>
          <w:rFonts w:ascii="Times New Roman" w:hAnsi="Times New Roman" w:cs="Times New Roman"/>
          <w:sz w:val="24"/>
        </w:rPr>
        <w:t>Postrojbu civilne zaštite opće namjene Gradske četvrti Donji grad;</w:t>
      </w:r>
    </w:p>
    <w:p w14:paraId="6D1724FA" w14:textId="77777777" w:rsidR="00E40AC8" w:rsidRPr="005142C4" w:rsidRDefault="00E40AC8" w:rsidP="00E977F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color="000000"/>
        </w:rPr>
        <w:t>2.</w:t>
      </w:r>
      <w:r w:rsidR="00E977F2">
        <w:rPr>
          <w:rFonts w:ascii="Times New Roman" w:hAnsi="Times New Roman" w:cs="Times New Roman"/>
          <w:sz w:val="24"/>
          <w:u w:color="000000"/>
        </w:rPr>
        <w:t xml:space="preserve"> </w:t>
      </w:r>
      <w:r w:rsidR="00900184" w:rsidRPr="005142C4">
        <w:rPr>
          <w:rFonts w:ascii="Times New Roman" w:hAnsi="Times New Roman" w:cs="Times New Roman"/>
          <w:sz w:val="24"/>
        </w:rPr>
        <w:t xml:space="preserve">Postrojbu civilne zaštite opće namjene Gradske četvrti Gornji grad </w:t>
      </w:r>
      <w:r w:rsidR="00EE6A22" w:rsidRPr="005142C4">
        <w:rPr>
          <w:rFonts w:ascii="Times New Roman" w:hAnsi="Times New Roman" w:cs="Times New Roman"/>
          <w:sz w:val="24"/>
        </w:rPr>
        <w:t>-</w:t>
      </w:r>
      <w:r w:rsidR="00900184" w:rsidRPr="005142C4">
        <w:rPr>
          <w:rFonts w:ascii="Times New Roman" w:hAnsi="Times New Roman" w:cs="Times New Roman"/>
          <w:sz w:val="24"/>
        </w:rPr>
        <w:t xml:space="preserve"> Medveščak;</w:t>
      </w:r>
    </w:p>
    <w:p w14:paraId="2BF27824" w14:textId="77777777" w:rsidR="00E40AC8" w:rsidRPr="005142C4" w:rsidRDefault="00E40AC8" w:rsidP="00E977F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color="000000"/>
        </w:rPr>
        <w:t>3.</w:t>
      </w:r>
      <w:r w:rsidR="00E977F2">
        <w:rPr>
          <w:rFonts w:ascii="Times New Roman" w:hAnsi="Times New Roman" w:cs="Times New Roman"/>
          <w:sz w:val="24"/>
          <w:u w:color="000000"/>
        </w:rPr>
        <w:t xml:space="preserve"> </w:t>
      </w:r>
      <w:r w:rsidR="00900184" w:rsidRPr="005142C4">
        <w:rPr>
          <w:rFonts w:ascii="Times New Roman" w:hAnsi="Times New Roman" w:cs="Times New Roman"/>
          <w:sz w:val="24"/>
        </w:rPr>
        <w:t>Postrojbu civilne zaštite opće namjene Gradske četvrti Trnje;</w:t>
      </w:r>
    </w:p>
    <w:p w14:paraId="0FF7D785" w14:textId="77777777" w:rsidR="00E40AC8" w:rsidRPr="005142C4" w:rsidRDefault="00E40AC8" w:rsidP="00E977F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color="000000"/>
        </w:rPr>
        <w:t>4.</w:t>
      </w:r>
      <w:r w:rsidR="00E977F2">
        <w:rPr>
          <w:rFonts w:ascii="Times New Roman" w:hAnsi="Times New Roman" w:cs="Times New Roman"/>
          <w:sz w:val="24"/>
          <w:u w:color="000000"/>
        </w:rPr>
        <w:t xml:space="preserve"> </w:t>
      </w:r>
      <w:r w:rsidR="00900184" w:rsidRPr="005142C4">
        <w:rPr>
          <w:rFonts w:ascii="Times New Roman" w:hAnsi="Times New Roman" w:cs="Times New Roman"/>
          <w:sz w:val="24"/>
        </w:rPr>
        <w:t>Postrojbu civilne zaštite opće namjene Gradske četvrti Maksimir;</w:t>
      </w:r>
    </w:p>
    <w:p w14:paraId="3213C602" w14:textId="77777777" w:rsidR="00E40AC8" w:rsidRPr="005142C4" w:rsidRDefault="00E40AC8" w:rsidP="00E977F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color="000000"/>
        </w:rPr>
        <w:t>5.</w:t>
      </w:r>
      <w:r w:rsidR="00E977F2">
        <w:rPr>
          <w:rFonts w:ascii="Times New Roman" w:hAnsi="Times New Roman" w:cs="Times New Roman"/>
          <w:sz w:val="24"/>
          <w:u w:color="000000"/>
        </w:rPr>
        <w:t xml:space="preserve"> </w:t>
      </w:r>
      <w:r w:rsidR="00900184" w:rsidRPr="005142C4">
        <w:rPr>
          <w:rFonts w:ascii="Times New Roman" w:hAnsi="Times New Roman" w:cs="Times New Roman"/>
          <w:sz w:val="24"/>
        </w:rPr>
        <w:t xml:space="preserve">Postrojbu civilne zaštite opće namjene Gradske četvrti Peščenica </w:t>
      </w:r>
      <w:r w:rsidR="00EE6A22" w:rsidRPr="005142C4">
        <w:rPr>
          <w:rFonts w:ascii="Times New Roman" w:hAnsi="Times New Roman" w:cs="Times New Roman"/>
          <w:sz w:val="24"/>
        </w:rPr>
        <w:t>-</w:t>
      </w:r>
      <w:r w:rsidR="00900184" w:rsidRPr="005142C4">
        <w:rPr>
          <w:rFonts w:ascii="Times New Roman" w:hAnsi="Times New Roman" w:cs="Times New Roman"/>
          <w:sz w:val="24"/>
        </w:rPr>
        <w:t xml:space="preserve"> Žitnjak;</w:t>
      </w:r>
    </w:p>
    <w:p w14:paraId="3BA01983" w14:textId="77777777" w:rsidR="00E40AC8" w:rsidRPr="005142C4" w:rsidRDefault="00E40AC8" w:rsidP="00E977F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color="000000"/>
        </w:rPr>
        <w:t>6.</w:t>
      </w:r>
      <w:r w:rsidR="00E977F2">
        <w:rPr>
          <w:rFonts w:ascii="Times New Roman" w:hAnsi="Times New Roman" w:cs="Times New Roman"/>
          <w:sz w:val="24"/>
          <w:u w:color="000000"/>
        </w:rPr>
        <w:t xml:space="preserve"> </w:t>
      </w:r>
      <w:r w:rsidR="00900184" w:rsidRPr="005142C4">
        <w:rPr>
          <w:rFonts w:ascii="Times New Roman" w:hAnsi="Times New Roman" w:cs="Times New Roman"/>
          <w:sz w:val="24"/>
        </w:rPr>
        <w:t xml:space="preserve">Postrojbu civilne zaštite opće namjene Gradske četvrti Novi Zagreb </w:t>
      </w:r>
      <w:r w:rsidR="00EE6A22" w:rsidRPr="005142C4">
        <w:rPr>
          <w:rFonts w:ascii="Times New Roman" w:hAnsi="Times New Roman" w:cs="Times New Roman"/>
          <w:sz w:val="24"/>
        </w:rPr>
        <w:t>-</w:t>
      </w:r>
      <w:r w:rsidR="00900184" w:rsidRPr="005142C4">
        <w:rPr>
          <w:rFonts w:ascii="Times New Roman" w:hAnsi="Times New Roman" w:cs="Times New Roman"/>
          <w:sz w:val="24"/>
        </w:rPr>
        <w:t xml:space="preserve"> istok;</w:t>
      </w:r>
    </w:p>
    <w:p w14:paraId="07FF87D1" w14:textId="77777777" w:rsidR="00E40AC8" w:rsidRPr="005142C4" w:rsidRDefault="00E40AC8" w:rsidP="00E977F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color="000000"/>
        </w:rPr>
        <w:t>7.</w:t>
      </w:r>
      <w:r w:rsidR="00E977F2">
        <w:rPr>
          <w:rFonts w:ascii="Times New Roman" w:hAnsi="Times New Roman" w:cs="Times New Roman"/>
          <w:sz w:val="24"/>
          <w:u w:color="000000"/>
        </w:rPr>
        <w:t xml:space="preserve"> </w:t>
      </w:r>
      <w:r w:rsidR="00900184" w:rsidRPr="005142C4">
        <w:rPr>
          <w:rFonts w:ascii="Times New Roman" w:hAnsi="Times New Roman" w:cs="Times New Roman"/>
          <w:sz w:val="24"/>
        </w:rPr>
        <w:t xml:space="preserve">Postrojbu civilne zaštite opće namjene Gradske četvrti Novi Zagreb </w:t>
      </w:r>
      <w:r w:rsidR="00EE6A22" w:rsidRPr="005142C4">
        <w:rPr>
          <w:rFonts w:ascii="Times New Roman" w:hAnsi="Times New Roman" w:cs="Times New Roman"/>
          <w:sz w:val="24"/>
        </w:rPr>
        <w:t>-</w:t>
      </w:r>
      <w:r w:rsidR="00900184" w:rsidRPr="005142C4">
        <w:rPr>
          <w:rFonts w:ascii="Times New Roman" w:hAnsi="Times New Roman" w:cs="Times New Roman"/>
          <w:sz w:val="24"/>
        </w:rPr>
        <w:t xml:space="preserve"> zapad;</w:t>
      </w:r>
    </w:p>
    <w:p w14:paraId="710A0C81" w14:textId="77777777" w:rsidR="00E40AC8" w:rsidRPr="005142C4" w:rsidRDefault="00E40AC8" w:rsidP="00E977F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color="000000"/>
        </w:rPr>
        <w:t>8.</w:t>
      </w:r>
      <w:r w:rsidR="00E977F2">
        <w:rPr>
          <w:rFonts w:ascii="Times New Roman" w:hAnsi="Times New Roman" w:cs="Times New Roman"/>
          <w:sz w:val="24"/>
          <w:u w:color="000000"/>
        </w:rPr>
        <w:t xml:space="preserve"> </w:t>
      </w:r>
      <w:r w:rsidR="00900184" w:rsidRPr="005142C4">
        <w:rPr>
          <w:rFonts w:ascii="Times New Roman" w:hAnsi="Times New Roman" w:cs="Times New Roman"/>
          <w:sz w:val="24"/>
        </w:rPr>
        <w:t xml:space="preserve">Postrojbu civilne zaštite opće namjene Gradske četvrti Trešnjevka </w:t>
      </w:r>
      <w:r w:rsidR="00EE6A22" w:rsidRPr="005142C4">
        <w:rPr>
          <w:rFonts w:ascii="Times New Roman" w:hAnsi="Times New Roman" w:cs="Times New Roman"/>
          <w:sz w:val="24"/>
        </w:rPr>
        <w:t>-</w:t>
      </w:r>
      <w:r w:rsidR="00900184" w:rsidRPr="005142C4">
        <w:rPr>
          <w:rFonts w:ascii="Times New Roman" w:hAnsi="Times New Roman" w:cs="Times New Roman"/>
          <w:sz w:val="24"/>
        </w:rPr>
        <w:t xml:space="preserve"> sjever;</w:t>
      </w:r>
    </w:p>
    <w:p w14:paraId="298E97D1" w14:textId="77777777" w:rsidR="00E40AC8" w:rsidRPr="005142C4" w:rsidRDefault="00E40AC8" w:rsidP="00E977F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color="000000"/>
        </w:rPr>
        <w:t>9.</w:t>
      </w:r>
      <w:r w:rsidR="00E977F2">
        <w:rPr>
          <w:rFonts w:ascii="Times New Roman" w:hAnsi="Times New Roman" w:cs="Times New Roman"/>
          <w:sz w:val="24"/>
          <w:u w:color="000000"/>
        </w:rPr>
        <w:t xml:space="preserve"> </w:t>
      </w:r>
      <w:r w:rsidR="00900184" w:rsidRPr="005142C4">
        <w:rPr>
          <w:rFonts w:ascii="Times New Roman" w:hAnsi="Times New Roman" w:cs="Times New Roman"/>
          <w:sz w:val="24"/>
        </w:rPr>
        <w:t xml:space="preserve">Postrojbu civilne zaštite opće namjene Gradske četvrti Trešnjevka </w:t>
      </w:r>
      <w:r w:rsidR="00EE6A22" w:rsidRPr="005142C4">
        <w:rPr>
          <w:rFonts w:ascii="Times New Roman" w:hAnsi="Times New Roman" w:cs="Times New Roman"/>
          <w:sz w:val="24"/>
        </w:rPr>
        <w:t>-</w:t>
      </w:r>
      <w:r w:rsidR="00900184" w:rsidRPr="005142C4">
        <w:rPr>
          <w:rFonts w:ascii="Times New Roman" w:hAnsi="Times New Roman" w:cs="Times New Roman"/>
          <w:sz w:val="24"/>
        </w:rPr>
        <w:t xml:space="preserve"> jug;</w:t>
      </w:r>
    </w:p>
    <w:p w14:paraId="5E62F694" w14:textId="77777777" w:rsidR="00E40AC8" w:rsidRPr="005142C4" w:rsidRDefault="00E40AC8" w:rsidP="00E977F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color="000000"/>
        </w:rPr>
        <w:t>10.</w:t>
      </w:r>
      <w:r w:rsidR="00E977F2">
        <w:rPr>
          <w:rFonts w:ascii="Times New Roman" w:hAnsi="Times New Roman" w:cs="Times New Roman"/>
          <w:sz w:val="24"/>
          <w:u w:color="000000"/>
        </w:rPr>
        <w:t xml:space="preserve"> </w:t>
      </w:r>
      <w:r w:rsidR="00900184" w:rsidRPr="005142C4">
        <w:rPr>
          <w:rFonts w:ascii="Times New Roman" w:hAnsi="Times New Roman" w:cs="Times New Roman"/>
          <w:sz w:val="24"/>
        </w:rPr>
        <w:t>Postrojbu civilne zaštite opće namjene Gradske četvrti Črnomerec;</w:t>
      </w:r>
    </w:p>
    <w:p w14:paraId="159A7AD0" w14:textId="77777777" w:rsidR="00E40AC8" w:rsidRPr="005142C4" w:rsidRDefault="00E40AC8" w:rsidP="00E977F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color="000000"/>
        </w:rPr>
        <w:t>11.</w:t>
      </w:r>
      <w:r w:rsidR="00E977F2">
        <w:rPr>
          <w:rFonts w:ascii="Times New Roman" w:hAnsi="Times New Roman" w:cs="Times New Roman"/>
          <w:sz w:val="24"/>
          <w:u w:color="000000"/>
        </w:rPr>
        <w:t xml:space="preserve"> </w:t>
      </w:r>
      <w:r w:rsidR="00900184" w:rsidRPr="005142C4">
        <w:rPr>
          <w:rFonts w:ascii="Times New Roman" w:hAnsi="Times New Roman" w:cs="Times New Roman"/>
          <w:sz w:val="24"/>
        </w:rPr>
        <w:t>Postrojbu civilne zaštite opće namjene Gradske četvrti Gornja Dubrava;</w:t>
      </w:r>
    </w:p>
    <w:p w14:paraId="62663861" w14:textId="77777777" w:rsidR="00E40AC8" w:rsidRPr="005142C4" w:rsidRDefault="00E40AC8" w:rsidP="00E977F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color="000000"/>
        </w:rPr>
        <w:t>12.</w:t>
      </w:r>
      <w:r w:rsidR="00E977F2">
        <w:rPr>
          <w:rFonts w:ascii="Times New Roman" w:hAnsi="Times New Roman" w:cs="Times New Roman"/>
          <w:sz w:val="24"/>
          <w:u w:color="000000"/>
        </w:rPr>
        <w:t xml:space="preserve"> </w:t>
      </w:r>
      <w:r w:rsidR="00900184" w:rsidRPr="005142C4">
        <w:rPr>
          <w:rFonts w:ascii="Times New Roman" w:hAnsi="Times New Roman" w:cs="Times New Roman"/>
          <w:sz w:val="24"/>
        </w:rPr>
        <w:t>Postrojbu civilne zaštite opće namjene Gradske četvrti Donja Dubrava;</w:t>
      </w:r>
    </w:p>
    <w:p w14:paraId="068DD1A2" w14:textId="77777777" w:rsidR="00E40AC8" w:rsidRPr="005142C4" w:rsidRDefault="00E40AC8" w:rsidP="00E977F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color="000000"/>
        </w:rPr>
        <w:t>13.</w:t>
      </w:r>
      <w:r w:rsidR="00E977F2">
        <w:rPr>
          <w:rFonts w:ascii="Times New Roman" w:hAnsi="Times New Roman" w:cs="Times New Roman"/>
          <w:sz w:val="24"/>
          <w:u w:color="000000"/>
        </w:rPr>
        <w:t xml:space="preserve"> </w:t>
      </w:r>
      <w:r w:rsidR="00900184" w:rsidRPr="005142C4">
        <w:rPr>
          <w:rFonts w:ascii="Times New Roman" w:hAnsi="Times New Roman" w:cs="Times New Roman"/>
          <w:sz w:val="24"/>
        </w:rPr>
        <w:t>Postrojbu civilne zaštite opće namjene Gradske četvrti Stenjevec;</w:t>
      </w:r>
    </w:p>
    <w:p w14:paraId="09AFF904" w14:textId="77777777" w:rsidR="00E40AC8" w:rsidRPr="005142C4" w:rsidRDefault="00E40AC8" w:rsidP="00E977F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color="000000"/>
        </w:rPr>
        <w:t>14.</w:t>
      </w:r>
      <w:r w:rsidR="00E977F2">
        <w:rPr>
          <w:rFonts w:ascii="Times New Roman" w:hAnsi="Times New Roman" w:cs="Times New Roman"/>
          <w:sz w:val="24"/>
          <w:u w:color="000000"/>
        </w:rPr>
        <w:t xml:space="preserve"> </w:t>
      </w:r>
      <w:r w:rsidR="00900184" w:rsidRPr="005142C4">
        <w:rPr>
          <w:rFonts w:ascii="Times New Roman" w:hAnsi="Times New Roman" w:cs="Times New Roman"/>
          <w:sz w:val="24"/>
        </w:rPr>
        <w:t xml:space="preserve">Postrojbu civilne zaštite opće namjene Gradske četvrti Podsused </w:t>
      </w:r>
      <w:r w:rsidR="00EE6A22" w:rsidRPr="005142C4">
        <w:rPr>
          <w:rFonts w:ascii="Times New Roman" w:hAnsi="Times New Roman" w:cs="Times New Roman"/>
          <w:sz w:val="24"/>
        </w:rPr>
        <w:t>-</w:t>
      </w:r>
      <w:r w:rsidR="00900184" w:rsidRPr="005142C4">
        <w:rPr>
          <w:rFonts w:ascii="Times New Roman" w:hAnsi="Times New Roman" w:cs="Times New Roman"/>
          <w:sz w:val="24"/>
        </w:rPr>
        <w:t xml:space="preserve"> Vrapče;</w:t>
      </w:r>
    </w:p>
    <w:p w14:paraId="3EF0B4AB" w14:textId="77777777" w:rsidR="00E40AC8" w:rsidRPr="005142C4" w:rsidRDefault="00E40AC8" w:rsidP="00E977F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color="000000"/>
        </w:rPr>
        <w:t>15.</w:t>
      </w:r>
      <w:r w:rsidR="00E977F2">
        <w:rPr>
          <w:rFonts w:ascii="Times New Roman" w:hAnsi="Times New Roman" w:cs="Times New Roman"/>
          <w:sz w:val="24"/>
          <w:u w:color="000000"/>
        </w:rPr>
        <w:t xml:space="preserve"> </w:t>
      </w:r>
      <w:r w:rsidR="00900184" w:rsidRPr="005142C4">
        <w:rPr>
          <w:rFonts w:ascii="Times New Roman" w:hAnsi="Times New Roman" w:cs="Times New Roman"/>
          <w:sz w:val="24"/>
        </w:rPr>
        <w:t>Postrojbu civilne zaštite opće namjene Gradske četvrti Podsljeme;</w:t>
      </w:r>
    </w:p>
    <w:p w14:paraId="334FD006" w14:textId="77777777" w:rsidR="00E40AC8" w:rsidRPr="005142C4" w:rsidRDefault="00E40AC8" w:rsidP="00E977F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color="000000"/>
        </w:rPr>
        <w:lastRenderedPageBreak/>
        <w:t>16.</w:t>
      </w:r>
      <w:r w:rsidR="00E977F2">
        <w:rPr>
          <w:rFonts w:ascii="Times New Roman" w:hAnsi="Times New Roman" w:cs="Times New Roman"/>
          <w:sz w:val="24"/>
          <w:u w:color="000000"/>
        </w:rPr>
        <w:t xml:space="preserve"> </w:t>
      </w:r>
      <w:r w:rsidR="00900184" w:rsidRPr="005142C4">
        <w:rPr>
          <w:rFonts w:ascii="Times New Roman" w:hAnsi="Times New Roman" w:cs="Times New Roman"/>
          <w:sz w:val="24"/>
        </w:rPr>
        <w:t>Postrojbu civilne zaštite opće namjene Gradske četvrti Sesvete;</w:t>
      </w:r>
    </w:p>
    <w:p w14:paraId="17EC5019" w14:textId="77777777" w:rsidR="00E40AC8" w:rsidRPr="005142C4" w:rsidRDefault="00E40AC8" w:rsidP="00E977F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color="000000"/>
        </w:rPr>
        <w:t>17.</w:t>
      </w:r>
      <w:r w:rsidR="00E977F2">
        <w:rPr>
          <w:rFonts w:ascii="Times New Roman" w:hAnsi="Times New Roman" w:cs="Times New Roman"/>
          <w:sz w:val="24"/>
          <w:u w:color="000000"/>
        </w:rPr>
        <w:t xml:space="preserve"> </w:t>
      </w:r>
      <w:r w:rsidR="00900184" w:rsidRPr="005142C4">
        <w:rPr>
          <w:rFonts w:ascii="Times New Roman" w:hAnsi="Times New Roman" w:cs="Times New Roman"/>
          <w:sz w:val="24"/>
        </w:rPr>
        <w:t>Postrojbu civilne zaštite opće namjene Gradske četvrti Brezovica.</w:t>
      </w:r>
    </w:p>
    <w:p w14:paraId="5FC9815B" w14:textId="77777777" w:rsidR="00E977F2" w:rsidRDefault="00900184" w:rsidP="003C7393">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Zainteresirani građani uključeni su u sustav civilne zaštite Grada Zagreba rasporedom u postrojbe civilne zaštite.</w:t>
      </w:r>
    </w:p>
    <w:p w14:paraId="273643A3" w14:textId="77777777" w:rsidR="001D7DEB" w:rsidRDefault="001D7DEB" w:rsidP="00E977F2">
      <w:pPr>
        <w:spacing w:after="0" w:line="240" w:lineRule="auto"/>
        <w:ind w:left="0" w:right="0" w:firstLine="709"/>
        <w:rPr>
          <w:rFonts w:ascii="Times New Roman" w:hAnsi="Times New Roman" w:cs="Times New Roman"/>
          <w:color w:val="FF0000"/>
          <w:sz w:val="24"/>
        </w:rPr>
      </w:pPr>
    </w:p>
    <w:p w14:paraId="50747BB1" w14:textId="39242141" w:rsidR="00E40AC8" w:rsidRPr="005938FB" w:rsidRDefault="00900184" w:rsidP="00E977F2">
      <w:pPr>
        <w:spacing w:after="0" w:line="240" w:lineRule="auto"/>
        <w:ind w:left="0" w:right="0" w:firstLine="709"/>
        <w:rPr>
          <w:rFonts w:ascii="Times New Roman" w:hAnsi="Times New Roman" w:cs="Times New Roman"/>
          <w:color w:val="auto"/>
          <w:sz w:val="24"/>
        </w:rPr>
      </w:pPr>
      <w:r w:rsidRPr="005938FB">
        <w:rPr>
          <w:rFonts w:ascii="Times New Roman" w:hAnsi="Times New Roman" w:cs="Times New Roman"/>
          <w:color w:val="auto"/>
          <w:sz w:val="24"/>
        </w:rPr>
        <w:t xml:space="preserve">8) </w:t>
      </w:r>
      <w:r w:rsidRPr="005938FB">
        <w:rPr>
          <w:rFonts w:ascii="Times New Roman" w:hAnsi="Times New Roman" w:cs="Times New Roman"/>
          <w:color w:val="auto"/>
          <w:sz w:val="24"/>
          <w:u w:val="single" w:color="000000"/>
        </w:rPr>
        <w:t>postrojbe civilne zaštite specijalističke namjene Grada Zagreba</w:t>
      </w:r>
      <w:r w:rsidRPr="005938FB">
        <w:rPr>
          <w:rFonts w:ascii="Times New Roman" w:hAnsi="Times New Roman" w:cs="Times New Roman"/>
          <w:color w:val="auto"/>
          <w:sz w:val="24"/>
        </w:rPr>
        <w:t xml:space="preserve"> (ukupno </w:t>
      </w:r>
      <w:r w:rsidR="002D2995">
        <w:rPr>
          <w:rFonts w:ascii="Times New Roman" w:hAnsi="Times New Roman" w:cs="Times New Roman"/>
          <w:color w:val="auto"/>
          <w:sz w:val="24"/>
        </w:rPr>
        <w:t>803</w:t>
      </w:r>
      <w:r w:rsidRPr="005938FB">
        <w:rPr>
          <w:rFonts w:ascii="Times New Roman" w:hAnsi="Times New Roman" w:cs="Times New Roman"/>
          <w:color w:val="auto"/>
          <w:sz w:val="24"/>
        </w:rPr>
        <w:t xml:space="preserve"> pripadnika)</w:t>
      </w:r>
    </w:p>
    <w:p w14:paraId="1FBA03E7" w14:textId="77777777" w:rsidR="00E40AC8" w:rsidRPr="005142C4" w:rsidRDefault="00900184" w:rsidP="00E977F2">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Gradska skupština Grada Zagreba je Odlukom o osnivanju postrojbi civilne zaštite specijalističke namjene Grada Zagreba (Službeni glasnik Grada Zagreba 11/18) osnovala sljedeće postrojbe:</w:t>
      </w:r>
    </w:p>
    <w:p w14:paraId="3E347D26" w14:textId="77777777" w:rsidR="00E40AC8" w:rsidRPr="005142C4" w:rsidRDefault="00EE6A22" w:rsidP="00E977F2">
      <w:pPr>
        <w:spacing w:after="0" w:line="240" w:lineRule="auto"/>
        <w:ind w:left="879" w:right="0" w:hanging="170"/>
        <w:rPr>
          <w:rFonts w:ascii="Times New Roman" w:hAnsi="Times New Roman" w:cs="Times New Roman"/>
          <w:sz w:val="24"/>
        </w:rPr>
      </w:pPr>
      <w:r w:rsidRPr="005142C4">
        <w:rPr>
          <w:rFonts w:ascii="Times New Roman" w:hAnsi="Times New Roman" w:cs="Times New Roman"/>
          <w:sz w:val="24"/>
          <w:u w:color="000000"/>
        </w:rPr>
        <w:t>-</w:t>
      </w:r>
      <w:r w:rsidR="00E40AC8" w:rsidRPr="005142C4">
        <w:rPr>
          <w:rFonts w:ascii="Times New Roman" w:hAnsi="Times New Roman" w:cs="Times New Roman"/>
          <w:sz w:val="24"/>
          <w:u w:color="000000"/>
        </w:rPr>
        <w:tab/>
      </w:r>
      <w:r w:rsidR="00900184" w:rsidRPr="005142C4">
        <w:rPr>
          <w:rFonts w:ascii="Times New Roman" w:hAnsi="Times New Roman" w:cs="Times New Roman"/>
          <w:sz w:val="24"/>
        </w:rPr>
        <w:t xml:space="preserve">Postrojbu civilne zaštite za traganje i spašavanje iz ruševina (srednja kategorija) </w:t>
      </w:r>
      <w:r w:rsidRPr="005142C4">
        <w:rPr>
          <w:rFonts w:ascii="Times New Roman" w:hAnsi="Times New Roman" w:cs="Times New Roman"/>
          <w:sz w:val="24"/>
        </w:rPr>
        <w:t>-</w:t>
      </w:r>
      <w:r w:rsidR="00900184" w:rsidRPr="005142C4">
        <w:rPr>
          <w:rFonts w:ascii="Times New Roman" w:hAnsi="Times New Roman" w:cs="Times New Roman"/>
          <w:sz w:val="24"/>
        </w:rPr>
        <w:t xml:space="preserve"> sastoji se od upravljačke skupine s 4 pripadnika, dvije operativne skupine sa po 12 pripadnika i logističke skupine sa 6 pripadnika;</w:t>
      </w:r>
    </w:p>
    <w:p w14:paraId="7EB1F889" w14:textId="77777777" w:rsidR="00E40AC8" w:rsidRPr="005142C4" w:rsidRDefault="00EE6A22" w:rsidP="00E977F2">
      <w:pPr>
        <w:spacing w:after="0" w:line="240" w:lineRule="auto"/>
        <w:ind w:left="879" w:right="0" w:hanging="170"/>
        <w:rPr>
          <w:rFonts w:ascii="Times New Roman" w:hAnsi="Times New Roman" w:cs="Times New Roman"/>
          <w:sz w:val="24"/>
        </w:rPr>
      </w:pPr>
      <w:r w:rsidRPr="005142C4">
        <w:rPr>
          <w:rFonts w:ascii="Times New Roman" w:hAnsi="Times New Roman" w:cs="Times New Roman"/>
          <w:sz w:val="24"/>
          <w:u w:color="000000"/>
        </w:rPr>
        <w:t>-</w:t>
      </w:r>
      <w:r w:rsidR="00E40AC8" w:rsidRPr="005142C4">
        <w:rPr>
          <w:rFonts w:ascii="Times New Roman" w:hAnsi="Times New Roman" w:cs="Times New Roman"/>
          <w:sz w:val="24"/>
          <w:u w:color="000000"/>
        </w:rPr>
        <w:tab/>
      </w:r>
      <w:r w:rsidR="00900184" w:rsidRPr="005142C4">
        <w:rPr>
          <w:rFonts w:ascii="Times New Roman" w:hAnsi="Times New Roman" w:cs="Times New Roman"/>
          <w:sz w:val="24"/>
        </w:rPr>
        <w:t xml:space="preserve">Postrojbu civilne zaštite za traganje i spašavanje u poplavama (laka kategorija) </w:t>
      </w:r>
      <w:r w:rsidRPr="005142C4">
        <w:rPr>
          <w:rFonts w:ascii="Times New Roman" w:hAnsi="Times New Roman" w:cs="Times New Roman"/>
          <w:sz w:val="24"/>
        </w:rPr>
        <w:t>-</w:t>
      </w:r>
      <w:r w:rsidR="00900184" w:rsidRPr="005142C4">
        <w:rPr>
          <w:rFonts w:ascii="Times New Roman" w:hAnsi="Times New Roman" w:cs="Times New Roman"/>
          <w:sz w:val="24"/>
        </w:rPr>
        <w:t xml:space="preserve"> sastoji se od upravljačke skupine s 2 pripadnika, dvije operativne skupine sa po 5 pripadnika i logističke skupine s 4 pripadnika;</w:t>
      </w:r>
    </w:p>
    <w:p w14:paraId="0C98A8E4" w14:textId="77777777" w:rsidR="00E40AC8" w:rsidRPr="005142C4" w:rsidRDefault="00EE6A22" w:rsidP="00E977F2">
      <w:pPr>
        <w:spacing w:after="0" w:line="240" w:lineRule="auto"/>
        <w:ind w:left="879" w:right="0" w:hanging="170"/>
        <w:rPr>
          <w:rFonts w:ascii="Times New Roman" w:hAnsi="Times New Roman" w:cs="Times New Roman"/>
          <w:sz w:val="24"/>
        </w:rPr>
      </w:pPr>
      <w:r w:rsidRPr="005142C4">
        <w:rPr>
          <w:rFonts w:ascii="Times New Roman" w:hAnsi="Times New Roman" w:cs="Times New Roman"/>
          <w:sz w:val="24"/>
          <w:u w:color="000000"/>
        </w:rPr>
        <w:t>-</w:t>
      </w:r>
      <w:r w:rsidR="00E40AC8" w:rsidRPr="005142C4">
        <w:rPr>
          <w:rFonts w:ascii="Times New Roman" w:hAnsi="Times New Roman" w:cs="Times New Roman"/>
          <w:sz w:val="24"/>
          <w:u w:color="000000"/>
        </w:rPr>
        <w:tab/>
      </w:r>
      <w:r w:rsidR="00900184" w:rsidRPr="005142C4">
        <w:rPr>
          <w:rFonts w:ascii="Times New Roman" w:hAnsi="Times New Roman" w:cs="Times New Roman"/>
          <w:sz w:val="24"/>
        </w:rPr>
        <w:t>Postrojbu civilne zaštite za tehničko</w:t>
      </w:r>
      <w:r w:rsidRPr="005142C4">
        <w:rPr>
          <w:rFonts w:ascii="Times New Roman" w:hAnsi="Times New Roman" w:cs="Times New Roman"/>
          <w:sz w:val="24"/>
        </w:rPr>
        <w:t>-</w:t>
      </w:r>
      <w:r w:rsidR="00900184" w:rsidRPr="005142C4">
        <w:rPr>
          <w:rFonts w:ascii="Times New Roman" w:hAnsi="Times New Roman" w:cs="Times New Roman"/>
          <w:sz w:val="24"/>
        </w:rPr>
        <w:t xml:space="preserve">taktičku potporu </w:t>
      </w:r>
      <w:r w:rsidRPr="005142C4">
        <w:rPr>
          <w:rFonts w:ascii="Times New Roman" w:hAnsi="Times New Roman" w:cs="Times New Roman"/>
          <w:sz w:val="24"/>
        </w:rPr>
        <w:t>-</w:t>
      </w:r>
      <w:r w:rsidR="00900184" w:rsidRPr="005142C4">
        <w:rPr>
          <w:rFonts w:ascii="Times New Roman" w:hAnsi="Times New Roman" w:cs="Times New Roman"/>
          <w:sz w:val="24"/>
        </w:rPr>
        <w:t xml:space="preserve"> sastoji se od upravljačke skupine s 1 pripadnikom, operativne skupine sa 8 pripadnika i logističke skupine s 3 pripadnika.</w:t>
      </w:r>
    </w:p>
    <w:p w14:paraId="5793F5E3" w14:textId="10676DC1" w:rsidR="00C95EDE" w:rsidRDefault="00900184" w:rsidP="00C95EDE">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Postrojbe civilne zaštite specijalističke namjene Grada Zagreba popunjavaju </w:t>
      </w:r>
      <w:r w:rsidR="00C95EDE" w:rsidRPr="005142C4">
        <w:rPr>
          <w:rFonts w:ascii="Times New Roman" w:hAnsi="Times New Roman" w:cs="Times New Roman"/>
          <w:sz w:val="24"/>
        </w:rPr>
        <w:t xml:space="preserve">se </w:t>
      </w:r>
      <w:r w:rsidRPr="005142C4">
        <w:rPr>
          <w:rFonts w:ascii="Times New Roman" w:hAnsi="Times New Roman" w:cs="Times New Roman"/>
          <w:sz w:val="24"/>
        </w:rPr>
        <w:t>ponajprije članovima udruga građana i drugih pravnih osoba koje se u svojoj djelatnosti bave određenim oblikom zaštite i spašavanja ili su za to osnovane te imateljima specijalističkih znanja od značenja za sustav civilne zaštite.</w:t>
      </w:r>
      <w:r w:rsidR="00A4609E">
        <w:rPr>
          <w:rFonts w:ascii="Times New Roman" w:hAnsi="Times New Roman" w:cs="Times New Roman"/>
          <w:sz w:val="24"/>
        </w:rPr>
        <w:t xml:space="preserve"> </w:t>
      </w:r>
    </w:p>
    <w:p w14:paraId="7F8C2CDD" w14:textId="09AA9EF6" w:rsidR="00360BA9" w:rsidRDefault="00360BA9" w:rsidP="00C95EDE">
      <w:pPr>
        <w:spacing w:after="0" w:line="240" w:lineRule="auto"/>
        <w:ind w:left="0" w:right="0" w:firstLine="709"/>
        <w:rPr>
          <w:rFonts w:ascii="Times New Roman" w:hAnsi="Times New Roman" w:cs="Times New Roman"/>
          <w:sz w:val="24"/>
        </w:rPr>
      </w:pPr>
    </w:p>
    <w:p w14:paraId="71A0FA96" w14:textId="45C8C0C1" w:rsidR="00360BA9" w:rsidRDefault="00360BA9" w:rsidP="00C95EDE">
      <w:pPr>
        <w:spacing w:after="0" w:line="240" w:lineRule="auto"/>
        <w:ind w:left="0" w:right="0" w:firstLine="709"/>
        <w:rPr>
          <w:rFonts w:ascii="Times New Roman" w:hAnsi="Times New Roman" w:cs="Times New Roman"/>
          <w:sz w:val="24"/>
          <w:u w:val="single"/>
        </w:rPr>
      </w:pPr>
      <w:r>
        <w:rPr>
          <w:rFonts w:ascii="Times New Roman" w:hAnsi="Times New Roman" w:cs="Times New Roman"/>
          <w:sz w:val="24"/>
        </w:rPr>
        <w:t xml:space="preserve">9) </w:t>
      </w:r>
      <w:r w:rsidRPr="006218CF">
        <w:rPr>
          <w:rFonts w:ascii="Times New Roman" w:hAnsi="Times New Roman" w:cs="Times New Roman"/>
          <w:sz w:val="24"/>
          <w:u w:val="single"/>
        </w:rPr>
        <w:t>povjerenici i zamjenici povjerenika</w:t>
      </w:r>
    </w:p>
    <w:p w14:paraId="4D9C28E3" w14:textId="77777777" w:rsidR="00360BA9" w:rsidRPr="00360BA9" w:rsidRDefault="00360BA9" w:rsidP="00360BA9">
      <w:pPr>
        <w:spacing w:after="0" w:line="240" w:lineRule="auto"/>
        <w:ind w:left="0" w:right="0" w:firstLine="709"/>
        <w:rPr>
          <w:rFonts w:ascii="Times New Roman" w:hAnsi="Times New Roman" w:cs="Times New Roman"/>
          <w:sz w:val="24"/>
        </w:rPr>
      </w:pPr>
      <w:r w:rsidRPr="00360BA9">
        <w:rPr>
          <w:rFonts w:ascii="Times New Roman" w:hAnsi="Times New Roman" w:cs="Times New Roman"/>
          <w:sz w:val="24"/>
        </w:rPr>
        <w:t>Gradonačelnik Grada Zagreba je 13. siječnja 2020. donio Zaključak o imenovanju povjerenika i zamjenika povjerenika civilne zaštite Grada Zagreba (Službeni glasnik Grada Zagreba 1/20). Zaključkom su imenovana 604 povjerenika i 225 zamjenika povjerenika na području 17 gradskih četvrti Grada Zagreba.</w:t>
      </w:r>
    </w:p>
    <w:p w14:paraId="7AD97476" w14:textId="77777777" w:rsidR="00360BA9" w:rsidRPr="00360BA9" w:rsidRDefault="00360BA9" w:rsidP="00360BA9">
      <w:pPr>
        <w:spacing w:after="0" w:line="240" w:lineRule="auto"/>
        <w:ind w:left="0" w:right="0" w:firstLine="709"/>
        <w:rPr>
          <w:rFonts w:ascii="Times New Roman" w:hAnsi="Times New Roman" w:cs="Times New Roman"/>
          <w:sz w:val="24"/>
        </w:rPr>
      </w:pPr>
      <w:r w:rsidRPr="00360BA9">
        <w:rPr>
          <w:rFonts w:ascii="Times New Roman" w:hAnsi="Times New Roman" w:cs="Times New Roman"/>
          <w:sz w:val="24"/>
        </w:rPr>
        <w:t>Zadaća povjerenika i zamjenika povjerenika civilne zaštite Grada Zagreba je provođenje preventivnih mjera i podizanje svijesti građana u sustavu civilne zaštite, izvršavanje obveza pripremanja i osposobljavanja građana za osobnu i uzajamnu zaštitu te usklađivanje provođenja osobne i uzajamne zaštite, obavješćivanje građana o poduzimanju mjera i postupaka civilne zaštite te mobilizacija svih raspoloživih kapaciteta lokalne zajednice za sudjelovanje u otklanjanju nastalih posljedica, sudjelovanje građana u organiziranju i provođenju evakuacije, sklanjanja i zbrinjavanja, obveza vođenja evidencije na području nadležnosti za koje su imenovani povjerenikom civilne zaštite te obavljanje poslova i zadaća prema nalozima stožera civilne zaštite jedinice lokalne samouprave u velikoj nesreći i katastrofi.</w:t>
      </w:r>
    </w:p>
    <w:p w14:paraId="41978FD8" w14:textId="612519D6" w:rsidR="00360BA9" w:rsidRDefault="00360BA9" w:rsidP="00360BA9">
      <w:pPr>
        <w:spacing w:after="0" w:line="240" w:lineRule="auto"/>
        <w:ind w:left="0" w:right="0" w:firstLine="709"/>
        <w:rPr>
          <w:rFonts w:ascii="Times New Roman" w:hAnsi="Times New Roman" w:cs="Times New Roman"/>
          <w:sz w:val="24"/>
        </w:rPr>
      </w:pPr>
      <w:r>
        <w:rPr>
          <w:rFonts w:ascii="Times New Roman" w:hAnsi="Times New Roman" w:cs="Times New Roman"/>
          <w:sz w:val="24"/>
        </w:rPr>
        <w:t>O</w:t>
      </w:r>
      <w:r w:rsidRPr="00360BA9">
        <w:rPr>
          <w:rFonts w:ascii="Times New Roman" w:hAnsi="Times New Roman" w:cs="Times New Roman"/>
          <w:sz w:val="24"/>
        </w:rPr>
        <w:t>sobnom zaštitnom opremom opremljeno je 447 povjerenika i zamjenika povjerenika civilne zaštite Grada Zagreba.</w:t>
      </w:r>
      <w:r w:rsidR="00F508A2">
        <w:rPr>
          <w:rFonts w:ascii="Times New Roman" w:hAnsi="Times New Roman" w:cs="Times New Roman"/>
          <w:sz w:val="24"/>
        </w:rPr>
        <w:t xml:space="preserve"> </w:t>
      </w:r>
    </w:p>
    <w:p w14:paraId="3505526D" w14:textId="77777777" w:rsidR="00360BA9" w:rsidRDefault="00360BA9" w:rsidP="00360BA9">
      <w:pPr>
        <w:spacing w:after="0" w:line="240" w:lineRule="auto"/>
        <w:ind w:left="0" w:right="0" w:firstLine="709"/>
        <w:rPr>
          <w:rFonts w:ascii="Times New Roman" w:hAnsi="Times New Roman" w:cs="Times New Roman"/>
          <w:sz w:val="24"/>
        </w:rPr>
      </w:pPr>
    </w:p>
    <w:p w14:paraId="624CF51B" w14:textId="76676B3A" w:rsidR="00E40AC8" w:rsidRPr="00C95EDE" w:rsidRDefault="00360BA9" w:rsidP="00C95EDE">
      <w:pPr>
        <w:spacing w:after="0" w:line="240" w:lineRule="auto"/>
        <w:ind w:left="0" w:right="0" w:firstLine="709"/>
        <w:rPr>
          <w:rFonts w:ascii="Times New Roman" w:hAnsi="Times New Roman" w:cs="Times New Roman"/>
          <w:sz w:val="24"/>
        </w:rPr>
      </w:pPr>
      <w:r>
        <w:rPr>
          <w:rFonts w:ascii="Times New Roman" w:hAnsi="Times New Roman" w:cs="Times New Roman"/>
          <w:sz w:val="24"/>
        </w:rPr>
        <w:t>10</w:t>
      </w:r>
      <w:r w:rsidR="00900184" w:rsidRPr="00C95EDE">
        <w:rPr>
          <w:rFonts w:ascii="Times New Roman" w:hAnsi="Times New Roman" w:cs="Times New Roman"/>
          <w:sz w:val="24"/>
        </w:rPr>
        <w:t xml:space="preserve">) </w:t>
      </w:r>
      <w:r w:rsidR="00900184" w:rsidRPr="00C95EDE">
        <w:rPr>
          <w:rFonts w:ascii="Times New Roman" w:hAnsi="Times New Roman" w:cs="Times New Roman"/>
          <w:sz w:val="24"/>
          <w:u w:val="single" w:color="000000"/>
        </w:rPr>
        <w:t>koordinatori na lokaciji</w:t>
      </w:r>
    </w:p>
    <w:p w14:paraId="3D63FF60" w14:textId="77777777" w:rsidR="00C95EDE" w:rsidRDefault="00900184" w:rsidP="00C95EDE">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Koordinator na lokaciji procjenjuje nastalu situaciju i njezine posljedice na terenu te u suradnji s nadležnim stožerom civilne zaštite usklađuje djelovanje operativnih snaga sustava civilne zaštite. Koordinatora na lokaciji, sukladno specifičnostima izvanrednog događaja, određuje načelnik stožera civilne zaštite iz redova operativnih snaga sustava civilne zaštite.</w:t>
      </w:r>
    </w:p>
    <w:p w14:paraId="55FBD358" w14:textId="77777777" w:rsidR="001D7DEB" w:rsidRDefault="001D7DEB" w:rsidP="00B858A8">
      <w:pPr>
        <w:spacing w:after="0" w:line="240" w:lineRule="auto"/>
        <w:ind w:left="0" w:right="0" w:firstLine="709"/>
        <w:rPr>
          <w:rFonts w:ascii="Times New Roman" w:hAnsi="Times New Roman" w:cs="Times New Roman"/>
          <w:sz w:val="24"/>
        </w:rPr>
      </w:pPr>
    </w:p>
    <w:p w14:paraId="4048D54D" w14:textId="67CD9C8E" w:rsidR="00B858A8" w:rsidRDefault="00900184" w:rsidP="00B858A8">
      <w:pPr>
        <w:spacing w:after="0" w:line="240" w:lineRule="auto"/>
        <w:ind w:left="0" w:right="0" w:firstLine="709"/>
        <w:rPr>
          <w:rFonts w:ascii="Times New Roman" w:hAnsi="Times New Roman" w:cs="Times New Roman"/>
          <w:sz w:val="24"/>
          <w:u w:val="single" w:color="000000"/>
        </w:rPr>
      </w:pPr>
      <w:r w:rsidRPr="005142C4">
        <w:rPr>
          <w:rFonts w:ascii="Times New Roman" w:hAnsi="Times New Roman" w:cs="Times New Roman"/>
          <w:sz w:val="24"/>
        </w:rPr>
        <w:t>1</w:t>
      </w:r>
      <w:r w:rsidR="00360BA9">
        <w:rPr>
          <w:rFonts w:ascii="Times New Roman" w:hAnsi="Times New Roman" w:cs="Times New Roman"/>
          <w:sz w:val="24"/>
        </w:rPr>
        <w:t>1</w:t>
      </w:r>
      <w:r w:rsidRPr="005142C4">
        <w:rPr>
          <w:rFonts w:ascii="Times New Roman" w:hAnsi="Times New Roman" w:cs="Times New Roman"/>
          <w:sz w:val="24"/>
        </w:rPr>
        <w:t xml:space="preserve">) </w:t>
      </w:r>
      <w:r w:rsidRPr="005142C4">
        <w:rPr>
          <w:rFonts w:ascii="Times New Roman" w:hAnsi="Times New Roman" w:cs="Times New Roman"/>
          <w:sz w:val="24"/>
          <w:u w:val="single" w:color="000000"/>
        </w:rPr>
        <w:t>pravne osobe u sustavu civilne zaštite</w:t>
      </w:r>
    </w:p>
    <w:p w14:paraId="452BB321" w14:textId="77777777" w:rsidR="00B858A8" w:rsidRPr="00B858A8" w:rsidRDefault="00B858A8" w:rsidP="00B858A8">
      <w:pPr>
        <w:spacing w:after="0" w:line="240" w:lineRule="auto"/>
        <w:ind w:left="0" w:right="0" w:firstLine="709"/>
        <w:rPr>
          <w:rFonts w:ascii="Times New Roman" w:hAnsi="Times New Roman" w:cs="Times New Roman"/>
          <w:sz w:val="24"/>
        </w:rPr>
      </w:pPr>
      <w:r w:rsidRPr="00B858A8">
        <w:rPr>
          <w:rFonts w:ascii="Times New Roman" w:hAnsi="Times New Roman" w:cs="Times New Roman"/>
          <w:sz w:val="24"/>
        </w:rPr>
        <w:t xml:space="preserve">Gradska skupština Grada Zagreba je na sjednici 19. ožujka 2020. donijela Odluku o određivanju pravnih osoba od interesa za sustav civilne zaštite na području Grada Zagreba </w:t>
      </w:r>
      <w:r w:rsidRPr="00B858A8">
        <w:rPr>
          <w:rFonts w:ascii="Times New Roman" w:hAnsi="Times New Roman" w:cs="Times New Roman"/>
          <w:sz w:val="24"/>
        </w:rPr>
        <w:lastRenderedPageBreak/>
        <w:t xml:space="preserve">(Službeni glasnik Grada Zagreba 6/20) kojom je određeno ukupno 45 pravnih osoba od interesa za sustav civilne zaštite, </w:t>
      </w:r>
      <w:r w:rsidR="00AB73DE" w:rsidRPr="005142C4">
        <w:rPr>
          <w:rFonts w:ascii="Times New Roman" w:hAnsi="Times New Roman" w:cs="Times New Roman"/>
          <w:sz w:val="24"/>
        </w:rPr>
        <w:t>s ciljem pripremanja i organiziranja provedbe mjera i aktivnosti u sustavu civilne zaštite te sudjelovanja u otklanjanju posljedica katastrofa i velikih nesreća. Pravne osobe od interesa za sustav civilne zaštite na području Grada Zagreba su pravne osobe koje su svojim proizvodnim, uslužnim, materijalnim, ljudskim i drugim resursima najznačajniji nositelji tih djelatnosti na području Grada Zagreba</w:t>
      </w:r>
      <w:r w:rsidR="00AB73DE">
        <w:rPr>
          <w:rFonts w:ascii="Times New Roman" w:hAnsi="Times New Roman" w:cs="Times New Roman"/>
          <w:sz w:val="24"/>
        </w:rPr>
        <w:t xml:space="preserve">. </w:t>
      </w:r>
    </w:p>
    <w:p w14:paraId="2C3FFDD2" w14:textId="77777777" w:rsidR="001D7DEB" w:rsidRDefault="001D7DEB" w:rsidP="00C95EDE">
      <w:pPr>
        <w:spacing w:after="0" w:line="240" w:lineRule="auto"/>
        <w:ind w:left="0" w:right="0" w:firstLine="709"/>
        <w:rPr>
          <w:rFonts w:ascii="Times New Roman" w:hAnsi="Times New Roman" w:cs="Times New Roman"/>
          <w:sz w:val="24"/>
        </w:rPr>
      </w:pPr>
    </w:p>
    <w:p w14:paraId="3883CFC2" w14:textId="38E7B60E" w:rsidR="00E40AC8" w:rsidRPr="00C95EDE" w:rsidRDefault="00900184" w:rsidP="00C95EDE">
      <w:pPr>
        <w:spacing w:after="0" w:line="240" w:lineRule="auto"/>
        <w:ind w:left="0" w:right="0" w:firstLine="709"/>
        <w:rPr>
          <w:rFonts w:ascii="Times New Roman" w:hAnsi="Times New Roman" w:cs="Times New Roman"/>
          <w:sz w:val="24"/>
        </w:rPr>
      </w:pPr>
      <w:r w:rsidRPr="00C95EDE">
        <w:rPr>
          <w:rFonts w:ascii="Times New Roman" w:hAnsi="Times New Roman" w:cs="Times New Roman"/>
          <w:sz w:val="24"/>
        </w:rPr>
        <w:t>1</w:t>
      </w:r>
      <w:r w:rsidR="00360BA9">
        <w:rPr>
          <w:rFonts w:ascii="Times New Roman" w:hAnsi="Times New Roman" w:cs="Times New Roman"/>
          <w:sz w:val="24"/>
        </w:rPr>
        <w:t>2</w:t>
      </w:r>
      <w:r w:rsidRPr="00C95EDE">
        <w:rPr>
          <w:rFonts w:ascii="Times New Roman" w:hAnsi="Times New Roman" w:cs="Times New Roman"/>
          <w:sz w:val="24"/>
        </w:rPr>
        <w:t xml:space="preserve">) </w:t>
      </w:r>
      <w:r w:rsidR="00C95EDE" w:rsidRPr="00C95EDE">
        <w:rPr>
          <w:rFonts w:ascii="Times New Roman" w:hAnsi="Times New Roman" w:cs="Times New Roman"/>
          <w:sz w:val="24"/>
          <w:u w:val="single" w:color="000000"/>
        </w:rPr>
        <w:t xml:space="preserve">ostali </w:t>
      </w:r>
      <w:r w:rsidRPr="00C95EDE">
        <w:rPr>
          <w:rFonts w:ascii="Times New Roman" w:hAnsi="Times New Roman" w:cs="Times New Roman"/>
          <w:sz w:val="24"/>
          <w:u w:val="single" w:color="000000"/>
        </w:rPr>
        <w:t>sudionici u sustavu civilne zaštite</w:t>
      </w:r>
    </w:p>
    <w:p w14:paraId="33C605FE" w14:textId="77777777" w:rsidR="00E40AC8" w:rsidRPr="00EF60D1" w:rsidRDefault="00900184" w:rsidP="00C95EDE">
      <w:pPr>
        <w:spacing w:after="0" w:line="240" w:lineRule="auto"/>
        <w:ind w:left="0" w:right="0" w:firstLine="709"/>
        <w:rPr>
          <w:rFonts w:ascii="Times New Roman" w:hAnsi="Times New Roman" w:cs="Times New Roman"/>
          <w:color w:val="auto"/>
          <w:sz w:val="24"/>
        </w:rPr>
      </w:pPr>
      <w:r w:rsidRPr="00EF60D1">
        <w:rPr>
          <w:rFonts w:ascii="Times New Roman" w:hAnsi="Times New Roman" w:cs="Times New Roman"/>
          <w:color w:val="auto"/>
          <w:sz w:val="24"/>
        </w:rPr>
        <w:t>Nastavni zavod za hitnu medicinu Grada Zagreba ima 422 zaposlenika od čega je njih 376 medicinsko osoblje s vozačima sanitetskih vozila, te posjeduje najsuvremeniju tehniku i moderan vozni park s 36 sanitetskih vozila.</w:t>
      </w:r>
    </w:p>
    <w:p w14:paraId="4EE0A3CF" w14:textId="77777777" w:rsidR="00E40AC8" w:rsidRPr="00EF60D1" w:rsidRDefault="00900184" w:rsidP="00C95EDE">
      <w:pPr>
        <w:spacing w:after="0" w:line="240" w:lineRule="auto"/>
        <w:ind w:left="0" w:right="0" w:firstLine="709"/>
        <w:rPr>
          <w:rFonts w:ascii="Times New Roman" w:hAnsi="Times New Roman" w:cs="Times New Roman"/>
          <w:color w:val="auto"/>
          <w:sz w:val="24"/>
        </w:rPr>
      </w:pPr>
      <w:r w:rsidRPr="00EF60D1">
        <w:rPr>
          <w:rFonts w:ascii="Times New Roman" w:hAnsi="Times New Roman" w:cs="Times New Roman"/>
          <w:color w:val="auto"/>
          <w:sz w:val="24"/>
        </w:rPr>
        <w:t>Broj ugovorenih timova za pružanje hitne medicinske pomoći je sljedeći:</w:t>
      </w:r>
    </w:p>
    <w:p w14:paraId="1AF9216E" w14:textId="77777777" w:rsidR="00E40AC8" w:rsidRPr="00EF60D1" w:rsidRDefault="00EE6A22" w:rsidP="00C95EDE">
      <w:pPr>
        <w:spacing w:after="0" w:line="240" w:lineRule="auto"/>
        <w:ind w:left="879" w:right="0" w:hanging="170"/>
        <w:rPr>
          <w:rFonts w:ascii="Times New Roman" w:hAnsi="Times New Roman" w:cs="Times New Roman"/>
          <w:color w:val="auto"/>
          <w:sz w:val="24"/>
        </w:rPr>
      </w:pPr>
      <w:r w:rsidRPr="00EF60D1">
        <w:rPr>
          <w:rFonts w:ascii="Times New Roman" w:hAnsi="Times New Roman" w:cs="Times New Roman"/>
          <w:color w:val="auto"/>
          <w:sz w:val="24"/>
          <w:u w:color="000000"/>
        </w:rPr>
        <w:t>-</w:t>
      </w:r>
      <w:r w:rsidR="00E40AC8" w:rsidRPr="00EF60D1">
        <w:rPr>
          <w:rFonts w:ascii="Times New Roman" w:hAnsi="Times New Roman" w:cs="Times New Roman"/>
          <w:color w:val="auto"/>
          <w:sz w:val="24"/>
          <w:u w:color="000000"/>
        </w:rPr>
        <w:tab/>
      </w:r>
      <w:r w:rsidR="00900184" w:rsidRPr="00EF60D1">
        <w:rPr>
          <w:rFonts w:ascii="Times New Roman" w:hAnsi="Times New Roman" w:cs="Times New Roman"/>
          <w:color w:val="auto"/>
          <w:sz w:val="24"/>
        </w:rPr>
        <w:t xml:space="preserve">69 terenskih timova hitne medicinske pomoći (T1 </w:t>
      </w:r>
      <w:r w:rsidRPr="00EF60D1">
        <w:rPr>
          <w:rFonts w:ascii="Times New Roman" w:hAnsi="Times New Roman" w:cs="Times New Roman"/>
          <w:color w:val="auto"/>
          <w:sz w:val="24"/>
        </w:rPr>
        <w:t>-</w:t>
      </w:r>
      <w:r w:rsidR="00900184" w:rsidRPr="00EF60D1">
        <w:rPr>
          <w:rFonts w:ascii="Times New Roman" w:hAnsi="Times New Roman" w:cs="Times New Roman"/>
          <w:color w:val="auto"/>
          <w:sz w:val="24"/>
        </w:rPr>
        <w:t xml:space="preserve"> liječnik, medicinski tehničar i vozač);</w:t>
      </w:r>
    </w:p>
    <w:p w14:paraId="62843BA5" w14:textId="77777777" w:rsidR="00E40AC8" w:rsidRPr="00EF60D1" w:rsidRDefault="00EE6A22" w:rsidP="00C95EDE">
      <w:pPr>
        <w:spacing w:after="0" w:line="240" w:lineRule="auto"/>
        <w:ind w:left="879" w:right="0" w:hanging="170"/>
        <w:rPr>
          <w:rFonts w:ascii="Times New Roman" w:hAnsi="Times New Roman" w:cs="Times New Roman"/>
          <w:color w:val="auto"/>
          <w:sz w:val="24"/>
        </w:rPr>
      </w:pPr>
      <w:r w:rsidRPr="00EF60D1">
        <w:rPr>
          <w:rFonts w:ascii="Times New Roman" w:hAnsi="Times New Roman" w:cs="Times New Roman"/>
          <w:color w:val="auto"/>
          <w:sz w:val="24"/>
          <w:u w:color="000000"/>
        </w:rPr>
        <w:t>-</w:t>
      </w:r>
      <w:r w:rsidR="00E40AC8" w:rsidRPr="00EF60D1">
        <w:rPr>
          <w:rFonts w:ascii="Times New Roman" w:hAnsi="Times New Roman" w:cs="Times New Roman"/>
          <w:color w:val="auto"/>
          <w:sz w:val="24"/>
          <w:u w:color="000000"/>
        </w:rPr>
        <w:tab/>
      </w:r>
      <w:r w:rsidR="00900184" w:rsidRPr="00EF60D1">
        <w:rPr>
          <w:rFonts w:ascii="Times New Roman" w:hAnsi="Times New Roman" w:cs="Times New Roman"/>
          <w:color w:val="auto"/>
          <w:sz w:val="24"/>
        </w:rPr>
        <w:t>5 timova u prijavno</w:t>
      </w:r>
      <w:r w:rsidRPr="00EF60D1">
        <w:rPr>
          <w:rFonts w:ascii="Times New Roman" w:hAnsi="Times New Roman" w:cs="Times New Roman"/>
          <w:color w:val="auto"/>
          <w:sz w:val="24"/>
        </w:rPr>
        <w:t>-</w:t>
      </w:r>
      <w:r w:rsidR="00900184" w:rsidRPr="00EF60D1">
        <w:rPr>
          <w:rFonts w:ascii="Times New Roman" w:hAnsi="Times New Roman" w:cs="Times New Roman"/>
          <w:color w:val="auto"/>
          <w:sz w:val="24"/>
        </w:rPr>
        <w:t>dojavnoj jedinici (liječnik i medicinski tehničar s mogućnošću rada na terenu);</w:t>
      </w:r>
    </w:p>
    <w:p w14:paraId="05F11C1C" w14:textId="77777777" w:rsidR="00E40AC8" w:rsidRPr="00EF60D1" w:rsidRDefault="00EE6A22" w:rsidP="00C95EDE">
      <w:pPr>
        <w:spacing w:after="0" w:line="240" w:lineRule="auto"/>
        <w:ind w:left="879" w:right="0" w:hanging="170"/>
        <w:rPr>
          <w:rFonts w:ascii="Times New Roman" w:hAnsi="Times New Roman" w:cs="Times New Roman"/>
          <w:color w:val="auto"/>
          <w:sz w:val="24"/>
        </w:rPr>
      </w:pPr>
      <w:r w:rsidRPr="00EF60D1">
        <w:rPr>
          <w:rFonts w:ascii="Times New Roman" w:hAnsi="Times New Roman" w:cs="Times New Roman"/>
          <w:color w:val="auto"/>
          <w:sz w:val="24"/>
          <w:u w:color="000000"/>
        </w:rPr>
        <w:t>-</w:t>
      </w:r>
      <w:r w:rsidR="00E40AC8" w:rsidRPr="00EF60D1">
        <w:rPr>
          <w:rFonts w:ascii="Times New Roman" w:hAnsi="Times New Roman" w:cs="Times New Roman"/>
          <w:color w:val="auto"/>
          <w:sz w:val="24"/>
          <w:u w:color="000000"/>
        </w:rPr>
        <w:tab/>
      </w:r>
      <w:r w:rsidR="00900184" w:rsidRPr="00EF60D1">
        <w:rPr>
          <w:rFonts w:ascii="Times New Roman" w:hAnsi="Times New Roman" w:cs="Times New Roman"/>
          <w:color w:val="auto"/>
          <w:sz w:val="24"/>
        </w:rPr>
        <w:t>10 timova T2 (medicinski tehničar i vozač).</w:t>
      </w:r>
    </w:p>
    <w:p w14:paraId="0DD0189F" w14:textId="77777777" w:rsidR="00E40AC8" w:rsidRPr="00EF60D1" w:rsidRDefault="00900184" w:rsidP="00C95EDE">
      <w:pPr>
        <w:spacing w:after="0" w:line="240" w:lineRule="auto"/>
        <w:ind w:left="0" w:right="0" w:firstLine="709"/>
        <w:rPr>
          <w:rFonts w:ascii="Times New Roman" w:hAnsi="Times New Roman" w:cs="Times New Roman"/>
          <w:sz w:val="24"/>
        </w:rPr>
      </w:pPr>
      <w:r w:rsidRPr="00EF60D1">
        <w:rPr>
          <w:rFonts w:ascii="Times New Roman" w:hAnsi="Times New Roman" w:cs="Times New Roman"/>
          <w:sz w:val="24"/>
        </w:rPr>
        <w:t>Raspored navedenih timova je 24 sata dnevno, 7 dana u tjednu i 365 dana godišnje (24/7/365).</w:t>
      </w:r>
    </w:p>
    <w:p w14:paraId="034D32F4" w14:textId="77777777" w:rsidR="00E40AC8" w:rsidRPr="005142C4" w:rsidRDefault="00900184" w:rsidP="00C95EDE">
      <w:pPr>
        <w:spacing w:after="0" w:line="240" w:lineRule="auto"/>
        <w:ind w:left="0" w:right="0" w:firstLine="709"/>
        <w:rPr>
          <w:rFonts w:ascii="Times New Roman" w:hAnsi="Times New Roman" w:cs="Times New Roman"/>
          <w:sz w:val="24"/>
        </w:rPr>
      </w:pPr>
      <w:r w:rsidRPr="00EF60D1">
        <w:rPr>
          <w:rFonts w:ascii="Times New Roman" w:hAnsi="Times New Roman" w:cs="Times New Roman"/>
          <w:sz w:val="24"/>
        </w:rPr>
        <w:t>Nastavni zavod za hitnu medicinu Grada Zagreba raspolaže s podstanicama: Centar, Novi Zagreb, Jarun, Gajnice, Dubrava i Sesvete.</w:t>
      </w:r>
    </w:p>
    <w:p w14:paraId="43A86E0B" w14:textId="0534620B" w:rsidR="00E40AC8" w:rsidRPr="005142C4" w:rsidRDefault="00900184" w:rsidP="00C95EDE">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Prema podacima Hrvatske gospodarske komore, na području Grada Zagreba ima više od tisuću tvrtki koje raspolažu opremom, ljudstvom i mehanizacijom koja se može upotrijebiti u slučajevima velikih nesreća i katastrofa.</w:t>
      </w:r>
      <w:r w:rsidR="002E5C9E">
        <w:rPr>
          <w:rFonts w:ascii="Times New Roman" w:hAnsi="Times New Roman" w:cs="Times New Roman"/>
          <w:sz w:val="24"/>
        </w:rPr>
        <w:t xml:space="preserve"> </w:t>
      </w:r>
    </w:p>
    <w:p w14:paraId="2F9266B4" w14:textId="77777777" w:rsidR="00E40AC8" w:rsidRPr="005142C4" w:rsidRDefault="00900184" w:rsidP="00C95EDE">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Zimsku službu na nerazvrstanim cestama Grada Zagreba provodi Zagrebački holding d.o.o., Podružnica Zagrebačke ceste d.o.o.</w:t>
      </w:r>
    </w:p>
    <w:p w14:paraId="1E7AD58B" w14:textId="04F55C81" w:rsidR="00E40AC8" w:rsidRPr="005142C4" w:rsidRDefault="00900184" w:rsidP="00C95EDE">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Ministarstvo unutarnjih poslova obavlja poslove koji se odnose na poslove policije, zaštitu života i osobnu sigurnost ljudi i imovine, sprječavanje i otkrivanje kaznenih djela, održavanje javnog reda i mira, poslove sigurnosti prometa na cestama.</w:t>
      </w:r>
      <w:r w:rsidR="002E5C9E">
        <w:rPr>
          <w:rFonts w:ascii="Times New Roman" w:hAnsi="Times New Roman" w:cs="Times New Roman"/>
          <w:sz w:val="24"/>
        </w:rPr>
        <w:t xml:space="preserve"> </w:t>
      </w:r>
    </w:p>
    <w:p w14:paraId="695EFA47" w14:textId="77777777" w:rsidR="00E40AC8" w:rsidRPr="005142C4" w:rsidRDefault="00900184" w:rsidP="00C95EDE">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Ministarstvo zdravstva obavlja poslove od interesa za očuvanje i unapređenje zdravlja hrvatskih građana što uključuje: zaštitu javnozdravstvenog interesa, rano prepoznavanje rizika bolesti, sprječavanje pojave bolesti te liječenje i rehabilitaciju oboljelih.</w:t>
      </w:r>
    </w:p>
    <w:p w14:paraId="7BB46C40" w14:textId="77777777" w:rsidR="00C95EDE" w:rsidRDefault="00900184" w:rsidP="00C95EDE">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Državni hidrometeorološki zavod obavlja stručne poslove koji se odnose na: praćenje hidroloških i meteoroloških procesa, prikupljanje, obrađivanje i objavljivanje hidrometeoroloških podataka, istraživanje atmosfere i vodnih resursa, primjenu meteorologije i hidrologije u područjima klimatologije, pomorske meteorologije, agrometeorologije, umjetnog djelovanja na vrijeme, zrakoplovne meteorologije, prostornog planiranja i projektiranja i ostale primjene, obavljanje međunarodnih poslova iz područja hidrologije i meteorologije od interesa za Republiku Hrvatsku.</w:t>
      </w:r>
      <w:bookmarkStart w:id="44" w:name="_Toc2938562"/>
    </w:p>
    <w:p w14:paraId="3621AF4E" w14:textId="3DF97CDD" w:rsidR="007A104F" w:rsidRDefault="007A104F" w:rsidP="006218CF">
      <w:pPr>
        <w:spacing w:after="0" w:line="240" w:lineRule="auto"/>
        <w:ind w:left="0" w:right="0" w:firstLine="0"/>
        <w:rPr>
          <w:rFonts w:ascii="Times New Roman" w:hAnsi="Times New Roman" w:cs="Times New Roman"/>
          <w:sz w:val="24"/>
        </w:rPr>
      </w:pPr>
    </w:p>
    <w:p w14:paraId="2737F271" w14:textId="285CAFD2" w:rsidR="00E47DAA" w:rsidRDefault="00E47DAA" w:rsidP="006218CF">
      <w:pPr>
        <w:spacing w:after="0" w:line="240" w:lineRule="auto"/>
        <w:ind w:left="0" w:right="0" w:firstLine="0"/>
        <w:rPr>
          <w:rFonts w:ascii="Times New Roman" w:hAnsi="Times New Roman" w:cs="Times New Roman"/>
          <w:sz w:val="24"/>
        </w:rPr>
      </w:pPr>
    </w:p>
    <w:p w14:paraId="06D1CBCE" w14:textId="3984605F" w:rsidR="00E47DAA" w:rsidRDefault="00E47DAA" w:rsidP="006218CF">
      <w:pPr>
        <w:spacing w:after="0" w:line="240" w:lineRule="auto"/>
        <w:ind w:left="0" w:right="0" w:firstLine="0"/>
        <w:rPr>
          <w:rFonts w:ascii="Times New Roman" w:hAnsi="Times New Roman" w:cs="Times New Roman"/>
          <w:sz w:val="24"/>
        </w:rPr>
      </w:pPr>
    </w:p>
    <w:p w14:paraId="267201BE" w14:textId="7EB998B5" w:rsidR="00E47DAA" w:rsidRDefault="00E47DAA" w:rsidP="006218CF">
      <w:pPr>
        <w:spacing w:after="0" w:line="240" w:lineRule="auto"/>
        <w:ind w:left="0" w:right="0" w:firstLine="0"/>
        <w:rPr>
          <w:rFonts w:ascii="Times New Roman" w:hAnsi="Times New Roman" w:cs="Times New Roman"/>
          <w:sz w:val="24"/>
        </w:rPr>
      </w:pPr>
    </w:p>
    <w:p w14:paraId="31244AEC" w14:textId="585AFA41" w:rsidR="00E47DAA" w:rsidRDefault="00E47DAA" w:rsidP="006218CF">
      <w:pPr>
        <w:spacing w:after="0" w:line="240" w:lineRule="auto"/>
        <w:ind w:left="0" w:right="0" w:firstLine="0"/>
        <w:rPr>
          <w:rFonts w:ascii="Times New Roman" w:hAnsi="Times New Roman" w:cs="Times New Roman"/>
          <w:sz w:val="24"/>
        </w:rPr>
      </w:pPr>
    </w:p>
    <w:p w14:paraId="353F6422" w14:textId="5BF141FE" w:rsidR="00E47DAA" w:rsidRDefault="00E47DAA" w:rsidP="006218CF">
      <w:pPr>
        <w:spacing w:after="0" w:line="240" w:lineRule="auto"/>
        <w:ind w:left="0" w:right="0" w:firstLine="0"/>
        <w:rPr>
          <w:rFonts w:ascii="Times New Roman" w:hAnsi="Times New Roman" w:cs="Times New Roman"/>
          <w:sz w:val="24"/>
        </w:rPr>
      </w:pPr>
    </w:p>
    <w:p w14:paraId="517D9EB7" w14:textId="5B3EAC78" w:rsidR="00E47DAA" w:rsidRDefault="00E47DAA" w:rsidP="006218CF">
      <w:pPr>
        <w:spacing w:after="0" w:line="240" w:lineRule="auto"/>
        <w:ind w:left="0" w:right="0" w:firstLine="0"/>
        <w:rPr>
          <w:rFonts w:ascii="Times New Roman" w:hAnsi="Times New Roman" w:cs="Times New Roman"/>
          <w:sz w:val="24"/>
        </w:rPr>
      </w:pPr>
    </w:p>
    <w:p w14:paraId="0E6B5735" w14:textId="46FD370A" w:rsidR="00E47DAA" w:rsidRDefault="00E47DAA" w:rsidP="006218CF">
      <w:pPr>
        <w:spacing w:after="0" w:line="240" w:lineRule="auto"/>
        <w:ind w:left="0" w:right="0" w:firstLine="0"/>
        <w:rPr>
          <w:rFonts w:ascii="Times New Roman" w:hAnsi="Times New Roman" w:cs="Times New Roman"/>
          <w:sz w:val="24"/>
        </w:rPr>
      </w:pPr>
    </w:p>
    <w:p w14:paraId="7B35499B" w14:textId="4655AA62" w:rsidR="00E47DAA" w:rsidRDefault="00E47DAA" w:rsidP="006218CF">
      <w:pPr>
        <w:spacing w:after="0" w:line="240" w:lineRule="auto"/>
        <w:ind w:left="0" w:right="0" w:firstLine="0"/>
        <w:rPr>
          <w:rFonts w:ascii="Times New Roman" w:hAnsi="Times New Roman" w:cs="Times New Roman"/>
          <w:sz w:val="24"/>
        </w:rPr>
      </w:pPr>
    </w:p>
    <w:p w14:paraId="5F763ACE" w14:textId="1C970083" w:rsidR="00E47DAA" w:rsidRDefault="00E47DAA" w:rsidP="006218CF">
      <w:pPr>
        <w:spacing w:after="0" w:line="240" w:lineRule="auto"/>
        <w:ind w:left="0" w:right="0" w:firstLine="0"/>
        <w:rPr>
          <w:rFonts w:ascii="Times New Roman" w:hAnsi="Times New Roman" w:cs="Times New Roman"/>
          <w:sz w:val="24"/>
        </w:rPr>
      </w:pPr>
    </w:p>
    <w:p w14:paraId="67FB72BC" w14:textId="346D8BA3" w:rsidR="003A079F" w:rsidRDefault="003A079F" w:rsidP="006218CF">
      <w:pPr>
        <w:spacing w:after="0" w:line="240" w:lineRule="auto"/>
        <w:ind w:left="0" w:right="0" w:firstLine="0"/>
        <w:rPr>
          <w:rFonts w:ascii="Times New Roman" w:hAnsi="Times New Roman" w:cs="Times New Roman"/>
          <w:sz w:val="24"/>
        </w:rPr>
      </w:pPr>
    </w:p>
    <w:p w14:paraId="6992B0EC" w14:textId="77777777" w:rsidR="003A079F" w:rsidRDefault="003A079F" w:rsidP="006218CF">
      <w:pPr>
        <w:spacing w:after="0" w:line="240" w:lineRule="auto"/>
        <w:ind w:left="0" w:right="0" w:firstLine="0"/>
        <w:rPr>
          <w:rFonts w:ascii="Times New Roman" w:hAnsi="Times New Roman" w:cs="Times New Roman"/>
          <w:sz w:val="24"/>
        </w:rPr>
      </w:pPr>
    </w:p>
    <w:p w14:paraId="7CA761DE" w14:textId="77777777" w:rsidR="00E47DAA" w:rsidRDefault="00E47DAA" w:rsidP="006218CF">
      <w:pPr>
        <w:spacing w:after="0" w:line="240" w:lineRule="auto"/>
        <w:ind w:left="0" w:right="0" w:firstLine="0"/>
        <w:rPr>
          <w:rFonts w:ascii="Times New Roman" w:hAnsi="Times New Roman" w:cs="Times New Roman"/>
          <w:sz w:val="24"/>
        </w:rPr>
      </w:pPr>
    </w:p>
    <w:p w14:paraId="454F0739" w14:textId="77777777" w:rsidR="00E40AC8" w:rsidRPr="007A104F" w:rsidRDefault="00900184" w:rsidP="00C95EDE">
      <w:pPr>
        <w:spacing w:after="0" w:line="240" w:lineRule="auto"/>
        <w:ind w:right="0"/>
        <w:rPr>
          <w:rFonts w:ascii="Times New Roman" w:hAnsi="Times New Roman" w:cs="Times New Roman"/>
          <w:b/>
          <w:sz w:val="28"/>
        </w:rPr>
      </w:pPr>
      <w:r w:rsidRPr="007A104F">
        <w:rPr>
          <w:rFonts w:ascii="Times New Roman" w:hAnsi="Times New Roman" w:cs="Times New Roman"/>
          <w:b/>
          <w:sz w:val="28"/>
        </w:rPr>
        <w:t>3. Identifikacija prijetnji i rizika</w:t>
      </w:r>
      <w:bookmarkEnd w:id="44"/>
    </w:p>
    <w:p w14:paraId="03D4DEEA" w14:textId="77777777" w:rsidR="00E40AC8" w:rsidRPr="00C95EDE" w:rsidRDefault="00E40AC8" w:rsidP="005142C4">
      <w:pPr>
        <w:spacing w:after="0" w:line="240" w:lineRule="auto"/>
        <w:ind w:left="0" w:right="0" w:firstLine="0"/>
        <w:jc w:val="left"/>
        <w:rPr>
          <w:rFonts w:ascii="Times New Roman" w:eastAsia="Times New Roman" w:hAnsi="Times New Roman" w:cs="Times New Roman"/>
          <w:sz w:val="24"/>
        </w:rPr>
      </w:pPr>
    </w:p>
    <w:p w14:paraId="18787C3F" w14:textId="79C69545" w:rsidR="00E40AC8" w:rsidRPr="005142C4" w:rsidRDefault="00900184" w:rsidP="00C95EDE">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Velike nesreće i katastrofe svoje po</w:t>
      </w:r>
      <w:r w:rsidR="00C95EDE">
        <w:rPr>
          <w:rFonts w:ascii="Times New Roman" w:hAnsi="Times New Roman" w:cs="Times New Roman"/>
          <w:sz w:val="24"/>
        </w:rPr>
        <w:t>d</w:t>
      </w:r>
      <w:r w:rsidRPr="005142C4">
        <w:rPr>
          <w:rFonts w:ascii="Times New Roman" w:hAnsi="Times New Roman" w:cs="Times New Roman"/>
          <w:sz w:val="24"/>
        </w:rPr>
        <w:t>rije</w:t>
      </w:r>
      <w:r w:rsidR="00C95EDE">
        <w:rPr>
          <w:rFonts w:ascii="Times New Roman" w:hAnsi="Times New Roman" w:cs="Times New Roman"/>
          <w:sz w:val="24"/>
        </w:rPr>
        <w:t>t</w:t>
      </w:r>
      <w:r w:rsidRPr="005142C4">
        <w:rPr>
          <w:rFonts w:ascii="Times New Roman" w:hAnsi="Times New Roman" w:cs="Times New Roman"/>
          <w:sz w:val="24"/>
        </w:rPr>
        <w:t>lo imaju u velikoj lepezi kako geoloških, hidroloških, meteoroloških, bioloških i ostalih prirodnih uzroka i fenomena</w:t>
      </w:r>
      <w:r w:rsidR="001C6DB8">
        <w:rPr>
          <w:rFonts w:ascii="Times New Roman" w:hAnsi="Times New Roman" w:cs="Times New Roman"/>
          <w:sz w:val="24"/>
        </w:rPr>
        <w:t>,</w:t>
      </w:r>
      <w:r w:rsidRPr="005142C4">
        <w:rPr>
          <w:rFonts w:ascii="Times New Roman" w:hAnsi="Times New Roman" w:cs="Times New Roman"/>
          <w:sz w:val="24"/>
        </w:rPr>
        <w:t xml:space="preserve"> tako i u tehničko</w:t>
      </w:r>
      <w:r w:rsidR="00EE6A22" w:rsidRPr="005142C4">
        <w:rPr>
          <w:rFonts w:ascii="Times New Roman" w:hAnsi="Times New Roman" w:cs="Times New Roman"/>
          <w:sz w:val="24"/>
        </w:rPr>
        <w:t>-</w:t>
      </w:r>
      <w:r w:rsidRPr="005142C4">
        <w:rPr>
          <w:rFonts w:ascii="Times New Roman" w:hAnsi="Times New Roman" w:cs="Times New Roman"/>
          <w:sz w:val="24"/>
        </w:rPr>
        <w:t xml:space="preserve">tehnološkim procesima te </w:t>
      </w:r>
      <w:r w:rsidR="00FE743D">
        <w:rPr>
          <w:rFonts w:ascii="Times New Roman" w:hAnsi="Times New Roman" w:cs="Times New Roman"/>
          <w:sz w:val="24"/>
        </w:rPr>
        <w:t>su</w:t>
      </w:r>
      <w:r w:rsidR="00C95EDE">
        <w:rPr>
          <w:rFonts w:ascii="Times New Roman" w:hAnsi="Times New Roman" w:cs="Times New Roman"/>
          <w:sz w:val="24"/>
        </w:rPr>
        <w:t xml:space="preserve"> </w:t>
      </w:r>
      <w:r w:rsidRPr="005142C4">
        <w:rPr>
          <w:rFonts w:ascii="Times New Roman" w:hAnsi="Times New Roman" w:cs="Times New Roman"/>
          <w:sz w:val="24"/>
        </w:rPr>
        <w:t>veliko društveno, ekonomsko i gospodarsko opterećenje za Republiku Hrvatsku.</w:t>
      </w:r>
    </w:p>
    <w:p w14:paraId="61432A11" w14:textId="77777777" w:rsidR="00E40AC8" w:rsidRPr="005142C4" w:rsidRDefault="00900184" w:rsidP="00C95EDE">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Identifikacija prijetnji prvi je korak u izradi Procjene rizika. Pri identifikaciji prijetnji detektirane su one prijetnje koje se javljaju na području Grada Zagreba. Identificirane prijetnje na području Grada Zagreba u skladu su s identificiranim i obrađenim prijetnjama i rizicima iz Procjene rizika od katastrofa za Republiku Hrvatsku te u skladu s donesenim Smjernicama.</w:t>
      </w:r>
    </w:p>
    <w:p w14:paraId="0FC89A3C" w14:textId="699D8D9E" w:rsidR="00221DBD" w:rsidRDefault="00900184" w:rsidP="00C95EDE">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Identifikacija prijetnji prikazana je u Tablici 2</w:t>
      </w:r>
      <w:r w:rsidR="00FB6440">
        <w:rPr>
          <w:rFonts w:ascii="Times New Roman" w:hAnsi="Times New Roman" w:cs="Times New Roman"/>
          <w:sz w:val="24"/>
        </w:rPr>
        <w:t>9</w:t>
      </w:r>
      <w:r w:rsidRPr="005142C4">
        <w:rPr>
          <w:rFonts w:ascii="Times New Roman" w:hAnsi="Times New Roman" w:cs="Times New Roman"/>
          <w:sz w:val="24"/>
        </w:rPr>
        <w:t>., koja ujedno služi kao registar rizika. Identifikacija prijetnji</w:t>
      </w:r>
      <w:r w:rsidR="00C95EDE">
        <w:rPr>
          <w:rFonts w:ascii="Times New Roman" w:hAnsi="Times New Roman" w:cs="Times New Roman"/>
          <w:sz w:val="24"/>
        </w:rPr>
        <w:t xml:space="preserve"> </w:t>
      </w:r>
      <w:r w:rsidR="00EE6A22" w:rsidRPr="005142C4">
        <w:rPr>
          <w:rFonts w:ascii="Times New Roman" w:hAnsi="Times New Roman" w:cs="Times New Roman"/>
          <w:sz w:val="24"/>
        </w:rPr>
        <w:t>-</w:t>
      </w:r>
      <w:r w:rsidR="00C95EDE">
        <w:rPr>
          <w:rFonts w:ascii="Times New Roman" w:hAnsi="Times New Roman" w:cs="Times New Roman"/>
          <w:sz w:val="24"/>
        </w:rPr>
        <w:t xml:space="preserve"> </w:t>
      </w:r>
      <w:r w:rsidRPr="005142C4">
        <w:rPr>
          <w:rFonts w:ascii="Times New Roman" w:hAnsi="Times New Roman" w:cs="Times New Roman"/>
          <w:sz w:val="24"/>
        </w:rPr>
        <w:t xml:space="preserve">registar rizika prethodi izradi scenarija te služi kao alat prilikom odabira rizika koji mogu imati značajne utjecaje na područje Grada Zagreba za koje se izrađuje Procjena rizika. </w:t>
      </w:r>
      <w:bookmarkStart w:id="45" w:name="_Toc2938563"/>
    </w:p>
    <w:p w14:paraId="4EBB17F0" w14:textId="5E22B579" w:rsidR="002E5C9E" w:rsidRDefault="002E5C9E">
      <w:pPr>
        <w:spacing w:after="0" w:line="240" w:lineRule="auto"/>
        <w:ind w:left="0" w:right="0" w:firstLine="709"/>
        <w:rPr>
          <w:rFonts w:ascii="Times New Roman" w:hAnsi="Times New Roman" w:cs="Times New Roman"/>
          <w:sz w:val="24"/>
        </w:rPr>
      </w:pPr>
    </w:p>
    <w:p w14:paraId="1A9A4300" w14:textId="598AC452" w:rsidR="00907E6E" w:rsidRDefault="00900184" w:rsidP="001F7793">
      <w:pPr>
        <w:spacing w:after="0" w:line="240" w:lineRule="auto"/>
        <w:ind w:left="0" w:right="0" w:firstLine="0"/>
        <w:rPr>
          <w:rFonts w:ascii="Times New Roman" w:hAnsi="Times New Roman" w:cs="Times New Roman"/>
          <w:b/>
          <w:sz w:val="24"/>
        </w:rPr>
      </w:pPr>
      <w:r w:rsidRPr="00C95EDE">
        <w:rPr>
          <w:rFonts w:ascii="Times New Roman" w:hAnsi="Times New Roman" w:cs="Times New Roman"/>
          <w:b/>
          <w:sz w:val="24"/>
        </w:rPr>
        <w:t>3.1. Popis identificiranih prijetnji i rizika</w:t>
      </w:r>
      <w:bookmarkEnd w:id="45"/>
    </w:p>
    <w:p w14:paraId="3B9A6950" w14:textId="404A76DF" w:rsidR="002E5C9E" w:rsidRDefault="002E5C9E" w:rsidP="001F7793">
      <w:pPr>
        <w:spacing w:after="0" w:line="240" w:lineRule="auto"/>
        <w:ind w:left="0" w:right="0" w:firstLine="0"/>
        <w:rPr>
          <w:rFonts w:ascii="Times New Roman" w:hAnsi="Times New Roman" w:cs="Times New Roman"/>
          <w:b/>
          <w:sz w:val="24"/>
        </w:rPr>
      </w:pPr>
    </w:p>
    <w:p w14:paraId="03BF26C0" w14:textId="77777777" w:rsidR="00E43F92" w:rsidRPr="00C95EDE" w:rsidRDefault="00E43F92" w:rsidP="001F7793">
      <w:pPr>
        <w:spacing w:after="0" w:line="240" w:lineRule="auto"/>
        <w:ind w:left="0" w:right="0" w:firstLine="0"/>
        <w:rPr>
          <w:rFonts w:ascii="Times New Roman" w:hAnsi="Times New Roman" w:cs="Times New Roman"/>
          <w:b/>
          <w:sz w:val="24"/>
        </w:rPr>
      </w:pPr>
    </w:p>
    <w:p w14:paraId="0C955E5B" w14:textId="056C6B46" w:rsidR="00E43F92" w:rsidRDefault="00900184" w:rsidP="006A431D">
      <w:pPr>
        <w:spacing w:line="240" w:lineRule="auto"/>
        <w:ind w:left="0" w:right="0" w:firstLine="0"/>
        <w:jc w:val="center"/>
        <w:rPr>
          <w:rFonts w:ascii="Times New Roman" w:hAnsi="Times New Roman" w:cs="Times New Roman"/>
          <w:b/>
          <w:sz w:val="24"/>
        </w:rPr>
      </w:pPr>
      <w:bookmarkStart w:id="46" w:name="_Toc2938564"/>
      <w:r w:rsidRPr="0047770A">
        <w:rPr>
          <w:rFonts w:ascii="Times New Roman" w:hAnsi="Times New Roman" w:cs="Times New Roman"/>
          <w:b/>
          <w:sz w:val="24"/>
        </w:rPr>
        <w:t xml:space="preserve">Tablica </w:t>
      </w:r>
      <w:r w:rsidR="00381D97">
        <w:rPr>
          <w:rFonts w:ascii="Times New Roman" w:hAnsi="Times New Roman" w:cs="Times New Roman"/>
          <w:b/>
          <w:sz w:val="24"/>
        </w:rPr>
        <w:t>29</w:t>
      </w:r>
      <w:r w:rsidRPr="0047770A">
        <w:rPr>
          <w:rFonts w:ascii="Times New Roman" w:hAnsi="Times New Roman" w:cs="Times New Roman"/>
          <w:b/>
          <w:sz w:val="24"/>
        </w:rPr>
        <w:t>. Registar rizika</w:t>
      </w:r>
      <w:bookmarkEnd w:id="46"/>
    </w:p>
    <w:tbl>
      <w:tblPr>
        <w:tblStyle w:val="TableGrid"/>
        <w:tblpPr w:leftFromText="181" w:rightFromText="181" w:vertAnchor="text" w:tblpXSpec="center" w:tblpY="1"/>
        <w:tblOverlap w:val="never"/>
        <w:tblW w:w="9072" w:type="dxa"/>
        <w:jc w:val="center"/>
        <w:tblInd w:w="0" w:type="dxa"/>
        <w:tblLayout w:type="fixed"/>
        <w:tblCellMar>
          <w:left w:w="57" w:type="dxa"/>
          <w:bottom w:w="57" w:type="dxa"/>
          <w:right w:w="57" w:type="dxa"/>
        </w:tblCellMar>
        <w:tblLook w:val="04A0" w:firstRow="1" w:lastRow="0" w:firstColumn="1" w:lastColumn="0" w:noHBand="0" w:noVBand="1"/>
      </w:tblPr>
      <w:tblGrid>
        <w:gridCol w:w="541"/>
        <w:gridCol w:w="1155"/>
        <w:gridCol w:w="2065"/>
        <w:gridCol w:w="1945"/>
        <w:gridCol w:w="1960"/>
        <w:gridCol w:w="1406"/>
      </w:tblGrid>
      <w:tr w:rsidR="00C00905" w:rsidRPr="00C00905" w14:paraId="65B02EED" w14:textId="77777777" w:rsidTr="00E43F92">
        <w:trPr>
          <w:cantSplit/>
          <w:tblHeader/>
          <w:jc w:val="center"/>
        </w:trPr>
        <w:tc>
          <w:tcPr>
            <w:tcW w:w="54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2BB1A93" w14:textId="4F50E534" w:rsidR="003F7A56" w:rsidRPr="00C00905" w:rsidRDefault="000C269E" w:rsidP="00AB377C">
            <w:pPr>
              <w:spacing w:after="0" w:line="240" w:lineRule="auto"/>
              <w:ind w:left="0" w:right="0" w:firstLine="0"/>
              <w:jc w:val="center"/>
              <w:rPr>
                <w:rFonts w:ascii="Times New Roman" w:hAnsi="Times New Roman" w:cs="Times New Roman"/>
                <w:sz w:val="20"/>
                <w:szCs w:val="20"/>
              </w:rPr>
            </w:pPr>
            <w:r>
              <w:rPr>
                <w:rFonts w:ascii="Times New Roman" w:hAnsi="Times New Roman" w:cs="Times New Roman"/>
                <w:sz w:val="24"/>
              </w:rPr>
              <w:tab/>
            </w:r>
            <w:r>
              <w:rPr>
                <w:rFonts w:ascii="Times New Roman" w:hAnsi="Times New Roman" w:cs="Times New Roman"/>
                <w:sz w:val="24"/>
              </w:rPr>
              <w:tab/>
            </w:r>
            <w:r w:rsidR="00900184" w:rsidRPr="00C00905">
              <w:rPr>
                <w:rFonts w:ascii="Times New Roman" w:eastAsia="Times New Roman" w:hAnsi="Times New Roman" w:cs="Times New Roman"/>
                <w:b/>
                <w:sz w:val="20"/>
                <w:szCs w:val="20"/>
              </w:rPr>
              <w:t>Red. broj</w:t>
            </w:r>
          </w:p>
        </w:tc>
        <w:tc>
          <w:tcPr>
            <w:tcW w:w="1155"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EF71FC4" w14:textId="77777777" w:rsidR="003F7A56" w:rsidRPr="00C00905" w:rsidRDefault="00900184" w:rsidP="00AB377C">
            <w:pPr>
              <w:spacing w:after="0" w:line="240" w:lineRule="auto"/>
              <w:ind w:left="0" w:right="0" w:firstLine="0"/>
              <w:jc w:val="center"/>
              <w:rPr>
                <w:rFonts w:ascii="Times New Roman" w:hAnsi="Times New Roman" w:cs="Times New Roman"/>
                <w:sz w:val="20"/>
                <w:szCs w:val="20"/>
              </w:rPr>
            </w:pPr>
            <w:r w:rsidRPr="00C00905">
              <w:rPr>
                <w:rFonts w:ascii="Times New Roman" w:eastAsia="Times New Roman" w:hAnsi="Times New Roman" w:cs="Times New Roman"/>
                <w:b/>
                <w:sz w:val="20"/>
                <w:szCs w:val="20"/>
              </w:rPr>
              <w:t>Prijetnja</w:t>
            </w:r>
          </w:p>
        </w:tc>
        <w:tc>
          <w:tcPr>
            <w:tcW w:w="2065"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98A7C0B" w14:textId="77777777" w:rsidR="003F7A56" w:rsidRPr="00C00905" w:rsidRDefault="00900184" w:rsidP="00AB377C">
            <w:pPr>
              <w:spacing w:after="0" w:line="240" w:lineRule="auto"/>
              <w:ind w:left="0" w:right="0" w:firstLine="0"/>
              <w:jc w:val="center"/>
              <w:rPr>
                <w:rFonts w:ascii="Times New Roman" w:hAnsi="Times New Roman" w:cs="Times New Roman"/>
                <w:sz w:val="20"/>
                <w:szCs w:val="20"/>
              </w:rPr>
            </w:pPr>
            <w:r w:rsidRPr="00C00905">
              <w:rPr>
                <w:rFonts w:ascii="Times New Roman" w:eastAsia="Times New Roman" w:hAnsi="Times New Roman" w:cs="Times New Roman"/>
                <w:b/>
                <w:sz w:val="20"/>
                <w:szCs w:val="20"/>
              </w:rPr>
              <w:t>Kratki opis scenarija</w:t>
            </w:r>
          </w:p>
        </w:tc>
        <w:tc>
          <w:tcPr>
            <w:tcW w:w="1945"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0C59AAB" w14:textId="77777777" w:rsidR="003F7A56" w:rsidRPr="00C00905" w:rsidRDefault="00900184" w:rsidP="00AB377C">
            <w:pPr>
              <w:spacing w:after="0" w:line="240" w:lineRule="auto"/>
              <w:ind w:left="0" w:right="0" w:firstLine="0"/>
              <w:jc w:val="center"/>
              <w:rPr>
                <w:rFonts w:ascii="Times New Roman" w:hAnsi="Times New Roman" w:cs="Times New Roman"/>
                <w:sz w:val="20"/>
                <w:szCs w:val="20"/>
              </w:rPr>
            </w:pPr>
            <w:r w:rsidRPr="00C00905">
              <w:rPr>
                <w:rFonts w:ascii="Times New Roman" w:eastAsia="Times New Roman" w:hAnsi="Times New Roman" w:cs="Times New Roman"/>
                <w:b/>
                <w:sz w:val="20"/>
                <w:szCs w:val="20"/>
              </w:rPr>
              <w:t>Utjecaj na društvene vrijednosti</w:t>
            </w:r>
          </w:p>
        </w:tc>
        <w:tc>
          <w:tcPr>
            <w:tcW w:w="196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7CB88CF" w14:textId="77777777" w:rsidR="003F7A56" w:rsidRPr="00C00905" w:rsidRDefault="00900184" w:rsidP="00AB377C">
            <w:pPr>
              <w:spacing w:after="0" w:line="240" w:lineRule="auto"/>
              <w:ind w:left="0" w:right="0" w:firstLine="0"/>
              <w:jc w:val="center"/>
              <w:rPr>
                <w:rFonts w:ascii="Times New Roman" w:hAnsi="Times New Roman" w:cs="Times New Roman"/>
                <w:sz w:val="20"/>
                <w:szCs w:val="20"/>
              </w:rPr>
            </w:pPr>
            <w:r w:rsidRPr="00C00905">
              <w:rPr>
                <w:rFonts w:ascii="Times New Roman" w:eastAsia="Times New Roman" w:hAnsi="Times New Roman" w:cs="Times New Roman"/>
                <w:b/>
                <w:sz w:val="20"/>
                <w:szCs w:val="20"/>
              </w:rPr>
              <w:t>Preventivne mjere</w:t>
            </w:r>
          </w:p>
        </w:tc>
        <w:tc>
          <w:tcPr>
            <w:tcW w:w="140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64C3C3F" w14:textId="77777777" w:rsidR="003F7A56" w:rsidRPr="00C00905" w:rsidRDefault="00900184" w:rsidP="00AB377C">
            <w:pPr>
              <w:spacing w:after="0" w:line="240" w:lineRule="auto"/>
              <w:ind w:left="0" w:right="0" w:firstLine="0"/>
              <w:jc w:val="center"/>
              <w:rPr>
                <w:rFonts w:ascii="Times New Roman" w:hAnsi="Times New Roman" w:cs="Times New Roman"/>
                <w:sz w:val="20"/>
                <w:szCs w:val="20"/>
              </w:rPr>
            </w:pPr>
            <w:r w:rsidRPr="00C00905">
              <w:rPr>
                <w:rFonts w:ascii="Times New Roman" w:eastAsia="Times New Roman" w:hAnsi="Times New Roman" w:cs="Times New Roman"/>
                <w:b/>
                <w:sz w:val="20"/>
                <w:szCs w:val="20"/>
              </w:rPr>
              <w:t>Mjere odgovora</w:t>
            </w:r>
          </w:p>
        </w:tc>
      </w:tr>
      <w:tr w:rsidR="00C00905" w:rsidRPr="00C00905" w14:paraId="5A561F22" w14:textId="77777777" w:rsidTr="00E43F92">
        <w:trPr>
          <w:cantSplit/>
          <w:tblHeader/>
          <w:jc w:val="center"/>
        </w:trPr>
        <w:tc>
          <w:tcPr>
            <w:tcW w:w="541" w:type="dxa"/>
            <w:tcBorders>
              <w:top w:val="single" w:sz="4" w:space="0" w:color="000000"/>
              <w:left w:val="single" w:sz="4" w:space="0" w:color="000000"/>
              <w:bottom w:val="single" w:sz="4" w:space="0" w:color="000000"/>
              <w:right w:val="single" w:sz="4" w:space="0" w:color="000000"/>
            </w:tcBorders>
          </w:tcPr>
          <w:p w14:paraId="3305259F" w14:textId="77777777" w:rsidR="003F7A56" w:rsidRPr="00C00905" w:rsidRDefault="00900184" w:rsidP="00AB377C">
            <w:pPr>
              <w:spacing w:after="0" w:line="240" w:lineRule="auto"/>
              <w:ind w:left="0" w:right="0" w:firstLine="0"/>
              <w:jc w:val="center"/>
              <w:rPr>
                <w:rFonts w:ascii="Times New Roman" w:hAnsi="Times New Roman" w:cs="Times New Roman"/>
                <w:sz w:val="20"/>
                <w:szCs w:val="20"/>
              </w:rPr>
            </w:pPr>
            <w:r w:rsidRPr="00C00905">
              <w:rPr>
                <w:rFonts w:ascii="Times New Roman" w:eastAsia="Times New Roman" w:hAnsi="Times New Roman" w:cs="Times New Roman"/>
                <w:sz w:val="20"/>
                <w:szCs w:val="20"/>
              </w:rPr>
              <w:t>1.</w:t>
            </w:r>
          </w:p>
        </w:tc>
        <w:tc>
          <w:tcPr>
            <w:tcW w:w="1155" w:type="dxa"/>
            <w:tcBorders>
              <w:top w:val="single" w:sz="4" w:space="0" w:color="000000"/>
              <w:left w:val="single" w:sz="4" w:space="0" w:color="000000"/>
              <w:bottom w:val="single" w:sz="4" w:space="0" w:color="000000"/>
              <w:right w:val="single" w:sz="4" w:space="0" w:color="000000"/>
            </w:tcBorders>
          </w:tcPr>
          <w:p w14:paraId="67811156" w14:textId="77777777" w:rsidR="003F7A56" w:rsidRPr="00C00905" w:rsidRDefault="00900184" w:rsidP="00AB377C">
            <w:pPr>
              <w:spacing w:after="0" w:line="240" w:lineRule="auto"/>
              <w:ind w:left="0" w:right="0" w:firstLine="0"/>
              <w:jc w:val="left"/>
              <w:rPr>
                <w:rFonts w:ascii="Times New Roman" w:hAnsi="Times New Roman" w:cs="Times New Roman"/>
                <w:sz w:val="20"/>
                <w:szCs w:val="20"/>
              </w:rPr>
            </w:pPr>
            <w:r w:rsidRPr="00C00905">
              <w:rPr>
                <w:rFonts w:ascii="Times New Roman" w:eastAsia="Times New Roman" w:hAnsi="Times New Roman" w:cs="Times New Roman"/>
                <w:sz w:val="20"/>
                <w:szCs w:val="20"/>
              </w:rPr>
              <w:t>Potres</w:t>
            </w:r>
          </w:p>
        </w:tc>
        <w:tc>
          <w:tcPr>
            <w:tcW w:w="2065" w:type="dxa"/>
            <w:tcBorders>
              <w:top w:val="single" w:sz="4" w:space="0" w:color="000000"/>
              <w:left w:val="single" w:sz="4" w:space="0" w:color="000000"/>
              <w:bottom w:val="single" w:sz="4" w:space="0" w:color="000000"/>
              <w:right w:val="single" w:sz="4" w:space="0" w:color="000000"/>
            </w:tcBorders>
          </w:tcPr>
          <w:p w14:paraId="5D830282" w14:textId="77777777" w:rsidR="003F7A56" w:rsidRPr="00C00905" w:rsidRDefault="00900184" w:rsidP="00AB377C">
            <w:pPr>
              <w:spacing w:after="0" w:line="240" w:lineRule="auto"/>
              <w:ind w:left="0" w:right="0" w:firstLine="0"/>
              <w:jc w:val="left"/>
              <w:rPr>
                <w:rFonts w:ascii="Times New Roman" w:hAnsi="Times New Roman" w:cs="Times New Roman"/>
                <w:sz w:val="20"/>
                <w:szCs w:val="20"/>
              </w:rPr>
            </w:pPr>
            <w:r w:rsidRPr="00C00905">
              <w:rPr>
                <w:rFonts w:ascii="Times New Roman" w:eastAsia="Times New Roman" w:hAnsi="Times New Roman" w:cs="Times New Roman"/>
                <w:sz w:val="20"/>
                <w:szCs w:val="20"/>
              </w:rPr>
              <w:t>Moguće katastrofalne posljedice</w:t>
            </w:r>
            <w:r w:rsidR="00924FB7">
              <w:rPr>
                <w:rFonts w:ascii="Times New Roman" w:eastAsia="Times New Roman" w:hAnsi="Times New Roman" w:cs="Times New Roman"/>
                <w:sz w:val="20"/>
                <w:szCs w:val="20"/>
              </w:rPr>
              <w:t>,</w:t>
            </w:r>
            <w:r w:rsidRPr="00C00905">
              <w:rPr>
                <w:rFonts w:ascii="Times New Roman" w:eastAsia="Times New Roman" w:hAnsi="Times New Roman" w:cs="Times New Roman"/>
                <w:sz w:val="20"/>
                <w:szCs w:val="20"/>
              </w:rPr>
              <w:t xml:space="preserve"> i to: veliki postotak oštećenosti stambenih</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građevina, industrijske i</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komunalne infrastrukture, problemi u komunikaciji i državnoj administraciji,</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neprotočne prometnice,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određen broj povrijeđenih i poginulih, šteta na</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materijalnim i kulturnim dobrima te okolišu,</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nedovoljni kapaciteti za</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zbrinjavanje ozlijeđenih i</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evakuiranih itd. te sekundarne katastrofalne opasnosti i posljedice.</w:t>
            </w:r>
          </w:p>
        </w:tc>
        <w:tc>
          <w:tcPr>
            <w:tcW w:w="1945" w:type="dxa"/>
            <w:tcBorders>
              <w:top w:val="single" w:sz="4" w:space="0" w:color="000000"/>
              <w:left w:val="single" w:sz="4" w:space="0" w:color="000000"/>
              <w:bottom w:val="single" w:sz="4" w:space="0" w:color="000000"/>
              <w:right w:val="single" w:sz="4" w:space="0" w:color="000000"/>
            </w:tcBorders>
          </w:tcPr>
          <w:p w14:paraId="06040F25" w14:textId="77777777" w:rsidR="003F7A56" w:rsidRPr="00C00905" w:rsidRDefault="00924FB7" w:rsidP="00AB377C">
            <w:pPr>
              <w:spacing w:after="0" w:line="240" w:lineRule="auto"/>
              <w:ind w:left="0" w:right="0" w:firstLine="0"/>
              <w:jc w:val="left"/>
              <w:rPr>
                <w:rFonts w:ascii="Times New Roman" w:hAnsi="Times New Roman" w:cs="Times New Roman"/>
                <w:sz w:val="20"/>
                <w:szCs w:val="20"/>
              </w:rPr>
            </w:pPr>
            <w:r>
              <w:rPr>
                <w:rFonts w:ascii="Times New Roman" w:eastAsia="Times New Roman" w:hAnsi="Times New Roman" w:cs="Times New Roman"/>
                <w:sz w:val="20"/>
                <w:szCs w:val="20"/>
              </w:rPr>
              <w:t>S o</w:t>
            </w:r>
            <w:r w:rsidR="00900184" w:rsidRPr="00C00905">
              <w:rPr>
                <w:rFonts w:ascii="Times New Roman" w:eastAsia="Times New Roman" w:hAnsi="Times New Roman" w:cs="Times New Roman"/>
                <w:sz w:val="20"/>
                <w:szCs w:val="20"/>
              </w:rPr>
              <w:t>bzirom na koncentraciju građevina od javnog i</w:t>
            </w:r>
            <w:r w:rsidR="00C00905">
              <w:rPr>
                <w:rFonts w:ascii="Times New Roman" w:eastAsia="Times New Roman" w:hAnsi="Times New Roman" w:cs="Times New Roman"/>
                <w:sz w:val="20"/>
                <w:szCs w:val="20"/>
              </w:rPr>
              <w:t xml:space="preserve"> </w:t>
            </w:r>
            <w:r w:rsidR="00900184" w:rsidRPr="00C00905">
              <w:rPr>
                <w:rFonts w:ascii="Times New Roman" w:eastAsia="Times New Roman" w:hAnsi="Times New Roman" w:cs="Times New Roman"/>
                <w:sz w:val="20"/>
                <w:szCs w:val="20"/>
              </w:rPr>
              <w:t>društvenog znač</w:t>
            </w:r>
            <w:r>
              <w:rPr>
                <w:rFonts w:ascii="Times New Roman" w:eastAsia="Times New Roman" w:hAnsi="Times New Roman" w:cs="Times New Roman"/>
                <w:sz w:val="20"/>
                <w:szCs w:val="20"/>
              </w:rPr>
              <w:t>en</w:t>
            </w:r>
            <w:r w:rsidR="00900184" w:rsidRPr="00C00905">
              <w:rPr>
                <w:rFonts w:ascii="Times New Roman" w:eastAsia="Times New Roman" w:hAnsi="Times New Roman" w:cs="Times New Roman"/>
                <w:sz w:val="20"/>
                <w:szCs w:val="20"/>
              </w:rPr>
              <w:t>ja koje su</w:t>
            </w:r>
            <w:r w:rsidR="00C00905">
              <w:rPr>
                <w:rFonts w:ascii="Times New Roman" w:eastAsia="Times New Roman" w:hAnsi="Times New Roman" w:cs="Times New Roman"/>
                <w:sz w:val="20"/>
                <w:szCs w:val="20"/>
              </w:rPr>
              <w:t xml:space="preserve"> </w:t>
            </w:r>
            <w:r w:rsidR="00900184" w:rsidRPr="00C00905">
              <w:rPr>
                <w:rFonts w:ascii="Times New Roman" w:eastAsia="Times New Roman" w:hAnsi="Times New Roman" w:cs="Times New Roman"/>
                <w:sz w:val="20"/>
                <w:szCs w:val="20"/>
              </w:rPr>
              <w:t>uglavnom izgrađene prije prvih propisa za</w:t>
            </w:r>
            <w:r w:rsidR="00C00905">
              <w:rPr>
                <w:rFonts w:ascii="Times New Roman" w:eastAsia="Times New Roman" w:hAnsi="Times New Roman" w:cs="Times New Roman"/>
                <w:sz w:val="20"/>
                <w:szCs w:val="20"/>
              </w:rPr>
              <w:t xml:space="preserve"> </w:t>
            </w:r>
            <w:r w:rsidR="00900184" w:rsidRPr="00C00905">
              <w:rPr>
                <w:rFonts w:ascii="Times New Roman" w:eastAsia="Times New Roman" w:hAnsi="Times New Roman" w:cs="Times New Roman"/>
                <w:sz w:val="20"/>
                <w:szCs w:val="20"/>
              </w:rPr>
              <w:t>projektiranje potresno</w:t>
            </w:r>
            <w:r w:rsidR="00C00905">
              <w:rPr>
                <w:rFonts w:ascii="Times New Roman" w:eastAsia="Times New Roman" w:hAnsi="Times New Roman" w:cs="Times New Roman"/>
                <w:sz w:val="20"/>
                <w:szCs w:val="20"/>
              </w:rPr>
              <w:t xml:space="preserve"> </w:t>
            </w:r>
            <w:r w:rsidR="00900184" w:rsidRPr="00C00905">
              <w:rPr>
                <w:rFonts w:ascii="Times New Roman" w:eastAsia="Times New Roman" w:hAnsi="Times New Roman" w:cs="Times New Roman"/>
                <w:sz w:val="20"/>
                <w:szCs w:val="20"/>
              </w:rPr>
              <w:t>otpornih zgrada, što ih svrstava u značajno</w:t>
            </w:r>
            <w:r w:rsidR="00C00905">
              <w:rPr>
                <w:rFonts w:ascii="Times New Roman" w:eastAsia="Times New Roman" w:hAnsi="Times New Roman" w:cs="Times New Roman"/>
                <w:sz w:val="20"/>
                <w:szCs w:val="20"/>
              </w:rPr>
              <w:t xml:space="preserve"> </w:t>
            </w:r>
            <w:r w:rsidR="00900184" w:rsidRPr="00C00905">
              <w:rPr>
                <w:rFonts w:ascii="Times New Roman" w:eastAsia="Times New Roman" w:hAnsi="Times New Roman" w:cs="Times New Roman"/>
                <w:sz w:val="20"/>
                <w:szCs w:val="20"/>
              </w:rPr>
              <w:t>ugrožene, posljedice se mogu procijeniti kao katastrofalne.</w:t>
            </w:r>
          </w:p>
        </w:tc>
        <w:tc>
          <w:tcPr>
            <w:tcW w:w="1960" w:type="dxa"/>
            <w:tcBorders>
              <w:top w:val="single" w:sz="4" w:space="0" w:color="000000"/>
              <w:left w:val="single" w:sz="4" w:space="0" w:color="000000"/>
              <w:bottom w:val="single" w:sz="4" w:space="0" w:color="000000"/>
              <w:right w:val="single" w:sz="4" w:space="0" w:color="000000"/>
            </w:tcBorders>
          </w:tcPr>
          <w:p w14:paraId="29C16F46" w14:textId="77777777" w:rsidR="003F7A56" w:rsidRDefault="00900184" w:rsidP="00AB377C">
            <w:pPr>
              <w:spacing w:after="0" w:line="240" w:lineRule="auto"/>
              <w:ind w:left="0" w:right="0" w:firstLine="0"/>
              <w:jc w:val="left"/>
              <w:rPr>
                <w:rFonts w:ascii="Times New Roman" w:eastAsia="Times New Roman" w:hAnsi="Times New Roman" w:cs="Times New Roman"/>
                <w:sz w:val="20"/>
                <w:szCs w:val="20"/>
              </w:rPr>
            </w:pPr>
            <w:r w:rsidRPr="00C00905">
              <w:rPr>
                <w:rFonts w:ascii="Times New Roman" w:eastAsia="Times New Roman" w:hAnsi="Times New Roman" w:cs="Times New Roman"/>
                <w:sz w:val="20"/>
                <w:szCs w:val="20"/>
              </w:rPr>
              <w:t>Protupotresno projektiranje i</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gra</w:t>
            </w:r>
            <w:r w:rsidR="00924FB7">
              <w:rPr>
                <w:rFonts w:ascii="Times New Roman" w:eastAsia="Times New Roman" w:hAnsi="Times New Roman" w:cs="Times New Roman"/>
                <w:sz w:val="20"/>
                <w:szCs w:val="20"/>
              </w:rPr>
              <w:t>dnja</w:t>
            </w:r>
            <w:r w:rsidRPr="00C00905">
              <w:rPr>
                <w:rFonts w:ascii="Times New Roman" w:eastAsia="Times New Roman" w:hAnsi="Times New Roman" w:cs="Times New Roman"/>
                <w:sz w:val="20"/>
                <w:szCs w:val="20"/>
              </w:rPr>
              <w:t xml:space="preserve"> građevina sukladno</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odgovarajućim</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tehničkim propisima i hrvatskim/europskim normama.</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Izgradnja sustava ranog upozoravanja.</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Edukacija i osposobljavanje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operativnih snaga</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sustava civilne zaštite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Grada Zagreba</w:t>
            </w:r>
          </w:p>
          <w:p w14:paraId="4F6F0BD8" w14:textId="77777777" w:rsidR="00567933" w:rsidRDefault="00567933" w:rsidP="00AB377C">
            <w:pPr>
              <w:spacing w:after="0" w:line="240" w:lineRule="auto"/>
              <w:ind w:left="0" w:right="0" w:firstLine="0"/>
              <w:jc w:val="left"/>
              <w:rPr>
                <w:rFonts w:ascii="Times New Roman" w:eastAsia="Times New Roman" w:hAnsi="Times New Roman" w:cs="Times New Roman"/>
                <w:sz w:val="20"/>
                <w:szCs w:val="20"/>
              </w:rPr>
            </w:pPr>
          </w:p>
          <w:p w14:paraId="64C5B0B7" w14:textId="0ABE0B83" w:rsidR="00567933" w:rsidRPr="00C00905" w:rsidRDefault="00567933" w:rsidP="00AB377C">
            <w:pPr>
              <w:spacing w:after="0" w:line="240" w:lineRule="auto"/>
              <w:ind w:left="0" w:right="0" w:firstLine="0"/>
              <w:jc w:val="left"/>
              <w:rPr>
                <w:rFonts w:ascii="Times New Roman" w:hAnsi="Times New Roman" w:cs="Times New Roman"/>
                <w:sz w:val="20"/>
                <w:szCs w:val="20"/>
              </w:rPr>
            </w:pPr>
            <w:r>
              <w:rPr>
                <w:rFonts w:ascii="Times New Roman" w:eastAsia="Times New Roman" w:hAnsi="Times New Roman" w:cs="Times New Roman"/>
                <w:sz w:val="20"/>
                <w:szCs w:val="20"/>
              </w:rPr>
              <w:t>Podizanje svijesti javnosti</w:t>
            </w:r>
          </w:p>
        </w:tc>
        <w:tc>
          <w:tcPr>
            <w:tcW w:w="1406" w:type="dxa"/>
            <w:tcBorders>
              <w:top w:val="single" w:sz="4" w:space="0" w:color="000000"/>
              <w:left w:val="single" w:sz="4" w:space="0" w:color="000000"/>
              <w:bottom w:val="single" w:sz="4" w:space="0" w:color="000000"/>
              <w:right w:val="single" w:sz="4" w:space="0" w:color="000000"/>
            </w:tcBorders>
          </w:tcPr>
          <w:p w14:paraId="0F19581E" w14:textId="77777777" w:rsidR="003F7A56" w:rsidRPr="00C00905" w:rsidRDefault="00900184" w:rsidP="00AB377C">
            <w:pPr>
              <w:spacing w:after="0" w:line="240" w:lineRule="auto"/>
              <w:ind w:left="0" w:right="0" w:firstLine="0"/>
              <w:jc w:val="left"/>
              <w:rPr>
                <w:rFonts w:ascii="Times New Roman" w:hAnsi="Times New Roman" w:cs="Times New Roman"/>
                <w:sz w:val="20"/>
                <w:szCs w:val="20"/>
              </w:rPr>
            </w:pPr>
            <w:r w:rsidRPr="00C00905">
              <w:rPr>
                <w:rFonts w:ascii="Times New Roman" w:eastAsia="Times New Roman" w:hAnsi="Times New Roman" w:cs="Times New Roman"/>
                <w:sz w:val="20"/>
                <w:szCs w:val="20"/>
              </w:rPr>
              <w:t>Uzbunjivanje i obavješćivanje, evakuacija,</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zbrinjavanje, sklanjanje,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spašavanje,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pružanje prve pomoći.</w:t>
            </w:r>
          </w:p>
        </w:tc>
      </w:tr>
    </w:tbl>
    <w:p w14:paraId="6AC5C604" w14:textId="77777777" w:rsidR="00E43F92" w:rsidRDefault="00E43F92"/>
    <w:tbl>
      <w:tblPr>
        <w:tblStyle w:val="TableGrid"/>
        <w:tblpPr w:leftFromText="181" w:rightFromText="181" w:vertAnchor="text" w:tblpXSpec="center" w:tblpY="1"/>
        <w:tblOverlap w:val="never"/>
        <w:tblW w:w="9064" w:type="dxa"/>
        <w:jc w:val="center"/>
        <w:tblInd w:w="0" w:type="dxa"/>
        <w:tblLayout w:type="fixed"/>
        <w:tblCellMar>
          <w:left w:w="57" w:type="dxa"/>
          <w:bottom w:w="57" w:type="dxa"/>
          <w:right w:w="57" w:type="dxa"/>
        </w:tblCellMar>
        <w:tblLook w:val="04A0" w:firstRow="1" w:lastRow="0" w:firstColumn="1" w:lastColumn="0" w:noHBand="0" w:noVBand="1"/>
      </w:tblPr>
      <w:tblGrid>
        <w:gridCol w:w="541"/>
        <w:gridCol w:w="1155"/>
        <w:gridCol w:w="2065"/>
        <w:gridCol w:w="1945"/>
        <w:gridCol w:w="1960"/>
        <w:gridCol w:w="1398"/>
      </w:tblGrid>
      <w:tr w:rsidR="00C00905" w:rsidRPr="00C00905" w14:paraId="6EE5F4D0" w14:textId="77777777" w:rsidTr="00E43F92">
        <w:trPr>
          <w:cantSplit/>
          <w:tblHeader/>
          <w:jc w:val="center"/>
        </w:trPr>
        <w:tc>
          <w:tcPr>
            <w:tcW w:w="541" w:type="dxa"/>
            <w:tcBorders>
              <w:top w:val="single" w:sz="4" w:space="0" w:color="000000"/>
              <w:left w:val="single" w:sz="4" w:space="0" w:color="000000"/>
              <w:bottom w:val="single" w:sz="4" w:space="0" w:color="000000"/>
              <w:right w:val="single" w:sz="4" w:space="0" w:color="000000"/>
            </w:tcBorders>
          </w:tcPr>
          <w:p w14:paraId="34F549F2" w14:textId="77777777" w:rsidR="003F7A56" w:rsidRPr="00C00905" w:rsidRDefault="00900184" w:rsidP="00AB377C">
            <w:pPr>
              <w:spacing w:after="0" w:line="240" w:lineRule="auto"/>
              <w:ind w:left="0" w:right="0" w:firstLine="0"/>
              <w:jc w:val="center"/>
              <w:rPr>
                <w:rFonts w:ascii="Times New Roman" w:hAnsi="Times New Roman" w:cs="Times New Roman"/>
                <w:sz w:val="20"/>
                <w:szCs w:val="20"/>
              </w:rPr>
            </w:pPr>
            <w:r w:rsidRPr="00C00905">
              <w:rPr>
                <w:rFonts w:ascii="Times New Roman" w:eastAsia="Times New Roman" w:hAnsi="Times New Roman" w:cs="Times New Roman"/>
                <w:sz w:val="20"/>
                <w:szCs w:val="20"/>
              </w:rPr>
              <w:lastRenderedPageBreak/>
              <w:t>2.</w:t>
            </w:r>
          </w:p>
        </w:tc>
        <w:tc>
          <w:tcPr>
            <w:tcW w:w="1155" w:type="dxa"/>
            <w:tcBorders>
              <w:top w:val="single" w:sz="4" w:space="0" w:color="000000"/>
              <w:left w:val="single" w:sz="4" w:space="0" w:color="000000"/>
              <w:bottom w:val="single" w:sz="4" w:space="0" w:color="000000"/>
              <w:right w:val="single" w:sz="4" w:space="0" w:color="000000"/>
            </w:tcBorders>
          </w:tcPr>
          <w:p w14:paraId="4122A6A6" w14:textId="77777777" w:rsidR="003F7A56" w:rsidRPr="00C00905" w:rsidRDefault="00900184" w:rsidP="00AB377C">
            <w:pPr>
              <w:spacing w:after="0" w:line="240" w:lineRule="auto"/>
              <w:ind w:left="0" w:right="0" w:firstLine="0"/>
              <w:jc w:val="left"/>
              <w:rPr>
                <w:rFonts w:ascii="Times New Roman" w:hAnsi="Times New Roman" w:cs="Times New Roman"/>
                <w:sz w:val="20"/>
                <w:szCs w:val="20"/>
              </w:rPr>
            </w:pPr>
            <w:r w:rsidRPr="00C00905">
              <w:rPr>
                <w:rFonts w:ascii="Times New Roman" w:eastAsia="Times New Roman" w:hAnsi="Times New Roman" w:cs="Times New Roman"/>
                <w:sz w:val="20"/>
                <w:szCs w:val="20"/>
              </w:rPr>
              <w:t>Poplava</w:t>
            </w:r>
          </w:p>
        </w:tc>
        <w:tc>
          <w:tcPr>
            <w:tcW w:w="2065" w:type="dxa"/>
            <w:tcBorders>
              <w:top w:val="single" w:sz="4" w:space="0" w:color="000000"/>
              <w:left w:val="single" w:sz="4" w:space="0" w:color="000000"/>
              <w:bottom w:val="single" w:sz="4" w:space="0" w:color="000000"/>
              <w:right w:val="single" w:sz="4" w:space="0" w:color="000000"/>
            </w:tcBorders>
          </w:tcPr>
          <w:p w14:paraId="6960110F" w14:textId="77777777" w:rsidR="003F7A56" w:rsidRPr="00C00905" w:rsidRDefault="00924FB7" w:rsidP="00AB377C">
            <w:pPr>
              <w:spacing w:after="0" w:line="240" w:lineRule="auto"/>
              <w:ind w:left="0" w:right="0" w:firstLine="0"/>
              <w:jc w:val="left"/>
              <w:rPr>
                <w:rFonts w:ascii="Times New Roman" w:hAnsi="Times New Roman" w:cs="Times New Roman"/>
                <w:sz w:val="20"/>
                <w:szCs w:val="20"/>
              </w:rPr>
            </w:pPr>
            <w:r>
              <w:rPr>
                <w:rFonts w:ascii="Times New Roman" w:eastAsia="Times New Roman" w:hAnsi="Times New Roman" w:cs="Times New Roman"/>
                <w:sz w:val="20"/>
                <w:szCs w:val="20"/>
              </w:rPr>
              <w:t xml:space="preserve">Zbog </w:t>
            </w:r>
            <w:r w:rsidR="00900184" w:rsidRPr="00C00905">
              <w:rPr>
                <w:rFonts w:ascii="Times New Roman" w:eastAsia="Times New Roman" w:hAnsi="Times New Roman" w:cs="Times New Roman"/>
                <w:sz w:val="20"/>
                <w:szCs w:val="20"/>
              </w:rPr>
              <w:t>pucanja Savskog nasipa</w:t>
            </w:r>
            <w:r w:rsidR="00E40AC8" w:rsidRPr="00C00905">
              <w:rPr>
                <w:rFonts w:ascii="Times New Roman" w:eastAsia="Times New Roman" w:hAnsi="Times New Roman" w:cs="Times New Roman"/>
                <w:sz w:val="20"/>
                <w:szCs w:val="20"/>
              </w:rPr>
              <w:t xml:space="preserve"> </w:t>
            </w:r>
            <w:r w:rsidR="00900184" w:rsidRPr="00C00905">
              <w:rPr>
                <w:rFonts w:ascii="Times New Roman" w:eastAsia="Times New Roman" w:hAnsi="Times New Roman" w:cs="Times New Roman"/>
                <w:sz w:val="20"/>
                <w:szCs w:val="20"/>
              </w:rPr>
              <w:t>moguća je ugroza građevina kritične</w:t>
            </w:r>
            <w:r w:rsidR="00C00905">
              <w:rPr>
                <w:rFonts w:ascii="Times New Roman" w:eastAsia="Times New Roman" w:hAnsi="Times New Roman" w:cs="Times New Roman"/>
                <w:sz w:val="20"/>
                <w:szCs w:val="20"/>
              </w:rPr>
              <w:t xml:space="preserve"> </w:t>
            </w:r>
            <w:r w:rsidR="00900184" w:rsidRPr="00C00905">
              <w:rPr>
                <w:rFonts w:ascii="Times New Roman" w:eastAsia="Times New Roman" w:hAnsi="Times New Roman" w:cs="Times New Roman"/>
                <w:sz w:val="20"/>
                <w:szCs w:val="20"/>
              </w:rPr>
              <w:t>infrastrukture i brojne potencijalne opasnosti i</w:t>
            </w:r>
            <w:r w:rsidR="00C00905">
              <w:rPr>
                <w:rFonts w:ascii="Times New Roman" w:eastAsia="Times New Roman" w:hAnsi="Times New Roman" w:cs="Times New Roman"/>
                <w:sz w:val="20"/>
                <w:szCs w:val="20"/>
              </w:rPr>
              <w:t xml:space="preserve"> </w:t>
            </w:r>
            <w:r w:rsidR="00900184" w:rsidRPr="00C00905">
              <w:rPr>
                <w:rFonts w:ascii="Times New Roman" w:eastAsia="Times New Roman" w:hAnsi="Times New Roman" w:cs="Times New Roman"/>
                <w:sz w:val="20"/>
                <w:szCs w:val="20"/>
              </w:rPr>
              <w:t>posljedice po stanovništvo,</w:t>
            </w:r>
            <w:r w:rsidR="00C00905">
              <w:rPr>
                <w:rFonts w:ascii="Times New Roman" w:eastAsia="Times New Roman" w:hAnsi="Times New Roman" w:cs="Times New Roman"/>
                <w:sz w:val="20"/>
                <w:szCs w:val="20"/>
              </w:rPr>
              <w:t xml:space="preserve"> </w:t>
            </w:r>
            <w:r w:rsidR="00900184" w:rsidRPr="00C00905">
              <w:rPr>
                <w:rFonts w:ascii="Times New Roman" w:eastAsia="Times New Roman" w:hAnsi="Times New Roman" w:cs="Times New Roman"/>
                <w:sz w:val="20"/>
                <w:szCs w:val="20"/>
              </w:rPr>
              <w:t>materijalna i kulturna dobra te okoliš</w:t>
            </w:r>
            <w:r w:rsidR="00E40AC8" w:rsidRPr="00C00905">
              <w:rPr>
                <w:rFonts w:ascii="Times New Roman" w:eastAsia="Times New Roman" w:hAnsi="Times New Roman" w:cs="Times New Roman"/>
                <w:sz w:val="20"/>
                <w:szCs w:val="20"/>
              </w:rPr>
              <w:t xml:space="preserve"> </w:t>
            </w:r>
            <w:r w:rsidR="00900184" w:rsidRPr="00C00905">
              <w:rPr>
                <w:rFonts w:ascii="Times New Roman" w:eastAsia="Times New Roman" w:hAnsi="Times New Roman" w:cs="Times New Roman"/>
                <w:sz w:val="20"/>
                <w:szCs w:val="20"/>
              </w:rPr>
              <w:t>na području Grada Zagreba.</w:t>
            </w:r>
          </w:p>
        </w:tc>
        <w:tc>
          <w:tcPr>
            <w:tcW w:w="1945" w:type="dxa"/>
            <w:tcBorders>
              <w:top w:val="single" w:sz="4" w:space="0" w:color="000000"/>
              <w:left w:val="single" w:sz="4" w:space="0" w:color="000000"/>
              <w:bottom w:val="single" w:sz="4" w:space="0" w:color="000000"/>
              <w:right w:val="single" w:sz="4" w:space="0" w:color="000000"/>
            </w:tcBorders>
          </w:tcPr>
          <w:p w14:paraId="257B55BA" w14:textId="77777777" w:rsidR="003F7A56" w:rsidRPr="00C00905" w:rsidRDefault="00900184" w:rsidP="00AB377C">
            <w:pPr>
              <w:spacing w:after="0" w:line="240" w:lineRule="auto"/>
              <w:ind w:left="0" w:right="0" w:firstLine="0"/>
              <w:jc w:val="left"/>
              <w:rPr>
                <w:rFonts w:ascii="Times New Roman" w:hAnsi="Times New Roman" w:cs="Times New Roman"/>
                <w:sz w:val="20"/>
                <w:szCs w:val="20"/>
              </w:rPr>
            </w:pPr>
            <w:r w:rsidRPr="00C00905">
              <w:rPr>
                <w:rFonts w:ascii="Times New Roman" w:eastAsia="Times New Roman" w:hAnsi="Times New Roman" w:cs="Times New Roman"/>
                <w:sz w:val="20"/>
                <w:szCs w:val="20"/>
              </w:rPr>
              <w:t>Opskrba vodom i odvodnja: poremećaj u funkcioniranju,</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izlijevanje otpadnih voda, potapanje podruma,</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zagađenja izvora vode.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Cestovni promet: prekidi i otežano obavljanje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djelatnosti do otklanjanja posljedica.</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Proizvodnja i distribucija električne energije: duži prekidi napajanja el. energijom.</w:t>
            </w:r>
          </w:p>
        </w:tc>
        <w:tc>
          <w:tcPr>
            <w:tcW w:w="1960" w:type="dxa"/>
            <w:tcBorders>
              <w:top w:val="single" w:sz="4" w:space="0" w:color="000000"/>
              <w:left w:val="single" w:sz="4" w:space="0" w:color="000000"/>
              <w:bottom w:val="single" w:sz="4" w:space="0" w:color="000000"/>
              <w:right w:val="single" w:sz="4" w:space="0" w:color="000000"/>
            </w:tcBorders>
          </w:tcPr>
          <w:p w14:paraId="07947BEB" w14:textId="77777777" w:rsidR="003F7A56" w:rsidRPr="00C00905" w:rsidRDefault="00900184" w:rsidP="00AB377C">
            <w:pPr>
              <w:spacing w:after="0" w:line="240" w:lineRule="auto"/>
              <w:ind w:left="0" w:right="0" w:firstLine="0"/>
              <w:jc w:val="left"/>
              <w:rPr>
                <w:rFonts w:ascii="Times New Roman" w:hAnsi="Times New Roman" w:cs="Times New Roman"/>
                <w:sz w:val="20"/>
                <w:szCs w:val="20"/>
              </w:rPr>
            </w:pPr>
            <w:r w:rsidRPr="00C00905">
              <w:rPr>
                <w:rFonts w:ascii="Times New Roman" w:eastAsia="Times New Roman" w:hAnsi="Times New Roman" w:cs="Times New Roman"/>
                <w:sz w:val="20"/>
                <w:szCs w:val="20"/>
              </w:rPr>
              <w:t>Gra</w:t>
            </w:r>
            <w:r w:rsidR="00924FB7">
              <w:rPr>
                <w:rFonts w:ascii="Times New Roman" w:eastAsia="Times New Roman" w:hAnsi="Times New Roman" w:cs="Times New Roman"/>
                <w:sz w:val="20"/>
                <w:szCs w:val="20"/>
              </w:rPr>
              <w:t>dnja</w:t>
            </w:r>
            <w:r w:rsidRPr="00C00905">
              <w:rPr>
                <w:rFonts w:ascii="Times New Roman" w:eastAsia="Times New Roman" w:hAnsi="Times New Roman" w:cs="Times New Roman"/>
                <w:sz w:val="20"/>
                <w:szCs w:val="20"/>
              </w:rPr>
              <w:t>, tehničko i gospodarsko održavanje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regulacijskih i</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zaštitnih vodnih</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građevina i vodnih građevina za</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melioracijsku</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odvodnju, tehničko i gospodarsko</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održavanje vodotoka i vodnog dobra, te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drug</w:t>
            </w:r>
            <w:r w:rsidR="00924FB7">
              <w:rPr>
                <w:rFonts w:ascii="Times New Roman" w:eastAsia="Times New Roman" w:hAnsi="Times New Roman" w:cs="Times New Roman"/>
                <w:sz w:val="20"/>
                <w:szCs w:val="20"/>
              </w:rPr>
              <w:t>i</w:t>
            </w:r>
            <w:r w:rsidRPr="00C00905">
              <w:rPr>
                <w:rFonts w:ascii="Times New Roman" w:eastAsia="Times New Roman" w:hAnsi="Times New Roman" w:cs="Times New Roman"/>
                <w:sz w:val="20"/>
                <w:szCs w:val="20"/>
              </w:rPr>
              <w:t xml:space="preserve"> radov</w:t>
            </w:r>
            <w:r w:rsidR="00924FB7">
              <w:rPr>
                <w:rFonts w:ascii="Times New Roman" w:eastAsia="Times New Roman" w:hAnsi="Times New Roman" w:cs="Times New Roman"/>
                <w:sz w:val="20"/>
                <w:szCs w:val="20"/>
              </w:rPr>
              <w:t xml:space="preserve">i </w:t>
            </w:r>
            <w:r w:rsidRPr="00C00905">
              <w:rPr>
                <w:rFonts w:ascii="Times New Roman" w:eastAsia="Times New Roman" w:hAnsi="Times New Roman" w:cs="Times New Roman"/>
                <w:sz w:val="20"/>
                <w:szCs w:val="20"/>
              </w:rPr>
              <w:t>kojima se omogućuju kontrolirani i</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neškodljivi protoci voda i njihovo</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namjensko korištenje.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Izgradnja sustava ranog upozoravanja.</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Edukacija i osposobljavanje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operativnih snaga</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sustava civilne zaštite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Grada Zagreba</w:t>
            </w:r>
          </w:p>
        </w:tc>
        <w:tc>
          <w:tcPr>
            <w:tcW w:w="1398" w:type="dxa"/>
            <w:tcBorders>
              <w:top w:val="single" w:sz="4" w:space="0" w:color="000000"/>
              <w:left w:val="single" w:sz="4" w:space="0" w:color="000000"/>
              <w:bottom w:val="single" w:sz="4" w:space="0" w:color="000000"/>
              <w:right w:val="single" w:sz="4" w:space="0" w:color="000000"/>
            </w:tcBorders>
          </w:tcPr>
          <w:p w14:paraId="66629473" w14:textId="77777777" w:rsidR="003F7A56" w:rsidRPr="00C00905" w:rsidRDefault="00900184" w:rsidP="00AB377C">
            <w:pPr>
              <w:spacing w:after="0" w:line="240" w:lineRule="auto"/>
              <w:ind w:left="0" w:right="0" w:firstLine="0"/>
              <w:jc w:val="left"/>
              <w:rPr>
                <w:rFonts w:ascii="Times New Roman" w:hAnsi="Times New Roman" w:cs="Times New Roman"/>
                <w:sz w:val="20"/>
                <w:szCs w:val="20"/>
              </w:rPr>
            </w:pPr>
            <w:r w:rsidRPr="00C00905">
              <w:rPr>
                <w:rFonts w:ascii="Times New Roman" w:eastAsia="Times New Roman" w:hAnsi="Times New Roman" w:cs="Times New Roman"/>
                <w:sz w:val="20"/>
                <w:szCs w:val="20"/>
              </w:rPr>
              <w:t>Uzbunjivanje i obavješćivanje, evakuacija,</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zbrinjavanje, sklanjanje,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spašavanje,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pružanje prve pomoći.</w:t>
            </w:r>
          </w:p>
        </w:tc>
      </w:tr>
      <w:tr w:rsidR="00C00905" w:rsidRPr="00C00905" w14:paraId="35933F5C" w14:textId="77777777" w:rsidTr="00E43F92">
        <w:trPr>
          <w:cantSplit/>
          <w:tblHeader/>
          <w:jc w:val="center"/>
        </w:trPr>
        <w:tc>
          <w:tcPr>
            <w:tcW w:w="541" w:type="dxa"/>
            <w:tcBorders>
              <w:top w:val="single" w:sz="4" w:space="0" w:color="000000"/>
              <w:left w:val="single" w:sz="4" w:space="0" w:color="000000"/>
              <w:bottom w:val="single" w:sz="4" w:space="0" w:color="000000"/>
              <w:right w:val="single" w:sz="4" w:space="0" w:color="000000"/>
            </w:tcBorders>
          </w:tcPr>
          <w:p w14:paraId="06EDC521" w14:textId="77777777" w:rsidR="003F7A56" w:rsidRPr="00C00905" w:rsidRDefault="00900184" w:rsidP="00AB377C">
            <w:pPr>
              <w:spacing w:after="0" w:line="240" w:lineRule="auto"/>
              <w:ind w:left="0" w:right="0" w:firstLine="0"/>
              <w:jc w:val="center"/>
              <w:rPr>
                <w:rFonts w:ascii="Times New Roman" w:hAnsi="Times New Roman" w:cs="Times New Roman"/>
                <w:sz w:val="20"/>
                <w:szCs w:val="20"/>
              </w:rPr>
            </w:pPr>
            <w:r w:rsidRPr="00C00905">
              <w:rPr>
                <w:rFonts w:ascii="Times New Roman" w:eastAsia="Times New Roman" w:hAnsi="Times New Roman" w:cs="Times New Roman"/>
                <w:sz w:val="20"/>
                <w:szCs w:val="20"/>
              </w:rPr>
              <w:t>3.</w:t>
            </w:r>
          </w:p>
        </w:tc>
        <w:tc>
          <w:tcPr>
            <w:tcW w:w="1155" w:type="dxa"/>
            <w:tcBorders>
              <w:top w:val="single" w:sz="4" w:space="0" w:color="000000"/>
              <w:left w:val="single" w:sz="4" w:space="0" w:color="000000"/>
              <w:bottom w:val="single" w:sz="4" w:space="0" w:color="000000"/>
              <w:right w:val="single" w:sz="4" w:space="0" w:color="000000"/>
            </w:tcBorders>
          </w:tcPr>
          <w:p w14:paraId="6AB03650" w14:textId="77777777" w:rsidR="003F7A56" w:rsidRPr="00C00905" w:rsidRDefault="00900184" w:rsidP="00AB377C">
            <w:pPr>
              <w:spacing w:after="0" w:line="240" w:lineRule="auto"/>
              <w:ind w:left="0" w:right="0" w:firstLine="0"/>
              <w:jc w:val="left"/>
              <w:rPr>
                <w:rFonts w:ascii="Times New Roman" w:hAnsi="Times New Roman" w:cs="Times New Roman"/>
                <w:sz w:val="20"/>
                <w:szCs w:val="20"/>
              </w:rPr>
            </w:pPr>
            <w:r w:rsidRPr="00C00905">
              <w:rPr>
                <w:rFonts w:ascii="Times New Roman" w:eastAsia="Times New Roman" w:hAnsi="Times New Roman" w:cs="Times New Roman"/>
                <w:sz w:val="20"/>
                <w:szCs w:val="20"/>
              </w:rPr>
              <w:t>Industrijske nesreće</w:t>
            </w:r>
          </w:p>
        </w:tc>
        <w:tc>
          <w:tcPr>
            <w:tcW w:w="2065" w:type="dxa"/>
            <w:tcBorders>
              <w:top w:val="single" w:sz="4" w:space="0" w:color="000000"/>
              <w:left w:val="single" w:sz="4" w:space="0" w:color="000000"/>
              <w:bottom w:val="single" w:sz="4" w:space="0" w:color="000000"/>
              <w:right w:val="single" w:sz="4" w:space="0" w:color="000000"/>
            </w:tcBorders>
          </w:tcPr>
          <w:p w14:paraId="0520852A" w14:textId="77777777" w:rsidR="003F7A56" w:rsidRPr="00C00905" w:rsidRDefault="00900184" w:rsidP="00AB377C">
            <w:pPr>
              <w:spacing w:after="0" w:line="240" w:lineRule="auto"/>
              <w:ind w:left="0" w:right="0" w:firstLine="0"/>
              <w:jc w:val="left"/>
              <w:rPr>
                <w:rFonts w:ascii="Times New Roman" w:hAnsi="Times New Roman" w:cs="Times New Roman"/>
                <w:sz w:val="20"/>
                <w:szCs w:val="20"/>
              </w:rPr>
            </w:pPr>
            <w:r w:rsidRPr="00C00905">
              <w:rPr>
                <w:rFonts w:ascii="Times New Roman" w:eastAsia="Times New Roman" w:hAnsi="Times New Roman" w:cs="Times New Roman"/>
                <w:sz w:val="20"/>
                <w:szCs w:val="20"/>
              </w:rPr>
              <w:t>Eksplozija ukapljenog naftnog plina u pregrijanom spremniku od 1000 m</w:t>
            </w:r>
            <w:r w:rsidRPr="00C00905">
              <w:rPr>
                <w:rFonts w:ascii="Times New Roman" w:eastAsia="Times New Roman" w:hAnsi="Times New Roman" w:cs="Times New Roman"/>
                <w:sz w:val="20"/>
                <w:szCs w:val="20"/>
                <w:vertAlign w:val="superscript"/>
              </w:rPr>
              <w:t>3</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rezultira mogućom pojavom domino</w:t>
            </w:r>
            <w:r w:rsidR="00BE413F">
              <w:rPr>
                <w:rFonts w:ascii="Times New Roman" w:eastAsia="Times New Roman" w:hAnsi="Times New Roman" w:cs="Times New Roman"/>
                <w:sz w:val="20"/>
                <w:szCs w:val="20"/>
              </w:rPr>
              <w:t>-</w:t>
            </w:r>
            <w:r w:rsidRPr="00C00905">
              <w:rPr>
                <w:rFonts w:ascii="Times New Roman" w:eastAsia="Times New Roman" w:hAnsi="Times New Roman" w:cs="Times New Roman"/>
                <w:sz w:val="20"/>
                <w:szCs w:val="20"/>
              </w:rPr>
              <w:t>efekta na području industrijske zone Žitnjak</w:t>
            </w:r>
          </w:p>
        </w:tc>
        <w:tc>
          <w:tcPr>
            <w:tcW w:w="1945" w:type="dxa"/>
            <w:tcBorders>
              <w:top w:val="single" w:sz="4" w:space="0" w:color="000000"/>
              <w:left w:val="single" w:sz="4" w:space="0" w:color="000000"/>
              <w:bottom w:val="single" w:sz="4" w:space="0" w:color="000000"/>
              <w:right w:val="single" w:sz="4" w:space="0" w:color="000000"/>
            </w:tcBorders>
          </w:tcPr>
          <w:p w14:paraId="4BA15787" w14:textId="77777777" w:rsidR="003F7A56" w:rsidRPr="00C00905" w:rsidRDefault="00900184" w:rsidP="00AB377C">
            <w:pPr>
              <w:spacing w:after="0" w:line="240" w:lineRule="auto"/>
              <w:ind w:left="0" w:right="0" w:firstLine="0"/>
              <w:jc w:val="left"/>
              <w:rPr>
                <w:rFonts w:ascii="Times New Roman" w:hAnsi="Times New Roman" w:cs="Times New Roman"/>
                <w:sz w:val="20"/>
                <w:szCs w:val="20"/>
              </w:rPr>
            </w:pPr>
            <w:r w:rsidRPr="00C00905">
              <w:rPr>
                <w:rFonts w:ascii="Times New Roman" w:eastAsia="Times New Roman" w:hAnsi="Times New Roman" w:cs="Times New Roman"/>
                <w:sz w:val="20"/>
                <w:szCs w:val="20"/>
              </w:rPr>
              <w:t>Moguće su štete</w:t>
            </w:r>
            <w:r w:rsidR="00E40AC8" w:rsidRP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na nepokretnoj i pokretnoj</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imovini, odnosno na</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kućama, osobnim vozilima, vozilima, strojevima,</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 xml:space="preserve">uređajima i opremi </w:t>
            </w:r>
            <w:r w:rsidR="00924FB7">
              <w:rPr>
                <w:rFonts w:ascii="Times New Roman" w:eastAsia="Times New Roman" w:hAnsi="Times New Roman" w:cs="Times New Roman"/>
                <w:sz w:val="20"/>
                <w:szCs w:val="20"/>
              </w:rPr>
              <w:t xml:space="preserve">te </w:t>
            </w:r>
            <w:r w:rsidRPr="00C00905">
              <w:rPr>
                <w:rFonts w:ascii="Times New Roman" w:eastAsia="Times New Roman" w:hAnsi="Times New Roman" w:cs="Times New Roman"/>
                <w:sz w:val="20"/>
                <w:szCs w:val="20"/>
              </w:rPr>
              <w:t>na infrastrukturnim</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građevinama u području industrijske zone Žitnjak.</w:t>
            </w:r>
          </w:p>
        </w:tc>
        <w:tc>
          <w:tcPr>
            <w:tcW w:w="1960" w:type="dxa"/>
            <w:tcBorders>
              <w:top w:val="single" w:sz="4" w:space="0" w:color="000000"/>
              <w:left w:val="single" w:sz="4" w:space="0" w:color="000000"/>
              <w:bottom w:val="single" w:sz="4" w:space="0" w:color="000000"/>
              <w:right w:val="single" w:sz="4" w:space="0" w:color="000000"/>
            </w:tcBorders>
          </w:tcPr>
          <w:p w14:paraId="07A7A386" w14:textId="77777777" w:rsidR="003F7A56" w:rsidRPr="00C00905" w:rsidRDefault="00900184" w:rsidP="00AB377C">
            <w:pPr>
              <w:spacing w:after="0" w:line="240" w:lineRule="auto"/>
              <w:ind w:left="0" w:right="0" w:firstLine="0"/>
              <w:jc w:val="left"/>
              <w:rPr>
                <w:rFonts w:ascii="Times New Roman" w:hAnsi="Times New Roman" w:cs="Times New Roman"/>
                <w:sz w:val="20"/>
                <w:szCs w:val="20"/>
              </w:rPr>
            </w:pPr>
            <w:r w:rsidRPr="00C00905">
              <w:rPr>
                <w:rFonts w:ascii="Times New Roman" w:eastAsia="Times New Roman" w:hAnsi="Times New Roman" w:cs="Times New Roman"/>
                <w:sz w:val="20"/>
                <w:szCs w:val="20"/>
              </w:rPr>
              <w:t>Građevinske mjere zaštite, aktivni i</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pasivni sustavi zaštite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od požara, preventivni nadzori, ostale mjere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zaštite koje provode operateri kao</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odgovorne pravne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osobe. Izgradnja sustava ranog</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upozoravanja.</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Edukacija i osposobljavanje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operativnih snaga</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sustava civilne zaštite Grada Zagreba.</w:t>
            </w:r>
          </w:p>
        </w:tc>
        <w:tc>
          <w:tcPr>
            <w:tcW w:w="1398" w:type="dxa"/>
            <w:tcBorders>
              <w:top w:val="single" w:sz="4" w:space="0" w:color="000000"/>
              <w:left w:val="single" w:sz="4" w:space="0" w:color="000000"/>
              <w:bottom w:val="single" w:sz="4" w:space="0" w:color="000000"/>
              <w:right w:val="single" w:sz="4" w:space="0" w:color="000000"/>
            </w:tcBorders>
          </w:tcPr>
          <w:p w14:paraId="4538F81D" w14:textId="77777777" w:rsidR="003F7A56" w:rsidRPr="00C00905" w:rsidRDefault="00900184" w:rsidP="00AB377C">
            <w:pPr>
              <w:spacing w:after="0" w:line="240" w:lineRule="auto"/>
              <w:ind w:left="0" w:right="0" w:firstLine="0"/>
              <w:jc w:val="left"/>
              <w:rPr>
                <w:rFonts w:ascii="Times New Roman" w:hAnsi="Times New Roman" w:cs="Times New Roman"/>
                <w:sz w:val="20"/>
                <w:szCs w:val="20"/>
              </w:rPr>
            </w:pPr>
            <w:r w:rsidRPr="00C00905">
              <w:rPr>
                <w:rFonts w:ascii="Times New Roman" w:eastAsia="Times New Roman" w:hAnsi="Times New Roman" w:cs="Times New Roman"/>
                <w:sz w:val="20"/>
                <w:szCs w:val="20"/>
              </w:rPr>
              <w:t>Uzbunjivanje i obavješćivanje, evakuacija,</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zbrinjavanje, sklanjanje,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spašavanje,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pružanje prve pomoći.</w:t>
            </w:r>
          </w:p>
        </w:tc>
      </w:tr>
      <w:tr w:rsidR="00C00905" w:rsidRPr="00C00905" w14:paraId="363A4A53" w14:textId="77777777" w:rsidTr="00E43F92">
        <w:trPr>
          <w:cantSplit/>
          <w:tblHeader/>
          <w:jc w:val="center"/>
        </w:trPr>
        <w:tc>
          <w:tcPr>
            <w:tcW w:w="541" w:type="dxa"/>
            <w:tcBorders>
              <w:top w:val="single" w:sz="4" w:space="0" w:color="000000"/>
              <w:left w:val="single" w:sz="4" w:space="0" w:color="000000"/>
              <w:bottom w:val="single" w:sz="4" w:space="0" w:color="000000"/>
              <w:right w:val="single" w:sz="4" w:space="0" w:color="000000"/>
            </w:tcBorders>
          </w:tcPr>
          <w:p w14:paraId="6CF2898E" w14:textId="77777777" w:rsidR="003F7A56" w:rsidRPr="00C00905" w:rsidRDefault="00900184" w:rsidP="00AB377C">
            <w:pPr>
              <w:spacing w:after="0" w:line="240" w:lineRule="auto"/>
              <w:ind w:left="0" w:right="0" w:firstLine="0"/>
              <w:jc w:val="center"/>
              <w:rPr>
                <w:rFonts w:ascii="Times New Roman" w:hAnsi="Times New Roman" w:cs="Times New Roman"/>
                <w:sz w:val="20"/>
                <w:szCs w:val="20"/>
              </w:rPr>
            </w:pPr>
            <w:r w:rsidRPr="00C00905">
              <w:rPr>
                <w:rFonts w:ascii="Times New Roman" w:eastAsia="Times New Roman" w:hAnsi="Times New Roman" w:cs="Times New Roman"/>
                <w:sz w:val="20"/>
                <w:szCs w:val="20"/>
              </w:rPr>
              <w:t>4.</w:t>
            </w:r>
          </w:p>
        </w:tc>
        <w:tc>
          <w:tcPr>
            <w:tcW w:w="1155" w:type="dxa"/>
            <w:tcBorders>
              <w:top w:val="single" w:sz="4" w:space="0" w:color="000000"/>
              <w:left w:val="single" w:sz="4" w:space="0" w:color="000000"/>
              <w:bottom w:val="single" w:sz="4" w:space="0" w:color="000000"/>
              <w:right w:val="single" w:sz="4" w:space="0" w:color="000000"/>
            </w:tcBorders>
          </w:tcPr>
          <w:p w14:paraId="2F940453" w14:textId="77777777" w:rsidR="003F7A56" w:rsidRPr="00C00905" w:rsidRDefault="00900184" w:rsidP="00AB377C">
            <w:pPr>
              <w:spacing w:after="0" w:line="240" w:lineRule="auto"/>
              <w:ind w:left="0" w:right="0" w:firstLine="0"/>
              <w:jc w:val="left"/>
              <w:rPr>
                <w:rFonts w:ascii="Times New Roman" w:hAnsi="Times New Roman" w:cs="Times New Roman"/>
                <w:sz w:val="20"/>
                <w:szCs w:val="20"/>
              </w:rPr>
            </w:pPr>
            <w:r w:rsidRPr="00C00905">
              <w:rPr>
                <w:rFonts w:ascii="Times New Roman" w:eastAsia="Times New Roman" w:hAnsi="Times New Roman" w:cs="Times New Roman"/>
                <w:sz w:val="20"/>
                <w:szCs w:val="20"/>
              </w:rPr>
              <w:t>Ekstremne temperature</w:t>
            </w:r>
          </w:p>
        </w:tc>
        <w:tc>
          <w:tcPr>
            <w:tcW w:w="2065" w:type="dxa"/>
            <w:tcBorders>
              <w:top w:val="single" w:sz="4" w:space="0" w:color="000000"/>
              <w:left w:val="single" w:sz="4" w:space="0" w:color="000000"/>
              <w:bottom w:val="single" w:sz="4" w:space="0" w:color="000000"/>
              <w:right w:val="single" w:sz="4" w:space="0" w:color="000000"/>
            </w:tcBorders>
          </w:tcPr>
          <w:p w14:paraId="5C76A1D1" w14:textId="77777777" w:rsidR="003F7A56" w:rsidRPr="00C00905" w:rsidRDefault="00900184" w:rsidP="00AB377C">
            <w:pPr>
              <w:spacing w:after="0" w:line="240" w:lineRule="auto"/>
              <w:ind w:left="0" w:right="0" w:firstLine="0"/>
              <w:jc w:val="left"/>
              <w:rPr>
                <w:rFonts w:ascii="Times New Roman" w:hAnsi="Times New Roman" w:cs="Times New Roman"/>
                <w:sz w:val="20"/>
                <w:szCs w:val="20"/>
              </w:rPr>
            </w:pPr>
            <w:r w:rsidRPr="00C00905">
              <w:rPr>
                <w:rFonts w:ascii="Times New Roman" w:eastAsia="Times New Roman" w:hAnsi="Times New Roman" w:cs="Times New Roman"/>
                <w:sz w:val="20"/>
                <w:szCs w:val="20"/>
              </w:rPr>
              <w:t>Toplinski val kao prirodna pojava uzrokovana</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klimatskim promjenama,</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nastaje naglo bez prethodnih</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najava, neočekivano za Grad</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Zagreb koji ima umjerenu kontinentalnu klimu. Toplina može biti okidač za uzrok</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mnogih zdravstvenih stanja i izazvati umor, srčani udar ili</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 xml:space="preserve">konfuziju, inzult te pogoršati postojeće stanje kod </w:t>
            </w:r>
            <w:r w:rsidR="00C00905" w:rsidRPr="00C00905">
              <w:rPr>
                <w:rFonts w:ascii="Times New Roman" w:eastAsia="Times New Roman" w:hAnsi="Times New Roman" w:cs="Times New Roman"/>
                <w:sz w:val="20"/>
                <w:szCs w:val="20"/>
              </w:rPr>
              <w:t>kroničnih bolesnika</w:t>
            </w:r>
          </w:p>
        </w:tc>
        <w:tc>
          <w:tcPr>
            <w:tcW w:w="1945" w:type="dxa"/>
            <w:tcBorders>
              <w:top w:val="single" w:sz="4" w:space="0" w:color="000000"/>
              <w:left w:val="single" w:sz="4" w:space="0" w:color="000000"/>
              <w:bottom w:val="single" w:sz="4" w:space="0" w:color="000000"/>
              <w:right w:val="single" w:sz="4" w:space="0" w:color="000000"/>
            </w:tcBorders>
          </w:tcPr>
          <w:p w14:paraId="4E2ABB92" w14:textId="77777777" w:rsidR="003F7A56" w:rsidRPr="00C00905" w:rsidRDefault="00900184" w:rsidP="00AB377C">
            <w:pPr>
              <w:spacing w:after="0" w:line="240" w:lineRule="auto"/>
              <w:ind w:left="0" w:right="0" w:firstLine="0"/>
              <w:jc w:val="left"/>
              <w:rPr>
                <w:rFonts w:ascii="Times New Roman" w:hAnsi="Times New Roman" w:cs="Times New Roman"/>
                <w:sz w:val="20"/>
                <w:szCs w:val="20"/>
              </w:rPr>
            </w:pPr>
            <w:r w:rsidRPr="00C00905">
              <w:rPr>
                <w:rFonts w:ascii="Times New Roman" w:eastAsia="Times New Roman" w:hAnsi="Times New Roman" w:cs="Times New Roman"/>
                <w:sz w:val="20"/>
                <w:szCs w:val="20"/>
              </w:rPr>
              <w:t>Ekonomska analiza zdravstvenih učinaka i</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prilagodbe na klimatske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 xml:space="preserve">promjene </w:t>
            </w:r>
            <w:r w:rsidR="00924FB7">
              <w:rPr>
                <w:rFonts w:ascii="Times New Roman" w:eastAsia="Times New Roman" w:hAnsi="Times New Roman" w:cs="Times New Roman"/>
                <w:sz w:val="20"/>
                <w:szCs w:val="20"/>
              </w:rPr>
              <w:t>upozorava na izravne i neizravne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posljedice na zdravlje od pojave ekstremnih</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 xml:space="preserve">temperatura </w:t>
            </w:r>
            <w:r w:rsidR="00924FB7">
              <w:rPr>
                <w:rFonts w:ascii="Times New Roman" w:eastAsia="Times New Roman" w:hAnsi="Times New Roman" w:cs="Times New Roman"/>
                <w:sz w:val="20"/>
                <w:szCs w:val="20"/>
              </w:rPr>
              <w:t xml:space="preserve">zbog </w:t>
            </w:r>
            <w:r w:rsidRPr="00C00905">
              <w:rPr>
                <w:rFonts w:ascii="Times New Roman" w:eastAsia="Times New Roman" w:hAnsi="Times New Roman" w:cs="Times New Roman"/>
                <w:sz w:val="20"/>
                <w:szCs w:val="20"/>
              </w:rPr>
              <w:t>klimatskih promjena. To su: povećana smrtnost i broj</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ozljeda, povećan rizik od</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 xml:space="preserve">zaraznih bolesti, prehrana i razvoj djece, negativan </w:t>
            </w:r>
            <w:r w:rsidR="00C00905" w:rsidRPr="00C00905">
              <w:rPr>
                <w:rFonts w:ascii="Times New Roman" w:eastAsia="Times New Roman" w:hAnsi="Times New Roman" w:cs="Times New Roman"/>
                <w:sz w:val="20"/>
                <w:szCs w:val="20"/>
              </w:rPr>
              <w:t xml:space="preserve">utjecaj na mentalno </w:t>
            </w:r>
            <w:r w:rsidR="00C00905" w:rsidRPr="00C00905">
              <w:rPr>
                <w:rFonts w:ascii="Times New Roman" w:eastAsia="Times New Roman" w:hAnsi="Times New Roman" w:cs="Times New Roman"/>
                <w:sz w:val="20"/>
                <w:szCs w:val="20"/>
              </w:rPr>
              <w:lastRenderedPageBreak/>
              <w:t>zdravlje i kardio-respiratorne bolesti.</w:t>
            </w:r>
          </w:p>
        </w:tc>
        <w:tc>
          <w:tcPr>
            <w:tcW w:w="1960" w:type="dxa"/>
            <w:tcBorders>
              <w:top w:val="single" w:sz="4" w:space="0" w:color="000000"/>
              <w:left w:val="single" w:sz="4" w:space="0" w:color="000000"/>
              <w:bottom w:val="single" w:sz="4" w:space="0" w:color="000000"/>
              <w:right w:val="single" w:sz="4" w:space="0" w:color="000000"/>
            </w:tcBorders>
          </w:tcPr>
          <w:p w14:paraId="586AB86A" w14:textId="77777777" w:rsidR="003F7A56" w:rsidRPr="00C00905" w:rsidRDefault="00900184" w:rsidP="00AB377C">
            <w:pPr>
              <w:spacing w:after="0" w:line="240" w:lineRule="auto"/>
              <w:ind w:left="0" w:right="0" w:firstLine="0"/>
              <w:jc w:val="left"/>
              <w:rPr>
                <w:rFonts w:ascii="Times New Roman" w:hAnsi="Times New Roman" w:cs="Times New Roman"/>
                <w:sz w:val="20"/>
                <w:szCs w:val="20"/>
              </w:rPr>
            </w:pPr>
            <w:r w:rsidRPr="00C00905">
              <w:rPr>
                <w:rFonts w:ascii="Times New Roman" w:eastAsia="Times New Roman" w:hAnsi="Times New Roman" w:cs="Times New Roman"/>
                <w:sz w:val="20"/>
                <w:szCs w:val="20"/>
              </w:rPr>
              <w:lastRenderedPageBreak/>
              <w:t>Zdravstvene mjere prevencije uz</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medijsku podršku u pružanju</w:t>
            </w:r>
            <w:r w:rsidR="00C00905">
              <w:rPr>
                <w:rFonts w:ascii="Times New Roman" w:eastAsia="Times New Roman" w:hAnsi="Times New Roman" w:cs="Times New Roman"/>
                <w:sz w:val="20"/>
                <w:szCs w:val="20"/>
              </w:rPr>
              <w:t xml:space="preserve"> </w:t>
            </w:r>
            <w:r w:rsidR="00924FB7">
              <w:rPr>
                <w:rFonts w:ascii="Times New Roman" w:eastAsia="Times New Roman" w:hAnsi="Times New Roman" w:cs="Times New Roman"/>
                <w:sz w:val="20"/>
                <w:szCs w:val="20"/>
              </w:rPr>
              <w:t xml:space="preserve">pravodobnih </w:t>
            </w:r>
            <w:r w:rsidRPr="00C00905">
              <w:rPr>
                <w:rFonts w:ascii="Times New Roman" w:eastAsia="Times New Roman" w:hAnsi="Times New Roman" w:cs="Times New Roman"/>
                <w:sz w:val="20"/>
                <w:szCs w:val="20"/>
              </w:rPr>
              <w:t xml:space="preserve">informacija, a </w:t>
            </w:r>
            <w:r w:rsidR="00924FB7">
              <w:rPr>
                <w:rFonts w:ascii="Times New Roman" w:eastAsia="Times New Roman" w:hAnsi="Times New Roman" w:cs="Times New Roman"/>
                <w:sz w:val="20"/>
                <w:szCs w:val="20"/>
              </w:rPr>
              <w:t>po</w:t>
            </w:r>
            <w:r w:rsidRPr="00C00905">
              <w:rPr>
                <w:rFonts w:ascii="Times New Roman" w:eastAsia="Times New Roman" w:hAnsi="Times New Roman" w:cs="Times New Roman"/>
                <w:sz w:val="20"/>
                <w:szCs w:val="20"/>
              </w:rPr>
              <w:t>vezano</w:t>
            </w:r>
            <w:r w:rsidR="00C00905">
              <w:rPr>
                <w:rFonts w:ascii="Times New Roman" w:eastAsia="Times New Roman" w:hAnsi="Times New Roman" w:cs="Times New Roman"/>
                <w:sz w:val="20"/>
                <w:szCs w:val="20"/>
              </w:rPr>
              <w:t xml:space="preserve"> </w:t>
            </w:r>
            <w:r w:rsidR="00924FB7">
              <w:rPr>
                <w:rFonts w:ascii="Times New Roman" w:eastAsia="Times New Roman" w:hAnsi="Times New Roman" w:cs="Times New Roman"/>
                <w:sz w:val="20"/>
                <w:szCs w:val="20"/>
              </w:rPr>
              <w:t xml:space="preserve">sa </w:t>
            </w:r>
            <w:r w:rsidRPr="00C00905">
              <w:rPr>
                <w:rFonts w:ascii="Times New Roman" w:eastAsia="Times New Roman" w:hAnsi="Times New Roman" w:cs="Times New Roman"/>
                <w:sz w:val="20"/>
                <w:szCs w:val="20"/>
              </w:rPr>
              <w:t>zaštit</w:t>
            </w:r>
            <w:r w:rsidR="00924FB7">
              <w:rPr>
                <w:rFonts w:ascii="Times New Roman" w:eastAsia="Times New Roman" w:hAnsi="Times New Roman" w:cs="Times New Roman"/>
                <w:sz w:val="20"/>
                <w:szCs w:val="20"/>
              </w:rPr>
              <w:t>om</w:t>
            </w:r>
            <w:r w:rsidRPr="00C00905">
              <w:rPr>
                <w:rFonts w:ascii="Times New Roman" w:eastAsia="Times New Roman" w:hAnsi="Times New Roman" w:cs="Times New Roman"/>
                <w:sz w:val="20"/>
                <w:szCs w:val="20"/>
              </w:rPr>
              <w:t xml:space="preserve"> od vrućine</w:t>
            </w:r>
            <w:r w:rsidR="00924FB7">
              <w:rPr>
                <w:rFonts w:ascii="Times New Roman" w:eastAsia="Times New Roman" w:hAnsi="Times New Roman" w:cs="Times New Roman"/>
                <w:sz w:val="20"/>
                <w:szCs w:val="20"/>
              </w:rPr>
              <w:t>,</w:t>
            </w:r>
            <w:r w:rsidRPr="00C00905">
              <w:rPr>
                <w:rFonts w:ascii="Times New Roman" w:eastAsia="Times New Roman" w:hAnsi="Times New Roman" w:cs="Times New Roman"/>
                <w:sz w:val="20"/>
                <w:szCs w:val="20"/>
              </w:rPr>
              <w:t xml:space="preserve"> ključan je i važan</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čimbenik očuvanja</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kardiološkog zdravlja, ali i zdravlja općenito.</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 xml:space="preserve">Edukacija i </w:t>
            </w:r>
            <w:r w:rsidR="00C00905" w:rsidRPr="00C00905">
              <w:rPr>
                <w:rFonts w:ascii="Times New Roman" w:eastAsia="Times New Roman" w:hAnsi="Times New Roman" w:cs="Times New Roman"/>
                <w:sz w:val="20"/>
                <w:szCs w:val="20"/>
              </w:rPr>
              <w:t>osposobljavanje</w:t>
            </w:r>
            <w:r w:rsidR="00C00905">
              <w:rPr>
                <w:rFonts w:ascii="Times New Roman" w:eastAsia="Times New Roman" w:hAnsi="Times New Roman" w:cs="Times New Roman"/>
                <w:sz w:val="20"/>
                <w:szCs w:val="20"/>
              </w:rPr>
              <w:t xml:space="preserve"> </w:t>
            </w:r>
            <w:r w:rsidR="00C00905" w:rsidRPr="00C00905">
              <w:rPr>
                <w:rFonts w:ascii="Times New Roman" w:eastAsia="Times New Roman" w:hAnsi="Times New Roman" w:cs="Times New Roman"/>
                <w:sz w:val="20"/>
                <w:szCs w:val="20"/>
              </w:rPr>
              <w:t>građana Grada</w:t>
            </w:r>
            <w:r w:rsidR="00C00905">
              <w:rPr>
                <w:rFonts w:ascii="Times New Roman" w:eastAsia="Times New Roman" w:hAnsi="Times New Roman" w:cs="Times New Roman"/>
                <w:sz w:val="20"/>
                <w:szCs w:val="20"/>
              </w:rPr>
              <w:t xml:space="preserve"> </w:t>
            </w:r>
            <w:r w:rsidR="00C00905" w:rsidRPr="00C00905">
              <w:rPr>
                <w:rFonts w:ascii="Times New Roman" w:eastAsia="Times New Roman" w:hAnsi="Times New Roman" w:cs="Times New Roman"/>
                <w:sz w:val="20"/>
                <w:szCs w:val="20"/>
              </w:rPr>
              <w:t>Zagreba</w:t>
            </w:r>
          </w:p>
        </w:tc>
        <w:tc>
          <w:tcPr>
            <w:tcW w:w="1398" w:type="dxa"/>
            <w:tcBorders>
              <w:top w:val="single" w:sz="4" w:space="0" w:color="000000"/>
              <w:left w:val="single" w:sz="4" w:space="0" w:color="000000"/>
              <w:bottom w:val="single" w:sz="4" w:space="0" w:color="000000"/>
              <w:right w:val="single" w:sz="4" w:space="0" w:color="000000"/>
            </w:tcBorders>
          </w:tcPr>
          <w:p w14:paraId="11319553" w14:textId="77777777" w:rsidR="003F7A56" w:rsidRPr="00C00905" w:rsidRDefault="00900184" w:rsidP="00AB377C">
            <w:pPr>
              <w:spacing w:after="0" w:line="240" w:lineRule="auto"/>
              <w:ind w:left="0" w:right="0" w:firstLine="0"/>
              <w:jc w:val="left"/>
              <w:rPr>
                <w:rFonts w:ascii="Times New Roman" w:hAnsi="Times New Roman" w:cs="Times New Roman"/>
                <w:sz w:val="20"/>
                <w:szCs w:val="20"/>
              </w:rPr>
            </w:pPr>
            <w:r w:rsidRPr="00C00905">
              <w:rPr>
                <w:rFonts w:ascii="Times New Roman" w:eastAsia="Times New Roman" w:hAnsi="Times New Roman" w:cs="Times New Roman"/>
                <w:sz w:val="20"/>
                <w:szCs w:val="20"/>
              </w:rPr>
              <w:t>Obavješćivanje, pružanje prve pomoći.</w:t>
            </w:r>
          </w:p>
        </w:tc>
      </w:tr>
      <w:tr w:rsidR="00C00905" w:rsidRPr="00C00905" w14:paraId="34202370" w14:textId="77777777" w:rsidTr="00E43F92">
        <w:trPr>
          <w:cantSplit/>
          <w:tblHeader/>
          <w:jc w:val="center"/>
        </w:trPr>
        <w:tc>
          <w:tcPr>
            <w:tcW w:w="541" w:type="dxa"/>
            <w:tcBorders>
              <w:top w:val="single" w:sz="4" w:space="0" w:color="000000"/>
              <w:left w:val="single" w:sz="4" w:space="0" w:color="000000"/>
              <w:bottom w:val="single" w:sz="4" w:space="0" w:color="000000"/>
              <w:right w:val="single" w:sz="4" w:space="0" w:color="000000"/>
            </w:tcBorders>
          </w:tcPr>
          <w:p w14:paraId="75421C54" w14:textId="77777777" w:rsidR="003F7A56" w:rsidRPr="00C00905" w:rsidRDefault="00900184" w:rsidP="00AB377C">
            <w:pPr>
              <w:spacing w:after="0" w:line="240" w:lineRule="auto"/>
              <w:ind w:left="0" w:right="0" w:firstLine="0"/>
              <w:jc w:val="center"/>
              <w:rPr>
                <w:rFonts w:ascii="Times New Roman" w:hAnsi="Times New Roman" w:cs="Times New Roman"/>
                <w:sz w:val="20"/>
                <w:szCs w:val="20"/>
              </w:rPr>
            </w:pPr>
            <w:r w:rsidRPr="00C00905">
              <w:rPr>
                <w:rFonts w:ascii="Times New Roman" w:eastAsia="Times New Roman" w:hAnsi="Times New Roman" w:cs="Times New Roman"/>
                <w:sz w:val="20"/>
                <w:szCs w:val="20"/>
              </w:rPr>
              <w:lastRenderedPageBreak/>
              <w:t>5.</w:t>
            </w:r>
          </w:p>
        </w:tc>
        <w:tc>
          <w:tcPr>
            <w:tcW w:w="1155" w:type="dxa"/>
            <w:tcBorders>
              <w:top w:val="single" w:sz="4" w:space="0" w:color="000000"/>
              <w:left w:val="single" w:sz="4" w:space="0" w:color="000000"/>
              <w:bottom w:val="single" w:sz="4" w:space="0" w:color="000000"/>
              <w:right w:val="single" w:sz="4" w:space="0" w:color="000000"/>
            </w:tcBorders>
          </w:tcPr>
          <w:p w14:paraId="0445BBFA" w14:textId="77777777" w:rsidR="003F7A56" w:rsidRPr="00C00905" w:rsidRDefault="00900184" w:rsidP="00AB377C">
            <w:pPr>
              <w:spacing w:after="0" w:line="240" w:lineRule="auto"/>
              <w:ind w:left="0" w:right="0" w:firstLine="0"/>
              <w:jc w:val="left"/>
              <w:rPr>
                <w:rFonts w:ascii="Times New Roman" w:hAnsi="Times New Roman" w:cs="Times New Roman"/>
                <w:sz w:val="20"/>
                <w:szCs w:val="20"/>
              </w:rPr>
            </w:pPr>
            <w:r w:rsidRPr="00C00905">
              <w:rPr>
                <w:rFonts w:ascii="Times New Roman" w:eastAsia="Times New Roman" w:hAnsi="Times New Roman" w:cs="Times New Roman"/>
                <w:sz w:val="20"/>
                <w:szCs w:val="20"/>
              </w:rPr>
              <w:t>Epidemije i pandemije</w:t>
            </w:r>
          </w:p>
        </w:tc>
        <w:tc>
          <w:tcPr>
            <w:tcW w:w="2065" w:type="dxa"/>
            <w:tcBorders>
              <w:top w:val="single" w:sz="4" w:space="0" w:color="000000"/>
              <w:left w:val="single" w:sz="4" w:space="0" w:color="000000"/>
              <w:bottom w:val="single" w:sz="4" w:space="0" w:color="000000"/>
              <w:right w:val="single" w:sz="4" w:space="0" w:color="000000"/>
            </w:tcBorders>
          </w:tcPr>
          <w:p w14:paraId="02492A3C" w14:textId="77777777" w:rsidR="003F7A56" w:rsidRPr="00C00905" w:rsidRDefault="00900184" w:rsidP="00AB377C">
            <w:pPr>
              <w:spacing w:after="0" w:line="240" w:lineRule="auto"/>
              <w:ind w:left="0" w:right="0" w:firstLine="0"/>
              <w:jc w:val="left"/>
              <w:rPr>
                <w:rFonts w:ascii="Times New Roman" w:hAnsi="Times New Roman" w:cs="Times New Roman"/>
                <w:sz w:val="20"/>
                <w:szCs w:val="20"/>
              </w:rPr>
            </w:pPr>
            <w:r w:rsidRPr="00C00905">
              <w:rPr>
                <w:rFonts w:ascii="Times New Roman" w:eastAsia="Times New Roman" w:hAnsi="Times New Roman" w:cs="Times New Roman"/>
                <w:sz w:val="20"/>
                <w:szCs w:val="20"/>
              </w:rPr>
              <w:t>Pojava prvih slučajeva pandemijske gripe bila bi povezana s osobama,</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putnicima koje su u kontakt s uzročnikom bolesti došle</w:t>
            </w:r>
            <w:r w:rsidR="00924FB7">
              <w:rPr>
                <w:rFonts w:ascii="Times New Roman" w:eastAsia="Times New Roman" w:hAnsi="Times New Roman" w:cs="Times New Roman"/>
                <w:sz w:val="20"/>
                <w:szCs w:val="20"/>
              </w:rPr>
              <w:t xml:space="preserve"> s područja</w:t>
            </w:r>
            <w:r w:rsidRPr="00C00905">
              <w:rPr>
                <w:rFonts w:ascii="Times New Roman" w:eastAsia="Times New Roman" w:hAnsi="Times New Roman" w:cs="Times New Roman"/>
                <w:sz w:val="20"/>
                <w:szCs w:val="20"/>
              </w:rPr>
              <w:t xml:space="preserve"> izvan granica Hrvatske.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Epidemija bi mogla trajati najmanje 9 tjedana. Tijekom epidemijskog događaja od 9 tjedana obolijeva ukupno</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20</w:t>
            </w:r>
            <w:r w:rsidR="00E05F09" w:rsidRPr="00C00905">
              <w:rPr>
                <w:rFonts w:ascii="Times New Roman" w:eastAsia="Times New Roman" w:hAnsi="Times New Roman" w:cs="Times New Roman"/>
                <w:sz w:val="20"/>
                <w:szCs w:val="20"/>
              </w:rPr>
              <w:t> %</w:t>
            </w:r>
            <w:r w:rsidRPr="00C00905">
              <w:rPr>
                <w:rFonts w:ascii="Times New Roman" w:eastAsia="Times New Roman" w:hAnsi="Times New Roman" w:cs="Times New Roman"/>
                <w:sz w:val="20"/>
                <w:szCs w:val="20"/>
              </w:rPr>
              <w:t xml:space="preserve"> osoba od kojih pomoć liječnika primarne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zdravstvene zaštite traži 12</w:t>
            </w:r>
            <w:r w:rsidR="00E05F09" w:rsidRPr="00C00905">
              <w:rPr>
                <w:rFonts w:ascii="Times New Roman" w:eastAsia="Times New Roman" w:hAnsi="Times New Roman" w:cs="Times New Roman"/>
                <w:sz w:val="20"/>
                <w:szCs w:val="20"/>
              </w:rPr>
              <w:t> %</w:t>
            </w:r>
            <w:r w:rsidR="00E40AC8" w:rsidRP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osoba. Zbog razvoja</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komplikacija bolesti 2.6</w:t>
            </w:r>
            <w:r w:rsidR="00E05F09" w:rsidRPr="00C00905">
              <w:rPr>
                <w:rFonts w:ascii="Times New Roman" w:eastAsia="Times New Roman" w:hAnsi="Times New Roman" w:cs="Times New Roman"/>
                <w:sz w:val="20"/>
                <w:szCs w:val="20"/>
              </w:rPr>
              <w:t> %</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oboljelih zaht</w:t>
            </w:r>
            <w:r w:rsidR="00924FB7">
              <w:rPr>
                <w:rFonts w:ascii="Times New Roman" w:eastAsia="Times New Roman" w:hAnsi="Times New Roman" w:cs="Times New Roman"/>
                <w:sz w:val="20"/>
                <w:szCs w:val="20"/>
              </w:rPr>
              <w:t>i</w:t>
            </w:r>
            <w:r w:rsidRPr="00C00905">
              <w:rPr>
                <w:rFonts w:ascii="Times New Roman" w:eastAsia="Times New Roman" w:hAnsi="Times New Roman" w:cs="Times New Roman"/>
                <w:sz w:val="20"/>
                <w:szCs w:val="20"/>
              </w:rPr>
              <w:t>jeva bolničko liječenje.</w:t>
            </w:r>
          </w:p>
        </w:tc>
        <w:tc>
          <w:tcPr>
            <w:tcW w:w="1945" w:type="dxa"/>
            <w:tcBorders>
              <w:top w:val="single" w:sz="4" w:space="0" w:color="000000"/>
              <w:left w:val="single" w:sz="4" w:space="0" w:color="000000"/>
              <w:bottom w:val="single" w:sz="4" w:space="0" w:color="000000"/>
              <w:right w:val="single" w:sz="4" w:space="0" w:color="000000"/>
            </w:tcBorders>
          </w:tcPr>
          <w:p w14:paraId="4BE5ED0E" w14:textId="77777777" w:rsidR="003F7A56" w:rsidRPr="00C00905" w:rsidRDefault="00900184" w:rsidP="00AB377C">
            <w:pPr>
              <w:spacing w:after="0" w:line="240" w:lineRule="auto"/>
              <w:ind w:left="0" w:right="0" w:firstLine="0"/>
              <w:jc w:val="left"/>
              <w:rPr>
                <w:rFonts w:ascii="Times New Roman" w:hAnsi="Times New Roman" w:cs="Times New Roman"/>
                <w:sz w:val="20"/>
                <w:szCs w:val="20"/>
              </w:rPr>
            </w:pPr>
            <w:r w:rsidRPr="00C00905">
              <w:rPr>
                <w:rFonts w:ascii="Times New Roman" w:eastAsia="Times New Roman" w:hAnsi="Times New Roman" w:cs="Times New Roman"/>
                <w:sz w:val="20"/>
                <w:szCs w:val="20"/>
              </w:rPr>
              <w:t>Posljedice pandemije influence primarno bi se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 xml:space="preserve">očitovale </w:t>
            </w:r>
            <w:r w:rsidR="00924FB7">
              <w:rPr>
                <w:rFonts w:ascii="Times New Roman" w:eastAsia="Times New Roman" w:hAnsi="Times New Roman" w:cs="Times New Roman"/>
                <w:sz w:val="20"/>
                <w:szCs w:val="20"/>
              </w:rPr>
              <w:t xml:space="preserve">neizravnim </w:t>
            </w:r>
            <w:r w:rsidRPr="00C00905">
              <w:rPr>
                <w:rFonts w:ascii="Times New Roman" w:eastAsia="Times New Roman" w:hAnsi="Times New Roman" w:cs="Times New Roman"/>
                <w:sz w:val="20"/>
                <w:szCs w:val="20"/>
              </w:rPr>
              <w:t>troškov</w:t>
            </w:r>
            <w:r w:rsidR="00924FB7">
              <w:rPr>
                <w:rFonts w:ascii="Times New Roman" w:eastAsia="Times New Roman" w:hAnsi="Times New Roman" w:cs="Times New Roman"/>
                <w:sz w:val="20"/>
                <w:szCs w:val="20"/>
              </w:rPr>
              <w:t>ima</w:t>
            </w:r>
            <w:r w:rsidRPr="00C00905">
              <w:rPr>
                <w:rFonts w:ascii="Times New Roman" w:eastAsia="Times New Roman" w:hAnsi="Times New Roman" w:cs="Times New Roman"/>
                <w:sz w:val="20"/>
                <w:szCs w:val="20"/>
              </w:rPr>
              <w:t xml:space="preserve"> kao posljedic</w:t>
            </w:r>
            <w:r w:rsidR="00924FB7">
              <w:rPr>
                <w:rFonts w:ascii="Times New Roman" w:eastAsia="Times New Roman" w:hAnsi="Times New Roman" w:cs="Times New Roman"/>
                <w:sz w:val="20"/>
                <w:szCs w:val="20"/>
              </w:rPr>
              <w:t>om</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apsentizma zaposlenih osoba i troškov</w:t>
            </w:r>
            <w:r w:rsidR="00924FB7">
              <w:rPr>
                <w:rFonts w:ascii="Times New Roman" w:eastAsia="Times New Roman" w:hAnsi="Times New Roman" w:cs="Times New Roman"/>
                <w:sz w:val="20"/>
                <w:szCs w:val="20"/>
              </w:rPr>
              <w:t>ima</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zdravstvenog sustava za liječenje oboljelih i</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provođenje preventivnih</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 xml:space="preserve">mjera </w:t>
            </w:r>
            <w:r w:rsidR="00924FB7">
              <w:rPr>
                <w:rFonts w:ascii="Times New Roman" w:eastAsia="Times New Roman" w:hAnsi="Times New Roman" w:cs="Times New Roman"/>
                <w:sz w:val="20"/>
                <w:szCs w:val="20"/>
              </w:rPr>
              <w:t>s</w:t>
            </w:r>
            <w:r w:rsidRPr="00C00905">
              <w:rPr>
                <w:rFonts w:ascii="Times New Roman" w:eastAsia="Times New Roman" w:hAnsi="Times New Roman" w:cs="Times New Roman"/>
                <w:sz w:val="20"/>
                <w:szCs w:val="20"/>
              </w:rPr>
              <w:t xml:space="preserve"> cilj</w:t>
            </w:r>
            <w:r w:rsidR="00924FB7">
              <w:rPr>
                <w:rFonts w:ascii="Times New Roman" w:eastAsia="Times New Roman" w:hAnsi="Times New Roman" w:cs="Times New Roman"/>
                <w:sz w:val="20"/>
                <w:szCs w:val="20"/>
              </w:rPr>
              <w:t>em</w:t>
            </w:r>
            <w:r w:rsidRPr="00C00905">
              <w:rPr>
                <w:rFonts w:ascii="Times New Roman" w:eastAsia="Times New Roman" w:hAnsi="Times New Roman" w:cs="Times New Roman"/>
                <w:sz w:val="20"/>
                <w:szCs w:val="20"/>
              </w:rPr>
              <w:t xml:space="preserve"> suzbijanja i</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sprječavanja daljnjeg širenja pandemije. Očekuje se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prosječan iznos novčane nadoknade po danu bolovanja od 145,00 kn.</w:t>
            </w:r>
          </w:p>
        </w:tc>
        <w:tc>
          <w:tcPr>
            <w:tcW w:w="1960" w:type="dxa"/>
            <w:tcBorders>
              <w:top w:val="single" w:sz="4" w:space="0" w:color="000000"/>
              <w:left w:val="single" w:sz="4" w:space="0" w:color="000000"/>
              <w:bottom w:val="single" w:sz="4" w:space="0" w:color="000000"/>
              <w:right w:val="single" w:sz="4" w:space="0" w:color="000000"/>
            </w:tcBorders>
          </w:tcPr>
          <w:p w14:paraId="4EC400D6" w14:textId="77777777" w:rsidR="003F7A56" w:rsidRPr="00C00905" w:rsidRDefault="00900184" w:rsidP="00AB377C">
            <w:pPr>
              <w:spacing w:after="0" w:line="240" w:lineRule="auto"/>
              <w:ind w:left="0" w:right="0" w:firstLine="0"/>
              <w:jc w:val="left"/>
              <w:rPr>
                <w:rFonts w:ascii="Times New Roman" w:hAnsi="Times New Roman" w:cs="Times New Roman"/>
                <w:sz w:val="20"/>
                <w:szCs w:val="20"/>
              </w:rPr>
            </w:pPr>
            <w:r w:rsidRPr="00C00905">
              <w:rPr>
                <w:rFonts w:ascii="Times New Roman" w:eastAsia="Times New Roman" w:hAnsi="Times New Roman" w:cs="Times New Roman"/>
                <w:sz w:val="20"/>
                <w:szCs w:val="20"/>
              </w:rPr>
              <w:t>Zdravstvene mjere prevencije uz</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medijsku podršku u pružanju</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pravo</w:t>
            </w:r>
            <w:r w:rsidR="00924FB7">
              <w:rPr>
                <w:rFonts w:ascii="Times New Roman" w:eastAsia="Times New Roman" w:hAnsi="Times New Roman" w:cs="Times New Roman"/>
                <w:sz w:val="20"/>
                <w:szCs w:val="20"/>
              </w:rPr>
              <w:t xml:space="preserve">dobnih </w:t>
            </w:r>
            <w:r w:rsidRPr="00C00905">
              <w:rPr>
                <w:rFonts w:ascii="Times New Roman" w:eastAsia="Times New Roman" w:hAnsi="Times New Roman" w:cs="Times New Roman"/>
                <w:sz w:val="20"/>
                <w:szCs w:val="20"/>
              </w:rPr>
              <w:t>informacija.</w:t>
            </w:r>
          </w:p>
        </w:tc>
        <w:tc>
          <w:tcPr>
            <w:tcW w:w="1398" w:type="dxa"/>
            <w:tcBorders>
              <w:top w:val="single" w:sz="4" w:space="0" w:color="000000"/>
              <w:left w:val="single" w:sz="4" w:space="0" w:color="000000"/>
              <w:bottom w:val="single" w:sz="4" w:space="0" w:color="000000"/>
              <w:right w:val="single" w:sz="4" w:space="0" w:color="000000"/>
            </w:tcBorders>
          </w:tcPr>
          <w:p w14:paraId="5060FEE9" w14:textId="77777777" w:rsidR="003F7A56" w:rsidRPr="00C00905" w:rsidRDefault="00900184" w:rsidP="00AB377C">
            <w:pPr>
              <w:spacing w:after="0" w:line="240" w:lineRule="auto"/>
              <w:ind w:left="0" w:right="0" w:firstLine="0"/>
              <w:jc w:val="left"/>
              <w:rPr>
                <w:rFonts w:ascii="Times New Roman" w:hAnsi="Times New Roman" w:cs="Times New Roman"/>
                <w:sz w:val="20"/>
                <w:szCs w:val="20"/>
              </w:rPr>
            </w:pPr>
            <w:r w:rsidRPr="00C00905">
              <w:rPr>
                <w:rFonts w:ascii="Times New Roman" w:eastAsia="Times New Roman" w:hAnsi="Times New Roman" w:cs="Times New Roman"/>
                <w:sz w:val="20"/>
                <w:szCs w:val="20"/>
              </w:rPr>
              <w:t>Nacionalni plan za pandemijsku gripu,</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obavješćivanje,</w:t>
            </w:r>
            <w:r w:rsidR="00C00905">
              <w:rPr>
                <w:rFonts w:ascii="Times New Roman" w:eastAsia="Times New Roman" w:hAnsi="Times New Roman" w:cs="Times New Roman"/>
                <w:sz w:val="20"/>
                <w:szCs w:val="20"/>
              </w:rPr>
              <w:t xml:space="preserve"> </w:t>
            </w:r>
            <w:r w:rsidRPr="00C00905">
              <w:rPr>
                <w:rFonts w:ascii="Times New Roman" w:eastAsia="Times New Roman" w:hAnsi="Times New Roman" w:cs="Times New Roman"/>
                <w:sz w:val="20"/>
                <w:szCs w:val="20"/>
              </w:rPr>
              <w:t>pružanje prve pomoći</w:t>
            </w:r>
          </w:p>
        </w:tc>
      </w:tr>
      <w:tr w:rsidR="004379D6" w:rsidRPr="00C00905" w14:paraId="41313D1F" w14:textId="77777777" w:rsidTr="00B51AE1">
        <w:trPr>
          <w:cantSplit/>
          <w:tblHeader/>
          <w:jc w:val="center"/>
        </w:trPr>
        <w:tc>
          <w:tcPr>
            <w:tcW w:w="541" w:type="dxa"/>
            <w:tcBorders>
              <w:top w:val="single" w:sz="4" w:space="0" w:color="000000"/>
              <w:left w:val="single" w:sz="4" w:space="0" w:color="000000"/>
              <w:bottom w:val="single" w:sz="4" w:space="0" w:color="000000"/>
              <w:right w:val="single" w:sz="4" w:space="0" w:color="000000"/>
            </w:tcBorders>
          </w:tcPr>
          <w:p w14:paraId="4FFC3DA7" w14:textId="77777777" w:rsidR="004379D6" w:rsidRPr="006218CF" w:rsidRDefault="003C7D23" w:rsidP="00AB377C">
            <w:pPr>
              <w:spacing w:after="0" w:line="240" w:lineRule="auto"/>
              <w:ind w:left="0" w:right="0" w:firstLine="0"/>
              <w:jc w:val="center"/>
              <w:rPr>
                <w:rFonts w:ascii="Times New Roman" w:eastAsia="Times New Roman" w:hAnsi="Times New Roman" w:cs="Times New Roman"/>
                <w:color w:val="auto"/>
                <w:sz w:val="20"/>
                <w:szCs w:val="20"/>
              </w:rPr>
            </w:pPr>
            <w:r w:rsidRPr="006218CF">
              <w:rPr>
                <w:rFonts w:ascii="Times New Roman" w:eastAsia="Times New Roman" w:hAnsi="Times New Roman" w:cs="Times New Roman"/>
                <w:color w:val="auto"/>
                <w:sz w:val="20"/>
                <w:szCs w:val="20"/>
              </w:rPr>
              <w:t>6.</w:t>
            </w:r>
          </w:p>
        </w:tc>
        <w:tc>
          <w:tcPr>
            <w:tcW w:w="1155" w:type="dxa"/>
            <w:tcBorders>
              <w:top w:val="single" w:sz="4" w:space="0" w:color="000000"/>
              <w:left w:val="single" w:sz="4" w:space="0" w:color="000000"/>
              <w:bottom w:val="single" w:sz="4" w:space="0" w:color="000000"/>
              <w:right w:val="single" w:sz="4" w:space="0" w:color="000000"/>
            </w:tcBorders>
          </w:tcPr>
          <w:p w14:paraId="1AD611D4" w14:textId="77777777" w:rsidR="004379D6" w:rsidRPr="006218CF" w:rsidRDefault="003208D8" w:rsidP="00AB377C">
            <w:pPr>
              <w:spacing w:after="0" w:line="240" w:lineRule="auto"/>
              <w:ind w:left="0" w:right="0" w:firstLine="0"/>
              <w:jc w:val="left"/>
              <w:rPr>
                <w:rFonts w:ascii="Times New Roman" w:eastAsia="Times New Roman" w:hAnsi="Times New Roman" w:cs="Times New Roman"/>
                <w:color w:val="auto"/>
                <w:sz w:val="20"/>
                <w:szCs w:val="20"/>
              </w:rPr>
            </w:pPr>
            <w:r w:rsidRPr="006218CF">
              <w:rPr>
                <w:rFonts w:ascii="Times New Roman" w:eastAsia="Times New Roman" w:hAnsi="Times New Roman" w:cs="Times New Roman"/>
                <w:color w:val="auto"/>
                <w:sz w:val="20"/>
                <w:szCs w:val="20"/>
              </w:rPr>
              <w:t>Nuklearna nesreća</w:t>
            </w:r>
          </w:p>
        </w:tc>
        <w:tc>
          <w:tcPr>
            <w:tcW w:w="2065" w:type="dxa"/>
            <w:tcBorders>
              <w:top w:val="single" w:sz="4" w:space="0" w:color="000000"/>
              <w:left w:val="single" w:sz="4" w:space="0" w:color="000000"/>
              <w:bottom w:val="single" w:sz="4" w:space="0" w:color="000000"/>
              <w:right w:val="single" w:sz="4" w:space="0" w:color="000000"/>
            </w:tcBorders>
          </w:tcPr>
          <w:p w14:paraId="2176A38C" w14:textId="3727CD02" w:rsidR="004379D6" w:rsidRPr="006218CF" w:rsidRDefault="00786447" w:rsidP="00AB377C">
            <w:pPr>
              <w:spacing w:after="0" w:line="240" w:lineRule="auto"/>
              <w:ind w:left="0" w:right="0" w:firstLine="0"/>
              <w:jc w:val="left"/>
              <w:rPr>
                <w:rFonts w:ascii="Times New Roman" w:eastAsia="Times New Roman" w:hAnsi="Times New Roman" w:cs="Times New Roman"/>
                <w:color w:val="auto"/>
                <w:sz w:val="20"/>
                <w:szCs w:val="20"/>
              </w:rPr>
            </w:pPr>
            <w:r w:rsidRPr="006218CF">
              <w:rPr>
                <w:rFonts w:ascii="Times New Roman" w:eastAsia="Times New Roman" w:hAnsi="Times New Roman" w:cs="Times New Roman"/>
                <w:color w:val="auto"/>
                <w:sz w:val="20"/>
                <w:szCs w:val="20"/>
              </w:rPr>
              <w:t>Zbog velikih naslaga leda na vrlo širokom području oko NE Krško, dolazi do teških oštećenja sustava za prijenos i distribuciju električne energije zbog čega nuklearna elektrana Krško ostaje bez vanjskih izvora napajanja kao i bez vlastitih izvora napajanja. Takav scenarij dovodi do pregrijavanja i oštećenja reaktorske jezgre, zbog čega dolazi do ispuštanja radioaktivnosti iz jezgre u primarni krug a potom i do ispuštanja iz primarnog kruga u zaštitnu zgradu elektrane.</w:t>
            </w:r>
          </w:p>
        </w:tc>
        <w:tc>
          <w:tcPr>
            <w:tcW w:w="1945" w:type="dxa"/>
            <w:tcBorders>
              <w:top w:val="single" w:sz="4" w:space="0" w:color="000000"/>
              <w:left w:val="single" w:sz="4" w:space="0" w:color="000000"/>
              <w:bottom w:val="single" w:sz="4" w:space="0" w:color="000000"/>
              <w:right w:val="single" w:sz="4" w:space="0" w:color="000000"/>
            </w:tcBorders>
          </w:tcPr>
          <w:p w14:paraId="14A87B36" w14:textId="77777777" w:rsidR="00F3644E" w:rsidRPr="006218CF" w:rsidRDefault="00F3644E" w:rsidP="00AB377C">
            <w:pPr>
              <w:spacing w:after="0" w:line="240" w:lineRule="auto"/>
              <w:ind w:left="0" w:right="0" w:firstLine="0"/>
              <w:jc w:val="left"/>
              <w:rPr>
                <w:rFonts w:ascii="Times New Roman" w:eastAsia="Times New Roman" w:hAnsi="Times New Roman" w:cs="Times New Roman"/>
                <w:color w:val="auto"/>
                <w:sz w:val="20"/>
                <w:szCs w:val="20"/>
              </w:rPr>
            </w:pPr>
            <w:r w:rsidRPr="006218CF">
              <w:rPr>
                <w:rFonts w:ascii="Times New Roman" w:eastAsia="Times New Roman" w:hAnsi="Times New Roman" w:cs="Times New Roman"/>
                <w:color w:val="auto"/>
                <w:sz w:val="20"/>
                <w:szCs w:val="20"/>
              </w:rPr>
              <w:t xml:space="preserve">Unatoč tome što sam događaj neće prouzročiti smrtne ishode, niti se procjenjuje da će izloženo stanovništvo imati trajne zdravstvene posljedice, sam događaj će izrazito narušiti kvalitetu života velike skupine ljudi (to uključuje stres zbog provođenja mjera sklanjanja, zabrane konzumiranja domaćih proizvoda, osjećaj stigmatizacije i sl.) a to će opet doprinijeti </w:t>
            </w:r>
          </w:p>
          <w:p w14:paraId="5F6CE7CE" w14:textId="4EDE23AE" w:rsidR="00C93FB2" w:rsidRPr="006218CF" w:rsidRDefault="00F3644E" w:rsidP="00AB377C">
            <w:pPr>
              <w:spacing w:after="0" w:line="240" w:lineRule="auto"/>
              <w:ind w:left="0" w:right="0" w:firstLine="0"/>
              <w:jc w:val="left"/>
              <w:rPr>
                <w:rFonts w:ascii="Times New Roman" w:eastAsia="Times New Roman" w:hAnsi="Times New Roman" w:cs="Times New Roman"/>
                <w:color w:val="auto"/>
                <w:sz w:val="20"/>
                <w:szCs w:val="20"/>
              </w:rPr>
            </w:pPr>
            <w:r w:rsidRPr="006218CF">
              <w:rPr>
                <w:rFonts w:ascii="Times New Roman" w:eastAsia="Times New Roman" w:hAnsi="Times New Roman" w:cs="Times New Roman"/>
                <w:color w:val="auto"/>
                <w:sz w:val="20"/>
                <w:szCs w:val="20"/>
              </w:rPr>
              <w:t>smanjenju broja turista i smanjenju ostalih društvenih aktivnosti.</w:t>
            </w:r>
          </w:p>
        </w:tc>
        <w:tc>
          <w:tcPr>
            <w:tcW w:w="1960" w:type="dxa"/>
            <w:tcBorders>
              <w:top w:val="single" w:sz="4" w:space="0" w:color="000000"/>
              <w:left w:val="single" w:sz="4" w:space="0" w:color="000000"/>
              <w:bottom w:val="single" w:sz="4" w:space="0" w:color="000000"/>
              <w:right w:val="single" w:sz="4" w:space="0" w:color="000000"/>
            </w:tcBorders>
          </w:tcPr>
          <w:p w14:paraId="3EB9C907" w14:textId="77777777" w:rsidR="00C93FB2" w:rsidRPr="006218CF" w:rsidRDefault="00C93FB2" w:rsidP="00AB377C">
            <w:pPr>
              <w:spacing w:after="0" w:line="240" w:lineRule="auto"/>
              <w:ind w:left="0" w:right="0" w:firstLine="0"/>
              <w:jc w:val="left"/>
              <w:rPr>
                <w:rFonts w:ascii="Times New Roman" w:eastAsia="Times New Roman" w:hAnsi="Times New Roman" w:cs="Times New Roman"/>
                <w:color w:val="auto"/>
                <w:sz w:val="20"/>
                <w:szCs w:val="20"/>
              </w:rPr>
            </w:pPr>
            <w:r w:rsidRPr="006218CF">
              <w:rPr>
                <w:rFonts w:ascii="Times New Roman" w:eastAsia="Times New Roman" w:hAnsi="Times New Roman" w:cs="Times New Roman"/>
                <w:color w:val="auto"/>
                <w:sz w:val="20"/>
                <w:szCs w:val="20"/>
              </w:rPr>
              <w:t>Pravovremeno obavješćivanje o</w:t>
            </w:r>
          </w:p>
          <w:p w14:paraId="7005C1A5" w14:textId="7861DF9D" w:rsidR="00C220D8" w:rsidRPr="004D6E3E" w:rsidRDefault="00C93FB2" w:rsidP="00AB377C">
            <w:pPr>
              <w:spacing w:after="0" w:line="240" w:lineRule="auto"/>
              <w:ind w:left="0" w:right="0" w:firstLine="0"/>
              <w:jc w:val="left"/>
              <w:rPr>
                <w:rFonts w:ascii="Times New Roman" w:eastAsia="Times New Roman" w:hAnsi="Times New Roman" w:cs="Times New Roman"/>
                <w:color w:val="00B050"/>
                <w:sz w:val="20"/>
                <w:szCs w:val="20"/>
              </w:rPr>
            </w:pPr>
            <w:r w:rsidRPr="006218CF">
              <w:rPr>
                <w:rFonts w:ascii="Times New Roman" w:eastAsia="Times New Roman" w:hAnsi="Times New Roman" w:cs="Times New Roman"/>
                <w:color w:val="auto"/>
                <w:sz w:val="20"/>
                <w:szCs w:val="20"/>
              </w:rPr>
              <w:t>nadolazećoj opasnosti.</w:t>
            </w:r>
          </w:p>
        </w:tc>
        <w:tc>
          <w:tcPr>
            <w:tcW w:w="1398" w:type="dxa"/>
            <w:tcBorders>
              <w:top w:val="single" w:sz="4" w:space="0" w:color="000000"/>
              <w:left w:val="single" w:sz="4" w:space="0" w:color="000000"/>
              <w:bottom w:val="single" w:sz="4" w:space="0" w:color="000000"/>
              <w:right w:val="single" w:sz="4" w:space="0" w:color="000000"/>
            </w:tcBorders>
          </w:tcPr>
          <w:p w14:paraId="27E2C1CA" w14:textId="446EF925" w:rsidR="00751F30" w:rsidRPr="004D6E3E" w:rsidRDefault="00F3644E" w:rsidP="00AB377C">
            <w:pPr>
              <w:spacing w:after="0" w:line="240" w:lineRule="auto"/>
              <w:ind w:left="0" w:right="0" w:firstLine="0"/>
              <w:jc w:val="left"/>
              <w:rPr>
                <w:rFonts w:ascii="Times New Roman" w:eastAsia="Times New Roman" w:hAnsi="Times New Roman" w:cs="Times New Roman"/>
                <w:color w:val="00B050"/>
                <w:sz w:val="20"/>
                <w:szCs w:val="20"/>
              </w:rPr>
            </w:pPr>
            <w:r w:rsidRPr="006218CF">
              <w:rPr>
                <w:rFonts w:ascii="Times New Roman" w:eastAsia="Times New Roman" w:hAnsi="Times New Roman" w:cs="Times New Roman"/>
                <w:color w:val="auto"/>
                <w:sz w:val="20"/>
                <w:szCs w:val="20"/>
              </w:rPr>
              <w:t xml:space="preserve">Uzbunjivanje, evakuacija, zbrinjavanje, sklanjanje, spašavanje, </w:t>
            </w:r>
            <w:r w:rsidR="00751F30" w:rsidRPr="006218CF">
              <w:rPr>
                <w:rFonts w:ascii="Times New Roman" w:eastAsia="Times New Roman" w:hAnsi="Times New Roman" w:cs="Times New Roman"/>
                <w:color w:val="auto"/>
                <w:sz w:val="20"/>
                <w:szCs w:val="20"/>
              </w:rPr>
              <w:t xml:space="preserve">preseljenje, </w:t>
            </w:r>
            <w:r w:rsidRPr="006218CF">
              <w:rPr>
                <w:rFonts w:ascii="Times New Roman" w:eastAsia="Times New Roman" w:hAnsi="Times New Roman" w:cs="Times New Roman"/>
                <w:color w:val="auto"/>
                <w:sz w:val="20"/>
                <w:szCs w:val="20"/>
              </w:rPr>
              <w:t>pružanje prve pomoći</w:t>
            </w:r>
            <w:r w:rsidR="00751F30" w:rsidRPr="006218CF">
              <w:rPr>
                <w:rFonts w:ascii="Times New Roman" w:eastAsia="Times New Roman" w:hAnsi="Times New Roman" w:cs="Times New Roman"/>
                <w:color w:val="auto"/>
                <w:sz w:val="20"/>
                <w:szCs w:val="20"/>
              </w:rPr>
              <w:t>, mjere za smanjenje razine kontaminacije u poljoprivrednim proizvodima, ograničenja konzumacije i distribucije potencijalno kontaminirane hrane, mlijeka i hrane za životinje, dekontaminacija stanovništva, sudionika odgovora, objekata, otvorenih površina i dr.</w:t>
            </w:r>
          </w:p>
        </w:tc>
      </w:tr>
      <w:tr w:rsidR="00C220D8" w:rsidRPr="00C00905" w14:paraId="26D18FE7" w14:textId="77777777" w:rsidTr="00B51AE1">
        <w:trPr>
          <w:cantSplit/>
          <w:tblHeader/>
          <w:jc w:val="center"/>
        </w:trPr>
        <w:tc>
          <w:tcPr>
            <w:tcW w:w="541" w:type="dxa"/>
            <w:tcBorders>
              <w:top w:val="single" w:sz="4" w:space="0" w:color="000000"/>
              <w:left w:val="single" w:sz="4" w:space="0" w:color="000000"/>
              <w:bottom w:val="single" w:sz="4" w:space="0" w:color="000000"/>
              <w:right w:val="single" w:sz="4" w:space="0" w:color="000000"/>
            </w:tcBorders>
          </w:tcPr>
          <w:p w14:paraId="1902A6D4" w14:textId="77777777" w:rsidR="00C220D8" w:rsidRPr="006218CF" w:rsidRDefault="00E4458B" w:rsidP="00AB377C">
            <w:pPr>
              <w:spacing w:after="0" w:line="240" w:lineRule="auto"/>
              <w:ind w:left="0" w:right="0" w:firstLine="0"/>
              <w:jc w:val="center"/>
              <w:rPr>
                <w:rFonts w:ascii="Times New Roman" w:eastAsia="Times New Roman" w:hAnsi="Times New Roman" w:cs="Times New Roman"/>
                <w:color w:val="auto"/>
                <w:sz w:val="20"/>
                <w:szCs w:val="20"/>
              </w:rPr>
            </w:pPr>
            <w:r w:rsidRPr="006218CF">
              <w:rPr>
                <w:rFonts w:ascii="Times New Roman" w:eastAsia="Times New Roman" w:hAnsi="Times New Roman" w:cs="Times New Roman"/>
                <w:color w:val="auto"/>
                <w:sz w:val="20"/>
                <w:szCs w:val="20"/>
              </w:rPr>
              <w:t>7.</w:t>
            </w:r>
          </w:p>
        </w:tc>
        <w:tc>
          <w:tcPr>
            <w:tcW w:w="1155" w:type="dxa"/>
            <w:tcBorders>
              <w:top w:val="single" w:sz="4" w:space="0" w:color="000000"/>
              <w:left w:val="single" w:sz="4" w:space="0" w:color="000000"/>
              <w:bottom w:val="single" w:sz="4" w:space="0" w:color="000000"/>
              <w:right w:val="single" w:sz="4" w:space="0" w:color="000000"/>
            </w:tcBorders>
          </w:tcPr>
          <w:p w14:paraId="15C6E152" w14:textId="77777777" w:rsidR="00C220D8" w:rsidRPr="006218CF" w:rsidRDefault="00E4458B" w:rsidP="00AB377C">
            <w:pPr>
              <w:spacing w:after="0" w:line="240" w:lineRule="auto"/>
              <w:ind w:left="0" w:right="0" w:firstLine="0"/>
              <w:jc w:val="left"/>
              <w:rPr>
                <w:rFonts w:ascii="Times New Roman" w:eastAsia="Times New Roman" w:hAnsi="Times New Roman" w:cs="Times New Roman"/>
                <w:color w:val="auto"/>
                <w:sz w:val="20"/>
                <w:szCs w:val="20"/>
              </w:rPr>
            </w:pPr>
            <w:r w:rsidRPr="006218CF">
              <w:rPr>
                <w:rFonts w:ascii="Times New Roman" w:eastAsia="Times New Roman" w:hAnsi="Times New Roman" w:cs="Times New Roman"/>
                <w:color w:val="auto"/>
                <w:sz w:val="20"/>
                <w:szCs w:val="20"/>
              </w:rPr>
              <w:t>Klizišta</w:t>
            </w:r>
          </w:p>
        </w:tc>
        <w:tc>
          <w:tcPr>
            <w:tcW w:w="2065" w:type="dxa"/>
            <w:tcBorders>
              <w:top w:val="single" w:sz="4" w:space="0" w:color="000000"/>
              <w:left w:val="single" w:sz="4" w:space="0" w:color="000000"/>
              <w:bottom w:val="single" w:sz="4" w:space="0" w:color="000000"/>
              <w:right w:val="single" w:sz="4" w:space="0" w:color="000000"/>
            </w:tcBorders>
          </w:tcPr>
          <w:p w14:paraId="06F86A22" w14:textId="5528E513" w:rsidR="0057304C" w:rsidRPr="006218CF" w:rsidRDefault="0057304C" w:rsidP="00AB377C">
            <w:pPr>
              <w:spacing w:after="0" w:line="240" w:lineRule="auto"/>
              <w:ind w:left="0" w:right="0" w:firstLine="0"/>
              <w:jc w:val="left"/>
              <w:rPr>
                <w:rFonts w:ascii="Times New Roman" w:eastAsia="Times New Roman" w:hAnsi="Times New Roman" w:cs="Times New Roman"/>
                <w:color w:val="auto"/>
                <w:sz w:val="20"/>
                <w:szCs w:val="20"/>
              </w:rPr>
            </w:pPr>
            <w:r w:rsidRPr="006218CF">
              <w:rPr>
                <w:rFonts w:ascii="Times New Roman" w:eastAsia="Times New Roman" w:hAnsi="Times New Roman" w:cs="Times New Roman"/>
                <w:color w:val="auto"/>
                <w:sz w:val="20"/>
                <w:szCs w:val="20"/>
              </w:rPr>
              <w:t>Uzr</w:t>
            </w:r>
            <w:r w:rsidR="00211770">
              <w:rPr>
                <w:rFonts w:ascii="Times New Roman" w:eastAsia="Times New Roman" w:hAnsi="Times New Roman" w:cs="Times New Roman"/>
                <w:color w:val="auto"/>
                <w:sz w:val="20"/>
                <w:szCs w:val="20"/>
              </w:rPr>
              <w:t>o</w:t>
            </w:r>
            <w:r w:rsidRPr="006218CF">
              <w:rPr>
                <w:rFonts w:ascii="Times New Roman" w:eastAsia="Times New Roman" w:hAnsi="Times New Roman" w:cs="Times New Roman"/>
                <w:color w:val="auto"/>
                <w:sz w:val="20"/>
                <w:szCs w:val="20"/>
              </w:rPr>
              <w:t>ci nastanka klizišta</w:t>
            </w:r>
          </w:p>
          <w:p w14:paraId="030C5A1F" w14:textId="77777777" w:rsidR="0057304C" w:rsidRPr="006218CF" w:rsidRDefault="0057304C" w:rsidP="00AB377C">
            <w:pPr>
              <w:spacing w:after="0" w:line="240" w:lineRule="auto"/>
              <w:ind w:left="0" w:right="0" w:firstLine="0"/>
              <w:jc w:val="left"/>
              <w:rPr>
                <w:rFonts w:ascii="Times New Roman" w:eastAsia="Times New Roman" w:hAnsi="Times New Roman" w:cs="Times New Roman"/>
                <w:color w:val="auto"/>
                <w:sz w:val="20"/>
                <w:szCs w:val="20"/>
              </w:rPr>
            </w:pPr>
            <w:r w:rsidRPr="006218CF">
              <w:rPr>
                <w:rFonts w:ascii="Times New Roman" w:eastAsia="Times New Roman" w:hAnsi="Times New Roman" w:cs="Times New Roman"/>
                <w:color w:val="auto"/>
                <w:sz w:val="20"/>
                <w:szCs w:val="20"/>
              </w:rPr>
              <w:t>mogu biti prirodni te oni nastali</w:t>
            </w:r>
          </w:p>
          <w:p w14:paraId="0BE9FA7B" w14:textId="77777777" w:rsidR="0057304C" w:rsidRPr="006218CF" w:rsidRDefault="0057304C" w:rsidP="00AB377C">
            <w:pPr>
              <w:spacing w:after="0" w:line="240" w:lineRule="auto"/>
              <w:ind w:left="0" w:right="0" w:firstLine="0"/>
              <w:jc w:val="left"/>
              <w:rPr>
                <w:rFonts w:ascii="Times New Roman" w:eastAsia="Times New Roman" w:hAnsi="Times New Roman" w:cs="Times New Roman"/>
                <w:color w:val="auto"/>
                <w:sz w:val="20"/>
                <w:szCs w:val="20"/>
              </w:rPr>
            </w:pPr>
            <w:r w:rsidRPr="006218CF">
              <w:rPr>
                <w:rFonts w:ascii="Times New Roman" w:eastAsia="Times New Roman" w:hAnsi="Times New Roman" w:cs="Times New Roman"/>
                <w:color w:val="auto"/>
                <w:sz w:val="20"/>
                <w:szCs w:val="20"/>
              </w:rPr>
              <w:t>ljudskim faktorom, odnosno</w:t>
            </w:r>
          </w:p>
          <w:p w14:paraId="75A462EE" w14:textId="2365DFED" w:rsidR="0057304C" w:rsidRPr="006218CF" w:rsidRDefault="0057304C" w:rsidP="00AB377C">
            <w:pPr>
              <w:spacing w:after="0" w:line="240" w:lineRule="auto"/>
              <w:ind w:left="0" w:right="0" w:firstLine="0"/>
              <w:jc w:val="left"/>
              <w:rPr>
                <w:rFonts w:ascii="Times New Roman" w:eastAsia="Times New Roman" w:hAnsi="Times New Roman" w:cs="Times New Roman"/>
                <w:color w:val="auto"/>
                <w:sz w:val="20"/>
                <w:szCs w:val="20"/>
              </w:rPr>
            </w:pPr>
            <w:r w:rsidRPr="006218CF">
              <w:rPr>
                <w:rFonts w:ascii="Times New Roman" w:eastAsia="Times New Roman" w:hAnsi="Times New Roman" w:cs="Times New Roman"/>
                <w:color w:val="auto"/>
                <w:sz w:val="20"/>
                <w:szCs w:val="20"/>
              </w:rPr>
              <w:t>potaknuti ljudskim aktivnostima.</w:t>
            </w:r>
            <w:r w:rsidR="001D0904">
              <w:rPr>
                <w:rFonts w:ascii="Times New Roman" w:eastAsia="Times New Roman" w:hAnsi="Times New Roman" w:cs="Times New Roman"/>
                <w:color w:val="auto"/>
                <w:sz w:val="20"/>
                <w:szCs w:val="20"/>
              </w:rPr>
              <w:t xml:space="preserve"> </w:t>
            </w:r>
            <w:r w:rsidRPr="006218CF">
              <w:rPr>
                <w:rFonts w:ascii="Times New Roman" w:eastAsia="Times New Roman" w:hAnsi="Times New Roman" w:cs="Times New Roman"/>
                <w:color w:val="auto"/>
                <w:sz w:val="20"/>
                <w:szCs w:val="20"/>
              </w:rPr>
              <w:t>Klizišta</w:t>
            </w:r>
          </w:p>
          <w:p w14:paraId="3E744749" w14:textId="4A8E8C69" w:rsidR="0057304C" w:rsidRPr="006218CF" w:rsidRDefault="0057304C" w:rsidP="00AB377C">
            <w:pPr>
              <w:spacing w:after="0" w:line="240" w:lineRule="auto"/>
              <w:ind w:left="0" w:right="0" w:firstLine="0"/>
              <w:jc w:val="left"/>
              <w:rPr>
                <w:rFonts w:ascii="Times New Roman" w:eastAsia="Times New Roman" w:hAnsi="Times New Roman" w:cs="Times New Roman"/>
                <w:color w:val="auto"/>
                <w:sz w:val="20"/>
                <w:szCs w:val="20"/>
              </w:rPr>
            </w:pPr>
            <w:r w:rsidRPr="006218CF">
              <w:rPr>
                <w:rFonts w:ascii="Times New Roman" w:eastAsia="Times New Roman" w:hAnsi="Times New Roman" w:cs="Times New Roman"/>
                <w:color w:val="auto"/>
                <w:sz w:val="20"/>
                <w:szCs w:val="20"/>
              </w:rPr>
              <w:lastRenderedPageBreak/>
              <w:t xml:space="preserve">se javljaju </w:t>
            </w:r>
            <w:r w:rsidR="001D0904">
              <w:rPr>
                <w:rFonts w:ascii="Times New Roman" w:eastAsia="Times New Roman" w:hAnsi="Times New Roman" w:cs="Times New Roman"/>
                <w:color w:val="auto"/>
                <w:sz w:val="20"/>
                <w:szCs w:val="20"/>
              </w:rPr>
              <w:t>nakon</w:t>
            </w:r>
            <w:r w:rsidRPr="006218CF">
              <w:rPr>
                <w:rFonts w:ascii="Times New Roman" w:eastAsia="Times New Roman" w:hAnsi="Times New Roman" w:cs="Times New Roman"/>
                <w:color w:val="auto"/>
                <w:sz w:val="20"/>
                <w:szCs w:val="20"/>
              </w:rPr>
              <w:t xml:space="preserve"> razdoblj</w:t>
            </w:r>
            <w:r w:rsidR="001D0904">
              <w:rPr>
                <w:rFonts w:ascii="Times New Roman" w:eastAsia="Times New Roman" w:hAnsi="Times New Roman" w:cs="Times New Roman"/>
                <w:color w:val="auto"/>
                <w:sz w:val="20"/>
                <w:szCs w:val="20"/>
              </w:rPr>
              <w:t>a</w:t>
            </w:r>
            <w:r w:rsidRPr="006218CF">
              <w:rPr>
                <w:rFonts w:ascii="Times New Roman" w:eastAsia="Times New Roman" w:hAnsi="Times New Roman" w:cs="Times New Roman"/>
                <w:color w:val="auto"/>
                <w:sz w:val="20"/>
                <w:szCs w:val="20"/>
              </w:rPr>
              <w:t xml:space="preserve"> velikih</w:t>
            </w:r>
          </w:p>
          <w:p w14:paraId="0DDF9B0E" w14:textId="77777777" w:rsidR="0057304C" w:rsidRPr="006218CF" w:rsidRDefault="0057304C" w:rsidP="00AB377C">
            <w:pPr>
              <w:spacing w:after="0" w:line="240" w:lineRule="auto"/>
              <w:ind w:left="0" w:right="0" w:firstLine="0"/>
              <w:jc w:val="left"/>
              <w:rPr>
                <w:rFonts w:ascii="Times New Roman" w:eastAsia="Times New Roman" w:hAnsi="Times New Roman" w:cs="Times New Roman"/>
                <w:color w:val="auto"/>
                <w:sz w:val="20"/>
                <w:szCs w:val="20"/>
              </w:rPr>
            </w:pPr>
            <w:r w:rsidRPr="006218CF">
              <w:rPr>
                <w:rFonts w:ascii="Times New Roman" w:eastAsia="Times New Roman" w:hAnsi="Times New Roman" w:cs="Times New Roman"/>
                <w:color w:val="auto"/>
                <w:sz w:val="20"/>
                <w:szCs w:val="20"/>
              </w:rPr>
              <w:t>količina oborina, topljenja snijega,</w:t>
            </w:r>
          </w:p>
          <w:p w14:paraId="09BEB326" w14:textId="564C3244" w:rsidR="00C220D8" w:rsidRPr="00C220D8" w:rsidRDefault="0057304C" w:rsidP="00AB377C">
            <w:pPr>
              <w:spacing w:after="0" w:line="240" w:lineRule="auto"/>
              <w:ind w:left="0" w:right="0" w:firstLine="0"/>
              <w:jc w:val="left"/>
              <w:rPr>
                <w:rFonts w:ascii="Times New Roman" w:eastAsia="Times New Roman" w:hAnsi="Times New Roman" w:cs="Times New Roman"/>
                <w:color w:val="00B050"/>
                <w:sz w:val="20"/>
                <w:szCs w:val="20"/>
              </w:rPr>
            </w:pPr>
            <w:r w:rsidRPr="006218CF">
              <w:rPr>
                <w:rFonts w:ascii="Times New Roman" w:eastAsia="Times New Roman" w:hAnsi="Times New Roman" w:cs="Times New Roman"/>
                <w:color w:val="auto"/>
                <w:sz w:val="20"/>
                <w:szCs w:val="20"/>
              </w:rPr>
              <w:t>povlačenja podzemnih voda.</w:t>
            </w:r>
          </w:p>
        </w:tc>
        <w:tc>
          <w:tcPr>
            <w:tcW w:w="1945" w:type="dxa"/>
            <w:tcBorders>
              <w:top w:val="single" w:sz="4" w:space="0" w:color="000000"/>
              <w:left w:val="single" w:sz="4" w:space="0" w:color="000000"/>
              <w:bottom w:val="single" w:sz="4" w:space="0" w:color="000000"/>
              <w:right w:val="single" w:sz="4" w:space="0" w:color="000000"/>
            </w:tcBorders>
          </w:tcPr>
          <w:p w14:paraId="14FFB1F7" w14:textId="77777777" w:rsidR="001D0904" w:rsidRPr="006218CF" w:rsidRDefault="001D0904" w:rsidP="00AB377C">
            <w:pPr>
              <w:spacing w:after="0" w:line="240" w:lineRule="auto"/>
              <w:ind w:left="0" w:right="0" w:firstLine="0"/>
              <w:jc w:val="left"/>
              <w:rPr>
                <w:rFonts w:ascii="Times New Roman" w:eastAsia="Times New Roman" w:hAnsi="Times New Roman" w:cs="Times New Roman"/>
                <w:color w:val="auto"/>
                <w:sz w:val="20"/>
                <w:szCs w:val="20"/>
              </w:rPr>
            </w:pPr>
            <w:r w:rsidRPr="006218CF">
              <w:rPr>
                <w:rFonts w:ascii="Times New Roman" w:eastAsia="Times New Roman" w:hAnsi="Times New Roman" w:cs="Times New Roman"/>
                <w:color w:val="auto"/>
                <w:sz w:val="20"/>
                <w:szCs w:val="20"/>
              </w:rPr>
              <w:lastRenderedPageBreak/>
              <w:t>Klizišta mogu uzrokovati štetu</w:t>
            </w:r>
          </w:p>
          <w:p w14:paraId="305B075B" w14:textId="77777777" w:rsidR="001D0904" w:rsidRPr="006218CF" w:rsidRDefault="001D0904" w:rsidP="00AB377C">
            <w:pPr>
              <w:spacing w:after="0" w:line="240" w:lineRule="auto"/>
              <w:ind w:left="0" w:right="0" w:firstLine="0"/>
              <w:jc w:val="left"/>
              <w:rPr>
                <w:rFonts w:ascii="Times New Roman" w:eastAsia="Times New Roman" w:hAnsi="Times New Roman" w:cs="Times New Roman"/>
                <w:color w:val="auto"/>
                <w:sz w:val="20"/>
                <w:szCs w:val="20"/>
              </w:rPr>
            </w:pPr>
            <w:r w:rsidRPr="006218CF">
              <w:rPr>
                <w:rFonts w:ascii="Times New Roman" w:eastAsia="Times New Roman" w:hAnsi="Times New Roman" w:cs="Times New Roman"/>
                <w:color w:val="auto"/>
                <w:sz w:val="20"/>
                <w:szCs w:val="20"/>
              </w:rPr>
              <w:t>na materijalnim i kulturnim</w:t>
            </w:r>
          </w:p>
          <w:p w14:paraId="2F35F17F" w14:textId="5EDEE277" w:rsidR="005E14BF" w:rsidRPr="006218CF" w:rsidRDefault="001D0904" w:rsidP="005E14BF">
            <w:pPr>
              <w:spacing w:after="0" w:line="240" w:lineRule="auto"/>
              <w:ind w:left="0" w:right="0" w:firstLine="0"/>
              <w:jc w:val="left"/>
              <w:rPr>
                <w:rFonts w:ascii="Times New Roman" w:eastAsia="Times New Roman" w:hAnsi="Times New Roman" w:cs="Times New Roman"/>
                <w:color w:val="auto"/>
                <w:sz w:val="20"/>
                <w:szCs w:val="20"/>
              </w:rPr>
            </w:pPr>
            <w:r w:rsidRPr="006218CF">
              <w:rPr>
                <w:rFonts w:ascii="Times New Roman" w:eastAsia="Times New Roman" w:hAnsi="Times New Roman" w:cs="Times New Roman"/>
                <w:color w:val="auto"/>
                <w:sz w:val="20"/>
                <w:szCs w:val="20"/>
              </w:rPr>
              <w:t xml:space="preserve">dobrima te okolišu, </w:t>
            </w:r>
          </w:p>
          <w:p w14:paraId="63E14F08" w14:textId="1CE8E398" w:rsidR="001D0904" w:rsidRPr="006218CF" w:rsidRDefault="001D0904" w:rsidP="00AB377C">
            <w:pPr>
              <w:spacing w:after="0" w:line="240" w:lineRule="auto"/>
              <w:ind w:left="0" w:right="0" w:firstLine="0"/>
              <w:jc w:val="left"/>
              <w:rPr>
                <w:rFonts w:ascii="Times New Roman" w:eastAsia="Times New Roman" w:hAnsi="Times New Roman" w:cs="Times New Roman"/>
                <w:color w:val="auto"/>
                <w:sz w:val="20"/>
                <w:szCs w:val="20"/>
              </w:rPr>
            </w:pPr>
            <w:r w:rsidRPr="006218CF">
              <w:rPr>
                <w:rFonts w:ascii="Times New Roman" w:eastAsia="Times New Roman" w:hAnsi="Times New Roman" w:cs="Times New Roman"/>
                <w:color w:val="auto"/>
                <w:sz w:val="20"/>
                <w:szCs w:val="20"/>
              </w:rPr>
              <w:t xml:space="preserve">stambenim </w:t>
            </w:r>
            <w:r w:rsidR="005E14BF">
              <w:rPr>
                <w:rFonts w:ascii="Times New Roman" w:eastAsia="Times New Roman" w:hAnsi="Times New Roman" w:cs="Times New Roman"/>
                <w:color w:val="auto"/>
                <w:sz w:val="20"/>
                <w:szCs w:val="20"/>
              </w:rPr>
              <w:t>objektima</w:t>
            </w:r>
            <w:r w:rsidR="00211770">
              <w:rPr>
                <w:rFonts w:ascii="Times New Roman" w:eastAsia="Times New Roman" w:hAnsi="Times New Roman" w:cs="Times New Roman"/>
                <w:color w:val="auto"/>
                <w:sz w:val="20"/>
                <w:szCs w:val="20"/>
              </w:rPr>
              <w:t>,</w:t>
            </w:r>
            <w:r w:rsidR="005E14BF">
              <w:rPr>
                <w:rFonts w:ascii="Times New Roman" w:eastAsia="Times New Roman" w:hAnsi="Times New Roman" w:cs="Times New Roman"/>
                <w:color w:val="auto"/>
                <w:sz w:val="20"/>
                <w:szCs w:val="20"/>
              </w:rPr>
              <w:t xml:space="preserve"> </w:t>
            </w:r>
            <w:r w:rsidRPr="006218CF">
              <w:rPr>
                <w:rFonts w:ascii="Times New Roman" w:eastAsia="Times New Roman" w:hAnsi="Times New Roman" w:cs="Times New Roman"/>
                <w:color w:val="auto"/>
                <w:sz w:val="20"/>
                <w:szCs w:val="20"/>
              </w:rPr>
              <w:t xml:space="preserve"> objektima</w:t>
            </w:r>
          </w:p>
          <w:p w14:paraId="55A1D194" w14:textId="46D2C926" w:rsidR="001D0904" w:rsidRPr="006218CF" w:rsidRDefault="001D0904" w:rsidP="00AB377C">
            <w:pPr>
              <w:spacing w:after="0" w:line="240" w:lineRule="auto"/>
              <w:ind w:left="0" w:right="0" w:firstLine="0"/>
              <w:jc w:val="left"/>
              <w:rPr>
                <w:rFonts w:ascii="Times New Roman" w:eastAsia="Times New Roman" w:hAnsi="Times New Roman" w:cs="Times New Roman"/>
                <w:color w:val="auto"/>
                <w:sz w:val="20"/>
                <w:szCs w:val="20"/>
              </w:rPr>
            </w:pPr>
            <w:r w:rsidRPr="006218CF">
              <w:rPr>
                <w:rFonts w:ascii="Times New Roman" w:eastAsia="Times New Roman" w:hAnsi="Times New Roman" w:cs="Times New Roman"/>
                <w:color w:val="auto"/>
                <w:sz w:val="20"/>
                <w:szCs w:val="20"/>
              </w:rPr>
              <w:t>komunalne</w:t>
            </w:r>
          </w:p>
          <w:p w14:paraId="3BF1F548" w14:textId="7684A764" w:rsidR="001D0904" w:rsidRPr="006218CF" w:rsidRDefault="001D0904" w:rsidP="00AB377C">
            <w:pPr>
              <w:spacing w:after="0" w:line="240" w:lineRule="auto"/>
              <w:ind w:left="0" w:right="0" w:firstLine="0"/>
              <w:jc w:val="left"/>
              <w:rPr>
                <w:rFonts w:ascii="Times New Roman" w:eastAsia="Times New Roman" w:hAnsi="Times New Roman" w:cs="Times New Roman"/>
                <w:color w:val="auto"/>
                <w:sz w:val="20"/>
                <w:szCs w:val="20"/>
              </w:rPr>
            </w:pPr>
            <w:r w:rsidRPr="006218CF">
              <w:rPr>
                <w:rFonts w:ascii="Times New Roman" w:eastAsia="Times New Roman" w:hAnsi="Times New Roman" w:cs="Times New Roman"/>
                <w:color w:val="auto"/>
                <w:sz w:val="20"/>
                <w:szCs w:val="20"/>
              </w:rPr>
              <w:lastRenderedPageBreak/>
              <w:t xml:space="preserve">infrastrukture, </w:t>
            </w:r>
            <w:r w:rsidR="003E5715">
              <w:rPr>
                <w:rFonts w:ascii="Times New Roman" w:eastAsia="Times New Roman" w:hAnsi="Times New Roman" w:cs="Times New Roman"/>
                <w:color w:val="auto"/>
                <w:sz w:val="20"/>
                <w:szCs w:val="20"/>
              </w:rPr>
              <w:t xml:space="preserve">te doprinijeti </w:t>
            </w:r>
            <w:r w:rsidRPr="006218CF">
              <w:rPr>
                <w:rFonts w:ascii="Times New Roman" w:eastAsia="Times New Roman" w:hAnsi="Times New Roman" w:cs="Times New Roman"/>
                <w:color w:val="auto"/>
                <w:sz w:val="20"/>
                <w:szCs w:val="20"/>
              </w:rPr>
              <w:t>zastoj</w:t>
            </w:r>
            <w:r w:rsidR="003E5715">
              <w:rPr>
                <w:rFonts w:ascii="Times New Roman" w:eastAsia="Times New Roman" w:hAnsi="Times New Roman" w:cs="Times New Roman"/>
                <w:color w:val="auto"/>
                <w:sz w:val="20"/>
                <w:szCs w:val="20"/>
              </w:rPr>
              <w:t>u</w:t>
            </w:r>
            <w:r w:rsidRPr="006218CF">
              <w:rPr>
                <w:rFonts w:ascii="Times New Roman" w:eastAsia="Times New Roman" w:hAnsi="Times New Roman" w:cs="Times New Roman"/>
                <w:color w:val="auto"/>
                <w:sz w:val="20"/>
                <w:szCs w:val="20"/>
              </w:rPr>
              <w:t xml:space="preserve"> u prometu</w:t>
            </w:r>
          </w:p>
          <w:p w14:paraId="73EB80A8" w14:textId="07EAD38E" w:rsidR="00C220D8" w:rsidRPr="00C220D8" w:rsidRDefault="001D0904" w:rsidP="00AB377C">
            <w:pPr>
              <w:spacing w:after="0" w:line="240" w:lineRule="auto"/>
              <w:ind w:left="0" w:right="0" w:firstLine="0"/>
              <w:jc w:val="left"/>
              <w:rPr>
                <w:rFonts w:ascii="Times New Roman" w:eastAsia="Times New Roman" w:hAnsi="Times New Roman" w:cs="Times New Roman"/>
                <w:color w:val="00B050"/>
                <w:sz w:val="20"/>
                <w:szCs w:val="20"/>
              </w:rPr>
            </w:pPr>
            <w:r>
              <w:rPr>
                <w:rFonts w:ascii="Times New Roman" w:eastAsia="Times New Roman" w:hAnsi="Times New Roman" w:cs="Times New Roman"/>
                <w:color w:val="auto"/>
                <w:sz w:val="20"/>
                <w:szCs w:val="20"/>
              </w:rPr>
              <w:t>zbog uništenih</w:t>
            </w:r>
            <w:r w:rsidRPr="006218CF">
              <w:rPr>
                <w:rFonts w:ascii="Times New Roman" w:eastAsia="Times New Roman" w:hAnsi="Times New Roman" w:cs="Times New Roman"/>
                <w:color w:val="auto"/>
                <w:sz w:val="20"/>
                <w:szCs w:val="20"/>
              </w:rPr>
              <w:t xml:space="preserve"> prometnic</w:t>
            </w:r>
            <w:r>
              <w:rPr>
                <w:rFonts w:ascii="Times New Roman" w:eastAsia="Times New Roman" w:hAnsi="Times New Roman" w:cs="Times New Roman"/>
                <w:color w:val="auto"/>
                <w:sz w:val="20"/>
                <w:szCs w:val="20"/>
              </w:rPr>
              <w:t>a</w:t>
            </w:r>
            <w:r w:rsidRPr="006218CF">
              <w:rPr>
                <w:rFonts w:ascii="Times New Roman" w:eastAsia="Times New Roman" w:hAnsi="Times New Roman" w:cs="Times New Roman"/>
                <w:color w:val="auto"/>
                <w:sz w:val="20"/>
                <w:szCs w:val="20"/>
              </w:rPr>
              <w:t>.</w:t>
            </w:r>
          </w:p>
        </w:tc>
        <w:tc>
          <w:tcPr>
            <w:tcW w:w="1960" w:type="dxa"/>
            <w:tcBorders>
              <w:top w:val="single" w:sz="4" w:space="0" w:color="000000"/>
              <w:left w:val="single" w:sz="4" w:space="0" w:color="000000"/>
              <w:bottom w:val="single" w:sz="4" w:space="0" w:color="000000"/>
              <w:right w:val="single" w:sz="4" w:space="0" w:color="000000"/>
            </w:tcBorders>
          </w:tcPr>
          <w:p w14:paraId="7C39EEAF" w14:textId="07960015" w:rsidR="006D06CB" w:rsidRPr="006D06CB" w:rsidRDefault="006D06CB" w:rsidP="006D06CB">
            <w:pPr>
              <w:spacing w:after="0" w:line="240" w:lineRule="auto"/>
              <w:ind w:left="0" w:right="0" w:firstLine="0"/>
              <w:jc w:val="left"/>
              <w:rPr>
                <w:rFonts w:ascii="Times New Roman" w:eastAsia="Times New Roman" w:hAnsi="Times New Roman" w:cs="Times New Roman"/>
                <w:color w:val="auto"/>
                <w:sz w:val="20"/>
                <w:szCs w:val="20"/>
              </w:rPr>
            </w:pPr>
            <w:r w:rsidRPr="006D06CB">
              <w:rPr>
                <w:rFonts w:ascii="Times New Roman" w:eastAsia="Times New Roman" w:hAnsi="Times New Roman" w:cs="Times New Roman"/>
                <w:color w:val="auto"/>
                <w:sz w:val="20"/>
                <w:szCs w:val="20"/>
              </w:rPr>
              <w:lastRenderedPageBreak/>
              <w:t xml:space="preserve">Ugradnja drvenih ili betonskih pilota u tlo, ugradnja drenažnog materijala u svrhu odvodnje vode, uređenje površinske odvodnje i sprečavanje inflatracije vode u tlo </w:t>
            </w:r>
            <w:r w:rsidRPr="006D06CB">
              <w:rPr>
                <w:rFonts w:ascii="Times New Roman" w:eastAsia="Times New Roman" w:hAnsi="Times New Roman" w:cs="Times New Roman"/>
                <w:color w:val="auto"/>
                <w:sz w:val="20"/>
                <w:szCs w:val="20"/>
              </w:rPr>
              <w:lastRenderedPageBreak/>
              <w:t>na već aktiviranim klizištima, betonski blokovi za kratkotrajnu stabilizaciju</w:t>
            </w:r>
            <w:r w:rsidR="00211770">
              <w:rPr>
                <w:rFonts w:ascii="Times New Roman" w:eastAsia="Times New Roman" w:hAnsi="Times New Roman" w:cs="Times New Roman"/>
                <w:color w:val="auto"/>
                <w:sz w:val="20"/>
                <w:szCs w:val="20"/>
              </w:rPr>
              <w:t>.</w:t>
            </w:r>
          </w:p>
          <w:p w14:paraId="5586B8C4" w14:textId="77777777" w:rsidR="006D06CB" w:rsidRPr="006D06CB" w:rsidRDefault="006D06CB" w:rsidP="006D06CB">
            <w:pPr>
              <w:spacing w:after="0" w:line="240" w:lineRule="auto"/>
              <w:ind w:left="0" w:right="0" w:firstLine="0"/>
              <w:jc w:val="left"/>
              <w:rPr>
                <w:rFonts w:ascii="Times New Roman" w:eastAsia="Times New Roman" w:hAnsi="Times New Roman" w:cs="Times New Roman"/>
                <w:color w:val="auto"/>
                <w:sz w:val="20"/>
                <w:szCs w:val="20"/>
              </w:rPr>
            </w:pPr>
            <w:r w:rsidRPr="006D06CB">
              <w:rPr>
                <w:rFonts w:ascii="Times New Roman" w:eastAsia="Times New Roman" w:hAnsi="Times New Roman" w:cs="Times New Roman"/>
                <w:color w:val="auto"/>
                <w:sz w:val="20"/>
                <w:szCs w:val="20"/>
              </w:rPr>
              <w:t>Dugoročne mjere</w:t>
            </w:r>
          </w:p>
          <w:p w14:paraId="2CB3B4A7" w14:textId="2C6B2786" w:rsidR="00C220D8" w:rsidRPr="006D06CB" w:rsidRDefault="006D06CB" w:rsidP="006D06CB">
            <w:pPr>
              <w:spacing w:after="0" w:line="240" w:lineRule="auto"/>
              <w:ind w:left="0" w:right="0" w:firstLine="0"/>
              <w:jc w:val="left"/>
              <w:rPr>
                <w:rFonts w:ascii="Times New Roman" w:eastAsia="Times New Roman" w:hAnsi="Times New Roman" w:cs="Times New Roman"/>
                <w:color w:val="auto"/>
                <w:sz w:val="20"/>
                <w:szCs w:val="20"/>
              </w:rPr>
            </w:pPr>
            <w:r w:rsidRPr="006D06CB">
              <w:rPr>
                <w:rFonts w:ascii="Times New Roman" w:eastAsia="Times New Roman" w:hAnsi="Times New Roman" w:cs="Times New Roman"/>
                <w:color w:val="auto"/>
                <w:sz w:val="20"/>
                <w:szCs w:val="20"/>
              </w:rPr>
              <w:t>su pošumljavanje, izrada potpornih zidova i drenažnih sustava.</w:t>
            </w:r>
          </w:p>
        </w:tc>
        <w:tc>
          <w:tcPr>
            <w:tcW w:w="1398" w:type="dxa"/>
            <w:tcBorders>
              <w:top w:val="single" w:sz="4" w:space="0" w:color="000000"/>
              <w:left w:val="single" w:sz="4" w:space="0" w:color="000000"/>
              <w:bottom w:val="single" w:sz="4" w:space="0" w:color="000000"/>
              <w:right w:val="single" w:sz="4" w:space="0" w:color="000000"/>
            </w:tcBorders>
          </w:tcPr>
          <w:p w14:paraId="2E1AB337" w14:textId="77777777" w:rsidR="006D06CB" w:rsidRPr="006D06CB" w:rsidRDefault="006D06CB" w:rsidP="006D06CB">
            <w:pPr>
              <w:spacing w:after="0" w:line="240" w:lineRule="auto"/>
              <w:ind w:left="0" w:right="0" w:firstLine="0"/>
              <w:jc w:val="left"/>
              <w:rPr>
                <w:rFonts w:ascii="Times New Roman" w:eastAsia="Times New Roman" w:hAnsi="Times New Roman" w:cs="Times New Roman"/>
                <w:color w:val="auto"/>
                <w:sz w:val="20"/>
                <w:szCs w:val="20"/>
              </w:rPr>
            </w:pPr>
            <w:r w:rsidRPr="006D06CB">
              <w:rPr>
                <w:rFonts w:ascii="Times New Roman" w:eastAsia="Times New Roman" w:hAnsi="Times New Roman" w:cs="Times New Roman"/>
                <w:color w:val="auto"/>
                <w:sz w:val="20"/>
                <w:szCs w:val="20"/>
              </w:rPr>
              <w:lastRenderedPageBreak/>
              <w:t xml:space="preserve">Poduzimanje mjera ovisi o procjeni ugroze, pa se tako može vršiti monitoring klizišta, </w:t>
            </w:r>
            <w:r w:rsidRPr="006D06CB">
              <w:rPr>
                <w:rFonts w:ascii="Times New Roman" w:eastAsia="Times New Roman" w:hAnsi="Times New Roman" w:cs="Times New Roman"/>
                <w:color w:val="auto"/>
                <w:sz w:val="20"/>
                <w:szCs w:val="20"/>
              </w:rPr>
              <w:lastRenderedPageBreak/>
              <w:t xml:space="preserve">sanacija samog klizišta ili </w:t>
            </w:r>
          </w:p>
          <w:p w14:paraId="05263BD2" w14:textId="515A1959" w:rsidR="00C220D8" w:rsidRPr="004D6E3E" w:rsidRDefault="006D06CB" w:rsidP="006D06CB">
            <w:pPr>
              <w:spacing w:after="0" w:line="240" w:lineRule="auto"/>
              <w:ind w:left="0" w:right="0" w:firstLine="0"/>
              <w:jc w:val="left"/>
              <w:rPr>
                <w:rFonts w:ascii="Times New Roman" w:eastAsia="Times New Roman" w:hAnsi="Times New Roman" w:cs="Times New Roman"/>
                <w:color w:val="00B050"/>
                <w:sz w:val="20"/>
                <w:szCs w:val="20"/>
              </w:rPr>
            </w:pPr>
            <w:r w:rsidRPr="006D06CB">
              <w:rPr>
                <w:rFonts w:ascii="Times New Roman" w:eastAsia="Times New Roman" w:hAnsi="Times New Roman" w:cs="Times New Roman"/>
                <w:color w:val="auto"/>
                <w:sz w:val="20"/>
                <w:szCs w:val="20"/>
              </w:rPr>
              <w:t>evakuacija ugroženog stanovništva</w:t>
            </w:r>
          </w:p>
        </w:tc>
      </w:tr>
      <w:tr w:rsidR="00C220D8" w:rsidRPr="00C00905" w14:paraId="7A037804" w14:textId="77777777" w:rsidTr="00B51AE1">
        <w:trPr>
          <w:cantSplit/>
          <w:tblHeader/>
          <w:jc w:val="center"/>
        </w:trPr>
        <w:tc>
          <w:tcPr>
            <w:tcW w:w="541" w:type="dxa"/>
            <w:tcBorders>
              <w:top w:val="single" w:sz="4" w:space="0" w:color="000000"/>
              <w:left w:val="single" w:sz="4" w:space="0" w:color="000000"/>
              <w:bottom w:val="single" w:sz="4" w:space="0" w:color="000000"/>
              <w:right w:val="single" w:sz="4" w:space="0" w:color="000000"/>
            </w:tcBorders>
          </w:tcPr>
          <w:p w14:paraId="508A55A0" w14:textId="77777777" w:rsidR="00C220D8" w:rsidRPr="006218CF" w:rsidRDefault="00C220D8" w:rsidP="00AB377C">
            <w:pPr>
              <w:spacing w:after="0" w:line="240" w:lineRule="auto"/>
              <w:ind w:left="0" w:right="0" w:firstLine="0"/>
              <w:jc w:val="center"/>
              <w:rPr>
                <w:rFonts w:ascii="Times New Roman" w:eastAsia="Times New Roman" w:hAnsi="Times New Roman" w:cs="Times New Roman"/>
                <w:color w:val="auto"/>
                <w:sz w:val="20"/>
                <w:szCs w:val="20"/>
              </w:rPr>
            </w:pPr>
            <w:r w:rsidRPr="006218CF">
              <w:rPr>
                <w:rFonts w:ascii="Times New Roman" w:eastAsia="Times New Roman" w:hAnsi="Times New Roman" w:cs="Times New Roman"/>
                <w:color w:val="auto"/>
                <w:sz w:val="20"/>
                <w:szCs w:val="20"/>
              </w:rPr>
              <w:lastRenderedPageBreak/>
              <w:t>8.</w:t>
            </w:r>
          </w:p>
        </w:tc>
        <w:tc>
          <w:tcPr>
            <w:tcW w:w="1155" w:type="dxa"/>
            <w:tcBorders>
              <w:top w:val="single" w:sz="4" w:space="0" w:color="000000"/>
              <w:left w:val="single" w:sz="4" w:space="0" w:color="000000"/>
              <w:bottom w:val="single" w:sz="4" w:space="0" w:color="000000"/>
              <w:right w:val="single" w:sz="4" w:space="0" w:color="000000"/>
            </w:tcBorders>
          </w:tcPr>
          <w:p w14:paraId="6603CA9E" w14:textId="77777777" w:rsidR="00C220D8" w:rsidRPr="006218CF" w:rsidRDefault="00C220D8" w:rsidP="00AB377C">
            <w:pPr>
              <w:spacing w:after="0" w:line="240" w:lineRule="auto"/>
              <w:ind w:left="0" w:right="0" w:firstLine="0"/>
              <w:jc w:val="left"/>
              <w:rPr>
                <w:rFonts w:ascii="Times New Roman" w:eastAsia="Times New Roman" w:hAnsi="Times New Roman" w:cs="Times New Roman"/>
                <w:color w:val="auto"/>
                <w:sz w:val="20"/>
                <w:szCs w:val="20"/>
              </w:rPr>
            </w:pPr>
            <w:r w:rsidRPr="006218CF">
              <w:rPr>
                <w:rFonts w:ascii="Times New Roman" w:eastAsia="Times New Roman" w:hAnsi="Times New Roman" w:cs="Times New Roman"/>
                <w:color w:val="auto"/>
                <w:sz w:val="20"/>
                <w:szCs w:val="20"/>
              </w:rPr>
              <w:t>Nesreće na odlagalištima otpada</w:t>
            </w:r>
          </w:p>
        </w:tc>
        <w:tc>
          <w:tcPr>
            <w:tcW w:w="2065" w:type="dxa"/>
            <w:tcBorders>
              <w:top w:val="single" w:sz="4" w:space="0" w:color="000000"/>
              <w:left w:val="single" w:sz="4" w:space="0" w:color="000000"/>
              <w:bottom w:val="single" w:sz="4" w:space="0" w:color="000000"/>
              <w:right w:val="single" w:sz="4" w:space="0" w:color="000000"/>
            </w:tcBorders>
          </w:tcPr>
          <w:p w14:paraId="3A80F407" w14:textId="1A23EABF" w:rsidR="00C220D8" w:rsidRPr="006218CF" w:rsidRDefault="0031044A" w:rsidP="00AB377C">
            <w:pPr>
              <w:spacing w:after="0" w:line="240" w:lineRule="auto"/>
              <w:ind w:left="0" w:right="0" w:firstLine="0"/>
              <w:jc w:val="left"/>
              <w:rPr>
                <w:rFonts w:ascii="Times New Roman" w:eastAsia="Times New Roman" w:hAnsi="Times New Roman" w:cs="Times New Roman"/>
                <w:color w:val="auto"/>
                <w:sz w:val="20"/>
                <w:szCs w:val="20"/>
              </w:rPr>
            </w:pPr>
            <w:r w:rsidRPr="0031044A">
              <w:rPr>
                <w:rFonts w:ascii="Times New Roman" w:eastAsia="Times New Roman" w:hAnsi="Times New Roman" w:cs="Times New Roman"/>
                <w:color w:val="auto"/>
                <w:sz w:val="20"/>
                <w:szCs w:val="20"/>
              </w:rPr>
              <w:t>Zbog propuštanja u cijevima za prikupljanje plina i začepljenja cijevi postrojenja za otplinjavanje, dolazi do eksplozije metana i nastanka dubinskog požara.</w:t>
            </w:r>
          </w:p>
        </w:tc>
        <w:tc>
          <w:tcPr>
            <w:tcW w:w="1945" w:type="dxa"/>
            <w:tcBorders>
              <w:top w:val="single" w:sz="4" w:space="0" w:color="000000"/>
              <w:left w:val="single" w:sz="4" w:space="0" w:color="000000"/>
              <w:bottom w:val="single" w:sz="4" w:space="0" w:color="000000"/>
              <w:right w:val="single" w:sz="4" w:space="0" w:color="000000"/>
            </w:tcBorders>
          </w:tcPr>
          <w:p w14:paraId="001E8837" w14:textId="48AE2EB8" w:rsidR="00C220D8" w:rsidRPr="006218CF" w:rsidRDefault="0031044A" w:rsidP="00AB377C">
            <w:pPr>
              <w:spacing w:after="0" w:line="240" w:lineRule="auto"/>
              <w:ind w:left="0" w:right="0" w:firstLine="0"/>
              <w:jc w:val="left"/>
              <w:rPr>
                <w:rFonts w:ascii="Times New Roman" w:eastAsia="Times New Roman" w:hAnsi="Times New Roman" w:cs="Times New Roman"/>
                <w:color w:val="auto"/>
                <w:sz w:val="20"/>
                <w:szCs w:val="20"/>
              </w:rPr>
            </w:pPr>
            <w:r w:rsidRPr="0031044A">
              <w:rPr>
                <w:rFonts w:ascii="Times New Roman" w:eastAsia="Times New Roman" w:hAnsi="Times New Roman" w:cs="Times New Roman"/>
                <w:color w:val="auto"/>
                <w:sz w:val="20"/>
                <w:szCs w:val="20"/>
              </w:rPr>
              <w:t>Posljedice će se najvećim dijelom manifestirati degradacijom kvalitete života stanovništva i narušavanjem zdravstvene sigurnosti građana. Stanovništvo će biti izloženo opasnim produktima gorenja, bit će dugotrajnih problema sa vodoopskrbom i odvozom otpada prvih dana nakon događaja.</w:t>
            </w:r>
          </w:p>
        </w:tc>
        <w:tc>
          <w:tcPr>
            <w:tcW w:w="1960" w:type="dxa"/>
            <w:tcBorders>
              <w:top w:val="single" w:sz="4" w:space="0" w:color="000000"/>
              <w:left w:val="single" w:sz="4" w:space="0" w:color="000000"/>
              <w:bottom w:val="single" w:sz="4" w:space="0" w:color="000000"/>
              <w:right w:val="single" w:sz="4" w:space="0" w:color="000000"/>
            </w:tcBorders>
          </w:tcPr>
          <w:p w14:paraId="09183E55" w14:textId="77777777" w:rsidR="0031044A" w:rsidRPr="0031044A" w:rsidRDefault="0031044A" w:rsidP="00AB377C">
            <w:pPr>
              <w:spacing w:after="0" w:line="240" w:lineRule="auto"/>
              <w:ind w:left="0" w:right="0" w:firstLine="0"/>
              <w:jc w:val="left"/>
              <w:rPr>
                <w:rFonts w:ascii="Times New Roman" w:eastAsia="Times New Roman" w:hAnsi="Times New Roman" w:cs="Times New Roman"/>
                <w:color w:val="auto"/>
                <w:sz w:val="20"/>
                <w:szCs w:val="20"/>
              </w:rPr>
            </w:pPr>
            <w:r w:rsidRPr="0031044A">
              <w:rPr>
                <w:rFonts w:ascii="Times New Roman" w:eastAsia="Times New Roman" w:hAnsi="Times New Roman" w:cs="Times New Roman"/>
                <w:color w:val="auto"/>
                <w:sz w:val="20"/>
                <w:szCs w:val="20"/>
              </w:rPr>
              <w:t>Stalna kontrola odlaganog</w:t>
            </w:r>
          </w:p>
          <w:p w14:paraId="021C02B9" w14:textId="77777777" w:rsidR="0031044A" w:rsidRPr="0031044A" w:rsidRDefault="0031044A" w:rsidP="00AB377C">
            <w:pPr>
              <w:spacing w:after="0" w:line="240" w:lineRule="auto"/>
              <w:ind w:left="0" w:right="0" w:firstLine="0"/>
              <w:jc w:val="left"/>
              <w:rPr>
                <w:rFonts w:ascii="Times New Roman" w:eastAsia="Times New Roman" w:hAnsi="Times New Roman" w:cs="Times New Roman"/>
                <w:color w:val="auto"/>
                <w:sz w:val="20"/>
                <w:szCs w:val="20"/>
              </w:rPr>
            </w:pPr>
            <w:r w:rsidRPr="0031044A">
              <w:rPr>
                <w:rFonts w:ascii="Times New Roman" w:eastAsia="Times New Roman" w:hAnsi="Times New Roman" w:cs="Times New Roman"/>
                <w:color w:val="auto"/>
                <w:sz w:val="20"/>
                <w:szCs w:val="20"/>
              </w:rPr>
              <w:t>sadržaja, pročišćeni ventili za</w:t>
            </w:r>
          </w:p>
          <w:p w14:paraId="07A11D65" w14:textId="77777777" w:rsidR="0031044A" w:rsidRPr="0031044A" w:rsidRDefault="0031044A" w:rsidP="00AB377C">
            <w:pPr>
              <w:spacing w:after="0" w:line="240" w:lineRule="auto"/>
              <w:ind w:left="0" w:right="0" w:firstLine="0"/>
              <w:jc w:val="left"/>
              <w:rPr>
                <w:rFonts w:ascii="Times New Roman" w:eastAsia="Times New Roman" w:hAnsi="Times New Roman" w:cs="Times New Roman"/>
                <w:color w:val="auto"/>
                <w:sz w:val="20"/>
                <w:szCs w:val="20"/>
              </w:rPr>
            </w:pPr>
            <w:r w:rsidRPr="0031044A">
              <w:rPr>
                <w:rFonts w:ascii="Times New Roman" w:eastAsia="Times New Roman" w:hAnsi="Times New Roman" w:cs="Times New Roman"/>
                <w:color w:val="auto"/>
                <w:sz w:val="20"/>
                <w:szCs w:val="20"/>
              </w:rPr>
              <w:t>izdvajanje nastalih plinova te</w:t>
            </w:r>
          </w:p>
          <w:p w14:paraId="4AF16949" w14:textId="77777777" w:rsidR="0031044A" w:rsidRPr="0031044A" w:rsidRDefault="0031044A" w:rsidP="00AB377C">
            <w:pPr>
              <w:spacing w:after="0" w:line="240" w:lineRule="auto"/>
              <w:ind w:left="0" w:right="0" w:firstLine="0"/>
              <w:jc w:val="left"/>
              <w:rPr>
                <w:rFonts w:ascii="Times New Roman" w:eastAsia="Times New Roman" w:hAnsi="Times New Roman" w:cs="Times New Roman"/>
                <w:color w:val="auto"/>
                <w:sz w:val="20"/>
                <w:szCs w:val="20"/>
              </w:rPr>
            </w:pPr>
            <w:r w:rsidRPr="0031044A">
              <w:rPr>
                <w:rFonts w:ascii="Times New Roman" w:eastAsia="Times New Roman" w:hAnsi="Times New Roman" w:cs="Times New Roman"/>
                <w:color w:val="auto"/>
                <w:sz w:val="20"/>
                <w:szCs w:val="20"/>
              </w:rPr>
              <w:t>stručno i savjesno slojevito</w:t>
            </w:r>
          </w:p>
          <w:p w14:paraId="2A60EBD4" w14:textId="77777777" w:rsidR="0031044A" w:rsidRPr="0031044A" w:rsidRDefault="0031044A" w:rsidP="00AB377C">
            <w:pPr>
              <w:spacing w:after="0" w:line="240" w:lineRule="auto"/>
              <w:ind w:left="0" w:right="0" w:firstLine="0"/>
              <w:jc w:val="left"/>
              <w:rPr>
                <w:rFonts w:ascii="Times New Roman" w:eastAsia="Times New Roman" w:hAnsi="Times New Roman" w:cs="Times New Roman"/>
                <w:color w:val="auto"/>
                <w:sz w:val="20"/>
                <w:szCs w:val="20"/>
              </w:rPr>
            </w:pPr>
            <w:r w:rsidRPr="0031044A">
              <w:rPr>
                <w:rFonts w:ascii="Times New Roman" w:eastAsia="Times New Roman" w:hAnsi="Times New Roman" w:cs="Times New Roman"/>
                <w:color w:val="auto"/>
                <w:sz w:val="20"/>
                <w:szCs w:val="20"/>
              </w:rPr>
              <w:t>raspoređivanje dovoženog</w:t>
            </w:r>
          </w:p>
          <w:p w14:paraId="6343F829" w14:textId="77777777" w:rsidR="0031044A" w:rsidRPr="0031044A" w:rsidRDefault="0031044A" w:rsidP="00AB377C">
            <w:pPr>
              <w:spacing w:after="0" w:line="240" w:lineRule="auto"/>
              <w:ind w:left="0" w:right="0" w:firstLine="0"/>
              <w:jc w:val="left"/>
              <w:rPr>
                <w:rFonts w:ascii="Times New Roman" w:eastAsia="Times New Roman" w:hAnsi="Times New Roman" w:cs="Times New Roman"/>
                <w:color w:val="auto"/>
                <w:sz w:val="20"/>
                <w:szCs w:val="20"/>
              </w:rPr>
            </w:pPr>
            <w:r w:rsidRPr="0031044A">
              <w:rPr>
                <w:rFonts w:ascii="Times New Roman" w:eastAsia="Times New Roman" w:hAnsi="Times New Roman" w:cs="Times New Roman"/>
                <w:color w:val="auto"/>
                <w:sz w:val="20"/>
                <w:szCs w:val="20"/>
              </w:rPr>
              <w:t>otpada uz stalni nadzor</w:t>
            </w:r>
          </w:p>
          <w:p w14:paraId="2E5C4706" w14:textId="045F9668" w:rsidR="00C220D8" w:rsidRPr="006218CF" w:rsidRDefault="0031044A" w:rsidP="00AB377C">
            <w:pPr>
              <w:spacing w:after="0" w:line="240" w:lineRule="auto"/>
              <w:ind w:left="0" w:right="0" w:firstLine="0"/>
              <w:jc w:val="left"/>
              <w:rPr>
                <w:rFonts w:ascii="Times New Roman" w:eastAsia="Times New Roman" w:hAnsi="Times New Roman" w:cs="Times New Roman"/>
                <w:color w:val="auto"/>
                <w:sz w:val="20"/>
                <w:szCs w:val="20"/>
              </w:rPr>
            </w:pPr>
            <w:r w:rsidRPr="0031044A">
              <w:rPr>
                <w:rFonts w:ascii="Times New Roman" w:eastAsia="Times New Roman" w:hAnsi="Times New Roman" w:cs="Times New Roman"/>
                <w:color w:val="auto"/>
                <w:sz w:val="20"/>
                <w:szCs w:val="20"/>
              </w:rPr>
              <w:t>područja.</w:t>
            </w:r>
          </w:p>
        </w:tc>
        <w:tc>
          <w:tcPr>
            <w:tcW w:w="1398" w:type="dxa"/>
            <w:tcBorders>
              <w:top w:val="single" w:sz="4" w:space="0" w:color="000000"/>
              <w:left w:val="single" w:sz="4" w:space="0" w:color="000000"/>
              <w:bottom w:val="single" w:sz="4" w:space="0" w:color="000000"/>
              <w:right w:val="single" w:sz="4" w:space="0" w:color="000000"/>
            </w:tcBorders>
          </w:tcPr>
          <w:p w14:paraId="613671F6" w14:textId="77777777" w:rsidR="001E3BD8" w:rsidRPr="001E3BD8" w:rsidRDefault="001E3BD8" w:rsidP="00AB377C">
            <w:pPr>
              <w:spacing w:after="0" w:line="240" w:lineRule="auto"/>
              <w:ind w:left="0" w:right="0" w:firstLine="0"/>
              <w:jc w:val="left"/>
              <w:rPr>
                <w:rFonts w:ascii="Times New Roman" w:eastAsia="Times New Roman" w:hAnsi="Times New Roman" w:cs="Times New Roman"/>
                <w:color w:val="auto"/>
                <w:sz w:val="20"/>
                <w:szCs w:val="20"/>
              </w:rPr>
            </w:pPr>
            <w:r w:rsidRPr="001E3BD8">
              <w:rPr>
                <w:rFonts w:ascii="Times New Roman" w:eastAsia="Times New Roman" w:hAnsi="Times New Roman" w:cs="Times New Roman"/>
                <w:color w:val="auto"/>
                <w:sz w:val="20"/>
                <w:szCs w:val="20"/>
              </w:rPr>
              <w:t>Uzbunjivanje i</w:t>
            </w:r>
          </w:p>
          <w:p w14:paraId="00BED718" w14:textId="77777777" w:rsidR="001E3BD8" w:rsidRPr="001E3BD8" w:rsidRDefault="001E3BD8" w:rsidP="00AB377C">
            <w:pPr>
              <w:spacing w:after="0" w:line="240" w:lineRule="auto"/>
              <w:ind w:left="0" w:right="0" w:firstLine="0"/>
              <w:jc w:val="left"/>
              <w:rPr>
                <w:rFonts w:ascii="Times New Roman" w:eastAsia="Times New Roman" w:hAnsi="Times New Roman" w:cs="Times New Roman"/>
                <w:color w:val="auto"/>
                <w:sz w:val="20"/>
                <w:szCs w:val="20"/>
              </w:rPr>
            </w:pPr>
            <w:r w:rsidRPr="001E3BD8">
              <w:rPr>
                <w:rFonts w:ascii="Times New Roman" w:eastAsia="Times New Roman" w:hAnsi="Times New Roman" w:cs="Times New Roman"/>
                <w:color w:val="auto"/>
                <w:sz w:val="20"/>
                <w:szCs w:val="20"/>
              </w:rPr>
              <w:t>obavješćivanje</w:t>
            </w:r>
          </w:p>
          <w:p w14:paraId="251D8EFE" w14:textId="344E5656" w:rsidR="00C220D8" w:rsidRPr="006218CF" w:rsidRDefault="001E3BD8" w:rsidP="00AB377C">
            <w:pPr>
              <w:spacing w:after="0" w:line="240" w:lineRule="auto"/>
              <w:ind w:left="0" w:right="0" w:firstLine="0"/>
              <w:jc w:val="left"/>
              <w:rPr>
                <w:rFonts w:ascii="Times New Roman" w:eastAsia="Times New Roman" w:hAnsi="Times New Roman" w:cs="Times New Roman"/>
                <w:color w:val="auto"/>
                <w:sz w:val="20"/>
                <w:szCs w:val="20"/>
              </w:rPr>
            </w:pPr>
            <w:r w:rsidRPr="001E3BD8">
              <w:rPr>
                <w:rFonts w:ascii="Times New Roman" w:eastAsia="Times New Roman" w:hAnsi="Times New Roman" w:cs="Times New Roman"/>
                <w:color w:val="auto"/>
                <w:sz w:val="20"/>
                <w:szCs w:val="20"/>
              </w:rPr>
              <w:t>stanovništva.</w:t>
            </w:r>
          </w:p>
        </w:tc>
      </w:tr>
    </w:tbl>
    <w:p w14:paraId="5917E09A" w14:textId="77777777" w:rsidR="00C220D8" w:rsidRDefault="00C220D8" w:rsidP="007529FC">
      <w:pPr>
        <w:spacing w:after="0" w:line="240" w:lineRule="auto"/>
        <w:ind w:left="0" w:right="0" w:firstLine="0"/>
        <w:rPr>
          <w:rFonts w:ascii="Times New Roman" w:hAnsi="Times New Roman" w:cs="Times New Roman"/>
          <w:b/>
          <w:sz w:val="24"/>
        </w:rPr>
      </w:pPr>
      <w:bookmarkStart w:id="47" w:name="_Toc2938565"/>
    </w:p>
    <w:p w14:paraId="04104E17" w14:textId="77777777" w:rsidR="00E40AC8" w:rsidRPr="00C00905" w:rsidRDefault="00900184" w:rsidP="00C00905">
      <w:pPr>
        <w:spacing w:after="0" w:line="240" w:lineRule="auto"/>
        <w:ind w:right="0"/>
        <w:rPr>
          <w:rFonts w:ascii="Times New Roman" w:hAnsi="Times New Roman" w:cs="Times New Roman"/>
          <w:b/>
          <w:sz w:val="24"/>
        </w:rPr>
      </w:pPr>
      <w:r w:rsidRPr="00C00905">
        <w:rPr>
          <w:rFonts w:ascii="Times New Roman" w:hAnsi="Times New Roman" w:cs="Times New Roman"/>
          <w:b/>
          <w:sz w:val="24"/>
        </w:rPr>
        <w:t>3.2. Odabrani rizici i razlozi odabira</w:t>
      </w:r>
      <w:bookmarkEnd w:id="47"/>
    </w:p>
    <w:p w14:paraId="0090692E" w14:textId="77777777" w:rsidR="00C00905" w:rsidRPr="00C00905" w:rsidRDefault="00C00905" w:rsidP="00C00905">
      <w:pPr>
        <w:spacing w:after="0" w:line="240" w:lineRule="auto"/>
        <w:ind w:right="0"/>
        <w:rPr>
          <w:rFonts w:ascii="Times New Roman" w:hAnsi="Times New Roman" w:cs="Times New Roman"/>
          <w:sz w:val="24"/>
        </w:rPr>
      </w:pPr>
      <w:bookmarkStart w:id="48" w:name="_Toc2938566"/>
    </w:p>
    <w:p w14:paraId="3F1FAC41" w14:textId="77777777" w:rsidR="00E40AC8" w:rsidRPr="00C00905" w:rsidRDefault="00900184" w:rsidP="00C00905">
      <w:pPr>
        <w:spacing w:after="0" w:line="240" w:lineRule="auto"/>
        <w:ind w:right="0" w:firstLine="699"/>
        <w:rPr>
          <w:rFonts w:ascii="Times New Roman" w:hAnsi="Times New Roman" w:cs="Times New Roman"/>
          <w:b/>
          <w:sz w:val="24"/>
        </w:rPr>
      </w:pPr>
      <w:r w:rsidRPr="00C00905">
        <w:rPr>
          <w:rFonts w:ascii="Times New Roman" w:hAnsi="Times New Roman" w:cs="Times New Roman"/>
          <w:b/>
          <w:sz w:val="24"/>
        </w:rPr>
        <w:t>3.2.1. Potres</w:t>
      </w:r>
      <w:bookmarkEnd w:id="48"/>
    </w:p>
    <w:p w14:paraId="3D200957" w14:textId="7296743F" w:rsidR="00E40AC8" w:rsidRPr="005142C4" w:rsidRDefault="00900184" w:rsidP="00C00905">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Pojava potresa pripada skupini prirodnih rizika koji se ne mogu predvidjeti, a s određenom se vjerojatnošću mogu dogoditi u bilo kojem trenutku. Potres je elementarna nepogoda do koje dolazi </w:t>
      </w:r>
      <w:r w:rsidR="00924FB7">
        <w:rPr>
          <w:rFonts w:ascii="Times New Roman" w:hAnsi="Times New Roman" w:cs="Times New Roman"/>
          <w:sz w:val="24"/>
        </w:rPr>
        <w:t xml:space="preserve">zbog </w:t>
      </w:r>
      <w:r w:rsidRPr="005142C4">
        <w:rPr>
          <w:rFonts w:ascii="Times New Roman" w:hAnsi="Times New Roman" w:cs="Times New Roman"/>
          <w:sz w:val="24"/>
        </w:rPr>
        <w:t>pomicanja tektonskih ploča, a posljedica je podrhtavanje Zemljine kore zbog oslobađanja velike količine energije. Potresi nastaju velikom brzinom, događaju se u bilo koje doba i bez upozorenja. Potresi su vjerojatno najveći uzrok smrtnosti uzrokovane prirodnim katastrofama. Budući da potrese nije moguće spriječiti, provođenje mjera za ublažavanje posljedica potresa i pripremljenost društvene zajednice u slučaju njegove pojave od iznimne su važnosti.</w:t>
      </w:r>
    </w:p>
    <w:p w14:paraId="111317BD" w14:textId="77777777" w:rsidR="00E40AC8" w:rsidRPr="005142C4" w:rsidRDefault="00900184" w:rsidP="00C00905">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Posljedice pojave jakog potresa mogu obuhvatiti oštećenja ili rušenje svih vrsta postojećih građevina, među kojima posebnu pozornost treba usmjeriti na stambene zgrade, vrijednu kulturno</w:t>
      </w:r>
      <w:r w:rsidR="00EE6A22" w:rsidRPr="005142C4">
        <w:rPr>
          <w:rFonts w:ascii="Times New Roman" w:hAnsi="Times New Roman" w:cs="Times New Roman"/>
          <w:sz w:val="24"/>
        </w:rPr>
        <w:t>-</w:t>
      </w:r>
      <w:r w:rsidRPr="005142C4">
        <w:rPr>
          <w:rFonts w:ascii="Times New Roman" w:hAnsi="Times New Roman" w:cs="Times New Roman"/>
          <w:sz w:val="24"/>
        </w:rPr>
        <w:t>spomeničku baštinu, objekte od posebne važnosti i industrijske objekte te kritične točke prometne i komunalne infrastrukture.</w:t>
      </w:r>
    </w:p>
    <w:p w14:paraId="24826BED" w14:textId="3C1F59D5" w:rsidR="00E40AC8" w:rsidRPr="005142C4" w:rsidRDefault="00900184" w:rsidP="00C00905">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Moguća pojava potresa mora se povezati sa značajnom izravnom i neizravnom štetom na imovini, uz opasnost od ozbiljnih ozljeda i mogućeg gubitka ljudskih života. Posljedično, potres u naseljenom području, posebice ako se radi o regionalnom središtu ili području od strateške važnosti (primjerice za turizam), može izazvati potpuni poremećaj gospodarskih i društvenih odnosa u zajednici.</w:t>
      </w:r>
      <w:r w:rsidR="009F67DA">
        <w:rPr>
          <w:rFonts w:ascii="Times New Roman" w:hAnsi="Times New Roman" w:cs="Times New Roman"/>
          <w:sz w:val="24"/>
        </w:rPr>
        <w:t xml:space="preserve"> </w:t>
      </w:r>
    </w:p>
    <w:p w14:paraId="49FFEB27" w14:textId="501B5FC0" w:rsidR="00B90FA0" w:rsidRPr="00484C08" w:rsidRDefault="0090018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Prema karti potresnih područja Republike Hrvatske za povratno razdoblje od 475 godina, područje Grada Zagreba nalazi se u zoni izražene seizmičke aktivnosti</w:t>
      </w:r>
      <w:r w:rsidR="00924FB7">
        <w:rPr>
          <w:rFonts w:ascii="Times New Roman" w:hAnsi="Times New Roman" w:cs="Times New Roman"/>
          <w:sz w:val="24"/>
        </w:rPr>
        <w:t>. S</w:t>
      </w:r>
      <w:r w:rsidRPr="005142C4">
        <w:rPr>
          <w:rFonts w:ascii="Times New Roman" w:hAnsi="Times New Roman" w:cs="Times New Roman"/>
          <w:sz w:val="24"/>
        </w:rPr>
        <w:t>eizmičnost na području Grada Zagreba iznosi</w:t>
      </w:r>
      <w:r w:rsidR="00E40AC8" w:rsidRPr="005142C4">
        <w:rPr>
          <w:rFonts w:ascii="Times New Roman" w:hAnsi="Times New Roman" w:cs="Times New Roman"/>
          <w:sz w:val="24"/>
        </w:rPr>
        <w:t xml:space="preserve"> </w:t>
      </w:r>
      <w:r w:rsidRPr="005142C4">
        <w:rPr>
          <w:rFonts w:ascii="Times New Roman" w:hAnsi="Times New Roman" w:cs="Times New Roman"/>
          <w:sz w:val="24"/>
        </w:rPr>
        <w:t xml:space="preserve">prema staroj razredbi potresa prema intenzitetima </w:t>
      </w:r>
      <w:r w:rsidR="00924FB7">
        <w:rPr>
          <w:rFonts w:ascii="Times New Roman" w:hAnsi="Times New Roman" w:cs="Times New Roman"/>
          <w:sz w:val="24"/>
        </w:rPr>
        <w:t xml:space="preserve">od </w:t>
      </w:r>
      <w:r w:rsidRPr="005142C4">
        <w:rPr>
          <w:rFonts w:ascii="Times New Roman" w:hAnsi="Times New Roman" w:cs="Times New Roman"/>
          <w:sz w:val="24"/>
        </w:rPr>
        <w:t>VIII do IX stupnjeva Mercalli</w:t>
      </w:r>
      <w:r w:rsidR="00EE6A22" w:rsidRPr="005142C4">
        <w:rPr>
          <w:rFonts w:ascii="Times New Roman" w:hAnsi="Times New Roman" w:cs="Times New Roman"/>
          <w:sz w:val="24"/>
        </w:rPr>
        <w:t>-</w:t>
      </w:r>
      <w:r w:rsidRPr="005142C4">
        <w:rPr>
          <w:rFonts w:ascii="Times New Roman" w:hAnsi="Times New Roman" w:cs="Times New Roman"/>
          <w:sz w:val="24"/>
        </w:rPr>
        <w:t>Cancani</w:t>
      </w:r>
      <w:r w:rsidR="00EE6A22" w:rsidRPr="005142C4">
        <w:rPr>
          <w:rFonts w:ascii="Times New Roman" w:hAnsi="Times New Roman" w:cs="Times New Roman"/>
          <w:sz w:val="24"/>
        </w:rPr>
        <w:t>-</w:t>
      </w:r>
      <w:r w:rsidRPr="005142C4">
        <w:rPr>
          <w:rFonts w:ascii="Times New Roman" w:hAnsi="Times New Roman" w:cs="Times New Roman"/>
          <w:sz w:val="24"/>
        </w:rPr>
        <w:t>Siebergove (MCS) ljestvice. Prema danas važećoj europskoj/hrvatskoj normi HRN EN 1998</w:t>
      </w:r>
      <w:r w:rsidR="00EE6A22" w:rsidRPr="005142C4">
        <w:rPr>
          <w:rFonts w:ascii="Times New Roman" w:hAnsi="Times New Roman" w:cs="Times New Roman"/>
          <w:sz w:val="24"/>
        </w:rPr>
        <w:t>-</w:t>
      </w:r>
      <w:r w:rsidRPr="005142C4">
        <w:rPr>
          <w:rFonts w:ascii="Times New Roman" w:hAnsi="Times New Roman" w:cs="Times New Roman"/>
          <w:sz w:val="24"/>
        </w:rPr>
        <w:t>1/NA, koja je na snazi od 2011., seizmičnost se definira poredbenim vršnim ubrzanjem tla tipa A s vjerojatnošću premašaja od 10</w:t>
      </w:r>
      <w:r w:rsidR="00E05F09">
        <w:rPr>
          <w:rFonts w:ascii="Times New Roman" w:hAnsi="Times New Roman" w:cs="Times New Roman"/>
          <w:sz w:val="24"/>
        </w:rPr>
        <w:t> %</w:t>
      </w:r>
      <w:r w:rsidRPr="005142C4">
        <w:rPr>
          <w:rFonts w:ascii="Times New Roman" w:hAnsi="Times New Roman" w:cs="Times New Roman"/>
          <w:sz w:val="24"/>
        </w:rPr>
        <w:t xml:space="preserve"> u 50 godina za povratno razdoblje od 475 godina u jedinici gravitacijskog ubrzanja</w:t>
      </w:r>
      <w:r w:rsidR="00924FB7">
        <w:rPr>
          <w:rFonts w:ascii="Times New Roman" w:hAnsi="Times New Roman" w:cs="Times New Roman"/>
          <w:sz w:val="24"/>
        </w:rPr>
        <w:t>,</w:t>
      </w:r>
      <w:r w:rsidRPr="005142C4">
        <w:rPr>
          <w:rFonts w:ascii="Times New Roman" w:hAnsi="Times New Roman" w:cs="Times New Roman"/>
          <w:sz w:val="24"/>
        </w:rPr>
        <w:t xml:space="preserve"> tj. u m/s</w:t>
      </w:r>
      <w:r w:rsidRPr="005142C4">
        <w:rPr>
          <w:rFonts w:ascii="Times New Roman" w:hAnsi="Times New Roman" w:cs="Times New Roman"/>
          <w:sz w:val="24"/>
          <w:vertAlign w:val="superscript"/>
        </w:rPr>
        <w:t>2</w:t>
      </w:r>
      <w:r w:rsidRPr="005142C4">
        <w:rPr>
          <w:rFonts w:ascii="Times New Roman" w:hAnsi="Times New Roman" w:cs="Times New Roman"/>
          <w:sz w:val="24"/>
        </w:rPr>
        <w:t xml:space="preserve">. Seizmotektonski aktivne zone obilježene su različitim dubinama hipocentara, a </w:t>
      </w:r>
      <w:r w:rsidR="00924FB7">
        <w:rPr>
          <w:rFonts w:ascii="Times New Roman" w:hAnsi="Times New Roman" w:cs="Times New Roman"/>
          <w:sz w:val="24"/>
        </w:rPr>
        <w:t>po</w:t>
      </w:r>
      <w:r w:rsidRPr="005142C4">
        <w:rPr>
          <w:rFonts w:ascii="Times New Roman" w:hAnsi="Times New Roman" w:cs="Times New Roman"/>
          <w:sz w:val="24"/>
        </w:rPr>
        <w:t xml:space="preserve">vezane su </w:t>
      </w:r>
      <w:r w:rsidR="00924FB7">
        <w:rPr>
          <w:rFonts w:ascii="Times New Roman" w:hAnsi="Times New Roman" w:cs="Times New Roman"/>
          <w:sz w:val="24"/>
        </w:rPr>
        <w:t xml:space="preserve">s </w:t>
      </w:r>
      <w:r w:rsidRPr="005142C4">
        <w:rPr>
          <w:rFonts w:ascii="Times New Roman" w:hAnsi="Times New Roman" w:cs="Times New Roman"/>
          <w:sz w:val="24"/>
        </w:rPr>
        <w:lastRenderedPageBreak/>
        <w:t>najvažnij</w:t>
      </w:r>
      <w:r w:rsidR="00924FB7">
        <w:rPr>
          <w:rFonts w:ascii="Times New Roman" w:hAnsi="Times New Roman" w:cs="Times New Roman"/>
          <w:sz w:val="24"/>
        </w:rPr>
        <w:t>im</w:t>
      </w:r>
      <w:r w:rsidRPr="005142C4">
        <w:rPr>
          <w:rFonts w:ascii="Times New Roman" w:hAnsi="Times New Roman" w:cs="Times New Roman"/>
          <w:sz w:val="24"/>
        </w:rPr>
        <w:t xml:space="preserve"> rasjed</w:t>
      </w:r>
      <w:r w:rsidR="00924FB7">
        <w:rPr>
          <w:rFonts w:ascii="Times New Roman" w:hAnsi="Times New Roman" w:cs="Times New Roman"/>
          <w:sz w:val="24"/>
        </w:rPr>
        <w:t>ima</w:t>
      </w:r>
      <w:r w:rsidRPr="005142C4">
        <w:rPr>
          <w:rFonts w:ascii="Times New Roman" w:hAnsi="Times New Roman" w:cs="Times New Roman"/>
          <w:sz w:val="24"/>
        </w:rPr>
        <w:t>: savski</w:t>
      </w:r>
      <w:r w:rsidR="00924FB7">
        <w:rPr>
          <w:rFonts w:ascii="Times New Roman" w:hAnsi="Times New Roman" w:cs="Times New Roman"/>
          <w:sz w:val="24"/>
        </w:rPr>
        <w:t>m</w:t>
      </w:r>
      <w:r w:rsidRPr="005142C4">
        <w:rPr>
          <w:rFonts w:ascii="Times New Roman" w:hAnsi="Times New Roman" w:cs="Times New Roman"/>
          <w:sz w:val="24"/>
        </w:rPr>
        <w:t xml:space="preserve"> rasjed</w:t>
      </w:r>
      <w:r w:rsidR="00924FB7">
        <w:rPr>
          <w:rFonts w:ascii="Times New Roman" w:hAnsi="Times New Roman" w:cs="Times New Roman"/>
          <w:sz w:val="24"/>
        </w:rPr>
        <w:t>om</w:t>
      </w:r>
      <w:r w:rsidRPr="005142C4">
        <w:rPr>
          <w:rFonts w:ascii="Times New Roman" w:hAnsi="Times New Roman" w:cs="Times New Roman"/>
          <w:sz w:val="24"/>
        </w:rPr>
        <w:t xml:space="preserve"> koji se pruža padinama Vukomeričkih gorica (dubina hipocentara većine potresa nalazi se između 10 i 30 km) i zon</w:t>
      </w:r>
      <w:r w:rsidR="00924FB7">
        <w:rPr>
          <w:rFonts w:ascii="Times New Roman" w:hAnsi="Times New Roman" w:cs="Times New Roman"/>
          <w:sz w:val="24"/>
        </w:rPr>
        <w:t>om</w:t>
      </w:r>
      <w:r w:rsidRPr="005142C4">
        <w:rPr>
          <w:rFonts w:ascii="Times New Roman" w:hAnsi="Times New Roman" w:cs="Times New Roman"/>
          <w:sz w:val="24"/>
        </w:rPr>
        <w:t xml:space="preserve"> medvedničkog rasjeda koji prolazi potezom Žumberačka gora </w:t>
      </w:r>
      <w:r w:rsidR="00EE6A22" w:rsidRPr="005142C4">
        <w:rPr>
          <w:rFonts w:ascii="Times New Roman" w:hAnsi="Times New Roman" w:cs="Times New Roman"/>
          <w:sz w:val="24"/>
        </w:rPr>
        <w:t>-</w:t>
      </w:r>
      <w:r w:rsidRPr="005142C4">
        <w:rPr>
          <w:rFonts w:ascii="Times New Roman" w:hAnsi="Times New Roman" w:cs="Times New Roman"/>
          <w:sz w:val="24"/>
        </w:rPr>
        <w:t xml:space="preserve"> Medvednica (dubina hipocentara je uglavnom između 5 i 17 km). Grad Zagreb smješten je u pojasu omeđenom s više seizmički aktivnih epicentralnih područja, a najznačajnije epicentralno područje za Grad Zagreb je epicentralno područje Medvednice. Ono po svojoj dosadašnjoj aktivnosti te u pogledu prostornog rasporeda epicentara potresa </w:t>
      </w:r>
      <w:r w:rsidR="00FE743D">
        <w:rPr>
          <w:rFonts w:ascii="Times New Roman" w:hAnsi="Times New Roman" w:cs="Times New Roman"/>
          <w:sz w:val="24"/>
        </w:rPr>
        <w:t>pokazuje</w:t>
      </w:r>
      <w:r w:rsidR="004A1495">
        <w:rPr>
          <w:rFonts w:ascii="Times New Roman" w:hAnsi="Times New Roman" w:cs="Times New Roman"/>
          <w:sz w:val="24"/>
        </w:rPr>
        <w:t xml:space="preserve"> </w:t>
      </w:r>
      <w:r w:rsidRPr="005142C4">
        <w:rPr>
          <w:rFonts w:ascii="Times New Roman" w:hAnsi="Times New Roman" w:cs="Times New Roman"/>
          <w:sz w:val="24"/>
        </w:rPr>
        <w:t>da je sjeverni dio Zagreba seizmički jače aktivan u odnosu na južni dio grada.</w:t>
      </w:r>
    </w:p>
    <w:p w14:paraId="7762967B" w14:textId="77777777" w:rsidR="00E40AC8" w:rsidRPr="00C00905" w:rsidRDefault="00900184" w:rsidP="00C00905">
      <w:pPr>
        <w:spacing w:after="0" w:line="240" w:lineRule="auto"/>
        <w:ind w:left="0" w:right="0" w:firstLine="709"/>
        <w:rPr>
          <w:rFonts w:ascii="Times New Roman" w:hAnsi="Times New Roman" w:cs="Times New Roman"/>
          <w:sz w:val="24"/>
        </w:rPr>
      </w:pPr>
      <w:r w:rsidRPr="00C00905">
        <w:rPr>
          <w:rFonts w:ascii="Times New Roman" w:hAnsi="Times New Roman" w:cs="Times New Roman"/>
          <w:sz w:val="24"/>
          <w:u w:val="single" w:color="000000"/>
        </w:rPr>
        <w:t>Razlog odabira</w:t>
      </w:r>
    </w:p>
    <w:p w14:paraId="1C33D669" w14:textId="77777777" w:rsidR="00924FB7" w:rsidRDefault="00900184" w:rsidP="00BB0D9F">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Na području Grada Zagreba postoji opasnost od potresa jačine IX stupnjeva MCS. Navedeni potres razorio bi glavninu objekata u staroj gradskoj jezgri koji nisu građeni sukladno protupotresnim standardima, uzrokovao smrt većeg broja osoba kao posljedice rušenja objekata, oštetio pripadajuću infrastrukturu, opteretio zdravstveni sustav velikim brojem ozlijeđenih osoba, otežao normalno odvijanje života na pogođenom području, drastično pogoršao epidemiološku situaciju, doveo do osiromašenja građana i velikih ekonomskih gubitaka uključujući gubitak radnih mjesta. Razoran potres na području Grada Zagreba stoga predstavlja najveću prijetnju za stanovništvo i materijalna dobra.</w:t>
      </w:r>
    </w:p>
    <w:p w14:paraId="0BB53903" w14:textId="77777777" w:rsidR="00BB0D9F" w:rsidRPr="00BB0D9F" w:rsidRDefault="00BB0D9F" w:rsidP="00BB0D9F">
      <w:pPr>
        <w:spacing w:after="0" w:line="240" w:lineRule="auto"/>
        <w:ind w:left="0" w:right="0" w:firstLine="709"/>
        <w:rPr>
          <w:rFonts w:ascii="Times New Roman" w:hAnsi="Times New Roman" w:cs="Times New Roman"/>
          <w:sz w:val="24"/>
        </w:rPr>
      </w:pPr>
    </w:p>
    <w:p w14:paraId="4258EAC7" w14:textId="29621E07" w:rsidR="00E40AC8" w:rsidRPr="005142C4" w:rsidRDefault="00900184" w:rsidP="006A431D">
      <w:pPr>
        <w:spacing w:line="240" w:lineRule="auto"/>
        <w:ind w:left="0" w:right="0" w:firstLine="0"/>
        <w:jc w:val="center"/>
        <w:rPr>
          <w:rFonts w:ascii="Times New Roman" w:hAnsi="Times New Roman" w:cs="Times New Roman"/>
          <w:b/>
          <w:sz w:val="24"/>
        </w:rPr>
      </w:pPr>
      <w:r w:rsidRPr="005142C4">
        <w:rPr>
          <w:rFonts w:ascii="Times New Roman" w:hAnsi="Times New Roman" w:cs="Times New Roman"/>
          <w:b/>
          <w:sz w:val="24"/>
        </w:rPr>
        <w:t xml:space="preserve">Slika </w:t>
      </w:r>
      <w:r w:rsidR="0060440C">
        <w:rPr>
          <w:rFonts w:ascii="Times New Roman" w:hAnsi="Times New Roman" w:cs="Times New Roman"/>
          <w:b/>
          <w:sz w:val="24"/>
        </w:rPr>
        <w:t>9</w:t>
      </w:r>
      <w:r w:rsidRPr="005142C4">
        <w:rPr>
          <w:rFonts w:ascii="Times New Roman" w:hAnsi="Times New Roman" w:cs="Times New Roman"/>
          <w:b/>
          <w:sz w:val="24"/>
        </w:rPr>
        <w:t>. Župna crkva u Kustošiji oštećena u potresu 1880.</w:t>
      </w:r>
    </w:p>
    <w:p w14:paraId="1FB7F687" w14:textId="77777777" w:rsidR="00E40AC8" w:rsidRPr="005142C4" w:rsidRDefault="00900184" w:rsidP="00757E67">
      <w:pPr>
        <w:spacing w:after="0" w:line="240" w:lineRule="auto"/>
        <w:ind w:left="0" w:right="0" w:firstLine="0"/>
        <w:jc w:val="center"/>
        <w:rPr>
          <w:rFonts w:ascii="Times New Roman" w:hAnsi="Times New Roman" w:cs="Times New Roman"/>
          <w:sz w:val="24"/>
        </w:rPr>
      </w:pPr>
      <w:r w:rsidRPr="005142C4">
        <w:rPr>
          <w:rFonts w:ascii="Times New Roman" w:hAnsi="Times New Roman" w:cs="Times New Roman"/>
          <w:noProof/>
          <w:sz w:val="24"/>
        </w:rPr>
        <w:drawing>
          <wp:inline distT="0" distB="0" distL="0" distR="0" wp14:anchorId="64C9E988" wp14:editId="1C3062CC">
            <wp:extent cx="3818890" cy="2924175"/>
            <wp:effectExtent l="0" t="0" r="0" b="9525"/>
            <wp:docPr id="26762" name="Picture 26762"/>
            <wp:cNvGraphicFramePr/>
            <a:graphic xmlns:a="http://schemas.openxmlformats.org/drawingml/2006/main">
              <a:graphicData uri="http://schemas.openxmlformats.org/drawingml/2006/picture">
                <pic:pic xmlns:pic="http://schemas.openxmlformats.org/drawingml/2006/picture">
                  <pic:nvPicPr>
                    <pic:cNvPr id="26762" name="Picture 26762"/>
                    <pic:cNvPicPr/>
                  </pic:nvPicPr>
                  <pic:blipFill>
                    <a:blip r:embed="rId44"/>
                    <a:stretch>
                      <a:fillRect/>
                    </a:stretch>
                  </pic:blipFill>
                  <pic:spPr>
                    <a:xfrm>
                      <a:off x="0" y="0"/>
                      <a:ext cx="3818890" cy="2924175"/>
                    </a:xfrm>
                    <a:prstGeom prst="rect">
                      <a:avLst/>
                    </a:prstGeom>
                  </pic:spPr>
                </pic:pic>
              </a:graphicData>
            </a:graphic>
          </wp:inline>
        </w:drawing>
      </w:r>
    </w:p>
    <w:p w14:paraId="6F796697" w14:textId="77777777" w:rsidR="00E40AC8" w:rsidRPr="00924FB7" w:rsidRDefault="00900184" w:rsidP="005142C4">
      <w:pPr>
        <w:spacing w:after="0" w:line="240" w:lineRule="auto"/>
        <w:ind w:left="0" w:right="0" w:firstLine="0"/>
        <w:jc w:val="center"/>
        <w:rPr>
          <w:rFonts w:ascii="Times New Roman" w:eastAsia="Calibri" w:hAnsi="Times New Roman" w:cs="Times New Roman"/>
          <w:i/>
          <w:sz w:val="20"/>
        </w:rPr>
      </w:pPr>
      <w:r w:rsidRPr="00924FB7">
        <w:rPr>
          <w:rFonts w:ascii="Times New Roman" w:eastAsia="Calibri" w:hAnsi="Times New Roman" w:cs="Times New Roman"/>
          <w:i/>
          <w:sz w:val="20"/>
        </w:rPr>
        <w:t>Izvor: Ivan Uličnik / osobna arhiva</w:t>
      </w:r>
    </w:p>
    <w:p w14:paraId="0182C468" w14:textId="77777777" w:rsidR="00E40AC8" w:rsidRPr="00924FB7" w:rsidRDefault="00900184" w:rsidP="00924FB7">
      <w:pPr>
        <w:spacing w:after="0" w:line="240" w:lineRule="auto"/>
        <w:ind w:right="0" w:firstLine="699"/>
        <w:rPr>
          <w:rFonts w:ascii="Times New Roman" w:hAnsi="Times New Roman" w:cs="Times New Roman"/>
          <w:b/>
          <w:sz w:val="24"/>
        </w:rPr>
      </w:pPr>
      <w:bookmarkStart w:id="49" w:name="_Toc2938567"/>
      <w:r w:rsidRPr="00924FB7">
        <w:rPr>
          <w:rFonts w:ascii="Times New Roman" w:hAnsi="Times New Roman" w:cs="Times New Roman"/>
          <w:b/>
          <w:sz w:val="24"/>
        </w:rPr>
        <w:t>3.2.2. Poplava</w:t>
      </w:r>
      <w:bookmarkEnd w:id="49"/>
    </w:p>
    <w:p w14:paraId="10B56881" w14:textId="77777777" w:rsidR="00E40AC8" w:rsidRPr="005142C4" w:rsidRDefault="00900184" w:rsidP="00924FB7">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U hidrološkom smislu prostor Grada Zagreba karakterizira vodni sliv rijeke Save i nje</w:t>
      </w:r>
      <w:r w:rsidR="00924FB7">
        <w:rPr>
          <w:rFonts w:ascii="Times New Roman" w:hAnsi="Times New Roman" w:cs="Times New Roman"/>
          <w:sz w:val="24"/>
        </w:rPr>
        <w:t>zi</w:t>
      </w:r>
      <w:r w:rsidRPr="005142C4">
        <w:rPr>
          <w:rFonts w:ascii="Times New Roman" w:hAnsi="Times New Roman" w:cs="Times New Roman"/>
          <w:sz w:val="24"/>
        </w:rPr>
        <w:t>nih pritoka te rijeka Krapina koja jednom svojom obalom dotiče granice Grada Zagreba. Uz navedene rijeke potencijaln</w:t>
      </w:r>
      <w:r w:rsidR="00924FB7">
        <w:rPr>
          <w:rFonts w:ascii="Times New Roman" w:hAnsi="Times New Roman" w:cs="Times New Roman"/>
          <w:sz w:val="24"/>
        </w:rPr>
        <w:t>a</w:t>
      </w:r>
      <w:r w:rsidRPr="005142C4">
        <w:rPr>
          <w:rFonts w:ascii="Times New Roman" w:hAnsi="Times New Roman" w:cs="Times New Roman"/>
          <w:sz w:val="24"/>
        </w:rPr>
        <w:t xml:space="preserve"> opasnost od poplava </w:t>
      </w:r>
      <w:r w:rsidR="00FE743D">
        <w:rPr>
          <w:rFonts w:ascii="Times New Roman" w:hAnsi="Times New Roman" w:cs="Times New Roman"/>
          <w:sz w:val="24"/>
        </w:rPr>
        <w:t>su</w:t>
      </w:r>
      <w:r w:rsidR="004A1495">
        <w:rPr>
          <w:rFonts w:ascii="Times New Roman" w:hAnsi="Times New Roman" w:cs="Times New Roman"/>
          <w:sz w:val="24"/>
        </w:rPr>
        <w:t xml:space="preserve"> </w:t>
      </w:r>
      <w:r w:rsidRPr="005142C4">
        <w:rPr>
          <w:rFonts w:ascii="Times New Roman" w:hAnsi="Times New Roman" w:cs="Times New Roman"/>
          <w:sz w:val="24"/>
        </w:rPr>
        <w:t xml:space="preserve">i potoci s obronaka Medvednice i Vukomeričkih gorica. Uže gradsko područje Grada Zagreba obiluje mnogobrojnim potocima koji se s Medvednice slijevaju ka urbanim </w:t>
      </w:r>
      <w:r w:rsidR="00924FB7">
        <w:rPr>
          <w:rFonts w:ascii="Times New Roman" w:hAnsi="Times New Roman" w:cs="Times New Roman"/>
          <w:sz w:val="24"/>
        </w:rPr>
        <w:t xml:space="preserve">gradskim </w:t>
      </w:r>
      <w:r w:rsidRPr="005142C4">
        <w:rPr>
          <w:rFonts w:ascii="Times New Roman" w:hAnsi="Times New Roman" w:cs="Times New Roman"/>
          <w:sz w:val="24"/>
        </w:rPr>
        <w:t>dijelovima.</w:t>
      </w:r>
    </w:p>
    <w:p w14:paraId="1A76E27A" w14:textId="77777777" w:rsidR="00924FB7" w:rsidRDefault="00900184" w:rsidP="00924FB7">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Ukupna dužina vodotoka na području Grada Zagreba iznosi 498,91 km, a održavano je 284,74 km. Potoci južnih, jugozapadnih i istočnih obronaka Medvednice čine vrlo gusto razgranatu hidrografsku mrežu s velikim uzdužnim padovima, što uz jake intenzitete oborina i činjenicu da se vodotoci nalaze u brdskom području, uzrokuje otjecanje bujičnog karaktera, popraćeno jakim erozijskim procesom i prenošenjem nanosa u središnji i donji dio vodotoka.</w:t>
      </w:r>
    </w:p>
    <w:p w14:paraId="5DDB177B" w14:textId="77777777" w:rsidR="00924FB7" w:rsidRPr="00924FB7" w:rsidRDefault="00924FB7" w:rsidP="00924FB7">
      <w:pPr>
        <w:spacing w:after="0" w:line="240" w:lineRule="auto"/>
        <w:ind w:left="0" w:right="0" w:firstLine="0"/>
        <w:rPr>
          <w:rFonts w:ascii="Times New Roman" w:hAnsi="Times New Roman" w:cs="Times New Roman"/>
          <w:sz w:val="24"/>
          <w:u w:color="000000"/>
        </w:rPr>
      </w:pPr>
    </w:p>
    <w:p w14:paraId="3920B1DF" w14:textId="77777777" w:rsidR="00E40AC8" w:rsidRPr="00924FB7" w:rsidRDefault="00900184" w:rsidP="00924FB7">
      <w:pPr>
        <w:spacing w:after="0" w:line="240" w:lineRule="auto"/>
        <w:ind w:left="0" w:right="0" w:firstLine="709"/>
        <w:rPr>
          <w:rFonts w:ascii="Times New Roman" w:hAnsi="Times New Roman" w:cs="Times New Roman"/>
          <w:sz w:val="24"/>
        </w:rPr>
      </w:pPr>
      <w:r w:rsidRPr="00924FB7">
        <w:rPr>
          <w:rFonts w:ascii="Times New Roman" w:hAnsi="Times New Roman" w:cs="Times New Roman"/>
          <w:sz w:val="24"/>
          <w:u w:val="single" w:color="000000"/>
        </w:rPr>
        <w:t>Razlog odabira</w:t>
      </w:r>
    </w:p>
    <w:p w14:paraId="388D4C20" w14:textId="1FAE3002" w:rsidR="00B51AE1" w:rsidRPr="005142C4" w:rsidRDefault="00900184" w:rsidP="00924FB7">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lastRenderedPageBreak/>
        <w:t xml:space="preserve">Iako je mala vjerojatnost pucanja Savskog nasipa na području Grada Zagreba, takva </w:t>
      </w:r>
      <w:r w:rsidR="00924FB7">
        <w:rPr>
          <w:rFonts w:ascii="Times New Roman" w:hAnsi="Times New Roman" w:cs="Times New Roman"/>
          <w:sz w:val="24"/>
        </w:rPr>
        <w:t xml:space="preserve">bi </w:t>
      </w:r>
      <w:r w:rsidRPr="005142C4">
        <w:rPr>
          <w:rFonts w:ascii="Times New Roman" w:hAnsi="Times New Roman" w:cs="Times New Roman"/>
          <w:sz w:val="24"/>
        </w:rPr>
        <w:t>situacija dovela do poplavljivanja većeg dijela najgušće naseljenog gradskog područja na kojem se nalaze mnoge tvrtke i industrijski pogoni ali i individualni stambeni objekti (prizemnice) koji</w:t>
      </w:r>
      <w:r w:rsidR="00FE743D">
        <w:rPr>
          <w:rFonts w:ascii="Times New Roman" w:hAnsi="Times New Roman" w:cs="Times New Roman"/>
          <w:sz w:val="24"/>
        </w:rPr>
        <w:t>h</w:t>
      </w:r>
      <w:r w:rsidRPr="005142C4">
        <w:rPr>
          <w:rFonts w:ascii="Times New Roman" w:hAnsi="Times New Roman" w:cs="Times New Roman"/>
          <w:sz w:val="24"/>
        </w:rPr>
        <w:t xml:space="preserve"> </w:t>
      </w:r>
      <w:r w:rsidR="00924FB7">
        <w:rPr>
          <w:rFonts w:ascii="Times New Roman" w:hAnsi="Times New Roman" w:cs="Times New Roman"/>
          <w:sz w:val="24"/>
        </w:rPr>
        <w:t xml:space="preserve">je </w:t>
      </w:r>
      <w:r w:rsidRPr="005142C4">
        <w:rPr>
          <w:rFonts w:ascii="Times New Roman" w:hAnsi="Times New Roman" w:cs="Times New Roman"/>
          <w:sz w:val="24"/>
        </w:rPr>
        <w:t>značajan broj upravo na području blizu rijeke Save. Takva situacija osim velike materijalne štete koju može prouzročiti, može dovesti i do smrtnih ishoda u slučaju naglog poplavljivanja prizemnih stambenih objekata.</w:t>
      </w:r>
    </w:p>
    <w:p w14:paraId="1CC80FBF" w14:textId="77777777" w:rsidR="00B90FA0" w:rsidRDefault="00B90FA0" w:rsidP="00B51AE1">
      <w:pPr>
        <w:spacing w:after="0" w:line="240" w:lineRule="auto"/>
        <w:ind w:left="0" w:right="0" w:firstLine="709"/>
        <w:rPr>
          <w:rFonts w:ascii="Times New Roman" w:hAnsi="Times New Roman" w:cs="Times New Roman"/>
          <w:b/>
          <w:sz w:val="24"/>
        </w:rPr>
      </w:pPr>
    </w:p>
    <w:p w14:paraId="71BC50FD" w14:textId="78B19782" w:rsidR="00E40AC8" w:rsidRPr="00924FB7" w:rsidRDefault="00900184" w:rsidP="00C425D1">
      <w:pPr>
        <w:spacing w:line="240" w:lineRule="auto"/>
        <w:ind w:left="0" w:right="0" w:firstLine="0"/>
        <w:jc w:val="center"/>
        <w:rPr>
          <w:rFonts w:ascii="Times New Roman" w:hAnsi="Times New Roman" w:cs="Times New Roman"/>
          <w:b/>
          <w:sz w:val="24"/>
        </w:rPr>
      </w:pPr>
      <w:r w:rsidRPr="00924FB7">
        <w:rPr>
          <w:rFonts w:ascii="Times New Roman" w:hAnsi="Times New Roman" w:cs="Times New Roman"/>
          <w:b/>
          <w:sz w:val="24"/>
        </w:rPr>
        <w:t xml:space="preserve">Slika </w:t>
      </w:r>
      <w:r w:rsidR="0060440C">
        <w:rPr>
          <w:rFonts w:ascii="Times New Roman" w:hAnsi="Times New Roman" w:cs="Times New Roman"/>
          <w:b/>
          <w:sz w:val="24"/>
        </w:rPr>
        <w:t>10</w:t>
      </w:r>
      <w:r w:rsidRPr="00924FB7">
        <w:rPr>
          <w:rFonts w:ascii="Times New Roman" w:hAnsi="Times New Roman" w:cs="Times New Roman"/>
          <w:b/>
          <w:sz w:val="24"/>
        </w:rPr>
        <w:t>. Poplavom zahvaćena Savska cesta u Zagrebu 1964. godine</w:t>
      </w:r>
    </w:p>
    <w:p w14:paraId="0F8D3868" w14:textId="77777777" w:rsidR="00E40AC8" w:rsidRPr="005142C4" w:rsidRDefault="00900184" w:rsidP="00757E67">
      <w:pPr>
        <w:spacing w:after="0" w:line="240" w:lineRule="auto"/>
        <w:ind w:left="0" w:right="0" w:firstLine="0"/>
        <w:jc w:val="center"/>
        <w:rPr>
          <w:rFonts w:ascii="Times New Roman" w:hAnsi="Times New Roman" w:cs="Times New Roman"/>
          <w:sz w:val="24"/>
        </w:rPr>
      </w:pPr>
      <w:r w:rsidRPr="005142C4">
        <w:rPr>
          <w:rFonts w:ascii="Times New Roman" w:hAnsi="Times New Roman" w:cs="Times New Roman"/>
          <w:noProof/>
          <w:sz w:val="24"/>
        </w:rPr>
        <w:drawing>
          <wp:inline distT="0" distB="0" distL="0" distR="0" wp14:anchorId="725D4131" wp14:editId="744E4651">
            <wp:extent cx="4036060" cy="2562225"/>
            <wp:effectExtent l="0" t="0" r="2540" b="9525"/>
            <wp:docPr id="26845" name="Picture 26845"/>
            <wp:cNvGraphicFramePr/>
            <a:graphic xmlns:a="http://schemas.openxmlformats.org/drawingml/2006/main">
              <a:graphicData uri="http://schemas.openxmlformats.org/drawingml/2006/picture">
                <pic:pic xmlns:pic="http://schemas.openxmlformats.org/drawingml/2006/picture">
                  <pic:nvPicPr>
                    <pic:cNvPr id="26845" name="Picture 26845"/>
                    <pic:cNvPicPr/>
                  </pic:nvPicPr>
                  <pic:blipFill>
                    <a:blip r:embed="rId45"/>
                    <a:stretch>
                      <a:fillRect/>
                    </a:stretch>
                  </pic:blipFill>
                  <pic:spPr>
                    <a:xfrm>
                      <a:off x="0" y="0"/>
                      <a:ext cx="4036060" cy="2562225"/>
                    </a:xfrm>
                    <a:prstGeom prst="rect">
                      <a:avLst/>
                    </a:prstGeom>
                  </pic:spPr>
                </pic:pic>
              </a:graphicData>
            </a:graphic>
          </wp:inline>
        </w:drawing>
      </w:r>
    </w:p>
    <w:p w14:paraId="37B99F3C" w14:textId="33C4E9A2" w:rsidR="00E40AC8" w:rsidRPr="00F20ED2" w:rsidRDefault="00F20ED2" w:rsidP="00F20ED2">
      <w:pPr>
        <w:spacing w:after="0" w:line="240" w:lineRule="auto"/>
        <w:ind w:left="0" w:right="0" w:firstLine="0"/>
        <w:jc w:val="center"/>
        <w:rPr>
          <w:rFonts w:ascii="Times New Roman" w:hAnsi="Times New Roman" w:cs="Times New Roman"/>
          <w:i/>
          <w:sz w:val="20"/>
          <w:szCs w:val="20"/>
        </w:rPr>
      </w:pPr>
      <w:r w:rsidRPr="00F20ED2">
        <w:rPr>
          <w:rFonts w:ascii="Times New Roman" w:hAnsi="Times New Roman" w:cs="Times New Roman"/>
          <w:i/>
          <w:sz w:val="20"/>
          <w:szCs w:val="20"/>
        </w:rPr>
        <w:t>Izvor:</w:t>
      </w:r>
      <w:r w:rsidRPr="00F20ED2">
        <w:t xml:space="preserve"> </w:t>
      </w:r>
      <w:r w:rsidRPr="00F20ED2">
        <w:rPr>
          <w:rFonts w:ascii="Times New Roman" w:hAnsi="Times New Roman" w:cs="Times New Roman"/>
          <w:i/>
          <w:sz w:val="20"/>
          <w:szCs w:val="20"/>
        </w:rPr>
        <w:t>Dio Savske ceste u vrijeme katastrofalne poplave u Zagrebu krajem listopada 1964. g. (Foto: Vladko Lozić, Josip Vranić, Šime Radovčić, Ljudevit Tropan)</w:t>
      </w:r>
    </w:p>
    <w:p w14:paraId="74CA6F8A" w14:textId="77777777" w:rsidR="00F20ED2" w:rsidRDefault="00F20ED2" w:rsidP="00924FB7">
      <w:pPr>
        <w:spacing w:after="0" w:line="240" w:lineRule="auto"/>
        <w:ind w:left="0" w:right="0" w:firstLine="709"/>
        <w:rPr>
          <w:rFonts w:ascii="Times New Roman" w:hAnsi="Times New Roman" w:cs="Times New Roman"/>
          <w:sz w:val="24"/>
        </w:rPr>
      </w:pPr>
    </w:p>
    <w:p w14:paraId="671E9623" w14:textId="3F6730DD" w:rsidR="00E40AC8" w:rsidRDefault="00900184" w:rsidP="00924FB7">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Ozbiljna poplava može ugroziti i objekte kritične infrastrukture na području Grada Zagreba </w:t>
      </w:r>
      <w:r w:rsidR="00924FB7">
        <w:rPr>
          <w:rFonts w:ascii="Times New Roman" w:hAnsi="Times New Roman" w:cs="Times New Roman"/>
          <w:sz w:val="24"/>
        </w:rPr>
        <w:t>zbog</w:t>
      </w:r>
      <w:r w:rsidRPr="005142C4">
        <w:rPr>
          <w:rFonts w:ascii="Times New Roman" w:hAnsi="Times New Roman" w:cs="Times New Roman"/>
          <w:sz w:val="24"/>
        </w:rPr>
        <w:t xml:space="preserve"> pucanja Savskog nasipa. </w:t>
      </w:r>
      <w:r w:rsidR="00924FB7">
        <w:rPr>
          <w:rFonts w:ascii="Times New Roman" w:hAnsi="Times New Roman" w:cs="Times New Roman"/>
          <w:sz w:val="24"/>
        </w:rPr>
        <w:t>S o</w:t>
      </w:r>
      <w:r w:rsidRPr="005142C4">
        <w:rPr>
          <w:rFonts w:ascii="Times New Roman" w:hAnsi="Times New Roman" w:cs="Times New Roman"/>
          <w:sz w:val="24"/>
        </w:rPr>
        <w:t xml:space="preserve">bzirom na sve učestalije vremenske nepogode, posebno grmljavinske pljuskove koji uključuju vrlo veliku količinu padalina, neki objekti kritične infrastrukture mogu biti poplavljeni zbog nedovoljne propusnosti kanalizacije koja ne može prikupiti dovoljnu količinu vode. Na gradskim područjima smještenim uz sjevernu i južnu obalu Save problem </w:t>
      </w:r>
      <w:r w:rsidR="00C85A08">
        <w:rPr>
          <w:rFonts w:ascii="Times New Roman" w:hAnsi="Times New Roman" w:cs="Times New Roman"/>
          <w:sz w:val="24"/>
        </w:rPr>
        <w:t>su</w:t>
      </w:r>
      <w:r w:rsidR="004A1495">
        <w:rPr>
          <w:rFonts w:ascii="Times New Roman" w:hAnsi="Times New Roman" w:cs="Times New Roman"/>
          <w:sz w:val="24"/>
        </w:rPr>
        <w:t xml:space="preserve"> </w:t>
      </w:r>
      <w:r w:rsidRPr="005142C4">
        <w:rPr>
          <w:rFonts w:ascii="Times New Roman" w:hAnsi="Times New Roman" w:cs="Times New Roman"/>
          <w:sz w:val="24"/>
        </w:rPr>
        <w:t xml:space="preserve">i podzemne vode koje poplavljuju podrume zgrada tijekom visokog vodostaja, </w:t>
      </w:r>
      <w:r w:rsidR="00924FB7">
        <w:rPr>
          <w:rFonts w:ascii="Times New Roman" w:hAnsi="Times New Roman" w:cs="Times New Roman"/>
          <w:sz w:val="24"/>
        </w:rPr>
        <w:t xml:space="preserve">ali </w:t>
      </w:r>
      <w:r w:rsidRPr="005142C4">
        <w:rPr>
          <w:rFonts w:ascii="Times New Roman" w:hAnsi="Times New Roman" w:cs="Times New Roman"/>
          <w:sz w:val="24"/>
        </w:rPr>
        <w:t xml:space="preserve">takvi događaji ne mogu ozbiljno ugroziti objekte kritične infrastrukture, već eventualno otežati njihov rad. Budući da sva naselja u Gradu Zagrebu nisu </w:t>
      </w:r>
      <w:r w:rsidR="00924FB7">
        <w:rPr>
          <w:rFonts w:ascii="Times New Roman" w:hAnsi="Times New Roman" w:cs="Times New Roman"/>
          <w:sz w:val="24"/>
        </w:rPr>
        <w:t xml:space="preserve">priključena </w:t>
      </w:r>
      <w:r w:rsidRPr="005142C4">
        <w:rPr>
          <w:rFonts w:ascii="Times New Roman" w:hAnsi="Times New Roman" w:cs="Times New Roman"/>
          <w:sz w:val="24"/>
        </w:rPr>
        <w:t>na glavni vodoopskrbni sustav, u slučaju poplava moguće je zamućenje lokalnih vodoopskrbnih mreža tijekom i nakon poplava</w:t>
      </w:r>
      <w:r w:rsidR="00924FB7">
        <w:rPr>
          <w:rFonts w:ascii="Times New Roman" w:hAnsi="Times New Roman" w:cs="Times New Roman"/>
          <w:sz w:val="24"/>
        </w:rPr>
        <w:t>,</w:t>
      </w:r>
      <w:r w:rsidRPr="005142C4">
        <w:rPr>
          <w:rFonts w:ascii="Times New Roman" w:hAnsi="Times New Roman" w:cs="Times New Roman"/>
          <w:sz w:val="24"/>
        </w:rPr>
        <w:t xml:space="preserve"> a zagađenje izvora vode može dovesti do epidemioloških i sanitarnih opasnosti.</w:t>
      </w:r>
    </w:p>
    <w:p w14:paraId="1B227C6B" w14:textId="77777777" w:rsidR="00E40AC8" w:rsidRPr="00924FB7" w:rsidRDefault="00900184" w:rsidP="00924FB7">
      <w:pPr>
        <w:spacing w:after="0" w:line="240" w:lineRule="auto"/>
        <w:ind w:right="0" w:firstLine="699"/>
        <w:rPr>
          <w:rFonts w:ascii="Times New Roman" w:hAnsi="Times New Roman" w:cs="Times New Roman"/>
          <w:b/>
          <w:sz w:val="24"/>
        </w:rPr>
      </w:pPr>
      <w:bookmarkStart w:id="50" w:name="_Toc2938568"/>
      <w:r w:rsidRPr="00924FB7">
        <w:rPr>
          <w:rFonts w:ascii="Times New Roman" w:hAnsi="Times New Roman" w:cs="Times New Roman"/>
          <w:b/>
          <w:sz w:val="24"/>
        </w:rPr>
        <w:t>3.2.3. Industrijske nesreće</w:t>
      </w:r>
      <w:bookmarkEnd w:id="50"/>
    </w:p>
    <w:p w14:paraId="150BCC9F" w14:textId="77777777" w:rsidR="00E40AC8" w:rsidRPr="005142C4" w:rsidRDefault="00900184" w:rsidP="00924FB7">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Industrijske nesreće nastaju kao iznenadni i nekontrolirani događaji prilikom upravljanja određenim sredstvima i obavljanja aktivnosti s opasnim tvarima. U današnje vrijeme intenzivnog razvoja tehnologije, korištenja novih materijala i supstanci</w:t>
      </w:r>
      <w:r w:rsidR="007811CE">
        <w:rPr>
          <w:rFonts w:ascii="Times New Roman" w:hAnsi="Times New Roman" w:cs="Times New Roman"/>
          <w:sz w:val="24"/>
        </w:rPr>
        <w:t>ja</w:t>
      </w:r>
      <w:r w:rsidRPr="005142C4">
        <w:rPr>
          <w:rFonts w:ascii="Times New Roman" w:hAnsi="Times New Roman" w:cs="Times New Roman"/>
          <w:sz w:val="24"/>
        </w:rPr>
        <w:t xml:space="preserve"> u proizvodnom procesu, ali i s druge strane zanemarivanja već dotrajalih tehnologija i materijala koji se neadekvatno skladište ili pohranjuju, realna su i sveprisutna mogućnost.</w:t>
      </w:r>
    </w:p>
    <w:p w14:paraId="00B5A8A3" w14:textId="77777777" w:rsidR="00E40AC8" w:rsidRPr="005142C4" w:rsidRDefault="00900184" w:rsidP="00924FB7">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Ovisno o vrsti, količini i maksimalnoj koncentraciji opasnih tvari te udaljenosti gospodarskih objekata od naseljenih područja, odnosno pogona/postrojenja koji obavljaju profesionalnu djelatnost </w:t>
      </w:r>
      <w:r w:rsidR="007811CE">
        <w:rPr>
          <w:rFonts w:ascii="Times New Roman" w:hAnsi="Times New Roman" w:cs="Times New Roman"/>
          <w:sz w:val="24"/>
        </w:rPr>
        <w:t>po</w:t>
      </w:r>
      <w:r w:rsidRPr="005142C4">
        <w:rPr>
          <w:rFonts w:ascii="Times New Roman" w:hAnsi="Times New Roman" w:cs="Times New Roman"/>
          <w:sz w:val="24"/>
        </w:rPr>
        <w:t xml:space="preserve">vezanu </w:t>
      </w:r>
      <w:r w:rsidR="007811CE">
        <w:rPr>
          <w:rFonts w:ascii="Times New Roman" w:hAnsi="Times New Roman" w:cs="Times New Roman"/>
          <w:sz w:val="24"/>
        </w:rPr>
        <w:t>s</w:t>
      </w:r>
      <w:r w:rsidRPr="005142C4">
        <w:rPr>
          <w:rFonts w:ascii="Times New Roman" w:hAnsi="Times New Roman" w:cs="Times New Roman"/>
          <w:sz w:val="24"/>
        </w:rPr>
        <w:t xml:space="preserve"> opasn</w:t>
      </w:r>
      <w:r w:rsidR="007811CE">
        <w:rPr>
          <w:rFonts w:ascii="Times New Roman" w:hAnsi="Times New Roman" w:cs="Times New Roman"/>
          <w:sz w:val="24"/>
        </w:rPr>
        <w:t>im</w:t>
      </w:r>
      <w:r w:rsidRPr="005142C4">
        <w:rPr>
          <w:rFonts w:ascii="Times New Roman" w:hAnsi="Times New Roman" w:cs="Times New Roman"/>
          <w:sz w:val="24"/>
        </w:rPr>
        <w:t xml:space="preserve"> tvari</w:t>
      </w:r>
      <w:r w:rsidR="007811CE">
        <w:rPr>
          <w:rFonts w:ascii="Times New Roman" w:hAnsi="Times New Roman" w:cs="Times New Roman"/>
          <w:sz w:val="24"/>
        </w:rPr>
        <w:t>ma</w:t>
      </w:r>
      <w:r w:rsidRPr="005142C4">
        <w:rPr>
          <w:rFonts w:ascii="Times New Roman" w:hAnsi="Times New Roman" w:cs="Times New Roman"/>
          <w:sz w:val="24"/>
        </w:rPr>
        <w:t>, moguć je nastanak industrijskih odnosno tehničko</w:t>
      </w:r>
      <w:r w:rsidR="00BB0D9F">
        <w:rPr>
          <w:rFonts w:ascii="Times New Roman" w:hAnsi="Times New Roman" w:cs="Times New Roman"/>
          <w:sz w:val="24"/>
        </w:rPr>
        <w:t>-</w:t>
      </w:r>
      <w:r w:rsidRPr="005142C4">
        <w:rPr>
          <w:rFonts w:ascii="Times New Roman" w:hAnsi="Times New Roman" w:cs="Times New Roman"/>
          <w:sz w:val="24"/>
        </w:rPr>
        <w:t xml:space="preserve">tehnoloških nesreća s mogućnošću prerastanja u veliku nesreću i katastrofu, posljedica </w:t>
      </w:r>
      <w:r w:rsidR="007811CE">
        <w:rPr>
          <w:rFonts w:ascii="Times New Roman" w:hAnsi="Times New Roman" w:cs="Times New Roman"/>
          <w:sz w:val="24"/>
        </w:rPr>
        <w:t xml:space="preserve">koje </w:t>
      </w:r>
      <w:r w:rsidRPr="005142C4">
        <w:rPr>
          <w:rFonts w:ascii="Times New Roman" w:hAnsi="Times New Roman" w:cs="Times New Roman"/>
          <w:sz w:val="24"/>
        </w:rPr>
        <w:t>može biti ugrožavanje života i zdravlja ljudi, okoliša</w:t>
      </w:r>
      <w:r w:rsidR="007811CE">
        <w:rPr>
          <w:rFonts w:ascii="Times New Roman" w:hAnsi="Times New Roman" w:cs="Times New Roman"/>
          <w:sz w:val="24"/>
        </w:rPr>
        <w:t xml:space="preserve"> te</w:t>
      </w:r>
      <w:r w:rsidRPr="005142C4">
        <w:rPr>
          <w:rFonts w:ascii="Times New Roman" w:hAnsi="Times New Roman" w:cs="Times New Roman"/>
          <w:sz w:val="24"/>
        </w:rPr>
        <w:t xml:space="preserve"> okolnog gospodarstva te mreža i sustava kritične infrastrukture.</w:t>
      </w:r>
    </w:p>
    <w:p w14:paraId="54132385" w14:textId="77777777" w:rsidR="00E40AC8" w:rsidRPr="005142C4" w:rsidRDefault="00900184" w:rsidP="00924FB7">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lastRenderedPageBreak/>
        <w:t xml:space="preserve">Na području Grada Zagreba djeluje nekoliko gospodarskih subjekata kod kojih se nalaze određene količine opasnih tvari: eksplozivnih, zapaljivih, otrovnih i dr. Nesreće koje se u tim </w:t>
      </w:r>
      <w:r w:rsidR="00C85A08">
        <w:rPr>
          <w:rFonts w:ascii="Times New Roman" w:hAnsi="Times New Roman" w:cs="Times New Roman"/>
          <w:sz w:val="24"/>
        </w:rPr>
        <w:t>subjektima</w:t>
      </w:r>
      <w:r w:rsidR="004A1495">
        <w:rPr>
          <w:rFonts w:ascii="Times New Roman" w:hAnsi="Times New Roman" w:cs="Times New Roman"/>
          <w:sz w:val="24"/>
        </w:rPr>
        <w:t xml:space="preserve"> </w:t>
      </w:r>
      <w:r w:rsidRPr="005142C4">
        <w:rPr>
          <w:rFonts w:ascii="Times New Roman" w:hAnsi="Times New Roman" w:cs="Times New Roman"/>
          <w:sz w:val="24"/>
        </w:rPr>
        <w:t>mogu dogoditi zbog raznih razloga</w:t>
      </w:r>
      <w:r w:rsidR="007811CE">
        <w:rPr>
          <w:rFonts w:ascii="Times New Roman" w:hAnsi="Times New Roman" w:cs="Times New Roman"/>
          <w:sz w:val="24"/>
        </w:rPr>
        <w:t>,</w:t>
      </w:r>
      <w:r w:rsidRPr="005142C4">
        <w:rPr>
          <w:rFonts w:ascii="Times New Roman" w:hAnsi="Times New Roman" w:cs="Times New Roman"/>
          <w:sz w:val="24"/>
        </w:rPr>
        <w:t xml:space="preserve"> mogu imati katastrofalne posljedice s određenim brojem stradalih te uništavanjem materijalnih dobara i zagađivanjem okoliša. U Registru postrojenja u kojima je utvrđena prisutnost opasnih tvari (RPOT) </w:t>
      </w:r>
      <w:r w:rsidR="00BB0D9F">
        <w:rPr>
          <w:rFonts w:ascii="Times New Roman" w:hAnsi="Times New Roman" w:cs="Times New Roman"/>
          <w:sz w:val="24"/>
        </w:rPr>
        <w:t xml:space="preserve">Zavoda </w:t>
      </w:r>
      <w:r w:rsidRPr="005142C4">
        <w:rPr>
          <w:rFonts w:ascii="Times New Roman" w:hAnsi="Times New Roman" w:cs="Times New Roman"/>
          <w:sz w:val="24"/>
        </w:rPr>
        <w:t xml:space="preserve"> za </w:t>
      </w:r>
      <w:r w:rsidR="00BB0D9F">
        <w:rPr>
          <w:rFonts w:ascii="Times New Roman" w:hAnsi="Times New Roman" w:cs="Times New Roman"/>
          <w:sz w:val="24"/>
        </w:rPr>
        <w:t xml:space="preserve">zaštitu </w:t>
      </w:r>
      <w:r w:rsidRPr="005142C4">
        <w:rPr>
          <w:rFonts w:ascii="Times New Roman" w:hAnsi="Times New Roman" w:cs="Times New Roman"/>
          <w:sz w:val="24"/>
        </w:rPr>
        <w:t>okoliš</w:t>
      </w:r>
      <w:r w:rsidR="00BB0D9F">
        <w:rPr>
          <w:rFonts w:ascii="Times New Roman" w:hAnsi="Times New Roman" w:cs="Times New Roman"/>
          <w:sz w:val="24"/>
        </w:rPr>
        <w:t>a</w:t>
      </w:r>
      <w:r w:rsidRPr="005142C4">
        <w:rPr>
          <w:rFonts w:ascii="Times New Roman" w:hAnsi="Times New Roman" w:cs="Times New Roman"/>
          <w:sz w:val="24"/>
        </w:rPr>
        <w:t xml:space="preserve"> i prirod</w:t>
      </w:r>
      <w:r w:rsidR="00BB0D9F">
        <w:rPr>
          <w:rFonts w:ascii="Times New Roman" w:hAnsi="Times New Roman" w:cs="Times New Roman"/>
          <w:sz w:val="24"/>
        </w:rPr>
        <w:t>e</w:t>
      </w:r>
      <w:r w:rsidRPr="005142C4">
        <w:rPr>
          <w:rFonts w:ascii="Times New Roman" w:hAnsi="Times New Roman" w:cs="Times New Roman"/>
          <w:sz w:val="24"/>
        </w:rPr>
        <w:t xml:space="preserve"> nalaze se službeni podaci o postrojenjima u Gradu Zagrebu koja podliježu navedenim zakonskim propisima, a prema podacima o vrsti i količini opasnih tvari i/ili grupa opasnih tvari (tone). U RPOT registru na području Grada Zagreba nalaze se sljedeća postrojenja s opasnosti od domino</w:t>
      </w:r>
      <w:r w:rsidR="007811CE">
        <w:rPr>
          <w:rFonts w:ascii="Times New Roman" w:hAnsi="Times New Roman" w:cs="Times New Roman"/>
          <w:sz w:val="24"/>
        </w:rPr>
        <w:t>-</w:t>
      </w:r>
      <w:r w:rsidRPr="005142C4">
        <w:rPr>
          <w:rFonts w:ascii="Times New Roman" w:hAnsi="Times New Roman" w:cs="Times New Roman"/>
          <w:sz w:val="24"/>
        </w:rPr>
        <w:t>efekta</w:t>
      </w:r>
      <w:r w:rsidRPr="005142C4">
        <w:rPr>
          <w:rFonts w:ascii="Times New Roman" w:hAnsi="Times New Roman" w:cs="Times New Roman"/>
          <w:sz w:val="24"/>
          <w:vertAlign w:val="superscript"/>
        </w:rPr>
        <w:footnoteReference w:id="6"/>
      </w:r>
      <w:r w:rsidRPr="005142C4">
        <w:rPr>
          <w:rFonts w:ascii="Times New Roman" w:hAnsi="Times New Roman" w:cs="Times New Roman"/>
          <w:sz w:val="24"/>
        </w:rPr>
        <w:t>:</w:t>
      </w:r>
    </w:p>
    <w:p w14:paraId="7D4688E5" w14:textId="77777777" w:rsidR="00E40AC8" w:rsidRPr="005142C4" w:rsidRDefault="00E40AC8" w:rsidP="005142C4">
      <w:pPr>
        <w:spacing w:after="0" w:line="240" w:lineRule="auto"/>
        <w:ind w:left="0" w:right="0" w:firstLine="0"/>
        <w:jc w:val="left"/>
        <w:rPr>
          <w:rFonts w:ascii="Times New Roman" w:hAnsi="Times New Roman" w:cs="Times New Roman"/>
          <w:sz w:val="24"/>
        </w:rPr>
      </w:pPr>
    </w:p>
    <w:p w14:paraId="15FEADDC" w14:textId="015BAF28" w:rsidR="003F7A56" w:rsidRDefault="00900184" w:rsidP="00B2471C">
      <w:pPr>
        <w:spacing w:line="240" w:lineRule="auto"/>
        <w:ind w:left="0" w:right="0" w:firstLine="0"/>
        <w:jc w:val="center"/>
        <w:rPr>
          <w:rFonts w:ascii="Times New Roman" w:hAnsi="Times New Roman" w:cs="Times New Roman"/>
          <w:b/>
          <w:sz w:val="24"/>
        </w:rPr>
      </w:pPr>
      <w:r w:rsidRPr="007811CE">
        <w:rPr>
          <w:rFonts w:ascii="Times New Roman" w:hAnsi="Times New Roman" w:cs="Times New Roman"/>
          <w:b/>
          <w:sz w:val="24"/>
        </w:rPr>
        <w:t xml:space="preserve">Tablica </w:t>
      </w:r>
      <w:r w:rsidR="00381D97">
        <w:rPr>
          <w:rFonts w:ascii="Times New Roman" w:hAnsi="Times New Roman" w:cs="Times New Roman"/>
          <w:b/>
          <w:sz w:val="24"/>
        </w:rPr>
        <w:t>30</w:t>
      </w:r>
      <w:r w:rsidRPr="007811CE">
        <w:rPr>
          <w:rFonts w:ascii="Times New Roman" w:hAnsi="Times New Roman" w:cs="Times New Roman"/>
          <w:b/>
          <w:sz w:val="24"/>
        </w:rPr>
        <w:t>. Postrojenja s opasnosti od domino</w:t>
      </w:r>
      <w:r w:rsidR="00BE413F">
        <w:rPr>
          <w:rFonts w:ascii="Times New Roman" w:hAnsi="Times New Roman" w:cs="Times New Roman"/>
          <w:b/>
          <w:sz w:val="24"/>
        </w:rPr>
        <w:t>-</w:t>
      </w:r>
      <w:r w:rsidRPr="007811CE">
        <w:rPr>
          <w:rFonts w:ascii="Times New Roman" w:hAnsi="Times New Roman" w:cs="Times New Roman"/>
          <w:b/>
          <w:sz w:val="24"/>
        </w:rPr>
        <w:t>efekta</w:t>
      </w:r>
    </w:p>
    <w:tbl>
      <w:tblPr>
        <w:tblStyle w:val="TableGrid"/>
        <w:tblW w:w="9072" w:type="dxa"/>
        <w:tblInd w:w="0" w:type="dxa"/>
        <w:tblLayout w:type="fixed"/>
        <w:tblCellMar>
          <w:top w:w="57" w:type="dxa"/>
          <w:left w:w="57" w:type="dxa"/>
          <w:bottom w:w="57" w:type="dxa"/>
          <w:right w:w="57" w:type="dxa"/>
        </w:tblCellMar>
        <w:tblLook w:val="04A0" w:firstRow="1" w:lastRow="0" w:firstColumn="1" w:lastColumn="0" w:noHBand="0" w:noVBand="1"/>
      </w:tblPr>
      <w:tblGrid>
        <w:gridCol w:w="1984"/>
        <w:gridCol w:w="1984"/>
        <w:gridCol w:w="1985"/>
        <w:gridCol w:w="1701"/>
        <w:gridCol w:w="1418"/>
      </w:tblGrid>
      <w:tr w:rsidR="003F7A56" w:rsidRPr="0033642E" w14:paraId="763527A1" w14:textId="77777777" w:rsidTr="00BB0D9F">
        <w:trPr>
          <w:cantSplit/>
          <w:tblHeader/>
        </w:trPr>
        <w:tc>
          <w:tcPr>
            <w:tcW w:w="1984"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EB5DAE3" w14:textId="77777777" w:rsidR="003F7A56" w:rsidRPr="0033642E" w:rsidRDefault="00900184" w:rsidP="0033642E">
            <w:pPr>
              <w:spacing w:after="0" w:line="240" w:lineRule="auto"/>
              <w:ind w:left="0" w:right="0" w:firstLine="0"/>
              <w:jc w:val="center"/>
              <w:rPr>
                <w:rFonts w:ascii="Times New Roman" w:hAnsi="Times New Roman" w:cs="Times New Roman"/>
              </w:rPr>
            </w:pPr>
            <w:r w:rsidRPr="0033642E">
              <w:rPr>
                <w:rFonts w:ascii="Times New Roman" w:hAnsi="Times New Roman" w:cs="Times New Roman"/>
                <w:b/>
              </w:rPr>
              <w:t>Naziv operatera</w:t>
            </w:r>
          </w:p>
        </w:tc>
        <w:tc>
          <w:tcPr>
            <w:tcW w:w="1984"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19AED3D" w14:textId="77777777" w:rsidR="003F7A56" w:rsidRPr="0033642E" w:rsidRDefault="00900184" w:rsidP="0033642E">
            <w:pPr>
              <w:spacing w:after="0" w:line="240" w:lineRule="auto"/>
              <w:ind w:left="0" w:right="0" w:firstLine="0"/>
              <w:jc w:val="center"/>
              <w:rPr>
                <w:rFonts w:ascii="Times New Roman" w:hAnsi="Times New Roman" w:cs="Times New Roman"/>
              </w:rPr>
            </w:pPr>
            <w:r w:rsidRPr="0033642E">
              <w:rPr>
                <w:rFonts w:ascii="Times New Roman" w:hAnsi="Times New Roman" w:cs="Times New Roman"/>
                <w:b/>
              </w:rPr>
              <w:t>Naziv područja postrojenja</w:t>
            </w:r>
          </w:p>
        </w:tc>
        <w:tc>
          <w:tcPr>
            <w:tcW w:w="1985"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F8C0E88" w14:textId="77777777" w:rsidR="003F7A56" w:rsidRPr="0033642E" w:rsidRDefault="00900184" w:rsidP="0033642E">
            <w:pPr>
              <w:spacing w:after="0" w:line="240" w:lineRule="auto"/>
              <w:ind w:left="0" w:right="0" w:firstLine="0"/>
              <w:jc w:val="center"/>
              <w:rPr>
                <w:rFonts w:ascii="Times New Roman" w:hAnsi="Times New Roman" w:cs="Times New Roman"/>
              </w:rPr>
            </w:pPr>
            <w:r w:rsidRPr="0033642E">
              <w:rPr>
                <w:rFonts w:ascii="Times New Roman" w:hAnsi="Times New Roman" w:cs="Times New Roman"/>
                <w:b/>
              </w:rPr>
              <w:t>Adresa</w:t>
            </w:r>
          </w:p>
        </w:tc>
        <w:tc>
          <w:tcPr>
            <w:tcW w:w="170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B165B49" w14:textId="77777777" w:rsidR="003F7A56" w:rsidRPr="0033642E" w:rsidRDefault="00900184" w:rsidP="0033642E">
            <w:pPr>
              <w:spacing w:after="0" w:line="240" w:lineRule="auto"/>
              <w:ind w:left="0" w:right="0" w:firstLine="0"/>
              <w:jc w:val="center"/>
              <w:rPr>
                <w:rFonts w:ascii="Times New Roman" w:hAnsi="Times New Roman" w:cs="Times New Roman"/>
              </w:rPr>
            </w:pPr>
            <w:r w:rsidRPr="0033642E">
              <w:rPr>
                <w:rFonts w:ascii="Times New Roman" w:hAnsi="Times New Roman" w:cs="Times New Roman"/>
                <w:b/>
              </w:rPr>
              <w:t>NKD</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3B8DE4E" w14:textId="77777777" w:rsidR="003F7A56" w:rsidRPr="0033642E" w:rsidRDefault="00900184" w:rsidP="0033642E">
            <w:pPr>
              <w:spacing w:after="0" w:line="240" w:lineRule="auto"/>
              <w:ind w:left="0" w:right="0" w:firstLine="0"/>
              <w:jc w:val="center"/>
              <w:rPr>
                <w:rFonts w:ascii="Times New Roman" w:hAnsi="Times New Roman" w:cs="Times New Roman"/>
              </w:rPr>
            </w:pPr>
            <w:r w:rsidRPr="0033642E">
              <w:rPr>
                <w:rFonts w:ascii="Times New Roman" w:hAnsi="Times New Roman" w:cs="Times New Roman"/>
                <w:b/>
              </w:rPr>
              <w:t>Razred</w:t>
            </w:r>
          </w:p>
        </w:tc>
      </w:tr>
      <w:tr w:rsidR="003F7A56" w:rsidRPr="0033642E" w14:paraId="05990B3D" w14:textId="77777777" w:rsidTr="00BB0D9F">
        <w:trPr>
          <w:cantSplit/>
          <w:tblHeader/>
        </w:trPr>
        <w:tc>
          <w:tcPr>
            <w:tcW w:w="1984" w:type="dxa"/>
            <w:tcBorders>
              <w:top w:val="single" w:sz="4" w:space="0" w:color="000000"/>
              <w:left w:val="single" w:sz="4" w:space="0" w:color="000000"/>
              <w:bottom w:val="single" w:sz="4" w:space="0" w:color="000000"/>
              <w:right w:val="single" w:sz="4" w:space="0" w:color="000000"/>
            </w:tcBorders>
            <w:vAlign w:val="center"/>
          </w:tcPr>
          <w:p w14:paraId="703E4EC3" w14:textId="77777777" w:rsidR="003F7A56" w:rsidRPr="0033642E" w:rsidRDefault="00900184" w:rsidP="0033642E">
            <w:pPr>
              <w:spacing w:after="0" w:line="240" w:lineRule="auto"/>
              <w:ind w:left="0" w:right="0" w:firstLine="0"/>
              <w:jc w:val="center"/>
              <w:rPr>
                <w:rFonts w:ascii="Times New Roman" w:hAnsi="Times New Roman" w:cs="Times New Roman"/>
              </w:rPr>
            </w:pPr>
            <w:r w:rsidRPr="0033642E">
              <w:rPr>
                <w:rFonts w:ascii="Times New Roman" w:hAnsi="Times New Roman" w:cs="Times New Roman"/>
              </w:rPr>
              <w:t>INA</w:t>
            </w:r>
            <w:r w:rsidR="00A87CF4">
              <w:rPr>
                <w:rFonts w:ascii="Times New Roman" w:hAnsi="Times New Roman" w:cs="Times New Roman"/>
              </w:rPr>
              <w:t xml:space="preserve"> </w:t>
            </w:r>
            <w:r w:rsidR="00EE6A22" w:rsidRPr="0033642E">
              <w:rPr>
                <w:rFonts w:ascii="Times New Roman" w:hAnsi="Times New Roman" w:cs="Times New Roman"/>
              </w:rPr>
              <w:t>-</w:t>
            </w:r>
            <w:r w:rsidR="00A87CF4">
              <w:rPr>
                <w:rFonts w:ascii="Times New Roman" w:hAnsi="Times New Roman" w:cs="Times New Roman"/>
              </w:rPr>
              <w:t xml:space="preserve"> </w:t>
            </w:r>
            <w:r w:rsidRPr="0033642E">
              <w:rPr>
                <w:rFonts w:ascii="Times New Roman" w:hAnsi="Times New Roman" w:cs="Times New Roman"/>
              </w:rPr>
              <w:t>INDUSTRIJA NAFTE, d.d.</w:t>
            </w:r>
          </w:p>
        </w:tc>
        <w:tc>
          <w:tcPr>
            <w:tcW w:w="1984" w:type="dxa"/>
            <w:tcBorders>
              <w:top w:val="single" w:sz="4" w:space="0" w:color="000000"/>
              <w:left w:val="single" w:sz="4" w:space="0" w:color="000000"/>
              <w:bottom w:val="single" w:sz="4" w:space="0" w:color="000000"/>
              <w:right w:val="single" w:sz="4" w:space="0" w:color="000000"/>
            </w:tcBorders>
            <w:vAlign w:val="center"/>
          </w:tcPr>
          <w:p w14:paraId="216071AC" w14:textId="77777777" w:rsidR="003F7A56" w:rsidRPr="0033642E" w:rsidRDefault="00900184" w:rsidP="0033642E">
            <w:pPr>
              <w:spacing w:after="0" w:line="240" w:lineRule="auto"/>
              <w:ind w:left="0" w:right="0" w:firstLine="0"/>
              <w:jc w:val="center"/>
              <w:rPr>
                <w:rFonts w:ascii="Times New Roman" w:hAnsi="Times New Roman" w:cs="Times New Roman"/>
              </w:rPr>
            </w:pPr>
            <w:r w:rsidRPr="0033642E">
              <w:rPr>
                <w:rFonts w:ascii="Times New Roman" w:hAnsi="Times New Roman" w:cs="Times New Roman"/>
              </w:rPr>
              <w:t>Logistika, Logistički terminali,</w:t>
            </w:r>
            <w:r w:rsidR="007811CE" w:rsidRPr="0033642E">
              <w:rPr>
                <w:rFonts w:ascii="Times New Roman" w:hAnsi="Times New Roman" w:cs="Times New Roman"/>
              </w:rPr>
              <w:t xml:space="preserve"> </w:t>
            </w:r>
            <w:r w:rsidRPr="0033642E">
              <w:rPr>
                <w:rFonts w:ascii="Times New Roman" w:hAnsi="Times New Roman" w:cs="Times New Roman"/>
              </w:rPr>
              <w:t>Regija</w:t>
            </w:r>
            <w:r w:rsidR="007811CE" w:rsidRPr="0033642E">
              <w:rPr>
                <w:rFonts w:ascii="Times New Roman" w:hAnsi="Times New Roman" w:cs="Times New Roman"/>
              </w:rPr>
              <w:t xml:space="preserve"> </w:t>
            </w:r>
            <w:r w:rsidRPr="0033642E">
              <w:rPr>
                <w:rFonts w:ascii="Times New Roman" w:hAnsi="Times New Roman" w:cs="Times New Roman"/>
              </w:rPr>
              <w:t>Zagreb, UNP</w:t>
            </w:r>
            <w:r w:rsidR="007811CE" w:rsidRPr="0033642E">
              <w:rPr>
                <w:rFonts w:ascii="Times New Roman" w:hAnsi="Times New Roman" w:cs="Times New Roman"/>
              </w:rPr>
              <w:t xml:space="preserve"> </w:t>
            </w:r>
            <w:r w:rsidRPr="0033642E">
              <w:rPr>
                <w:rFonts w:ascii="Times New Roman" w:hAnsi="Times New Roman" w:cs="Times New Roman"/>
              </w:rPr>
              <w:t>1 Zagreb</w:t>
            </w:r>
          </w:p>
        </w:tc>
        <w:tc>
          <w:tcPr>
            <w:tcW w:w="1985" w:type="dxa"/>
            <w:tcBorders>
              <w:top w:val="single" w:sz="4" w:space="0" w:color="000000"/>
              <w:left w:val="single" w:sz="4" w:space="0" w:color="000000"/>
              <w:bottom w:val="single" w:sz="4" w:space="0" w:color="000000"/>
              <w:right w:val="single" w:sz="4" w:space="0" w:color="000000"/>
            </w:tcBorders>
            <w:vAlign w:val="center"/>
          </w:tcPr>
          <w:p w14:paraId="0BF59D71" w14:textId="77777777" w:rsidR="003F7A56" w:rsidRPr="0033642E" w:rsidRDefault="00900184" w:rsidP="0033642E">
            <w:pPr>
              <w:spacing w:after="0" w:line="240" w:lineRule="auto"/>
              <w:ind w:left="0" w:right="0" w:firstLine="0"/>
              <w:jc w:val="center"/>
              <w:rPr>
                <w:rFonts w:ascii="Times New Roman" w:hAnsi="Times New Roman" w:cs="Times New Roman"/>
              </w:rPr>
            </w:pPr>
            <w:r w:rsidRPr="0033642E">
              <w:rPr>
                <w:rFonts w:ascii="Times New Roman" w:hAnsi="Times New Roman" w:cs="Times New Roman"/>
              </w:rPr>
              <w:t>Radnička cesta</w:t>
            </w:r>
            <w:r w:rsidR="00E40AC8" w:rsidRPr="0033642E">
              <w:rPr>
                <w:rFonts w:ascii="Times New Roman" w:hAnsi="Times New Roman" w:cs="Times New Roman"/>
              </w:rPr>
              <w:t xml:space="preserve"> </w:t>
            </w:r>
            <w:r w:rsidRPr="0033642E">
              <w:rPr>
                <w:rFonts w:ascii="Times New Roman" w:hAnsi="Times New Roman" w:cs="Times New Roman"/>
              </w:rPr>
              <w:t>216, 10000</w:t>
            </w:r>
            <w:r w:rsidR="007811CE" w:rsidRPr="0033642E">
              <w:rPr>
                <w:rFonts w:ascii="Times New Roman" w:hAnsi="Times New Roman" w:cs="Times New Roman"/>
              </w:rPr>
              <w:t xml:space="preserve"> </w:t>
            </w:r>
            <w:r w:rsidRPr="0033642E">
              <w:rPr>
                <w:rFonts w:ascii="Times New Roman" w:hAnsi="Times New Roman" w:cs="Times New Roman"/>
              </w:rPr>
              <w:t>ZAGREB</w:t>
            </w:r>
          </w:p>
        </w:tc>
        <w:tc>
          <w:tcPr>
            <w:tcW w:w="1701" w:type="dxa"/>
            <w:tcBorders>
              <w:top w:val="single" w:sz="4" w:space="0" w:color="000000"/>
              <w:left w:val="single" w:sz="4" w:space="0" w:color="000000"/>
              <w:bottom w:val="single" w:sz="4" w:space="0" w:color="000000"/>
              <w:right w:val="single" w:sz="4" w:space="0" w:color="000000"/>
            </w:tcBorders>
            <w:vAlign w:val="center"/>
          </w:tcPr>
          <w:p w14:paraId="68A5B63D" w14:textId="77777777" w:rsidR="003F7A56" w:rsidRPr="0033642E" w:rsidRDefault="00900184" w:rsidP="0033642E">
            <w:pPr>
              <w:spacing w:after="0" w:line="240" w:lineRule="auto"/>
              <w:ind w:left="0" w:right="0" w:firstLine="0"/>
              <w:jc w:val="center"/>
              <w:rPr>
                <w:rFonts w:ascii="Times New Roman" w:hAnsi="Times New Roman" w:cs="Times New Roman"/>
              </w:rPr>
            </w:pPr>
            <w:r w:rsidRPr="0033642E">
              <w:rPr>
                <w:rFonts w:ascii="Times New Roman" w:hAnsi="Times New Roman" w:cs="Times New Roman"/>
              </w:rPr>
              <w:t>19.20 Proizvodnja rafiniranih naftnih proizvoda</w:t>
            </w:r>
          </w:p>
        </w:tc>
        <w:tc>
          <w:tcPr>
            <w:tcW w:w="1418" w:type="dxa"/>
            <w:tcBorders>
              <w:top w:val="single" w:sz="4" w:space="0" w:color="000000"/>
              <w:left w:val="single" w:sz="4" w:space="0" w:color="000000"/>
              <w:bottom w:val="single" w:sz="4" w:space="0" w:color="000000"/>
              <w:right w:val="single" w:sz="4" w:space="0" w:color="000000"/>
            </w:tcBorders>
            <w:vAlign w:val="center"/>
          </w:tcPr>
          <w:p w14:paraId="384D3939" w14:textId="77777777" w:rsidR="003F7A56" w:rsidRPr="0033642E" w:rsidRDefault="00900184" w:rsidP="0033642E">
            <w:pPr>
              <w:spacing w:after="0" w:line="240" w:lineRule="auto"/>
              <w:ind w:left="0" w:right="0" w:firstLine="0"/>
              <w:jc w:val="center"/>
              <w:rPr>
                <w:rFonts w:ascii="Times New Roman" w:hAnsi="Times New Roman" w:cs="Times New Roman"/>
              </w:rPr>
            </w:pPr>
            <w:r w:rsidRPr="0033642E">
              <w:rPr>
                <w:rFonts w:ascii="Times New Roman" w:hAnsi="Times New Roman" w:cs="Times New Roman"/>
              </w:rPr>
              <w:t xml:space="preserve">Prilog II.B </w:t>
            </w:r>
            <w:r w:rsidR="00EE6A22" w:rsidRPr="0033642E">
              <w:rPr>
                <w:rFonts w:ascii="Times New Roman" w:hAnsi="Times New Roman" w:cs="Times New Roman"/>
              </w:rPr>
              <w:t>-</w:t>
            </w:r>
            <w:r w:rsidRPr="0033642E">
              <w:rPr>
                <w:rFonts w:ascii="Times New Roman" w:hAnsi="Times New Roman" w:cs="Times New Roman"/>
              </w:rPr>
              <w:t xml:space="preserve"> viši razred</w:t>
            </w:r>
          </w:p>
        </w:tc>
      </w:tr>
      <w:tr w:rsidR="003F7A56" w:rsidRPr="0033642E" w14:paraId="1DC8E97E" w14:textId="77777777" w:rsidTr="00BB0D9F">
        <w:trPr>
          <w:cantSplit/>
          <w:tblHeader/>
        </w:trPr>
        <w:tc>
          <w:tcPr>
            <w:tcW w:w="1984" w:type="dxa"/>
            <w:tcBorders>
              <w:top w:val="single" w:sz="4" w:space="0" w:color="000000"/>
              <w:left w:val="single" w:sz="4" w:space="0" w:color="000000"/>
              <w:bottom w:val="single" w:sz="4" w:space="0" w:color="000000"/>
              <w:right w:val="single" w:sz="4" w:space="0" w:color="000000"/>
            </w:tcBorders>
            <w:vAlign w:val="center"/>
          </w:tcPr>
          <w:p w14:paraId="5B50DA3B" w14:textId="77777777" w:rsidR="003F7A56" w:rsidRPr="0033642E" w:rsidRDefault="00900184" w:rsidP="0033642E">
            <w:pPr>
              <w:spacing w:after="0" w:line="240" w:lineRule="auto"/>
              <w:ind w:left="0" w:right="0" w:firstLine="0"/>
              <w:jc w:val="center"/>
              <w:rPr>
                <w:rFonts w:ascii="Times New Roman" w:hAnsi="Times New Roman" w:cs="Times New Roman"/>
              </w:rPr>
            </w:pPr>
            <w:r w:rsidRPr="0033642E">
              <w:rPr>
                <w:rFonts w:ascii="Times New Roman" w:hAnsi="Times New Roman" w:cs="Times New Roman"/>
              </w:rPr>
              <w:t>JADRANSKI</w:t>
            </w:r>
            <w:r w:rsidR="007811CE" w:rsidRPr="0033642E">
              <w:rPr>
                <w:rFonts w:ascii="Times New Roman" w:hAnsi="Times New Roman" w:cs="Times New Roman"/>
              </w:rPr>
              <w:t xml:space="preserve"> </w:t>
            </w:r>
            <w:r w:rsidRPr="0033642E">
              <w:rPr>
                <w:rFonts w:ascii="Times New Roman" w:hAnsi="Times New Roman" w:cs="Times New Roman"/>
              </w:rPr>
              <w:t>NAFTOVOD,</w:t>
            </w:r>
            <w:r w:rsidR="007811CE" w:rsidRPr="0033642E">
              <w:rPr>
                <w:rFonts w:ascii="Times New Roman" w:hAnsi="Times New Roman" w:cs="Times New Roman"/>
              </w:rPr>
              <w:t xml:space="preserve"> </w:t>
            </w:r>
            <w:r w:rsidRPr="0033642E">
              <w:rPr>
                <w:rFonts w:ascii="Times New Roman" w:hAnsi="Times New Roman" w:cs="Times New Roman"/>
              </w:rPr>
              <w:t>dioničko društvo</w:t>
            </w:r>
          </w:p>
        </w:tc>
        <w:tc>
          <w:tcPr>
            <w:tcW w:w="1984" w:type="dxa"/>
            <w:tcBorders>
              <w:top w:val="single" w:sz="4" w:space="0" w:color="000000"/>
              <w:left w:val="single" w:sz="4" w:space="0" w:color="000000"/>
              <w:bottom w:val="single" w:sz="4" w:space="0" w:color="000000"/>
              <w:right w:val="single" w:sz="4" w:space="0" w:color="000000"/>
            </w:tcBorders>
            <w:vAlign w:val="center"/>
          </w:tcPr>
          <w:p w14:paraId="47D0F6AE" w14:textId="77777777" w:rsidR="003F7A56" w:rsidRPr="0033642E" w:rsidRDefault="00900184" w:rsidP="0033642E">
            <w:pPr>
              <w:spacing w:after="0" w:line="240" w:lineRule="auto"/>
              <w:ind w:left="0" w:right="0" w:firstLine="0"/>
              <w:jc w:val="center"/>
              <w:rPr>
                <w:rFonts w:ascii="Times New Roman" w:hAnsi="Times New Roman" w:cs="Times New Roman"/>
              </w:rPr>
            </w:pPr>
            <w:r w:rsidRPr="0033642E">
              <w:rPr>
                <w:rFonts w:ascii="Times New Roman" w:hAnsi="Times New Roman" w:cs="Times New Roman"/>
              </w:rPr>
              <w:t>Terminal</w:t>
            </w:r>
            <w:r w:rsidR="007811CE" w:rsidRPr="0033642E">
              <w:rPr>
                <w:rFonts w:ascii="Times New Roman" w:hAnsi="Times New Roman" w:cs="Times New Roman"/>
              </w:rPr>
              <w:t xml:space="preserve"> </w:t>
            </w:r>
            <w:r w:rsidRPr="0033642E">
              <w:rPr>
                <w:rFonts w:ascii="Times New Roman" w:hAnsi="Times New Roman" w:cs="Times New Roman"/>
              </w:rPr>
              <w:t>Žitnjak</w:t>
            </w:r>
          </w:p>
        </w:tc>
        <w:tc>
          <w:tcPr>
            <w:tcW w:w="1985" w:type="dxa"/>
            <w:tcBorders>
              <w:top w:val="single" w:sz="4" w:space="0" w:color="000000"/>
              <w:left w:val="single" w:sz="4" w:space="0" w:color="000000"/>
              <w:bottom w:val="single" w:sz="4" w:space="0" w:color="000000"/>
              <w:right w:val="single" w:sz="4" w:space="0" w:color="000000"/>
            </w:tcBorders>
            <w:vAlign w:val="center"/>
          </w:tcPr>
          <w:p w14:paraId="3694449B" w14:textId="77777777" w:rsidR="003F7A56" w:rsidRPr="0033642E" w:rsidRDefault="00900184" w:rsidP="0033642E">
            <w:pPr>
              <w:spacing w:after="0" w:line="240" w:lineRule="auto"/>
              <w:ind w:left="0" w:right="0" w:firstLine="0"/>
              <w:jc w:val="center"/>
              <w:rPr>
                <w:rFonts w:ascii="Times New Roman" w:hAnsi="Times New Roman" w:cs="Times New Roman"/>
              </w:rPr>
            </w:pPr>
            <w:r w:rsidRPr="0033642E">
              <w:rPr>
                <w:rFonts w:ascii="Times New Roman" w:hAnsi="Times New Roman" w:cs="Times New Roman"/>
              </w:rPr>
              <w:t>Slavonska</w:t>
            </w:r>
            <w:r w:rsidR="007811CE" w:rsidRPr="0033642E">
              <w:rPr>
                <w:rFonts w:ascii="Times New Roman" w:hAnsi="Times New Roman" w:cs="Times New Roman"/>
              </w:rPr>
              <w:t xml:space="preserve"> </w:t>
            </w:r>
            <w:r w:rsidRPr="0033642E">
              <w:rPr>
                <w:rFonts w:ascii="Times New Roman" w:hAnsi="Times New Roman" w:cs="Times New Roman"/>
              </w:rPr>
              <w:t>Avenija 64,</w:t>
            </w:r>
            <w:r w:rsidR="007811CE" w:rsidRPr="0033642E">
              <w:rPr>
                <w:rFonts w:ascii="Times New Roman" w:hAnsi="Times New Roman" w:cs="Times New Roman"/>
              </w:rPr>
              <w:t xml:space="preserve"> </w:t>
            </w:r>
            <w:r w:rsidRPr="0033642E">
              <w:rPr>
                <w:rFonts w:ascii="Times New Roman" w:hAnsi="Times New Roman" w:cs="Times New Roman"/>
              </w:rPr>
              <w:t>10000 ZAGREB</w:t>
            </w:r>
          </w:p>
        </w:tc>
        <w:tc>
          <w:tcPr>
            <w:tcW w:w="1701" w:type="dxa"/>
            <w:tcBorders>
              <w:top w:val="single" w:sz="4" w:space="0" w:color="000000"/>
              <w:left w:val="single" w:sz="4" w:space="0" w:color="000000"/>
              <w:bottom w:val="single" w:sz="4" w:space="0" w:color="000000"/>
              <w:right w:val="single" w:sz="4" w:space="0" w:color="000000"/>
            </w:tcBorders>
            <w:vAlign w:val="center"/>
          </w:tcPr>
          <w:p w14:paraId="7118CE84" w14:textId="77777777" w:rsidR="003F7A56" w:rsidRPr="0033642E" w:rsidRDefault="00900184" w:rsidP="0033642E">
            <w:pPr>
              <w:spacing w:after="0" w:line="240" w:lineRule="auto"/>
              <w:ind w:left="0" w:right="0" w:firstLine="0"/>
              <w:jc w:val="center"/>
              <w:rPr>
                <w:rFonts w:ascii="Times New Roman" w:hAnsi="Times New Roman" w:cs="Times New Roman"/>
              </w:rPr>
            </w:pPr>
            <w:r w:rsidRPr="0033642E">
              <w:rPr>
                <w:rFonts w:ascii="Times New Roman" w:hAnsi="Times New Roman" w:cs="Times New Roman"/>
              </w:rPr>
              <w:t>49.50 Cjevovodni transport</w:t>
            </w:r>
          </w:p>
        </w:tc>
        <w:tc>
          <w:tcPr>
            <w:tcW w:w="1418" w:type="dxa"/>
            <w:tcBorders>
              <w:top w:val="single" w:sz="4" w:space="0" w:color="000000"/>
              <w:left w:val="single" w:sz="4" w:space="0" w:color="000000"/>
              <w:bottom w:val="single" w:sz="4" w:space="0" w:color="000000"/>
              <w:right w:val="single" w:sz="4" w:space="0" w:color="000000"/>
            </w:tcBorders>
            <w:vAlign w:val="center"/>
          </w:tcPr>
          <w:p w14:paraId="5FB7807B" w14:textId="77777777" w:rsidR="003F7A56" w:rsidRPr="0033642E" w:rsidRDefault="00900184" w:rsidP="0033642E">
            <w:pPr>
              <w:spacing w:after="0" w:line="240" w:lineRule="auto"/>
              <w:ind w:left="0" w:right="0" w:firstLine="0"/>
              <w:jc w:val="center"/>
              <w:rPr>
                <w:rFonts w:ascii="Times New Roman" w:hAnsi="Times New Roman" w:cs="Times New Roman"/>
              </w:rPr>
            </w:pPr>
            <w:r w:rsidRPr="0033642E">
              <w:rPr>
                <w:rFonts w:ascii="Times New Roman" w:hAnsi="Times New Roman" w:cs="Times New Roman"/>
              </w:rPr>
              <w:t xml:space="preserve">Prilog II.B </w:t>
            </w:r>
            <w:r w:rsidR="00EE6A22" w:rsidRPr="0033642E">
              <w:rPr>
                <w:rFonts w:ascii="Times New Roman" w:hAnsi="Times New Roman" w:cs="Times New Roman"/>
              </w:rPr>
              <w:t>-</w:t>
            </w:r>
            <w:r w:rsidRPr="0033642E">
              <w:rPr>
                <w:rFonts w:ascii="Times New Roman" w:hAnsi="Times New Roman" w:cs="Times New Roman"/>
              </w:rPr>
              <w:t xml:space="preserve"> viši razred</w:t>
            </w:r>
          </w:p>
        </w:tc>
      </w:tr>
      <w:tr w:rsidR="003F7A56" w:rsidRPr="0033642E" w14:paraId="38A3CCCB" w14:textId="77777777" w:rsidTr="00BB0D9F">
        <w:trPr>
          <w:cantSplit/>
          <w:tblHeader/>
        </w:trPr>
        <w:tc>
          <w:tcPr>
            <w:tcW w:w="1984" w:type="dxa"/>
            <w:tcBorders>
              <w:top w:val="single" w:sz="4" w:space="0" w:color="000000"/>
              <w:left w:val="single" w:sz="4" w:space="0" w:color="000000"/>
              <w:bottom w:val="single" w:sz="4" w:space="0" w:color="000000"/>
              <w:right w:val="single" w:sz="4" w:space="0" w:color="000000"/>
            </w:tcBorders>
            <w:vAlign w:val="center"/>
          </w:tcPr>
          <w:p w14:paraId="3FB25573" w14:textId="77777777" w:rsidR="003F7A56" w:rsidRPr="0033642E" w:rsidRDefault="00900184" w:rsidP="0033642E">
            <w:pPr>
              <w:spacing w:after="0" w:line="240" w:lineRule="auto"/>
              <w:ind w:left="0" w:right="0" w:firstLine="0"/>
              <w:jc w:val="center"/>
              <w:rPr>
                <w:rFonts w:ascii="Times New Roman" w:hAnsi="Times New Roman" w:cs="Times New Roman"/>
              </w:rPr>
            </w:pPr>
            <w:r w:rsidRPr="0033642E">
              <w:rPr>
                <w:rFonts w:ascii="Times New Roman" w:hAnsi="Times New Roman" w:cs="Times New Roman"/>
              </w:rPr>
              <w:t>TIFON, društvo s ograničenom</w:t>
            </w:r>
            <w:r w:rsidR="007811CE" w:rsidRPr="0033642E">
              <w:rPr>
                <w:rFonts w:ascii="Times New Roman" w:hAnsi="Times New Roman" w:cs="Times New Roman"/>
              </w:rPr>
              <w:t xml:space="preserve"> </w:t>
            </w:r>
            <w:r w:rsidRPr="0033642E">
              <w:rPr>
                <w:rFonts w:ascii="Times New Roman" w:hAnsi="Times New Roman" w:cs="Times New Roman"/>
              </w:rPr>
              <w:t>odgovornošću za trgovinu i usluge</w:t>
            </w:r>
          </w:p>
        </w:tc>
        <w:tc>
          <w:tcPr>
            <w:tcW w:w="1984" w:type="dxa"/>
            <w:tcBorders>
              <w:top w:val="single" w:sz="4" w:space="0" w:color="000000"/>
              <w:left w:val="single" w:sz="4" w:space="0" w:color="000000"/>
              <w:bottom w:val="single" w:sz="4" w:space="0" w:color="000000"/>
              <w:right w:val="single" w:sz="4" w:space="0" w:color="000000"/>
            </w:tcBorders>
            <w:vAlign w:val="center"/>
          </w:tcPr>
          <w:p w14:paraId="3784EBFA" w14:textId="77777777" w:rsidR="003F7A56" w:rsidRPr="0033642E" w:rsidRDefault="00900184" w:rsidP="0033642E">
            <w:pPr>
              <w:spacing w:after="0" w:line="240" w:lineRule="auto"/>
              <w:ind w:left="0" w:right="0" w:firstLine="0"/>
              <w:jc w:val="center"/>
              <w:rPr>
                <w:rFonts w:ascii="Times New Roman" w:hAnsi="Times New Roman" w:cs="Times New Roman"/>
              </w:rPr>
            </w:pPr>
            <w:r w:rsidRPr="0033642E">
              <w:rPr>
                <w:rFonts w:ascii="Times New Roman" w:hAnsi="Times New Roman" w:cs="Times New Roman"/>
              </w:rPr>
              <w:t xml:space="preserve">BP </w:t>
            </w:r>
            <w:r w:rsidR="00A87CF4" w:rsidRPr="0033642E">
              <w:rPr>
                <w:rFonts w:ascii="Times New Roman" w:hAnsi="Times New Roman" w:cs="Times New Roman"/>
              </w:rPr>
              <w:t>Jarun</w:t>
            </w:r>
          </w:p>
        </w:tc>
        <w:tc>
          <w:tcPr>
            <w:tcW w:w="1985" w:type="dxa"/>
            <w:tcBorders>
              <w:top w:val="single" w:sz="4" w:space="0" w:color="000000"/>
              <w:left w:val="single" w:sz="4" w:space="0" w:color="000000"/>
              <w:bottom w:val="single" w:sz="4" w:space="0" w:color="000000"/>
              <w:right w:val="single" w:sz="4" w:space="0" w:color="000000"/>
            </w:tcBorders>
            <w:vAlign w:val="center"/>
          </w:tcPr>
          <w:p w14:paraId="015DAF70" w14:textId="77777777" w:rsidR="003F7A56" w:rsidRPr="0033642E" w:rsidRDefault="00A87CF4" w:rsidP="0033642E">
            <w:pPr>
              <w:spacing w:after="0" w:line="240" w:lineRule="auto"/>
              <w:ind w:left="0" w:right="0" w:firstLine="0"/>
              <w:jc w:val="center"/>
              <w:rPr>
                <w:rFonts w:ascii="Times New Roman" w:hAnsi="Times New Roman" w:cs="Times New Roman"/>
              </w:rPr>
            </w:pPr>
            <w:r w:rsidRPr="0033642E">
              <w:rPr>
                <w:rFonts w:ascii="Times New Roman" w:hAnsi="Times New Roman" w:cs="Times New Roman"/>
              </w:rPr>
              <w:t xml:space="preserve">Horvaćanska </w:t>
            </w:r>
            <w:r w:rsidR="00900184" w:rsidRPr="0033642E">
              <w:rPr>
                <w:rFonts w:ascii="Times New Roman" w:hAnsi="Times New Roman" w:cs="Times New Roman"/>
              </w:rPr>
              <w:t>71, 10000</w:t>
            </w:r>
            <w:r w:rsidR="007811CE" w:rsidRPr="0033642E">
              <w:rPr>
                <w:rFonts w:ascii="Times New Roman" w:hAnsi="Times New Roman" w:cs="Times New Roman"/>
              </w:rPr>
              <w:t xml:space="preserve"> </w:t>
            </w:r>
            <w:r w:rsidR="00900184" w:rsidRPr="0033642E">
              <w:rPr>
                <w:rFonts w:ascii="Times New Roman" w:hAnsi="Times New Roman" w:cs="Times New Roman"/>
              </w:rPr>
              <w:t>ZAGREB</w:t>
            </w:r>
          </w:p>
        </w:tc>
        <w:tc>
          <w:tcPr>
            <w:tcW w:w="1701" w:type="dxa"/>
            <w:tcBorders>
              <w:top w:val="single" w:sz="4" w:space="0" w:color="000000"/>
              <w:left w:val="single" w:sz="4" w:space="0" w:color="000000"/>
              <w:bottom w:val="single" w:sz="4" w:space="0" w:color="000000"/>
              <w:right w:val="single" w:sz="4" w:space="0" w:color="000000"/>
            </w:tcBorders>
            <w:vAlign w:val="center"/>
          </w:tcPr>
          <w:p w14:paraId="02201875" w14:textId="77777777" w:rsidR="003F7A56" w:rsidRPr="0033642E" w:rsidRDefault="00900184" w:rsidP="0033642E">
            <w:pPr>
              <w:spacing w:after="0" w:line="240" w:lineRule="auto"/>
              <w:ind w:left="0" w:right="0" w:firstLine="0"/>
              <w:jc w:val="center"/>
              <w:rPr>
                <w:rFonts w:ascii="Times New Roman" w:hAnsi="Times New Roman" w:cs="Times New Roman"/>
              </w:rPr>
            </w:pPr>
            <w:r w:rsidRPr="0033642E">
              <w:rPr>
                <w:rFonts w:ascii="Times New Roman" w:hAnsi="Times New Roman" w:cs="Times New Roman"/>
              </w:rPr>
              <w:t>46.71 Trgovina na veliko krutim,</w:t>
            </w:r>
            <w:r w:rsidR="007811CE" w:rsidRPr="0033642E">
              <w:rPr>
                <w:rFonts w:ascii="Times New Roman" w:hAnsi="Times New Roman" w:cs="Times New Roman"/>
              </w:rPr>
              <w:t xml:space="preserve"> </w:t>
            </w:r>
            <w:r w:rsidRPr="0033642E">
              <w:rPr>
                <w:rFonts w:ascii="Times New Roman" w:hAnsi="Times New Roman" w:cs="Times New Roman"/>
              </w:rPr>
              <w:t>tekućim i plinovitim</w:t>
            </w:r>
            <w:r w:rsidR="007811CE" w:rsidRPr="0033642E">
              <w:rPr>
                <w:rFonts w:ascii="Times New Roman" w:hAnsi="Times New Roman" w:cs="Times New Roman"/>
              </w:rPr>
              <w:t xml:space="preserve"> </w:t>
            </w:r>
            <w:r w:rsidRPr="0033642E">
              <w:rPr>
                <w:rFonts w:ascii="Times New Roman" w:hAnsi="Times New Roman" w:cs="Times New Roman"/>
              </w:rPr>
              <w:t>gorivima i srodnim proizvodima</w:t>
            </w:r>
          </w:p>
        </w:tc>
        <w:tc>
          <w:tcPr>
            <w:tcW w:w="1418" w:type="dxa"/>
            <w:tcBorders>
              <w:top w:val="single" w:sz="4" w:space="0" w:color="000000"/>
              <w:left w:val="single" w:sz="4" w:space="0" w:color="000000"/>
              <w:bottom w:val="single" w:sz="4" w:space="0" w:color="000000"/>
              <w:right w:val="single" w:sz="4" w:space="0" w:color="000000"/>
            </w:tcBorders>
            <w:vAlign w:val="center"/>
          </w:tcPr>
          <w:p w14:paraId="2456FFE5" w14:textId="77777777" w:rsidR="003F7A56" w:rsidRPr="0033642E" w:rsidRDefault="00900184" w:rsidP="0033642E">
            <w:pPr>
              <w:spacing w:after="0" w:line="240" w:lineRule="auto"/>
              <w:ind w:left="0" w:right="0" w:firstLine="0"/>
              <w:jc w:val="center"/>
              <w:rPr>
                <w:rFonts w:ascii="Times New Roman" w:hAnsi="Times New Roman" w:cs="Times New Roman"/>
              </w:rPr>
            </w:pPr>
            <w:r w:rsidRPr="0033642E">
              <w:rPr>
                <w:rFonts w:ascii="Times New Roman" w:hAnsi="Times New Roman" w:cs="Times New Roman"/>
              </w:rPr>
              <w:t>Prilog II.A</w:t>
            </w:r>
          </w:p>
        </w:tc>
      </w:tr>
      <w:tr w:rsidR="00E25892" w:rsidRPr="0033642E" w14:paraId="5C5097CE" w14:textId="77777777" w:rsidTr="00BB0D9F">
        <w:trPr>
          <w:cantSplit/>
          <w:tblHeader/>
        </w:trPr>
        <w:tc>
          <w:tcPr>
            <w:tcW w:w="1984" w:type="dxa"/>
            <w:tcBorders>
              <w:top w:val="single" w:sz="4" w:space="0" w:color="000000"/>
              <w:left w:val="single" w:sz="4" w:space="0" w:color="000000"/>
              <w:bottom w:val="single" w:sz="4" w:space="0" w:color="000000"/>
              <w:right w:val="single" w:sz="4" w:space="0" w:color="000000"/>
            </w:tcBorders>
            <w:vAlign w:val="center"/>
          </w:tcPr>
          <w:p w14:paraId="7EF455B5" w14:textId="77777777" w:rsidR="00E25892" w:rsidRPr="0033642E" w:rsidRDefault="00E25892" w:rsidP="0033642E">
            <w:pPr>
              <w:spacing w:after="0" w:line="240" w:lineRule="auto"/>
              <w:ind w:left="0" w:right="0" w:firstLine="0"/>
              <w:jc w:val="center"/>
              <w:rPr>
                <w:rFonts w:ascii="Times New Roman" w:hAnsi="Times New Roman" w:cs="Times New Roman"/>
              </w:rPr>
            </w:pPr>
            <w:r w:rsidRPr="00E25892">
              <w:rPr>
                <w:rFonts w:ascii="Times New Roman" w:hAnsi="Times New Roman" w:cs="Times New Roman"/>
              </w:rPr>
              <w:t>LEDO plus</w:t>
            </w:r>
            <w:r>
              <w:rPr>
                <w:rFonts w:ascii="Times New Roman" w:hAnsi="Times New Roman" w:cs="Times New Roman"/>
              </w:rPr>
              <w:t>,</w:t>
            </w:r>
            <w:r w:rsidRPr="00E25892">
              <w:rPr>
                <w:rFonts w:ascii="Times New Roman" w:hAnsi="Times New Roman" w:cs="Times New Roman"/>
              </w:rPr>
              <w:t xml:space="preserve"> društvo s ograničenom odgovornošću za proizvodnju i promet sladoleda i smrznute hrane</w:t>
            </w:r>
          </w:p>
        </w:tc>
        <w:tc>
          <w:tcPr>
            <w:tcW w:w="1984" w:type="dxa"/>
            <w:tcBorders>
              <w:top w:val="single" w:sz="4" w:space="0" w:color="000000"/>
              <w:left w:val="single" w:sz="4" w:space="0" w:color="000000"/>
              <w:bottom w:val="single" w:sz="4" w:space="0" w:color="000000"/>
              <w:right w:val="single" w:sz="4" w:space="0" w:color="000000"/>
            </w:tcBorders>
            <w:vAlign w:val="center"/>
          </w:tcPr>
          <w:p w14:paraId="7E88EDB2" w14:textId="77777777" w:rsidR="00E25892" w:rsidRPr="0033642E" w:rsidRDefault="00E25892" w:rsidP="0033642E">
            <w:pPr>
              <w:spacing w:after="0" w:line="240" w:lineRule="auto"/>
              <w:ind w:left="0" w:right="0" w:firstLine="0"/>
              <w:jc w:val="center"/>
              <w:rPr>
                <w:rFonts w:ascii="Times New Roman" w:hAnsi="Times New Roman" w:cs="Times New Roman"/>
              </w:rPr>
            </w:pPr>
            <w:r w:rsidRPr="00E25892">
              <w:rPr>
                <w:rFonts w:ascii="Times New Roman" w:hAnsi="Times New Roman" w:cs="Times New Roman"/>
              </w:rPr>
              <w:t>LEDO plus d.o.o.</w:t>
            </w:r>
          </w:p>
        </w:tc>
        <w:tc>
          <w:tcPr>
            <w:tcW w:w="1985" w:type="dxa"/>
            <w:tcBorders>
              <w:top w:val="single" w:sz="4" w:space="0" w:color="000000"/>
              <w:left w:val="single" w:sz="4" w:space="0" w:color="000000"/>
              <w:bottom w:val="single" w:sz="4" w:space="0" w:color="000000"/>
              <w:right w:val="single" w:sz="4" w:space="0" w:color="000000"/>
            </w:tcBorders>
            <w:vAlign w:val="center"/>
          </w:tcPr>
          <w:p w14:paraId="6613CA0F" w14:textId="77777777" w:rsidR="00E25892" w:rsidRDefault="00E25892" w:rsidP="0033642E">
            <w:pPr>
              <w:spacing w:after="0" w:line="240" w:lineRule="auto"/>
              <w:ind w:left="0" w:right="0" w:firstLine="0"/>
              <w:jc w:val="center"/>
              <w:rPr>
                <w:rFonts w:ascii="Times New Roman" w:hAnsi="Times New Roman" w:cs="Times New Roman"/>
              </w:rPr>
            </w:pPr>
            <w:r w:rsidRPr="00E25892">
              <w:rPr>
                <w:rFonts w:ascii="Times New Roman" w:hAnsi="Times New Roman" w:cs="Times New Roman"/>
              </w:rPr>
              <w:t xml:space="preserve">Čavićeva 9, </w:t>
            </w:r>
          </w:p>
          <w:p w14:paraId="203BA028" w14:textId="77777777" w:rsidR="00E25892" w:rsidRPr="0033642E" w:rsidRDefault="00E25892" w:rsidP="0033642E">
            <w:pPr>
              <w:spacing w:after="0" w:line="240" w:lineRule="auto"/>
              <w:ind w:left="0" w:right="0" w:firstLine="0"/>
              <w:jc w:val="center"/>
              <w:rPr>
                <w:rFonts w:ascii="Times New Roman" w:hAnsi="Times New Roman" w:cs="Times New Roman"/>
              </w:rPr>
            </w:pPr>
            <w:r w:rsidRPr="00E25892">
              <w:rPr>
                <w:rFonts w:ascii="Times New Roman" w:hAnsi="Times New Roman" w:cs="Times New Roman"/>
              </w:rPr>
              <w:t>10000 ZAGREB</w:t>
            </w:r>
          </w:p>
        </w:tc>
        <w:tc>
          <w:tcPr>
            <w:tcW w:w="1701" w:type="dxa"/>
            <w:tcBorders>
              <w:top w:val="single" w:sz="4" w:space="0" w:color="000000"/>
              <w:left w:val="single" w:sz="4" w:space="0" w:color="000000"/>
              <w:bottom w:val="single" w:sz="4" w:space="0" w:color="000000"/>
              <w:right w:val="single" w:sz="4" w:space="0" w:color="000000"/>
            </w:tcBorders>
            <w:vAlign w:val="center"/>
          </w:tcPr>
          <w:p w14:paraId="2A7BD7EE" w14:textId="77777777" w:rsidR="00E25892" w:rsidRPr="0033642E" w:rsidRDefault="00E25892" w:rsidP="0033642E">
            <w:pPr>
              <w:spacing w:after="0" w:line="240" w:lineRule="auto"/>
              <w:ind w:left="0" w:right="0" w:firstLine="0"/>
              <w:jc w:val="center"/>
              <w:rPr>
                <w:rFonts w:ascii="Times New Roman" w:hAnsi="Times New Roman" w:cs="Times New Roman"/>
              </w:rPr>
            </w:pPr>
            <w:r w:rsidRPr="00E25892">
              <w:rPr>
                <w:rFonts w:ascii="Times New Roman" w:hAnsi="Times New Roman" w:cs="Times New Roman"/>
              </w:rPr>
              <w:t>10.52 Proizvodnja sladoleda</w:t>
            </w:r>
          </w:p>
        </w:tc>
        <w:tc>
          <w:tcPr>
            <w:tcW w:w="1418" w:type="dxa"/>
            <w:tcBorders>
              <w:top w:val="single" w:sz="4" w:space="0" w:color="000000"/>
              <w:left w:val="single" w:sz="4" w:space="0" w:color="000000"/>
              <w:bottom w:val="single" w:sz="4" w:space="0" w:color="000000"/>
              <w:right w:val="single" w:sz="4" w:space="0" w:color="000000"/>
            </w:tcBorders>
            <w:vAlign w:val="center"/>
          </w:tcPr>
          <w:p w14:paraId="6C177E2E" w14:textId="77777777" w:rsidR="00E25892" w:rsidRPr="0033642E" w:rsidRDefault="00E25892" w:rsidP="0033642E">
            <w:pPr>
              <w:spacing w:after="0" w:line="240" w:lineRule="auto"/>
              <w:ind w:left="0" w:right="0" w:firstLine="0"/>
              <w:jc w:val="center"/>
              <w:rPr>
                <w:rFonts w:ascii="Times New Roman" w:hAnsi="Times New Roman" w:cs="Times New Roman"/>
              </w:rPr>
            </w:pPr>
            <w:r>
              <w:rPr>
                <w:rFonts w:ascii="Times New Roman" w:hAnsi="Times New Roman" w:cs="Times New Roman"/>
              </w:rPr>
              <w:t>Prilog II.A</w:t>
            </w:r>
          </w:p>
        </w:tc>
      </w:tr>
    </w:tbl>
    <w:p w14:paraId="1ADCA5A9" w14:textId="77777777" w:rsidR="00E40AC8" w:rsidRPr="00A66FAA" w:rsidRDefault="00900184" w:rsidP="005142C4">
      <w:pPr>
        <w:spacing w:after="0" w:line="240" w:lineRule="auto"/>
        <w:ind w:left="0" w:right="0" w:firstLine="0"/>
        <w:jc w:val="center"/>
        <w:rPr>
          <w:rFonts w:ascii="Times New Roman" w:eastAsia="Calibri" w:hAnsi="Times New Roman" w:cs="Times New Roman"/>
          <w:i/>
          <w:sz w:val="20"/>
          <w:szCs w:val="20"/>
        </w:rPr>
      </w:pPr>
      <w:r w:rsidRPr="00A66FAA">
        <w:rPr>
          <w:rFonts w:ascii="Times New Roman" w:eastAsia="Calibri" w:hAnsi="Times New Roman" w:cs="Times New Roman"/>
          <w:i/>
          <w:sz w:val="20"/>
          <w:szCs w:val="20"/>
        </w:rPr>
        <w:t>Izvor: RPOT registar</w:t>
      </w:r>
    </w:p>
    <w:p w14:paraId="37217E77" w14:textId="77777777" w:rsidR="00E40AC8" w:rsidRPr="005142C4" w:rsidRDefault="00900184" w:rsidP="00A87CF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Najveći broj subjekata nalazi se na području </w:t>
      </w:r>
      <w:r w:rsidR="00A87CF4" w:rsidRPr="005142C4">
        <w:rPr>
          <w:rFonts w:ascii="Times New Roman" w:hAnsi="Times New Roman" w:cs="Times New Roman"/>
          <w:sz w:val="24"/>
        </w:rPr>
        <w:t xml:space="preserve">Gradske </w:t>
      </w:r>
      <w:r w:rsidRPr="005142C4">
        <w:rPr>
          <w:rFonts w:ascii="Times New Roman" w:hAnsi="Times New Roman" w:cs="Times New Roman"/>
          <w:sz w:val="24"/>
        </w:rPr>
        <w:t xml:space="preserve">četvrti Žitnjak </w:t>
      </w:r>
      <w:r w:rsidR="00EE6A22" w:rsidRPr="005142C4">
        <w:rPr>
          <w:rFonts w:ascii="Times New Roman" w:hAnsi="Times New Roman" w:cs="Times New Roman"/>
          <w:sz w:val="24"/>
        </w:rPr>
        <w:t>-</w:t>
      </w:r>
      <w:r w:rsidRPr="005142C4">
        <w:rPr>
          <w:rFonts w:ascii="Times New Roman" w:hAnsi="Times New Roman" w:cs="Times New Roman"/>
          <w:sz w:val="24"/>
        </w:rPr>
        <w:t xml:space="preserve"> Peš</w:t>
      </w:r>
      <w:r w:rsidR="00A87CF4">
        <w:rPr>
          <w:rFonts w:ascii="Times New Roman" w:hAnsi="Times New Roman" w:cs="Times New Roman"/>
          <w:sz w:val="24"/>
        </w:rPr>
        <w:t>č</w:t>
      </w:r>
      <w:r w:rsidRPr="005142C4">
        <w:rPr>
          <w:rFonts w:ascii="Times New Roman" w:hAnsi="Times New Roman" w:cs="Times New Roman"/>
          <w:sz w:val="24"/>
        </w:rPr>
        <w:t>enica. Procjena posljedica velike nesreće/katastrofe kompleksnija je od isključivo analize koja se temelji na broju postrojenja i kategorijama, jer postoji i parametar lokacije, odnosno međusobne blizine smještaja postrojenja te u odnosu na druge gospodarske objekte koji imaju opasne tvari u zna</w:t>
      </w:r>
      <w:r w:rsidR="00C85A08">
        <w:rPr>
          <w:rFonts w:ascii="Times New Roman" w:hAnsi="Times New Roman" w:cs="Times New Roman"/>
          <w:sz w:val="24"/>
        </w:rPr>
        <w:t xml:space="preserve">tnim </w:t>
      </w:r>
      <w:r w:rsidRPr="005142C4">
        <w:rPr>
          <w:rFonts w:ascii="Times New Roman" w:hAnsi="Times New Roman" w:cs="Times New Roman"/>
          <w:sz w:val="24"/>
        </w:rPr>
        <w:t>količinama. Dakle, moguće je da izvanredni događaj u jednom postrojenju, koje realno nema potencijal za izazivanje nesreće s katastrofalnim posljedicama, zbog blizine drugih postrojenja, preraste u tehničko</w:t>
      </w:r>
      <w:r w:rsidR="00EE6A22" w:rsidRPr="005142C4">
        <w:rPr>
          <w:rFonts w:ascii="Times New Roman" w:hAnsi="Times New Roman" w:cs="Times New Roman"/>
          <w:sz w:val="24"/>
        </w:rPr>
        <w:t>-</w:t>
      </w:r>
      <w:r w:rsidRPr="005142C4">
        <w:rPr>
          <w:rFonts w:ascii="Times New Roman" w:hAnsi="Times New Roman" w:cs="Times New Roman"/>
          <w:sz w:val="24"/>
        </w:rPr>
        <w:t>tehnološku katastrofu, odnosno veliku nesreću</w:t>
      </w:r>
      <w:r w:rsidR="00A87CF4">
        <w:rPr>
          <w:rFonts w:ascii="Times New Roman" w:hAnsi="Times New Roman" w:cs="Times New Roman"/>
          <w:sz w:val="24"/>
        </w:rPr>
        <w:t xml:space="preserve"> </w:t>
      </w:r>
      <w:r w:rsidRPr="005142C4">
        <w:rPr>
          <w:rFonts w:ascii="Times New Roman" w:hAnsi="Times New Roman" w:cs="Times New Roman"/>
          <w:sz w:val="24"/>
        </w:rPr>
        <w:t>(domino</w:t>
      </w:r>
      <w:r w:rsidR="00EE6A22" w:rsidRPr="005142C4">
        <w:rPr>
          <w:rFonts w:ascii="Times New Roman" w:hAnsi="Times New Roman" w:cs="Times New Roman"/>
          <w:sz w:val="24"/>
        </w:rPr>
        <w:t>-</w:t>
      </w:r>
      <w:r w:rsidRPr="005142C4">
        <w:rPr>
          <w:rFonts w:ascii="Times New Roman" w:hAnsi="Times New Roman" w:cs="Times New Roman"/>
          <w:sz w:val="24"/>
        </w:rPr>
        <w:t>efekt). Intenzitet posljedica katastrofe ovisi i o vrst</w:t>
      </w:r>
      <w:r w:rsidR="00A87CF4">
        <w:rPr>
          <w:rFonts w:ascii="Times New Roman" w:hAnsi="Times New Roman" w:cs="Times New Roman"/>
          <w:sz w:val="24"/>
        </w:rPr>
        <w:t>ama</w:t>
      </w:r>
      <w:r w:rsidRPr="005142C4">
        <w:rPr>
          <w:rFonts w:ascii="Times New Roman" w:hAnsi="Times New Roman" w:cs="Times New Roman"/>
          <w:sz w:val="24"/>
        </w:rPr>
        <w:t xml:space="preserve"> opasne tvari, njihovim svojstvima (zapaljivosti, toksičnosti</w:t>
      </w:r>
      <w:r w:rsidR="00E40AC8" w:rsidRPr="005142C4">
        <w:rPr>
          <w:rFonts w:ascii="Times New Roman" w:hAnsi="Times New Roman" w:cs="Times New Roman"/>
          <w:sz w:val="24"/>
        </w:rPr>
        <w:t>...</w:t>
      </w:r>
      <w:r w:rsidRPr="005142C4">
        <w:rPr>
          <w:rFonts w:ascii="Times New Roman" w:hAnsi="Times New Roman" w:cs="Times New Roman"/>
          <w:sz w:val="24"/>
        </w:rPr>
        <w:t xml:space="preserve">) i količinama, kvaliteti izgradnje i geofizičkom smještaju postrojenja, udaljenosti naselja, materijalnih dobara, voda i drugim parametrima. Nesreća može nastati zbog istjecanja opasne tvari i/ili eksplozije u pogonu s opasnom tvari, što može rezultirati požarom, disperzijom </w:t>
      </w:r>
      <w:r w:rsidRPr="005142C4">
        <w:rPr>
          <w:rFonts w:ascii="Times New Roman" w:hAnsi="Times New Roman" w:cs="Times New Roman"/>
          <w:sz w:val="24"/>
        </w:rPr>
        <w:lastRenderedPageBreak/>
        <w:t>toksičnog plina ili oblaka, ovisno o smjeru vjetra, na okolno područje te zagađenjem tla, zraka i vode.</w:t>
      </w:r>
    </w:p>
    <w:p w14:paraId="1AFD76A5" w14:textId="77777777" w:rsidR="00E40AC8" w:rsidRPr="005142C4" w:rsidRDefault="00E40AC8" w:rsidP="005142C4">
      <w:pPr>
        <w:spacing w:after="0" w:line="240" w:lineRule="auto"/>
        <w:ind w:left="0" w:right="0" w:firstLine="0"/>
        <w:jc w:val="left"/>
        <w:rPr>
          <w:rFonts w:ascii="Times New Roman" w:hAnsi="Times New Roman" w:cs="Times New Roman"/>
          <w:sz w:val="24"/>
        </w:rPr>
      </w:pPr>
    </w:p>
    <w:p w14:paraId="08BD6280" w14:textId="77777777" w:rsidR="00E40AC8" w:rsidRPr="00A87CF4" w:rsidRDefault="00900184" w:rsidP="00A87CF4">
      <w:pPr>
        <w:spacing w:after="0" w:line="240" w:lineRule="auto"/>
        <w:ind w:left="0" w:right="0" w:firstLine="709"/>
        <w:rPr>
          <w:rFonts w:ascii="Times New Roman" w:hAnsi="Times New Roman" w:cs="Times New Roman"/>
          <w:sz w:val="24"/>
          <w:u w:val="single" w:color="000000"/>
        </w:rPr>
      </w:pPr>
      <w:r w:rsidRPr="00A87CF4">
        <w:rPr>
          <w:rFonts w:ascii="Times New Roman" w:hAnsi="Times New Roman" w:cs="Times New Roman"/>
          <w:sz w:val="24"/>
          <w:u w:val="single" w:color="000000"/>
        </w:rPr>
        <w:t>Razlog odabira</w:t>
      </w:r>
    </w:p>
    <w:p w14:paraId="647871B5" w14:textId="77777777" w:rsidR="00E40AC8" w:rsidRPr="005142C4" w:rsidRDefault="00900184" w:rsidP="00A87CF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Na području Gradske četvrti Peščenica</w:t>
      </w:r>
      <w:r w:rsidR="00A87CF4">
        <w:rPr>
          <w:rFonts w:ascii="Times New Roman" w:hAnsi="Times New Roman" w:cs="Times New Roman"/>
          <w:sz w:val="24"/>
        </w:rPr>
        <w:t xml:space="preserve"> </w:t>
      </w:r>
      <w:r w:rsidR="00EE6A22" w:rsidRPr="005142C4">
        <w:rPr>
          <w:rFonts w:ascii="Times New Roman" w:hAnsi="Times New Roman" w:cs="Times New Roman"/>
          <w:sz w:val="24"/>
        </w:rPr>
        <w:t>-</w:t>
      </w:r>
      <w:r w:rsidR="00A87CF4">
        <w:rPr>
          <w:rFonts w:ascii="Times New Roman" w:hAnsi="Times New Roman" w:cs="Times New Roman"/>
          <w:sz w:val="24"/>
        </w:rPr>
        <w:t xml:space="preserve"> </w:t>
      </w:r>
      <w:r w:rsidRPr="005142C4">
        <w:rPr>
          <w:rFonts w:ascii="Times New Roman" w:hAnsi="Times New Roman" w:cs="Times New Roman"/>
          <w:sz w:val="24"/>
        </w:rPr>
        <w:t>Žitnjak koncentrirano je više industrijskih objekata u kojima se skladište opasne tvari te je u slučaju nastanka akcidenta u jednom postrojenju, moguć nastanak i domino</w:t>
      </w:r>
      <w:r w:rsidR="00EE6A22" w:rsidRPr="005142C4">
        <w:rPr>
          <w:rFonts w:ascii="Times New Roman" w:hAnsi="Times New Roman" w:cs="Times New Roman"/>
          <w:sz w:val="24"/>
        </w:rPr>
        <w:t>-</w:t>
      </w:r>
      <w:r w:rsidRPr="005142C4">
        <w:rPr>
          <w:rFonts w:ascii="Times New Roman" w:hAnsi="Times New Roman" w:cs="Times New Roman"/>
          <w:sz w:val="24"/>
        </w:rPr>
        <w:t xml:space="preserve">efekta s širenjem eksplozije na susjedne pogone a što povećava razornost događaja i ozbiljnost posljedica te je zbog navedenog rizik </w:t>
      </w:r>
      <w:r w:rsidR="00EE6A22" w:rsidRPr="005142C4">
        <w:rPr>
          <w:rFonts w:ascii="Times New Roman" w:hAnsi="Times New Roman" w:cs="Times New Roman"/>
          <w:sz w:val="24"/>
        </w:rPr>
        <w:t>"</w:t>
      </w:r>
      <w:r w:rsidRPr="005142C4">
        <w:rPr>
          <w:rFonts w:ascii="Times New Roman" w:hAnsi="Times New Roman" w:cs="Times New Roman"/>
          <w:i/>
          <w:sz w:val="24"/>
        </w:rPr>
        <w:t>Industrijske nesreće</w:t>
      </w:r>
      <w:r w:rsidR="00EE6A22" w:rsidRPr="005142C4">
        <w:rPr>
          <w:rFonts w:ascii="Times New Roman" w:hAnsi="Times New Roman" w:cs="Times New Roman"/>
          <w:sz w:val="24"/>
        </w:rPr>
        <w:t>"</w:t>
      </w:r>
      <w:r w:rsidRPr="005142C4">
        <w:rPr>
          <w:rFonts w:ascii="Times New Roman" w:hAnsi="Times New Roman" w:cs="Times New Roman"/>
          <w:sz w:val="24"/>
        </w:rPr>
        <w:t xml:space="preserve"> uvršten u Procjenu rizika.</w:t>
      </w:r>
    </w:p>
    <w:p w14:paraId="7BAF2935" w14:textId="77777777" w:rsidR="00E40AC8" w:rsidRPr="005142C4" w:rsidRDefault="00E40AC8" w:rsidP="005142C4">
      <w:pPr>
        <w:spacing w:after="0" w:line="240" w:lineRule="auto"/>
        <w:ind w:left="0" w:right="0" w:firstLine="0"/>
        <w:jc w:val="left"/>
        <w:rPr>
          <w:rFonts w:ascii="Times New Roman" w:hAnsi="Times New Roman" w:cs="Times New Roman"/>
          <w:sz w:val="24"/>
        </w:rPr>
      </w:pPr>
    </w:p>
    <w:p w14:paraId="09CCCB25" w14:textId="77777777" w:rsidR="00E40AC8" w:rsidRPr="00A87CF4" w:rsidRDefault="00900184" w:rsidP="00A87CF4">
      <w:pPr>
        <w:spacing w:after="0" w:line="240" w:lineRule="auto"/>
        <w:ind w:right="0" w:firstLine="699"/>
        <w:rPr>
          <w:rFonts w:ascii="Times New Roman" w:hAnsi="Times New Roman" w:cs="Times New Roman"/>
          <w:b/>
          <w:sz w:val="24"/>
        </w:rPr>
      </w:pPr>
      <w:bookmarkStart w:id="51" w:name="_Toc2938569"/>
      <w:r w:rsidRPr="00A87CF4">
        <w:rPr>
          <w:rFonts w:ascii="Times New Roman" w:hAnsi="Times New Roman" w:cs="Times New Roman"/>
          <w:b/>
          <w:sz w:val="24"/>
        </w:rPr>
        <w:t>3.2.4. Ekstremne temperature</w:t>
      </w:r>
      <w:bookmarkEnd w:id="51"/>
    </w:p>
    <w:p w14:paraId="109A0BB5" w14:textId="77777777" w:rsidR="00E40AC8" w:rsidRPr="005142C4" w:rsidRDefault="00900184" w:rsidP="00A87CF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Pod ekstremne temperature zraka podrazumijeva</w:t>
      </w:r>
      <w:r w:rsidR="00C74214">
        <w:rPr>
          <w:rFonts w:ascii="Times New Roman" w:hAnsi="Times New Roman" w:cs="Times New Roman"/>
          <w:sz w:val="24"/>
        </w:rPr>
        <w:t>ju se</w:t>
      </w:r>
      <w:r w:rsidR="00575FD3">
        <w:rPr>
          <w:rFonts w:ascii="Times New Roman" w:hAnsi="Times New Roman" w:cs="Times New Roman"/>
          <w:sz w:val="24"/>
        </w:rPr>
        <w:t xml:space="preserve"> one koje znatno</w:t>
      </w:r>
      <w:r w:rsidRPr="005142C4">
        <w:rPr>
          <w:rFonts w:ascii="Times New Roman" w:hAnsi="Times New Roman" w:cs="Times New Roman"/>
          <w:sz w:val="24"/>
        </w:rPr>
        <w:t xml:space="preserve"> odstupaju od mjesečnog prosjeka u određeno doba godine te mogu uzrokovati zdravstvene probleme i povećan broj smrtnih slučajeva i stoga </w:t>
      </w:r>
      <w:r w:rsidR="00C85A08">
        <w:rPr>
          <w:rFonts w:ascii="Times New Roman" w:hAnsi="Times New Roman" w:cs="Times New Roman"/>
          <w:sz w:val="24"/>
        </w:rPr>
        <w:t>su</w:t>
      </w:r>
      <w:r w:rsidR="00C3602C">
        <w:rPr>
          <w:rFonts w:ascii="Times New Roman" w:hAnsi="Times New Roman" w:cs="Times New Roman"/>
          <w:sz w:val="24"/>
        </w:rPr>
        <w:t xml:space="preserve"> </w:t>
      </w:r>
      <w:r w:rsidRPr="005142C4">
        <w:rPr>
          <w:rFonts w:ascii="Times New Roman" w:hAnsi="Times New Roman" w:cs="Times New Roman"/>
          <w:sz w:val="24"/>
        </w:rPr>
        <w:t>javnozdravstveni problem. Očekuje se da bi zatopljenje uzrokovano klimatskim promjenama moglo povećati učestalost i trajanje toplinskih valova. Osobito ugrožene skupine ljudi su mala djeca, kronični bolesnici, starije osobe te ljudi koji rade na otvorenom prostoru.</w:t>
      </w:r>
    </w:p>
    <w:p w14:paraId="00BFDA40" w14:textId="77777777" w:rsidR="00E40AC8" w:rsidRPr="005142C4" w:rsidRDefault="00900184" w:rsidP="00A87CF4">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Višegodišnji temperaturni trendovi koje prati Državni hidrometeorološki zavod u Republici Hrvatskoj </w:t>
      </w:r>
      <w:r w:rsidR="00C85A08">
        <w:rPr>
          <w:rFonts w:ascii="Times New Roman" w:hAnsi="Times New Roman" w:cs="Times New Roman"/>
          <w:sz w:val="24"/>
        </w:rPr>
        <w:t>po</w:t>
      </w:r>
      <w:r w:rsidR="00117FAE">
        <w:rPr>
          <w:rFonts w:ascii="Times New Roman" w:hAnsi="Times New Roman" w:cs="Times New Roman"/>
          <w:sz w:val="24"/>
        </w:rPr>
        <w:t xml:space="preserve">kazuju na </w:t>
      </w:r>
      <w:r w:rsidRPr="005142C4">
        <w:rPr>
          <w:rFonts w:ascii="Times New Roman" w:hAnsi="Times New Roman" w:cs="Times New Roman"/>
          <w:sz w:val="24"/>
        </w:rPr>
        <w:t xml:space="preserve">manji rizik od ekstremno niskih temperatura u odnosu na vrlo velik rizik od ekstremno visokih temperatura. Procjenjuje se da niske temperature </w:t>
      </w:r>
      <w:r w:rsidR="00C85A08">
        <w:rPr>
          <w:rFonts w:ascii="Times New Roman" w:hAnsi="Times New Roman" w:cs="Times New Roman"/>
          <w:sz w:val="24"/>
        </w:rPr>
        <w:t xml:space="preserve">nisu </w:t>
      </w:r>
      <w:r w:rsidRPr="005142C4">
        <w:rPr>
          <w:rFonts w:ascii="Times New Roman" w:hAnsi="Times New Roman" w:cs="Times New Roman"/>
          <w:sz w:val="24"/>
        </w:rPr>
        <w:t>značajan rizik u Republici Hrvatskoj pa se stoga obrađuje samo zdravstveni rizik za ekstremno visoke temperature.</w:t>
      </w:r>
    </w:p>
    <w:p w14:paraId="5B248544" w14:textId="77777777" w:rsidR="00E40AC8" w:rsidRPr="005142C4" w:rsidRDefault="00900184" w:rsidP="00C3602C">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Toplinski val je dugotrajnije razdoblje izrazito toplog vremena, nerijetko praćenog i visokim postotkom vlage u zraku. Mjeri se u odnosu na uobičajeno vrijeme određenog područja, u odnosu na uobičajene temperature nekog razdoblja ili sezone. Temperature koje su za toplija klimatska područja normalne i uobičajene, u hladnijem području mogu </w:t>
      </w:r>
      <w:r w:rsidR="00C85A08">
        <w:rPr>
          <w:rFonts w:ascii="Times New Roman" w:hAnsi="Times New Roman" w:cs="Times New Roman"/>
          <w:sz w:val="24"/>
        </w:rPr>
        <w:t xml:space="preserve">biti </w:t>
      </w:r>
      <w:r w:rsidRPr="005142C4">
        <w:rPr>
          <w:rFonts w:ascii="Times New Roman" w:hAnsi="Times New Roman" w:cs="Times New Roman"/>
          <w:sz w:val="24"/>
        </w:rPr>
        <w:t xml:space="preserve">toplinski val </w:t>
      </w:r>
      <w:r w:rsidR="00C3602C">
        <w:rPr>
          <w:rFonts w:ascii="Times New Roman" w:hAnsi="Times New Roman" w:cs="Times New Roman"/>
          <w:sz w:val="24"/>
        </w:rPr>
        <w:t xml:space="preserve">ako </w:t>
      </w:r>
      <w:r w:rsidRPr="005142C4">
        <w:rPr>
          <w:rFonts w:ascii="Times New Roman" w:hAnsi="Times New Roman" w:cs="Times New Roman"/>
          <w:sz w:val="24"/>
        </w:rPr>
        <w:t xml:space="preserve">su izvan uobičajenog vremenskog </w:t>
      </w:r>
      <w:r w:rsidR="00E32E93">
        <w:rPr>
          <w:rFonts w:ascii="Times New Roman" w:hAnsi="Times New Roman" w:cs="Times New Roman"/>
          <w:sz w:val="24"/>
        </w:rPr>
        <w:t xml:space="preserve">uzorka </w:t>
      </w:r>
      <w:r w:rsidRPr="005142C4">
        <w:rPr>
          <w:rFonts w:ascii="Times New Roman" w:hAnsi="Times New Roman" w:cs="Times New Roman"/>
          <w:sz w:val="24"/>
        </w:rPr>
        <w:t>tog područja. Toplina može biti okidač za uzrok mnogih zdravstvenih stanja i izazvati umor, srčani udar ili konfuziju, inzult te pogoršati postojeće stanje kroničnih bolesnika.</w:t>
      </w:r>
    </w:p>
    <w:p w14:paraId="23196E81" w14:textId="77777777" w:rsidR="00E40AC8" w:rsidRPr="005142C4" w:rsidRDefault="00900184" w:rsidP="00C3602C">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Pri povećanoj učestalosti i intenzitetu ekstremnih vremenskih prilika povećana je ukupna smrtnost i specifičan uzrok smrti, povećan je broj prij</w:t>
      </w:r>
      <w:r w:rsidR="00C3602C">
        <w:rPr>
          <w:rFonts w:ascii="Times New Roman" w:hAnsi="Times New Roman" w:cs="Times New Roman"/>
          <w:sz w:val="24"/>
        </w:rPr>
        <w:t>a</w:t>
      </w:r>
      <w:r w:rsidRPr="005142C4">
        <w:rPr>
          <w:rFonts w:ascii="Times New Roman" w:hAnsi="Times New Roman" w:cs="Times New Roman"/>
          <w:sz w:val="24"/>
        </w:rPr>
        <w:t xml:space="preserve">ma u bolnicu za sve uzroke, posebno dijagnoze bolesti dišnog, kardiovaskularnog i bubrežnog sustava, dijabetesa, mentalnog zdravlja, i to </w:t>
      </w:r>
      <w:r w:rsidR="00C3602C">
        <w:rPr>
          <w:rFonts w:ascii="Times New Roman" w:hAnsi="Times New Roman" w:cs="Times New Roman"/>
          <w:sz w:val="24"/>
        </w:rPr>
        <w:t xml:space="preserve">ponajprije </w:t>
      </w:r>
      <w:r w:rsidRPr="005142C4">
        <w:rPr>
          <w:rFonts w:ascii="Times New Roman" w:hAnsi="Times New Roman" w:cs="Times New Roman"/>
          <w:sz w:val="24"/>
        </w:rPr>
        <w:t>starijih osoba, djece i ljudi s već postojećim kroničnim bolestima. Fizička i socijalna izolacija starijih osoba dodatno povećava opasnost od umiranja tijekom toplinskog vala.</w:t>
      </w:r>
    </w:p>
    <w:p w14:paraId="51FD9CB8" w14:textId="77777777" w:rsidR="00C754D5" w:rsidRPr="005142C4" w:rsidRDefault="00C754D5" w:rsidP="005142C4">
      <w:pPr>
        <w:spacing w:after="0" w:line="240" w:lineRule="auto"/>
        <w:ind w:left="0" w:right="0" w:firstLine="0"/>
        <w:jc w:val="left"/>
        <w:rPr>
          <w:rFonts w:ascii="Times New Roman" w:hAnsi="Times New Roman" w:cs="Times New Roman"/>
          <w:sz w:val="24"/>
        </w:rPr>
      </w:pPr>
    </w:p>
    <w:p w14:paraId="1E567E90" w14:textId="42D571D7" w:rsidR="00E40AC8" w:rsidRDefault="00900184" w:rsidP="00476BBA">
      <w:pPr>
        <w:spacing w:line="240" w:lineRule="auto"/>
        <w:ind w:left="0" w:right="0" w:firstLine="0"/>
        <w:jc w:val="center"/>
        <w:rPr>
          <w:rFonts w:ascii="Times New Roman" w:hAnsi="Times New Roman" w:cs="Times New Roman"/>
          <w:b/>
          <w:sz w:val="24"/>
        </w:rPr>
      </w:pPr>
      <w:r w:rsidRPr="00C3602C">
        <w:rPr>
          <w:rFonts w:ascii="Times New Roman" w:hAnsi="Times New Roman" w:cs="Times New Roman"/>
          <w:b/>
          <w:sz w:val="24"/>
        </w:rPr>
        <w:t xml:space="preserve">Tablica </w:t>
      </w:r>
      <w:r w:rsidR="00381D97">
        <w:rPr>
          <w:rFonts w:ascii="Times New Roman" w:hAnsi="Times New Roman" w:cs="Times New Roman"/>
          <w:b/>
          <w:sz w:val="24"/>
        </w:rPr>
        <w:t>31</w:t>
      </w:r>
      <w:r w:rsidRPr="00C3602C">
        <w:rPr>
          <w:rFonts w:ascii="Times New Roman" w:hAnsi="Times New Roman" w:cs="Times New Roman"/>
          <w:b/>
          <w:sz w:val="24"/>
        </w:rPr>
        <w:t>. Kritične temperature zraka za Grad Zagreb i porast smrtnosti</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659"/>
        <w:gridCol w:w="1970"/>
        <w:gridCol w:w="1814"/>
        <w:gridCol w:w="1813"/>
        <w:gridCol w:w="1816"/>
      </w:tblGrid>
      <w:tr w:rsidR="002C11D2" w:rsidRPr="002C11D2" w14:paraId="73E54A8F" w14:textId="77777777" w:rsidTr="00476BBA">
        <w:trPr>
          <w:trHeight w:hRule="exact" w:val="353"/>
        </w:trPr>
        <w:tc>
          <w:tcPr>
            <w:tcW w:w="1659" w:type="dxa"/>
            <w:vMerge w:val="restart"/>
            <w:shd w:val="clear" w:color="auto" w:fill="FFC000"/>
            <w:vAlign w:val="center"/>
          </w:tcPr>
          <w:p w14:paraId="404DBF8F" w14:textId="77777777" w:rsidR="002C11D2" w:rsidRPr="002C11D2" w:rsidRDefault="002C11D2" w:rsidP="00C535D4">
            <w:pPr>
              <w:pStyle w:val="TableParagraph"/>
              <w:jc w:val="center"/>
              <w:rPr>
                <w:rFonts w:ascii="Times New Roman" w:eastAsia="Cambria" w:hAnsi="Times New Roman" w:cs="Times New Roman"/>
                <w:sz w:val="18"/>
                <w:szCs w:val="16"/>
                <w:lang w:val="hr-HR"/>
              </w:rPr>
            </w:pPr>
            <w:r w:rsidRPr="002C11D2">
              <w:rPr>
                <w:rFonts w:ascii="Times New Roman" w:hAnsi="Times New Roman" w:cs="Times New Roman"/>
                <w:b/>
                <w:sz w:val="18"/>
                <w:szCs w:val="16"/>
                <w:lang w:val="hr-HR"/>
              </w:rPr>
              <w:t>Temperatura</w:t>
            </w:r>
          </w:p>
        </w:tc>
        <w:tc>
          <w:tcPr>
            <w:tcW w:w="1970" w:type="dxa"/>
            <w:shd w:val="clear" w:color="auto" w:fill="00B050"/>
            <w:vAlign w:val="center"/>
          </w:tcPr>
          <w:p w14:paraId="01BA9F8E" w14:textId="77777777" w:rsidR="002C11D2" w:rsidRPr="002C11D2" w:rsidRDefault="002C11D2" w:rsidP="00C535D4">
            <w:pPr>
              <w:pStyle w:val="TableParagraph"/>
              <w:jc w:val="center"/>
              <w:rPr>
                <w:rFonts w:ascii="Times New Roman" w:eastAsia="Cambria" w:hAnsi="Times New Roman" w:cs="Times New Roman"/>
                <w:color w:val="FFFFFF" w:themeColor="background1"/>
                <w:sz w:val="18"/>
                <w:szCs w:val="16"/>
                <w:lang w:val="hr-HR"/>
              </w:rPr>
            </w:pPr>
            <w:r w:rsidRPr="002C11D2">
              <w:rPr>
                <w:rFonts w:ascii="Times New Roman" w:hAnsi="Times New Roman" w:cs="Times New Roman"/>
                <w:color w:val="FFFFFF" w:themeColor="background1"/>
                <w:sz w:val="18"/>
                <w:szCs w:val="16"/>
                <w:lang w:val="hr-HR"/>
              </w:rPr>
              <w:t xml:space="preserve">30.0 </w:t>
            </w:r>
            <w:r w:rsidR="005302E1" w:rsidRPr="005302E1">
              <w:rPr>
                <w:rFonts w:ascii="Times New Roman" w:hAnsi="Times New Roman" w:cs="Times New Roman"/>
                <w:color w:val="FFFFFF" w:themeColor="background1"/>
                <w:sz w:val="18"/>
                <w:szCs w:val="16"/>
                <w:lang w:val="hr-HR"/>
              </w:rPr>
              <w:t>°</w:t>
            </w:r>
            <w:r w:rsidRPr="002C11D2">
              <w:rPr>
                <w:rFonts w:ascii="Times New Roman" w:hAnsi="Times New Roman" w:cs="Times New Roman"/>
                <w:color w:val="FFFFFF" w:themeColor="background1"/>
                <w:sz w:val="18"/>
                <w:szCs w:val="16"/>
                <w:lang w:val="hr-HR"/>
              </w:rPr>
              <w:t>C</w:t>
            </w:r>
          </w:p>
        </w:tc>
        <w:tc>
          <w:tcPr>
            <w:tcW w:w="1814" w:type="dxa"/>
            <w:shd w:val="clear" w:color="auto" w:fill="FFFF00"/>
            <w:vAlign w:val="center"/>
          </w:tcPr>
          <w:p w14:paraId="6F87AC73" w14:textId="77777777" w:rsidR="002C11D2" w:rsidRPr="002C11D2" w:rsidRDefault="002C11D2" w:rsidP="00C535D4">
            <w:pPr>
              <w:pStyle w:val="TableParagraph"/>
              <w:jc w:val="center"/>
              <w:rPr>
                <w:rFonts w:ascii="Times New Roman" w:eastAsia="Cambria" w:hAnsi="Times New Roman" w:cs="Times New Roman"/>
                <w:sz w:val="18"/>
                <w:szCs w:val="16"/>
                <w:lang w:val="hr-HR"/>
              </w:rPr>
            </w:pPr>
            <w:r w:rsidRPr="002C11D2">
              <w:rPr>
                <w:rFonts w:ascii="Times New Roman" w:hAnsi="Times New Roman" w:cs="Times New Roman"/>
                <w:sz w:val="18"/>
                <w:szCs w:val="16"/>
                <w:lang w:val="hr-HR"/>
              </w:rPr>
              <w:t xml:space="preserve">33.7 </w:t>
            </w:r>
            <w:r w:rsidR="005302E1" w:rsidRPr="005302E1">
              <w:rPr>
                <w:rFonts w:ascii="Times New Roman" w:hAnsi="Times New Roman" w:cs="Times New Roman"/>
                <w:sz w:val="18"/>
                <w:szCs w:val="16"/>
                <w:lang w:val="hr-HR"/>
              </w:rPr>
              <w:t>°</w:t>
            </w:r>
            <w:r w:rsidRPr="002C11D2">
              <w:rPr>
                <w:rFonts w:ascii="Times New Roman" w:hAnsi="Times New Roman" w:cs="Times New Roman"/>
                <w:sz w:val="18"/>
                <w:szCs w:val="16"/>
                <w:lang w:val="hr-HR"/>
              </w:rPr>
              <w:t>C</w:t>
            </w:r>
          </w:p>
        </w:tc>
        <w:tc>
          <w:tcPr>
            <w:tcW w:w="1813" w:type="dxa"/>
            <w:shd w:val="clear" w:color="auto" w:fill="F79546"/>
            <w:vAlign w:val="center"/>
          </w:tcPr>
          <w:p w14:paraId="42EFBBE1" w14:textId="77777777" w:rsidR="002C11D2" w:rsidRPr="0049623D" w:rsidRDefault="002C11D2" w:rsidP="00C535D4">
            <w:pPr>
              <w:pStyle w:val="TableParagraph"/>
              <w:jc w:val="center"/>
              <w:rPr>
                <w:rFonts w:ascii="Times New Roman" w:eastAsia="Cambria" w:hAnsi="Times New Roman" w:cs="Times New Roman"/>
                <w:color w:val="FFFFFF" w:themeColor="background1"/>
                <w:sz w:val="18"/>
                <w:szCs w:val="16"/>
                <w:lang w:val="hr-HR"/>
              </w:rPr>
            </w:pPr>
            <w:r w:rsidRPr="0049623D">
              <w:rPr>
                <w:rFonts w:ascii="Times New Roman" w:hAnsi="Times New Roman" w:cs="Times New Roman"/>
                <w:color w:val="FFFFFF" w:themeColor="background1"/>
                <w:sz w:val="18"/>
                <w:szCs w:val="16"/>
                <w:lang w:val="hr-HR"/>
              </w:rPr>
              <w:t xml:space="preserve">35.1 </w:t>
            </w:r>
            <w:r w:rsidR="005302E1" w:rsidRPr="0049623D">
              <w:rPr>
                <w:rFonts w:ascii="Times New Roman" w:hAnsi="Times New Roman" w:cs="Times New Roman"/>
                <w:color w:val="FFFFFF" w:themeColor="background1"/>
                <w:sz w:val="18"/>
                <w:szCs w:val="16"/>
                <w:lang w:val="hr-HR"/>
              </w:rPr>
              <w:t>°</w:t>
            </w:r>
            <w:r w:rsidRPr="0049623D">
              <w:rPr>
                <w:rFonts w:ascii="Times New Roman" w:hAnsi="Times New Roman" w:cs="Times New Roman"/>
                <w:color w:val="FFFFFF" w:themeColor="background1"/>
                <w:sz w:val="18"/>
                <w:szCs w:val="16"/>
                <w:lang w:val="hr-HR"/>
              </w:rPr>
              <w:t>C</w:t>
            </w:r>
          </w:p>
        </w:tc>
        <w:tc>
          <w:tcPr>
            <w:tcW w:w="1816" w:type="dxa"/>
            <w:shd w:val="clear" w:color="auto" w:fill="C00000"/>
            <w:vAlign w:val="center"/>
          </w:tcPr>
          <w:p w14:paraId="02077A23" w14:textId="77777777" w:rsidR="002C11D2" w:rsidRPr="002C11D2" w:rsidRDefault="002C11D2" w:rsidP="00C535D4">
            <w:pPr>
              <w:pStyle w:val="TableParagraph"/>
              <w:jc w:val="center"/>
              <w:rPr>
                <w:rFonts w:ascii="Times New Roman" w:eastAsia="Cambria" w:hAnsi="Times New Roman" w:cs="Times New Roman"/>
                <w:sz w:val="18"/>
                <w:szCs w:val="16"/>
                <w:lang w:val="hr-HR"/>
              </w:rPr>
            </w:pPr>
            <w:r w:rsidRPr="002C11D2">
              <w:rPr>
                <w:rFonts w:ascii="Times New Roman" w:hAnsi="Times New Roman" w:cs="Times New Roman"/>
                <w:color w:val="FFFFFF"/>
                <w:sz w:val="18"/>
                <w:szCs w:val="16"/>
                <w:lang w:val="hr-HR"/>
              </w:rPr>
              <w:t xml:space="preserve">37.1 </w:t>
            </w:r>
            <w:r w:rsidR="005302E1" w:rsidRPr="005302E1">
              <w:rPr>
                <w:rFonts w:ascii="Times New Roman" w:hAnsi="Times New Roman" w:cs="Times New Roman"/>
                <w:color w:val="FFFFFF"/>
                <w:sz w:val="18"/>
                <w:szCs w:val="16"/>
                <w:lang w:val="hr-HR"/>
              </w:rPr>
              <w:t>°</w:t>
            </w:r>
            <w:r w:rsidRPr="002C11D2">
              <w:rPr>
                <w:rFonts w:ascii="Times New Roman" w:hAnsi="Times New Roman" w:cs="Times New Roman"/>
                <w:color w:val="FFFFFF"/>
                <w:sz w:val="18"/>
                <w:szCs w:val="16"/>
                <w:lang w:val="hr-HR"/>
              </w:rPr>
              <w:t>C</w:t>
            </w:r>
          </w:p>
        </w:tc>
      </w:tr>
      <w:tr w:rsidR="002C11D2" w:rsidRPr="002C11D2" w14:paraId="0ED99472" w14:textId="77777777" w:rsidTr="00476BBA">
        <w:trPr>
          <w:trHeight w:hRule="exact" w:val="235"/>
        </w:trPr>
        <w:tc>
          <w:tcPr>
            <w:tcW w:w="1659" w:type="dxa"/>
            <w:vMerge/>
            <w:shd w:val="clear" w:color="auto" w:fill="FFC000"/>
            <w:vAlign w:val="center"/>
          </w:tcPr>
          <w:p w14:paraId="3E6A327C" w14:textId="77777777" w:rsidR="002C11D2" w:rsidRPr="002C11D2" w:rsidRDefault="002C11D2" w:rsidP="00C535D4">
            <w:pPr>
              <w:spacing w:after="0" w:line="240" w:lineRule="auto"/>
              <w:ind w:left="0" w:right="0"/>
              <w:jc w:val="center"/>
              <w:rPr>
                <w:rFonts w:ascii="Times New Roman" w:hAnsi="Times New Roman" w:cs="Times New Roman"/>
                <w:sz w:val="18"/>
                <w:szCs w:val="16"/>
              </w:rPr>
            </w:pPr>
          </w:p>
        </w:tc>
        <w:tc>
          <w:tcPr>
            <w:tcW w:w="1970" w:type="dxa"/>
            <w:shd w:val="clear" w:color="auto" w:fill="00B050"/>
            <w:vAlign w:val="center"/>
          </w:tcPr>
          <w:p w14:paraId="0B1F840F" w14:textId="77777777" w:rsidR="002C11D2" w:rsidRPr="002C11D2" w:rsidRDefault="002C11D2" w:rsidP="00C535D4">
            <w:pPr>
              <w:pStyle w:val="TableParagraph"/>
              <w:jc w:val="center"/>
              <w:rPr>
                <w:rFonts w:ascii="Times New Roman" w:eastAsia="Cambria" w:hAnsi="Times New Roman" w:cs="Times New Roman"/>
                <w:color w:val="FFFFFF" w:themeColor="background1"/>
                <w:sz w:val="18"/>
                <w:szCs w:val="16"/>
                <w:lang w:val="hr-HR"/>
              </w:rPr>
            </w:pPr>
            <w:r w:rsidRPr="002C11D2">
              <w:rPr>
                <w:rFonts w:ascii="Times New Roman" w:hAnsi="Times New Roman" w:cs="Times New Roman"/>
                <w:color w:val="FFFFFF" w:themeColor="background1"/>
                <w:sz w:val="18"/>
                <w:szCs w:val="16"/>
                <w:lang w:val="hr-HR"/>
              </w:rPr>
              <w:t>kritična temperatura</w:t>
            </w:r>
          </w:p>
        </w:tc>
        <w:tc>
          <w:tcPr>
            <w:tcW w:w="1814" w:type="dxa"/>
            <w:shd w:val="clear" w:color="auto" w:fill="FFFF00"/>
            <w:vAlign w:val="center"/>
          </w:tcPr>
          <w:p w14:paraId="5319F217" w14:textId="77777777" w:rsidR="002C11D2" w:rsidRPr="002C11D2" w:rsidRDefault="002C11D2" w:rsidP="00C535D4">
            <w:pPr>
              <w:pStyle w:val="TableParagraph"/>
              <w:jc w:val="center"/>
              <w:rPr>
                <w:rFonts w:ascii="Times New Roman" w:eastAsia="Cambria" w:hAnsi="Times New Roman" w:cs="Times New Roman"/>
                <w:sz w:val="18"/>
                <w:szCs w:val="16"/>
                <w:lang w:val="hr-HR"/>
              </w:rPr>
            </w:pPr>
            <w:r w:rsidRPr="002C11D2">
              <w:rPr>
                <w:rFonts w:ascii="Times New Roman" w:hAnsi="Times New Roman" w:cs="Times New Roman"/>
                <w:sz w:val="18"/>
                <w:szCs w:val="16"/>
                <w:highlight w:val="yellow"/>
                <w:lang w:val="hr-HR"/>
              </w:rPr>
              <w:t>umjerena opasnost</w:t>
            </w:r>
          </w:p>
        </w:tc>
        <w:tc>
          <w:tcPr>
            <w:tcW w:w="1813" w:type="dxa"/>
            <w:shd w:val="clear" w:color="auto" w:fill="F79546"/>
            <w:vAlign w:val="center"/>
          </w:tcPr>
          <w:p w14:paraId="25693080" w14:textId="77777777" w:rsidR="002C11D2" w:rsidRPr="0049623D" w:rsidRDefault="002C11D2" w:rsidP="00C535D4">
            <w:pPr>
              <w:pStyle w:val="TableParagraph"/>
              <w:jc w:val="center"/>
              <w:rPr>
                <w:rFonts w:ascii="Times New Roman" w:eastAsia="Cambria" w:hAnsi="Times New Roman" w:cs="Times New Roman"/>
                <w:color w:val="FFFFFF" w:themeColor="background1"/>
                <w:sz w:val="18"/>
                <w:szCs w:val="16"/>
                <w:lang w:val="hr-HR"/>
              </w:rPr>
            </w:pPr>
            <w:r w:rsidRPr="0049623D">
              <w:rPr>
                <w:rFonts w:ascii="Times New Roman" w:hAnsi="Times New Roman" w:cs="Times New Roman"/>
                <w:color w:val="FFFFFF" w:themeColor="background1"/>
                <w:sz w:val="18"/>
                <w:szCs w:val="16"/>
                <w:lang w:val="hr-HR"/>
              </w:rPr>
              <w:t>velika opasnost</w:t>
            </w:r>
          </w:p>
        </w:tc>
        <w:tc>
          <w:tcPr>
            <w:tcW w:w="1816" w:type="dxa"/>
            <w:shd w:val="clear" w:color="auto" w:fill="C00000"/>
            <w:vAlign w:val="center"/>
          </w:tcPr>
          <w:p w14:paraId="4F7677AA" w14:textId="77777777" w:rsidR="002C11D2" w:rsidRPr="002C11D2" w:rsidRDefault="002C11D2" w:rsidP="00C535D4">
            <w:pPr>
              <w:pStyle w:val="TableParagraph"/>
              <w:jc w:val="center"/>
              <w:rPr>
                <w:rFonts w:ascii="Times New Roman" w:eastAsia="Cambria" w:hAnsi="Times New Roman" w:cs="Times New Roman"/>
                <w:sz w:val="18"/>
                <w:szCs w:val="16"/>
                <w:lang w:val="hr-HR"/>
              </w:rPr>
            </w:pPr>
            <w:r w:rsidRPr="002C11D2">
              <w:rPr>
                <w:rFonts w:ascii="Times New Roman" w:hAnsi="Times New Roman" w:cs="Times New Roman"/>
                <w:color w:val="FFFFFF"/>
                <w:sz w:val="18"/>
                <w:szCs w:val="16"/>
                <w:lang w:val="hr-HR"/>
              </w:rPr>
              <w:t>vrlo velika opasnost</w:t>
            </w:r>
          </w:p>
        </w:tc>
      </w:tr>
      <w:tr w:rsidR="002C11D2" w:rsidRPr="002C11D2" w14:paraId="64BDD13C" w14:textId="77777777" w:rsidTr="00476BBA">
        <w:trPr>
          <w:trHeight w:hRule="exact" w:val="295"/>
        </w:trPr>
        <w:tc>
          <w:tcPr>
            <w:tcW w:w="1659" w:type="dxa"/>
            <w:shd w:val="clear" w:color="auto" w:fill="FFC000"/>
            <w:vAlign w:val="center"/>
          </w:tcPr>
          <w:p w14:paraId="4C208B2B" w14:textId="77777777" w:rsidR="002C11D2" w:rsidRPr="002C11D2" w:rsidRDefault="002C11D2" w:rsidP="00C535D4">
            <w:pPr>
              <w:pStyle w:val="TableParagraph"/>
              <w:jc w:val="center"/>
              <w:rPr>
                <w:rFonts w:ascii="Times New Roman" w:eastAsia="Cambria" w:hAnsi="Times New Roman" w:cs="Times New Roman"/>
                <w:sz w:val="18"/>
                <w:szCs w:val="16"/>
                <w:lang w:val="hr-HR"/>
              </w:rPr>
            </w:pPr>
            <w:r w:rsidRPr="002C11D2">
              <w:rPr>
                <w:rFonts w:ascii="Times New Roman" w:hAnsi="Times New Roman" w:cs="Times New Roman"/>
                <w:b/>
                <w:sz w:val="18"/>
                <w:szCs w:val="16"/>
                <w:lang w:val="hr-HR"/>
              </w:rPr>
              <w:t>Porast smrtnosti</w:t>
            </w:r>
          </w:p>
        </w:tc>
        <w:tc>
          <w:tcPr>
            <w:tcW w:w="1970" w:type="dxa"/>
            <w:shd w:val="clear" w:color="auto" w:fill="00B050"/>
            <w:vAlign w:val="center"/>
          </w:tcPr>
          <w:p w14:paraId="1787BB7A" w14:textId="77777777" w:rsidR="002C11D2" w:rsidRPr="002C11D2" w:rsidRDefault="002C11D2" w:rsidP="00C535D4">
            <w:pPr>
              <w:spacing w:after="0" w:line="240" w:lineRule="auto"/>
              <w:ind w:left="0" w:right="0"/>
              <w:jc w:val="center"/>
              <w:rPr>
                <w:rFonts w:ascii="Times New Roman" w:hAnsi="Times New Roman" w:cs="Times New Roman"/>
                <w:color w:val="FFFFFF" w:themeColor="background1"/>
                <w:sz w:val="18"/>
                <w:szCs w:val="16"/>
              </w:rPr>
            </w:pPr>
          </w:p>
        </w:tc>
        <w:tc>
          <w:tcPr>
            <w:tcW w:w="1814" w:type="dxa"/>
            <w:shd w:val="clear" w:color="auto" w:fill="FFFF00"/>
            <w:vAlign w:val="center"/>
          </w:tcPr>
          <w:p w14:paraId="4D2FFC67" w14:textId="77777777" w:rsidR="002C11D2" w:rsidRPr="002C11D2" w:rsidRDefault="002C11D2" w:rsidP="00C535D4">
            <w:pPr>
              <w:pStyle w:val="TableParagraph"/>
              <w:jc w:val="center"/>
              <w:rPr>
                <w:rFonts w:ascii="Times New Roman" w:eastAsia="Cambria" w:hAnsi="Times New Roman" w:cs="Times New Roman"/>
                <w:sz w:val="18"/>
                <w:szCs w:val="16"/>
                <w:lang w:val="hr-HR"/>
              </w:rPr>
            </w:pPr>
            <w:r w:rsidRPr="002C11D2">
              <w:rPr>
                <w:rFonts w:ascii="Times New Roman" w:hAnsi="Times New Roman" w:cs="Times New Roman"/>
                <w:sz w:val="18"/>
                <w:szCs w:val="16"/>
                <w:highlight w:val="yellow"/>
                <w:lang w:val="hr-HR"/>
              </w:rPr>
              <w:t>5 %</w:t>
            </w:r>
          </w:p>
        </w:tc>
        <w:tc>
          <w:tcPr>
            <w:tcW w:w="1813" w:type="dxa"/>
            <w:shd w:val="clear" w:color="auto" w:fill="F79546"/>
            <w:vAlign w:val="center"/>
          </w:tcPr>
          <w:p w14:paraId="44F2E764" w14:textId="77777777" w:rsidR="002C11D2" w:rsidRPr="0049623D" w:rsidRDefault="002C11D2" w:rsidP="00C535D4">
            <w:pPr>
              <w:pStyle w:val="TableParagraph"/>
              <w:jc w:val="center"/>
              <w:rPr>
                <w:rFonts w:ascii="Times New Roman" w:eastAsia="Cambria" w:hAnsi="Times New Roman" w:cs="Times New Roman"/>
                <w:color w:val="FFFFFF" w:themeColor="background1"/>
                <w:sz w:val="18"/>
                <w:szCs w:val="16"/>
                <w:lang w:val="hr-HR"/>
              </w:rPr>
            </w:pPr>
            <w:r w:rsidRPr="0049623D">
              <w:rPr>
                <w:rFonts w:ascii="Times New Roman" w:hAnsi="Times New Roman" w:cs="Times New Roman"/>
                <w:color w:val="FFFFFF" w:themeColor="background1"/>
                <w:sz w:val="18"/>
                <w:szCs w:val="16"/>
                <w:lang w:val="hr-HR"/>
              </w:rPr>
              <w:t>7,5 %</w:t>
            </w:r>
          </w:p>
        </w:tc>
        <w:tc>
          <w:tcPr>
            <w:tcW w:w="1816" w:type="dxa"/>
            <w:shd w:val="clear" w:color="auto" w:fill="C00000"/>
            <w:vAlign w:val="center"/>
          </w:tcPr>
          <w:p w14:paraId="35A3B75A" w14:textId="77777777" w:rsidR="002C11D2" w:rsidRPr="002C11D2" w:rsidRDefault="002C11D2" w:rsidP="00C535D4">
            <w:pPr>
              <w:pStyle w:val="TableParagraph"/>
              <w:jc w:val="center"/>
              <w:rPr>
                <w:rFonts w:ascii="Times New Roman" w:eastAsia="Cambria" w:hAnsi="Times New Roman" w:cs="Times New Roman"/>
                <w:sz w:val="18"/>
                <w:szCs w:val="16"/>
                <w:lang w:val="hr-HR"/>
              </w:rPr>
            </w:pPr>
            <w:r w:rsidRPr="002C11D2">
              <w:rPr>
                <w:rFonts w:ascii="Times New Roman" w:hAnsi="Times New Roman" w:cs="Times New Roman"/>
                <w:color w:val="FFFFFF"/>
                <w:sz w:val="18"/>
                <w:szCs w:val="16"/>
                <w:lang w:val="hr-HR"/>
              </w:rPr>
              <w:t>10 %</w:t>
            </w:r>
          </w:p>
        </w:tc>
      </w:tr>
    </w:tbl>
    <w:p w14:paraId="6110C6F5" w14:textId="77777777" w:rsidR="002C11D2" w:rsidRPr="002C11D2" w:rsidRDefault="002C11D2" w:rsidP="002C11D2">
      <w:pPr>
        <w:pStyle w:val="BodyText"/>
        <w:rPr>
          <w:rFonts w:ascii="Times New Roman" w:hAnsi="Times New Roman" w:cs="Times New Roman"/>
          <w:sz w:val="18"/>
          <w:lang w:val="hr-HR"/>
        </w:rPr>
      </w:pPr>
      <w:r w:rsidRPr="002C11D2">
        <w:rPr>
          <w:rFonts w:ascii="Times New Roman" w:hAnsi="Times New Roman" w:cs="Times New Roman"/>
          <w:sz w:val="18"/>
          <w:lang w:val="hr-HR"/>
        </w:rPr>
        <w:t>Izvor: K. Zaninović. Utjecaj ekstremnih termičkih prilika na smrtnost u Hrv</w:t>
      </w:r>
      <w:r w:rsidR="00E32E93">
        <w:rPr>
          <w:rFonts w:ascii="Times New Roman" w:hAnsi="Times New Roman" w:cs="Times New Roman"/>
          <w:sz w:val="18"/>
          <w:lang w:val="hr-HR"/>
        </w:rPr>
        <w:t>atskoj, disertacija 2011. godine</w:t>
      </w:r>
    </w:p>
    <w:p w14:paraId="5BAD8EE0" w14:textId="77777777" w:rsidR="00E40AC8" w:rsidRPr="00C3602C" w:rsidRDefault="00900184" w:rsidP="00C3602C">
      <w:pPr>
        <w:spacing w:after="0" w:line="240" w:lineRule="auto"/>
        <w:ind w:left="0" w:right="0" w:firstLine="0"/>
        <w:jc w:val="center"/>
        <w:rPr>
          <w:rFonts w:ascii="Times New Roman" w:eastAsia="Calibri" w:hAnsi="Times New Roman" w:cs="Times New Roman"/>
          <w:i/>
          <w:sz w:val="20"/>
          <w:szCs w:val="20"/>
        </w:rPr>
      </w:pPr>
      <w:r w:rsidRPr="00C3602C">
        <w:rPr>
          <w:rFonts w:ascii="Times New Roman" w:eastAsia="Calibri" w:hAnsi="Times New Roman" w:cs="Times New Roman"/>
          <w:i/>
          <w:sz w:val="20"/>
          <w:szCs w:val="20"/>
        </w:rPr>
        <w:t>Izvor: Procjena rizika od katastrofa za Republiku Hrvatsku</w:t>
      </w:r>
    </w:p>
    <w:p w14:paraId="2C4F1A77" w14:textId="77777777" w:rsidR="00E40AC8" w:rsidRPr="005142C4" w:rsidRDefault="00E40AC8" w:rsidP="005142C4">
      <w:pPr>
        <w:spacing w:after="0" w:line="240" w:lineRule="auto"/>
        <w:ind w:left="0" w:right="0" w:firstLine="0"/>
        <w:jc w:val="left"/>
        <w:rPr>
          <w:rFonts w:ascii="Times New Roman" w:hAnsi="Times New Roman" w:cs="Times New Roman"/>
          <w:sz w:val="24"/>
        </w:rPr>
      </w:pPr>
    </w:p>
    <w:p w14:paraId="71B72111" w14:textId="77777777" w:rsidR="00E40AC8" w:rsidRDefault="00900184" w:rsidP="00C3602C">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Prema definiciji Svjetske meteorološke organizacije (WMO), kada dnevni temperaturni maksimum u više od pet dana u nizu nadmašuje prosječni temperaturni maksimum nekog područja za 5°C, </w:t>
      </w:r>
      <w:r w:rsidR="00C3602C">
        <w:rPr>
          <w:rFonts w:ascii="Times New Roman" w:hAnsi="Times New Roman" w:cs="Times New Roman"/>
          <w:sz w:val="24"/>
        </w:rPr>
        <w:t xml:space="preserve">riječ je </w:t>
      </w:r>
      <w:r w:rsidRPr="005142C4">
        <w:rPr>
          <w:rFonts w:ascii="Times New Roman" w:hAnsi="Times New Roman" w:cs="Times New Roman"/>
          <w:sz w:val="24"/>
        </w:rPr>
        <w:t>o toplinskom valu. Temeljem navedene definicije postoji mogućnost pojave toplinskog vala na području Grada Zagreba</w:t>
      </w:r>
      <w:r w:rsidR="00C3602C">
        <w:rPr>
          <w:rFonts w:ascii="Times New Roman" w:hAnsi="Times New Roman" w:cs="Times New Roman"/>
          <w:sz w:val="24"/>
        </w:rPr>
        <w:t>,</w:t>
      </w:r>
      <w:r w:rsidRPr="005142C4">
        <w:rPr>
          <w:rFonts w:ascii="Times New Roman" w:hAnsi="Times New Roman" w:cs="Times New Roman"/>
          <w:sz w:val="24"/>
        </w:rPr>
        <w:t xml:space="preserve"> i to u mjesecu srpnju i kolovozu. Od visokih temperatura najugroženije skupine stanovništva su starije osobe i djeca. Na osnov</w:t>
      </w:r>
      <w:r w:rsidR="00C3602C">
        <w:rPr>
          <w:rFonts w:ascii="Times New Roman" w:hAnsi="Times New Roman" w:cs="Times New Roman"/>
          <w:sz w:val="24"/>
        </w:rPr>
        <w:t>i</w:t>
      </w:r>
      <w:r w:rsidRPr="005142C4">
        <w:rPr>
          <w:rFonts w:ascii="Times New Roman" w:hAnsi="Times New Roman" w:cs="Times New Roman"/>
          <w:sz w:val="24"/>
        </w:rPr>
        <w:t xml:space="preserve"> dostupnih podataka u desetogodišnjem razdoblju nije bilo značajnijih posljedica za ugrožene kategorije stanovništva. Slučajevi toplinskih valova su zabilježeni više </w:t>
      </w:r>
      <w:r w:rsidR="00C3602C">
        <w:rPr>
          <w:rFonts w:ascii="Times New Roman" w:hAnsi="Times New Roman" w:cs="Times New Roman"/>
          <w:sz w:val="24"/>
        </w:rPr>
        <w:t xml:space="preserve">puta </w:t>
      </w:r>
      <w:r w:rsidRPr="005142C4">
        <w:rPr>
          <w:rFonts w:ascii="Times New Roman" w:hAnsi="Times New Roman" w:cs="Times New Roman"/>
          <w:sz w:val="24"/>
        </w:rPr>
        <w:t xml:space="preserve">od strane Državnog </w:t>
      </w:r>
      <w:r w:rsidRPr="005142C4">
        <w:rPr>
          <w:rFonts w:ascii="Times New Roman" w:hAnsi="Times New Roman" w:cs="Times New Roman"/>
          <w:sz w:val="24"/>
        </w:rPr>
        <w:lastRenderedPageBreak/>
        <w:t>hidrometeorološkog zavoda. Dugotrajni toplinski val vrućine uzrokovao bi direktno katastrofalne štete na usjevima i smrtne slučajeve od posljedica hipertermija, a indirektno povećao opterećenje energetskog sustava.</w:t>
      </w:r>
    </w:p>
    <w:p w14:paraId="197C8137" w14:textId="77777777" w:rsidR="00C3602C" w:rsidRPr="005142C4" w:rsidRDefault="00C3602C" w:rsidP="00C3602C">
      <w:pPr>
        <w:spacing w:after="0" w:line="240" w:lineRule="auto"/>
        <w:ind w:right="0"/>
        <w:rPr>
          <w:rFonts w:ascii="Times New Roman" w:hAnsi="Times New Roman" w:cs="Times New Roman"/>
          <w:sz w:val="24"/>
        </w:rPr>
      </w:pPr>
    </w:p>
    <w:p w14:paraId="5875CE28" w14:textId="77777777" w:rsidR="00E40AC8" w:rsidRPr="00A87CF4" w:rsidRDefault="00900184" w:rsidP="00A87CF4">
      <w:pPr>
        <w:spacing w:after="0" w:line="240" w:lineRule="auto"/>
        <w:ind w:left="0" w:right="0" w:firstLine="709"/>
        <w:rPr>
          <w:rFonts w:ascii="Times New Roman" w:hAnsi="Times New Roman" w:cs="Times New Roman"/>
          <w:sz w:val="24"/>
          <w:u w:val="single" w:color="000000"/>
        </w:rPr>
      </w:pPr>
      <w:r w:rsidRPr="00A87CF4">
        <w:rPr>
          <w:rFonts w:ascii="Times New Roman" w:hAnsi="Times New Roman" w:cs="Times New Roman"/>
          <w:sz w:val="24"/>
          <w:u w:val="single" w:color="000000"/>
        </w:rPr>
        <w:t>Razlog odabira</w:t>
      </w:r>
    </w:p>
    <w:p w14:paraId="3A72B0B2" w14:textId="06B23B47" w:rsidR="00E40AC8" w:rsidRPr="005142C4" w:rsidRDefault="00900184" w:rsidP="00C3602C">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Zbog klimatskih promjena izgledna je sve češća pojava toplinskih valova. U urbanim zonama toplinski </w:t>
      </w:r>
      <w:r w:rsidR="00E32E93">
        <w:rPr>
          <w:rFonts w:ascii="Times New Roman" w:hAnsi="Times New Roman" w:cs="Times New Roman"/>
          <w:sz w:val="24"/>
        </w:rPr>
        <w:t xml:space="preserve">su </w:t>
      </w:r>
      <w:r w:rsidRPr="005142C4">
        <w:rPr>
          <w:rFonts w:ascii="Times New Roman" w:hAnsi="Times New Roman" w:cs="Times New Roman"/>
          <w:sz w:val="24"/>
        </w:rPr>
        <w:t>valovi</w:t>
      </w:r>
      <w:r w:rsidR="00C517E5">
        <w:rPr>
          <w:rFonts w:ascii="Times New Roman" w:hAnsi="Times New Roman" w:cs="Times New Roman"/>
          <w:sz w:val="24"/>
        </w:rPr>
        <w:t xml:space="preserve"> </w:t>
      </w:r>
      <w:r w:rsidRPr="005142C4">
        <w:rPr>
          <w:rFonts w:ascii="Times New Roman" w:hAnsi="Times New Roman" w:cs="Times New Roman"/>
          <w:sz w:val="24"/>
        </w:rPr>
        <w:t>dodatan izazov za stanovništvo</w:t>
      </w:r>
      <w:r w:rsidR="00F76189">
        <w:rPr>
          <w:rFonts w:ascii="Times New Roman" w:hAnsi="Times New Roman" w:cs="Times New Roman"/>
          <w:sz w:val="24"/>
        </w:rPr>
        <w:t>,</w:t>
      </w:r>
      <w:r w:rsidRPr="005142C4">
        <w:rPr>
          <w:rFonts w:ascii="Times New Roman" w:hAnsi="Times New Roman" w:cs="Times New Roman"/>
          <w:sz w:val="24"/>
        </w:rPr>
        <w:t xml:space="preserve"> a uzimajući u obzir starosnu strukturu stanovništva (posebno u nekim gradskim četvrtima npr. Donji </w:t>
      </w:r>
      <w:r w:rsidR="00C3602C" w:rsidRPr="005142C4">
        <w:rPr>
          <w:rFonts w:ascii="Times New Roman" w:hAnsi="Times New Roman" w:cs="Times New Roman"/>
          <w:sz w:val="24"/>
        </w:rPr>
        <w:t>grad</w:t>
      </w:r>
      <w:r w:rsidRPr="005142C4">
        <w:rPr>
          <w:rFonts w:ascii="Times New Roman" w:hAnsi="Times New Roman" w:cs="Times New Roman"/>
          <w:sz w:val="24"/>
        </w:rPr>
        <w:t>), izgledno je da bi toplinski valovi zna</w:t>
      </w:r>
      <w:r w:rsidR="00E32E93">
        <w:rPr>
          <w:rFonts w:ascii="Times New Roman" w:hAnsi="Times New Roman" w:cs="Times New Roman"/>
          <w:sz w:val="24"/>
        </w:rPr>
        <w:t>tno</w:t>
      </w:r>
      <w:r w:rsidRPr="005142C4">
        <w:rPr>
          <w:rFonts w:ascii="Times New Roman" w:hAnsi="Times New Roman" w:cs="Times New Roman"/>
          <w:sz w:val="24"/>
        </w:rPr>
        <w:t xml:space="preserve"> opteretili zdravstveni sustav u Gradu Zagrebu. Iako se toplinski valovi događaju u ljetno doba godine kada zna</w:t>
      </w:r>
      <w:r w:rsidR="00E32E93">
        <w:rPr>
          <w:rFonts w:ascii="Times New Roman" w:hAnsi="Times New Roman" w:cs="Times New Roman"/>
          <w:sz w:val="24"/>
        </w:rPr>
        <w:t>tan</w:t>
      </w:r>
      <w:r w:rsidRPr="005142C4">
        <w:rPr>
          <w:rFonts w:ascii="Times New Roman" w:hAnsi="Times New Roman" w:cs="Times New Roman"/>
          <w:sz w:val="24"/>
        </w:rPr>
        <w:t xml:space="preserve"> broj ljudi zbog godišnjih odmora napusti područje Grada Zagreba, upravo oni na koje toplinski valovi najv</w:t>
      </w:r>
      <w:r w:rsidR="00C3602C">
        <w:rPr>
          <w:rFonts w:ascii="Times New Roman" w:hAnsi="Times New Roman" w:cs="Times New Roman"/>
          <w:sz w:val="24"/>
        </w:rPr>
        <w:t>iše</w:t>
      </w:r>
      <w:r w:rsidRPr="005142C4">
        <w:rPr>
          <w:rFonts w:ascii="Times New Roman" w:hAnsi="Times New Roman" w:cs="Times New Roman"/>
          <w:sz w:val="24"/>
        </w:rPr>
        <w:t xml:space="preserve"> utje</w:t>
      </w:r>
      <w:r w:rsidR="00C3602C">
        <w:rPr>
          <w:rFonts w:ascii="Times New Roman" w:hAnsi="Times New Roman" w:cs="Times New Roman"/>
          <w:sz w:val="24"/>
        </w:rPr>
        <w:t>ču</w:t>
      </w:r>
      <w:r w:rsidRPr="005142C4">
        <w:rPr>
          <w:rFonts w:ascii="Times New Roman" w:hAnsi="Times New Roman" w:cs="Times New Roman"/>
          <w:sz w:val="24"/>
        </w:rPr>
        <w:t>, poput kroničnih bolesnika i osoba starije životne dobi, ostaju na području Grada te se ujedno smatraju i najizloženijom skupinom ovoj vrsti rizika.</w:t>
      </w:r>
    </w:p>
    <w:p w14:paraId="5CF1602C" w14:textId="77777777" w:rsidR="00E40AC8" w:rsidRPr="005142C4" w:rsidRDefault="00900184" w:rsidP="00C3602C">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Uz toplinske valove vrlo </w:t>
      </w:r>
      <w:r w:rsidR="00C3602C">
        <w:rPr>
          <w:rFonts w:ascii="Times New Roman" w:hAnsi="Times New Roman" w:cs="Times New Roman"/>
          <w:sz w:val="24"/>
        </w:rPr>
        <w:t xml:space="preserve">su </w:t>
      </w:r>
      <w:r w:rsidRPr="005142C4">
        <w:rPr>
          <w:rFonts w:ascii="Times New Roman" w:hAnsi="Times New Roman" w:cs="Times New Roman"/>
          <w:sz w:val="24"/>
        </w:rPr>
        <w:t>često prisut</w:t>
      </w:r>
      <w:r w:rsidR="00E32E93">
        <w:rPr>
          <w:rFonts w:ascii="Times New Roman" w:hAnsi="Times New Roman" w:cs="Times New Roman"/>
          <w:sz w:val="24"/>
        </w:rPr>
        <w:t xml:space="preserve">na i dugotrajna sušna razdoblja, </w:t>
      </w:r>
      <w:r w:rsidRPr="005142C4">
        <w:rPr>
          <w:rFonts w:ascii="Times New Roman" w:hAnsi="Times New Roman" w:cs="Times New Roman"/>
          <w:sz w:val="24"/>
        </w:rPr>
        <w:t>a tijekom toplinskih valova troši se i puno električne energije zbog rada klima</w:t>
      </w:r>
      <w:r w:rsidR="00C3602C">
        <w:rPr>
          <w:rFonts w:ascii="Times New Roman" w:hAnsi="Times New Roman" w:cs="Times New Roman"/>
          <w:sz w:val="24"/>
        </w:rPr>
        <w:t xml:space="preserve">tizacijskih </w:t>
      </w:r>
      <w:r w:rsidRPr="005142C4">
        <w:rPr>
          <w:rFonts w:ascii="Times New Roman" w:hAnsi="Times New Roman" w:cs="Times New Roman"/>
          <w:sz w:val="24"/>
        </w:rPr>
        <w:t xml:space="preserve">uređaja pa </w:t>
      </w:r>
      <w:r w:rsidR="00E32E93">
        <w:rPr>
          <w:rFonts w:ascii="Times New Roman" w:hAnsi="Times New Roman" w:cs="Times New Roman"/>
          <w:sz w:val="24"/>
        </w:rPr>
        <w:t xml:space="preserve">je </w:t>
      </w:r>
      <w:r w:rsidRPr="005142C4">
        <w:rPr>
          <w:rFonts w:ascii="Times New Roman" w:hAnsi="Times New Roman" w:cs="Times New Roman"/>
          <w:sz w:val="24"/>
        </w:rPr>
        <w:t>to dodatan izazov za elektroenergetski sustav.</w:t>
      </w:r>
    </w:p>
    <w:p w14:paraId="33036B13" w14:textId="77777777" w:rsidR="00E40AC8" w:rsidRPr="005142C4" w:rsidRDefault="00E40AC8" w:rsidP="005142C4">
      <w:pPr>
        <w:spacing w:after="0" w:line="240" w:lineRule="auto"/>
        <w:ind w:left="0" w:right="0" w:firstLine="0"/>
        <w:jc w:val="left"/>
        <w:rPr>
          <w:rFonts w:ascii="Times New Roman" w:hAnsi="Times New Roman" w:cs="Times New Roman"/>
          <w:sz w:val="24"/>
        </w:rPr>
      </w:pPr>
    </w:p>
    <w:p w14:paraId="252F91BE" w14:textId="77777777" w:rsidR="00E40AC8" w:rsidRPr="00A87CF4" w:rsidRDefault="00900184" w:rsidP="00A87CF4">
      <w:pPr>
        <w:spacing w:after="0" w:line="240" w:lineRule="auto"/>
        <w:ind w:right="0" w:firstLine="699"/>
        <w:rPr>
          <w:rFonts w:ascii="Times New Roman" w:hAnsi="Times New Roman" w:cs="Times New Roman"/>
          <w:b/>
          <w:sz w:val="24"/>
        </w:rPr>
      </w:pPr>
      <w:bookmarkStart w:id="52" w:name="_Toc2938570"/>
      <w:r w:rsidRPr="00A87CF4">
        <w:rPr>
          <w:rFonts w:ascii="Times New Roman" w:hAnsi="Times New Roman" w:cs="Times New Roman"/>
          <w:b/>
          <w:sz w:val="24"/>
        </w:rPr>
        <w:t>3.2.5. Epidemije i pandemije</w:t>
      </w:r>
      <w:bookmarkEnd w:id="52"/>
    </w:p>
    <w:p w14:paraId="2CF6F7B2" w14:textId="77777777" w:rsidR="00E40AC8" w:rsidRPr="005142C4" w:rsidRDefault="00900184" w:rsidP="00C3602C">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Neočekivano velik broj slučajeva neke bolesti, pr</w:t>
      </w:r>
      <w:r w:rsidR="00C3602C">
        <w:rPr>
          <w:rFonts w:ascii="Times New Roman" w:hAnsi="Times New Roman" w:cs="Times New Roman"/>
          <w:sz w:val="24"/>
        </w:rPr>
        <w:t>ij</w:t>
      </w:r>
      <w:r w:rsidRPr="005142C4">
        <w:rPr>
          <w:rFonts w:ascii="Times New Roman" w:hAnsi="Times New Roman" w:cs="Times New Roman"/>
          <w:sz w:val="24"/>
        </w:rPr>
        <w:t>e</w:t>
      </w:r>
      <w:r w:rsidR="00C3602C">
        <w:rPr>
          <w:rFonts w:ascii="Times New Roman" w:hAnsi="Times New Roman" w:cs="Times New Roman"/>
          <w:sz w:val="24"/>
        </w:rPr>
        <w:t xml:space="preserve"> svega </w:t>
      </w:r>
      <w:r w:rsidRPr="005142C4">
        <w:rPr>
          <w:rFonts w:ascii="Times New Roman" w:hAnsi="Times New Roman" w:cs="Times New Roman"/>
          <w:sz w:val="24"/>
        </w:rPr>
        <w:t>zarazne, ali i bilo koje druge bolesti, u skoro isto vrijeme na jednom području, naseljenom mjestu i većem kolektivitetu, nazivamo epidemijom, a manifestiraju se u dva pojavna oblika:</w:t>
      </w:r>
    </w:p>
    <w:p w14:paraId="1989410E" w14:textId="77777777" w:rsidR="00C3602C" w:rsidRDefault="00C3602C" w:rsidP="00C3602C">
      <w:pPr>
        <w:spacing w:after="0" w:line="240" w:lineRule="auto"/>
        <w:ind w:left="879" w:right="0" w:hanging="170"/>
        <w:rPr>
          <w:rFonts w:ascii="Times New Roman" w:hAnsi="Times New Roman" w:cs="Times New Roman"/>
          <w:sz w:val="24"/>
        </w:rPr>
      </w:pPr>
      <w:r>
        <w:rPr>
          <w:rFonts w:ascii="Times New Roman" w:eastAsia="Segoe UI Symbol" w:hAnsi="Times New Roman" w:cs="Times New Roman"/>
          <w:sz w:val="24"/>
          <w:u w:color="000000"/>
        </w:rPr>
        <w:t>-</w:t>
      </w:r>
      <w:r w:rsidR="00E40AC8" w:rsidRPr="005142C4">
        <w:rPr>
          <w:rFonts w:ascii="Times New Roman" w:eastAsia="Segoe UI Symbol" w:hAnsi="Times New Roman" w:cs="Times New Roman"/>
          <w:sz w:val="24"/>
          <w:u w:color="000000"/>
        </w:rPr>
        <w:tab/>
      </w:r>
      <w:r w:rsidR="00900184" w:rsidRPr="005142C4">
        <w:rPr>
          <w:rFonts w:ascii="Times New Roman" w:hAnsi="Times New Roman" w:cs="Times New Roman"/>
          <w:sz w:val="24"/>
        </w:rPr>
        <w:t>epidemije koje nastaju samostalno, bez povezanosti s ikakvim drugim nepogodama;</w:t>
      </w:r>
    </w:p>
    <w:p w14:paraId="41918450" w14:textId="77777777" w:rsidR="00E40AC8" w:rsidRPr="005142C4" w:rsidRDefault="00C3602C" w:rsidP="00C3602C">
      <w:pPr>
        <w:spacing w:after="0" w:line="240" w:lineRule="auto"/>
        <w:ind w:left="879" w:right="0" w:hanging="170"/>
        <w:rPr>
          <w:rFonts w:ascii="Times New Roman" w:hAnsi="Times New Roman" w:cs="Times New Roman"/>
          <w:sz w:val="24"/>
        </w:rPr>
      </w:pPr>
      <w:r>
        <w:rPr>
          <w:rFonts w:ascii="Times New Roman" w:eastAsia="Segoe UI Symbol" w:hAnsi="Times New Roman" w:cs="Times New Roman"/>
          <w:sz w:val="24"/>
          <w:u w:color="000000"/>
        </w:rPr>
        <w:t>-</w:t>
      </w:r>
      <w:r w:rsidR="00E40AC8" w:rsidRPr="005142C4">
        <w:rPr>
          <w:rFonts w:ascii="Times New Roman" w:eastAsia="Segoe UI Symbol" w:hAnsi="Times New Roman" w:cs="Times New Roman"/>
          <w:sz w:val="24"/>
          <w:u w:color="000000"/>
        </w:rPr>
        <w:tab/>
      </w:r>
      <w:r w:rsidR="00900184" w:rsidRPr="005142C4">
        <w:rPr>
          <w:rFonts w:ascii="Times New Roman" w:hAnsi="Times New Roman" w:cs="Times New Roman"/>
          <w:sz w:val="24"/>
        </w:rPr>
        <w:t>epidemije koje nastaju kao posljedica nekih drugih elementarnih nepogoda (potresa,</w:t>
      </w:r>
      <w:r>
        <w:rPr>
          <w:rFonts w:ascii="Times New Roman" w:hAnsi="Times New Roman" w:cs="Times New Roman"/>
          <w:sz w:val="24"/>
        </w:rPr>
        <w:t xml:space="preserve"> </w:t>
      </w:r>
      <w:r w:rsidR="00900184" w:rsidRPr="005142C4">
        <w:rPr>
          <w:rFonts w:ascii="Times New Roman" w:hAnsi="Times New Roman" w:cs="Times New Roman"/>
          <w:sz w:val="24"/>
        </w:rPr>
        <w:t>poplava, industrijskih nesreća i sl.)</w:t>
      </w:r>
    </w:p>
    <w:p w14:paraId="068DBCD2" w14:textId="77777777" w:rsidR="00E40AC8" w:rsidRPr="005142C4" w:rsidRDefault="00900184" w:rsidP="00C3602C">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Temeljem statističkih podataka za Grad Zagreb najvjerojatniji rizik koj</w:t>
      </w:r>
      <w:r w:rsidR="00C3602C">
        <w:rPr>
          <w:rFonts w:ascii="Times New Roman" w:hAnsi="Times New Roman" w:cs="Times New Roman"/>
          <w:sz w:val="24"/>
        </w:rPr>
        <w:t>i se</w:t>
      </w:r>
      <w:r w:rsidRPr="005142C4">
        <w:rPr>
          <w:rFonts w:ascii="Times New Roman" w:hAnsi="Times New Roman" w:cs="Times New Roman"/>
          <w:sz w:val="24"/>
        </w:rPr>
        <w:t xml:space="preserve"> u ovom trenutku može predvidjeti je epidemijska, odnosno pandemijska pojava nekih infektivnih bolesti uzrokovanih novim ili već poznatim uzročnicima poput influence H1N1, H5N1, SARS</w:t>
      </w:r>
      <w:r w:rsidR="00EE6A22" w:rsidRPr="005142C4">
        <w:rPr>
          <w:rFonts w:ascii="Times New Roman" w:hAnsi="Times New Roman" w:cs="Times New Roman"/>
          <w:sz w:val="24"/>
        </w:rPr>
        <w:t>-</w:t>
      </w:r>
      <w:r w:rsidRPr="005142C4">
        <w:rPr>
          <w:rFonts w:ascii="Times New Roman" w:hAnsi="Times New Roman" w:cs="Times New Roman"/>
          <w:sz w:val="24"/>
        </w:rPr>
        <w:t>a i drugih. Posljedice pandemije primarno bi se očitovale indirektn</w:t>
      </w:r>
      <w:r w:rsidR="00E32E93">
        <w:rPr>
          <w:rFonts w:ascii="Times New Roman" w:hAnsi="Times New Roman" w:cs="Times New Roman"/>
          <w:sz w:val="24"/>
        </w:rPr>
        <w:t>im</w:t>
      </w:r>
      <w:r w:rsidRPr="005142C4">
        <w:rPr>
          <w:rFonts w:ascii="Times New Roman" w:hAnsi="Times New Roman" w:cs="Times New Roman"/>
          <w:sz w:val="24"/>
        </w:rPr>
        <w:t xml:space="preserve"> troškov</w:t>
      </w:r>
      <w:r w:rsidR="00E32E93">
        <w:rPr>
          <w:rFonts w:ascii="Times New Roman" w:hAnsi="Times New Roman" w:cs="Times New Roman"/>
          <w:sz w:val="24"/>
        </w:rPr>
        <w:t>ima</w:t>
      </w:r>
      <w:r w:rsidRPr="005142C4">
        <w:rPr>
          <w:rFonts w:ascii="Times New Roman" w:hAnsi="Times New Roman" w:cs="Times New Roman"/>
          <w:sz w:val="24"/>
        </w:rPr>
        <w:t xml:space="preserve"> kao</w:t>
      </w:r>
      <w:r w:rsidR="00C517E5">
        <w:rPr>
          <w:rFonts w:ascii="Times New Roman" w:hAnsi="Times New Roman" w:cs="Times New Roman"/>
          <w:sz w:val="24"/>
        </w:rPr>
        <w:t xml:space="preserve"> </w:t>
      </w:r>
      <w:r w:rsidRPr="005142C4">
        <w:rPr>
          <w:rFonts w:ascii="Times New Roman" w:hAnsi="Times New Roman" w:cs="Times New Roman"/>
          <w:sz w:val="24"/>
        </w:rPr>
        <w:t>posljedic</w:t>
      </w:r>
      <w:r w:rsidR="00E32E93">
        <w:rPr>
          <w:rFonts w:ascii="Times New Roman" w:hAnsi="Times New Roman" w:cs="Times New Roman"/>
          <w:sz w:val="24"/>
        </w:rPr>
        <w:t>om</w:t>
      </w:r>
      <w:r w:rsidRPr="005142C4">
        <w:rPr>
          <w:rFonts w:ascii="Times New Roman" w:hAnsi="Times New Roman" w:cs="Times New Roman"/>
          <w:sz w:val="24"/>
        </w:rPr>
        <w:t xml:space="preserve"> apsentizma zaposlenih osoba i troškov</w:t>
      </w:r>
      <w:r w:rsidR="00E32E93">
        <w:rPr>
          <w:rFonts w:ascii="Times New Roman" w:hAnsi="Times New Roman" w:cs="Times New Roman"/>
          <w:sz w:val="24"/>
        </w:rPr>
        <w:t>ima</w:t>
      </w:r>
      <w:r w:rsidRPr="005142C4">
        <w:rPr>
          <w:rFonts w:ascii="Times New Roman" w:hAnsi="Times New Roman" w:cs="Times New Roman"/>
          <w:sz w:val="24"/>
        </w:rPr>
        <w:t xml:space="preserve"> zdravstvenog sustava za liječenje oboljelih i provođenje preventivnih mjera </w:t>
      </w:r>
      <w:r w:rsidR="00C3602C">
        <w:rPr>
          <w:rFonts w:ascii="Times New Roman" w:hAnsi="Times New Roman" w:cs="Times New Roman"/>
          <w:sz w:val="24"/>
        </w:rPr>
        <w:t xml:space="preserve">radi </w:t>
      </w:r>
      <w:r w:rsidRPr="005142C4">
        <w:rPr>
          <w:rFonts w:ascii="Times New Roman" w:hAnsi="Times New Roman" w:cs="Times New Roman"/>
          <w:sz w:val="24"/>
        </w:rPr>
        <w:t>suzbijanja i sprječavanja daljnjeg širenja pandemije.</w:t>
      </w:r>
    </w:p>
    <w:p w14:paraId="069169E8" w14:textId="77777777" w:rsidR="00E40AC8" w:rsidRPr="005142C4" w:rsidRDefault="00E40AC8" w:rsidP="005142C4">
      <w:pPr>
        <w:spacing w:after="0" w:line="240" w:lineRule="auto"/>
        <w:ind w:left="0" w:right="0" w:firstLine="0"/>
        <w:jc w:val="left"/>
        <w:rPr>
          <w:rFonts w:ascii="Times New Roman" w:hAnsi="Times New Roman" w:cs="Times New Roman"/>
          <w:sz w:val="24"/>
        </w:rPr>
      </w:pPr>
    </w:p>
    <w:p w14:paraId="1398A3CE" w14:textId="77777777" w:rsidR="00E40AC8" w:rsidRPr="00A87CF4" w:rsidRDefault="00900184" w:rsidP="00A87CF4">
      <w:pPr>
        <w:spacing w:after="0" w:line="240" w:lineRule="auto"/>
        <w:ind w:left="0" w:right="0" w:firstLine="709"/>
        <w:rPr>
          <w:rFonts w:ascii="Times New Roman" w:hAnsi="Times New Roman" w:cs="Times New Roman"/>
          <w:sz w:val="24"/>
          <w:u w:val="single" w:color="000000"/>
        </w:rPr>
      </w:pPr>
      <w:r w:rsidRPr="00A87CF4">
        <w:rPr>
          <w:rFonts w:ascii="Times New Roman" w:hAnsi="Times New Roman" w:cs="Times New Roman"/>
          <w:sz w:val="24"/>
          <w:u w:val="single" w:color="000000"/>
        </w:rPr>
        <w:t>Razlog odabira</w:t>
      </w:r>
    </w:p>
    <w:p w14:paraId="61D0C3FD" w14:textId="3904AD9D" w:rsidR="00E40AC8" w:rsidRDefault="00900184" w:rsidP="00C3602C">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Grad Zagreb je sjedište institucija od znač</w:t>
      </w:r>
      <w:r w:rsidR="00C3602C">
        <w:rPr>
          <w:rFonts w:ascii="Times New Roman" w:hAnsi="Times New Roman" w:cs="Times New Roman"/>
          <w:sz w:val="24"/>
        </w:rPr>
        <w:t>en</w:t>
      </w:r>
      <w:r w:rsidRPr="005142C4">
        <w:rPr>
          <w:rFonts w:ascii="Times New Roman" w:hAnsi="Times New Roman" w:cs="Times New Roman"/>
          <w:sz w:val="24"/>
        </w:rPr>
        <w:t>ja za upravljanje svim sektorima u Republici Hrvatskoj. Grad Zagreb je i veliko prometno čvorište</w:t>
      </w:r>
      <w:r w:rsidR="003A5814">
        <w:rPr>
          <w:rFonts w:ascii="Times New Roman" w:hAnsi="Times New Roman" w:cs="Times New Roman"/>
          <w:sz w:val="24"/>
        </w:rPr>
        <w:t>,</w:t>
      </w:r>
      <w:r w:rsidRPr="005142C4">
        <w:rPr>
          <w:rFonts w:ascii="Times New Roman" w:hAnsi="Times New Roman" w:cs="Times New Roman"/>
          <w:sz w:val="24"/>
        </w:rPr>
        <w:t xml:space="preserve"> a preko Zračne luke </w:t>
      </w:r>
      <w:r w:rsidR="00EE6A22" w:rsidRPr="005142C4">
        <w:rPr>
          <w:rFonts w:ascii="Times New Roman" w:hAnsi="Times New Roman" w:cs="Times New Roman"/>
          <w:sz w:val="24"/>
        </w:rPr>
        <w:t>"</w:t>
      </w:r>
      <w:r w:rsidR="00CC1C6A" w:rsidRPr="00740B83">
        <w:rPr>
          <w:rFonts w:ascii="Times New Roman" w:hAnsi="Times New Roman" w:cs="Times New Roman"/>
          <w:sz w:val="24"/>
        </w:rPr>
        <w:t xml:space="preserve">Dr. </w:t>
      </w:r>
      <w:r w:rsidRPr="00740B83">
        <w:rPr>
          <w:rFonts w:ascii="Times New Roman" w:hAnsi="Times New Roman" w:cs="Times New Roman"/>
          <w:sz w:val="24"/>
        </w:rPr>
        <w:t>Franjo Tuđman</w:t>
      </w:r>
      <w:r w:rsidR="00EE6A22" w:rsidRPr="005142C4">
        <w:rPr>
          <w:rFonts w:ascii="Times New Roman" w:hAnsi="Times New Roman" w:cs="Times New Roman"/>
          <w:sz w:val="24"/>
        </w:rPr>
        <w:t>"</w:t>
      </w:r>
      <w:r w:rsidRPr="005142C4">
        <w:rPr>
          <w:rFonts w:ascii="Times New Roman" w:hAnsi="Times New Roman" w:cs="Times New Roman"/>
          <w:sz w:val="24"/>
        </w:rPr>
        <w:t xml:space="preserve"> tisuće stanovnika svakodnevno iz dalekih zemalja dolazi na područje Grada Zagreba te se tako povećava mogućnost brzog prenošenja zaraza iz drugih područja Europe i svijeta. Pojavom teških epidemija i pandemija svakako bi došlo do izostanka zaposlenika sa svojih radnih mjesta što bi moglo usporiti odvijanje poslova i procesa od znač</w:t>
      </w:r>
      <w:r w:rsidR="00C3602C">
        <w:rPr>
          <w:rFonts w:ascii="Times New Roman" w:hAnsi="Times New Roman" w:cs="Times New Roman"/>
          <w:sz w:val="24"/>
        </w:rPr>
        <w:t>en</w:t>
      </w:r>
      <w:r w:rsidRPr="005142C4">
        <w:rPr>
          <w:rFonts w:ascii="Times New Roman" w:hAnsi="Times New Roman" w:cs="Times New Roman"/>
          <w:sz w:val="24"/>
        </w:rPr>
        <w:t>ja za Republiku Hrvatsku. Zbog svega navedenog</w:t>
      </w:r>
      <w:r w:rsidR="00C3602C">
        <w:rPr>
          <w:rFonts w:ascii="Times New Roman" w:hAnsi="Times New Roman" w:cs="Times New Roman"/>
          <w:sz w:val="24"/>
        </w:rPr>
        <w:t>a</w:t>
      </w:r>
      <w:r w:rsidRPr="005142C4">
        <w:rPr>
          <w:rFonts w:ascii="Times New Roman" w:hAnsi="Times New Roman" w:cs="Times New Roman"/>
          <w:sz w:val="24"/>
        </w:rPr>
        <w:t xml:space="preserve"> odlučeno je da se u ovoj </w:t>
      </w:r>
      <w:r w:rsidR="00E32E93">
        <w:rPr>
          <w:rFonts w:ascii="Times New Roman" w:hAnsi="Times New Roman" w:cs="Times New Roman"/>
          <w:sz w:val="24"/>
        </w:rPr>
        <w:t>p</w:t>
      </w:r>
      <w:r w:rsidR="00C517E5" w:rsidRPr="005142C4">
        <w:rPr>
          <w:rFonts w:ascii="Times New Roman" w:hAnsi="Times New Roman" w:cs="Times New Roman"/>
          <w:sz w:val="24"/>
        </w:rPr>
        <w:t xml:space="preserve">rocjeni </w:t>
      </w:r>
      <w:r w:rsidRPr="005142C4">
        <w:rPr>
          <w:rFonts w:ascii="Times New Roman" w:hAnsi="Times New Roman" w:cs="Times New Roman"/>
          <w:sz w:val="24"/>
        </w:rPr>
        <w:t>rizika obrađuje i navedeni rizik.</w:t>
      </w:r>
    </w:p>
    <w:p w14:paraId="20FBBCEB" w14:textId="77777777" w:rsidR="00532FAE" w:rsidRDefault="00532FAE" w:rsidP="00C3602C">
      <w:pPr>
        <w:spacing w:after="0" w:line="240" w:lineRule="auto"/>
        <w:ind w:left="0" w:right="0" w:firstLine="709"/>
        <w:rPr>
          <w:rFonts w:ascii="Times New Roman" w:hAnsi="Times New Roman" w:cs="Times New Roman"/>
          <w:sz w:val="24"/>
        </w:rPr>
      </w:pPr>
    </w:p>
    <w:p w14:paraId="22844A99" w14:textId="69A9478A" w:rsidR="00E279F0" w:rsidRPr="006218CF" w:rsidRDefault="00E279F0" w:rsidP="00C3602C">
      <w:pPr>
        <w:spacing w:after="0" w:line="240" w:lineRule="auto"/>
        <w:ind w:left="0" w:right="0" w:firstLine="709"/>
        <w:rPr>
          <w:rFonts w:ascii="Times New Roman" w:hAnsi="Times New Roman" w:cs="Times New Roman"/>
          <w:b/>
          <w:color w:val="auto"/>
          <w:sz w:val="24"/>
        </w:rPr>
      </w:pPr>
      <w:r w:rsidRPr="006218CF">
        <w:rPr>
          <w:rFonts w:ascii="Times New Roman" w:hAnsi="Times New Roman" w:cs="Times New Roman"/>
          <w:b/>
          <w:color w:val="auto"/>
          <w:sz w:val="24"/>
        </w:rPr>
        <w:t xml:space="preserve">3.2.6. Nuklearna nesreća </w:t>
      </w:r>
    </w:p>
    <w:p w14:paraId="4EB554A6" w14:textId="1A6820D4" w:rsidR="00B51AE1" w:rsidRDefault="009F67DA" w:rsidP="00B51AE1">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Sva tehnička postrojenja, pa tako i nuklearna, u svom pogonu generiraju određene</w:t>
      </w:r>
      <w:r w:rsidR="00C2019F">
        <w:rPr>
          <w:rFonts w:ascii="Times New Roman" w:hAnsi="Times New Roman" w:cs="Times New Roman"/>
          <w:color w:val="auto"/>
          <w:sz w:val="24"/>
        </w:rPr>
        <w:t xml:space="preserve"> </w:t>
      </w:r>
      <w:r w:rsidRPr="006218CF">
        <w:rPr>
          <w:rFonts w:ascii="Times New Roman" w:hAnsi="Times New Roman" w:cs="Times New Roman"/>
          <w:color w:val="auto"/>
          <w:sz w:val="24"/>
        </w:rPr>
        <w:t>rizike. Za nuklearna postrojenja najveći se rizici povezuju s pojavom takvih događaja koji bi</w:t>
      </w:r>
      <w:r>
        <w:rPr>
          <w:rFonts w:ascii="Times New Roman" w:hAnsi="Times New Roman" w:cs="Times New Roman"/>
          <w:color w:val="auto"/>
          <w:sz w:val="24"/>
        </w:rPr>
        <w:t xml:space="preserve"> </w:t>
      </w:r>
      <w:r w:rsidRPr="006218CF">
        <w:rPr>
          <w:rFonts w:ascii="Times New Roman" w:hAnsi="Times New Roman" w:cs="Times New Roman"/>
          <w:color w:val="auto"/>
          <w:sz w:val="24"/>
        </w:rPr>
        <w:t xml:space="preserve">doveli do nekontroliranog ispuštanja većih količina radioaktivnih tvari u okoliš. </w:t>
      </w:r>
      <w:r w:rsidR="00B51AE1" w:rsidRPr="00B51AE1">
        <w:rPr>
          <w:rFonts w:ascii="Times New Roman" w:hAnsi="Times New Roman" w:cs="Times New Roman"/>
          <w:color w:val="auto"/>
          <w:sz w:val="24"/>
        </w:rPr>
        <w:t xml:space="preserve">Da bi se spriječila pojava kvarova koji dovode do nekontroliranog ispuštanja radioaktivnosti u okoliš, u nuklearnim elektranama se provodi princip obrane po dubini ("defence in depth") koji se sastoji od uvođenja niza aktivnih i pasivnih barijera između radioaktivnih tvari smještenih u jezgri </w:t>
      </w:r>
      <w:r w:rsidR="00B51AE1" w:rsidRPr="00B51AE1">
        <w:rPr>
          <w:rFonts w:ascii="Times New Roman" w:hAnsi="Times New Roman" w:cs="Times New Roman"/>
          <w:color w:val="auto"/>
          <w:sz w:val="24"/>
        </w:rPr>
        <w:lastRenderedPageBreak/>
        <w:t>reaktora i okoliša. Unatoč tomu, ipak postoji mala vjerojatnost pojave takvog slijeda događaja koji bi doveo do ispuštanja većih količina radioaktivnih tvari u okoliš - nuklearne nesreće.</w:t>
      </w:r>
    </w:p>
    <w:p w14:paraId="610D151A" w14:textId="4DEF7E41" w:rsidR="009F67DA" w:rsidRDefault="009F67DA" w:rsidP="006218CF">
      <w:pPr>
        <w:spacing w:after="0" w:line="240" w:lineRule="auto"/>
        <w:ind w:left="0" w:right="0" w:firstLine="709"/>
        <w:rPr>
          <w:rFonts w:ascii="Times New Roman" w:hAnsi="Times New Roman" w:cs="Times New Roman"/>
          <w:color w:val="auto"/>
          <w:sz w:val="24"/>
        </w:rPr>
      </w:pPr>
    </w:p>
    <w:p w14:paraId="77CB6E75" w14:textId="14ECE785" w:rsidR="009F67DA" w:rsidRDefault="009F67DA" w:rsidP="006218CF">
      <w:pPr>
        <w:spacing w:after="0" w:line="240" w:lineRule="auto"/>
        <w:ind w:left="0" w:right="0" w:firstLine="709"/>
        <w:rPr>
          <w:rFonts w:ascii="Times New Roman" w:hAnsi="Times New Roman" w:cs="Times New Roman"/>
          <w:color w:val="auto"/>
          <w:sz w:val="24"/>
          <w:u w:val="single"/>
        </w:rPr>
      </w:pPr>
      <w:r w:rsidRPr="006218CF">
        <w:rPr>
          <w:rFonts w:ascii="Times New Roman" w:hAnsi="Times New Roman" w:cs="Times New Roman"/>
          <w:color w:val="auto"/>
          <w:sz w:val="24"/>
          <w:u w:val="single"/>
        </w:rPr>
        <w:t>Razlog odabira</w:t>
      </w:r>
    </w:p>
    <w:p w14:paraId="47BAB0B0" w14:textId="5D25FBBB" w:rsidR="009F67DA" w:rsidRDefault="001E30BB" w:rsidP="006218CF">
      <w:pPr>
        <w:spacing w:after="0" w:line="240" w:lineRule="auto"/>
        <w:ind w:left="0" w:right="0" w:firstLine="709"/>
        <w:rPr>
          <w:rFonts w:ascii="Times New Roman" w:hAnsi="Times New Roman" w:cs="Times New Roman"/>
          <w:color w:val="auto"/>
          <w:sz w:val="24"/>
        </w:rPr>
      </w:pPr>
      <w:r w:rsidRPr="001E30BB">
        <w:rPr>
          <w:rFonts w:ascii="Times New Roman" w:hAnsi="Times New Roman" w:cs="Times New Roman"/>
          <w:color w:val="auto"/>
          <w:sz w:val="24"/>
        </w:rPr>
        <w:t xml:space="preserve">Unatoč tome što </w:t>
      </w:r>
      <w:r>
        <w:rPr>
          <w:rFonts w:ascii="Times New Roman" w:hAnsi="Times New Roman" w:cs="Times New Roman"/>
          <w:color w:val="auto"/>
          <w:sz w:val="24"/>
        </w:rPr>
        <w:t xml:space="preserve">zbog udaljenosti nuklearne elektrane Krško od područja Grada Zagreba, </w:t>
      </w:r>
      <w:r w:rsidRPr="001E30BB">
        <w:rPr>
          <w:rFonts w:ascii="Times New Roman" w:hAnsi="Times New Roman" w:cs="Times New Roman"/>
          <w:color w:val="auto"/>
          <w:sz w:val="24"/>
        </w:rPr>
        <w:t>sam događaj neće prouzročiti smrtne ishode</w:t>
      </w:r>
      <w:r>
        <w:rPr>
          <w:rFonts w:ascii="Times New Roman" w:hAnsi="Times New Roman" w:cs="Times New Roman"/>
          <w:color w:val="auto"/>
          <w:sz w:val="24"/>
        </w:rPr>
        <w:t xml:space="preserve"> niti u slučaju ostvarivanja najgoreg scenarija (</w:t>
      </w:r>
      <w:r w:rsidRPr="006218CF">
        <w:rPr>
          <w:rFonts w:ascii="Times New Roman" w:hAnsi="Times New Roman" w:cs="Times New Roman"/>
          <w:i/>
          <w:color w:val="auto"/>
          <w:sz w:val="24"/>
        </w:rPr>
        <w:t>worst case-a</w:t>
      </w:r>
      <w:r>
        <w:rPr>
          <w:rFonts w:ascii="Times New Roman" w:hAnsi="Times New Roman" w:cs="Times New Roman"/>
          <w:color w:val="auto"/>
          <w:sz w:val="24"/>
        </w:rPr>
        <w:t xml:space="preserve">) </w:t>
      </w:r>
      <w:r w:rsidRPr="001E30BB">
        <w:rPr>
          <w:rFonts w:ascii="Times New Roman" w:hAnsi="Times New Roman" w:cs="Times New Roman"/>
          <w:color w:val="auto"/>
          <w:sz w:val="24"/>
        </w:rPr>
        <w:t xml:space="preserve">, niti se procjenjuje da će izloženo stanovništvo imati trajne zdravstvene posljedice, sam događaj </w:t>
      </w:r>
      <w:r>
        <w:rPr>
          <w:rFonts w:ascii="Times New Roman" w:hAnsi="Times New Roman" w:cs="Times New Roman"/>
          <w:color w:val="auto"/>
          <w:sz w:val="24"/>
        </w:rPr>
        <w:t>bi</w:t>
      </w:r>
      <w:r w:rsidRPr="001E30BB">
        <w:rPr>
          <w:rFonts w:ascii="Times New Roman" w:hAnsi="Times New Roman" w:cs="Times New Roman"/>
          <w:color w:val="auto"/>
          <w:sz w:val="24"/>
        </w:rPr>
        <w:t xml:space="preserve"> izrazito naruši</w:t>
      </w:r>
      <w:r>
        <w:rPr>
          <w:rFonts w:ascii="Times New Roman" w:hAnsi="Times New Roman" w:cs="Times New Roman"/>
          <w:color w:val="auto"/>
          <w:sz w:val="24"/>
        </w:rPr>
        <w:t>o</w:t>
      </w:r>
      <w:r w:rsidRPr="001E30BB">
        <w:rPr>
          <w:rFonts w:ascii="Times New Roman" w:hAnsi="Times New Roman" w:cs="Times New Roman"/>
          <w:color w:val="auto"/>
          <w:sz w:val="24"/>
        </w:rPr>
        <w:t xml:space="preserve"> kvalitetu života velike skupine ljudi (to uključuje stres zbog provođenja mjera sklanjanja, zabrane konzumiranja domaćih proizvoda, osjećaj stigmatizacije </w:t>
      </w:r>
      <w:r>
        <w:rPr>
          <w:rFonts w:ascii="Times New Roman" w:hAnsi="Times New Roman" w:cs="Times New Roman"/>
          <w:color w:val="auto"/>
          <w:sz w:val="24"/>
        </w:rPr>
        <w:t xml:space="preserve">i straha </w:t>
      </w:r>
      <w:r w:rsidRPr="001E30BB">
        <w:rPr>
          <w:rFonts w:ascii="Times New Roman" w:hAnsi="Times New Roman" w:cs="Times New Roman"/>
          <w:color w:val="auto"/>
          <w:sz w:val="24"/>
        </w:rPr>
        <w:t>i sl.)</w:t>
      </w:r>
    </w:p>
    <w:p w14:paraId="57D29EB2" w14:textId="77777777" w:rsidR="009F67DA" w:rsidRDefault="009F67DA" w:rsidP="006218CF">
      <w:pPr>
        <w:spacing w:after="0" w:line="240" w:lineRule="auto"/>
        <w:ind w:left="0" w:right="0" w:firstLine="0"/>
        <w:rPr>
          <w:rFonts w:ascii="Times New Roman" w:hAnsi="Times New Roman" w:cs="Times New Roman"/>
          <w:b/>
          <w:color w:val="00B050"/>
          <w:sz w:val="24"/>
          <w:u w:val="single"/>
        </w:rPr>
      </w:pPr>
    </w:p>
    <w:p w14:paraId="748B4E72" w14:textId="01AA3737" w:rsidR="00532FAE" w:rsidRPr="006218CF" w:rsidRDefault="00E279F0" w:rsidP="00E279F0">
      <w:pPr>
        <w:spacing w:after="0" w:line="240" w:lineRule="auto"/>
        <w:ind w:left="0" w:right="0" w:firstLine="709"/>
        <w:rPr>
          <w:rFonts w:ascii="Times New Roman" w:hAnsi="Times New Roman" w:cs="Times New Roman"/>
          <w:b/>
          <w:color w:val="auto"/>
          <w:sz w:val="24"/>
        </w:rPr>
      </w:pPr>
      <w:r w:rsidRPr="006218CF">
        <w:rPr>
          <w:rFonts w:ascii="Times New Roman" w:hAnsi="Times New Roman" w:cs="Times New Roman"/>
          <w:b/>
          <w:color w:val="auto"/>
          <w:sz w:val="24"/>
        </w:rPr>
        <w:t xml:space="preserve">3.2.7. </w:t>
      </w:r>
      <w:r w:rsidR="00112ABB" w:rsidRPr="006218CF">
        <w:rPr>
          <w:rFonts w:ascii="Times New Roman" w:hAnsi="Times New Roman" w:cs="Times New Roman"/>
          <w:b/>
          <w:color w:val="auto"/>
          <w:sz w:val="24"/>
        </w:rPr>
        <w:t>Nesreće na odlagalištima otpada</w:t>
      </w:r>
    </w:p>
    <w:p w14:paraId="18CF58EA" w14:textId="488C7BC5" w:rsidR="001E30BB" w:rsidRDefault="001E30BB" w:rsidP="00E279F0">
      <w:pPr>
        <w:spacing w:after="0" w:line="240" w:lineRule="auto"/>
        <w:ind w:left="0" w:right="0" w:firstLine="709"/>
        <w:rPr>
          <w:rFonts w:ascii="Times New Roman" w:hAnsi="Times New Roman" w:cs="Times New Roman"/>
          <w:b/>
          <w:color w:val="00B050"/>
          <w:sz w:val="24"/>
          <w:u w:val="single"/>
        </w:rPr>
      </w:pPr>
    </w:p>
    <w:p w14:paraId="1EE2EC8D" w14:textId="25818461" w:rsidR="00525166" w:rsidRDefault="00604868" w:rsidP="008965ED">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Otpad je prema Zakonu o gospodarenju otpadom (N</w:t>
      </w:r>
      <w:r w:rsidR="00012F75">
        <w:rPr>
          <w:rFonts w:ascii="Times New Roman" w:hAnsi="Times New Roman" w:cs="Times New Roman"/>
          <w:color w:val="auto"/>
          <w:sz w:val="24"/>
        </w:rPr>
        <w:t>arodne novine</w:t>
      </w:r>
      <w:r w:rsidRPr="006218CF">
        <w:rPr>
          <w:rFonts w:ascii="Times New Roman" w:hAnsi="Times New Roman" w:cs="Times New Roman"/>
          <w:color w:val="auto"/>
          <w:sz w:val="24"/>
        </w:rPr>
        <w:t xml:space="preserve"> 84/21) svaka tvar ili predmet koju posjednik odbacuje, namjerava ili mora odbaciti. Otpad nastaje kao posljedica svih ljudskih aktivnosti i u svim gospodarskim djelatnostima.  Jedino službeno odlagalište otpada na koje se danas odlaže miješani komunalni otpad Grada Zagreba te komunalni otpad s područja Samobora i Svete Nedjelje je odlagalište </w:t>
      </w:r>
      <w:r w:rsidR="00792948">
        <w:rPr>
          <w:rFonts w:ascii="Times New Roman" w:hAnsi="Times New Roman" w:cs="Times New Roman"/>
          <w:color w:val="auto"/>
          <w:sz w:val="24"/>
        </w:rPr>
        <w:t>Prudinec-</w:t>
      </w:r>
      <w:r w:rsidRPr="006218CF">
        <w:rPr>
          <w:rFonts w:ascii="Times New Roman" w:hAnsi="Times New Roman" w:cs="Times New Roman"/>
          <w:color w:val="auto"/>
          <w:sz w:val="24"/>
        </w:rPr>
        <w:t xml:space="preserve">Jakuševec. Udaljeno je 5 km zračne linije od središta Zagreba, a nalazi se u jugoistočnom dijelu Grada Zagreba, na desnoj obali rijeke Save, na udaljenosti 400 m od naselja Jakuševec i između vodozaštitnih zona najvećih postojećih i planiranih vodocrpilišta Grada Zagreba (Črnkovec i Petruševec). Nekontrolirano odlaganje otpada na području današnjeg odlagališta otpada </w:t>
      </w:r>
      <w:r w:rsidR="00792948">
        <w:rPr>
          <w:rFonts w:ascii="Times New Roman" w:hAnsi="Times New Roman" w:cs="Times New Roman"/>
          <w:color w:val="auto"/>
          <w:sz w:val="24"/>
        </w:rPr>
        <w:t>Prudinec-</w:t>
      </w:r>
      <w:r w:rsidRPr="006218CF">
        <w:rPr>
          <w:rFonts w:ascii="Times New Roman" w:hAnsi="Times New Roman" w:cs="Times New Roman"/>
          <w:color w:val="auto"/>
          <w:sz w:val="24"/>
        </w:rPr>
        <w:t>Jakuševec započelo je 1965. godine, a 1995. godine prostor odlagališta zauzima 80 ha. U tom je razdoblju neprimjereno odloženo 4,5 milijuna m</w:t>
      </w:r>
      <w:r w:rsidRPr="006218CF">
        <w:rPr>
          <w:rFonts w:ascii="Times New Roman" w:hAnsi="Times New Roman" w:cs="Times New Roman"/>
          <w:color w:val="auto"/>
          <w:sz w:val="24"/>
          <w:vertAlign w:val="superscript"/>
        </w:rPr>
        <w:t>3</w:t>
      </w:r>
      <w:r w:rsidRPr="006218CF">
        <w:rPr>
          <w:rFonts w:ascii="Times New Roman" w:hAnsi="Times New Roman" w:cs="Times New Roman"/>
          <w:color w:val="auto"/>
          <w:sz w:val="24"/>
        </w:rPr>
        <w:t xml:space="preserve"> otpada, a do 2000. godine volumen odloženog otpada iznosio je 8 milijuna m</w:t>
      </w:r>
      <w:r w:rsidRPr="006218CF">
        <w:rPr>
          <w:rFonts w:ascii="Times New Roman" w:hAnsi="Times New Roman" w:cs="Times New Roman"/>
          <w:color w:val="auto"/>
          <w:sz w:val="24"/>
          <w:vertAlign w:val="superscript"/>
        </w:rPr>
        <w:t>3</w:t>
      </w:r>
      <w:r w:rsidRPr="006218CF">
        <w:rPr>
          <w:rFonts w:ascii="Times New Roman" w:hAnsi="Times New Roman" w:cs="Times New Roman"/>
          <w:color w:val="auto"/>
          <w:sz w:val="24"/>
        </w:rPr>
        <w:t>. Odlagalište je zbog zanemarivanja problema postalo najveće neuređeno odlagalište otpada u jugoistočnom dijelu Europe</w:t>
      </w:r>
      <w:r>
        <w:rPr>
          <w:rFonts w:ascii="Times New Roman" w:hAnsi="Times New Roman" w:cs="Times New Roman"/>
          <w:color w:val="auto"/>
          <w:sz w:val="24"/>
        </w:rPr>
        <w:t xml:space="preserve">. </w:t>
      </w:r>
      <w:r w:rsidRPr="006218CF">
        <w:rPr>
          <w:rFonts w:ascii="Times New Roman" w:hAnsi="Times New Roman" w:cs="Times New Roman"/>
          <w:color w:val="auto"/>
          <w:sz w:val="24"/>
        </w:rPr>
        <w:t>Najznačajnija odlika ovog odlagališta do početka devedesetih godina bilo je potpuno nekontrolirano odlaganje i nedostatak bilo kakvog koncepta njegova uređenja i zatvaranja.</w:t>
      </w:r>
      <w:r w:rsidR="00090318">
        <w:rPr>
          <w:rFonts w:ascii="Times New Roman" w:hAnsi="Times New Roman" w:cs="Times New Roman"/>
          <w:color w:val="auto"/>
          <w:sz w:val="24"/>
        </w:rPr>
        <w:t xml:space="preserve"> </w:t>
      </w:r>
      <w:r w:rsidRPr="006218CF">
        <w:rPr>
          <w:rFonts w:ascii="Times New Roman" w:hAnsi="Times New Roman" w:cs="Times New Roman"/>
          <w:color w:val="auto"/>
          <w:sz w:val="24"/>
        </w:rPr>
        <w:t>Sanacija neuređene deponije otpada u uređeno sanitarno odlagalište završena je krajem 2003. godine, kada su izgrađene prve četiri plohe, te je odlagalište prema Pravilniku o načinima i uvjetima odlaganja otpada, kategorijama i uvjetima rada za odlagališta otpada (N</w:t>
      </w:r>
      <w:r w:rsidR="00012F75">
        <w:rPr>
          <w:rFonts w:ascii="Times New Roman" w:hAnsi="Times New Roman" w:cs="Times New Roman"/>
          <w:color w:val="auto"/>
          <w:sz w:val="24"/>
        </w:rPr>
        <w:t xml:space="preserve">arodne novine </w:t>
      </w:r>
      <w:r w:rsidRPr="006218CF">
        <w:rPr>
          <w:rFonts w:ascii="Times New Roman" w:hAnsi="Times New Roman" w:cs="Times New Roman"/>
          <w:color w:val="auto"/>
          <w:sz w:val="24"/>
        </w:rPr>
        <w:t>114/15, 103/18 i 56/19) pretvoreno u kontrolirano odlagalište za odlaganje neopasnog otpada.</w:t>
      </w:r>
    </w:p>
    <w:p w14:paraId="1CFCCB41" w14:textId="290E4FC9" w:rsidR="00604868" w:rsidRDefault="00604868" w:rsidP="00E279F0">
      <w:pPr>
        <w:spacing w:after="0" w:line="240" w:lineRule="auto"/>
        <w:ind w:left="0" w:right="0" w:firstLine="709"/>
        <w:rPr>
          <w:rFonts w:ascii="Times New Roman" w:hAnsi="Times New Roman" w:cs="Times New Roman"/>
          <w:color w:val="auto"/>
          <w:sz w:val="24"/>
        </w:rPr>
      </w:pPr>
    </w:p>
    <w:p w14:paraId="5908EC6C" w14:textId="79EBB0AD" w:rsidR="00525166" w:rsidRPr="00484C08" w:rsidRDefault="00604868" w:rsidP="00484C08">
      <w:pPr>
        <w:spacing w:after="0" w:line="240" w:lineRule="auto"/>
        <w:ind w:left="0" w:right="0" w:firstLine="709"/>
        <w:rPr>
          <w:rFonts w:ascii="Times New Roman" w:hAnsi="Times New Roman" w:cs="Times New Roman"/>
          <w:color w:val="auto"/>
          <w:sz w:val="24"/>
          <w:u w:val="single"/>
        </w:rPr>
      </w:pPr>
      <w:r w:rsidRPr="006218CF">
        <w:rPr>
          <w:rFonts w:ascii="Times New Roman" w:hAnsi="Times New Roman" w:cs="Times New Roman"/>
          <w:color w:val="auto"/>
          <w:sz w:val="24"/>
          <w:u w:val="single"/>
        </w:rPr>
        <w:t>Razlog odabira</w:t>
      </w:r>
    </w:p>
    <w:p w14:paraId="6DF3ADEE" w14:textId="52894FC7" w:rsidR="00D946DA" w:rsidRDefault="00604868" w:rsidP="0060486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Unatoč tome što se prema dokumentu Ministarstva zaštite okoliša i energetike navodi da se odlagalište otpada Prudinec/Jakuševec nakon procesa sanacije nalazi u kategoriji najuređenijih odlagališta u Republici Hrvatskoj</w:t>
      </w:r>
      <w:r>
        <w:rPr>
          <w:rFonts w:ascii="Times New Roman" w:hAnsi="Times New Roman" w:cs="Times New Roman"/>
          <w:color w:val="auto"/>
          <w:sz w:val="24"/>
        </w:rPr>
        <w:t>, u slučaju nastanka nesreće na odlagalištu zbog blizine gusto naseljenih gradskih područja, p</w:t>
      </w:r>
      <w:r w:rsidR="00525166" w:rsidRPr="006218CF">
        <w:rPr>
          <w:rFonts w:ascii="Times New Roman" w:hAnsi="Times New Roman" w:cs="Times New Roman"/>
          <w:color w:val="auto"/>
          <w:sz w:val="24"/>
        </w:rPr>
        <w:t>osljedic</w:t>
      </w:r>
      <w:r w:rsidR="00D1576E">
        <w:rPr>
          <w:rFonts w:ascii="Times New Roman" w:hAnsi="Times New Roman" w:cs="Times New Roman"/>
          <w:color w:val="auto"/>
          <w:sz w:val="24"/>
        </w:rPr>
        <w:t xml:space="preserve">a događaja može biti </w:t>
      </w:r>
      <w:r w:rsidR="00525166" w:rsidRPr="006218CF">
        <w:rPr>
          <w:rFonts w:ascii="Times New Roman" w:hAnsi="Times New Roman" w:cs="Times New Roman"/>
          <w:color w:val="auto"/>
          <w:sz w:val="24"/>
        </w:rPr>
        <w:t>degradacij</w:t>
      </w:r>
      <w:r w:rsidR="00D1576E">
        <w:rPr>
          <w:rFonts w:ascii="Times New Roman" w:hAnsi="Times New Roman" w:cs="Times New Roman"/>
          <w:color w:val="auto"/>
          <w:sz w:val="24"/>
        </w:rPr>
        <w:t>a</w:t>
      </w:r>
      <w:r w:rsidR="00525166" w:rsidRPr="006218CF">
        <w:rPr>
          <w:rFonts w:ascii="Times New Roman" w:hAnsi="Times New Roman" w:cs="Times New Roman"/>
          <w:color w:val="auto"/>
          <w:sz w:val="24"/>
        </w:rPr>
        <w:t xml:space="preserve"> kvalitete života stanovništva i narušavanje zdravstvene sigurnosti građana. Stanovništvo </w:t>
      </w:r>
      <w:r>
        <w:rPr>
          <w:rFonts w:ascii="Times New Roman" w:hAnsi="Times New Roman" w:cs="Times New Roman"/>
          <w:color w:val="auto"/>
          <w:sz w:val="24"/>
        </w:rPr>
        <w:t>može</w:t>
      </w:r>
      <w:r w:rsidR="00525166" w:rsidRPr="006218CF">
        <w:rPr>
          <w:rFonts w:ascii="Times New Roman" w:hAnsi="Times New Roman" w:cs="Times New Roman"/>
          <w:color w:val="auto"/>
          <w:sz w:val="24"/>
        </w:rPr>
        <w:t xml:space="preserve"> biti izloženo opasnim produktima gorenja, </w:t>
      </w:r>
      <w:r>
        <w:rPr>
          <w:rFonts w:ascii="Times New Roman" w:hAnsi="Times New Roman" w:cs="Times New Roman"/>
          <w:color w:val="auto"/>
          <w:sz w:val="24"/>
        </w:rPr>
        <w:t xml:space="preserve">može biti </w:t>
      </w:r>
      <w:r w:rsidR="00525166" w:rsidRPr="006218CF">
        <w:rPr>
          <w:rFonts w:ascii="Times New Roman" w:hAnsi="Times New Roman" w:cs="Times New Roman"/>
          <w:color w:val="auto"/>
          <w:sz w:val="24"/>
        </w:rPr>
        <w:t>dugotrajnih problema sa vodoopskrbom i odvozom otpada prvih dana nakon događaja.</w:t>
      </w:r>
    </w:p>
    <w:p w14:paraId="6FA082AD" w14:textId="77777777" w:rsidR="00090318" w:rsidRPr="006218CF" w:rsidRDefault="00090318" w:rsidP="008965ED">
      <w:pPr>
        <w:spacing w:after="0" w:line="240" w:lineRule="auto"/>
        <w:ind w:left="0" w:right="0" w:firstLine="709"/>
        <w:rPr>
          <w:rFonts w:ascii="Times New Roman" w:hAnsi="Times New Roman" w:cs="Times New Roman"/>
          <w:color w:val="auto"/>
          <w:sz w:val="24"/>
        </w:rPr>
      </w:pPr>
    </w:p>
    <w:p w14:paraId="3FFD6B7B" w14:textId="1E8F72D3" w:rsidR="00D946DA" w:rsidRDefault="00D946DA" w:rsidP="00E279F0">
      <w:pPr>
        <w:spacing w:after="0" w:line="240" w:lineRule="auto"/>
        <w:ind w:left="0" w:right="0" w:firstLine="709"/>
        <w:rPr>
          <w:rFonts w:ascii="Times New Roman" w:hAnsi="Times New Roman" w:cs="Times New Roman"/>
          <w:b/>
          <w:color w:val="auto"/>
          <w:sz w:val="24"/>
        </w:rPr>
      </w:pPr>
      <w:r w:rsidRPr="006218CF">
        <w:rPr>
          <w:rFonts w:ascii="Times New Roman" w:hAnsi="Times New Roman" w:cs="Times New Roman"/>
          <w:b/>
          <w:color w:val="auto"/>
          <w:sz w:val="24"/>
        </w:rPr>
        <w:t xml:space="preserve">3.2.8. </w:t>
      </w:r>
      <w:r w:rsidR="00112ABB" w:rsidRPr="006218CF">
        <w:rPr>
          <w:rFonts w:ascii="Times New Roman" w:hAnsi="Times New Roman" w:cs="Times New Roman"/>
          <w:b/>
          <w:color w:val="auto"/>
          <w:sz w:val="24"/>
        </w:rPr>
        <w:t>Klizišta</w:t>
      </w:r>
    </w:p>
    <w:p w14:paraId="0034C101" w14:textId="77777777" w:rsidR="00090318" w:rsidRDefault="00090318" w:rsidP="00E279F0">
      <w:pPr>
        <w:spacing w:after="0" w:line="240" w:lineRule="auto"/>
        <w:ind w:left="0" w:right="0" w:firstLine="709"/>
        <w:rPr>
          <w:rFonts w:ascii="Times New Roman" w:hAnsi="Times New Roman" w:cs="Times New Roman"/>
          <w:b/>
          <w:color w:val="auto"/>
          <w:sz w:val="24"/>
        </w:rPr>
      </w:pPr>
    </w:p>
    <w:p w14:paraId="787C066A" w14:textId="600F0EA9" w:rsidR="00E30290" w:rsidRPr="006218CF" w:rsidRDefault="00CA441E" w:rsidP="008965ED">
      <w:pPr>
        <w:spacing w:after="0" w:line="240" w:lineRule="auto"/>
        <w:ind w:left="0" w:right="0" w:firstLine="709"/>
        <w:rPr>
          <w:rFonts w:ascii="Times New Roman" w:hAnsi="Times New Roman" w:cs="Times New Roman"/>
          <w:sz w:val="24"/>
          <w:szCs w:val="24"/>
        </w:rPr>
      </w:pPr>
      <w:r w:rsidRPr="006218CF">
        <w:rPr>
          <w:rFonts w:ascii="Times New Roman" w:hAnsi="Times New Roman" w:cs="Times New Roman"/>
          <w:color w:val="auto"/>
          <w:sz w:val="24"/>
          <w:szCs w:val="24"/>
        </w:rPr>
        <w:t>Klizišta su pojave pomicanja površinskih dijelova terena</w:t>
      </w:r>
      <w:r w:rsidR="000C0765">
        <w:rPr>
          <w:rFonts w:ascii="Times New Roman" w:hAnsi="Times New Roman" w:cs="Times New Roman"/>
          <w:color w:val="auto"/>
          <w:sz w:val="24"/>
          <w:szCs w:val="24"/>
        </w:rPr>
        <w:t xml:space="preserve"> veće ili manje dubine</w:t>
      </w:r>
      <w:r w:rsidRPr="006218CF">
        <w:rPr>
          <w:rFonts w:ascii="Times New Roman" w:hAnsi="Times New Roman" w:cs="Times New Roman"/>
          <w:color w:val="auto"/>
          <w:sz w:val="24"/>
          <w:szCs w:val="24"/>
        </w:rPr>
        <w:t xml:space="preserve"> na padinama, zbog čega su vrlo opasna za sve građevine. Do klizanja dolazi zbog popuštanja kohezijskih sila među česticama stijena i nedovoljnog trenja između njih. Klizište je termin za stjenovitu ili rastresitu stijensku masu odvojenu od podloge koja pod utjecajem gravitacije klizi niz padinu.</w:t>
      </w:r>
      <w:r w:rsidRPr="006218CF">
        <w:rPr>
          <w:rFonts w:ascii="Times New Roman" w:hAnsi="Times New Roman" w:cs="Times New Roman"/>
          <w:sz w:val="24"/>
          <w:szCs w:val="24"/>
        </w:rPr>
        <w:t xml:space="preserve"> </w:t>
      </w:r>
      <w:r w:rsidR="00E30290">
        <w:rPr>
          <w:rFonts w:ascii="Times New Roman" w:hAnsi="Times New Roman" w:cs="Times New Roman"/>
          <w:sz w:val="24"/>
          <w:szCs w:val="24"/>
        </w:rPr>
        <w:t>P</w:t>
      </w:r>
      <w:r w:rsidR="00E30290" w:rsidRPr="006218CF">
        <w:rPr>
          <w:rFonts w:ascii="Times New Roman" w:hAnsi="Times New Roman" w:cs="Times New Roman"/>
          <w:sz w:val="24"/>
          <w:szCs w:val="24"/>
        </w:rPr>
        <w:t xml:space="preserve">osljedice aktiviranja klizišta su: </w:t>
      </w:r>
    </w:p>
    <w:p w14:paraId="490EF98F" w14:textId="4F2DC5AA" w:rsidR="00E30290" w:rsidRPr="006218CF" w:rsidRDefault="00E30290" w:rsidP="00E30290">
      <w:pPr>
        <w:spacing w:after="0" w:line="240" w:lineRule="auto"/>
        <w:ind w:left="0" w:right="0" w:firstLine="709"/>
        <w:rPr>
          <w:rFonts w:ascii="Times New Roman" w:hAnsi="Times New Roman" w:cs="Times New Roman"/>
          <w:sz w:val="24"/>
          <w:szCs w:val="24"/>
        </w:rPr>
      </w:pPr>
      <w:r w:rsidRPr="006218CF">
        <w:rPr>
          <w:rFonts w:ascii="Times New Roman" w:hAnsi="Times New Roman" w:cs="Times New Roman"/>
          <w:sz w:val="24"/>
          <w:szCs w:val="24"/>
        </w:rPr>
        <w:t>•</w:t>
      </w:r>
      <w:r w:rsidRPr="006218CF">
        <w:rPr>
          <w:rFonts w:ascii="Times New Roman" w:hAnsi="Times New Roman" w:cs="Times New Roman"/>
          <w:sz w:val="24"/>
          <w:szCs w:val="24"/>
        </w:rPr>
        <w:tab/>
        <w:t>potpuno ili djelomično uništenje objekata na klizištu</w:t>
      </w:r>
      <w:r w:rsidR="00B90FA0">
        <w:rPr>
          <w:rFonts w:ascii="Times New Roman" w:hAnsi="Times New Roman" w:cs="Times New Roman"/>
          <w:sz w:val="24"/>
          <w:szCs w:val="24"/>
        </w:rPr>
        <w:t>,</w:t>
      </w:r>
    </w:p>
    <w:p w14:paraId="5E88AFE6" w14:textId="5287C62A" w:rsidR="00E30290" w:rsidRPr="006218CF" w:rsidRDefault="00E30290" w:rsidP="00E30290">
      <w:pPr>
        <w:spacing w:after="0" w:line="240" w:lineRule="auto"/>
        <w:ind w:left="0" w:right="0" w:firstLine="709"/>
        <w:rPr>
          <w:rFonts w:ascii="Times New Roman" w:hAnsi="Times New Roman" w:cs="Times New Roman"/>
          <w:sz w:val="24"/>
          <w:szCs w:val="24"/>
        </w:rPr>
      </w:pPr>
      <w:r w:rsidRPr="006218CF">
        <w:rPr>
          <w:rFonts w:ascii="Times New Roman" w:hAnsi="Times New Roman" w:cs="Times New Roman"/>
          <w:sz w:val="24"/>
          <w:szCs w:val="24"/>
        </w:rPr>
        <w:lastRenderedPageBreak/>
        <w:t>•</w:t>
      </w:r>
      <w:r w:rsidRPr="006218CF">
        <w:rPr>
          <w:rFonts w:ascii="Times New Roman" w:hAnsi="Times New Roman" w:cs="Times New Roman"/>
          <w:sz w:val="24"/>
          <w:szCs w:val="24"/>
        </w:rPr>
        <w:tab/>
        <w:t>oštećenje komunalnih instalacija i prometnica u zoni zahvaćenoj klizištem</w:t>
      </w:r>
      <w:r w:rsidR="00B90FA0">
        <w:rPr>
          <w:rFonts w:ascii="Times New Roman" w:hAnsi="Times New Roman" w:cs="Times New Roman"/>
          <w:sz w:val="24"/>
          <w:szCs w:val="24"/>
        </w:rPr>
        <w:t>,</w:t>
      </w:r>
    </w:p>
    <w:p w14:paraId="3CD0F94D" w14:textId="2A04EAD1" w:rsidR="00E30290" w:rsidRPr="006218CF" w:rsidRDefault="00E30290" w:rsidP="00E30290">
      <w:pPr>
        <w:spacing w:after="0" w:line="240" w:lineRule="auto"/>
        <w:ind w:left="0" w:right="0" w:firstLine="709"/>
        <w:rPr>
          <w:rFonts w:ascii="Times New Roman" w:hAnsi="Times New Roman" w:cs="Times New Roman"/>
          <w:sz w:val="24"/>
          <w:szCs w:val="24"/>
        </w:rPr>
      </w:pPr>
      <w:r w:rsidRPr="006218CF">
        <w:rPr>
          <w:rFonts w:ascii="Times New Roman" w:hAnsi="Times New Roman" w:cs="Times New Roman"/>
          <w:sz w:val="24"/>
          <w:szCs w:val="24"/>
        </w:rPr>
        <w:t>•</w:t>
      </w:r>
      <w:r w:rsidRPr="006218CF">
        <w:rPr>
          <w:rFonts w:ascii="Times New Roman" w:hAnsi="Times New Roman" w:cs="Times New Roman"/>
          <w:sz w:val="24"/>
          <w:szCs w:val="24"/>
        </w:rPr>
        <w:tab/>
        <w:t>posljedice po zdravlje ili čak život ljudi koji koriste objekte u zoni klizišta</w:t>
      </w:r>
      <w:r w:rsidR="00B90FA0">
        <w:rPr>
          <w:rFonts w:ascii="Times New Roman" w:hAnsi="Times New Roman" w:cs="Times New Roman"/>
          <w:sz w:val="24"/>
          <w:szCs w:val="24"/>
        </w:rPr>
        <w:t>,</w:t>
      </w:r>
    </w:p>
    <w:p w14:paraId="7C625096" w14:textId="37F8C448" w:rsidR="00604868" w:rsidRPr="006218CF" w:rsidRDefault="00E30290" w:rsidP="008965ED">
      <w:pPr>
        <w:spacing w:after="0" w:line="240" w:lineRule="auto"/>
        <w:ind w:left="0" w:right="0" w:firstLine="709"/>
        <w:rPr>
          <w:rFonts w:ascii="Times New Roman" w:hAnsi="Times New Roman" w:cs="Times New Roman"/>
          <w:color w:val="auto"/>
          <w:sz w:val="24"/>
          <w:szCs w:val="24"/>
        </w:rPr>
      </w:pPr>
      <w:r w:rsidRPr="006218CF">
        <w:rPr>
          <w:rFonts w:ascii="Times New Roman" w:hAnsi="Times New Roman" w:cs="Times New Roman"/>
          <w:sz w:val="24"/>
          <w:szCs w:val="24"/>
        </w:rPr>
        <w:t>•</w:t>
      </w:r>
      <w:r w:rsidRPr="006218CF">
        <w:rPr>
          <w:rFonts w:ascii="Times New Roman" w:hAnsi="Times New Roman" w:cs="Times New Roman"/>
          <w:sz w:val="24"/>
          <w:szCs w:val="24"/>
        </w:rPr>
        <w:tab/>
        <w:t>posljedice po imovinu ljudi u zoni zahvaćenoj klizištem.</w:t>
      </w:r>
    </w:p>
    <w:p w14:paraId="277EF666" w14:textId="4CBF6B17" w:rsidR="00604868" w:rsidRDefault="00604868" w:rsidP="00E279F0">
      <w:pPr>
        <w:spacing w:after="0" w:line="240" w:lineRule="auto"/>
        <w:ind w:left="0" w:right="0" w:firstLine="709"/>
        <w:rPr>
          <w:rFonts w:ascii="Times New Roman" w:hAnsi="Times New Roman" w:cs="Times New Roman"/>
          <w:b/>
          <w:color w:val="auto"/>
          <w:sz w:val="24"/>
        </w:rPr>
      </w:pPr>
    </w:p>
    <w:p w14:paraId="2B9D7D12" w14:textId="06CFD5F2" w:rsidR="00604868" w:rsidRPr="00057FF1" w:rsidRDefault="00E07573" w:rsidP="00057FF1">
      <w:pPr>
        <w:spacing w:after="0" w:line="240" w:lineRule="auto"/>
        <w:ind w:left="0" w:right="0" w:firstLine="709"/>
        <w:rPr>
          <w:rFonts w:ascii="Times New Roman" w:hAnsi="Times New Roman" w:cs="Times New Roman"/>
          <w:color w:val="auto"/>
          <w:sz w:val="24"/>
          <w:u w:val="single"/>
        </w:rPr>
      </w:pPr>
      <w:r w:rsidRPr="006218CF">
        <w:rPr>
          <w:rFonts w:ascii="Times New Roman" w:hAnsi="Times New Roman" w:cs="Times New Roman"/>
          <w:color w:val="auto"/>
          <w:sz w:val="24"/>
          <w:u w:val="single"/>
        </w:rPr>
        <w:t>Razlog odabira</w:t>
      </w:r>
    </w:p>
    <w:p w14:paraId="6970E10C" w14:textId="06A57DDA" w:rsidR="00E07573" w:rsidRPr="006218CF" w:rsidRDefault="00E30290" w:rsidP="008965ED">
      <w:pPr>
        <w:spacing w:after="0" w:line="240" w:lineRule="auto"/>
        <w:ind w:left="0" w:right="0" w:firstLine="709"/>
        <w:rPr>
          <w:rFonts w:ascii="Times New Roman" w:hAnsi="Times New Roman" w:cs="Times New Roman"/>
          <w:color w:val="auto"/>
          <w:sz w:val="24"/>
        </w:rPr>
      </w:pPr>
      <w:r w:rsidRPr="00CA441E">
        <w:rPr>
          <w:rFonts w:ascii="Times New Roman" w:hAnsi="Times New Roman" w:cs="Times New Roman"/>
          <w:color w:val="auto"/>
          <w:sz w:val="24"/>
        </w:rPr>
        <w:t>Klizišta i nestabilne padine jedan su od trajnih problema s obzirom na geološke</w:t>
      </w:r>
      <w:r>
        <w:rPr>
          <w:rFonts w:ascii="Times New Roman" w:hAnsi="Times New Roman" w:cs="Times New Roman"/>
          <w:color w:val="auto"/>
          <w:sz w:val="24"/>
        </w:rPr>
        <w:t xml:space="preserve"> </w:t>
      </w:r>
      <w:r w:rsidRPr="00CA441E">
        <w:rPr>
          <w:rFonts w:ascii="Times New Roman" w:hAnsi="Times New Roman" w:cs="Times New Roman"/>
          <w:color w:val="auto"/>
          <w:sz w:val="24"/>
        </w:rPr>
        <w:t>karakteristike područja Grada Zagreba.</w:t>
      </w:r>
      <w:r w:rsidRPr="00CA441E">
        <w:t xml:space="preserve"> </w:t>
      </w:r>
      <w:r w:rsidRPr="00CA441E">
        <w:rPr>
          <w:rFonts w:ascii="Times New Roman" w:hAnsi="Times New Roman" w:cs="Times New Roman"/>
          <w:color w:val="auto"/>
          <w:sz w:val="24"/>
        </w:rPr>
        <w:t>Procjenjuje se da je od aktivnih klizišta koja se nalaze u naseljenim područjima ugroženo oko</w:t>
      </w:r>
      <w:r>
        <w:rPr>
          <w:rFonts w:ascii="Times New Roman" w:hAnsi="Times New Roman" w:cs="Times New Roman"/>
          <w:color w:val="auto"/>
          <w:sz w:val="24"/>
        </w:rPr>
        <w:t xml:space="preserve"> </w:t>
      </w:r>
      <w:r w:rsidRPr="00CA441E">
        <w:rPr>
          <w:rFonts w:ascii="Times New Roman" w:hAnsi="Times New Roman" w:cs="Times New Roman"/>
          <w:color w:val="auto"/>
          <w:sz w:val="24"/>
        </w:rPr>
        <w:t>700 objekata.</w:t>
      </w:r>
      <w:r>
        <w:rPr>
          <w:rFonts w:ascii="Times New Roman" w:hAnsi="Times New Roman" w:cs="Times New Roman"/>
          <w:color w:val="auto"/>
          <w:sz w:val="24"/>
        </w:rPr>
        <w:t xml:space="preserve"> Na području Grada Zagreba nalazi se i </w:t>
      </w:r>
      <w:r w:rsidRPr="00E30290">
        <w:rPr>
          <w:rFonts w:ascii="Times New Roman" w:hAnsi="Times New Roman" w:cs="Times New Roman"/>
          <w:color w:val="auto"/>
          <w:sz w:val="24"/>
        </w:rPr>
        <w:t xml:space="preserve">najveće </w:t>
      </w:r>
      <w:r>
        <w:rPr>
          <w:rFonts w:ascii="Times New Roman" w:hAnsi="Times New Roman" w:cs="Times New Roman"/>
          <w:color w:val="auto"/>
          <w:sz w:val="24"/>
        </w:rPr>
        <w:t xml:space="preserve">klizište </w:t>
      </w:r>
      <w:r w:rsidRPr="00E30290">
        <w:rPr>
          <w:rFonts w:ascii="Times New Roman" w:hAnsi="Times New Roman" w:cs="Times New Roman"/>
          <w:color w:val="auto"/>
          <w:sz w:val="24"/>
        </w:rPr>
        <w:t>u Republici Hrvatskoj</w:t>
      </w:r>
      <w:r w:rsidR="00A9029C">
        <w:rPr>
          <w:rFonts w:ascii="Times New Roman" w:hAnsi="Times New Roman" w:cs="Times New Roman"/>
          <w:color w:val="auto"/>
          <w:sz w:val="24"/>
        </w:rPr>
        <w:t xml:space="preserve"> </w:t>
      </w:r>
      <w:r>
        <w:rPr>
          <w:rFonts w:ascii="Times New Roman" w:hAnsi="Times New Roman" w:cs="Times New Roman"/>
          <w:color w:val="auto"/>
          <w:sz w:val="24"/>
        </w:rPr>
        <w:t>Kostanjek s površi</w:t>
      </w:r>
      <w:r w:rsidR="00057FF1">
        <w:rPr>
          <w:rFonts w:ascii="Times New Roman" w:hAnsi="Times New Roman" w:cs="Times New Roman"/>
          <w:color w:val="auto"/>
          <w:sz w:val="24"/>
        </w:rPr>
        <w:t>n</w:t>
      </w:r>
      <w:r>
        <w:rPr>
          <w:rFonts w:ascii="Times New Roman" w:hAnsi="Times New Roman" w:cs="Times New Roman"/>
          <w:color w:val="auto"/>
          <w:sz w:val="24"/>
        </w:rPr>
        <w:t xml:space="preserve">om od </w:t>
      </w:r>
      <w:r w:rsidRPr="00E30290">
        <w:rPr>
          <w:rFonts w:ascii="Times New Roman" w:hAnsi="Times New Roman" w:cs="Times New Roman"/>
          <w:color w:val="auto"/>
          <w:sz w:val="24"/>
        </w:rPr>
        <w:t>1 km</w:t>
      </w:r>
      <w:r w:rsidR="003A2CF2" w:rsidRPr="006218CF">
        <w:rPr>
          <w:rFonts w:ascii="Times New Roman" w:hAnsi="Times New Roman" w:cs="Times New Roman"/>
          <w:color w:val="auto"/>
          <w:sz w:val="24"/>
          <w:vertAlign w:val="superscript"/>
        </w:rPr>
        <w:t>2</w:t>
      </w:r>
      <w:r w:rsidR="003A2CF2">
        <w:rPr>
          <w:rFonts w:ascii="Times New Roman" w:hAnsi="Times New Roman" w:cs="Times New Roman"/>
          <w:color w:val="auto"/>
          <w:sz w:val="24"/>
        </w:rPr>
        <w:t xml:space="preserve">. </w:t>
      </w:r>
      <w:r w:rsidR="00A9029C" w:rsidRPr="00A9029C">
        <w:rPr>
          <w:rFonts w:ascii="Times New Roman" w:hAnsi="Times New Roman" w:cs="Times New Roman"/>
          <w:color w:val="auto"/>
          <w:sz w:val="24"/>
        </w:rPr>
        <w:t xml:space="preserve">Klizište je aktivirano 1963. godine kao posljedica rudarskih aktivnosti za potrebe tadašnje tvornice cementa u Podsusedu, a procijenjeno je da ukupan pomak na površini terena u razdoblju od 50 godina iznosi približno sedam metara (Krkač i dr., 2013). </w:t>
      </w:r>
      <w:r w:rsidRPr="00E30290">
        <w:rPr>
          <w:rFonts w:ascii="Times New Roman" w:hAnsi="Times New Roman" w:cs="Times New Roman"/>
          <w:color w:val="auto"/>
          <w:sz w:val="24"/>
        </w:rPr>
        <w:t>Klizanjem je zahvaćeno urbanizirano područje s oko 300 stambenih objekata (većinom obiteljskih i gospodarskih) u kojima živi preko 500 stanovnika te pratećom infrastrukturom.</w:t>
      </w:r>
    </w:p>
    <w:p w14:paraId="1F4D6BC5" w14:textId="77777777" w:rsidR="00A87CF4" w:rsidRPr="005142C4" w:rsidRDefault="00A87CF4" w:rsidP="005142C4">
      <w:pPr>
        <w:spacing w:after="0" w:line="240" w:lineRule="auto"/>
        <w:ind w:left="0" w:right="0" w:firstLine="0"/>
        <w:rPr>
          <w:rFonts w:ascii="Times New Roman" w:hAnsi="Times New Roman" w:cs="Times New Roman"/>
          <w:sz w:val="24"/>
        </w:rPr>
      </w:pPr>
    </w:p>
    <w:p w14:paraId="782C1DE2" w14:textId="77777777" w:rsidR="00E40AC8" w:rsidRPr="00A87CF4" w:rsidRDefault="00900184" w:rsidP="00A87CF4">
      <w:pPr>
        <w:spacing w:after="0" w:line="240" w:lineRule="auto"/>
        <w:ind w:right="0"/>
        <w:rPr>
          <w:rFonts w:ascii="Times New Roman" w:hAnsi="Times New Roman" w:cs="Times New Roman"/>
          <w:b/>
          <w:sz w:val="24"/>
        </w:rPr>
      </w:pPr>
      <w:bookmarkStart w:id="53" w:name="_Toc2938571"/>
      <w:r w:rsidRPr="00A87CF4">
        <w:rPr>
          <w:rFonts w:ascii="Times New Roman" w:hAnsi="Times New Roman" w:cs="Times New Roman"/>
          <w:b/>
          <w:sz w:val="24"/>
        </w:rPr>
        <w:t>3.3. Karte prijetnji</w:t>
      </w:r>
      <w:bookmarkEnd w:id="53"/>
    </w:p>
    <w:p w14:paraId="4F836594" w14:textId="77777777" w:rsidR="00E40AC8" w:rsidRPr="00C3602C" w:rsidRDefault="00E40AC8" w:rsidP="005142C4">
      <w:pPr>
        <w:spacing w:after="0" w:line="240" w:lineRule="auto"/>
        <w:ind w:left="0" w:right="0" w:firstLine="0"/>
        <w:jc w:val="left"/>
        <w:rPr>
          <w:rFonts w:ascii="Times New Roman" w:hAnsi="Times New Roman" w:cs="Times New Roman"/>
          <w:sz w:val="24"/>
        </w:rPr>
      </w:pPr>
    </w:p>
    <w:p w14:paraId="7EDCCFFB" w14:textId="14766736" w:rsidR="00E40AC8" w:rsidRDefault="00900184" w:rsidP="00C3602C">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Karte prijetnji kao sastavni dio Procjene rizika za Grad Zagreb izrađuju se u mjerilu 1:100</w:t>
      </w:r>
      <w:r w:rsidR="00C3602C">
        <w:rPr>
          <w:rFonts w:ascii="Times New Roman" w:hAnsi="Times New Roman" w:cs="Times New Roman"/>
          <w:sz w:val="24"/>
        </w:rPr>
        <w:t> </w:t>
      </w:r>
      <w:r w:rsidRPr="005142C4">
        <w:rPr>
          <w:rFonts w:ascii="Times New Roman" w:hAnsi="Times New Roman" w:cs="Times New Roman"/>
          <w:sz w:val="24"/>
        </w:rPr>
        <w:t xml:space="preserve">000 ili krupnije te obuhvaćaju područje Grada. Mjerilo mora biti izabrano </w:t>
      </w:r>
      <w:r w:rsidR="00C3602C">
        <w:rPr>
          <w:rFonts w:ascii="Times New Roman" w:hAnsi="Times New Roman" w:cs="Times New Roman"/>
          <w:sz w:val="24"/>
        </w:rPr>
        <w:t xml:space="preserve">tako </w:t>
      </w:r>
      <w:r w:rsidRPr="005142C4">
        <w:rPr>
          <w:rFonts w:ascii="Times New Roman" w:hAnsi="Times New Roman" w:cs="Times New Roman"/>
          <w:sz w:val="24"/>
        </w:rPr>
        <w:t>da prijetnje budu jasno vidljive i prepoznatljive u prostoru. Na kartama je potrebno prikazati sve obrađene prijetnje odnosno njihovu lokaciju, dosege, rasprostranjenost te ostale relevantne podatke koje nositelj izrade smatra potrebnim iskazati.</w:t>
      </w:r>
    </w:p>
    <w:p w14:paraId="1D6250C5" w14:textId="77777777" w:rsidR="00160761" w:rsidRPr="005142C4" w:rsidRDefault="00160761" w:rsidP="00C3602C">
      <w:pPr>
        <w:spacing w:after="0" w:line="240" w:lineRule="auto"/>
        <w:ind w:left="0" w:right="0" w:firstLine="709"/>
        <w:rPr>
          <w:rFonts w:ascii="Times New Roman" w:hAnsi="Times New Roman" w:cs="Times New Roman"/>
          <w:sz w:val="24"/>
        </w:rPr>
      </w:pPr>
    </w:p>
    <w:p w14:paraId="0EC336F6" w14:textId="07435AF7" w:rsidR="005D7D73" w:rsidRDefault="009F67DA" w:rsidP="00057FF1">
      <w:pPr>
        <w:spacing w:after="0" w:line="240" w:lineRule="auto"/>
        <w:ind w:left="0" w:right="0" w:firstLine="709"/>
        <w:rPr>
          <w:rFonts w:ascii="Times New Roman" w:hAnsi="Times New Roman" w:cs="Times New Roman"/>
          <w:sz w:val="24"/>
        </w:rPr>
      </w:pPr>
      <w:r>
        <w:rPr>
          <w:rFonts w:ascii="Times New Roman" w:hAnsi="Times New Roman" w:cs="Times New Roman"/>
          <w:sz w:val="24"/>
        </w:rPr>
        <w:t>D</w:t>
      </w:r>
      <w:r w:rsidR="00900184" w:rsidRPr="005142C4">
        <w:rPr>
          <w:rFonts w:ascii="Times New Roman" w:hAnsi="Times New Roman" w:cs="Times New Roman"/>
          <w:sz w:val="24"/>
        </w:rPr>
        <w:t>o definiranja zajedničkih kriterija za stupnjevanje prikaza svih prijetnji</w:t>
      </w:r>
      <w:r w:rsidR="00A40A65">
        <w:rPr>
          <w:rFonts w:ascii="Times New Roman" w:hAnsi="Times New Roman" w:cs="Times New Roman"/>
          <w:sz w:val="24"/>
        </w:rPr>
        <w:t>,</w:t>
      </w:r>
      <w:r w:rsidR="00900184" w:rsidRPr="005142C4">
        <w:rPr>
          <w:rFonts w:ascii="Times New Roman" w:hAnsi="Times New Roman" w:cs="Times New Roman"/>
          <w:sz w:val="24"/>
        </w:rPr>
        <w:t xml:space="preserve"> karte prijetnji podrazumijevat će službene karte Hrvatskih voda i Geofizičkog odsjeka Prirodoslovno</w:t>
      </w:r>
      <w:r w:rsidR="00EE6A22" w:rsidRPr="005142C4">
        <w:rPr>
          <w:rFonts w:ascii="Times New Roman" w:hAnsi="Times New Roman" w:cs="Times New Roman"/>
          <w:sz w:val="24"/>
        </w:rPr>
        <w:t>-</w:t>
      </w:r>
      <w:r w:rsidR="00900184" w:rsidRPr="005142C4">
        <w:rPr>
          <w:rFonts w:ascii="Times New Roman" w:hAnsi="Times New Roman" w:cs="Times New Roman"/>
          <w:sz w:val="24"/>
        </w:rPr>
        <w:t xml:space="preserve">matematičkog fakulteta Sveučilišta u Zagrebu koje su javno objavljene. Karte rizika nalazit će se na kraju svakog od scenarija svih </w:t>
      </w:r>
      <w:r w:rsidR="002455A8">
        <w:rPr>
          <w:rFonts w:ascii="Times New Roman" w:hAnsi="Times New Roman" w:cs="Times New Roman"/>
          <w:sz w:val="24"/>
        </w:rPr>
        <w:t xml:space="preserve">osam </w:t>
      </w:r>
      <w:r w:rsidR="00900184" w:rsidRPr="005142C4">
        <w:rPr>
          <w:rFonts w:ascii="Times New Roman" w:hAnsi="Times New Roman" w:cs="Times New Roman"/>
          <w:sz w:val="24"/>
        </w:rPr>
        <w:t>rizika koji se obrađuju u Procjeni</w:t>
      </w:r>
      <w:r w:rsidR="00C3602C">
        <w:rPr>
          <w:rFonts w:ascii="Times New Roman" w:hAnsi="Times New Roman" w:cs="Times New Roman"/>
          <w:sz w:val="24"/>
        </w:rPr>
        <w:t>,</w:t>
      </w:r>
      <w:r w:rsidR="00900184" w:rsidRPr="005142C4">
        <w:rPr>
          <w:rFonts w:ascii="Times New Roman" w:hAnsi="Times New Roman" w:cs="Times New Roman"/>
          <w:sz w:val="24"/>
        </w:rPr>
        <w:t xml:space="preserve"> a bit će izrađene na temelju jasno određenih kriterija.</w:t>
      </w:r>
      <w:bookmarkStart w:id="54" w:name="_Toc2938572"/>
    </w:p>
    <w:p w14:paraId="1CB750D9" w14:textId="34939457" w:rsidR="005D7D73" w:rsidRDefault="005D7D73" w:rsidP="00057FF1">
      <w:pPr>
        <w:spacing w:after="0" w:line="240" w:lineRule="auto"/>
        <w:ind w:left="0" w:right="0" w:firstLine="709"/>
        <w:rPr>
          <w:rFonts w:ascii="Times New Roman" w:hAnsi="Times New Roman" w:cs="Times New Roman"/>
          <w:sz w:val="24"/>
        </w:rPr>
      </w:pPr>
    </w:p>
    <w:p w14:paraId="1CAEA559" w14:textId="730A15B4" w:rsidR="005D7D73" w:rsidRDefault="005D7D73" w:rsidP="00057FF1">
      <w:pPr>
        <w:spacing w:after="0" w:line="240" w:lineRule="auto"/>
        <w:ind w:left="0" w:right="0" w:firstLine="709"/>
        <w:rPr>
          <w:rFonts w:ascii="Times New Roman" w:hAnsi="Times New Roman" w:cs="Times New Roman"/>
          <w:sz w:val="24"/>
        </w:rPr>
      </w:pPr>
    </w:p>
    <w:p w14:paraId="64EF9A71" w14:textId="6D84A183" w:rsidR="005D7D73" w:rsidRDefault="005D7D73" w:rsidP="00057FF1">
      <w:pPr>
        <w:spacing w:after="0" w:line="240" w:lineRule="auto"/>
        <w:ind w:left="0" w:right="0" w:firstLine="709"/>
        <w:rPr>
          <w:rFonts w:ascii="Times New Roman" w:hAnsi="Times New Roman" w:cs="Times New Roman"/>
          <w:sz w:val="24"/>
        </w:rPr>
      </w:pPr>
    </w:p>
    <w:p w14:paraId="14350FEC" w14:textId="77777777" w:rsidR="00476BBA" w:rsidRDefault="00476BBA" w:rsidP="00057FF1">
      <w:pPr>
        <w:spacing w:after="0" w:line="240" w:lineRule="auto"/>
        <w:ind w:left="0" w:right="0" w:firstLine="709"/>
        <w:rPr>
          <w:rFonts w:ascii="Times New Roman" w:hAnsi="Times New Roman" w:cs="Times New Roman"/>
          <w:sz w:val="24"/>
        </w:rPr>
      </w:pPr>
    </w:p>
    <w:p w14:paraId="6DF5324E" w14:textId="7297CA0D" w:rsidR="005D7D73" w:rsidRDefault="005D7D73" w:rsidP="00057FF1">
      <w:pPr>
        <w:spacing w:after="0" w:line="240" w:lineRule="auto"/>
        <w:ind w:left="0" w:right="0" w:firstLine="709"/>
        <w:rPr>
          <w:rFonts w:ascii="Times New Roman" w:hAnsi="Times New Roman" w:cs="Times New Roman"/>
          <w:sz w:val="24"/>
        </w:rPr>
      </w:pPr>
    </w:p>
    <w:p w14:paraId="442F4E55" w14:textId="65DCE539" w:rsidR="005D7D73" w:rsidRDefault="005D7D73" w:rsidP="00057FF1">
      <w:pPr>
        <w:spacing w:after="0" w:line="240" w:lineRule="auto"/>
        <w:ind w:left="0" w:right="0" w:firstLine="709"/>
        <w:rPr>
          <w:rFonts w:ascii="Times New Roman" w:hAnsi="Times New Roman" w:cs="Times New Roman"/>
          <w:sz w:val="24"/>
        </w:rPr>
      </w:pPr>
    </w:p>
    <w:p w14:paraId="6652AD72" w14:textId="0CD4E448" w:rsidR="005D7D73" w:rsidRDefault="005D7D73" w:rsidP="00057FF1">
      <w:pPr>
        <w:spacing w:after="0" w:line="240" w:lineRule="auto"/>
        <w:ind w:left="0" w:right="0" w:firstLine="709"/>
        <w:rPr>
          <w:rFonts w:ascii="Times New Roman" w:hAnsi="Times New Roman" w:cs="Times New Roman"/>
          <w:sz w:val="24"/>
        </w:rPr>
      </w:pPr>
    </w:p>
    <w:p w14:paraId="5E4646EA" w14:textId="00EB7C10" w:rsidR="005D7D73" w:rsidRDefault="005D7D73" w:rsidP="00057FF1">
      <w:pPr>
        <w:spacing w:after="0" w:line="240" w:lineRule="auto"/>
        <w:ind w:left="0" w:right="0" w:firstLine="709"/>
        <w:rPr>
          <w:rFonts w:ascii="Times New Roman" w:hAnsi="Times New Roman" w:cs="Times New Roman"/>
          <w:sz w:val="24"/>
        </w:rPr>
      </w:pPr>
    </w:p>
    <w:p w14:paraId="65033279" w14:textId="46B442CB" w:rsidR="00BF282E" w:rsidRDefault="00BF282E" w:rsidP="00057FF1">
      <w:pPr>
        <w:spacing w:after="0" w:line="240" w:lineRule="auto"/>
        <w:ind w:left="0" w:right="0" w:firstLine="709"/>
        <w:rPr>
          <w:rFonts w:ascii="Times New Roman" w:hAnsi="Times New Roman" w:cs="Times New Roman"/>
          <w:sz w:val="24"/>
        </w:rPr>
      </w:pPr>
    </w:p>
    <w:p w14:paraId="0C734E33" w14:textId="3E8BB5F2" w:rsidR="00BF282E" w:rsidRDefault="00BF282E" w:rsidP="00057FF1">
      <w:pPr>
        <w:spacing w:after="0" w:line="240" w:lineRule="auto"/>
        <w:ind w:left="0" w:right="0" w:firstLine="709"/>
        <w:rPr>
          <w:rFonts w:ascii="Times New Roman" w:hAnsi="Times New Roman" w:cs="Times New Roman"/>
          <w:sz w:val="24"/>
        </w:rPr>
      </w:pPr>
    </w:p>
    <w:p w14:paraId="10CFE054" w14:textId="11DDC113" w:rsidR="00BF282E" w:rsidRDefault="00BF282E" w:rsidP="00057FF1">
      <w:pPr>
        <w:spacing w:after="0" w:line="240" w:lineRule="auto"/>
        <w:ind w:left="0" w:right="0" w:firstLine="709"/>
        <w:rPr>
          <w:rFonts w:ascii="Times New Roman" w:hAnsi="Times New Roman" w:cs="Times New Roman"/>
          <w:sz w:val="24"/>
        </w:rPr>
      </w:pPr>
    </w:p>
    <w:p w14:paraId="03449F1E" w14:textId="7A98F1A0" w:rsidR="00BF282E" w:rsidRDefault="00BF282E" w:rsidP="00057FF1">
      <w:pPr>
        <w:spacing w:after="0" w:line="240" w:lineRule="auto"/>
        <w:ind w:left="0" w:right="0" w:firstLine="709"/>
        <w:rPr>
          <w:rFonts w:ascii="Times New Roman" w:hAnsi="Times New Roman" w:cs="Times New Roman"/>
          <w:sz w:val="24"/>
        </w:rPr>
      </w:pPr>
    </w:p>
    <w:p w14:paraId="587A7C04" w14:textId="6DF47DCB" w:rsidR="00BF282E" w:rsidRDefault="00BF282E" w:rsidP="00057FF1">
      <w:pPr>
        <w:spacing w:after="0" w:line="240" w:lineRule="auto"/>
        <w:ind w:left="0" w:right="0" w:firstLine="709"/>
        <w:rPr>
          <w:rFonts w:ascii="Times New Roman" w:hAnsi="Times New Roman" w:cs="Times New Roman"/>
          <w:sz w:val="24"/>
        </w:rPr>
      </w:pPr>
    </w:p>
    <w:p w14:paraId="578AB481" w14:textId="7F3B9818" w:rsidR="00BF282E" w:rsidRDefault="00BF282E" w:rsidP="00057FF1">
      <w:pPr>
        <w:spacing w:after="0" w:line="240" w:lineRule="auto"/>
        <w:ind w:left="0" w:right="0" w:firstLine="709"/>
        <w:rPr>
          <w:rFonts w:ascii="Times New Roman" w:hAnsi="Times New Roman" w:cs="Times New Roman"/>
          <w:sz w:val="24"/>
        </w:rPr>
      </w:pPr>
    </w:p>
    <w:p w14:paraId="2C46CBC1" w14:textId="3303687B" w:rsidR="00BF282E" w:rsidRDefault="00BF282E" w:rsidP="00057FF1">
      <w:pPr>
        <w:spacing w:after="0" w:line="240" w:lineRule="auto"/>
        <w:ind w:left="0" w:right="0" w:firstLine="709"/>
        <w:rPr>
          <w:rFonts w:ascii="Times New Roman" w:hAnsi="Times New Roman" w:cs="Times New Roman"/>
          <w:sz w:val="24"/>
        </w:rPr>
      </w:pPr>
    </w:p>
    <w:p w14:paraId="24CC0775" w14:textId="4246E600" w:rsidR="00BF282E" w:rsidRDefault="00BF282E" w:rsidP="00057FF1">
      <w:pPr>
        <w:spacing w:after="0" w:line="240" w:lineRule="auto"/>
        <w:ind w:left="0" w:right="0" w:firstLine="709"/>
        <w:rPr>
          <w:rFonts w:ascii="Times New Roman" w:hAnsi="Times New Roman" w:cs="Times New Roman"/>
          <w:sz w:val="24"/>
        </w:rPr>
      </w:pPr>
    </w:p>
    <w:p w14:paraId="34F26751" w14:textId="527255AF" w:rsidR="00BF282E" w:rsidRDefault="00BF282E" w:rsidP="00057FF1">
      <w:pPr>
        <w:spacing w:after="0" w:line="240" w:lineRule="auto"/>
        <w:ind w:left="0" w:right="0" w:firstLine="709"/>
        <w:rPr>
          <w:rFonts w:ascii="Times New Roman" w:hAnsi="Times New Roman" w:cs="Times New Roman"/>
          <w:sz w:val="24"/>
        </w:rPr>
      </w:pPr>
    </w:p>
    <w:p w14:paraId="074DEA74" w14:textId="53280961" w:rsidR="00BF282E" w:rsidRDefault="00BF282E" w:rsidP="00057FF1">
      <w:pPr>
        <w:spacing w:after="0" w:line="240" w:lineRule="auto"/>
        <w:ind w:left="0" w:right="0" w:firstLine="709"/>
        <w:rPr>
          <w:rFonts w:ascii="Times New Roman" w:hAnsi="Times New Roman" w:cs="Times New Roman"/>
          <w:sz w:val="24"/>
        </w:rPr>
      </w:pPr>
    </w:p>
    <w:p w14:paraId="41FCB2A4" w14:textId="165E26B5" w:rsidR="00BF282E" w:rsidRDefault="00BF282E" w:rsidP="00057FF1">
      <w:pPr>
        <w:spacing w:after="0" w:line="240" w:lineRule="auto"/>
        <w:ind w:left="0" w:right="0" w:firstLine="709"/>
        <w:rPr>
          <w:rFonts w:ascii="Times New Roman" w:hAnsi="Times New Roman" w:cs="Times New Roman"/>
          <w:sz w:val="24"/>
        </w:rPr>
      </w:pPr>
    </w:p>
    <w:p w14:paraId="34FF9B29" w14:textId="4CF05095" w:rsidR="00BF282E" w:rsidRDefault="00BF282E" w:rsidP="00057FF1">
      <w:pPr>
        <w:spacing w:after="0" w:line="240" w:lineRule="auto"/>
        <w:ind w:left="0" w:right="0" w:firstLine="709"/>
        <w:rPr>
          <w:rFonts w:ascii="Times New Roman" w:hAnsi="Times New Roman" w:cs="Times New Roman"/>
          <w:sz w:val="24"/>
        </w:rPr>
      </w:pPr>
    </w:p>
    <w:p w14:paraId="3A50320E" w14:textId="77777777" w:rsidR="00BF282E" w:rsidRDefault="00BF282E" w:rsidP="00057FF1">
      <w:pPr>
        <w:spacing w:after="0" w:line="240" w:lineRule="auto"/>
        <w:ind w:left="0" w:right="0" w:firstLine="709"/>
        <w:rPr>
          <w:rFonts w:ascii="Times New Roman" w:hAnsi="Times New Roman" w:cs="Times New Roman"/>
          <w:sz w:val="24"/>
        </w:rPr>
      </w:pPr>
    </w:p>
    <w:p w14:paraId="3DD818B4" w14:textId="263896C5" w:rsidR="005D7D73" w:rsidRDefault="005D7D73" w:rsidP="00057FF1">
      <w:pPr>
        <w:spacing w:after="0" w:line="240" w:lineRule="auto"/>
        <w:ind w:left="0" w:right="0" w:firstLine="709"/>
        <w:rPr>
          <w:rFonts w:ascii="Times New Roman" w:hAnsi="Times New Roman" w:cs="Times New Roman"/>
          <w:sz w:val="24"/>
        </w:rPr>
      </w:pPr>
    </w:p>
    <w:p w14:paraId="43179DD0" w14:textId="31759669" w:rsidR="00E30290" w:rsidRDefault="00900184" w:rsidP="008965ED">
      <w:pPr>
        <w:spacing w:after="0" w:line="240" w:lineRule="auto"/>
        <w:ind w:right="0" w:firstLine="699"/>
        <w:rPr>
          <w:rFonts w:ascii="Times New Roman" w:hAnsi="Times New Roman" w:cs="Times New Roman"/>
          <w:b/>
          <w:sz w:val="24"/>
        </w:rPr>
      </w:pPr>
      <w:r w:rsidRPr="00A87CF4">
        <w:rPr>
          <w:rFonts w:ascii="Times New Roman" w:hAnsi="Times New Roman" w:cs="Times New Roman"/>
          <w:b/>
          <w:sz w:val="24"/>
        </w:rPr>
        <w:lastRenderedPageBreak/>
        <w:t>3.3.1. Potres</w:t>
      </w:r>
      <w:bookmarkEnd w:id="54"/>
    </w:p>
    <w:p w14:paraId="5A439105" w14:textId="77777777" w:rsidR="00A87CF4" w:rsidRPr="00A87CF4" w:rsidRDefault="00A87CF4" w:rsidP="00A87CF4">
      <w:pPr>
        <w:spacing w:after="0" w:line="240" w:lineRule="auto"/>
        <w:ind w:left="0" w:right="0" w:firstLine="0"/>
        <w:rPr>
          <w:rFonts w:ascii="Times New Roman" w:hAnsi="Times New Roman" w:cs="Times New Roman"/>
          <w:sz w:val="24"/>
        </w:rPr>
      </w:pPr>
    </w:p>
    <w:p w14:paraId="6D1F459B" w14:textId="19B12886" w:rsidR="00E40AC8" w:rsidRPr="00C3602C" w:rsidRDefault="00900184" w:rsidP="00476BBA">
      <w:pPr>
        <w:spacing w:line="240" w:lineRule="auto"/>
        <w:ind w:left="0" w:right="0" w:firstLine="0"/>
        <w:jc w:val="center"/>
        <w:rPr>
          <w:rFonts w:ascii="Times New Roman" w:hAnsi="Times New Roman" w:cs="Times New Roman"/>
          <w:b/>
          <w:sz w:val="24"/>
        </w:rPr>
      </w:pPr>
      <w:r w:rsidRPr="00C3602C">
        <w:rPr>
          <w:rFonts w:ascii="Times New Roman" w:hAnsi="Times New Roman" w:cs="Times New Roman"/>
          <w:b/>
          <w:sz w:val="24"/>
        </w:rPr>
        <w:t xml:space="preserve">Karta </w:t>
      </w:r>
      <w:r w:rsidR="00607207">
        <w:rPr>
          <w:rFonts w:ascii="Times New Roman" w:hAnsi="Times New Roman" w:cs="Times New Roman"/>
          <w:b/>
          <w:sz w:val="24"/>
        </w:rPr>
        <w:t>5</w:t>
      </w:r>
      <w:r w:rsidRPr="00C3602C">
        <w:rPr>
          <w:rFonts w:ascii="Times New Roman" w:hAnsi="Times New Roman" w:cs="Times New Roman"/>
          <w:b/>
          <w:sz w:val="24"/>
        </w:rPr>
        <w:t>. Mogući intenziteti potresa na području Grada Zagreba</w:t>
      </w:r>
    </w:p>
    <w:p w14:paraId="120B4450" w14:textId="77777777" w:rsidR="00E40AC8" w:rsidRPr="005142C4" w:rsidRDefault="00900184" w:rsidP="00757E67">
      <w:pPr>
        <w:spacing w:after="0" w:line="240" w:lineRule="auto"/>
        <w:ind w:left="0" w:right="0" w:firstLine="0"/>
        <w:jc w:val="center"/>
        <w:rPr>
          <w:rFonts w:ascii="Times New Roman" w:hAnsi="Times New Roman" w:cs="Times New Roman"/>
          <w:sz w:val="24"/>
        </w:rPr>
      </w:pPr>
      <w:r w:rsidRPr="005142C4">
        <w:rPr>
          <w:rFonts w:ascii="Times New Roman" w:hAnsi="Times New Roman" w:cs="Times New Roman"/>
          <w:noProof/>
          <w:sz w:val="24"/>
        </w:rPr>
        <w:drawing>
          <wp:inline distT="0" distB="0" distL="0" distR="0" wp14:anchorId="1588A939" wp14:editId="4829F5AA">
            <wp:extent cx="5358130" cy="3200400"/>
            <wp:effectExtent l="0" t="0" r="0" b="0"/>
            <wp:docPr id="27641" name="Picture 27641"/>
            <wp:cNvGraphicFramePr/>
            <a:graphic xmlns:a="http://schemas.openxmlformats.org/drawingml/2006/main">
              <a:graphicData uri="http://schemas.openxmlformats.org/drawingml/2006/picture">
                <pic:pic xmlns:pic="http://schemas.openxmlformats.org/drawingml/2006/picture">
                  <pic:nvPicPr>
                    <pic:cNvPr id="27641" name="Picture 27641"/>
                    <pic:cNvPicPr/>
                  </pic:nvPicPr>
                  <pic:blipFill>
                    <a:blip r:embed="rId46"/>
                    <a:stretch>
                      <a:fillRect/>
                    </a:stretch>
                  </pic:blipFill>
                  <pic:spPr>
                    <a:xfrm>
                      <a:off x="0" y="0"/>
                      <a:ext cx="5358130" cy="3200400"/>
                    </a:xfrm>
                    <a:prstGeom prst="rect">
                      <a:avLst/>
                    </a:prstGeom>
                  </pic:spPr>
                </pic:pic>
              </a:graphicData>
            </a:graphic>
          </wp:inline>
        </w:drawing>
      </w:r>
    </w:p>
    <w:p w14:paraId="55487A0B" w14:textId="77777777" w:rsidR="00E40AC8" w:rsidRPr="00C3602C" w:rsidRDefault="00900184" w:rsidP="005142C4">
      <w:pPr>
        <w:spacing w:after="0" w:line="240" w:lineRule="auto"/>
        <w:ind w:left="0" w:right="0" w:firstLine="0"/>
        <w:jc w:val="center"/>
        <w:rPr>
          <w:rFonts w:ascii="Times New Roman" w:eastAsia="Calibri" w:hAnsi="Times New Roman" w:cs="Times New Roman"/>
          <w:i/>
          <w:sz w:val="20"/>
        </w:rPr>
      </w:pPr>
      <w:r w:rsidRPr="00C3602C">
        <w:rPr>
          <w:rFonts w:ascii="Times New Roman" w:eastAsia="Calibri" w:hAnsi="Times New Roman" w:cs="Times New Roman"/>
          <w:i/>
          <w:sz w:val="20"/>
        </w:rPr>
        <w:t>Izvor: Vanjski plan zaštite i spašavanja za područje Grada Zagreba</w:t>
      </w:r>
    </w:p>
    <w:p w14:paraId="5A25CDC5" w14:textId="77777777" w:rsidR="00476BBA" w:rsidRDefault="00476BBA" w:rsidP="005142C4">
      <w:pPr>
        <w:spacing w:after="0" w:line="240" w:lineRule="auto"/>
        <w:ind w:left="0" w:right="0" w:firstLine="0"/>
        <w:jc w:val="center"/>
        <w:rPr>
          <w:rFonts w:ascii="Times New Roman" w:hAnsi="Times New Roman" w:cs="Times New Roman"/>
          <w:b/>
          <w:sz w:val="24"/>
        </w:rPr>
      </w:pPr>
    </w:p>
    <w:p w14:paraId="13CC15D9" w14:textId="52B08D33" w:rsidR="00E40AC8" w:rsidRPr="005142C4" w:rsidRDefault="00900184" w:rsidP="00476BBA">
      <w:pPr>
        <w:spacing w:line="240" w:lineRule="auto"/>
        <w:ind w:left="0" w:right="0" w:firstLine="0"/>
        <w:jc w:val="center"/>
        <w:rPr>
          <w:rFonts w:ascii="Times New Roman" w:hAnsi="Times New Roman" w:cs="Times New Roman"/>
          <w:b/>
          <w:sz w:val="24"/>
        </w:rPr>
      </w:pPr>
      <w:r w:rsidRPr="005142C4">
        <w:rPr>
          <w:rFonts w:ascii="Times New Roman" w:hAnsi="Times New Roman" w:cs="Times New Roman"/>
          <w:b/>
          <w:sz w:val="24"/>
        </w:rPr>
        <w:t xml:space="preserve">Karta </w:t>
      </w:r>
      <w:r w:rsidR="00607207">
        <w:rPr>
          <w:rFonts w:ascii="Times New Roman" w:hAnsi="Times New Roman" w:cs="Times New Roman"/>
          <w:b/>
          <w:sz w:val="24"/>
        </w:rPr>
        <w:t>6</w:t>
      </w:r>
      <w:r w:rsidRPr="005142C4">
        <w:rPr>
          <w:rFonts w:ascii="Times New Roman" w:hAnsi="Times New Roman" w:cs="Times New Roman"/>
          <w:b/>
          <w:sz w:val="24"/>
        </w:rPr>
        <w:t>. Iznosi vršnih ubrzanja za Zagreb i okolicu, povratn</w:t>
      </w:r>
      <w:r w:rsidR="00116089">
        <w:rPr>
          <w:rFonts w:ascii="Times New Roman" w:hAnsi="Times New Roman" w:cs="Times New Roman"/>
          <w:b/>
          <w:sz w:val="24"/>
        </w:rPr>
        <w:t>o</w:t>
      </w:r>
      <w:r w:rsidRPr="005142C4">
        <w:rPr>
          <w:rFonts w:ascii="Times New Roman" w:hAnsi="Times New Roman" w:cs="Times New Roman"/>
          <w:b/>
          <w:sz w:val="24"/>
        </w:rPr>
        <w:t xml:space="preserve"> </w:t>
      </w:r>
      <w:r w:rsidR="00116089">
        <w:rPr>
          <w:rFonts w:ascii="Times New Roman" w:hAnsi="Times New Roman" w:cs="Times New Roman"/>
          <w:b/>
          <w:sz w:val="24"/>
        </w:rPr>
        <w:t xml:space="preserve">razdoblje </w:t>
      </w:r>
      <w:r w:rsidRPr="005142C4">
        <w:rPr>
          <w:rFonts w:ascii="Times New Roman" w:hAnsi="Times New Roman" w:cs="Times New Roman"/>
          <w:b/>
          <w:sz w:val="24"/>
        </w:rPr>
        <w:t>95 g. i 475 g.</w:t>
      </w:r>
    </w:p>
    <w:p w14:paraId="15735C44" w14:textId="77777777" w:rsidR="00E40AC8" w:rsidRPr="005142C4" w:rsidRDefault="00900184" w:rsidP="00757E67">
      <w:pPr>
        <w:spacing w:after="0" w:line="240" w:lineRule="auto"/>
        <w:ind w:left="0" w:right="0" w:firstLine="0"/>
        <w:jc w:val="center"/>
        <w:rPr>
          <w:rFonts w:ascii="Times New Roman" w:hAnsi="Times New Roman" w:cs="Times New Roman"/>
          <w:sz w:val="24"/>
        </w:rPr>
      </w:pPr>
      <w:r w:rsidRPr="005142C4">
        <w:rPr>
          <w:rFonts w:ascii="Times New Roman" w:hAnsi="Times New Roman" w:cs="Times New Roman"/>
          <w:noProof/>
          <w:sz w:val="24"/>
        </w:rPr>
        <w:drawing>
          <wp:inline distT="0" distB="0" distL="0" distR="0" wp14:anchorId="7DD48AF3" wp14:editId="4C222763">
            <wp:extent cx="5514975" cy="3133725"/>
            <wp:effectExtent l="0" t="0" r="9525" b="9525"/>
            <wp:docPr id="27651" name="Picture 27651"/>
            <wp:cNvGraphicFramePr/>
            <a:graphic xmlns:a="http://schemas.openxmlformats.org/drawingml/2006/main">
              <a:graphicData uri="http://schemas.openxmlformats.org/drawingml/2006/picture">
                <pic:pic xmlns:pic="http://schemas.openxmlformats.org/drawingml/2006/picture">
                  <pic:nvPicPr>
                    <pic:cNvPr id="27651" name="Picture 27651"/>
                    <pic:cNvPicPr/>
                  </pic:nvPicPr>
                  <pic:blipFill>
                    <a:blip r:embed="rId47"/>
                    <a:stretch>
                      <a:fillRect/>
                    </a:stretch>
                  </pic:blipFill>
                  <pic:spPr>
                    <a:xfrm>
                      <a:off x="0" y="0"/>
                      <a:ext cx="5514975" cy="3133725"/>
                    </a:xfrm>
                    <a:prstGeom prst="rect">
                      <a:avLst/>
                    </a:prstGeom>
                  </pic:spPr>
                </pic:pic>
              </a:graphicData>
            </a:graphic>
          </wp:inline>
        </w:drawing>
      </w:r>
    </w:p>
    <w:p w14:paraId="05A762EA" w14:textId="77777777" w:rsidR="00E40AC8" w:rsidRPr="00C3602C" w:rsidRDefault="00900184" w:rsidP="00116089">
      <w:pPr>
        <w:spacing w:after="0" w:line="240" w:lineRule="auto"/>
        <w:ind w:left="0" w:right="0" w:firstLine="0"/>
        <w:jc w:val="center"/>
        <w:rPr>
          <w:rFonts w:ascii="Times New Roman" w:eastAsia="Calibri" w:hAnsi="Times New Roman" w:cs="Times New Roman"/>
          <w:i/>
          <w:sz w:val="20"/>
        </w:rPr>
      </w:pPr>
      <w:r w:rsidRPr="00C3602C">
        <w:rPr>
          <w:rFonts w:ascii="Times New Roman" w:eastAsia="Calibri" w:hAnsi="Times New Roman" w:cs="Times New Roman"/>
          <w:i/>
          <w:sz w:val="20"/>
        </w:rPr>
        <w:t>Izvor: Herak M., Allegretti I., Herak D., Ivančić I., Kuk V., Marić K., Markušić S., Sović I. Karta potresnih područja Republike Hrvatske. s.l.</w:t>
      </w:r>
      <w:r w:rsidR="00E40AC8" w:rsidRPr="00C3602C">
        <w:rPr>
          <w:rFonts w:ascii="Times New Roman" w:eastAsia="Calibri" w:hAnsi="Times New Roman" w:cs="Times New Roman"/>
          <w:i/>
          <w:sz w:val="20"/>
        </w:rPr>
        <w:t>:</w:t>
      </w:r>
      <w:r w:rsidRPr="00C3602C">
        <w:rPr>
          <w:rFonts w:ascii="Times New Roman" w:eastAsia="Calibri" w:hAnsi="Times New Roman" w:cs="Times New Roman"/>
          <w:i/>
          <w:sz w:val="20"/>
        </w:rPr>
        <w:t xml:space="preserve"> Sveučilište u Zagrebu, Prirodoslovno</w:t>
      </w:r>
      <w:r w:rsidR="00EE6A22" w:rsidRPr="00C3602C">
        <w:rPr>
          <w:rFonts w:ascii="Times New Roman" w:eastAsia="Calibri" w:hAnsi="Times New Roman" w:cs="Times New Roman"/>
          <w:i/>
          <w:sz w:val="20"/>
        </w:rPr>
        <w:t>-</w:t>
      </w:r>
      <w:r w:rsidRPr="00C3602C">
        <w:rPr>
          <w:rFonts w:ascii="Times New Roman" w:eastAsia="Calibri" w:hAnsi="Times New Roman" w:cs="Times New Roman"/>
          <w:i/>
          <w:sz w:val="20"/>
        </w:rPr>
        <w:t>matematički fakultet</w:t>
      </w:r>
      <w:r w:rsidR="00116089">
        <w:rPr>
          <w:rFonts w:ascii="Times New Roman" w:eastAsia="Calibri" w:hAnsi="Times New Roman" w:cs="Times New Roman"/>
          <w:i/>
          <w:sz w:val="20"/>
        </w:rPr>
        <w:t>,</w:t>
      </w:r>
      <w:r w:rsidR="00116089">
        <w:rPr>
          <w:rFonts w:ascii="Times New Roman" w:eastAsia="Calibri" w:hAnsi="Times New Roman" w:cs="Times New Roman"/>
          <w:i/>
          <w:sz w:val="20"/>
        </w:rPr>
        <w:br/>
      </w:r>
      <w:r w:rsidRPr="00C3602C">
        <w:rPr>
          <w:rFonts w:ascii="Times New Roman" w:eastAsia="Calibri" w:hAnsi="Times New Roman" w:cs="Times New Roman"/>
          <w:i/>
          <w:sz w:val="20"/>
        </w:rPr>
        <w:t>Geofizički odjel., 2011.</w:t>
      </w:r>
    </w:p>
    <w:p w14:paraId="136D4671" w14:textId="62341E89" w:rsidR="00916358" w:rsidRDefault="00916358" w:rsidP="00116089">
      <w:pPr>
        <w:spacing w:after="0" w:line="240" w:lineRule="auto"/>
        <w:ind w:left="0" w:right="0" w:firstLine="0"/>
        <w:rPr>
          <w:rFonts w:ascii="Times New Roman" w:hAnsi="Times New Roman" w:cs="Times New Roman"/>
          <w:sz w:val="24"/>
        </w:rPr>
      </w:pPr>
      <w:bookmarkStart w:id="55" w:name="_Toc2938573"/>
    </w:p>
    <w:p w14:paraId="04846489" w14:textId="66118B6C" w:rsidR="00916358" w:rsidRDefault="00916358" w:rsidP="00116089">
      <w:pPr>
        <w:spacing w:after="0" w:line="240" w:lineRule="auto"/>
        <w:ind w:left="0" w:right="0" w:firstLine="0"/>
        <w:rPr>
          <w:rFonts w:ascii="Times New Roman" w:hAnsi="Times New Roman" w:cs="Times New Roman"/>
          <w:sz w:val="24"/>
        </w:rPr>
      </w:pPr>
    </w:p>
    <w:p w14:paraId="4A1E9C27" w14:textId="13596FEB" w:rsidR="00916358" w:rsidRDefault="00916358" w:rsidP="00116089">
      <w:pPr>
        <w:spacing w:after="0" w:line="240" w:lineRule="auto"/>
        <w:ind w:left="0" w:right="0" w:firstLine="0"/>
        <w:rPr>
          <w:rFonts w:ascii="Times New Roman" w:hAnsi="Times New Roman" w:cs="Times New Roman"/>
          <w:sz w:val="24"/>
        </w:rPr>
      </w:pPr>
    </w:p>
    <w:p w14:paraId="6927457D" w14:textId="22A1B251" w:rsidR="00916358" w:rsidRDefault="00916358" w:rsidP="00116089">
      <w:pPr>
        <w:spacing w:after="0" w:line="240" w:lineRule="auto"/>
        <w:ind w:left="0" w:right="0" w:firstLine="0"/>
        <w:rPr>
          <w:rFonts w:ascii="Times New Roman" w:hAnsi="Times New Roman" w:cs="Times New Roman"/>
          <w:sz w:val="24"/>
        </w:rPr>
      </w:pPr>
    </w:p>
    <w:p w14:paraId="3042821A" w14:textId="0285ED86" w:rsidR="00916358" w:rsidRDefault="00916358" w:rsidP="00116089">
      <w:pPr>
        <w:spacing w:after="0" w:line="240" w:lineRule="auto"/>
        <w:ind w:left="0" w:right="0" w:firstLine="0"/>
        <w:rPr>
          <w:rFonts w:ascii="Times New Roman" w:hAnsi="Times New Roman" w:cs="Times New Roman"/>
          <w:sz w:val="24"/>
        </w:rPr>
      </w:pPr>
    </w:p>
    <w:p w14:paraId="1F860F32" w14:textId="77777777" w:rsidR="00E40AC8" w:rsidRPr="00116089" w:rsidRDefault="00900184" w:rsidP="003D6003">
      <w:pPr>
        <w:spacing w:after="160" w:line="259" w:lineRule="auto"/>
        <w:ind w:left="0" w:right="0" w:firstLine="0"/>
        <w:jc w:val="left"/>
        <w:rPr>
          <w:rFonts w:ascii="Times New Roman" w:hAnsi="Times New Roman" w:cs="Times New Roman"/>
          <w:b/>
          <w:sz w:val="24"/>
        </w:rPr>
      </w:pPr>
      <w:r w:rsidRPr="00116089">
        <w:rPr>
          <w:rFonts w:ascii="Times New Roman" w:hAnsi="Times New Roman" w:cs="Times New Roman"/>
          <w:b/>
          <w:sz w:val="24"/>
        </w:rPr>
        <w:lastRenderedPageBreak/>
        <w:t>3.3.2. Poplava</w:t>
      </w:r>
      <w:bookmarkEnd w:id="55"/>
    </w:p>
    <w:p w14:paraId="5AFC1A6A" w14:textId="74A5C3B1" w:rsidR="00116089" w:rsidRPr="00116089" w:rsidRDefault="00900184" w:rsidP="00476BBA">
      <w:pPr>
        <w:spacing w:line="240" w:lineRule="auto"/>
        <w:ind w:left="0" w:right="0" w:firstLine="0"/>
        <w:jc w:val="center"/>
        <w:rPr>
          <w:rFonts w:ascii="Times New Roman" w:hAnsi="Times New Roman" w:cs="Times New Roman"/>
          <w:sz w:val="24"/>
        </w:rPr>
      </w:pPr>
      <w:r w:rsidRPr="00C3602C">
        <w:rPr>
          <w:rFonts w:ascii="Times New Roman" w:hAnsi="Times New Roman" w:cs="Times New Roman"/>
          <w:b/>
          <w:sz w:val="24"/>
        </w:rPr>
        <w:t xml:space="preserve">Karta </w:t>
      </w:r>
      <w:r w:rsidR="00607207">
        <w:rPr>
          <w:rFonts w:ascii="Times New Roman" w:hAnsi="Times New Roman" w:cs="Times New Roman"/>
          <w:b/>
          <w:sz w:val="24"/>
        </w:rPr>
        <w:t>7</w:t>
      </w:r>
      <w:r w:rsidRPr="00C3602C">
        <w:rPr>
          <w:rFonts w:ascii="Times New Roman" w:hAnsi="Times New Roman" w:cs="Times New Roman"/>
          <w:b/>
          <w:sz w:val="24"/>
        </w:rPr>
        <w:t>. Karta s prikazom vjerojatnosti poplavljivanja područja</w:t>
      </w:r>
      <w:r w:rsidR="00116089">
        <w:rPr>
          <w:rFonts w:ascii="Times New Roman" w:hAnsi="Times New Roman" w:cs="Times New Roman"/>
          <w:b/>
          <w:sz w:val="24"/>
        </w:rPr>
        <w:br/>
      </w:r>
      <w:r w:rsidRPr="00C3602C">
        <w:rPr>
          <w:rFonts w:ascii="Times New Roman" w:hAnsi="Times New Roman" w:cs="Times New Roman"/>
          <w:b/>
          <w:sz w:val="24"/>
        </w:rPr>
        <w:t>Grada Zagreba i okolice</w:t>
      </w:r>
    </w:p>
    <w:p w14:paraId="148E2CB4" w14:textId="77777777" w:rsidR="00E40AC8" w:rsidRPr="005142C4" w:rsidRDefault="00900184" w:rsidP="00116089">
      <w:pPr>
        <w:spacing w:after="0" w:line="240" w:lineRule="auto"/>
        <w:ind w:left="0" w:right="0" w:firstLine="0"/>
        <w:jc w:val="center"/>
        <w:rPr>
          <w:rFonts w:ascii="Times New Roman" w:hAnsi="Times New Roman" w:cs="Times New Roman"/>
          <w:sz w:val="24"/>
        </w:rPr>
      </w:pPr>
      <w:r w:rsidRPr="005142C4">
        <w:rPr>
          <w:rFonts w:ascii="Times New Roman" w:hAnsi="Times New Roman" w:cs="Times New Roman"/>
          <w:noProof/>
          <w:sz w:val="24"/>
        </w:rPr>
        <w:drawing>
          <wp:inline distT="0" distB="0" distL="0" distR="0" wp14:anchorId="7BBF7161" wp14:editId="7A6D8607">
            <wp:extent cx="4676140" cy="3578225"/>
            <wp:effectExtent l="0" t="0" r="0" b="0"/>
            <wp:docPr id="27683" name="Picture 27683"/>
            <wp:cNvGraphicFramePr/>
            <a:graphic xmlns:a="http://schemas.openxmlformats.org/drawingml/2006/main">
              <a:graphicData uri="http://schemas.openxmlformats.org/drawingml/2006/picture">
                <pic:pic xmlns:pic="http://schemas.openxmlformats.org/drawingml/2006/picture">
                  <pic:nvPicPr>
                    <pic:cNvPr id="27683" name="Picture 27683"/>
                    <pic:cNvPicPr/>
                  </pic:nvPicPr>
                  <pic:blipFill>
                    <a:blip r:embed="rId48"/>
                    <a:stretch>
                      <a:fillRect/>
                    </a:stretch>
                  </pic:blipFill>
                  <pic:spPr>
                    <a:xfrm>
                      <a:off x="0" y="0"/>
                      <a:ext cx="4676140" cy="3578225"/>
                    </a:xfrm>
                    <a:prstGeom prst="rect">
                      <a:avLst/>
                    </a:prstGeom>
                  </pic:spPr>
                </pic:pic>
              </a:graphicData>
            </a:graphic>
          </wp:inline>
        </w:drawing>
      </w:r>
    </w:p>
    <w:p w14:paraId="2D55A0DA" w14:textId="77777777" w:rsidR="00E40AC8" w:rsidRPr="00C3602C" w:rsidRDefault="00900184" w:rsidP="005142C4">
      <w:pPr>
        <w:spacing w:after="0" w:line="240" w:lineRule="auto"/>
        <w:ind w:left="0" w:right="0" w:firstLine="0"/>
        <w:jc w:val="center"/>
        <w:rPr>
          <w:rFonts w:ascii="Times New Roman" w:eastAsia="Calibri" w:hAnsi="Times New Roman" w:cs="Times New Roman"/>
          <w:i/>
          <w:sz w:val="20"/>
          <w:szCs w:val="20"/>
        </w:rPr>
      </w:pPr>
      <w:r w:rsidRPr="00C3602C">
        <w:rPr>
          <w:rFonts w:ascii="Times New Roman" w:eastAsia="Calibri" w:hAnsi="Times New Roman" w:cs="Times New Roman"/>
          <w:i/>
          <w:sz w:val="20"/>
          <w:szCs w:val="20"/>
        </w:rPr>
        <w:t xml:space="preserve">Izvor: Interaktivna karta opasnosti od poplavljivanja </w:t>
      </w:r>
      <w:r w:rsidRPr="00C3602C">
        <w:rPr>
          <w:rFonts w:ascii="Times New Roman" w:eastAsia="Calibri" w:hAnsi="Times New Roman" w:cs="Times New Roman"/>
          <w:i/>
          <w:color w:val="0563C1"/>
          <w:sz w:val="20"/>
          <w:szCs w:val="20"/>
          <w:u w:val="single" w:color="0563C1"/>
        </w:rPr>
        <w:t>http://voda.giscloud.com/map/321490/karta</w:t>
      </w:r>
      <w:r w:rsidR="00EE6A22" w:rsidRPr="00C3602C">
        <w:rPr>
          <w:rFonts w:ascii="Times New Roman" w:eastAsia="Calibri" w:hAnsi="Times New Roman" w:cs="Times New Roman"/>
          <w:i/>
          <w:color w:val="0563C1"/>
          <w:sz w:val="20"/>
          <w:szCs w:val="20"/>
          <w:u w:val="single" w:color="0563C1"/>
        </w:rPr>
        <w:t>-</w:t>
      </w:r>
      <w:r w:rsidRPr="00C3602C">
        <w:rPr>
          <w:rFonts w:ascii="Times New Roman" w:eastAsia="Calibri" w:hAnsi="Times New Roman" w:cs="Times New Roman"/>
          <w:i/>
          <w:color w:val="0563C1"/>
          <w:sz w:val="20"/>
          <w:szCs w:val="20"/>
          <w:u w:val="single" w:color="0563C1"/>
        </w:rPr>
        <w:t>opasnostiod</w:t>
      </w:r>
      <w:r w:rsidR="00EE6A22" w:rsidRPr="00C3602C">
        <w:rPr>
          <w:rFonts w:ascii="Times New Roman" w:eastAsia="Calibri" w:hAnsi="Times New Roman" w:cs="Times New Roman"/>
          <w:i/>
          <w:color w:val="0563C1"/>
          <w:sz w:val="20"/>
          <w:szCs w:val="20"/>
          <w:u w:val="single" w:color="0563C1"/>
        </w:rPr>
        <w:t>-</w:t>
      </w:r>
      <w:r w:rsidRPr="00C3602C">
        <w:rPr>
          <w:rFonts w:ascii="Times New Roman" w:eastAsia="Calibri" w:hAnsi="Times New Roman" w:cs="Times New Roman"/>
          <w:i/>
          <w:color w:val="0563C1"/>
          <w:sz w:val="20"/>
          <w:szCs w:val="20"/>
          <w:u w:val="single" w:color="0563C1"/>
        </w:rPr>
        <w:t>poplava</w:t>
      </w:r>
      <w:r w:rsidR="00EE6A22" w:rsidRPr="00C3602C">
        <w:rPr>
          <w:rFonts w:ascii="Times New Roman" w:eastAsia="Calibri" w:hAnsi="Times New Roman" w:cs="Times New Roman"/>
          <w:i/>
          <w:color w:val="0563C1"/>
          <w:sz w:val="20"/>
          <w:szCs w:val="20"/>
          <w:u w:val="single" w:color="0563C1"/>
        </w:rPr>
        <w:t>-</w:t>
      </w:r>
      <w:r w:rsidRPr="00C3602C">
        <w:rPr>
          <w:rFonts w:ascii="Times New Roman" w:eastAsia="Calibri" w:hAnsi="Times New Roman" w:cs="Times New Roman"/>
          <w:i/>
          <w:color w:val="0563C1"/>
          <w:sz w:val="20"/>
          <w:szCs w:val="20"/>
          <w:u w:val="single" w:color="0563C1"/>
        </w:rPr>
        <w:t>po</w:t>
      </w:r>
      <w:r w:rsidR="00EE6A22" w:rsidRPr="00C3602C">
        <w:rPr>
          <w:rFonts w:ascii="Times New Roman" w:eastAsia="Calibri" w:hAnsi="Times New Roman" w:cs="Times New Roman"/>
          <w:i/>
          <w:color w:val="0563C1"/>
          <w:sz w:val="20"/>
          <w:szCs w:val="20"/>
          <w:u w:val="single" w:color="0563C1"/>
        </w:rPr>
        <w:t>-</w:t>
      </w:r>
      <w:r w:rsidRPr="00C3602C">
        <w:rPr>
          <w:rFonts w:ascii="Times New Roman" w:eastAsia="Calibri" w:hAnsi="Times New Roman" w:cs="Times New Roman"/>
          <w:i/>
          <w:color w:val="0563C1"/>
          <w:sz w:val="20"/>
          <w:szCs w:val="20"/>
          <w:u w:val="single" w:color="0563C1"/>
        </w:rPr>
        <w:t>vjerojatnosti</w:t>
      </w:r>
      <w:r w:rsidR="00EE6A22" w:rsidRPr="00C3602C">
        <w:rPr>
          <w:rFonts w:ascii="Times New Roman" w:eastAsia="Calibri" w:hAnsi="Times New Roman" w:cs="Times New Roman"/>
          <w:i/>
          <w:color w:val="0563C1"/>
          <w:sz w:val="20"/>
          <w:szCs w:val="20"/>
          <w:u w:val="single" w:color="0563C1"/>
        </w:rPr>
        <w:t>-</w:t>
      </w:r>
      <w:r w:rsidRPr="00C3602C">
        <w:rPr>
          <w:rFonts w:ascii="Times New Roman" w:eastAsia="Calibri" w:hAnsi="Times New Roman" w:cs="Times New Roman"/>
          <w:i/>
          <w:color w:val="0563C1"/>
          <w:sz w:val="20"/>
          <w:szCs w:val="20"/>
          <w:u w:val="single" w:color="0563C1"/>
        </w:rPr>
        <w:t>poplavljivanja</w:t>
      </w:r>
    </w:p>
    <w:p w14:paraId="49088C28" w14:textId="37F082F7" w:rsidR="00C3602C" w:rsidRDefault="00C3602C" w:rsidP="00116089">
      <w:pPr>
        <w:spacing w:after="0" w:line="240" w:lineRule="auto"/>
        <w:ind w:left="0" w:right="0" w:firstLine="0"/>
        <w:rPr>
          <w:rFonts w:ascii="Times New Roman" w:hAnsi="Times New Roman" w:cs="Times New Roman"/>
          <w:sz w:val="24"/>
        </w:rPr>
      </w:pPr>
      <w:bookmarkStart w:id="56" w:name="_Toc2938574"/>
    </w:p>
    <w:p w14:paraId="67F5C6E0" w14:textId="771485C9" w:rsidR="00E40AC8" w:rsidRPr="00116089" w:rsidRDefault="00900184" w:rsidP="00116089">
      <w:pPr>
        <w:spacing w:after="0" w:line="240" w:lineRule="auto"/>
        <w:ind w:right="0" w:firstLine="699"/>
        <w:rPr>
          <w:rFonts w:ascii="Times New Roman" w:hAnsi="Times New Roman" w:cs="Times New Roman"/>
          <w:b/>
          <w:sz w:val="24"/>
        </w:rPr>
      </w:pPr>
      <w:r w:rsidRPr="00116089">
        <w:rPr>
          <w:rFonts w:ascii="Times New Roman" w:hAnsi="Times New Roman" w:cs="Times New Roman"/>
          <w:b/>
          <w:sz w:val="24"/>
        </w:rPr>
        <w:t xml:space="preserve">3.3.3. </w:t>
      </w:r>
      <w:bookmarkEnd w:id="56"/>
      <w:r w:rsidR="00EC4263">
        <w:rPr>
          <w:rFonts w:ascii="Times New Roman" w:hAnsi="Times New Roman" w:cs="Times New Roman"/>
          <w:b/>
          <w:sz w:val="24"/>
        </w:rPr>
        <w:t>Klizišta</w:t>
      </w:r>
    </w:p>
    <w:p w14:paraId="5ADB723D" w14:textId="77777777" w:rsidR="00C3602C" w:rsidRPr="00116089" w:rsidRDefault="00C3602C" w:rsidP="00116089">
      <w:pPr>
        <w:spacing w:after="0" w:line="240" w:lineRule="auto"/>
        <w:ind w:left="0" w:right="0" w:firstLine="0"/>
        <w:rPr>
          <w:rFonts w:ascii="Times New Roman" w:hAnsi="Times New Roman" w:cs="Times New Roman"/>
          <w:sz w:val="24"/>
        </w:rPr>
      </w:pPr>
    </w:p>
    <w:p w14:paraId="2FBA7975" w14:textId="165158EF" w:rsidR="00E40AC8" w:rsidRPr="00C3602C" w:rsidRDefault="00900184" w:rsidP="00C3602C">
      <w:pPr>
        <w:spacing w:after="0" w:line="240" w:lineRule="auto"/>
        <w:ind w:left="0" w:right="0" w:firstLine="0"/>
        <w:jc w:val="center"/>
        <w:rPr>
          <w:rFonts w:ascii="Times New Roman" w:hAnsi="Times New Roman" w:cs="Times New Roman"/>
          <w:b/>
          <w:sz w:val="24"/>
        </w:rPr>
      </w:pPr>
      <w:r w:rsidRPr="00C3602C">
        <w:rPr>
          <w:rFonts w:ascii="Times New Roman" w:hAnsi="Times New Roman" w:cs="Times New Roman"/>
          <w:b/>
          <w:sz w:val="24"/>
        </w:rPr>
        <w:t xml:space="preserve">Karta </w:t>
      </w:r>
      <w:r w:rsidR="00607207">
        <w:rPr>
          <w:rFonts w:ascii="Times New Roman" w:hAnsi="Times New Roman" w:cs="Times New Roman"/>
          <w:b/>
          <w:sz w:val="24"/>
        </w:rPr>
        <w:t>8</w:t>
      </w:r>
      <w:r w:rsidRPr="00C3602C">
        <w:rPr>
          <w:rFonts w:ascii="Times New Roman" w:hAnsi="Times New Roman" w:cs="Times New Roman"/>
          <w:b/>
          <w:sz w:val="24"/>
        </w:rPr>
        <w:t xml:space="preserve">. </w:t>
      </w:r>
      <w:r w:rsidR="00EC4263">
        <w:rPr>
          <w:rFonts w:ascii="Times New Roman" w:hAnsi="Times New Roman" w:cs="Times New Roman"/>
          <w:b/>
          <w:sz w:val="24"/>
        </w:rPr>
        <w:t>Karta klizišta na području podsljemenske zone</w:t>
      </w:r>
    </w:p>
    <w:p w14:paraId="1FD25B8B" w14:textId="6FAC515C" w:rsidR="00E40AC8" w:rsidRPr="005142C4" w:rsidRDefault="00EC4263" w:rsidP="00757E67">
      <w:pPr>
        <w:spacing w:after="0" w:line="240" w:lineRule="auto"/>
        <w:ind w:left="0" w:right="0" w:firstLine="0"/>
        <w:jc w:val="center"/>
        <w:rPr>
          <w:rFonts w:ascii="Times New Roman" w:hAnsi="Times New Roman" w:cs="Times New Roman"/>
          <w:sz w:val="24"/>
        </w:rPr>
      </w:pPr>
      <w:r>
        <w:rPr>
          <w:noProof/>
        </w:rPr>
        <w:drawing>
          <wp:inline distT="0" distB="0" distL="0" distR="0" wp14:anchorId="71B36846" wp14:editId="7CA09EFE">
            <wp:extent cx="5760720" cy="33432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3343275"/>
                    </a:xfrm>
                    <a:prstGeom prst="rect">
                      <a:avLst/>
                    </a:prstGeom>
                    <a:noFill/>
                    <a:ln>
                      <a:noFill/>
                    </a:ln>
                  </pic:spPr>
                </pic:pic>
              </a:graphicData>
            </a:graphic>
          </wp:inline>
        </w:drawing>
      </w:r>
    </w:p>
    <w:p w14:paraId="640E9565" w14:textId="55FE32D4" w:rsidR="003F7A56" w:rsidRPr="00C3602C" w:rsidRDefault="00900184" w:rsidP="005142C4">
      <w:pPr>
        <w:spacing w:after="0" w:line="240" w:lineRule="auto"/>
        <w:ind w:left="0" w:right="0" w:firstLine="0"/>
        <w:jc w:val="center"/>
        <w:rPr>
          <w:rFonts w:ascii="Times New Roman" w:eastAsia="Calibri" w:hAnsi="Times New Roman" w:cs="Times New Roman"/>
          <w:i/>
          <w:sz w:val="20"/>
          <w:szCs w:val="20"/>
        </w:rPr>
      </w:pPr>
      <w:r w:rsidRPr="00C3602C">
        <w:rPr>
          <w:rFonts w:ascii="Times New Roman" w:eastAsia="Calibri" w:hAnsi="Times New Roman" w:cs="Times New Roman"/>
          <w:i/>
          <w:sz w:val="20"/>
          <w:szCs w:val="20"/>
        </w:rPr>
        <w:t>Izvor:</w:t>
      </w:r>
      <w:r w:rsidR="00EC4263">
        <w:rPr>
          <w:rFonts w:ascii="Times New Roman" w:eastAsia="Calibri" w:hAnsi="Times New Roman" w:cs="Times New Roman"/>
          <w:i/>
          <w:sz w:val="20"/>
          <w:szCs w:val="20"/>
        </w:rPr>
        <w:t xml:space="preserve"> Plan djelovanja civilne zaštite</w:t>
      </w:r>
      <w:r w:rsidR="00057FF1">
        <w:rPr>
          <w:rFonts w:ascii="Times New Roman" w:eastAsia="Calibri" w:hAnsi="Times New Roman" w:cs="Times New Roman"/>
          <w:i/>
          <w:sz w:val="20"/>
          <w:szCs w:val="20"/>
        </w:rPr>
        <w:t xml:space="preserve"> Grada Zagreba</w:t>
      </w:r>
    </w:p>
    <w:p w14:paraId="1E8642D9" w14:textId="0726EC91" w:rsidR="00E40AC8" w:rsidRPr="007A104F" w:rsidRDefault="00900184" w:rsidP="007A104F">
      <w:pPr>
        <w:spacing w:after="0" w:line="240" w:lineRule="auto"/>
        <w:ind w:left="280" w:right="0" w:hanging="280"/>
        <w:jc w:val="left"/>
        <w:rPr>
          <w:rFonts w:ascii="Times New Roman" w:hAnsi="Times New Roman" w:cs="Times New Roman"/>
          <w:b/>
          <w:sz w:val="28"/>
        </w:rPr>
      </w:pPr>
      <w:bookmarkStart w:id="57" w:name="_Toc2938575"/>
      <w:r w:rsidRPr="007A104F">
        <w:rPr>
          <w:rFonts w:ascii="Times New Roman" w:hAnsi="Times New Roman" w:cs="Times New Roman"/>
          <w:b/>
          <w:sz w:val="28"/>
        </w:rPr>
        <w:lastRenderedPageBreak/>
        <w:t>4. Kriteriji za procjenu utjecaja prijetnji na kategorije društvenih vrijednosti</w:t>
      </w:r>
      <w:bookmarkEnd w:id="57"/>
    </w:p>
    <w:p w14:paraId="1FBF3BAD" w14:textId="77777777" w:rsidR="00E40AC8" w:rsidRPr="005142C4" w:rsidRDefault="00E40AC8" w:rsidP="005142C4">
      <w:pPr>
        <w:spacing w:after="0" w:line="240" w:lineRule="auto"/>
        <w:ind w:left="0" w:right="0" w:firstLine="0"/>
        <w:jc w:val="left"/>
        <w:rPr>
          <w:rFonts w:ascii="Times New Roman" w:hAnsi="Times New Roman" w:cs="Times New Roman"/>
          <w:sz w:val="24"/>
        </w:rPr>
      </w:pPr>
    </w:p>
    <w:p w14:paraId="06612236" w14:textId="77777777" w:rsidR="00116089" w:rsidRDefault="00900184" w:rsidP="00116089">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Procjena rizika od velikih nesreća sadrži skup procijenjenih relevantnih rizika opisanih u scenarijima koji su utemeljeni na prijetnjama koje mogu izazvati neželjene posljedice na području Grada Zagreba. Za potrebe izrade procjene rizika od velikih nesreća definirane su tri skupine posljedica po društvene vrijednosti</w:t>
      </w:r>
      <w:r w:rsidR="00116089">
        <w:rPr>
          <w:rFonts w:ascii="Times New Roman" w:hAnsi="Times New Roman" w:cs="Times New Roman"/>
          <w:sz w:val="24"/>
        </w:rPr>
        <w:t>,</w:t>
      </w:r>
      <w:r w:rsidRPr="005142C4">
        <w:rPr>
          <w:rFonts w:ascii="Times New Roman" w:hAnsi="Times New Roman" w:cs="Times New Roman"/>
          <w:sz w:val="24"/>
        </w:rPr>
        <w:t xml:space="preserve"> i to:</w:t>
      </w:r>
    </w:p>
    <w:p w14:paraId="576A143C" w14:textId="3E1BAC10" w:rsidR="00116089" w:rsidRDefault="00E40AC8" w:rsidP="00116089">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color="000000"/>
        </w:rPr>
        <w:t>1.</w:t>
      </w:r>
      <w:r w:rsidR="00116089">
        <w:rPr>
          <w:rFonts w:ascii="Times New Roman" w:hAnsi="Times New Roman" w:cs="Times New Roman"/>
          <w:sz w:val="24"/>
          <w:u w:color="000000"/>
        </w:rPr>
        <w:t xml:space="preserve"> </w:t>
      </w:r>
      <w:r w:rsidR="00116089" w:rsidRPr="005142C4">
        <w:rPr>
          <w:rFonts w:ascii="Times New Roman" w:hAnsi="Times New Roman" w:cs="Times New Roman"/>
          <w:sz w:val="24"/>
        </w:rPr>
        <w:t xml:space="preserve">život </w:t>
      </w:r>
      <w:r w:rsidR="00900184" w:rsidRPr="005142C4">
        <w:rPr>
          <w:rFonts w:ascii="Times New Roman" w:hAnsi="Times New Roman" w:cs="Times New Roman"/>
          <w:sz w:val="24"/>
        </w:rPr>
        <w:t>i zdravlje ljudi</w:t>
      </w:r>
    </w:p>
    <w:p w14:paraId="1B97187E" w14:textId="77777777" w:rsidR="00116089" w:rsidRDefault="00E40AC8" w:rsidP="00116089">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u w:color="000000"/>
        </w:rPr>
        <w:t>2.</w:t>
      </w:r>
      <w:r w:rsidR="00116089">
        <w:rPr>
          <w:rFonts w:ascii="Times New Roman" w:hAnsi="Times New Roman" w:cs="Times New Roman"/>
          <w:sz w:val="24"/>
          <w:u w:color="000000"/>
        </w:rPr>
        <w:t xml:space="preserve"> </w:t>
      </w:r>
      <w:r w:rsidR="00116089" w:rsidRPr="005142C4">
        <w:rPr>
          <w:rFonts w:ascii="Times New Roman" w:hAnsi="Times New Roman" w:cs="Times New Roman"/>
          <w:sz w:val="24"/>
        </w:rPr>
        <w:t xml:space="preserve">gospodarstvo </w:t>
      </w:r>
      <w:r w:rsidR="00900184" w:rsidRPr="005142C4">
        <w:rPr>
          <w:rFonts w:ascii="Times New Roman" w:hAnsi="Times New Roman" w:cs="Times New Roman"/>
          <w:sz w:val="24"/>
        </w:rPr>
        <w:t>i</w:t>
      </w:r>
    </w:p>
    <w:p w14:paraId="0E935352" w14:textId="77777777" w:rsidR="00116089" w:rsidRDefault="00900184" w:rsidP="00116089">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3</w:t>
      </w:r>
      <w:r w:rsidR="00116089" w:rsidRPr="005142C4">
        <w:rPr>
          <w:rFonts w:ascii="Times New Roman" w:hAnsi="Times New Roman" w:cs="Times New Roman"/>
          <w:sz w:val="24"/>
        </w:rPr>
        <w:t>. društven</w:t>
      </w:r>
      <w:r w:rsidR="00116089">
        <w:rPr>
          <w:rFonts w:ascii="Times New Roman" w:hAnsi="Times New Roman" w:cs="Times New Roman"/>
          <w:sz w:val="24"/>
        </w:rPr>
        <w:t>u</w:t>
      </w:r>
      <w:r w:rsidR="00116089" w:rsidRPr="005142C4">
        <w:rPr>
          <w:rFonts w:ascii="Times New Roman" w:hAnsi="Times New Roman" w:cs="Times New Roman"/>
          <w:sz w:val="24"/>
        </w:rPr>
        <w:t xml:space="preserve"> </w:t>
      </w:r>
      <w:r w:rsidRPr="005142C4">
        <w:rPr>
          <w:rFonts w:ascii="Times New Roman" w:hAnsi="Times New Roman" w:cs="Times New Roman"/>
          <w:sz w:val="24"/>
        </w:rPr>
        <w:t>stabilnost i politik</w:t>
      </w:r>
      <w:r w:rsidR="00116089">
        <w:rPr>
          <w:rFonts w:ascii="Times New Roman" w:hAnsi="Times New Roman" w:cs="Times New Roman"/>
          <w:sz w:val="24"/>
        </w:rPr>
        <w:t>u</w:t>
      </w:r>
      <w:r w:rsidRPr="005142C4">
        <w:rPr>
          <w:rFonts w:ascii="Times New Roman" w:hAnsi="Times New Roman" w:cs="Times New Roman"/>
          <w:sz w:val="24"/>
        </w:rPr>
        <w:t>.</w:t>
      </w:r>
    </w:p>
    <w:p w14:paraId="44F03772" w14:textId="2A1D2026" w:rsidR="00E40AC8" w:rsidRPr="006218CF" w:rsidRDefault="00900184" w:rsidP="00F07D1D">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xml:space="preserve">Referentne vrijednosti koje se uzimaju u obzir prilikom izračuna kategorije posljedica su: broj stanovnika na području Grada Zagreba </w:t>
      </w:r>
      <w:r w:rsidR="00F07D1D" w:rsidRPr="006218CF">
        <w:rPr>
          <w:rFonts w:ascii="Times New Roman" w:hAnsi="Times New Roman" w:cs="Times New Roman"/>
          <w:color w:val="auto"/>
          <w:sz w:val="24"/>
        </w:rPr>
        <w:t>prema prvim rezultatima popisa stanovništva 2021. godine - 769 944</w:t>
      </w:r>
      <w:r w:rsidRPr="006218CF">
        <w:rPr>
          <w:rFonts w:ascii="Times New Roman" w:hAnsi="Times New Roman" w:cs="Times New Roman"/>
          <w:color w:val="auto"/>
          <w:sz w:val="24"/>
        </w:rPr>
        <w:t xml:space="preserve"> i proračun Grada Zagreba za 20</w:t>
      </w:r>
      <w:r w:rsidR="00F07D1D" w:rsidRPr="006218CF">
        <w:rPr>
          <w:rFonts w:ascii="Times New Roman" w:hAnsi="Times New Roman" w:cs="Times New Roman"/>
          <w:color w:val="auto"/>
          <w:sz w:val="24"/>
        </w:rPr>
        <w:t>22. godinu</w:t>
      </w:r>
      <w:r w:rsidRPr="006218CF">
        <w:rPr>
          <w:rFonts w:ascii="Times New Roman" w:hAnsi="Times New Roman" w:cs="Times New Roman"/>
          <w:color w:val="auto"/>
          <w:sz w:val="24"/>
        </w:rPr>
        <w:t xml:space="preserve"> </w:t>
      </w:r>
      <w:r w:rsidR="00EE6A22" w:rsidRPr="006218CF">
        <w:rPr>
          <w:rFonts w:ascii="Times New Roman" w:hAnsi="Times New Roman" w:cs="Times New Roman"/>
          <w:color w:val="auto"/>
          <w:sz w:val="24"/>
        </w:rPr>
        <w:t>-</w:t>
      </w:r>
      <w:r w:rsidRPr="006218CF">
        <w:rPr>
          <w:rFonts w:ascii="Times New Roman" w:hAnsi="Times New Roman" w:cs="Times New Roman"/>
          <w:color w:val="auto"/>
          <w:sz w:val="24"/>
        </w:rPr>
        <w:t xml:space="preserve"> </w:t>
      </w:r>
      <w:r w:rsidR="00F07D1D" w:rsidRPr="006218CF">
        <w:rPr>
          <w:rFonts w:ascii="Times New Roman" w:hAnsi="Times New Roman" w:cs="Times New Roman"/>
          <w:b/>
          <w:color w:val="auto"/>
          <w:sz w:val="24"/>
        </w:rPr>
        <w:t>15</w:t>
      </w:r>
      <w:r w:rsidRPr="006218CF">
        <w:rPr>
          <w:rFonts w:ascii="Times New Roman" w:hAnsi="Times New Roman" w:cs="Times New Roman"/>
          <w:b/>
          <w:color w:val="auto"/>
          <w:sz w:val="24"/>
        </w:rPr>
        <w:t>.</w:t>
      </w:r>
      <w:r w:rsidR="00F07D1D" w:rsidRPr="006218CF">
        <w:rPr>
          <w:rFonts w:ascii="Times New Roman" w:hAnsi="Times New Roman" w:cs="Times New Roman"/>
          <w:b/>
          <w:color w:val="auto"/>
          <w:sz w:val="24"/>
        </w:rPr>
        <w:t>126</w:t>
      </w:r>
      <w:r w:rsidRPr="006218CF">
        <w:rPr>
          <w:rFonts w:ascii="Times New Roman" w:hAnsi="Times New Roman" w:cs="Times New Roman"/>
          <w:b/>
          <w:color w:val="auto"/>
          <w:sz w:val="24"/>
        </w:rPr>
        <w:t>.</w:t>
      </w:r>
      <w:r w:rsidR="00F07D1D" w:rsidRPr="006218CF">
        <w:rPr>
          <w:rFonts w:ascii="Times New Roman" w:hAnsi="Times New Roman" w:cs="Times New Roman"/>
          <w:b/>
          <w:color w:val="auto"/>
          <w:sz w:val="24"/>
        </w:rPr>
        <w:t>911</w:t>
      </w:r>
      <w:r w:rsidRPr="006218CF">
        <w:rPr>
          <w:rFonts w:ascii="Times New Roman" w:hAnsi="Times New Roman" w:cs="Times New Roman"/>
          <w:b/>
          <w:color w:val="auto"/>
          <w:sz w:val="24"/>
        </w:rPr>
        <w:t>.</w:t>
      </w:r>
      <w:r w:rsidR="00F07D1D" w:rsidRPr="006218CF">
        <w:rPr>
          <w:rFonts w:ascii="Times New Roman" w:hAnsi="Times New Roman" w:cs="Times New Roman"/>
          <w:b/>
          <w:color w:val="auto"/>
          <w:sz w:val="24"/>
        </w:rPr>
        <w:t xml:space="preserve">800 </w:t>
      </w:r>
      <w:r w:rsidRPr="006218CF">
        <w:rPr>
          <w:rFonts w:ascii="Times New Roman" w:hAnsi="Times New Roman" w:cs="Times New Roman"/>
          <w:b/>
          <w:color w:val="auto"/>
          <w:sz w:val="24"/>
        </w:rPr>
        <w:t>kuna</w:t>
      </w:r>
      <w:r w:rsidRPr="006218CF">
        <w:rPr>
          <w:rFonts w:ascii="Times New Roman" w:hAnsi="Times New Roman" w:cs="Times New Roman"/>
          <w:color w:val="auto"/>
          <w:sz w:val="24"/>
        </w:rPr>
        <w:t>.</w:t>
      </w:r>
    </w:p>
    <w:p w14:paraId="4E8BF544" w14:textId="77777777" w:rsidR="00116089" w:rsidRPr="005142C4" w:rsidRDefault="00116089" w:rsidP="00116089">
      <w:pPr>
        <w:spacing w:after="0" w:line="240" w:lineRule="auto"/>
        <w:ind w:right="0"/>
        <w:rPr>
          <w:rFonts w:ascii="Times New Roman" w:hAnsi="Times New Roman" w:cs="Times New Roman"/>
          <w:sz w:val="24"/>
        </w:rPr>
      </w:pPr>
    </w:p>
    <w:p w14:paraId="6A4D1E46" w14:textId="77777777" w:rsidR="00E40AC8" w:rsidRPr="00116089" w:rsidRDefault="00900184" w:rsidP="00116089">
      <w:pPr>
        <w:spacing w:after="0" w:line="240" w:lineRule="auto"/>
        <w:ind w:right="0"/>
        <w:rPr>
          <w:rFonts w:ascii="Times New Roman" w:hAnsi="Times New Roman" w:cs="Times New Roman"/>
          <w:b/>
          <w:sz w:val="24"/>
        </w:rPr>
      </w:pPr>
      <w:bookmarkStart w:id="58" w:name="_Toc2938576"/>
      <w:r w:rsidRPr="00116089">
        <w:rPr>
          <w:rFonts w:ascii="Times New Roman" w:hAnsi="Times New Roman" w:cs="Times New Roman"/>
          <w:b/>
          <w:sz w:val="24"/>
        </w:rPr>
        <w:t>4.1. Život i zdravlje ljudi</w:t>
      </w:r>
      <w:bookmarkEnd w:id="58"/>
    </w:p>
    <w:p w14:paraId="2B8F44D7" w14:textId="77777777" w:rsidR="00E40AC8" w:rsidRPr="005142C4" w:rsidRDefault="00E40AC8" w:rsidP="005142C4">
      <w:pPr>
        <w:spacing w:after="0" w:line="240" w:lineRule="auto"/>
        <w:ind w:left="0" w:right="0" w:firstLine="0"/>
        <w:jc w:val="left"/>
        <w:rPr>
          <w:rFonts w:ascii="Times New Roman" w:hAnsi="Times New Roman" w:cs="Times New Roman"/>
          <w:sz w:val="24"/>
        </w:rPr>
      </w:pPr>
    </w:p>
    <w:p w14:paraId="3250A4AD" w14:textId="26EE7F49" w:rsidR="00E40AC8" w:rsidRPr="008C05C9" w:rsidRDefault="00900184" w:rsidP="00116089">
      <w:pPr>
        <w:spacing w:after="0" w:line="240" w:lineRule="auto"/>
        <w:ind w:left="0" w:right="0" w:firstLine="709"/>
        <w:rPr>
          <w:rFonts w:ascii="Times New Roman" w:hAnsi="Times New Roman" w:cs="Times New Roman"/>
          <w:color w:val="FF0000"/>
          <w:sz w:val="24"/>
        </w:rPr>
      </w:pPr>
      <w:r w:rsidRPr="005142C4">
        <w:rPr>
          <w:rFonts w:ascii="Times New Roman" w:hAnsi="Times New Roman" w:cs="Times New Roman"/>
          <w:sz w:val="24"/>
        </w:rPr>
        <w:t xml:space="preserve">Posljedice na život i zdravlje ljudi prikazuju se ukupnim brojem ljudi (dobiven jednostavnim zbrajanjem, bez ponderiranja) za koje se procjenjuje kako mogu biti u sastavu nekog od procesa nastalih kao posljedica događaja opisanih scenarijem (poginuli, ozlijeđeni, oboljeli, evakuirani, zbrinuti i sklonjeni) u odnosu na ukupan broj od </w:t>
      </w:r>
      <w:r w:rsidR="000F205B" w:rsidRPr="006218CF">
        <w:rPr>
          <w:rFonts w:ascii="Times New Roman" w:hAnsi="Times New Roman" w:cs="Times New Roman"/>
          <w:color w:val="auto"/>
          <w:sz w:val="24"/>
        </w:rPr>
        <w:t>769</w:t>
      </w:r>
      <w:r w:rsidRPr="006218CF">
        <w:rPr>
          <w:rFonts w:ascii="Times New Roman" w:hAnsi="Times New Roman" w:cs="Times New Roman"/>
          <w:color w:val="auto"/>
          <w:sz w:val="24"/>
        </w:rPr>
        <w:t xml:space="preserve"> </w:t>
      </w:r>
      <w:r w:rsidR="00E92F01" w:rsidRPr="006218CF">
        <w:rPr>
          <w:rFonts w:ascii="Times New Roman" w:hAnsi="Times New Roman" w:cs="Times New Roman"/>
          <w:color w:val="auto"/>
          <w:sz w:val="24"/>
        </w:rPr>
        <w:t>944</w:t>
      </w:r>
      <w:r w:rsidRPr="006218CF">
        <w:rPr>
          <w:rFonts w:ascii="Times New Roman" w:hAnsi="Times New Roman" w:cs="Times New Roman"/>
          <w:color w:val="auto"/>
          <w:sz w:val="24"/>
        </w:rPr>
        <w:t xml:space="preserve"> stanovnika Grada Zagreba.</w:t>
      </w:r>
    </w:p>
    <w:p w14:paraId="20D1FA6E" w14:textId="2DAAD547" w:rsidR="003F7A56" w:rsidRPr="006218CF" w:rsidRDefault="00900184" w:rsidP="00476BBA">
      <w:pPr>
        <w:spacing w:line="240" w:lineRule="auto"/>
        <w:ind w:left="0" w:right="0" w:firstLine="0"/>
        <w:jc w:val="center"/>
        <w:rPr>
          <w:rFonts w:ascii="Times New Roman" w:hAnsi="Times New Roman" w:cs="Times New Roman"/>
          <w:b/>
          <w:color w:val="auto"/>
          <w:sz w:val="24"/>
        </w:rPr>
      </w:pPr>
      <w:bookmarkStart w:id="59" w:name="_Toc2938577"/>
      <w:r w:rsidRPr="006218CF">
        <w:rPr>
          <w:rFonts w:ascii="Times New Roman" w:hAnsi="Times New Roman" w:cs="Times New Roman"/>
          <w:b/>
          <w:color w:val="auto"/>
          <w:sz w:val="24"/>
        </w:rPr>
        <w:t xml:space="preserve">Tablica </w:t>
      </w:r>
      <w:r w:rsidR="00381D97">
        <w:rPr>
          <w:rFonts w:ascii="Times New Roman" w:hAnsi="Times New Roman" w:cs="Times New Roman"/>
          <w:b/>
          <w:color w:val="auto"/>
          <w:sz w:val="24"/>
        </w:rPr>
        <w:t>32</w:t>
      </w:r>
      <w:r w:rsidRPr="006218CF">
        <w:rPr>
          <w:rFonts w:ascii="Times New Roman" w:hAnsi="Times New Roman" w:cs="Times New Roman"/>
          <w:b/>
          <w:color w:val="auto"/>
          <w:sz w:val="24"/>
        </w:rPr>
        <w:t xml:space="preserve">. </w:t>
      </w:r>
      <w:r w:rsidR="00EE6A22" w:rsidRPr="006218CF">
        <w:rPr>
          <w:rFonts w:ascii="Times New Roman" w:hAnsi="Times New Roman" w:cs="Times New Roman"/>
          <w:b/>
          <w:color w:val="auto"/>
          <w:sz w:val="24"/>
        </w:rPr>
        <w:t>-</w:t>
      </w:r>
      <w:r w:rsidRPr="006218CF">
        <w:rPr>
          <w:rFonts w:ascii="Times New Roman" w:hAnsi="Times New Roman" w:cs="Times New Roman"/>
          <w:b/>
          <w:color w:val="auto"/>
          <w:sz w:val="24"/>
        </w:rPr>
        <w:t xml:space="preserve"> Život i zdravlje ljudi</w:t>
      </w:r>
      <w:bookmarkEnd w:id="59"/>
      <w:r w:rsidRPr="006218CF">
        <w:rPr>
          <w:rFonts w:ascii="Times New Roman" w:hAnsi="Times New Roman" w:cs="Times New Roman"/>
          <w:b/>
          <w:color w:val="auto"/>
          <w:sz w:val="24"/>
        </w:rPr>
        <w:t xml:space="preserve"> </w:t>
      </w:r>
    </w:p>
    <w:tbl>
      <w:tblPr>
        <w:tblStyle w:val="TableGrid"/>
        <w:tblW w:w="9072" w:type="dxa"/>
        <w:tblInd w:w="0" w:type="dxa"/>
        <w:tblLayout w:type="fixed"/>
        <w:tblCellMar>
          <w:top w:w="5" w:type="dxa"/>
          <w:left w:w="57" w:type="dxa"/>
          <w:right w:w="57" w:type="dxa"/>
        </w:tblCellMar>
        <w:tblLook w:val="04A0" w:firstRow="1" w:lastRow="0" w:firstColumn="1" w:lastColumn="0" w:noHBand="0" w:noVBand="1"/>
      </w:tblPr>
      <w:tblGrid>
        <w:gridCol w:w="1419"/>
        <w:gridCol w:w="2118"/>
        <w:gridCol w:w="2984"/>
        <w:gridCol w:w="2551"/>
      </w:tblGrid>
      <w:tr w:rsidR="003F7A56" w:rsidRPr="006D08F1" w14:paraId="17DEE363" w14:textId="77777777" w:rsidTr="006E5FA9">
        <w:trPr>
          <w:cantSplit/>
          <w:tblHeader/>
        </w:trPr>
        <w:tc>
          <w:tcPr>
            <w:tcW w:w="14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C34BF70" w14:textId="77777777" w:rsidR="003F7A56" w:rsidRPr="006218CF" w:rsidRDefault="00900184" w:rsidP="00116089">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b/>
                <w:color w:val="auto"/>
              </w:rPr>
              <w:t>Kategorija</w:t>
            </w:r>
          </w:p>
        </w:tc>
        <w:tc>
          <w:tcPr>
            <w:tcW w:w="21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EA0E396" w14:textId="77777777" w:rsidR="003F7A56" w:rsidRPr="006218CF" w:rsidRDefault="00900184" w:rsidP="00116089">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b/>
                <w:color w:val="auto"/>
              </w:rPr>
              <w:t>Posljedice</w:t>
            </w:r>
          </w:p>
        </w:tc>
        <w:tc>
          <w:tcPr>
            <w:tcW w:w="2984"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D47B84C" w14:textId="77777777" w:rsidR="003F7A56" w:rsidRPr="006218CF" w:rsidRDefault="00900184" w:rsidP="00116089">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b/>
                <w:color w:val="auto"/>
              </w:rPr>
              <w:t>Kriterij</w:t>
            </w:r>
            <w:r w:rsidR="00E05F09" w:rsidRPr="006218CF">
              <w:rPr>
                <w:rFonts w:ascii="Times New Roman" w:hAnsi="Times New Roman" w:cs="Times New Roman"/>
                <w:b/>
                <w:color w:val="auto"/>
              </w:rPr>
              <w:t> %</w:t>
            </w:r>
            <w:r w:rsidRPr="006218CF">
              <w:rPr>
                <w:rFonts w:ascii="Times New Roman" w:hAnsi="Times New Roman" w:cs="Times New Roman"/>
                <w:b/>
                <w:color w:val="auto"/>
              </w:rPr>
              <w:t xml:space="preserve"> osoba Grada Zagreba</w:t>
            </w:r>
          </w:p>
        </w:tc>
        <w:tc>
          <w:tcPr>
            <w:tcW w:w="255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3762E66" w14:textId="77777777" w:rsidR="003F7A56" w:rsidRPr="006218CF" w:rsidRDefault="00900184" w:rsidP="00116089">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b/>
                <w:color w:val="auto"/>
              </w:rPr>
              <w:t xml:space="preserve">Kriterij </w:t>
            </w:r>
            <w:r w:rsidR="00EE6A22" w:rsidRPr="006218CF">
              <w:rPr>
                <w:rFonts w:ascii="Times New Roman" w:hAnsi="Times New Roman" w:cs="Times New Roman"/>
                <w:b/>
                <w:color w:val="auto"/>
              </w:rPr>
              <w:t>-</w:t>
            </w:r>
            <w:r w:rsidRPr="006218CF">
              <w:rPr>
                <w:rFonts w:ascii="Times New Roman" w:hAnsi="Times New Roman" w:cs="Times New Roman"/>
                <w:b/>
                <w:color w:val="auto"/>
              </w:rPr>
              <w:t xml:space="preserve"> osoba</w:t>
            </w:r>
          </w:p>
        </w:tc>
      </w:tr>
      <w:tr w:rsidR="003F7A56" w:rsidRPr="006D08F1" w14:paraId="4D265B47" w14:textId="77777777" w:rsidTr="006E5FA9">
        <w:trPr>
          <w:cantSplit/>
        </w:trPr>
        <w:tc>
          <w:tcPr>
            <w:tcW w:w="14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CC608D5" w14:textId="77777777" w:rsidR="003F7A56" w:rsidRPr="006218CF" w:rsidRDefault="00900184" w:rsidP="00116089">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1</w:t>
            </w:r>
            <w:r w:rsidR="00116089" w:rsidRPr="006218CF">
              <w:rPr>
                <w:rFonts w:ascii="Times New Roman" w:hAnsi="Times New Roman" w:cs="Times New Roman"/>
                <w:color w:val="auto"/>
              </w:rPr>
              <w:t>.</w:t>
            </w:r>
          </w:p>
        </w:tc>
        <w:tc>
          <w:tcPr>
            <w:tcW w:w="2118" w:type="dxa"/>
            <w:tcBorders>
              <w:top w:val="single" w:sz="4" w:space="0" w:color="000000"/>
              <w:left w:val="single" w:sz="4" w:space="0" w:color="000000"/>
              <w:bottom w:val="single" w:sz="4" w:space="0" w:color="000000"/>
              <w:right w:val="single" w:sz="4" w:space="0" w:color="000000"/>
            </w:tcBorders>
            <w:vAlign w:val="center"/>
          </w:tcPr>
          <w:p w14:paraId="344DB23D" w14:textId="77777777" w:rsidR="003F7A56" w:rsidRPr="006218CF" w:rsidRDefault="00900184" w:rsidP="00116089">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Neznatne</w:t>
            </w:r>
          </w:p>
        </w:tc>
        <w:tc>
          <w:tcPr>
            <w:tcW w:w="2984" w:type="dxa"/>
            <w:tcBorders>
              <w:top w:val="single" w:sz="4" w:space="0" w:color="000000"/>
              <w:left w:val="single" w:sz="4" w:space="0" w:color="000000"/>
              <w:bottom w:val="single" w:sz="4" w:space="0" w:color="000000"/>
              <w:right w:val="single" w:sz="4" w:space="0" w:color="000000"/>
            </w:tcBorders>
            <w:vAlign w:val="center"/>
          </w:tcPr>
          <w:p w14:paraId="23BBA65A" w14:textId="77777777" w:rsidR="003F7A56" w:rsidRPr="006218CF" w:rsidRDefault="00900184" w:rsidP="00116089">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*&lt;0,001</w:t>
            </w:r>
          </w:p>
        </w:tc>
        <w:tc>
          <w:tcPr>
            <w:tcW w:w="2551" w:type="dxa"/>
            <w:tcBorders>
              <w:top w:val="single" w:sz="4" w:space="0" w:color="000000"/>
              <w:left w:val="single" w:sz="4" w:space="0" w:color="000000"/>
              <w:bottom w:val="single" w:sz="4" w:space="0" w:color="000000"/>
              <w:right w:val="single" w:sz="4" w:space="0" w:color="000000"/>
            </w:tcBorders>
            <w:vAlign w:val="center"/>
          </w:tcPr>
          <w:p w14:paraId="70E99C84" w14:textId="77777777" w:rsidR="003F7A56" w:rsidRPr="006218CF" w:rsidRDefault="00900184" w:rsidP="00116089">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&lt;8</w:t>
            </w:r>
          </w:p>
        </w:tc>
      </w:tr>
      <w:tr w:rsidR="003F7A56" w:rsidRPr="006D08F1" w14:paraId="4474F077" w14:textId="77777777" w:rsidTr="006E5FA9">
        <w:trPr>
          <w:cantSplit/>
        </w:trPr>
        <w:tc>
          <w:tcPr>
            <w:tcW w:w="14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3889F37" w14:textId="77777777" w:rsidR="003F7A56" w:rsidRPr="006218CF" w:rsidRDefault="00900184" w:rsidP="00116089">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2</w:t>
            </w:r>
            <w:r w:rsidR="00116089" w:rsidRPr="006218CF">
              <w:rPr>
                <w:rFonts w:ascii="Times New Roman" w:hAnsi="Times New Roman" w:cs="Times New Roman"/>
                <w:color w:val="auto"/>
              </w:rPr>
              <w:t>.</w:t>
            </w:r>
          </w:p>
        </w:tc>
        <w:tc>
          <w:tcPr>
            <w:tcW w:w="2118" w:type="dxa"/>
            <w:tcBorders>
              <w:top w:val="single" w:sz="4" w:space="0" w:color="000000"/>
              <w:left w:val="single" w:sz="4" w:space="0" w:color="000000"/>
              <w:bottom w:val="single" w:sz="4" w:space="0" w:color="000000"/>
              <w:right w:val="single" w:sz="4" w:space="0" w:color="000000"/>
            </w:tcBorders>
            <w:vAlign w:val="center"/>
          </w:tcPr>
          <w:p w14:paraId="3B50D474" w14:textId="77777777" w:rsidR="003F7A56" w:rsidRPr="006218CF" w:rsidRDefault="00900184" w:rsidP="00116089">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Malene</w:t>
            </w:r>
          </w:p>
        </w:tc>
        <w:tc>
          <w:tcPr>
            <w:tcW w:w="2984" w:type="dxa"/>
            <w:tcBorders>
              <w:top w:val="single" w:sz="4" w:space="0" w:color="000000"/>
              <w:left w:val="single" w:sz="4" w:space="0" w:color="000000"/>
              <w:bottom w:val="single" w:sz="4" w:space="0" w:color="000000"/>
              <w:right w:val="single" w:sz="4" w:space="0" w:color="000000"/>
            </w:tcBorders>
            <w:vAlign w:val="center"/>
          </w:tcPr>
          <w:p w14:paraId="26F326F5" w14:textId="77777777" w:rsidR="003F7A56" w:rsidRPr="006218CF" w:rsidRDefault="00900184" w:rsidP="00116089">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0,001</w:t>
            </w:r>
            <w:r w:rsidR="00116089" w:rsidRPr="006218CF">
              <w:rPr>
                <w:rFonts w:ascii="Times New Roman" w:hAnsi="Times New Roman" w:cs="Times New Roman"/>
                <w:color w:val="auto"/>
              </w:rPr>
              <w:t xml:space="preserve"> </w:t>
            </w:r>
            <w:r w:rsidR="00EE6A22" w:rsidRPr="006218CF">
              <w:rPr>
                <w:rFonts w:ascii="Times New Roman" w:hAnsi="Times New Roman" w:cs="Times New Roman"/>
                <w:color w:val="auto"/>
              </w:rPr>
              <w:t>-</w:t>
            </w:r>
            <w:r w:rsidR="00116089" w:rsidRPr="006218CF">
              <w:rPr>
                <w:rFonts w:ascii="Times New Roman" w:hAnsi="Times New Roman" w:cs="Times New Roman"/>
                <w:color w:val="auto"/>
              </w:rPr>
              <w:t xml:space="preserve"> </w:t>
            </w:r>
            <w:r w:rsidRPr="006218CF">
              <w:rPr>
                <w:rFonts w:ascii="Times New Roman" w:hAnsi="Times New Roman" w:cs="Times New Roman"/>
                <w:color w:val="auto"/>
              </w:rPr>
              <w:t>0,0046</w:t>
            </w:r>
          </w:p>
        </w:tc>
        <w:tc>
          <w:tcPr>
            <w:tcW w:w="2551" w:type="dxa"/>
            <w:tcBorders>
              <w:top w:val="single" w:sz="4" w:space="0" w:color="000000"/>
              <w:left w:val="single" w:sz="4" w:space="0" w:color="000000"/>
              <w:bottom w:val="single" w:sz="4" w:space="0" w:color="000000"/>
              <w:right w:val="single" w:sz="4" w:space="0" w:color="000000"/>
            </w:tcBorders>
            <w:vAlign w:val="center"/>
          </w:tcPr>
          <w:p w14:paraId="592A3D0D" w14:textId="06CDAD09" w:rsidR="003F7A56" w:rsidRPr="006218CF" w:rsidRDefault="00900184" w:rsidP="00116089">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8</w:t>
            </w:r>
            <w:r w:rsidR="00EE6A22" w:rsidRPr="006218CF">
              <w:rPr>
                <w:rFonts w:ascii="Times New Roman" w:hAnsi="Times New Roman" w:cs="Times New Roman"/>
                <w:color w:val="auto"/>
              </w:rPr>
              <w:t>-</w:t>
            </w:r>
            <w:r w:rsidRPr="006218CF">
              <w:rPr>
                <w:rFonts w:ascii="Times New Roman" w:hAnsi="Times New Roman" w:cs="Times New Roman"/>
                <w:color w:val="auto"/>
              </w:rPr>
              <w:t>3</w:t>
            </w:r>
            <w:r w:rsidR="006E0909" w:rsidRPr="006218CF">
              <w:rPr>
                <w:rFonts w:ascii="Times New Roman" w:hAnsi="Times New Roman" w:cs="Times New Roman"/>
                <w:color w:val="auto"/>
              </w:rPr>
              <w:t>5</w:t>
            </w:r>
          </w:p>
        </w:tc>
      </w:tr>
      <w:tr w:rsidR="003F7A56" w:rsidRPr="006D08F1" w14:paraId="5EAF45AD" w14:textId="77777777" w:rsidTr="006E5FA9">
        <w:trPr>
          <w:cantSplit/>
        </w:trPr>
        <w:tc>
          <w:tcPr>
            <w:tcW w:w="14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539EFC7" w14:textId="77777777" w:rsidR="003F7A56" w:rsidRPr="006218CF" w:rsidRDefault="00900184" w:rsidP="00116089">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3</w:t>
            </w:r>
            <w:r w:rsidR="00116089" w:rsidRPr="006218CF">
              <w:rPr>
                <w:rFonts w:ascii="Times New Roman" w:hAnsi="Times New Roman" w:cs="Times New Roman"/>
                <w:color w:val="auto"/>
              </w:rPr>
              <w:t>.</w:t>
            </w:r>
          </w:p>
        </w:tc>
        <w:tc>
          <w:tcPr>
            <w:tcW w:w="2118" w:type="dxa"/>
            <w:tcBorders>
              <w:top w:val="single" w:sz="4" w:space="0" w:color="000000"/>
              <w:left w:val="single" w:sz="4" w:space="0" w:color="000000"/>
              <w:bottom w:val="single" w:sz="4" w:space="0" w:color="000000"/>
              <w:right w:val="single" w:sz="4" w:space="0" w:color="000000"/>
            </w:tcBorders>
            <w:vAlign w:val="center"/>
          </w:tcPr>
          <w:p w14:paraId="2AB08A5F" w14:textId="77777777" w:rsidR="003F7A56" w:rsidRPr="006218CF" w:rsidRDefault="00900184" w:rsidP="00116089">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Umjerene</w:t>
            </w:r>
          </w:p>
        </w:tc>
        <w:tc>
          <w:tcPr>
            <w:tcW w:w="2984" w:type="dxa"/>
            <w:tcBorders>
              <w:top w:val="single" w:sz="4" w:space="0" w:color="000000"/>
              <w:left w:val="single" w:sz="4" w:space="0" w:color="000000"/>
              <w:bottom w:val="single" w:sz="4" w:space="0" w:color="000000"/>
              <w:right w:val="single" w:sz="4" w:space="0" w:color="000000"/>
            </w:tcBorders>
            <w:vAlign w:val="center"/>
          </w:tcPr>
          <w:p w14:paraId="51B939A0" w14:textId="77777777" w:rsidR="003F7A56" w:rsidRPr="006218CF" w:rsidRDefault="00900184" w:rsidP="00116089">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0,0047</w:t>
            </w:r>
            <w:r w:rsidR="00116089" w:rsidRPr="006218CF">
              <w:rPr>
                <w:rFonts w:ascii="Times New Roman" w:hAnsi="Times New Roman" w:cs="Times New Roman"/>
                <w:color w:val="auto"/>
              </w:rPr>
              <w:t xml:space="preserve"> </w:t>
            </w:r>
            <w:r w:rsidR="00EE6A22" w:rsidRPr="006218CF">
              <w:rPr>
                <w:rFonts w:ascii="Times New Roman" w:hAnsi="Times New Roman" w:cs="Times New Roman"/>
                <w:color w:val="auto"/>
              </w:rPr>
              <w:t>-</w:t>
            </w:r>
            <w:r w:rsidR="00116089" w:rsidRPr="006218CF">
              <w:rPr>
                <w:rFonts w:ascii="Times New Roman" w:hAnsi="Times New Roman" w:cs="Times New Roman"/>
                <w:color w:val="auto"/>
              </w:rPr>
              <w:t xml:space="preserve"> </w:t>
            </w:r>
            <w:r w:rsidRPr="006218CF">
              <w:rPr>
                <w:rFonts w:ascii="Times New Roman" w:hAnsi="Times New Roman" w:cs="Times New Roman"/>
                <w:color w:val="auto"/>
              </w:rPr>
              <w:t>0,011</w:t>
            </w:r>
          </w:p>
        </w:tc>
        <w:tc>
          <w:tcPr>
            <w:tcW w:w="2551" w:type="dxa"/>
            <w:tcBorders>
              <w:top w:val="single" w:sz="4" w:space="0" w:color="000000"/>
              <w:left w:val="single" w:sz="4" w:space="0" w:color="000000"/>
              <w:bottom w:val="single" w:sz="4" w:space="0" w:color="000000"/>
              <w:right w:val="single" w:sz="4" w:space="0" w:color="000000"/>
            </w:tcBorders>
            <w:vAlign w:val="center"/>
          </w:tcPr>
          <w:p w14:paraId="49E4842B" w14:textId="484D218B" w:rsidR="003F7A56" w:rsidRPr="006218CF" w:rsidRDefault="00900184" w:rsidP="00116089">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3</w:t>
            </w:r>
            <w:r w:rsidR="006E0909" w:rsidRPr="006218CF">
              <w:rPr>
                <w:rFonts w:ascii="Times New Roman" w:hAnsi="Times New Roman" w:cs="Times New Roman"/>
                <w:color w:val="auto"/>
              </w:rPr>
              <w:t>5</w:t>
            </w:r>
            <w:r w:rsidR="00EE6A22" w:rsidRPr="006218CF">
              <w:rPr>
                <w:rFonts w:ascii="Times New Roman" w:hAnsi="Times New Roman" w:cs="Times New Roman"/>
                <w:color w:val="auto"/>
              </w:rPr>
              <w:t>-</w:t>
            </w:r>
            <w:r w:rsidR="006E0909" w:rsidRPr="006218CF">
              <w:rPr>
                <w:rFonts w:ascii="Times New Roman" w:hAnsi="Times New Roman" w:cs="Times New Roman"/>
                <w:color w:val="auto"/>
              </w:rPr>
              <w:t>85</w:t>
            </w:r>
          </w:p>
        </w:tc>
      </w:tr>
      <w:tr w:rsidR="003F7A56" w:rsidRPr="006D08F1" w14:paraId="4992EE5A" w14:textId="77777777" w:rsidTr="006E5FA9">
        <w:trPr>
          <w:cantSplit/>
        </w:trPr>
        <w:tc>
          <w:tcPr>
            <w:tcW w:w="14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510F8CF" w14:textId="77777777" w:rsidR="003F7A56" w:rsidRPr="006218CF" w:rsidRDefault="00900184" w:rsidP="00116089">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4</w:t>
            </w:r>
            <w:r w:rsidR="00116089" w:rsidRPr="006218CF">
              <w:rPr>
                <w:rFonts w:ascii="Times New Roman" w:hAnsi="Times New Roman" w:cs="Times New Roman"/>
                <w:color w:val="auto"/>
              </w:rPr>
              <w:t>.</w:t>
            </w:r>
          </w:p>
        </w:tc>
        <w:tc>
          <w:tcPr>
            <w:tcW w:w="2118" w:type="dxa"/>
            <w:tcBorders>
              <w:top w:val="single" w:sz="4" w:space="0" w:color="000000"/>
              <w:left w:val="single" w:sz="4" w:space="0" w:color="000000"/>
              <w:bottom w:val="single" w:sz="4" w:space="0" w:color="000000"/>
              <w:right w:val="single" w:sz="4" w:space="0" w:color="000000"/>
            </w:tcBorders>
            <w:vAlign w:val="center"/>
          </w:tcPr>
          <w:p w14:paraId="7725D372" w14:textId="77777777" w:rsidR="003F7A56" w:rsidRPr="006218CF" w:rsidRDefault="00900184" w:rsidP="00116089">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Zna</w:t>
            </w:r>
            <w:r w:rsidR="00E32E93" w:rsidRPr="006218CF">
              <w:rPr>
                <w:rFonts w:ascii="Times New Roman" w:hAnsi="Times New Roman" w:cs="Times New Roman"/>
                <w:color w:val="auto"/>
              </w:rPr>
              <w:t>tne</w:t>
            </w:r>
          </w:p>
        </w:tc>
        <w:tc>
          <w:tcPr>
            <w:tcW w:w="2984" w:type="dxa"/>
            <w:tcBorders>
              <w:top w:val="single" w:sz="4" w:space="0" w:color="000000"/>
              <w:left w:val="single" w:sz="4" w:space="0" w:color="000000"/>
              <w:bottom w:val="single" w:sz="4" w:space="0" w:color="000000"/>
              <w:right w:val="single" w:sz="4" w:space="0" w:color="000000"/>
            </w:tcBorders>
            <w:vAlign w:val="center"/>
          </w:tcPr>
          <w:p w14:paraId="012DA9BD" w14:textId="77777777" w:rsidR="003F7A56" w:rsidRPr="006218CF" w:rsidRDefault="00900184" w:rsidP="00116089">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0,012</w:t>
            </w:r>
            <w:r w:rsidR="00116089" w:rsidRPr="006218CF">
              <w:rPr>
                <w:rFonts w:ascii="Times New Roman" w:hAnsi="Times New Roman" w:cs="Times New Roman"/>
                <w:color w:val="auto"/>
              </w:rPr>
              <w:t xml:space="preserve"> </w:t>
            </w:r>
            <w:r w:rsidR="00EE6A22" w:rsidRPr="006218CF">
              <w:rPr>
                <w:rFonts w:ascii="Times New Roman" w:hAnsi="Times New Roman" w:cs="Times New Roman"/>
                <w:color w:val="auto"/>
              </w:rPr>
              <w:t>-</w:t>
            </w:r>
            <w:r w:rsidR="00116089" w:rsidRPr="006218CF">
              <w:rPr>
                <w:rFonts w:ascii="Times New Roman" w:hAnsi="Times New Roman" w:cs="Times New Roman"/>
                <w:color w:val="auto"/>
              </w:rPr>
              <w:t xml:space="preserve"> </w:t>
            </w:r>
            <w:r w:rsidRPr="006218CF">
              <w:rPr>
                <w:rFonts w:ascii="Times New Roman" w:hAnsi="Times New Roman" w:cs="Times New Roman"/>
                <w:color w:val="auto"/>
              </w:rPr>
              <w:t>0,035</w:t>
            </w:r>
            <w:r w:rsidR="00E05F09" w:rsidRPr="006218CF">
              <w:rPr>
                <w:rFonts w:ascii="Times New Roman" w:hAnsi="Times New Roman" w:cs="Times New Roman"/>
                <w:color w:val="auto"/>
              </w:rPr>
              <w:t> %</w:t>
            </w:r>
          </w:p>
        </w:tc>
        <w:tc>
          <w:tcPr>
            <w:tcW w:w="2551" w:type="dxa"/>
            <w:tcBorders>
              <w:top w:val="single" w:sz="4" w:space="0" w:color="000000"/>
              <w:left w:val="single" w:sz="4" w:space="0" w:color="000000"/>
              <w:bottom w:val="single" w:sz="4" w:space="0" w:color="000000"/>
              <w:right w:val="single" w:sz="4" w:space="0" w:color="000000"/>
            </w:tcBorders>
            <w:vAlign w:val="center"/>
          </w:tcPr>
          <w:p w14:paraId="4FD56BBC" w14:textId="488C3124" w:rsidR="003F7A56" w:rsidRPr="006218CF" w:rsidRDefault="006E0909" w:rsidP="00116089">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85</w:t>
            </w:r>
            <w:r w:rsidR="00EE6A22" w:rsidRPr="006218CF">
              <w:rPr>
                <w:rFonts w:ascii="Times New Roman" w:hAnsi="Times New Roman" w:cs="Times New Roman"/>
                <w:color w:val="auto"/>
              </w:rPr>
              <w:t>-</w:t>
            </w:r>
            <w:r w:rsidR="00900184" w:rsidRPr="006218CF">
              <w:rPr>
                <w:rFonts w:ascii="Times New Roman" w:hAnsi="Times New Roman" w:cs="Times New Roman"/>
                <w:color w:val="auto"/>
              </w:rPr>
              <w:t>2</w:t>
            </w:r>
            <w:r w:rsidRPr="006218CF">
              <w:rPr>
                <w:rFonts w:ascii="Times New Roman" w:hAnsi="Times New Roman" w:cs="Times New Roman"/>
                <w:color w:val="auto"/>
              </w:rPr>
              <w:t>69</w:t>
            </w:r>
          </w:p>
        </w:tc>
      </w:tr>
      <w:tr w:rsidR="003F7A56" w:rsidRPr="006D08F1" w14:paraId="3AACA75B" w14:textId="77777777" w:rsidTr="006E5FA9">
        <w:trPr>
          <w:cantSplit/>
        </w:trPr>
        <w:tc>
          <w:tcPr>
            <w:tcW w:w="14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4CEDCF2" w14:textId="77777777" w:rsidR="003F7A56" w:rsidRPr="006218CF" w:rsidRDefault="00900184" w:rsidP="00116089">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5</w:t>
            </w:r>
            <w:r w:rsidR="00116089" w:rsidRPr="006218CF">
              <w:rPr>
                <w:rFonts w:ascii="Times New Roman" w:hAnsi="Times New Roman" w:cs="Times New Roman"/>
                <w:color w:val="auto"/>
              </w:rPr>
              <w:t>.</w:t>
            </w:r>
          </w:p>
        </w:tc>
        <w:tc>
          <w:tcPr>
            <w:tcW w:w="2118" w:type="dxa"/>
            <w:tcBorders>
              <w:top w:val="single" w:sz="4" w:space="0" w:color="000000"/>
              <w:left w:val="single" w:sz="4" w:space="0" w:color="000000"/>
              <w:bottom w:val="single" w:sz="4" w:space="0" w:color="000000"/>
              <w:right w:val="single" w:sz="4" w:space="0" w:color="000000"/>
            </w:tcBorders>
            <w:vAlign w:val="center"/>
          </w:tcPr>
          <w:p w14:paraId="2EFEF91F" w14:textId="77777777" w:rsidR="003F7A56" w:rsidRPr="006218CF" w:rsidRDefault="00900184" w:rsidP="00116089">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Katastrofalne</w:t>
            </w:r>
          </w:p>
        </w:tc>
        <w:tc>
          <w:tcPr>
            <w:tcW w:w="2984" w:type="dxa"/>
            <w:tcBorders>
              <w:top w:val="single" w:sz="4" w:space="0" w:color="000000"/>
              <w:left w:val="single" w:sz="4" w:space="0" w:color="000000"/>
              <w:bottom w:val="single" w:sz="4" w:space="0" w:color="000000"/>
              <w:right w:val="single" w:sz="4" w:space="0" w:color="000000"/>
            </w:tcBorders>
            <w:vAlign w:val="center"/>
          </w:tcPr>
          <w:p w14:paraId="06A7DF80" w14:textId="77777777" w:rsidR="003F7A56" w:rsidRPr="006218CF" w:rsidRDefault="00900184" w:rsidP="00116089">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0,036&gt;</w:t>
            </w:r>
          </w:p>
        </w:tc>
        <w:tc>
          <w:tcPr>
            <w:tcW w:w="2551" w:type="dxa"/>
            <w:tcBorders>
              <w:top w:val="single" w:sz="4" w:space="0" w:color="000000"/>
              <w:left w:val="single" w:sz="4" w:space="0" w:color="000000"/>
              <w:bottom w:val="single" w:sz="4" w:space="0" w:color="000000"/>
              <w:right w:val="single" w:sz="4" w:space="0" w:color="000000"/>
            </w:tcBorders>
            <w:vAlign w:val="center"/>
          </w:tcPr>
          <w:p w14:paraId="7135DEAE" w14:textId="4546161B" w:rsidR="003F7A56" w:rsidRPr="006218CF" w:rsidRDefault="00900184" w:rsidP="00116089">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&gt;2</w:t>
            </w:r>
            <w:r w:rsidR="006E0909" w:rsidRPr="006218CF">
              <w:rPr>
                <w:rFonts w:ascii="Times New Roman" w:hAnsi="Times New Roman" w:cs="Times New Roman"/>
                <w:color w:val="auto"/>
              </w:rPr>
              <w:t>69</w:t>
            </w:r>
          </w:p>
        </w:tc>
      </w:tr>
    </w:tbl>
    <w:p w14:paraId="0C9D2880" w14:textId="77777777" w:rsidR="00E40AC8" w:rsidRPr="00C3602C" w:rsidRDefault="00900184" w:rsidP="00116089">
      <w:pPr>
        <w:spacing w:after="0" w:line="240" w:lineRule="auto"/>
        <w:ind w:left="-57" w:right="-57" w:firstLine="0"/>
        <w:jc w:val="center"/>
        <w:rPr>
          <w:rFonts w:ascii="Times New Roman" w:eastAsia="Calibri" w:hAnsi="Times New Roman" w:cs="Times New Roman"/>
          <w:i/>
          <w:sz w:val="20"/>
          <w:szCs w:val="20"/>
        </w:rPr>
      </w:pPr>
      <w:r w:rsidRPr="00C3602C">
        <w:rPr>
          <w:rFonts w:ascii="Times New Roman" w:eastAsia="Calibri" w:hAnsi="Times New Roman" w:cs="Times New Roman"/>
          <w:i/>
          <w:sz w:val="20"/>
          <w:szCs w:val="20"/>
        </w:rPr>
        <w:t>Izvor: Smjernice za izradu Procjene rizika od velikih nesreća na području Grada Zagreba, Zagreb, siječanj, 2017.</w:t>
      </w:r>
    </w:p>
    <w:p w14:paraId="04277332" w14:textId="77777777" w:rsidR="00E40AC8" w:rsidRPr="005142C4" w:rsidRDefault="00E40AC8" w:rsidP="005142C4">
      <w:pPr>
        <w:spacing w:after="0" w:line="240" w:lineRule="auto"/>
        <w:ind w:left="0" w:right="0" w:firstLine="0"/>
        <w:jc w:val="left"/>
        <w:rPr>
          <w:rFonts w:ascii="Times New Roman" w:eastAsia="Calibri" w:hAnsi="Times New Roman" w:cs="Times New Roman"/>
          <w:i/>
          <w:sz w:val="24"/>
        </w:rPr>
      </w:pPr>
    </w:p>
    <w:p w14:paraId="787AFD95" w14:textId="3FF3F023" w:rsidR="00E40AC8" w:rsidRPr="005142C4" w:rsidRDefault="00900184" w:rsidP="005142C4">
      <w:pPr>
        <w:spacing w:after="0" w:line="240" w:lineRule="auto"/>
        <w:ind w:left="0" w:right="0" w:firstLine="0"/>
        <w:rPr>
          <w:rFonts w:ascii="Times New Roman" w:hAnsi="Times New Roman" w:cs="Times New Roman"/>
          <w:sz w:val="24"/>
        </w:rPr>
      </w:pPr>
      <w:r w:rsidRPr="005142C4">
        <w:rPr>
          <w:rFonts w:ascii="Times New Roman" w:hAnsi="Times New Roman" w:cs="Times New Roman"/>
          <w:sz w:val="24"/>
        </w:rPr>
        <w:t>*Napomena: Pri određivanju kategorije za život i zdravlje ljudi</w:t>
      </w:r>
      <w:r w:rsidR="000868F1">
        <w:rPr>
          <w:rFonts w:ascii="Times New Roman" w:hAnsi="Times New Roman" w:cs="Times New Roman"/>
          <w:sz w:val="24"/>
        </w:rPr>
        <w:t>,</w:t>
      </w:r>
      <w:r w:rsidRPr="005142C4">
        <w:rPr>
          <w:rFonts w:ascii="Times New Roman" w:hAnsi="Times New Roman" w:cs="Times New Roman"/>
          <w:sz w:val="24"/>
        </w:rPr>
        <w:t xml:space="preserve"> u kategoriju 1</w:t>
      </w:r>
      <w:r w:rsidR="00116089">
        <w:rPr>
          <w:rFonts w:ascii="Times New Roman" w:hAnsi="Times New Roman" w:cs="Times New Roman"/>
          <w:sz w:val="24"/>
        </w:rPr>
        <w:t>.</w:t>
      </w:r>
      <w:r w:rsidRPr="005142C4">
        <w:rPr>
          <w:rFonts w:ascii="Times New Roman" w:hAnsi="Times New Roman" w:cs="Times New Roman"/>
          <w:sz w:val="24"/>
        </w:rPr>
        <w:t xml:space="preserve"> ulaze posljedice prema kojima je stradala ili ugrožena minimalno jedna osoba do 0,001</w:t>
      </w:r>
      <w:r w:rsidR="00E05F09">
        <w:rPr>
          <w:rFonts w:ascii="Times New Roman" w:hAnsi="Times New Roman" w:cs="Times New Roman"/>
          <w:sz w:val="24"/>
        </w:rPr>
        <w:t> %</w:t>
      </w:r>
      <w:r w:rsidRPr="005142C4">
        <w:rPr>
          <w:rFonts w:ascii="Times New Roman" w:hAnsi="Times New Roman" w:cs="Times New Roman"/>
          <w:sz w:val="24"/>
        </w:rPr>
        <w:t xml:space="preserve"> stanovnika na području Grada Zagreba.</w:t>
      </w:r>
    </w:p>
    <w:p w14:paraId="215F34B7" w14:textId="77777777" w:rsidR="00E40AC8" w:rsidRPr="00116089" w:rsidRDefault="00E40AC8" w:rsidP="005142C4">
      <w:pPr>
        <w:spacing w:after="0" w:line="240" w:lineRule="auto"/>
        <w:ind w:left="0" w:right="0" w:firstLine="0"/>
        <w:jc w:val="left"/>
        <w:rPr>
          <w:rFonts w:ascii="Times New Roman" w:hAnsi="Times New Roman" w:cs="Times New Roman"/>
          <w:sz w:val="24"/>
        </w:rPr>
      </w:pPr>
    </w:p>
    <w:p w14:paraId="5C76266C" w14:textId="77777777" w:rsidR="00E40AC8" w:rsidRPr="00116089" w:rsidRDefault="00900184" w:rsidP="00116089">
      <w:pPr>
        <w:spacing w:after="0" w:line="240" w:lineRule="auto"/>
        <w:ind w:right="0"/>
        <w:rPr>
          <w:rFonts w:ascii="Times New Roman" w:hAnsi="Times New Roman" w:cs="Times New Roman"/>
          <w:b/>
          <w:sz w:val="24"/>
        </w:rPr>
      </w:pPr>
      <w:bookmarkStart w:id="60" w:name="_Toc2938578"/>
      <w:r w:rsidRPr="00116089">
        <w:rPr>
          <w:rFonts w:ascii="Times New Roman" w:hAnsi="Times New Roman" w:cs="Times New Roman"/>
          <w:b/>
          <w:sz w:val="24"/>
        </w:rPr>
        <w:t>4.2. Gospodarstvo</w:t>
      </w:r>
      <w:bookmarkEnd w:id="60"/>
    </w:p>
    <w:p w14:paraId="3BACE430" w14:textId="77777777" w:rsidR="00E40AC8" w:rsidRPr="00116089" w:rsidRDefault="00E40AC8" w:rsidP="005142C4">
      <w:pPr>
        <w:spacing w:after="0" w:line="240" w:lineRule="auto"/>
        <w:ind w:left="0" w:right="0" w:firstLine="0"/>
        <w:jc w:val="left"/>
        <w:rPr>
          <w:rFonts w:ascii="Times New Roman" w:hAnsi="Times New Roman" w:cs="Times New Roman"/>
          <w:sz w:val="24"/>
        </w:rPr>
      </w:pPr>
    </w:p>
    <w:p w14:paraId="72BACEF0" w14:textId="2B032857" w:rsidR="00E40AC8" w:rsidRPr="006218CF" w:rsidRDefault="00900184" w:rsidP="00116089">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Odnosi se na ukupnu materijalnu i financijsku štetu u gospodarstvu. Šteta se prikazuje u odnosu na proračun Grada Zagreba koji u 20</w:t>
      </w:r>
      <w:r w:rsidR="002F47FC" w:rsidRPr="006218CF">
        <w:rPr>
          <w:rFonts w:ascii="Times New Roman" w:hAnsi="Times New Roman" w:cs="Times New Roman"/>
          <w:color w:val="auto"/>
          <w:sz w:val="24"/>
        </w:rPr>
        <w:t xml:space="preserve">22. godini </w:t>
      </w:r>
      <w:r w:rsidRPr="006218CF">
        <w:rPr>
          <w:rFonts w:ascii="Times New Roman" w:hAnsi="Times New Roman" w:cs="Times New Roman"/>
          <w:color w:val="auto"/>
          <w:sz w:val="24"/>
        </w:rPr>
        <w:t xml:space="preserve">iznosi </w:t>
      </w:r>
      <w:r w:rsidR="005705BA" w:rsidRPr="006218CF">
        <w:rPr>
          <w:rFonts w:ascii="Times New Roman" w:hAnsi="Times New Roman" w:cs="Times New Roman"/>
          <w:color w:val="auto"/>
          <w:sz w:val="24"/>
        </w:rPr>
        <w:t xml:space="preserve">15.126.911.800 </w:t>
      </w:r>
      <w:r w:rsidRPr="006218CF">
        <w:rPr>
          <w:rFonts w:ascii="Times New Roman" w:hAnsi="Times New Roman" w:cs="Times New Roman"/>
          <w:color w:val="auto"/>
          <w:sz w:val="24"/>
        </w:rPr>
        <w:t>kuna.</w:t>
      </w:r>
      <w:r w:rsidR="0071653F" w:rsidRPr="006218CF">
        <w:rPr>
          <w:rFonts w:ascii="Times New Roman" w:hAnsi="Times New Roman" w:cs="Times New Roman"/>
          <w:color w:val="auto"/>
          <w:sz w:val="24"/>
        </w:rPr>
        <w:t xml:space="preserve"> </w:t>
      </w:r>
      <w:r w:rsidRPr="006218CF">
        <w:rPr>
          <w:rFonts w:ascii="Times New Roman" w:hAnsi="Times New Roman" w:cs="Times New Roman"/>
          <w:color w:val="auto"/>
          <w:sz w:val="24"/>
        </w:rPr>
        <w:t>Navedena materijalna šteta ne odnosi se na materijalnu štetu koja treba biti iskazana u kategoriji Društvena stabilnost i politika.</w:t>
      </w:r>
    </w:p>
    <w:p w14:paraId="1ECBC3C9" w14:textId="55C54ACA" w:rsidR="003F7A56" w:rsidRPr="000D51B8" w:rsidRDefault="00900184" w:rsidP="00476BBA">
      <w:pPr>
        <w:spacing w:line="259" w:lineRule="auto"/>
        <w:ind w:left="0" w:right="0" w:firstLine="0"/>
        <w:jc w:val="center"/>
        <w:rPr>
          <w:rFonts w:ascii="Times New Roman" w:hAnsi="Times New Roman" w:cs="Times New Roman"/>
          <w:b/>
          <w:color w:val="auto"/>
          <w:sz w:val="24"/>
        </w:rPr>
      </w:pPr>
      <w:bookmarkStart w:id="61" w:name="_Toc2938579"/>
      <w:r w:rsidRPr="000D51B8">
        <w:rPr>
          <w:rFonts w:ascii="Times New Roman" w:hAnsi="Times New Roman" w:cs="Times New Roman"/>
          <w:b/>
          <w:color w:val="auto"/>
          <w:sz w:val="24"/>
        </w:rPr>
        <w:t xml:space="preserve">Tablica </w:t>
      </w:r>
      <w:r w:rsidR="00381D97">
        <w:rPr>
          <w:rFonts w:ascii="Times New Roman" w:hAnsi="Times New Roman" w:cs="Times New Roman"/>
          <w:b/>
          <w:color w:val="auto"/>
          <w:sz w:val="24"/>
        </w:rPr>
        <w:t>33</w:t>
      </w:r>
      <w:r w:rsidRPr="000D51B8">
        <w:rPr>
          <w:rFonts w:ascii="Times New Roman" w:hAnsi="Times New Roman" w:cs="Times New Roman"/>
          <w:b/>
          <w:color w:val="auto"/>
          <w:sz w:val="24"/>
        </w:rPr>
        <w:t xml:space="preserve">. </w:t>
      </w:r>
      <w:r w:rsidR="00EE6A22" w:rsidRPr="000D51B8">
        <w:rPr>
          <w:rFonts w:ascii="Times New Roman" w:hAnsi="Times New Roman" w:cs="Times New Roman"/>
          <w:b/>
          <w:color w:val="auto"/>
          <w:sz w:val="24"/>
        </w:rPr>
        <w:t>-</w:t>
      </w:r>
      <w:r w:rsidRPr="000D51B8">
        <w:rPr>
          <w:rFonts w:ascii="Times New Roman" w:hAnsi="Times New Roman" w:cs="Times New Roman"/>
          <w:b/>
          <w:color w:val="auto"/>
          <w:sz w:val="24"/>
        </w:rPr>
        <w:t xml:space="preserve"> Gospodarstvo</w:t>
      </w:r>
      <w:bookmarkEnd w:id="61"/>
    </w:p>
    <w:tbl>
      <w:tblPr>
        <w:tblStyle w:val="TableGrid"/>
        <w:tblW w:w="9072" w:type="dxa"/>
        <w:tblInd w:w="0" w:type="dxa"/>
        <w:tblLayout w:type="fixed"/>
        <w:tblCellMar>
          <w:top w:w="5" w:type="dxa"/>
          <w:left w:w="57" w:type="dxa"/>
          <w:right w:w="57" w:type="dxa"/>
        </w:tblCellMar>
        <w:tblLook w:val="04A0" w:firstRow="1" w:lastRow="0" w:firstColumn="1" w:lastColumn="0" w:noHBand="0" w:noVBand="1"/>
      </w:tblPr>
      <w:tblGrid>
        <w:gridCol w:w="1419"/>
        <w:gridCol w:w="2120"/>
        <w:gridCol w:w="2410"/>
        <w:gridCol w:w="3123"/>
      </w:tblGrid>
      <w:tr w:rsidR="003F7A56" w:rsidRPr="000D51B8" w14:paraId="7A235268" w14:textId="77777777" w:rsidTr="006E5FA9">
        <w:trPr>
          <w:cantSplit/>
          <w:tblHeader/>
        </w:trPr>
        <w:tc>
          <w:tcPr>
            <w:tcW w:w="14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28793DF" w14:textId="77777777" w:rsidR="003F7A56" w:rsidRPr="000D51B8" w:rsidRDefault="00900184" w:rsidP="00116089">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b/>
                <w:color w:val="auto"/>
              </w:rPr>
              <w:t>Kategorija</w:t>
            </w:r>
          </w:p>
        </w:tc>
        <w:tc>
          <w:tcPr>
            <w:tcW w:w="212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640B84A" w14:textId="77777777" w:rsidR="003F7A56" w:rsidRPr="000D51B8" w:rsidRDefault="00900184" w:rsidP="00116089">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b/>
                <w:color w:val="auto"/>
              </w:rPr>
              <w:t>Posljedice</w:t>
            </w:r>
          </w:p>
        </w:tc>
        <w:tc>
          <w:tcPr>
            <w:tcW w:w="241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BEAC67A" w14:textId="77777777" w:rsidR="003F7A56" w:rsidRPr="000D51B8" w:rsidRDefault="00900184" w:rsidP="00116089">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b/>
                <w:color w:val="auto"/>
              </w:rPr>
              <w:t>Kriterij</w:t>
            </w:r>
            <w:r w:rsidR="00E05F09" w:rsidRPr="000D51B8">
              <w:rPr>
                <w:rFonts w:ascii="Times New Roman" w:hAnsi="Times New Roman" w:cs="Times New Roman"/>
                <w:b/>
                <w:color w:val="auto"/>
              </w:rPr>
              <w:t> %</w:t>
            </w:r>
            <w:r w:rsidRPr="000D51B8">
              <w:rPr>
                <w:rFonts w:ascii="Times New Roman" w:hAnsi="Times New Roman" w:cs="Times New Roman"/>
                <w:b/>
                <w:color w:val="auto"/>
              </w:rPr>
              <w:t xml:space="preserve"> štete u odnosu na proračun</w:t>
            </w:r>
            <w:r w:rsidR="00116089" w:rsidRPr="000D51B8">
              <w:rPr>
                <w:rFonts w:ascii="Times New Roman" w:hAnsi="Times New Roman" w:cs="Times New Roman"/>
                <w:b/>
                <w:color w:val="auto"/>
              </w:rPr>
              <w:t xml:space="preserve"> </w:t>
            </w:r>
            <w:r w:rsidRPr="000D51B8">
              <w:rPr>
                <w:rFonts w:ascii="Times New Roman" w:hAnsi="Times New Roman" w:cs="Times New Roman"/>
                <w:b/>
                <w:color w:val="auto"/>
              </w:rPr>
              <w:t>Grada Zagreba</w:t>
            </w:r>
          </w:p>
        </w:tc>
        <w:tc>
          <w:tcPr>
            <w:tcW w:w="3123"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8CCF6C2" w14:textId="77777777" w:rsidR="003F7A56" w:rsidRPr="000D51B8" w:rsidRDefault="00900184" w:rsidP="00116089">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b/>
                <w:color w:val="auto"/>
              </w:rPr>
              <w:t xml:space="preserve">Kriterij </w:t>
            </w:r>
            <w:r w:rsidR="00EE6A22" w:rsidRPr="000D51B8">
              <w:rPr>
                <w:rFonts w:ascii="Times New Roman" w:hAnsi="Times New Roman" w:cs="Times New Roman"/>
                <w:b/>
                <w:color w:val="auto"/>
              </w:rPr>
              <w:t>-</w:t>
            </w:r>
            <w:r w:rsidRPr="000D51B8">
              <w:rPr>
                <w:rFonts w:ascii="Times New Roman" w:hAnsi="Times New Roman" w:cs="Times New Roman"/>
                <w:b/>
                <w:color w:val="auto"/>
              </w:rPr>
              <w:t xml:space="preserve"> kn štete</w:t>
            </w:r>
          </w:p>
        </w:tc>
      </w:tr>
      <w:tr w:rsidR="003F7A56" w:rsidRPr="000D51B8" w14:paraId="0066184C" w14:textId="77777777" w:rsidTr="006E5FA9">
        <w:trPr>
          <w:cantSplit/>
        </w:trPr>
        <w:tc>
          <w:tcPr>
            <w:tcW w:w="14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81D4922" w14:textId="77777777" w:rsidR="003F7A56" w:rsidRPr="000D51B8" w:rsidRDefault="00900184" w:rsidP="00116089">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1</w:t>
            </w:r>
            <w:r w:rsidR="00116089" w:rsidRPr="000D51B8">
              <w:rPr>
                <w:rFonts w:ascii="Times New Roman" w:hAnsi="Times New Roman" w:cs="Times New Roman"/>
                <w:color w:val="auto"/>
              </w:rPr>
              <w:t>.</w:t>
            </w:r>
          </w:p>
        </w:tc>
        <w:tc>
          <w:tcPr>
            <w:tcW w:w="2120" w:type="dxa"/>
            <w:tcBorders>
              <w:top w:val="single" w:sz="4" w:space="0" w:color="000000"/>
              <w:left w:val="single" w:sz="4" w:space="0" w:color="000000"/>
              <w:bottom w:val="single" w:sz="4" w:space="0" w:color="000000"/>
              <w:right w:val="single" w:sz="4" w:space="0" w:color="000000"/>
            </w:tcBorders>
            <w:vAlign w:val="center"/>
          </w:tcPr>
          <w:p w14:paraId="568B5FD0" w14:textId="77777777" w:rsidR="003F7A56" w:rsidRPr="000D51B8" w:rsidRDefault="00900184" w:rsidP="00116089">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Neznatne</w:t>
            </w:r>
          </w:p>
        </w:tc>
        <w:tc>
          <w:tcPr>
            <w:tcW w:w="2410" w:type="dxa"/>
            <w:tcBorders>
              <w:top w:val="single" w:sz="4" w:space="0" w:color="000000"/>
              <w:left w:val="single" w:sz="4" w:space="0" w:color="000000"/>
              <w:bottom w:val="single" w:sz="4" w:space="0" w:color="000000"/>
              <w:right w:val="single" w:sz="4" w:space="0" w:color="000000"/>
            </w:tcBorders>
            <w:vAlign w:val="center"/>
          </w:tcPr>
          <w:p w14:paraId="3BE78CD3" w14:textId="77777777" w:rsidR="003F7A56" w:rsidRPr="000D51B8" w:rsidRDefault="00900184" w:rsidP="00116089">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0,5</w:t>
            </w:r>
            <w:r w:rsidR="00BE770E" w:rsidRPr="000D51B8">
              <w:rPr>
                <w:rFonts w:ascii="Times New Roman" w:hAnsi="Times New Roman" w:cs="Times New Roman"/>
                <w:color w:val="auto"/>
              </w:rPr>
              <w:t xml:space="preserve"> </w:t>
            </w:r>
            <w:r w:rsidR="00EE6A22" w:rsidRPr="000D51B8">
              <w:rPr>
                <w:rFonts w:ascii="Times New Roman" w:hAnsi="Times New Roman" w:cs="Times New Roman"/>
                <w:color w:val="auto"/>
              </w:rPr>
              <w:t>-</w:t>
            </w:r>
            <w:r w:rsidR="00BE770E" w:rsidRPr="000D51B8">
              <w:rPr>
                <w:rFonts w:ascii="Times New Roman" w:hAnsi="Times New Roman" w:cs="Times New Roman"/>
                <w:color w:val="auto"/>
              </w:rPr>
              <w:t xml:space="preserve"> </w:t>
            </w:r>
            <w:r w:rsidRPr="000D51B8">
              <w:rPr>
                <w:rFonts w:ascii="Times New Roman" w:hAnsi="Times New Roman" w:cs="Times New Roman"/>
                <w:color w:val="auto"/>
              </w:rPr>
              <w:t>1</w:t>
            </w:r>
          </w:p>
        </w:tc>
        <w:tc>
          <w:tcPr>
            <w:tcW w:w="3123" w:type="dxa"/>
            <w:tcBorders>
              <w:top w:val="single" w:sz="4" w:space="0" w:color="000000"/>
              <w:left w:val="single" w:sz="4" w:space="0" w:color="000000"/>
              <w:bottom w:val="single" w:sz="4" w:space="0" w:color="000000"/>
              <w:right w:val="single" w:sz="4" w:space="0" w:color="000000"/>
            </w:tcBorders>
            <w:vAlign w:val="center"/>
          </w:tcPr>
          <w:p w14:paraId="3D124176" w14:textId="09E633BC" w:rsidR="003F7A56" w:rsidRPr="000D51B8" w:rsidRDefault="000D51B8" w:rsidP="00C517E5">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75.634.600 - 151.269.100</w:t>
            </w:r>
          </w:p>
        </w:tc>
      </w:tr>
      <w:tr w:rsidR="003F7A56" w:rsidRPr="000D51B8" w14:paraId="6AF26C53" w14:textId="77777777" w:rsidTr="006E5FA9">
        <w:trPr>
          <w:cantSplit/>
        </w:trPr>
        <w:tc>
          <w:tcPr>
            <w:tcW w:w="14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7BED993" w14:textId="77777777" w:rsidR="003F7A56" w:rsidRPr="000D51B8" w:rsidRDefault="00900184" w:rsidP="00116089">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2</w:t>
            </w:r>
            <w:r w:rsidR="00116089" w:rsidRPr="000D51B8">
              <w:rPr>
                <w:rFonts w:ascii="Times New Roman" w:hAnsi="Times New Roman" w:cs="Times New Roman"/>
                <w:color w:val="auto"/>
              </w:rPr>
              <w:t>.</w:t>
            </w:r>
          </w:p>
        </w:tc>
        <w:tc>
          <w:tcPr>
            <w:tcW w:w="2120" w:type="dxa"/>
            <w:tcBorders>
              <w:top w:val="single" w:sz="4" w:space="0" w:color="000000"/>
              <w:left w:val="single" w:sz="4" w:space="0" w:color="000000"/>
              <w:bottom w:val="single" w:sz="4" w:space="0" w:color="000000"/>
              <w:right w:val="single" w:sz="4" w:space="0" w:color="000000"/>
            </w:tcBorders>
            <w:vAlign w:val="center"/>
          </w:tcPr>
          <w:p w14:paraId="1FADBE90" w14:textId="77777777" w:rsidR="003F7A56" w:rsidRPr="000D51B8" w:rsidRDefault="00900184" w:rsidP="00116089">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Malene</w:t>
            </w:r>
          </w:p>
        </w:tc>
        <w:tc>
          <w:tcPr>
            <w:tcW w:w="2410" w:type="dxa"/>
            <w:tcBorders>
              <w:top w:val="single" w:sz="4" w:space="0" w:color="000000"/>
              <w:left w:val="single" w:sz="4" w:space="0" w:color="000000"/>
              <w:bottom w:val="single" w:sz="4" w:space="0" w:color="000000"/>
              <w:right w:val="single" w:sz="4" w:space="0" w:color="000000"/>
            </w:tcBorders>
            <w:vAlign w:val="center"/>
          </w:tcPr>
          <w:p w14:paraId="67745A39" w14:textId="77777777" w:rsidR="003F7A56" w:rsidRPr="000D51B8" w:rsidRDefault="00900184" w:rsidP="00116089">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1</w:t>
            </w:r>
            <w:r w:rsidR="00BE770E" w:rsidRPr="000D51B8">
              <w:rPr>
                <w:rFonts w:ascii="Times New Roman" w:hAnsi="Times New Roman" w:cs="Times New Roman"/>
                <w:color w:val="auto"/>
              </w:rPr>
              <w:t xml:space="preserve"> </w:t>
            </w:r>
            <w:r w:rsidR="00EE6A22" w:rsidRPr="000D51B8">
              <w:rPr>
                <w:rFonts w:ascii="Times New Roman" w:hAnsi="Times New Roman" w:cs="Times New Roman"/>
                <w:color w:val="auto"/>
              </w:rPr>
              <w:t>-</w:t>
            </w:r>
            <w:r w:rsidR="00BE770E" w:rsidRPr="000D51B8">
              <w:rPr>
                <w:rFonts w:ascii="Times New Roman" w:hAnsi="Times New Roman" w:cs="Times New Roman"/>
                <w:color w:val="auto"/>
              </w:rPr>
              <w:t xml:space="preserve"> </w:t>
            </w:r>
            <w:r w:rsidRPr="000D51B8">
              <w:rPr>
                <w:rFonts w:ascii="Times New Roman" w:hAnsi="Times New Roman" w:cs="Times New Roman"/>
                <w:color w:val="auto"/>
              </w:rPr>
              <w:t>5</w:t>
            </w:r>
          </w:p>
        </w:tc>
        <w:tc>
          <w:tcPr>
            <w:tcW w:w="3123" w:type="dxa"/>
            <w:tcBorders>
              <w:top w:val="single" w:sz="4" w:space="0" w:color="000000"/>
              <w:left w:val="single" w:sz="4" w:space="0" w:color="000000"/>
              <w:bottom w:val="single" w:sz="4" w:space="0" w:color="000000"/>
              <w:right w:val="single" w:sz="4" w:space="0" w:color="000000"/>
            </w:tcBorders>
            <w:vAlign w:val="center"/>
          </w:tcPr>
          <w:p w14:paraId="75B63A95" w14:textId="5434D2A6" w:rsidR="003F7A56" w:rsidRPr="000D51B8" w:rsidRDefault="000D51B8" w:rsidP="00116089">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151.269.100 - 756.345.600</w:t>
            </w:r>
          </w:p>
        </w:tc>
      </w:tr>
      <w:tr w:rsidR="003F7A56" w:rsidRPr="000D51B8" w14:paraId="1DD997AD" w14:textId="77777777" w:rsidTr="006E5FA9">
        <w:trPr>
          <w:cantSplit/>
        </w:trPr>
        <w:tc>
          <w:tcPr>
            <w:tcW w:w="14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1329247" w14:textId="77777777" w:rsidR="003F7A56" w:rsidRPr="000D51B8" w:rsidRDefault="00900184" w:rsidP="00116089">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3</w:t>
            </w:r>
            <w:r w:rsidR="00116089" w:rsidRPr="000D51B8">
              <w:rPr>
                <w:rFonts w:ascii="Times New Roman" w:hAnsi="Times New Roman" w:cs="Times New Roman"/>
                <w:color w:val="auto"/>
              </w:rPr>
              <w:t>.</w:t>
            </w:r>
          </w:p>
        </w:tc>
        <w:tc>
          <w:tcPr>
            <w:tcW w:w="2120" w:type="dxa"/>
            <w:tcBorders>
              <w:top w:val="single" w:sz="4" w:space="0" w:color="000000"/>
              <w:left w:val="single" w:sz="4" w:space="0" w:color="000000"/>
              <w:bottom w:val="single" w:sz="4" w:space="0" w:color="000000"/>
              <w:right w:val="single" w:sz="4" w:space="0" w:color="000000"/>
            </w:tcBorders>
            <w:vAlign w:val="center"/>
          </w:tcPr>
          <w:p w14:paraId="3C229DD0" w14:textId="77777777" w:rsidR="003F7A56" w:rsidRPr="000D51B8" w:rsidRDefault="00900184" w:rsidP="00116089">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Umjerene</w:t>
            </w:r>
          </w:p>
        </w:tc>
        <w:tc>
          <w:tcPr>
            <w:tcW w:w="2410" w:type="dxa"/>
            <w:tcBorders>
              <w:top w:val="single" w:sz="4" w:space="0" w:color="000000"/>
              <w:left w:val="single" w:sz="4" w:space="0" w:color="000000"/>
              <w:bottom w:val="single" w:sz="4" w:space="0" w:color="000000"/>
              <w:right w:val="single" w:sz="4" w:space="0" w:color="000000"/>
            </w:tcBorders>
            <w:vAlign w:val="center"/>
          </w:tcPr>
          <w:p w14:paraId="170CFD52" w14:textId="77777777" w:rsidR="003F7A56" w:rsidRPr="000D51B8" w:rsidRDefault="00900184" w:rsidP="00116089">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5</w:t>
            </w:r>
            <w:r w:rsidR="00BE770E" w:rsidRPr="000D51B8">
              <w:rPr>
                <w:rFonts w:ascii="Times New Roman" w:hAnsi="Times New Roman" w:cs="Times New Roman"/>
                <w:color w:val="auto"/>
              </w:rPr>
              <w:t xml:space="preserve"> </w:t>
            </w:r>
            <w:r w:rsidR="00EE6A22" w:rsidRPr="000D51B8">
              <w:rPr>
                <w:rFonts w:ascii="Times New Roman" w:hAnsi="Times New Roman" w:cs="Times New Roman"/>
                <w:color w:val="auto"/>
              </w:rPr>
              <w:t>-</w:t>
            </w:r>
            <w:r w:rsidR="00BE770E" w:rsidRPr="000D51B8">
              <w:rPr>
                <w:rFonts w:ascii="Times New Roman" w:hAnsi="Times New Roman" w:cs="Times New Roman"/>
                <w:color w:val="auto"/>
              </w:rPr>
              <w:t xml:space="preserve"> </w:t>
            </w:r>
            <w:r w:rsidRPr="000D51B8">
              <w:rPr>
                <w:rFonts w:ascii="Times New Roman" w:hAnsi="Times New Roman" w:cs="Times New Roman"/>
                <w:color w:val="auto"/>
              </w:rPr>
              <w:t>15</w:t>
            </w:r>
          </w:p>
        </w:tc>
        <w:tc>
          <w:tcPr>
            <w:tcW w:w="3123" w:type="dxa"/>
            <w:tcBorders>
              <w:top w:val="single" w:sz="4" w:space="0" w:color="000000"/>
              <w:left w:val="single" w:sz="4" w:space="0" w:color="000000"/>
              <w:bottom w:val="single" w:sz="4" w:space="0" w:color="000000"/>
              <w:right w:val="single" w:sz="4" w:space="0" w:color="000000"/>
            </w:tcBorders>
            <w:vAlign w:val="center"/>
          </w:tcPr>
          <w:p w14:paraId="685EF493" w14:textId="6E2AC470" w:rsidR="003F7A56" w:rsidRPr="000D51B8" w:rsidRDefault="000D51B8" w:rsidP="00C517E5">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756.345.600 - 2.269.036.800</w:t>
            </w:r>
          </w:p>
        </w:tc>
      </w:tr>
      <w:tr w:rsidR="003F7A56" w:rsidRPr="000D51B8" w14:paraId="1E03E222" w14:textId="77777777" w:rsidTr="006E5FA9">
        <w:trPr>
          <w:cantSplit/>
        </w:trPr>
        <w:tc>
          <w:tcPr>
            <w:tcW w:w="14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F9C8D62" w14:textId="77777777" w:rsidR="003F7A56" w:rsidRPr="000D51B8" w:rsidRDefault="00900184" w:rsidP="00116089">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4</w:t>
            </w:r>
            <w:r w:rsidR="00116089" w:rsidRPr="000D51B8">
              <w:rPr>
                <w:rFonts w:ascii="Times New Roman" w:hAnsi="Times New Roman" w:cs="Times New Roman"/>
                <w:color w:val="auto"/>
              </w:rPr>
              <w:t>.</w:t>
            </w:r>
          </w:p>
        </w:tc>
        <w:tc>
          <w:tcPr>
            <w:tcW w:w="2120" w:type="dxa"/>
            <w:tcBorders>
              <w:top w:val="single" w:sz="4" w:space="0" w:color="000000"/>
              <w:left w:val="single" w:sz="4" w:space="0" w:color="000000"/>
              <w:bottom w:val="single" w:sz="4" w:space="0" w:color="000000"/>
              <w:right w:val="single" w:sz="4" w:space="0" w:color="000000"/>
            </w:tcBorders>
            <w:vAlign w:val="center"/>
          </w:tcPr>
          <w:p w14:paraId="73E8B1A7" w14:textId="77777777" w:rsidR="003F7A56" w:rsidRPr="000D51B8" w:rsidRDefault="00E32E93" w:rsidP="00116089">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Znatne</w:t>
            </w:r>
          </w:p>
        </w:tc>
        <w:tc>
          <w:tcPr>
            <w:tcW w:w="2410" w:type="dxa"/>
            <w:tcBorders>
              <w:top w:val="single" w:sz="4" w:space="0" w:color="000000"/>
              <w:left w:val="single" w:sz="4" w:space="0" w:color="000000"/>
              <w:bottom w:val="single" w:sz="4" w:space="0" w:color="000000"/>
              <w:right w:val="single" w:sz="4" w:space="0" w:color="000000"/>
            </w:tcBorders>
            <w:vAlign w:val="center"/>
          </w:tcPr>
          <w:p w14:paraId="40F457B1" w14:textId="77777777" w:rsidR="003F7A56" w:rsidRPr="000D51B8" w:rsidRDefault="00900184" w:rsidP="00116089">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15</w:t>
            </w:r>
            <w:r w:rsidR="00BE770E" w:rsidRPr="000D51B8">
              <w:rPr>
                <w:rFonts w:ascii="Times New Roman" w:hAnsi="Times New Roman" w:cs="Times New Roman"/>
                <w:color w:val="auto"/>
              </w:rPr>
              <w:t xml:space="preserve"> </w:t>
            </w:r>
            <w:r w:rsidR="00EE6A22" w:rsidRPr="000D51B8">
              <w:rPr>
                <w:rFonts w:ascii="Times New Roman" w:hAnsi="Times New Roman" w:cs="Times New Roman"/>
                <w:color w:val="auto"/>
              </w:rPr>
              <w:t>-</w:t>
            </w:r>
            <w:r w:rsidR="00BE770E" w:rsidRPr="000D51B8">
              <w:rPr>
                <w:rFonts w:ascii="Times New Roman" w:hAnsi="Times New Roman" w:cs="Times New Roman"/>
                <w:color w:val="auto"/>
              </w:rPr>
              <w:t xml:space="preserve"> </w:t>
            </w:r>
            <w:r w:rsidRPr="000D51B8">
              <w:rPr>
                <w:rFonts w:ascii="Times New Roman" w:hAnsi="Times New Roman" w:cs="Times New Roman"/>
                <w:color w:val="auto"/>
              </w:rPr>
              <w:t>25</w:t>
            </w:r>
          </w:p>
        </w:tc>
        <w:tc>
          <w:tcPr>
            <w:tcW w:w="3123" w:type="dxa"/>
            <w:tcBorders>
              <w:top w:val="single" w:sz="4" w:space="0" w:color="000000"/>
              <w:left w:val="single" w:sz="4" w:space="0" w:color="000000"/>
              <w:bottom w:val="single" w:sz="4" w:space="0" w:color="000000"/>
              <w:right w:val="single" w:sz="4" w:space="0" w:color="000000"/>
            </w:tcBorders>
            <w:vAlign w:val="center"/>
          </w:tcPr>
          <w:p w14:paraId="78D4FD3C" w14:textId="78E4513E" w:rsidR="003F7A56" w:rsidRPr="000D51B8" w:rsidRDefault="000D51B8" w:rsidP="00C517E5">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2.269.036.800 - 3.781.727.900</w:t>
            </w:r>
          </w:p>
        </w:tc>
      </w:tr>
      <w:tr w:rsidR="003F7A56" w:rsidRPr="000D51B8" w14:paraId="31E781D3" w14:textId="77777777" w:rsidTr="006E5FA9">
        <w:trPr>
          <w:cantSplit/>
        </w:trPr>
        <w:tc>
          <w:tcPr>
            <w:tcW w:w="14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606E53B" w14:textId="77777777" w:rsidR="003F7A56" w:rsidRPr="000D51B8" w:rsidRDefault="00900184" w:rsidP="00116089">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lastRenderedPageBreak/>
              <w:t>5</w:t>
            </w:r>
            <w:r w:rsidR="00116089" w:rsidRPr="000D51B8">
              <w:rPr>
                <w:rFonts w:ascii="Times New Roman" w:hAnsi="Times New Roman" w:cs="Times New Roman"/>
                <w:color w:val="auto"/>
              </w:rPr>
              <w:t>.</w:t>
            </w:r>
          </w:p>
        </w:tc>
        <w:tc>
          <w:tcPr>
            <w:tcW w:w="2120" w:type="dxa"/>
            <w:tcBorders>
              <w:top w:val="single" w:sz="4" w:space="0" w:color="000000"/>
              <w:left w:val="single" w:sz="4" w:space="0" w:color="000000"/>
              <w:bottom w:val="single" w:sz="4" w:space="0" w:color="000000"/>
              <w:right w:val="single" w:sz="4" w:space="0" w:color="000000"/>
            </w:tcBorders>
            <w:vAlign w:val="center"/>
          </w:tcPr>
          <w:p w14:paraId="2194C8B9" w14:textId="77777777" w:rsidR="003F7A56" w:rsidRPr="000D51B8" w:rsidRDefault="00900184" w:rsidP="00116089">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Katastrofalne</w:t>
            </w:r>
          </w:p>
        </w:tc>
        <w:tc>
          <w:tcPr>
            <w:tcW w:w="2410" w:type="dxa"/>
            <w:tcBorders>
              <w:top w:val="single" w:sz="4" w:space="0" w:color="000000"/>
              <w:left w:val="single" w:sz="4" w:space="0" w:color="000000"/>
              <w:bottom w:val="single" w:sz="4" w:space="0" w:color="000000"/>
              <w:right w:val="single" w:sz="4" w:space="0" w:color="000000"/>
            </w:tcBorders>
            <w:vAlign w:val="center"/>
          </w:tcPr>
          <w:p w14:paraId="63E53533" w14:textId="77777777" w:rsidR="003F7A56" w:rsidRPr="000D51B8" w:rsidRDefault="00900184" w:rsidP="00116089">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&gt; 25</w:t>
            </w:r>
          </w:p>
        </w:tc>
        <w:tc>
          <w:tcPr>
            <w:tcW w:w="3123" w:type="dxa"/>
            <w:tcBorders>
              <w:top w:val="single" w:sz="4" w:space="0" w:color="000000"/>
              <w:left w:val="single" w:sz="4" w:space="0" w:color="000000"/>
              <w:bottom w:val="single" w:sz="4" w:space="0" w:color="000000"/>
              <w:right w:val="single" w:sz="4" w:space="0" w:color="000000"/>
            </w:tcBorders>
            <w:vAlign w:val="center"/>
          </w:tcPr>
          <w:p w14:paraId="6B36D71E" w14:textId="6B3B1211" w:rsidR="003F7A56" w:rsidRPr="000D51B8" w:rsidRDefault="000D51B8" w:rsidP="00116089">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&gt;3.781.727.900</w:t>
            </w:r>
          </w:p>
        </w:tc>
      </w:tr>
    </w:tbl>
    <w:p w14:paraId="196C5319" w14:textId="77777777" w:rsidR="00E40AC8" w:rsidRPr="00C3602C" w:rsidRDefault="00900184" w:rsidP="00116089">
      <w:pPr>
        <w:spacing w:after="0" w:line="240" w:lineRule="auto"/>
        <w:ind w:left="-57" w:right="-57" w:firstLine="0"/>
        <w:jc w:val="center"/>
        <w:rPr>
          <w:rFonts w:ascii="Times New Roman" w:eastAsia="Calibri" w:hAnsi="Times New Roman" w:cs="Times New Roman"/>
          <w:i/>
          <w:sz w:val="20"/>
          <w:szCs w:val="20"/>
        </w:rPr>
      </w:pPr>
      <w:r w:rsidRPr="000D51B8">
        <w:rPr>
          <w:rFonts w:ascii="Times New Roman" w:eastAsia="Calibri" w:hAnsi="Times New Roman" w:cs="Times New Roman"/>
          <w:i/>
          <w:color w:val="auto"/>
          <w:sz w:val="20"/>
          <w:szCs w:val="20"/>
        </w:rPr>
        <w:t xml:space="preserve">Izvor: Smjernice za izradu Procjene rizika od velikih nesreća na području Grada </w:t>
      </w:r>
      <w:r w:rsidRPr="00C3602C">
        <w:rPr>
          <w:rFonts w:ascii="Times New Roman" w:eastAsia="Calibri" w:hAnsi="Times New Roman" w:cs="Times New Roman"/>
          <w:i/>
          <w:sz w:val="20"/>
          <w:szCs w:val="20"/>
        </w:rPr>
        <w:t>Zagreba, Zagreb, siječanj, 2017.</w:t>
      </w:r>
    </w:p>
    <w:p w14:paraId="6BBC9895" w14:textId="77777777" w:rsidR="00E40AC8" w:rsidRPr="005142C4" w:rsidRDefault="00E40AC8" w:rsidP="005142C4">
      <w:pPr>
        <w:spacing w:after="0" w:line="240" w:lineRule="auto"/>
        <w:ind w:left="0" w:right="0" w:firstLine="0"/>
        <w:jc w:val="left"/>
        <w:rPr>
          <w:rFonts w:ascii="Times New Roman" w:hAnsi="Times New Roman" w:cs="Times New Roman"/>
          <w:sz w:val="24"/>
        </w:rPr>
      </w:pPr>
    </w:p>
    <w:p w14:paraId="3D36764E" w14:textId="77777777" w:rsidR="00E40AC8" w:rsidRPr="005142C4" w:rsidRDefault="00900184" w:rsidP="00BE770E">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Vrijednosti pokretnina i nekretnina određuju se na temelju podataka dobivenih iz Državnog zavoda za statistiku.</w:t>
      </w:r>
    </w:p>
    <w:p w14:paraId="6D6550A5" w14:textId="77777777" w:rsidR="00E40AC8" w:rsidRPr="00BE770E" w:rsidRDefault="00E40AC8" w:rsidP="005142C4">
      <w:pPr>
        <w:spacing w:after="0" w:line="240" w:lineRule="auto"/>
        <w:ind w:left="0" w:right="0" w:firstLine="0"/>
        <w:jc w:val="left"/>
        <w:rPr>
          <w:rFonts w:ascii="Times New Roman" w:hAnsi="Times New Roman" w:cs="Times New Roman"/>
          <w:sz w:val="24"/>
        </w:rPr>
      </w:pPr>
    </w:p>
    <w:p w14:paraId="62D3C0A0" w14:textId="77777777" w:rsidR="00E40AC8" w:rsidRPr="00BE770E" w:rsidRDefault="00900184" w:rsidP="00BE770E">
      <w:pPr>
        <w:spacing w:after="0" w:line="240" w:lineRule="auto"/>
        <w:ind w:right="0"/>
        <w:rPr>
          <w:rFonts w:ascii="Times New Roman" w:hAnsi="Times New Roman" w:cs="Times New Roman"/>
          <w:b/>
          <w:sz w:val="24"/>
        </w:rPr>
      </w:pPr>
      <w:bookmarkStart w:id="62" w:name="_Toc2938580"/>
      <w:r w:rsidRPr="00BE770E">
        <w:rPr>
          <w:rFonts w:ascii="Times New Roman" w:hAnsi="Times New Roman" w:cs="Times New Roman"/>
          <w:b/>
          <w:sz w:val="24"/>
        </w:rPr>
        <w:t>4.3. Društvena stabilnost i politika</w:t>
      </w:r>
      <w:bookmarkEnd w:id="62"/>
    </w:p>
    <w:p w14:paraId="7091AF89" w14:textId="77777777" w:rsidR="00E40AC8" w:rsidRPr="00BE770E" w:rsidRDefault="00E40AC8" w:rsidP="005142C4">
      <w:pPr>
        <w:spacing w:after="0" w:line="240" w:lineRule="auto"/>
        <w:ind w:left="0" w:right="0" w:firstLine="0"/>
        <w:jc w:val="left"/>
        <w:rPr>
          <w:rFonts w:ascii="Times New Roman" w:hAnsi="Times New Roman" w:cs="Times New Roman"/>
          <w:sz w:val="24"/>
        </w:rPr>
      </w:pPr>
    </w:p>
    <w:p w14:paraId="20080CD0" w14:textId="77777777" w:rsidR="00E40AC8" w:rsidRPr="005142C4" w:rsidRDefault="00900184" w:rsidP="00BE770E">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Posljedice za </w:t>
      </w:r>
      <w:r w:rsidR="00BE770E" w:rsidRPr="005142C4">
        <w:rPr>
          <w:rFonts w:ascii="Times New Roman" w:hAnsi="Times New Roman" w:cs="Times New Roman"/>
          <w:sz w:val="24"/>
        </w:rPr>
        <w:t xml:space="preserve">društvenu </w:t>
      </w:r>
      <w:r w:rsidRPr="005142C4">
        <w:rPr>
          <w:rFonts w:ascii="Times New Roman" w:hAnsi="Times New Roman" w:cs="Times New Roman"/>
          <w:sz w:val="24"/>
        </w:rPr>
        <w:t>stabilnost i politiku iskazuju se u materijalnoj šteti</w:t>
      </w:r>
      <w:r w:rsidR="00BE770E">
        <w:rPr>
          <w:rFonts w:ascii="Times New Roman" w:hAnsi="Times New Roman" w:cs="Times New Roman"/>
          <w:sz w:val="24"/>
        </w:rPr>
        <w:t>,</w:t>
      </w:r>
      <w:r w:rsidRPr="005142C4">
        <w:rPr>
          <w:rFonts w:ascii="Times New Roman" w:hAnsi="Times New Roman" w:cs="Times New Roman"/>
          <w:sz w:val="24"/>
        </w:rPr>
        <w:t xml:space="preserve"> i to za štetu na kritičnoj infrastrukturi i šteti na građevinama od društvenog značaja. Kategorija </w:t>
      </w:r>
      <w:r w:rsidR="00BE770E" w:rsidRPr="005142C4">
        <w:rPr>
          <w:rFonts w:ascii="Times New Roman" w:hAnsi="Times New Roman" w:cs="Times New Roman"/>
          <w:sz w:val="24"/>
        </w:rPr>
        <w:t xml:space="preserve">društvene </w:t>
      </w:r>
      <w:r w:rsidRPr="005142C4">
        <w:rPr>
          <w:rFonts w:ascii="Times New Roman" w:hAnsi="Times New Roman" w:cs="Times New Roman"/>
          <w:sz w:val="24"/>
        </w:rPr>
        <w:t xml:space="preserve">stabilnosti i politike dobit će se srednjom vrijednosti kategorija </w:t>
      </w:r>
      <w:r w:rsidR="00BE770E" w:rsidRPr="005142C4">
        <w:rPr>
          <w:rFonts w:ascii="Times New Roman" w:hAnsi="Times New Roman" w:cs="Times New Roman"/>
          <w:sz w:val="24"/>
        </w:rPr>
        <w:t xml:space="preserve">kritične </w:t>
      </w:r>
      <w:r w:rsidRPr="005142C4">
        <w:rPr>
          <w:rFonts w:ascii="Times New Roman" w:hAnsi="Times New Roman" w:cs="Times New Roman"/>
          <w:sz w:val="24"/>
        </w:rPr>
        <w:t xml:space="preserve">infrastrukture (KI) i </w:t>
      </w:r>
      <w:r w:rsidR="00BE770E" w:rsidRPr="005142C4">
        <w:rPr>
          <w:rFonts w:ascii="Times New Roman" w:hAnsi="Times New Roman" w:cs="Times New Roman"/>
          <w:sz w:val="24"/>
        </w:rPr>
        <w:t>ustanova</w:t>
      </w:r>
      <w:r w:rsidRPr="005142C4">
        <w:rPr>
          <w:rFonts w:ascii="Times New Roman" w:hAnsi="Times New Roman" w:cs="Times New Roman"/>
          <w:sz w:val="24"/>
        </w:rPr>
        <w:t>/građevina javnog i društvenog značaja.</w:t>
      </w:r>
    </w:p>
    <w:p w14:paraId="6FE04CB8" w14:textId="77777777" w:rsidR="00E40AC8" w:rsidRPr="005142C4" w:rsidRDefault="00E40AC8" w:rsidP="005142C4">
      <w:pPr>
        <w:spacing w:after="0" w:line="240" w:lineRule="auto"/>
        <w:ind w:left="0" w:right="0" w:firstLine="0"/>
        <w:jc w:val="left"/>
        <w:rPr>
          <w:rFonts w:ascii="Times New Roman" w:hAnsi="Times New Roman" w:cs="Times New Roman"/>
          <w:sz w:val="24"/>
        </w:rPr>
      </w:pPr>
    </w:p>
    <w:p w14:paraId="0AEC21CA" w14:textId="77777777" w:rsidR="00E40AC8" w:rsidRPr="005142C4" w:rsidRDefault="00900184" w:rsidP="00BE770E">
      <w:pPr>
        <w:spacing w:after="0" w:line="240" w:lineRule="auto"/>
        <w:ind w:left="0" w:right="0" w:firstLine="0"/>
        <w:jc w:val="center"/>
        <w:rPr>
          <w:rFonts w:ascii="Times New Roman" w:hAnsi="Times New Roman" w:cs="Times New Roman"/>
          <w:sz w:val="24"/>
        </w:rPr>
      </w:pPr>
      <w:r w:rsidRPr="005142C4">
        <w:rPr>
          <w:rFonts w:ascii="Times New Roman" w:hAnsi="Times New Roman" w:cs="Times New Roman"/>
          <w:sz w:val="24"/>
        </w:rPr>
        <w:t xml:space="preserve">Društvena stabilnost = </w:t>
      </w:r>
      <w:r w:rsidRPr="005142C4">
        <w:rPr>
          <w:rFonts w:ascii="Times New Roman" w:hAnsi="Times New Roman" w:cs="Times New Roman"/>
          <w:noProof/>
          <w:sz w:val="24"/>
        </w:rPr>
        <w:drawing>
          <wp:inline distT="0" distB="0" distL="0" distR="0" wp14:anchorId="50B6B745" wp14:editId="0CA1C430">
            <wp:extent cx="2523490" cy="257175"/>
            <wp:effectExtent l="0" t="0" r="0" b="0"/>
            <wp:docPr id="28292" name="Picture 28292"/>
            <wp:cNvGraphicFramePr/>
            <a:graphic xmlns:a="http://schemas.openxmlformats.org/drawingml/2006/main">
              <a:graphicData uri="http://schemas.openxmlformats.org/drawingml/2006/picture">
                <pic:pic xmlns:pic="http://schemas.openxmlformats.org/drawingml/2006/picture">
                  <pic:nvPicPr>
                    <pic:cNvPr id="28292" name="Picture 28292"/>
                    <pic:cNvPicPr/>
                  </pic:nvPicPr>
                  <pic:blipFill>
                    <a:blip r:embed="rId50"/>
                    <a:stretch>
                      <a:fillRect/>
                    </a:stretch>
                  </pic:blipFill>
                  <pic:spPr>
                    <a:xfrm>
                      <a:off x="0" y="0"/>
                      <a:ext cx="2523490" cy="257175"/>
                    </a:xfrm>
                    <a:prstGeom prst="rect">
                      <a:avLst/>
                    </a:prstGeom>
                  </pic:spPr>
                </pic:pic>
              </a:graphicData>
            </a:graphic>
          </wp:inline>
        </w:drawing>
      </w:r>
    </w:p>
    <w:p w14:paraId="1FD8E813" w14:textId="77777777" w:rsidR="00E40AC8" w:rsidRPr="005142C4" w:rsidRDefault="00E40AC8" w:rsidP="005142C4">
      <w:pPr>
        <w:spacing w:after="0" w:line="240" w:lineRule="auto"/>
        <w:ind w:left="0" w:right="0" w:firstLine="0"/>
        <w:jc w:val="left"/>
        <w:rPr>
          <w:rFonts w:ascii="Times New Roman" w:hAnsi="Times New Roman" w:cs="Times New Roman"/>
          <w:sz w:val="24"/>
        </w:rPr>
      </w:pPr>
    </w:p>
    <w:p w14:paraId="5F4BE263" w14:textId="345B9D5A" w:rsidR="00E40AC8" w:rsidRPr="006218CF" w:rsidRDefault="00BE770E" w:rsidP="000D51B8">
      <w:pPr>
        <w:spacing w:after="0" w:line="240" w:lineRule="auto"/>
        <w:ind w:left="0" w:right="0" w:firstLine="709"/>
        <w:rPr>
          <w:rFonts w:ascii="Times New Roman" w:hAnsi="Times New Roman" w:cs="Times New Roman"/>
          <w:color w:val="auto"/>
          <w:sz w:val="24"/>
        </w:rPr>
      </w:pPr>
      <w:r w:rsidRPr="006218CF">
        <w:rPr>
          <w:rFonts w:ascii="Times New Roman" w:hAnsi="Times New Roman" w:cs="Times New Roman"/>
          <w:color w:val="auto"/>
          <w:sz w:val="24"/>
        </w:rPr>
        <w:t xml:space="preserve">Ako </w:t>
      </w:r>
      <w:r w:rsidR="00900184" w:rsidRPr="006218CF">
        <w:rPr>
          <w:rFonts w:ascii="Times New Roman" w:hAnsi="Times New Roman" w:cs="Times New Roman"/>
          <w:color w:val="auto"/>
          <w:sz w:val="24"/>
        </w:rPr>
        <w:t>je ukupna materijalna šteta na kritičnoj infrastrukturi od znač</w:t>
      </w:r>
      <w:r w:rsidRPr="006218CF">
        <w:rPr>
          <w:rFonts w:ascii="Times New Roman" w:hAnsi="Times New Roman" w:cs="Times New Roman"/>
          <w:color w:val="auto"/>
          <w:sz w:val="24"/>
        </w:rPr>
        <w:t>en</w:t>
      </w:r>
      <w:r w:rsidR="00900184" w:rsidRPr="006218CF">
        <w:rPr>
          <w:rFonts w:ascii="Times New Roman" w:hAnsi="Times New Roman" w:cs="Times New Roman"/>
          <w:color w:val="auto"/>
          <w:sz w:val="24"/>
        </w:rPr>
        <w:t xml:space="preserve">ja za funkcioniranje društva, odnosno Grada Zagreba u cjelini, prikazat će se u odnosu na proračun Grada Zagreba koji </w:t>
      </w:r>
      <w:r w:rsidR="000D51B8" w:rsidRPr="006218CF">
        <w:rPr>
          <w:rFonts w:ascii="Times New Roman" w:hAnsi="Times New Roman" w:cs="Times New Roman"/>
          <w:color w:val="auto"/>
          <w:sz w:val="24"/>
        </w:rPr>
        <w:t>za</w:t>
      </w:r>
      <w:r w:rsidR="00900184" w:rsidRPr="006218CF">
        <w:rPr>
          <w:rFonts w:ascii="Times New Roman" w:hAnsi="Times New Roman" w:cs="Times New Roman"/>
          <w:color w:val="auto"/>
          <w:sz w:val="24"/>
        </w:rPr>
        <w:t xml:space="preserve"> 20</w:t>
      </w:r>
      <w:r w:rsidR="000D51B8" w:rsidRPr="006218CF">
        <w:rPr>
          <w:rFonts w:ascii="Times New Roman" w:hAnsi="Times New Roman" w:cs="Times New Roman"/>
          <w:color w:val="auto"/>
          <w:sz w:val="24"/>
        </w:rPr>
        <w:t>22</w:t>
      </w:r>
      <w:r w:rsidR="00900184" w:rsidRPr="006218CF">
        <w:rPr>
          <w:rFonts w:ascii="Times New Roman" w:hAnsi="Times New Roman" w:cs="Times New Roman"/>
          <w:color w:val="auto"/>
          <w:sz w:val="24"/>
        </w:rPr>
        <w:t xml:space="preserve">. </w:t>
      </w:r>
      <w:r w:rsidR="000D51B8" w:rsidRPr="006218CF">
        <w:rPr>
          <w:rFonts w:ascii="Times New Roman" w:hAnsi="Times New Roman" w:cs="Times New Roman"/>
          <w:color w:val="auto"/>
          <w:sz w:val="24"/>
        </w:rPr>
        <w:t xml:space="preserve">godinu </w:t>
      </w:r>
      <w:r w:rsidR="00900184" w:rsidRPr="006218CF">
        <w:rPr>
          <w:rFonts w:ascii="Times New Roman" w:hAnsi="Times New Roman" w:cs="Times New Roman"/>
          <w:color w:val="auto"/>
          <w:sz w:val="24"/>
        </w:rPr>
        <w:t xml:space="preserve">iznosi </w:t>
      </w:r>
      <w:r w:rsidR="000D51B8" w:rsidRPr="006218CF">
        <w:rPr>
          <w:rFonts w:ascii="Times New Roman" w:hAnsi="Times New Roman" w:cs="Times New Roman"/>
          <w:color w:val="auto"/>
          <w:sz w:val="24"/>
        </w:rPr>
        <w:t xml:space="preserve">15.126.911.800 </w:t>
      </w:r>
      <w:r w:rsidR="00900184" w:rsidRPr="006218CF">
        <w:rPr>
          <w:rFonts w:ascii="Times New Roman" w:hAnsi="Times New Roman" w:cs="Times New Roman"/>
          <w:color w:val="auto"/>
          <w:sz w:val="24"/>
        </w:rPr>
        <w:t>kuna.</w:t>
      </w:r>
    </w:p>
    <w:p w14:paraId="7D38E6B9" w14:textId="01F5A3B9" w:rsidR="00E40AC8" w:rsidRDefault="00E40AC8" w:rsidP="005142C4">
      <w:pPr>
        <w:spacing w:after="0" w:line="240" w:lineRule="auto"/>
        <w:ind w:left="0" w:right="0" w:firstLine="0"/>
        <w:jc w:val="left"/>
        <w:rPr>
          <w:rFonts w:ascii="Times New Roman" w:hAnsi="Times New Roman" w:cs="Times New Roman"/>
          <w:color w:val="auto"/>
          <w:sz w:val="24"/>
        </w:rPr>
      </w:pPr>
    </w:p>
    <w:p w14:paraId="0AF84397" w14:textId="4D1D9B9D" w:rsidR="00E40AC8" w:rsidRPr="000D51B8" w:rsidRDefault="00900184" w:rsidP="00476BBA">
      <w:pPr>
        <w:spacing w:line="240" w:lineRule="auto"/>
        <w:ind w:left="0" w:right="0" w:firstLine="0"/>
        <w:jc w:val="center"/>
        <w:rPr>
          <w:rFonts w:ascii="Times New Roman" w:hAnsi="Times New Roman" w:cs="Times New Roman"/>
          <w:b/>
          <w:color w:val="auto"/>
          <w:sz w:val="24"/>
        </w:rPr>
      </w:pPr>
      <w:bookmarkStart w:id="63" w:name="_Toc2938581"/>
      <w:r w:rsidRPr="000D51B8">
        <w:rPr>
          <w:rFonts w:ascii="Times New Roman" w:hAnsi="Times New Roman" w:cs="Times New Roman"/>
          <w:b/>
          <w:color w:val="auto"/>
          <w:sz w:val="24"/>
        </w:rPr>
        <w:t xml:space="preserve">Tablica </w:t>
      </w:r>
      <w:r w:rsidR="00381D97">
        <w:rPr>
          <w:rFonts w:ascii="Times New Roman" w:hAnsi="Times New Roman" w:cs="Times New Roman"/>
          <w:b/>
          <w:color w:val="auto"/>
          <w:sz w:val="24"/>
        </w:rPr>
        <w:t>34</w:t>
      </w:r>
      <w:r w:rsidRPr="000D51B8">
        <w:rPr>
          <w:rFonts w:ascii="Times New Roman" w:hAnsi="Times New Roman" w:cs="Times New Roman"/>
          <w:b/>
          <w:color w:val="auto"/>
          <w:sz w:val="24"/>
        </w:rPr>
        <w:t xml:space="preserve">. </w:t>
      </w:r>
      <w:r w:rsidR="00EE6A22" w:rsidRPr="000D51B8">
        <w:rPr>
          <w:rFonts w:ascii="Times New Roman" w:hAnsi="Times New Roman" w:cs="Times New Roman"/>
          <w:b/>
          <w:color w:val="auto"/>
          <w:sz w:val="24"/>
        </w:rPr>
        <w:t>-</w:t>
      </w:r>
      <w:r w:rsidRPr="000D51B8">
        <w:rPr>
          <w:rFonts w:ascii="Times New Roman" w:hAnsi="Times New Roman" w:cs="Times New Roman"/>
          <w:b/>
          <w:color w:val="auto"/>
          <w:sz w:val="24"/>
        </w:rPr>
        <w:t xml:space="preserve"> Društvena stabilnost </w:t>
      </w:r>
      <w:r w:rsidR="00EE6A22" w:rsidRPr="000D51B8">
        <w:rPr>
          <w:rFonts w:ascii="Times New Roman" w:hAnsi="Times New Roman" w:cs="Times New Roman"/>
          <w:b/>
          <w:color w:val="auto"/>
          <w:sz w:val="24"/>
        </w:rPr>
        <w:t>-</w:t>
      </w:r>
      <w:r w:rsidRPr="000D51B8">
        <w:rPr>
          <w:rFonts w:ascii="Times New Roman" w:hAnsi="Times New Roman" w:cs="Times New Roman"/>
          <w:b/>
          <w:color w:val="auto"/>
          <w:sz w:val="24"/>
        </w:rPr>
        <w:t xml:space="preserve"> </w:t>
      </w:r>
      <w:r w:rsidR="00BE770E" w:rsidRPr="000D51B8">
        <w:rPr>
          <w:rFonts w:ascii="Times New Roman" w:hAnsi="Times New Roman" w:cs="Times New Roman"/>
          <w:b/>
          <w:color w:val="auto"/>
          <w:sz w:val="24"/>
        </w:rPr>
        <w:t xml:space="preserve">kritična </w:t>
      </w:r>
      <w:r w:rsidRPr="000D51B8">
        <w:rPr>
          <w:rFonts w:ascii="Times New Roman" w:hAnsi="Times New Roman" w:cs="Times New Roman"/>
          <w:b/>
          <w:color w:val="auto"/>
          <w:sz w:val="24"/>
        </w:rPr>
        <w:t>infrastruktura (KI)</w:t>
      </w:r>
      <w:bookmarkEnd w:id="63"/>
    </w:p>
    <w:tbl>
      <w:tblPr>
        <w:tblStyle w:val="TableGrid"/>
        <w:tblW w:w="9072" w:type="dxa"/>
        <w:tblInd w:w="0" w:type="dxa"/>
        <w:tblLayout w:type="fixed"/>
        <w:tblCellMar>
          <w:top w:w="5" w:type="dxa"/>
          <w:left w:w="57" w:type="dxa"/>
          <w:right w:w="57" w:type="dxa"/>
        </w:tblCellMar>
        <w:tblLook w:val="04A0" w:firstRow="1" w:lastRow="0" w:firstColumn="1" w:lastColumn="0" w:noHBand="0" w:noVBand="1"/>
      </w:tblPr>
      <w:tblGrid>
        <w:gridCol w:w="1419"/>
        <w:gridCol w:w="2118"/>
        <w:gridCol w:w="2407"/>
        <w:gridCol w:w="3128"/>
      </w:tblGrid>
      <w:tr w:rsidR="003F7A56" w:rsidRPr="000D51B8" w14:paraId="3F1AAA07" w14:textId="77777777" w:rsidTr="006E5FA9">
        <w:trPr>
          <w:cantSplit/>
          <w:tblHeader/>
        </w:trPr>
        <w:tc>
          <w:tcPr>
            <w:tcW w:w="14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BCD0AE5" w14:textId="77777777" w:rsidR="003F7A56" w:rsidRPr="000D51B8" w:rsidRDefault="00900184" w:rsidP="00BE770E">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b/>
                <w:color w:val="auto"/>
              </w:rPr>
              <w:t>Kategorija</w:t>
            </w:r>
          </w:p>
        </w:tc>
        <w:tc>
          <w:tcPr>
            <w:tcW w:w="21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427AE76" w14:textId="77777777" w:rsidR="003F7A56" w:rsidRPr="000D51B8" w:rsidRDefault="00900184" w:rsidP="00BE770E">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b/>
                <w:color w:val="auto"/>
              </w:rPr>
              <w:t>Posljedice</w:t>
            </w:r>
          </w:p>
        </w:tc>
        <w:tc>
          <w:tcPr>
            <w:tcW w:w="240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15CB258" w14:textId="77777777" w:rsidR="003F7A56" w:rsidRPr="000D51B8" w:rsidRDefault="00900184" w:rsidP="00BE770E">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b/>
                <w:color w:val="auto"/>
              </w:rPr>
              <w:t>Kriterij</w:t>
            </w:r>
            <w:r w:rsidR="00E05F09" w:rsidRPr="000D51B8">
              <w:rPr>
                <w:rFonts w:ascii="Times New Roman" w:hAnsi="Times New Roman" w:cs="Times New Roman"/>
                <w:b/>
                <w:color w:val="auto"/>
              </w:rPr>
              <w:t> %</w:t>
            </w:r>
            <w:r w:rsidRPr="000D51B8">
              <w:rPr>
                <w:rFonts w:ascii="Times New Roman" w:hAnsi="Times New Roman" w:cs="Times New Roman"/>
                <w:b/>
                <w:color w:val="auto"/>
              </w:rPr>
              <w:t xml:space="preserve"> štete u odnosu na proračun</w:t>
            </w:r>
            <w:r w:rsidR="00BE770E" w:rsidRPr="000D51B8">
              <w:rPr>
                <w:rFonts w:ascii="Times New Roman" w:hAnsi="Times New Roman" w:cs="Times New Roman"/>
                <w:b/>
                <w:color w:val="auto"/>
              </w:rPr>
              <w:t xml:space="preserve"> </w:t>
            </w:r>
            <w:r w:rsidRPr="000D51B8">
              <w:rPr>
                <w:rFonts w:ascii="Times New Roman" w:hAnsi="Times New Roman" w:cs="Times New Roman"/>
                <w:b/>
                <w:color w:val="auto"/>
              </w:rPr>
              <w:t>Grada Zagreba</w:t>
            </w:r>
          </w:p>
        </w:tc>
        <w:tc>
          <w:tcPr>
            <w:tcW w:w="312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C32ACC3" w14:textId="77777777" w:rsidR="003F7A56" w:rsidRPr="000D51B8" w:rsidRDefault="00900184" w:rsidP="00BE770E">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b/>
                <w:color w:val="auto"/>
              </w:rPr>
              <w:t xml:space="preserve">Kriterij </w:t>
            </w:r>
            <w:r w:rsidR="00EE6A22" w:rsidRPr="000D51B8">
              <w:rPr>
                <w:rFonts w:ascii="Times New Roman" w:hAnsi="Times New Roman" w:cs="Times New Roman"/>
                <w:b/>
                <w:color w:val="auto"/>
              </w:rPr>
              <w:t>-</w:t>
            </w:r>
            <w:r w:rsidRPr="000D51B8">
              <w:rPr>
                <w:rFonts w:ascii="Times New Roman" w:hAnsi="Times New Roman" w:cs="Times New Roman"/>
                <w:b/>
                <w:color w:val="auto"/>
              </w:rPr>
              <w:t xml:space="preserve"> kn štete</w:t>
            </w:r>
          </w:p>
        </w:tc>
      </w:tr>
      <w:tr w:rsidR="000D51B8" w:rsidRPr="000D51B8" w14:paraId="08580CBA" w14:textId="77777777" w:rsidTr="006E5FA9">
        <w:trPr>
          <w:cantSplit/>
        </w:trPr>
        <w:tc>
          <w:tcPr>
            <w:tcW w:w="14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CF9ABAD" w14:textId="77777777" w:rsidR="000D51B8" w:rsidRPr="000D51B8" w:rsidRDefault="000D51B8" w:rsidP="000D51B8">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1.</w:t>
            </w:r>
          </w:p>
        </w:tc>
        <w:tc>
          <w:tcPr>
            <w:tcW w:w="2118" w:type="dxa"/>
            <w:tcBorders>
              <w:top w:val="single" w:sz="4" w:space="0" w:color="000000"/>
              <w:left w:val="single" w:sz="4" w:space="0" w:color="000000"/>
              <w:bottom w:val="single" w:sz="4" w:space="0" w:color="000000"/>
              <w:right w:val="single" w:sz="4" w:space="0" w:color="000000"/>
            </w:tcBorders>
            <w:vAlign w:val="center"/>
          </w:tcPr>
          <w:p w14:paraId="113C0396" w14:textId="77777777" w:rsidR="000D51B8" w:rsidRPr="000D51B8" w:rsidRDefault="000D51B8" w:rsidP="000D51B8">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Neznatne</w:t>
            </w:r>
          </w:p>
        </w:tc>
        <w:tc>
          <w:tcPr>
            <w:tcW w:w="2407" w:type="dxa"/>
            <w:tcBorders>
              <w:top w:val="single" w:sz="4" w:space="0" w:color="000000"/>
              <w:left w:val="single" w:sz="4" w:space="0" w:color="000000"/>
              <w:bottom w:val="single" w:sz="4" w:space="0" w:color="000000"/>
              <w:right w:val="single" w:sz="4" w:space="0" w:color="000000"/>
            </w:tcBorders>
            <w:vAlign w:val="center"/>
          </w:tcPr>
          <w:p w14:paraId="46624F28" w14:textId="77777777" w:rsidR="000D51B8" w:rsidRPr="000D51B8" w:rsidRDefault="000D51B8" w:rsidP="000D51B8">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0,5 - 1</w:t>
            </w:r>
          </w:p>
        </w:tc>
        <w:tc>
          <w:tcPr>
            <w:tcW w:w="3128" w:type="dxa"/>
            <w:tcBorders>
              <w:top w:val="single" w:sz="4" w:space="0" w:color="000000"/>
              <w:left w:val="single" w:sz="4" w:space="0" w:color="000000"/>
              <w:bottom w:val="single" w:sz="4" w:space="0" w:color="000000"/>
              <w:right w:val="single" w:sz="4" w:space="0" w:color="000000"/>
            </w:tcBorders>
            <w:vAlign w:val="center"/>
          </w:tcPr>
          <w:p w14:paraId="44839E2D" w14:textId="39B04755" w:rsidR="000D51B8" w:rsidRPr="000D51B8" w:rsidRDefault="000D51B8" w:rsidP="000D51B8">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75.634.600 - 151.269.100</w:t>
            </w:r>
          </w:p>
        </w:tc>
      </w:tr>
      <w:tr w:rsidR="000D51B8" w:rsidRPr="000D51B8" w14:paraId="079C46E9" w14:textId="77777777" w:rsidTr="006E5FA9">
        <w:trPr>
          <w:cantSplit/>
        </w:trPr>
        <w:tc>
          <w:tcPr>
            <w:tcW w:w="14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4ECF005" w14:textId="77777777" w:rsidR="000D51B8" w:rsidRPr="000D51B8" w:rsidRDefault="000D51B8" w:rsidP="000D51B8">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2.</w:t>
            </w:r>
          </w:p>
        </w:tc>
        <w:tc>
          <w:tcPr>
            <w:tcW w:w="2118" w:type="dxa"/>
            <w:tcBorders>
              <w:top w:val="single" w:sz="4" w:space="0" w:color="000000"/>
              <w:left w:val="single" w:sz="4" w:space="0" w:color="000000"/>
              <w:bottom w:val="single" w:sz="4" w:space="0" w:color="000000"/>
              <w:right w:val="single" w:sz="4" w:space="0" w:color="000000"/>
            </w:tcBorders>
            <w:vAlign w:val="center"/>
          </w:tcPr>
          <w:p w14:paraId="00C0CF5B" w14:textId="77777777" w:rsidR="000D51B8" w:rsidRPr="000D51B8" w:rsidRDefault="000D51B8" w:rsidP="000D51B8">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Malene</w:t>
            </w:r>
          </w:p>
        </w:tc>
        <w:tc>
          <w:tcPr>
            <w:tcW w:w="2407" w:type="dxa"/>
            <w:tcBorders>
              <w:top w:val="single" w:sz="4" w:space="0" w:color="000000"/>
              <w:left w:val="single" w:sz="4" w:space="0" w:color="000000"/>
              <w:bottom w:val="single" w:sz="4" w:space="0" w:color="000000"/>
              <w:right w:val="single" w:sz="4" w:space="0" w:color="000000"/>
            </w:tcBorders>
            <w:vAlign w:val="center"/>
          </w:tcPr>
          <w:p w14:paraId="7FDF79DF" w14:textId="77777777" w:rsidR="000D51B8" w:rsidRPr="000D51B8" w:rsidRDefault="000D51B8" w:rsidP="000D51B8">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1 - 5</w:t>
            </w:r>
          </w:p>
        </w:tc>
        <w:tc>
          <w:tcPr>
            <w:tcW w:w="3128" w:type="dxa"/>
            <w:tcBorders>
              <w:top w:val="single" w:sz="4" w:space="0" w:color="000000"/>
              <w:left w:val="single" w:sz="4" w:space="0" w:color="000000"/>
              <w:bottom w:val="single" w:sz="4" w:space="0" w:color="000000"/>
              <w:right w:val="single" w:sz="4" w:space="0" w:color="000000"/>
            </w:tcBorders>
            <w:vAlign w:val="center"/>
          </w:tcPr>
          <w:p w14:paraId="3B535979" w14:textId="3AAD6637" w:rsidR="000D51B8" w:rsidRPr="000D51B8" w:rsidRDefault="000D51B8" w:rsidP="000D51B8">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151.269.100 - 756.345.600</w:t>
            </w:r>
          </w:p>
        </w:tc>
      </w:tr>
      <w:tr w:rsidR="000D51B8" w:rsidRPr="000D51B8" w14:paraId="16561237" w14:textId="77777777" w:rsidTr="006E5FA9">
        <w:trPr>
          <w:cantSplit/>
        </w:trPr>
        <w:tc>
          <w:tcPr>
            <w:tcW w:w="14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15904DB" w14:textId="77777777" w:rsidR="000D51B8" w:rsidRPr="000D51B8" w:rsidRDefault="000D51B8" w:rsidP="000D51B8">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3.</w:t>
            </w:r>
          </w:p>
        </w:tc>
        <w:tc>
          <w:tcPr>
            <w:tcW w:w="2118" w:type="dxa"/>
            <w:tcBorders>
              <w:top w:val="single" w:sz="4" w:space="0" w:color="000000"/>
              <w:left w:val="single" w:sz="4" w:space="0" w:color="000000"/>
              <w:bottom w:val="single" w:sz="4" w:space="0" w:color="000000"/>
              <w:right w:val="single" w:sz="4" w:space="0" w:color="000000"/>
            </w:tcBorders>
            <w:vAlign w:val="center"/>
          </w:tcPr>
          <w:p w14:paraId="1F1BFF7B" w14:textId="77777777" w:rsidR="000D51B8" w:rsidRPr="000D51B8" w:rsidRDefault="000D51B8" w:rsidP="000D51B8">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Umjerene</w:t>
            </w:r>
          </w:p>
        </w:tc>
        <w:tc>
          <w:tcPr>
            <w:tcW w:w="2407" w:type="dxa"/>
            <w:tcBorders>
              <w:top w:val="single" w:sz="4" w:space="0" w:color="000000"/>
              <w:left w:val="single" w:sz="4" w:space="0" w:color="000000"/>
              <w:bottom w:val="single" w:sz="4" w:space="0" w:color="000000"/>
              <w:right w:val="single" w:sz="4" w:space="0" w:color="000000"/>
            </w:tcBorders>
            <w:vAlign w:val="center"/>
          </w:tcPr>
          <w:p w14:paraId="1024D4D3" w14:textId="77777777" w:rsidR="000D51B8" w:rsidRPr="000D51B8" w:rsidRDefault="000D51B8" w:rsidP="000D51B8">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5 - 15</w:t>
            </w:r>
          </w:p>
        </w:tc>
        <w:tc>
          <w:tcPr>
            <w:tcW w:w="3128" w:type="dxa"/>
            <w:tcBorders>
              <w:top w:val="single" w:sz="4" w:space="0" w:color="000000"/>
              <w:left w:val="single" w:sz="4" w:space="0" w:color="000000"/>
              <w:bottom w:val="single" w:sz="4" w:space="0" w:color="000000"/>
              <w:right w:val="single" w:sz="4" w:space="0" w:color="000000"/>
            </w:tcBorders>
            <w:vAlign w:val="center"/>
          </w:tcPr>
          <w:p w14:paraId="70054C89" w14:textId="293719C2" w:rsidR="000D51B8" w:rsidRPr="000D51B8" w:rsidRDefault="000D51B8" w:rsidP="000D51B8">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756.345.600 - 2.269.036.800</w:t>
            </w:r>
          </w:p>
        </w:tc>
      </w:tr>
      <w:tr w:rsidR="000D51B8" w:rsidRPr="000D51B8" w14:paraId="5CE6B037" w14:textId="77777777" w:rsidTr="006E5FA9">
        <w:trPr>
          <w:cantSplit/>
        </w:trPr>
        <w:tc>
          <w:tcPr>
            <w:tcW w:w="14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F0597ED" w14:textId="77777777" w:rsidR="000D51B8" w:rsidRPr="000D51B8" w:rsidRDefault="000D51B8" w:rsidP="000D51B8">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4.</w:t>
            </w:r>
          </w:p>
        </w:tc>
        <w:tc>
          <w:tcPr>
            <w:tcW w:w="2118" w:type="dxa"/>
            <w:tcBorders>
              <w:top w:val="single" w:sz="4" w:space="0" w:color="000000"/>
              <w:left w:val="single" w:sz="4" w:space="0" w:color="000000"/>
              <w:bottom w:val="single" w:sz="4" w:space="0" w:color="000000"/>
              <w:right w:val="single" w:sz="4" w:space="0" w:color="000000"/>
            </w:tcBorders>
            <w:vAlign w:val="center"/>
          </w:tcPr>
          <w:p w14:paraId="14A25809" w14:textId="77777777" w:rsidR="000D51B8" w:rsidRPr="000D51B8" w:rsidRDefault="000D51B8" w:rsidP="000D51B8">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Znatne</w:t>
            </w:r>
          </w:p>
        </w:tc>
        <w:tc>
          <w:tcPr>
            <w:tcW w:w="2407" w:type="dxa"/>
            <w:tcBorders>
              <w:top w:val="single" w:sz="4" w:space="0" w:color="000000"/>
              <w:left w:val="single" w:sz="4" w:space="0" w:color="000000"/>
              <w:bottom w:val="single" w:sz="4" w:space="0" w:color="000000"/>
              <w:right w:val="single" w:sz="4" w:space="0" w:color="000000"/>
            </w:tcBorders>
            <w:vAlign w:val="center"/>
          </w:tcPr>
          <w:p w14:paraId="33180B57" w14:textId="77777777" w:rsidR="000D51B8" w:rsidRPr="000D51B8" w:rsidRDefault="000D51B8" w:rsidP="000D51B8">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15 - 25</w:t>
            </w:r>
          </w:p>
        </w:tc>
        <w:tc>
          <w:tcPr>
            <w:tcW w:w="3128" w:type="dxa"/>
            <w:tcBorders>
              <w:top w:val="single" w:sz="4" w:space="0" w:color="000000"/>
              <w:left w:val="single" w:sz="4" w:space="0" w:color="000000"/>
              <w:bottom w:val="single" w:sz="4" w:space="0" w:color="000000"/>
              <w:right w:val="single" w:sz="4" w:space="0" w:color="000000"/>
            </w:tcBorders>
            <w:vAlign w:val="center"/>
          </w:tcPr>
          <w:p w14:paraId="3C77D9AE" w14:textId="41E3EFC8" w:rsidR="000D51B8" w:rsidRPr="000D51B8" w:rsidRDefault="000D51B8" w:rsidP="000D51B8">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2.269.036.800 - 3.781.727.900</w:t>
            </w:r>
          </w:p>
        </w:tc>
      </w:tr>
      <w:tr w:rsidR="000D51B8" w:rsidRPr="000D51B8" w14:paraId="3842F34F" w14:textId="77777777" w:rsidTr="006E5FA9">
        <w:trPr>
          <w:cantSplit/>
        </w:trPr>
        <w:tc>
          <w:tcPr>
            <w:tcW w:w="14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9031D2D" w14:textId="77777777" w:rsidR="000D51B8" w:rsidRPr="000D51B8" w:rsidRDefault="000D51B8" w:rsidP="000D51B8">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5.</w:t>
            </w:r>
          </w:p>
        </w:tc>
        <w:tc>
          <w:tcPr>
            <w:tcW w:w="2118" w:type="dxa"/>
            <w:tcBorders>
              <w:top w:val="single" w:sz="4" w:space="0" w:color="000000"/>
              <w:left w:val="single" w:sz="4" w:space="0" w:color="000000"/>
              <w:bottom w:val="single" w:sz="4" w:space="0" w:color="000000"/>
              <w:right w:val="single" w:sz="4" w:space="0" w:color="000000"/>
            </w:tcBorders>
            <w:vAlign w:val="center"/>
          </w:tcPr>
          <w:p w14:paraId="2783101B" w14:textId="77777777" w:rsidR="000D51B8" w:rsidRPr="000D51B8" w:rsidRDefault="000D51B8" w:rsidP="000D51B8">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Katastrofalne</w:t>
            </w:r>
          </w:p>
        </w:tc>
        <w:tc>
          <w:tcPr>
            <w:tcW w:w="2407" w:type="dxa"/>
            <w:tcBorders>
              <w:top w:val="single" w:sz="4" w:space="0" w:color="000000"/>
              <w:left w:val="single" w:sz="4" w:space="0" w:color="000000"/>
              <w:bottom w:val="single" w:sz="4" w:space="0" w:color="000000"/>
              <w:right w:val="single" w:sz="4" w:space="0" w:color="000000"/>
            </w:tcBorders>
            <w:vAlign w:val="center"/>
          </w:tcPr>
          <w:p w14:paraId="6A0D9D98" w14:textId="77777777" w:rsidR="000D51B8" w:rsidRPr="000D51B8" w:rsidRDefault="000D51B8" w:rsidP="000D51B8">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&gt; 25</w:t>
            </w:r>
          </w:p>
        </w:tc>
        <w:tc>
          <w:tcPr>
            <w:tcW w:w="3128" w:type="dxa"/>
            <w:tcBorders>
              <w:top w:val="single" w:sz="4" w:space="0" w:color="000000"/>
              <w:left w:val="single" w:sz="4" w:space="0" w:color="000000"/>
              <w:bottom w:val="single" w:sz="4" w:space="0" w:color="000000"/>
              <w:right w:val="single" w:sz="4" w:space="0" w:color="000000"/>
            </w:tcBorders>
            <w:vAlign w:val="center"/>
          </w:tcPr>
          <w:p w14:paraId="2763BC7E" w14:textId="6072B05C" w:rsidR="000D51B8" w:rsidRPr="000D51B8" w:rsidRDefault="000D51B8" w:rsidP="000D51B8">
            <w:pPr>
              <w:spacing w:after="0" w:line="240" w:lineRule="auto"/>
              <w:ind w:left="0" w:right="0" w:firstLine="0"/>
              <w:jc w:val="center"/>
              <w:rPr>
                <w:rFonts w:ascii="Times New Roman" w:hAnsi="Times New Roman" w:cs="Times New Roman"/>
                <w:color w:val="auto"/>
              </w:rPr>
            </w:pPr>
            <w:r w:rsidRPr="000D51B8">
              <w:rPr>
                <w:rFonts w:ascii="Times New Roman" w:hAnsi="Times New Roman" w:cs="Times New Roman"/>
                <w:color w:val="auto"/>
              </w:rPr>
              <w:t>&gt;3.781.727.900</w:t>
            </w:r>
          </w:p>
        </w:tc>
      </w:tr>
    </w:tbl>
    <w:p w14:paraId="7B7CE6C0" w14:textId="77777777" w:rsidR="00E40AC8" w:rsidRPr="00C3602C" w:rsidRDefault="00900184" w:rsidP="00BE770E">
      <w:pPr>
        <w:spacing w:after="0" w:line="240" w:lineRule="auto"/>
        <w:ind w:left="-57" w:right="-57" w:firstLine="0"/>
        <w:jc w:val="center"/>
        <w:rPr>
          <w:rFonts w:ascii="Times New Roman" w:eastAsia="Calibri" w:hAnsi="Times New Roman" w:cs="Times New Roman"/>
          <w:i/>
          <w:sz w:val="20"/>
          <w:szCs w:val="20"/>
        </w:rPr>
      </w:pPr>
      <w:r w:rsidRPr="00C3602C">
        <w:rPr>
          <w:rFonts w:ascii="Times New Roman" w:eastAsia="Calibri" w:hAnsi="Times New Roman" w:cs="Times New Roman"/>
          <w:i/>
          <w:sz w:val="20"/>
          <w:szCs w:val="20"/>
        </w:rPr>
        <w:t>Izvor: Smjernice za izradu Procjene rizika od velikih nesreća na području Grada Zagreba, Zagreb, siječanj, 2017.</w:t>
      </w:r>
    </w:p>
    <w:p w14:paraId="01AD57C7" w14:textId="77777777" w:rsidR="00E40AC8" w:rsidRPr="005142C4" w:rsidRDefault="00E40AC8" w:rsidP="005142C4">
      <w:pPr>
        <w:spacing w:after="0" w:line="240" w:lineRule="auto"/>
        <w:ind w:left="0" w:right="0" w:firstLine="0"/>
        <w:jc w:val="left"/>
        <w:rPr>
          <w:rFonts w:ascii="Times New Roman" w:hAnsi="Times New Roman" w:cs="Times New Roman"/>
          <w:sz w:val="24"/>
        </w:rPr>
      </w:pPr>
    </w:p>
    <w:p w14:paraId="720D22DD" w14:textId="77777777" w:rsidR="00E40AC8" w:rsidRPr="005142C4" w:rsidRDefault="00900184" w:rsidP="00BE770E">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U kriteriju ukupne materijalne štete na građevinama od javnog društvenog značaja šteta se prikazuje u odnosu na proračun Grada Zagreba. Građevinama javnog društvenog značaja smatraju se sportski objekti, objekti kulturne baštine, sakralni objekti, objekti javnih ustanova i sl.</w:t>
      </w:r>
    </w:p>
    <w:p w14:paraId="7035E55D" w14:textId="692AE35D" w:rsidR="003F7A56" w:rsidRPr="006218CF" w:rsidRDefault="00900184" w:rsidP="00476BBA">
      <w:pPr>
        <w:spacing w:before="240" w:line="240" w:lineRule="auto"/>
        <w:ind w:left="0" w:right="0" w:firstLine="0"/>
        <w:jc w:val="center"/>
        <w:rPr>
          <w:rFonts w:ascii="Times New Roman" w:hAnsi="Times New Roman" w:cs="Times New Roman"/>
          <w:b/>
          <w:color w:val="auto"/>
          <w:sz w:val="24"/>
        </w:rPr>
      </w:pPr>
      <w:bookmarkStart w:id="64" w:name="_Toc2938582"/>
      <w:r w:rsidRPr="006218CF">
        <w:rPr>
          <w:rFonts w:ascii="Times New Roman" w:hAnsi="Times New Roman" w:cs="Times New Roman"/>
          <w:b/>
          <w:color w:val="auto"/>
          <w:sz w:val="24"/>
        </w:rPr>
        <w:t>Tablica 3</w:t>
      </w:r>
      <w:r w:rsidR="00381D97">
        <w:rPr>
          <w:rFonts w:ascii="Times New Roman" w:hAnsi="Times New Roman" w:cs="Times New Roman"/>
          <w:b/>
          <w:color w:val="auto"/>
          <w:sz w:val="24"/>
        </w:rPr>
        <w:t>5</w:t>
      </w:r>
      <w:r w:rsidRPr="006218CF">
        <w:rPr>
          <w:rFonts w:ascii="Times New Roman" w:hAnsi="Times New Roman" w:cs="Times New Roman"/>
          <w:b/>
          <w:color w:val="auto"/>
          <w:sz w:val="24"/>
        </w:rPr>
        <w:t xml:space="preserve">. </w:t>
      </w:r>
      <w:r w:rsidR="00EE6A22" w:rsidRPr="006218CF">
        <w:rPr>
          <w:rFonts w:ascii="Times New Roman" w:hAnsi="Times New Roman" w:cs="Times New Roman"/>
          <w:b/>
          <w:color w:val="auto"/>
          <w:sz w:val="24"/>
        </w:rPr>
        <w:t>-</w:t>
      </w:r>
      <w:r w:rsidRPr="006218CF">
        <w:rPr>
          <w:rFonts w:ascii="Times New Roman" w:hAnsi="Times New Roman" w:cs="Times New Roman"/>
          <w:b/>
          <w:color w:val="auto"/>
          <w:sz w:val="24"/>
        </w:rPr>
        <w:t xml:space="preserve"> Društvena stabilnost i politika</w:t>
      </w:r>
      <w:r w:rsidR="00EE6A22" w:rsidRPr="006218CF">
        <w:rPr>
          <w:rFonts w:ascii="Times New Roman" w:hAnsi="Times New Roman" w:cs="Times New Roman"/>
          <w:b/>
          <w:color w:val="auto"/>
          <w:sz w:val="24"/>
        </w:rPr>
        <w:t>-</w:t>
      </w:r>
      <w:r w:rsidRPr="006218CF">
        <w:rPr>
          <w:rFonts w:ascii="Times New Roman" w:hAnsi="Times New Roman" w:cs="Times New Roman"/>
          <w:b/>
          <w:color w:val="auto"/>
          <w:sz w:val="24"/>
        </w:rPr>
        <w:t xml:space="preserve"> </w:t>
      </w:r>
      <w:r w:rsidR="00BE770E" w:rsidRPr="006218CF">
        <w:rPr>
          <w:rFonts w:ascii="Times New Roman" w:hAnsi="Times New Roman" w:cs="Times New Roman"/>
          <w:b/>
          <w:color w:val="auto"/>
          <w:sz w:val="24"/>
        </w:rPr>
        <w:t>ustanove</w:t>
      </w:r>
      <w:r w:rsidRPr="006218CF">
        <w:rPr>
          <w:rFonts w:ascii="Times New Roman" w:hAnsi="Times New Roman" w:cs="Times New Roman"/>
          <w:b/>
          <w:color w:val="auto"/>
          <w:sz w:val="24"/>
        </w:rPr>
        <w:t>/građevine javnog društvenog značaja</w:t>
      </w:r>
      <w:bookmarkEnd w:id="64"/>
    </w:p>
    <w:tbl>
      <w:tblPr>
        <w:tblStyle w:val="TableGrid"/>
        <w:tblW w:w="9072" w:type="dxa"/>
        <w:tblInd w:w="0" w:type="dxa"/>
        <w:tblLayout w:type="fixed"/>
        <w:tblCellMar>
          <w:left w:w="57" w:type="dxa"/>
          <w:right w:w="57" w:type="dxa"/>
        </w:tblCellMar>
        <w:tblLook w:val="04A0" w:firstRow="1" w:lastRow="0" w:firstColumn="1" w:lastColumn="0" w:noHBand="0" w:noVBand="1"/>
      </w:tblPr>
      <w:tblGrid>
        <w:gridCol w:w="1419"/>
        <w:gridCol w:w="2404"/>
        <w:gridCol w:w="2409"/>
        <w:gridCol w:w="2840"/>
      </w:tblGrid>
      <w:tr w:rsidR="003F7A56" w:rsidRPr="00CF4A76" w14:paraId="08359114" w14:textId="77777777" w:rsidTr="006E5FA9">
        <w:trPr>
          <w:cantSplit/>
          <w:tblHeader/>
        </w:trPr>
        <w:tc>
          <w:tcPr>
            <w:tcW w:w="14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3C3110E" w14:textId="77777777" w:rsidR="003F7A56" w:rsidRPr="006218CF" w:rsidRDefault="00900184" w:rsidP="00BE770E">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b/>
                <w:color w:val="auto"/>
              </w:rPr>
              <w:t>Kategorija</w:t>
            </w:r>
          </w:p>
        </w:tc>
        <w:tc>
          <w:tcPr>
            <w:tcW w:w="2404"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D72076C" w14:textId="77777777" w:rsidR="003F7A56" w:rsidRPr="006218CF" w:rsidRDefault="00900184" w:rsidP="00BE770E">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b/>
                <w:color w:val="auto"/>
              </w:rPr>
              <w:t>Posljedice</w:t>
            </w:r>
          </w:p>
        </w:tc>
        <w:tc>
          <w:tcPr>
            <w:tcW w:w="240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A93A30E" w14:textId="77777777" w:rsidR="003F7A56" w:rsidRPr="006218CF" w:rsidRDefault="00900184" w:rsidP="00BE770E">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b/>
                <w:color w:val="auto"/>
              </w:rPr>
              <w:t>Kriterij</w:t>
            </w:r>
            <w:r w:rsidR="00E05F09" w:rsidRPr="006218CF">
              <w:rPr>
                <w:rFonts w:ascii="Times New Roman" w:hAnsi="Times New Roman" w:cs="Times New Roman"/>
                <w:b/>
                <w:color w:val="auto"/>
              </w:rPr>
              <w:t> %</w:t>
            </w:r>
            <w:r w:rsidRPr="006218CF">
              <w:rPr>
                <w:rFonts w:ascii="Times New Roman" w:hAnsi="Times New Roman" w:cs="Times New Roman"/>
                <w:b/>
                <w:color w:val="auto"/>
              </w:rPr>
              <w:t xml:space="preserve"> štete u odnosu na proračun</w:t>
            </w:r>
            <w:r w:rsidR="00BE770E" w:rsidRPr="006218CF">
              <w:rPr>
                <w:rFonts w:ascii="Times New Roman" w:hAnsi="Times New Roman" w:cs="Times New Roman"/>
                <w:b/>
                <w:color w:val="auto"/>
              </w:rPr>
              <w:t xml:space="preserve"> </w:t>
            </w:r>
            <w:r w:rsidRPr="006218CF">
              <w:rPr>
                <w:rFonts w:ascii="Times New Roman" w:hAnsi="Times New Roman" w:cs="Times New Roman"/>
                <w:b/>
                <w:color w:val="auto"/>
              </w:rPr>
              <w:t>Grada Zagreba</w:t>
            </w:r>
          </w:p>
        </w:tc>
        <w:tc>
          <w:tcPr>
            <w:tcW w:w="284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CE354B6" w14:textId="77777777" w:rsidR="003F7A56" w:rsidRPr="006218CF" w:rsidRDefault="00900184" w:rsidP="00BE770E">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b/>
                <w:color w:val="auto"/>
              </w:rPr>
              <w:t xml:space="preserve">Kriterij </w:t>
            </w:r>
            <w:r w:rsidR="00EE6A22" w:rsidRPr="006218CF">
              <w:rPr>
                <w:rFonts w:ascii="Times New Roman" w:hAnsi="Times New Roman" w:cs="Times New Roman"/>
                <w:b/>
                <w:color w:val="auto"/>
              </w:rPr>
              <w:t>-</w:t>
            </w:r>
            <w:r w:rsidRPr="006218CF">
              <w:rPr>
                <w:rFonts w:ascii="Times New Roman" w:hAnsi="Times New Roman" w:cs="Times New Roman"/>
                <w:b/>
                <w:color w:val="auto"/>
              </w:rPr>
              <w:t xml:space="preserve"> kn štete</w:t>
            </w:r>
          </w:p>
        </w:tc>
      </w:tr>
      <w:tr w:rsidR="00CF4A76" w:rsidRPr="00CF4A76" w14:paraId="3C48CE66" w14:textId="77777777" w:rsidTr="006E5FA9">
        <w:trPr>
          <w:cantSplit/>
        </w:trPr>
        <w:tc>
          <w:tcPr>
            <w:tcW w:w="14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A0B6045" w14:textId="77777777" w:rsidR="00CF4A76" w:rsidRPr="006218CF" w:rsidRDefault="00CF4A76" w:rsidP="00CF4A76">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1.</w:t>
            </w:r>
          </w:p>
        </w:tc>
        <w:tc>
          <w:tcPr>
            <w:tcW w:w="2404" w:type="dxa"/>
            <w:tcBorders>
              <w:top w:val="single" w:sz="4" w:space="0" w:color="000000"/>
              <w:left w:val="single" w:sz="4" w:space="0" w:color="000000"/>
              <w:bottom w:val="single" w:sz="4" w:space="0" w:color="000000"/>
              <w:right w:val="single" w:sz="4" w:space="0" w:color="000000"/>
            </w:tcBorders>
            <w:vAlign w:val="center"/>
          </w:tcPr>
          <w:p w14:paraId="7178ECCA" w14:textId="77777777" w:rsidR="00CF4A76" w:rsidRPr="006218CF" w:rsidRDefault="00CF4A76" w:rsidP="00CF4A76">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Neznatne</w:t>
            </w:r>
          </w:p>
        </w:tc>
        <w:tc>
          <w:tcPr>
            <w:tcW w:w="2409" w:type="dxa"/>
            <w:tcBorders>
              <w:top w:val="single" w:sz="4" w:space="0" w:color="000000"/>
              <w:left w:val="single" w:sz="4" w:space="0" w:color="000000"/>
              <w:bottom w:val="single" w:sz="4" w:space="0" w:color="000000"/>
              <w:right w:val="single" w:sz="4" w:space="0" w:color="000000"/>
            </w:tcBorders>
            <w:vAlign w:val="center"/>
          </w:tcPr>
          <w:p w14:paraId="4720E44A" w14:textId="77777777" w:rsidR="00CF4A76" w:rsidRPr="006218CF" w:rsidRDefault="00CF4A76" w:rsidP="00CF4A76">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0,5 - 1</w:t>
            </w:r>
          </w:p>
        </w:tc>
        <w:tc>
          <w:tcPr>
            <w:tcW w:w="2840" w:type="dxa"/>
            <w:tcBorders>
              <w:top w:val="single" w:sz="4" w:space="0" w:color="000000"/>
              <w:left w:val="single" w:sz="4" w:space="0" w:color="000000"/>
              <w:bottom w:val="single" w:sz="4" w:space="0" w:color="000000"/>
              <w:right w:val="single" w:sz="4" w:space="0" w:color="000000"/>
            </w:tcBorders>
            <w:vAlign w:val="center"/>
          </w:tcPr>
          <w:p w14:paraId="53E2BBBB" w14:textId="2A905CA0" w:rsidR="00CF4A76" w:rsidRPr="006218CF" w:rsidRDefault="00CF4A76" w:rsidP="00CF4A76">
            <w:pPr>
              <w:spacing w:after="0" w:line="240" w:lineRule="auto"/>
              <w:ind w:left="0" w:right="0" w:firstLine="0"/>
              <w:jc w:val="center"/>
              <w:rPr>
                <w:rFonts w:ascii="Times New Roman" w:hAnsi="Times New Roman" w:cs="Times New Roman"/>
                <w:color w:val="auto"/>
              </w:rPr>
            </w:pPr>
            <w:r w:rsidRPr="00CF4A76">
              <w:rPr>
                <w:rFonts w:ascii="Times New Roman" w:hAnsi="Times New Roman" w:cs="Times New Roman"/>
                <w:color w:val="auto"/>
              </w:rPr>
              <w:t>75.634.600 - 151.269.100</w:t>
            </w:r>
          </w:p>
        </w:tc>
      </w:tr>
      <w:tr w:rsidR="00CF4A76" w:rsidRPr="00CF4A76" w14:paraId="0B317BC8" w14:textId="77777777" w:rsidTr="006E5FA9">
        <w:trPr>
          <w:cantSplit/>
        </w:trPr>
        <w:tc>
          <w:tcPr>
            <w:tcW w:w="14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022F43F" w14:textId="77777777" w:rsidR="00CF4A76" w:rsidRPr="006218CF" w:rsidRDefault="00CF4A76" w:rsidP="00CF4A76">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2.</w:t>
            </w:r>
          </w:p>
        </w:tc>
        <w:tc>
          <w:tcPr>
            <w:tcW w:w="2404" w:type="dxa"/>
            <w:tcBorders>
              <w:top w:val="single" w:sz="4" w:space="0" w:color="000000"/>
              <w:left w:val="single" w:sz="4" w:space="0" w:color="000000"/>
              <w:bottom w:val="single" w:sz="4" w:space="0" w:color="000000"/>
              <w:right w:val="single" w:sz="4" w:space="0" w:color="000000"/>
            </w:tcBorders>
            <w:vAlign w:val="center"/>
          </w:tcPr>
          <w:p w14:paraId="680102E1" w14:textId="77777777" w:rsidR="00CF4A76" w:rsidRPr="006218CF" w:rsidRDefault="00CF4A76" w:rsidP="00CF4A76">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Malene</w:t>
            </w:r>
          </w:p>
        </w:tc>
        <w:tc>
          <w:tcPr>
            <w:tcW w:w="2409" w:type="dxa"/>
            <w:tcBorders>
              <w:top w:val="single" w:sz="4" w:space="0" w:color="000000"/>
              <w:left w:val="single" w:sz="4" w:space="0" w:color="000000"/>
              <w:bottom w:val="single" w:sz="4" w:space="0" w:color="000000"/>
              <w:right w:val="single" w:sz="4" w:space="0" w:color="000000"/>
            </w:tcBorders>
            <w:vAlign w:val="center"/>
          </w:tcPr>
          <w:p w14:paraId="09D86475" w14:textId="77777777" w:rsidR="00CF4A76" w:rsidRPr="006218CF" w:rsidRDefault="00CF4A76" w:rsidP="00CF4A76">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1 - 5</w:t>
            </w:r>
          </w:p>
        </w:tc>
        <w:tc>
          <w:tcPr>
            <w:tcW w:w="2840" w:type="dxa"/>
            <w:tcBorders>
              <w:top w:val="single" w:sz="4" w:space="0" w:color="000000"/>
              <w:left w:val="single" w:sz="4" w:space="0" w:color="000000"/>
              <w:bottom w:val="single" w:sz="4" w:space="0" w:color="000000"/>
              <w:right w:val="single" w:sz="4" w:space="0" w:color="000000"/>
            </w:tcBorders>
            <w:vAlign w:val="center"/>
          </w:tcPr>
          <w:p w14:paraId="4D929380" w14:textId="7F3E22D0" w:rsidR="00CF4A76" w:rsidRPr="006218CF" w:rsidRDefault="00CF4A76" w:rsidP="00CF4A76">
            <w:pPr>
              <w:spacing w:after="0" w:line="240" w:lineRule="auto"/>
              <w:ind w:left="0" w:right="0" w:firstLine="0"/>
              <w:jc w:val="center"/>
              <w:rPr>
                <w:rFonts w:ascii="Times New Roman" w:hAnsi="Times New Roman" w:cs="Times New Roman"/>
                <w:color w:val="auto"/>
              </w:rPr>
            </w:pPr>
            <w:r w:rsidRPr="00CF4A76">
              <w:rPr>
                <w:rFonts w:ascii="Times New Roman" w:hAnsi="Times New Roman" w:cs="Times New Roman"/>
                <w:color w:val="auto"/>
              </w:rPr>
              <w:t>151.269.100 - 756.345.600</w:t>
            </w:r>
          </w:p>
        </w:tc>
      </w:tr>
      <w:tr w:rsidR="00CF4A76" w:rsidRPr="00CF4A76" w14:paraId="3E554F04" w14:textId="77777777" w:rsidTr="006E5FA9">
        <w:trPr>
          <w:cantSplit/>
        </w:trPr>
        <w:tc>
          <w:tcPr>
            <w:tcW w:w="14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46658D0" w14:textId="77777777" w:rsidR="00CF4A76" w:rsidRPr="006218CF" w:rsidRDefault="00CF4A76" w:rsidP="00CF4A76">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3.</w:t>
            </w:r>
          </w:p>
        </w:tc>
        <w:tc>
          <w:tcPr>
            <w:tcW w:w="2404" w:type="dxa"/>
            <w:tcBorders>
              <w:top w:val="single" w:sz="4" w:space="0" w:color="000000"/>
              <w:left w:val="single" w:sz="4" w:space="0" w:color="000000"/>
              <w:bottom w:val="single" w:sz="4" w:space="0" w:color="000000"/>
              <w:right w:val="single" w:sz="4" w:space="0" w:color="000000"/>
            </w:tcBorders>
            <w:vAlign w:val="center"/>
          </w:tcPr>
          <w:p w14:paraId="6569DD08" w14:textId="77777777" w:rsidR="00CF4A76" w:rsidRPr="006218CF" w:rsidRDefault="00CF4A76" w:rsidP="00CF4A76">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Umjerene</w:t>
            </w:r>
          </w:p>
        </w:tc>
        <w:tc>
          <w:tcPr>
            <w:tcW w:w="2409" w:type="dxa"/>
            <w:tcBorders>
              <w:top w:val="single" w:sz="4" w:space="0" w:color="000000"/>
              <w:left w:val="single" w:sz="4" w:space="0" w:color="000000"/>
              <w:bottom w:val="single" w:sz="4" w:space="0" w:color="000000"/>
              <w:right w:val="single" w:sz="4" w:space="0" w:color="000000"/>
            </w:tcBorders>
            <w:vAlign w:val="center"/>
          </w:tcPr>
          <w:p w14:paraId="295161F6" w14:textId="77777777" w:rsidR="00CF4A76" w:rsidRPr="006218CF" w:rsidRDefault="00CF4A76" w:rsidP="00CF4A76">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5 - 15</w:t>
            </w:r>
          </w:p>
        </w:tc>
        <w:tc>
          <w:tcPr>
            <w:tcW w:w="2840" w:type="dxa"/>
            <w:tcBorders>
              <w:top w:val="single" w:sz="4" w:space="0" w:color="000000"/>
              <w:left w:val="single" w:sz="4" w:space="0" w:color="000000"/>
              <w:bottom w:val="single" w:sz="4" w:space="0" w:color="000000"/>
              <w:right w:val="single" w:sz="4" w:space="0" w:color="000000"/>
            </w:tcBorders>
            <w:vAlign w:val="center"/>
          </w:tcPr>
          <w:p w14:paraId="3227DCFB" w14:textId="2E38396A" w:rsidR="00CF4A76" w:rsidRPr="006218CF" w:rsidRDefault="00CF4A76" w:rsidP="00CF4A76">
            <w:pPr>
              <w:spacing w:after="0" w:line="240" w:lineRule="auto"/>
              <w:ind w:left="0" w:right="0" w:firstLine="0"/>
              <w:jc w:val="center"/>
              <w:rPr>
                <w:rFonts w:ascii="Times New Roman" w:hAnsi="Times New Roman" w:cs="Times New Roman"/>
                <w:color w:val="auto"/>
              </w:rPr>
            </w:pPr>
            <w:r w:rsidRPr="00CF4A76">
              <w:rPr>
                <w:rFonts w:ascii="Times New Roman" w:hAnsi="Times New Roman" w:cs="Times New Roman"/>
                <w:color w:val="auto"/>
              </w:rPr>
              <w:t>756.345.600 - 2.269.036.800</w:t>
            </w:r>
          </w:p>
        </w:tc>
      </w:tr>
      <w:tr w:rsidR="00CF4A76" w:rsidRPr="00CF4A76" w14:paraId="188D418B" w14:textId="77777777" w:rsidTr="006E5FA9">
        <w:trPr>
          <w:cantSplit/>
        </w:trPr>
        <w:tc>
          <w:tcPr>
            <w:tcW w:w="14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9C53161" w14:textId="77777777" w:rsidR="00CF4A76" w:rsidRPr="006218CF" w:rsidRDefault="00CF4A76" w:rsidP="00CF4A76">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4.</w:t>
            </w:r>
          </w:p>
        </w:tc>
        <w:tc>
          <w:tcPr>
            <w:tcW w:w="2404" w:type="dxa"/>
            <w:tcBorders>
              <w:top w:val="single" w:sz="4" w:space="0" w:color="000000"/>
              <w:left w:val="single" w:sz="4" w:space="0" w:color="000000"/>
              <w:bottom w:val="single" w:sz="4" w:space="0" w:color="000000"/>
              <w:right w:val="single" w:sz="4" w:space="0" w:color="000000"/>
            </w:tcBorders>
            <w:vAlign w:val="center"/>
          </w:tcPr>
          <w:p w14:paraId="4D0449C7" w14:textId="77777777" w:rsidR="00CF4A76" w:rsidRPr="006218CF" w:rsidRDefault="00CF4A76" w:rsidP="00CF4A76">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Znatne</w:t>
            </w:r>
          </w:p>
        </w:tc>
        <w:tc>
          <w:tcPr>
            <w:tcW w:w="2409" w:type="dxa"/>
            <w:tcBorders>
              <w:top w:val="single" w:sz="4" w:space="0" w:color="000000"/>
              <w:left w:val="single" w:sz="4" w:space="0" w:color="000000"/>
              <w:bottom w:val="single" w:sz="4" w:space="0" w:color="000000"/>
              <w:right w:val="single" w:sz="4" w:space="0" w:color="000000"/>
            </w:tcBorders>
            <w:vAlign w:val="center"/>
          </w:tcPr>
          <w:p w14:paraId="388F3494" w14:textId="77777777" w:rsidR="00CF4A76" w:rsidRPr="006218CF" w:rsidRDefault="00CF4A76" w:rsidP="00CF4A76">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15 - 25</w:t>
            </w:r>
          </w:p>
        </w:tc>
        <w:tc>
          <w:tcPr>
            <w:tcW w:w="2840" w:type="dxa"/>
            <w:tcBorders>
              <w:top w:val="single" w:sz="4" w:space="0" w:color="000000"/>
              <w:left w:val="single" w:sz="4" w:space="0" w:color="000000"/>
              <w:bottom w:val="single" w:sz="4" w:space="0" w:color="000000"/>
              <w:right w:val="single" w:sz="4" w:space="0" w:color="000000"/>
            </w:tcBorders>
            <w:vAlign w:val="center"/>
          </w:tcPr>
          <w:p w14:paraId="68E0F112" w14:textId="3DFF746B" w:rsidR="00CF4A76" w:rsidRPr="006218CF" w:rsidRDefault="00CF4A76" w:rsidP="00CF4A76">
            <w:pPr>
              <w:spacing w:after="0" w:line="240" w:lineRule="auto"/>
              <w:ind w:left="0" w:right="0" w:firstLine="0"/>
              <w:jc w:val="center"/>
              <w:rPr>
                <w:rFonts w:ascii="Times New Roman" w:hAnsi="Times New Roman" w:cs="Times New Roman"/>
                <w:color w:val="auto"/>
              </w:rPr>
            </w:pPr>
            <w:r w:rsidRPr="00CF4A76">
              <w:rPr>
                <w:rFonts w:ascii="Times New Roman" w:hAnsi="Times New Roman" w:cs="Times New Roman"/>
                <w:color w:val="auto"/>
              </w:rPr>
              <w:t>2.269.036.800 - 3.781.727.900</w:t>
            </w:r>
          </w:p>
        </w:tc>
      </w:tr>
      <w:tr w:rsidR="00CF4A76" w:rsidRPr="00CF4A76" w14:paraId="1BF03DF0" w14:textId="77777777" w:rsidTr="006E5FA9">
        <w:trPr>
          <w:cantSplit/>
        </w:trPr>
        <w:tc>
          <w:tcPr>
            <w:tcW w:w="14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E182A97" w14:textId="77777777" w:rsidR="00CF4A76" w:rsidRPr="006218CF" w:rsidRDefault="00CF4A76" w:rsidP="00CF4A76">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5.</w:t>
            </w:r>
          </w:p>
        </w:tc>
        <w:tc>
          <w:tcPr>
            <w:tcW w:w="2404" w:type="dxa"/>
            <w:tcBorders>
              <w:top w:val="single" w:sz="4" w:space="0" w:color="000000"/>
              <w:left w:val="single" w:sz="4" w:space="0" w:color="000000"/>
              <w:bottom w:val="single" w:sz="4" w:space="0" w:color="000000"/>
              <w:right w:val="single" w:sz="4" w:space="0" w:color="000000"/>
            </w:tcBorders>
            <w:vAlign w:val="center"/>
          </w:tcPr>
          <w:p w14:paraId="0026CC6F" w14:textId="77777777" w:rsidR="00CF4A76" w:rsidRPr="006218CF" w:rsidRDefault="00CF4A76" w:rsidP="00CF4A76">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Katastrofalne</w:t>
            </w:r>
          </w:p>
        </w:tc>
        <w:tc>
          <w:tcPr>
            <w:tcW w:w="2409" w:type="dxa"/>
            <w:tcBorders>
              <w:top w:val="single" w:sz="4" w:space="0" w:color="000000"/>
              <w:left w:val="single" w:sz="4" w:space="0" w:color="000000"/>
              <w:bottom w:val="single" w:sz="4" w:space="0" w:color="000000"/>
              <w:right w:val="single" w:sz="4" w:space="0" w:color="000000"/>
            </w:tcBorders>
            <w:vAlign w:val="center"/>
          </w:tcPr>
          <w:p w14:paraId="6B7D6F40" w14:textId="77777777" w:rsidR="00CF4A76" w:rsidRPr="006218CF" w:rsidRDefault="00CF4A76" w:rsidP="00CF4A76">
            <w:pPr>
              <w:spacing w:after="0" w:line="240" w:lineRule="auto"/>
              <w:ind w:left="0" w:right="0" w:firstLine="0"/>
              <w:jc w:val="center"/>
              <w:rPr>
                <w:rFonts w:ascii="Times New Roman" w:hAnsi="Times New Roman" w:cs="Times New Roman"/>
                <w:color w:val="auto"/>
              </w:rPr>
            </w:pPr>
            <w:r w:rsidRPr="006218CF">
              <w:rPr>
                <w:rFonts w:ascii="Times New Roman" w:hAnsi="Times New Roman" w:cs="Times New Roman"/>
                <w:color w:val="auto"/>
              </w:rPr>
              <w:t>&gt; 25</w:t>
            </w:r>
          </w:p>
        </w:tc>
        <w:tc>
          <w:tcPr>
            <w:tcW w:w="2840" w:type="dxa"/>
            <w:tcBorders>
              <w:top w:val="single" w:sz="4" w:space="0" w:color="000000"/>
              <w:left w:val="single" w:sz="4" w:space="0" w:color="000000"/>
              <w:bottom w:val="single" w:sz="4" w:space="0" w:color="000000"/>
              <w:right w:val="single" w:sz="4" w:space="0" w:color="000000"/>
            </w:tcBorders>
            <w:vAlign w:val="center"/>
          </w:tcPr>
          <w:p w14:paraId="4621DB8B" w14:textId="0C220FB4" w:rsidR="00CF4A76" w:rsidRPr="006218CF" w:rsidRDefault="00CF4A76" w:rsidP="00CF4A76">
            <w:pPr>
              <w:spacing w:after="0" w:line="240" w:lineRule="auto"/>
              <w:ind w:left="0" w:right="0" w:firstLine="0"/>
              <w:jc w:val="center"/>
              <w:rPr>
                <w:rFonts w:ascii="Times New Roman" w:hAnsi="Times New Roman" w:cs="Times New Roman"/>
                <w:color w:val="auto"/>
              </w:rPr>
            </w:pPr>
            <w:r w:rsidRPr="00CF4A76">
              <w:rPr>
                <w:rFonts w:ascii="Times New Roman" w:hAnsi="Times New Roman" w:cs="Times New Roman"/>
                <w:color w:val="auto"/>
              </w:rPr>
              <w:t>&gt;3.781.727.900</w:t>
            </w:r>
          </w:p>
        </w:tc>
      </w:tr>
    </w:tbl>
    <w:p w14:paraId="6A84DCE1" w14:textId="77777777" w:rsidR="00E40AC8" w:rsidRPr="00C3602C" w:rsidRDefault="00900184" w:rsidP="00BE770E">
      <w:pPr>
        <w:spacing w:after="0" w:line="240" w:lineRule="auto"/>
        <w:ind w:left="-57" w:right="-57" w:firstLine="0"/>
        <w:jc w:val="center"/>
        <w:rPr>
          <w:rFonts w:ascii="Times New Roman" w:eastAsia="Calibri" w:hAnsi="Times New Roman" w:cs="Times New Roman"/>
          <w:i/>
          <w:sz w:val="20"/>
          <w:szCs w:val="20"/>
        </w:rPr>
      </w:pPr>
      <w:r w:rsidRPr="00C3602C">
        <w:rPr>
          <w:rFonts w:ascii="Times New Roman" w:eastAsia="Calibri" w:hAnsi="Times New Roman" w:cs="Times New Roman"/>
          <w:i/>
          <w:sz w:val="20"/>
          <w:szCs w:val="20"/>
        </w:rPr>
        <w:t>Izvor: Smjernice za izradu Procjene rizika od velikih nesreća na području Grada Zagreba, Zagreb, siječanj, 2017.</w:t>
      </w:r>
    </w:p>
    <w:p w14:paraId="420E1FE7" w14:textId="77777777" w:rsidR="00E40AC8" w:rsidRPr="005142C4" w:rsidRDefault="00900184" w:rsidP="00BE770E">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lastRenderedPageBreak/>
        <w:t xml:space="preserve">Posljedice za društvenu stabilnost i politiku iskazivat će se zbirno. Vrijednosti pokretnina i nekretnina određuju se prema podacima dobivenim iz Državnog zavoda za statistiku. </w:t>
      </w:r>
      <w:r w:rsidR="00BE770E">
        <w:rPr>
          <w:rFonts w:ascii="Times New Roman" w:hAnsi="Times New Roman" w:cs="Times New Roman"/>
          <w:sz w:val="24"/>
        </w:rPr>
        <w:t xml:space="preserve">Ako </w:t>
      </w:r>
      <w:r w:rsidRPr="005142C4">
        <w:rPr>
          <w:rFonts w:ascii="Times New Roman" w:hAnsi="Times New Roman" w:cs="Times New Roman"/>
          <w:sz w:val="24"/>
        </w:rPr>
        <w:t>takvi podaci ne postoje</w:t>
      </w:r>
      <w:r w:rsidR="00BE770E">
        <w:rPr>
          <w:rFonts w:ascii="Times New Roman" w:hAnsi="Times New Roman" w:cs="Times New Roman"/>
          <w:sz w:val="24"/>
        </w:rPr>
        <w:t>,</w:t>
      </w:r>
      <w:r w:rsidRPr="005142C4">
        <w:rPr>
          <w:rFonts w:ascii="Times New Roman" w:hAnsi="Times New Roman" w:cs="Times New Roman"/>
          <w:sz w:val="24"/>
        </w:rPr>
        <w:t xml:space="preserve"> koristit će se vrijednosti</w:t>
      </w:r>
      <w:r w:rsidR="00BE770E">
        <w:rPr>
          <w:rFonts w:ascii="Times New Roman" w:hAnsi="Times New Roman" w:cs="Times New Roman"/>
          <w:sz w:val="24"/>
        </w:rPr>
        <w:t>ma</w:t>
      </w:r>
      <w:r w:rsidRPr="005142C4">
        <w:rPr>
          <w:rFonts w:ascii="Times New Roman" w:hAnsi="Times New Roman" w:cs="Times New Roman"/>
          <w:sz w:val="24"/>
        </w:rPr>
        <w:t xml:space="preserve"> iz tablice Prilog XI. </w:t>
      </w:r>
      <w:r w:rsidR="00EE6A22" w:rsidRPr="005142C4">
        <w:rPr>
          <w:rFonts w:ascii="Times New Roman" w:hAnsi="Times New Roman" w:cs="Times New Roman"/>
          <w:sz w:val="24"/>
        </w:rPr>
        <w:t>-</w:t>
      </w:r>
      <w:r w:rsidRPr="005142C4">
        <w:rPr>
          <w:rFonts w:ascii="Times New Roman" w:hAnsi="Times New Roman" w:cs="Times New Roman"/>
          <w:sz w:val="24"/>
        </w:rPr>
        <w:t xml:space="preserve"> Približni jedinični troškovi izgradnje raznih kategorija građevina iz Procjene rizika od katastrofa za Republiku Hrvatsku.</w:t>
      </w:r>
    </w:p>
    <w:p w14:paraId="7175FCDF" w14:textId="77777777" w:rsidR="007A104F" w:rsidRPr="005142C4" w:rsidRDefault="007A104F" w:rsidP="005142C4">
      <w:pPr>
        <w:spacing w:after="0" w:line="240" w:lineRule="auto"/>
        <w:ind w:left="0" w:right="0" w:firstLine="0"/>
        <w:jc w:val="left"/>
        <w:rPr>
          <w:rFonts w:ascii="Times New Roman" w:hAnsi="Times New Roman" w:cs="Times New Roman"/>
          <w:sz w:val="24"/>
        </w:rPr>
      </w:pPr>
    </w:p>
    <w:p w14:paraId="5672E6E1" w14:textId="77777777" w:rsidR="00E40AC8" w:rsidRPr="007A104F" w:rsidRDefault="00900184" w:rsidP="00BE770E">
      <w:pPr>
        <w:spacing w:after="0" w:line="240" w:lineRule="auto"/>
        <w:ind w:right="0"/>
        <w:rPr>
          <w:rFonts w:ascii="Times New Roman" w:hAnsi="Times New Roman" w:cs="Times New Roman"/>
          <w:b/>
          <w:sz w:val="28"/>
        </w:rPr>
      </w:pPr>
      <w:bookmarkStart w:id="65" w:name="_Toc2938583"/>
      <w:r w:rsidRPr="007A104F">
        <w:rPr>
          <w:rFonts w:ascii="Times New Roman" w:hAnsi="Times New Roman" w:cs="Times New Roman"/>
          <w:b/>
          <w:sz w:val="28"/>
        </w:rPr>
        <w:t xml:space="preserve">5. </w:t>
      </w:r>
      <w:r w:rsidR="00C517E5" w:rsidRPr="007A104F">
        <w:rPr>
          <w:rFonts w:ascii="Times New Roman" w:hAnsi="Times New Roman" w:cs="Times New Roman"/>
          <w:b/>
          <w:sz w:val="28"/>
        </w:rPr>
        <w:t>Vjerojatnost</w:t>
      </w:r>
      <w:bookmarkEnd w:id="65"/>
    </w:p>
    <w:p w14:paraId="111026EC" w14:textId="77777777" w:rsidR="00E40AC8" w:rsidRPr="005142C4" w:rsidRDefault="00E40AC8" w:rsidP="005142C4">
      <w:pPr>
        <w:spacing w:after="0" w:line="240" w:lineRule="auto"/>
        <w:ind w:left="0" w:right="0" w:firstLine="0"/>
        <w:jc w:val="left"/>
        <w:rPr>
          <w:rFonts w:ascii="Times New Roman" w:eastAsia="Calibri" w:hAnsi="Times New Roman" w:cs="Times New Roman"/>
          <w:sz w:val="24"/>
        </w:rPr>
      </w:pPr>
    </w:p>
    <w:p w14:paraId="33B1F5C4" w14:textId="77777777" w:rsidR="00C3602C" w:rsidRDefault="00900184" w:rsidP="00757E67">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Za svaki scenarij izračunava se vjerojatnost njegove pojave (realizacije). Korištenjem statističkih pokazatelja iz prošlosti omogućava se kvantitativni izračun rizika u svrhu osiguranja </w:t>
      </w:r>
      <w:r w:rsidR="00757E67">
        <w:rPr>
          <w:rFonts w:ascii="Times New Roman" w:hAnsi="Times New Roman" w:cs="Times New Roman"/>
          <w:sz w:val="24"/>
        </w:rPr>
        <w:t xml:space="preserve">važnosti </w:t>
      </w:r>
      <w:r w:rsidRPr="005142C4">
        <w:rPr>
          <w:rFonts w:ascii="Times New Roman" w:hAnsi="Times New Roman" w:cs="Times New Roman"/>
          <w:sz w:val="24"/>
        </w:rPr>
        <w:t>i usporedivosti same procjene. Za sve rizike na području Grada Zagreba koriste se iste vrijednosti vjerojatnosti/frekvencije, prikazane u Tablici 31.</w:t>
      </w:r>
    </w:p>
    <w:p w14:paraId="4D2E255D" w14:textId="77777777" w:rsidR="00C3602C" w:rsidRPr="00757E67" w:rsidRDefault="00C3602C" w:rsidP="005142C4">
      <w:pPr>
        <w:spacing w:after="0" w:line="240" w:lineRule="auto"/>
        <w:ind w:left="0" w:right="0" w:firstLine="0"/>
        <w:rPr>
          <w:rFonts w:ascii="Times New Roman" w:hAnsi="Times New Roman" w:cs="Times New Roman"/>
          <w:sz w:val="24"/>
        </w:rPr>
      </w:pPr>
    </w:p>
    <w:p w14:paraId="7E5C2D5C" w14:textId="0D066618" w:rsidR="003F7A56" w:rsidRDefault="00900184" w:rsidP="00476BBA">
      <w:pPr>
        <w:spacing w:line="240" w:lineRule="auto"/>
        <w:ind w:left="0" w:right="0" w:firstLine="0"/>
        <w:jc w:val="center"/>
        <w:rPr>
          <w:rFonts w:ascii="Times New Roman" w:hAnsi="Times New Roman" w:cs="Times New Roman"/>
          <w:b/>
          <w:sz w:val="24"/>
        </w:rPr>
      </w:pPr>
      <w:r w:rsidRPr="005142C4">
        <w:rPr>
          <w:rFonts w:ascii="Times New Roman" w:hAnsi="Times New Roman" w:cs="Times New Roman"/>
          <w:b/>
          <w:sz w:val="24"/>
        </w:rPr>
        <w:t>Tablica 3</w:t>
      </w:r>
      <w:r w:rsidR="00381D97">
        <w:rPr>
          <w:rFonts w:ascii="Times New Roman" w:hAnsi="Times New Roman" w:cs="Times New Roman"/>
          <w:b/>
          <w:sz w:val="24"/>
        </w:rPr>
        <w:t>6</w:t>
      </w:r>
      <w:r w:rsidRPr="005142C4">
        <w:rPr>
          <w:rFonts w:ascii="Times New Roman" w:hAnsi="Times New Roman" w:cs="Times New Roman"/>
          <w:b/>
          <w:sz w:val="24"/>
        </w:rPr>
        <w:t xml:space="preserve">. Vjerojatnost/frekvencija </w:t>
      </w:r>
    </w:p>
    <w:tbl>
      <w:tblPr>
        <w:tblStyle w:val="TableGrid"/>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61" w:type="dxa"/>
        </w:tblCellMar>
        <w:tblLook w:val="04A0" w:firstRow="1" w:lastRow="0" w:firstColumn="1" w:lastColumn="0" w:noHBand="0" w:noVBand="1"/>
      </w:tblPr>
      <w:tblGrid>
        <w:gridCol w:w="1696"/>
        <w:gridCol w:w="1925"/>
        <w:gridCol w:w="1903"/>
        <w:gridCol w:w="3548"/>
      </w:tblGrid>
      <w:tr w:rsidR="00757E67" w:rsidRPr="006E5FA9" w14:paraId="62480CE6" w14:textId="77777777" w:rsidTr="006E5FA9">
        <w:trPr>
          <w:cantSplit/>
          <w:tblHeader/>
        </w:trPr>
        <w:tc>
          <w:tcPr>
            <w:tcW w:w="1696" w:type="dxa"/>
            <w:vMerge w:val="restart"/>
            <w:shd w:val="clear" w:color="auto" w:fill="FFC000"/>
            <w:vAlign w:val="center"/>
          </w:tcPr>
          <w:p w14:paraId="42377DED" w14:textId="77777777" w:rsidR="00757E67" w:rsidRPr="006E5FA9" w:rsidRDefault="00757E67" w:rsidP="00757E67">
            <w:pPr>
              <w:spacing w:after="0" w:line="240" w:lineRule="auto"/>
              <w:ind w:left="0" w:right="0" w:firstLine="0"/>
              <w:jc w:val="center"/>
              <w:rPr>
                <w:rFonts w:ascii="Times New Roman" w:hAnsi="Times New Roman" w:cs="Times New Roman"/>
              </w:rPr>
            </w:pPr>
            <w:r w:rsidRPr="006E5FA9">
              <w:rPr>
                <w:rFonts w:ascii="Times New Roman" w:hAnsi="Times New Roman" w:cs="Times New Roman"/>
                <w:b/>
              </w:rPr>
              <w:t>KATEGORIJA</w:t>
            </w:r>
          </w:p>
        </w:tc>
        <w:tc>
          <w:tcPr>
            <w:tcW w:w="7376" w:type="dxa"/>
            <w:gridSpan w:val="3"/>
            <w:shd w:val="clear" w:color="auto" w:fill="FFC000"/>
            <w:vAlign w:val="center"/>
          </w:tcPr>
          <w:p w14:paraId="65E6CCB4" w14:textId="77777777" w:rsidR="00757E67" w:rsidRPr="006E5FA9" w:rsidRDefault="00757E67" w:rsidP="00757E67">
            <w:pPr>
              <w:spacing w:after="0" w:line="240" w:lineRule="auto"/>
              <w:ind w:left="0" w:right="0" w:firstLine="0"/>
              <w:jc w:val="center"/>
              <w:rPr>
                <w:rFonts w:ascii="Times New Roman" w:hAnsi="Times New Roman" w:cs="Times New Roman"/>
              </w:rPr>
            </w:pPr>
            <w:r w:rsidRPr="006E5FA9">
              <w:rPr>
                <w:rFonts w:ascii="Times New Roman" w:hAnsi="Times New Roman" w:cs="Times New Roman"/>
                <w:b/>
              </w:rPr>
              <w:t>VJEROJATNOST/FREKVENCIJA</w:t>
            </w:r>
          </w:p>
        </w:tc>
      </w:tr>
      <w:tr w:rsidR="003F7A56" w:rsidRPr="006E5FA9" w14:paraId="42A50DCB" w14:textId="77777777" w:rsidTr="009D312C">
        <w:trPr>
          <w:cantSplit/>
          <w:tblHeader/>
        </w:trPr>
        <w:tc>
          <w:tcPr>
            <w:tcW w:w="1696" w:type="dxa"/>
            <w:vMerge/>
            <w:vAlign w:val="center"/>
          </w:tcPr>
          <w:p w14:paraId="0123C8E6" w14:textId="77777777" w:rsidR="003F7A56" w:rsidRPr="006E5FA9" w:rsidRDefault="003F7A56" w:rsidP="00757E67">
            <w:pPr>
              <w:spacing w:after="0" w:line="240" w:lineRule="auto"/>
              <w:ind w:left="0" w:right="0" w:firstLine="0"/>
              <w:jc w:val="center"/>
              <w:rPr>
                <w:rFonts w:ascii="Times New Roman" w:hAnsi="Times New Roman" w:cs="Times New Roman"/>
              </w:rPr>
            </w:pPr>
          </w:p>
        </w:tc>
        <w:tc>
          <w:tcPr>
            <w:tcW w:w="1925" w:type="dxa"/>
            <w:shd w:val="clear" w:color="auto" w:fill="FFC000"/>
            <w:vAlign w:val="center"/>
          </w:tcPr>
          <w:p w14:paraId="54DEBDE6" w14:textId="77777777" w:rsidR="003F7A56" w:rsidRPr="006E5FA9" w:rsidRDefault="00900184" w:rsidP="00757E67">
            <w:pPr>
              <w:spacing w:after="0" w:line="240" w:lineRule="auto"/>
              <w:ind w:left="0" w:right="0" w:firstLine="0"/>
              <w:jc w:val="center"/>
              <w:rPr>
                <w:rFonts w:ascii="Times New Roman" w:hAnsi="Times New Roman" w:cs="Times New Roman"/>
              </w:rPr>
            </w:pPr>
            <w:r w:rsidRPr="006E5FA9">
              <w:rPr>
                <w:rFonts w:ascii="Times New Roman" w:hAnsi="Times New Roman" w:cs="Times New Roman"/>
                <w:b/>
              </w:rPr>
              <w:t>KVALITATIVNO</w:t>
            </w:r>
          </w:p>
        </w:tc>
        <w:tc>
          <w:tcPr>
            <w:tcW w:w="1903" w:type="dxa"/>
            <w:shd w:val="clear" w:color="auto" w:fill="FFC000"/>
            <w:vAlign w:val="center"/>
          </w:tcPr>
          <w:p w14:paraId="0028100E" w14:textId="77777777" w:rsidR="003F7A56" w:rsidRPr="006E5FA9" w:rsidRDefault="00900184" w:rsidP="00757E67">
            <w:pPr>
              <w:spacing w:after="0" w:line="240" w:lineRule="auto"/>
              <w:ind w:left="0" w:right="0" w:firstLine="0"/>
              <w:jc w:val="center"/>
              <w:rPr>
                <w:rFonts w:ascii="Times New Roman" w:hAnsi="Times New Roman" w:cs="Times New Roman"/>
              </w:rPr>
            </w:pPr>
            <w:r w:rsidRPr="006E5FA9">
              <w:rPr>
                <w:rFonts w:ascii="Times New Roman" w:hAnsi="Times New Roman" w:cs="Times New Roman"/>
                <w:b/>
              </w:rPr>
              <w:t>VJEROJATNOST</w:t>
            </w:r>
          </w:p>
        </w:tc>
        <w:tc>
          <w:tcPr>
            <w:tcW w:w="3548" w:type="dxa"/>
            <w:shd w:val="clear" w:color="auto" w:fill="FFC000"/>
            <w:vAlign w:val="center"/>
          </w:tcPr>
          <w:p w14:paraId="1BFC8C74" w14:textId="77777777" w:rsidR="003F7A56" w:rsidRPr="006E5FA9" w:rsidRDefault="00900184" w:rsidP="00757E67">
            <w:pPr>
              <w:spacing w:after="0" w:line="240" w:lineRule="auto"/>
              <w:ind w:left="0" w:right="0" w:firstLine="0"/>
              <w:jc w:val="center"/>
              <w:rPr>
                <w:rFonts w:ascii="Times New Roman" w:hAnsi="Times New Roman" w:cs="Times New Roman"/>
              </w:rPr>
            </w:pPr>
            <w:r w:rsidRPr="006E5FA9">
              <w:rPr>
                <w:rFonts w:ascii="Times New Roman" w:hAnsi="Times New Roman" w:cs="Times New Roman"/>
                <w:b/>
              </w:rPr>
              <w:t>FREKVENCIJA</w:t>
            </w:r>
          </w:p>
        </w:tc>
      </w:tr>
      <w:tr w:rsidR="003F7A56" w:rsidRPr="006E5FA9" w14:paraId="57B777F2" w14:textId="77777777" w:rsidTr="009D312C">
        <w:trPr>
          <w:cantSplit/>
        </w:trPr>
        <w:tc>
          <w:tcPr>
            <w:tcW w:w="1696" w:type="dxa"/>
            <w:vAlign w:val="center"/>
          </w:tcPr>
          <w:p w14:paraId="510EE9D4" w14:textId="77777777" w:rsidR="003F7A56" w:rsidRPr="00971C29" w:rsidRDefault="00900184" w:rsidP="00757E67">
            <w:pPr>
              <w:spacing w:after="0" w:line="240" w:lineRule="auto"/>
              <w:ind w:left="0" w:right="0" w:firstLine="0"/>
              <w:jc w:val="center"/>
              <w:rPr>
                <w:rFonts w:ascii="Times New Roman" w:hAnsi="Times New Roman" w:cs="Times New Roman"/>
              </w:rPr>
            </w:pPr>
            <w:r w:rsidRPr="00971C29">
              <w:rPr>
                <w:rFonts w:ascii="Times New Roman" w:hAnsi="Times New Roman" w:cs="Times New Roman"/>
              </w:rPr>
              <w:t>1</w:t>
            </w:r>
            <w:r w:rsidR="00757E67" w:rsidRPr="00971C29">
              <w:rPr>
                <w:rFonts w:ascii="Times New Roman" w:hAnsi="Times New Roman" w:cs="Times New Roman"/>
              </w:rPr>
              <w:t>.</w:t>
            </w:r>
          </w:p>
        </w:tc>
        <w:tc>
          <w:tcPr>
            <w:tcW w:w="1925" w:type="dxa"/>
            <w:vAlign w:val="center"/>
          </w:tcPr>
          <w:p w14:paraId="442D55FD" w14:textId="77777777" w:rsidR="003F7A56" w:rsidRPr="006E5FA9" w:rsidRDefault="00900184" w:rsidP="00757E67">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Iznimno mala</w:t>
            </w:r>
          </w:p>
        </w:tc>
        <w:tc>
          <w:tcPr>
            <w:tcW w:w="1903" w:type="dxa"/>
            <w:vAlign w:val="center"/>
          </w:tcPr>
          <w:p w14:paraId="1A489AF0" w14:textId="77777777" w:rsidR="003F7A56" w:rsidRPr="006E5FA9" w:rsidRDefault="00900184" w:rsidP="00757E67">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&lt;1</w:t>
            </w:r>
            <w:r w:rsidR="00E05F09" w:rsidRPr="006E5FA9">
              <w:rPr>
                <w:rFonts w:ascii="Times New Roman" w:hAnsi="Times New Roman" w:cs="Times New Roman"/>
              </w:rPr>
              <w:t> %</w:t>
            </w:r>
          </w:p>
        </w:tc>
        <w:tc>
          <w:tcPr>
            <w:tcW w:w="3548" w:type="dxa"/>
            <w:vAlign w:val="center"/>
          </w:tcPr>
          <w:p w14:paraId="6E6C9C5C" w14:textId="77777777" w:rsidR="003F7A56" w:rsidRPr="006E5FA9" w:rsidRDefault="00900184" w:rsidP="00757E67">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1 događaj u 100 godina i rjeđe</w:t>
            </w:r>
          </w:p>
        </w:tc>
      </w:tr>
      <w:tr w:rsidR="003F7A56" w:rsidRPr="006E5FA9" w14:paraId="30F922F8" w14:textId="77777777" w:rsidTr="009D312C">
        <w:trPr>
          <w:cantSplit/>
        </w:trPr>
        <w:tc>
          <w:tcPr>
            <w:tcW w:w="1696" w:type="dxa"/>
            <w:shd w:val="clear" w:color="auto" w:fill="FFC000"/>
            <w:vAlign w:val="center"/>
          </w:tcPr>
          <w:p w14:paraId="348168F0" w14:textId="77777777" w:rsidR="003F7A56" w:rsidRPr="00971C29" w:rsidRDefault="00900184" w:rsidP="00757E67">
            <w:pPr>
              <w:spacing w:after="0" w:line="240" w:lineRule="auto"/>
              <w:ind w:left="0" w:right="0" w:firstLine="0"/>
              <w:jc w:val="center"/>
              <w:rPr>
                <w:rFonts w:ascii="Times New Roman" w:hAnsi="Times New Roman" w:cs="Times New Roman"/>
              </w:rPr>
            </w:pPr>
            <w:r w:rsidRPr="00971C29">
              <w:rPr>
                <w:rFonts w:ascii="Times New Roman" w:hAnsi="Times New Roman" w:cs="Times New Roman"/>
              </w:rPr>
              <w:t>2</w:t>
            </w:r>
            <w:r w:rsidR="00757E67" w:rsidRPr="00971C29">
              <w:rPr>
                <w:rFonts w:ascii="Times New Roman" w:hAnsi="Times New Roman" w:cs="Times New Roman"/>
              </w:rPr>
              <w:t>.</w:t>
            </w:r>
          </w:p>
        </w:tc>
        <w:tc>
          <w:tcPr>
            <w:tcW w:w="1925" w:type="dxa"/>
            <w:shd w:val="clear" w:color="auto" w:fill="FFC000"/>
            <w:vAlign w:val="center"/>
          </w:tcPr>
          <w:p w14:paraId="63A399D9" w14:textId="77777777" w:rsidR="003F7A56" w:rsidRPr="006E5FA9" w:rsidRDefault="00900184" w:rsidP="00757E67">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Mala</w:t>
            </w:r>
          </w:p>
        </w:tc>
        <w:tc>
          <w:tcPr>
            <w:tcW w:w="1903" w:type="dxa"/>
            <w:shd w:val="clear" w:color="auto" w:fill="FFC000"/>
            <w:vAlign w:val="center"/>
          </w:tcPr>
          <w:p w14:paraId="165211CC" w14:textId="77777777" w:rsidR="003F7A56" w:rsidRPr="006E5FA9" w:rsidRDefault="00900184" w:rsidP="00757E67">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 xml:space="preserve">1 </w:t>
            </w:r>
            <w:r w:rsidR="00EE6A22" w:rsidRPr="006E5FA9">
              <w:rPr>
                <w:rFonts w:ascii="Times New Roman" w:hAnsi="Times New Roman" w:cs="Times New Roman"/>
              </w:rPr>
              <w:t>-</w:t>
            </w:r>
            <w:r w:rsidRPr="006E5FA9">
              <w:rPr>
                <w:rFonts w:ascii="Times New Roman" w:hAnsi="Times New Roman" w:cs="Times New Roman"/>
              </w:rPr>
              <w:t xml:space="preserve"> 5</w:t>
            </w:r>
            <w:r w:rsidR="00E05F09" w:rsidRPr="006E5FA9">
              <w:rPr>
                <w:rFonts w:ascii="Times New Roman" w:hAnsi="Times New Roman" w:cs="Times New Roman"/>
              </w:rPr>
              <w:t> %</w:t>
            </w:r>
          </w:p>
        </w:tc>
        <w:tc>
          <w:tcPr>
            <w:tcW w:w="3548" w:type="dxa"/>
            <w:shd w:val="clear" w:color="auto" w:fill="FFC000"/>
            <w:vAlign w:val="center"/>
          </w:tcPr>
          <w:p w14:paraId="65816B2A" w14:textId="77777777" w:rsidR="003F7A56" w:rsidRPr="006E5FA9" w:rsidRDefault="00900184" w:rsidP="00757E67">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 xml:space="preserve">1 događaj u </w:t>
            </w:r>
            <w:r w:rsidR="00B64756">
              <w:rPr>
                <w:rFonts w:ascii="Times New Roman" w:hAnsi="Times New Roman" w:cs="Times New Roman"/>
              </w:rPr>
              <w:t xml:space="preserve">razdoblju </w:t>
            </w:r>
            <w:r w:rsidRPr="006E5FA9">
              <w:rPr>
                <w:rFonts w:ascii="Times New Roman" w:hAnsi="Times New Roman" w:cs="Times New Roman"/>
              </w:rPr>
              <w:t xml:space="preserve">20 </w:t>
            </w:r>
            <w:r w:rsidR="00B64756">
              <w:rPr>
                <w:rFonts w:ascii="Times New Roman" w:hAnsi="Times New Roman" w:cs="Times New Roman"/>
              </w:rPr>
              <w:t>-</w:t>
            </w:r>
            <w:r w:rsidRPr="006E5FA9">
              <w:rPr>
                <w:rFonts w:ascii="Times New Roman" w:hAnsi="Times New Roman" w:cs="Times New Roman"/>
              </w:rPr>
              <w:t xml:space="preserve"> 100 godina</w:t>
            </w:r>
          </w:p>
        </w:tc>
      </w:tr>
      <w:tr w:rsidR="003F7A56" w:rsidRPr="006E5FA9" w14:paraId="3978C99A" w14:textId="77777777" w:rsidTr="009D312C">
        <w:trPr>
          <w:cantSplit/>
        </w:trPr>
        <w:tc>
          <w:tcPr>
            <w:tcW w:w="1696" w:type="dxa"/>
            <w:vAlign w:val="center"/>
          </w:tcPr>
          <w:p w14:paraId="60BF4F78" w14:textId="77777777" w:rsidR="003F7A56" w:rsidRPr="00971C29" w:rsidRDefault="00900184" w:rsidP="00757E67">
            <w:pPr>
              <w:spacing w:after="0" w:line="240" w:lineRule="auto"/>
              <w:ind w:left="0" w:right="0" w:firstLine="0"/>
              <w:jc w:val="center"/>
              <w:rPr>
                <w:rFonts w:ascii="Times New Roman" w:hAnsi="Times New Roman" w:cs="Times New Roman"/>
              </w:rPr>
            </w:pPr>
            <w:r w:rsidRPr="00971C29">
              <w:rPr>
                <w:rFonts w:ascii="Times New Roman" w:hAnsi="Times New Roman" w:cs="Times New Roman"/>
              </w:rPr>
              <w:t>3</w:t>
            </w:r>
            <w:r w:rsidR="00757E67" w:rsidRPr="00971C29">
              <w:rPr>
                <w:rFonts w:ascii="Times New Roman" w:hAnsi="Times New Roman" w:cs="Times New Roman"/>
              </w:rPr>
              <w:t>.</w:t>
            </w:r>
          </w:p>
        </w:tc>
        <w:tc>
          <w:tcPr>
            <w:tcW w:w="1925" w:type="dxa"/>
            <w:vAlign w:val="center"/>
          </w:tcPr>
          <w:p w14:paraId="2658A475" w14:textId="77777777" w:rsidR="003F7A56" w:rsidRPr="006E5FA9" w:rsidRDefault="00900184" w:rsidP="00757E67">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Umjerena</w:t>
            </w:r>
          </w:p>
        </w:tc>
        <w:tc>
          <w:tcPr>
            <w:tcW w:w="1903" w:type="dxa"/>
            <w:vAlign w:val="center"/>
          </w:tcPr>
          <w:p w14:paraId="31A9EBA1" w14:textId="77777777" w:rsidR="003F7A56" w:rsidRPr="006E5FA9" w:rsidRDefault="00900184" w:rsidP="00757E67">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 xml:space="preserve">5 </w:t>
            </w:r>
            <w:r w:rsidR="00EE6A22" w:rsidRPr="006E5FA9">
              <w:rPr>
                <w:rFonts w:ascii="Times New Roman" w:hAnsi="Times New Roman" w:cs="Times New Roman"/>
              </w:rPr>
              <w:t>-</w:t>
            </w:r>
            <w:r w:rsidRPr="006E5FA9">
              <w:rPr>
                <w:rFonts w:ascii="Times New Roman" w:hAnsi="Times New Roman" w:cs="Times New Roman"/>
              </w:rPr>
              <w:t xml:space="preserve"> 50</w:t>
            </w:r>
            <w:r w:rsidR="00E05F09" w:rsidRPr="006E5FA9">
              <w:rPr>
                <w:rFonts w:ascii="Times New Roman" w:hAnsi="Times New Roman" w:cs="Times New Roman"/>
              </w:rPr>
              <w:t> %</w:t>
            </w:r>
          </w:p>
        </w:tc>
        <w:tc>
          <w:tcPr>
            <w:tcW w:w="3548" w:type="dxa"/>
            <w:vAlign w:val="center"/>
          </w:tcPr>
          <w:p w14:paraId="5EC15222" w14:textId="77777777" w:rsidR="003F7A56" w:rsidRPr="006E5FA9" w:rsidRDefault="00900184" w:rsidP="00757E67">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 xml:space="preserve">1 događaj u </w:t>
            </w:r>
            <w:r w:rsidR="00B64756">
              <w:rPr>
                <w:rFonts w:ascii="Times New Roman" w:hAnsi="Times New Roman" w:cs="Times New Roman"/>
              </w:rPr>
              <w:t xml:space="preserve">razdoblju </w:t>
            </w:r>
            <w:r w:rsidRPr="006E5FA9">
              <w:rPr>
                <w:rFonts w:ascii="Times New Roman" w:hAnsi="Times New Roman" w:cs="Times New Roman"/>
              </w:rPr>
              <w:t xml:space="preserve">2 </w:t>
            </w:r>
            <w:r w:rsidR="00B64756">
              <w:rPr>
                <w:rFonts w:ascii="Times New Roman" w:hAnsi="Times New Roman" w:cs="Times New Roman"/>
              </w:rPr>
              <w:t>-</w:t>
            </w:r>
            <w:r w:rsidRPr="006E5FA9">
              <w:rPr>
                <w:rFonts w:ascii="Times New Roman" w:hAnsi="Times New Roman" w:cs="Times New Roman"/>
              </w:rPr>
              <w:t xml:space="preserve"> 20 godina</w:t>
            </w:r>
          </w:p>
        </w:tc>
      </w:tr>
      <w:tr w:rsidR="003F7A56" w:rsidRPr="006E5FA9" w14:paraId="3624F2C6" w14:textId="77777777" w:rsidTr="009D312C">
        <w:trPr>
          <w:cantSplit/>
        </w:trPr>
        <w:tc>
          <w:tcPr>
            <w:tcW w:w="1696" w:type="dxa"/>
            <w:shd w:val="clear" w:color="auto" w:fill="FFC000"/>
            <w:vAlign w:val="center"/>
          </w:tcPr>
          <w:p w14:paraId="69DAFE52" w14:textId="77777777" w:rsidR="003F7A56" w:rsidRPr="00971C29" w:rsidRDefault="00900184" w:rsidP="00757E67">
            <w:pPr>
              <w:spacing w:after="0" w:line="240" w:lineRule="auto"/>
              <w:ind w:left="0" w:right="0" w:firstLine="0"/>
              <w:jc w:val="center"/>
              <w:rPr>
                <w:rFonts w:ascii="Times New Roman" w:hAnsi="Times New Roman" w:cs="Times New Roman"/>
              </w:rPr>
            </w:pPr>
            <w:r w:rsidRPr="00971C29">
              <w:rPr>
                <w:rFonts w:ascii="Times New Roman" w:hAnsi="Times New Roman" w:cs="Times New Roman"/>
              </w:rPr>
              <w:t>4</w:t>
            </w:r>
            <w:r w:rsidR="00757E67" w:rsidRPr="00971C29">
              <w:rPr>
                <w:rFonts w:ascii="Times New Roman" w:hAnsi="Times New Roman" w:cs="Times New Roman"/>
              </w:rPr>
              <w:t>.</w:t>
            </w:r>
          </w:p>
        </w:tc>
        <w:tc>
          <w:tcPr>
            <w:tcW w:w="1925" w:type="dxa"/>
            <w:shd w:val="clear" w:color="auto" w:fill="FFC000"/>
            <w:vAlign w:val="center"/>
          </w:tcPr>
          <w:p w14:paraId="115B86C7" w14:textId="77777777" w:rsidR="003F7A56" w:rsidRPr="006E5FA9" w:rsidRDefault="00900184" w:rsidP="00757E67">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Velika</w:t>
            </w:r>
          </w:p>
        </w:tc>
        <w:tc>
          <w:tcPr>
            <w:tcW w:w="1903" w:type="dxa"/>
            <w:shd w:val="clear" w:color="auto" w:fill="FFC000"/>
            <w:vAlign w:val="center"/>
          </w:tcPr>
          <w:p w14:paraId="7F4E44D9" w14:textId="77777777" w:rsidR="003F7A56" w:rsidRPr="006E5FA9" w:rsidRDefault="00900184" w:rsidP="00757E67">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 xml:space="preserve">51 </w:t>
            </w:r>
            <w:r w:rsidR="00EE6A22" w:rsidRPr="006E5FA9">
              <w:rPr>
                <w:rFonts w:ascii="Times New Roman" w:hAnsi="Times New Roman" w:cs="Times New Roman"/>
              </w:rPr>
              <w:t>-</w:t>
            </w:r>
            <w:r w:rsidRPr="006E5FA9">
              <w:rPr>
                <w:rFonts w:ascii="Times New Roman" w:hAnsi="Times New Roman" w:cs="Times New Roman"/>
              </w:rPr>
              <w:t xml:space="preserve"> 98</w:t>
            </w:r>
            <w:r w:rsidR="00E05F09" w:rsidRPr="006E5FA9">
              <w:rPr>
                <w:rFonts w:ascii="Times New Roman" w:hAnsi="Times New Roman" w:cs="Times New Roman"/>
              </w:rPr>
              <w:t> %</w:t>
            </w:r>
          </w:p>
        </w:tc>
        <w:tc>
          <w:tcPr>
            <w:tcW w:w="3548" w:type="dxa"/>
            <w:shd w:val="clear" w:color="auto" w:fill="FFC000"/>
            <w:vAlign w:val="center"/>
          </w:tcPr>
          <w:p w14:paraId="78B440C0" w14:textId="77777777" w:rsidR="003F7A56" w:rsidRPr="006E5FA9" w:rsidRDefault="00900184" w:rsidP="00757E67">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 xml:space="preserve">1 događaj </w:t>
            </w:r>
            <w:r w:rsidR="00B64756">
              <w:rPr>
                <w:rFonts w:ascii="Times New Roman" w:hAnsi="Times New Roman" w:cs="Times New Roman"/>
              </w:rPr>
              <w:t>u razdoblju</w:t>
            </w:r>
            <w:r w:rsidR="00757E67" w:rsidRPr="006E5FA9">
              <w:rPr>
                <w:rFonts w:ascii="Times New Roman" w:hAnsi="Times New Roman" w:cs="Times New Roman"/>
              </w:rPr>
              <w:t xml:space="preserve"> </w:t>
            </w:r>
            <w:r w:rsidRPr="006E5FA9">
              <w:rPr>
                <w:rFonts w:ascii="Times New Roman" w:hAnsi="Times New Roman" w:cs="Times New Roman"/>
              </w:rPr>
              <w:t xml:space="preserve">1 </w:t>
            </w:r>
            <w:r w:rsidR="00B64756">
              <w:rPr>
                <w:rFonts w:ascii="Times New Roman" w:hAnsi="Times New Roman" w:cs="Times New Roman"/>
              </w:rPr>
              <w:t>-</w:t>
            </w:r>
            <w:r w:rsidRPr="006E5FA9">
              <w:rPr>
                <w:rFonts w:ascii="Times New Roman" w:hAnsi="Times New Roman" w:cs="Times New Roman"/>
              </w:rPr>
              <w:t xml:space="preserve"> 2 godine</w:t>
            </w:r>
          </w:p>
        </w:tc>
      </w:tr>
      <w:tr w:rsidR="003F7A56" w:rsidRPr="006E5FA9" w14:paraId="4E379737" w14:textId="77777777" w:rsidTr="009D312C">
        <w:trPr>
          <w:cantSplit/>
        </w:trPr>
        <w:tc>
          <w:tcPr>
            <w:tcW w:w="1696" w:type="dxa"/>
            <w:vAlign w:val="center"/>
          </w:tcPr>
          <w:p w14:paraId="4282547F" w14:textId="77777777" w:rsidR="003F7A56" w:rsidRPr="00971C29" w:rsidRDefault="00900184" w:rsidP="00757E67">
            <w:pPr>
              <w:spacing w:after="0" w:line="240" w:lineRule="auto"/>
              <w:ind w:left="0" w:right="0" w:firstLine="0"/>
              <w:jc w:val="center"/>
              <w:rPr>
                <w:rFonts w:ascii="Times New Roman" w:hAnsi="Times New Roman" w:cs="Times New Roman"/>
              </w:rPr>
            </w:pPr>
            <w:r w:rsidRPr="00971C29">
              <w:rPr>
                <w:rFonts w:ascii="Times New Roman" w:hAnsi="Times New Roman" w:cs="Times New Roman"/>
              </w:rPr>
              <w:t>5</w:t>
            </w:r>
            <w:r w:rsidR="00757E67" w:rsidRPr="00971C29">
              <w:rPr>
                <w:rFonts w:ascii="Times New Roman" w:hAnsi="Times New Roman" w:cs="Times New Roman"/>
              </w:rPr>
              <w:t>.</w:t>
            </w:r>
          </w:p>
        </w:tc>
        <w:tc>
          <w:tcPr>
            <w:tcW w:w="1925" w:type="dxa"/>
            <w:vAlign w:val="center"/>
          </w:tcPr>
          <w:p w14:paraId="1CF05951" w14:textId="77777777" w:rsidR="003F7A56" w:rsidRPr="006E5FA9" w:rsidRDefault="00900184" w:rsidP="00757E67">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Iznimno velika</w:t>
            </w:r>
          </w:p>
        </w:tc>
        <w:tc>
          <w:tcPr>
            <w:tcW w:w="1903" w:type="dxa"/>
            <w:vAlign w:val="center"/>
          </w:tcPr>
          <w:p w14:paraId="4B9F2F59" w14:textId="77777777" w:rsidR="003F7A56" w:rsidRPr="006E5FA9" w:rsidRDefault="00900184" w:rsidP="00757E67">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&gt; 98</w:t>
            </w:r>
            <w:r w:rsidR="00E05F09" w:rsidRPr="006E5FA9">
              <w:rPr>
                <w:rFonts w:ascii="Times New Roman" w:hAnsi="Times New Roman" w:cs="Times New Roman"/>
              </w:rPr>
              <w:t> %</w:t>
            </w:r>
          </w:p>
        </w:tc>
        <w:tc>
          <w:tcPr>
            <w:tcW w:w="3548" w:type="dxa"/>
            <w:vAlign w:val="center"/>
          </w:tcPr>
          <w:p w14:paraId="34E848A4" w14:textId="77777777" w:rsidR="003F7A56" w:rsidRPr="006E5FA9" w:rsidRDefault="00900184" w:rsidP="00757E67">
            <w:pPr>
              <w:spacing w:after="0" w:line="240" w:lineRule="auto"/>
              <w:ind w:left="0" w:right="0" w:firstLine="0"/>
              <w:jc w:val="center"/>
              <w:rPr>
                <w:rFonts w:ascii="Times New Roman" w:hAnsi="Times New Roman" w:cs="Times New Roman"/>
              </w:rPr>
            </w:pPr>
            <w:r w:rsidRPr="006E5FA9">
              <w:rPr>
                <w:rFonts w:ascii="Times New Roman" w:hAnsi="Times New Roman" w:cs="Times New Roman"/>
              </w:rPr>
              <w:t>1 događaj godišnje ili češće</w:t>
            </w:r>
          </w:p>
        </w:tc>
      </w:tr>
    </w:tbl>
    <w:p w14:paraId="45B0F870" w14:textId="77777777" w:rsidR="00E40AC8" w:rsidRPr="00757E67" w:rsidRDefault="00E40AC8" w:rsidP="005142C4">
      <w:pPr>
        <w:spacing w:after="0" w:line="240" w:lineRule="auto"/>
        <w:ind w:left="0" w:right="0" w:firstLine="0"/>
        <w:jc w:val="left"/>
        <w:rPr>
          <w:rFonts w:ascii="Times New Roman" w:hAnsi="Times New Roman" w:cs="Times New Roman"/>
          <w:sz w:val="24"/>
        </w:rPr>
      </w:pPr>
    </w:p>
    <w:p w14:paraId="3137CA43" w14:textId="7BA47EC1" w:rsidR="002B7482" w:rsidRDefault="00900184" w:rsidP="009768D5">
      <w:pPr>
        <w:spacing w:after="0" w:line="240" w:lineRule="auto"/>
        <w:ind w:left="0" w:right="0" w:firstLine="709"/>
        <w:rPr>
          <w:rFonts w:ascii="Times New Roman" w:hAnsi="Times New Roman" w:cs="Times New Roman"/>
          <w:sz w:val="24"/>
        </w:rPr>
      </w:pPr>
      <w:r w:rsidRPr="005142C4">
        <w:rPr>
          <w:rFonts w:ascii="Times New Roman" w:hAnsi="Times New Roman" w:cs="Times New Roman"/>
          <w:sz w:val="24"/>
        </w:rPr>
        <w:t xml:space="preserve">Za vrijednosti vjerojatnosti/frekvencije uzimat će se samo oni događaji posljedice </w:t>
      </w:r>
      <w:r w:rsidR="00757E67">
        <w:rPr>
          <w:rFonts w:ascii="Times New Roman" w:hAnsi="Times New Roman" w:cs="Times New Roman"/>
          <w:sz w:val="24"/>
        </w:rPr>
        <w:t xml:space="preserve">kojih </w:t>
      </w:r>
      <w:r w:rsidRPr="005142C4">
        <w:rPr>
          <w:rFonts w:ascii="Times New Roman" w:hAnsi="Times New Roman" w:cs="Times New Roman"/>
          <w:sz w:val="24"/>
        </w:rPr>
        <w:t xml:space="preserve">za kategorije društvenih vrijednosti mogu biti opisane kategorijom 1. </w:t>
      </w:r>
      <w:r w:rsidR="00EE6A22" w:rsidRPr="005142C4">
        <w:rPr>
          <w:rFonts w:ascii="Times New Roman" w:hAnsi="Times New Roman" w:cs="Times New Roman"/>
          <w:sz w:val="24"/>
        </w:rPr>
        <w:t>-</w:t>
      </w:r>
      <w:r w:rsidRPr="005142C4">
        <w:rPr>
          <w:rFonts w:ascii="Times New Roman" w:hAnsi="Times New Roman" w:cs="Times New Roman"/>
          <w:sz w:val="24"/>
        </w:rPr>
        <w:t xml:space="preserve"> konkretno štete u gospodarstvu minimalno moraju iznositi 0,5</w:t>
      </w:r>
      <w:r w:rsidR="00E05F09">
        <w:rPr>
          <w:rFonts w:ascii="Times New Roman" w:hAnsi="Times New Roman" w:cs="Times New Roman"/>
          <w:sz w:val="24"/>
        </w:rPr>
        <w:t> %</w:t>
      </w:r>
      <w:r w:rsidRPr="005142C4">
        <w:rPr>
          <w:rFonts w:ascii="Times New Roman" w:hAnsi="Times New Roman" w:cs="Times New Roman"/>
          <w:sz w:val="24"/>
        </w:rPr>
        <w:t xml:space="preserve"> proračuna Grada Zagreba. Neće se uzimati u razmatranje vjerojatnost svakog potresa ili industrijske nesreće već samo vjerojatnost onog događaja/prijetnje koja može uzrokovati štete sukladno propisanim kriterijima za svaku od kategorija društvenih vrijednosti.</w:t>
      </w:r>
      <w:bookmarkStart w:id="66" w:name="_Toc2938584"/>
      <w:bookmarkEnd w:id="66"/>
      <w:r w:rsidR="00381D97">
        <w:rPr>
          <w:rFonts w:ascii="Times New Roman" w:hAnsi="Times New Roman" w:cs="Times New Roman"/>
          <w:sz w:val="24"/>
        </w:rPr>
        <w:t xml:space="preserve"> </w:t>
      </w:r>
    </w:p>
    <w:p w14:paraId="6CA62A66" w14:textId="3DB56F9C" w:rsidR="00FF1E38" w:rsidRDefault="00FF1E38" w:rsidP="009768D5">
      <w:pPr>
        <w:spacing w:after="0" w:line="240" w:lineRule="auto"/>
        <w:ind w:left="0" w:right="0" w:firstLine="709"/>
        <w:rPr>
          <w:rFonts w:ascii="Times New Roman" w:hAnsi="Times New Roman" w:cs="Times New Roman"/>
          <w:sz w:val="24"/>
        </w:rPr>
      </w:pPr>
    </w:p>
    <w:p w14:paraId="74878484" w14:textId="0DF3BBC9" w:rsidR="00FF1E38" w:rsidRDefault="00FF1E38" w:rsidP="002B4402">
      <w:pPr>
        <w:spacing w:after="0" w:line="240" w:lineRule="auto"/>
        <w:ind w:right="0"/>
        <w:rPr>
          <w:rFonts w:ascii="Times New Roman" w:hAnsi="Times New Roman" w:cs="Times New Roman"/>
          <w:sz w:val="24"/>
        </w:rPr>
      </w:pPr>
    </w:p>
    <w:p w14:paraId="5C8F2EDF" w14:textId="51B64A4C" w:rsidR="00EA269E" w:rsidRPr="007A104F" w:rsidRDefault="00EA269E" w:rsidP="00EA269E">
      <w:pPr>
        <w:spacing w:after="0" w:line="240" w:lineRule="auto"/>
        <w:ind w:right="0"/>
        <w:rPr>
          <w:rFonts w:ascii="Times New Roman" w:hAnsi="Times New Roman" w:cs="Times New Roman"/>
          <w:b/>
          <w:sz w:val="28"/>
        </w:rPr>
      </w:pPr>
      <w:r>
        <w:rPr>
          <w:rFonts w:ascii="Times New Roman" w:hAnsi="Times New Roman" w:cs="Times New Roman"/>
          <w:b/>
          <w:sz w:val="28"/>
        </w:rPr>
        <w:t>6</w:t>
      </w:r>
      <w:r w:rsidRPr="007A104F">
        <w:rPr>
          <w:rFonts w:ascii="Times New Roman" w:hAnsi="Times New Roman" w:cs="Times New Roman"/>
          <w:b/>
          <w:sz w:val="28"/>
        </w:rPr>
        <w:t xml:space="preserve">. </w:t>
      </w:r>
      <w:r>
        <w:rPr>
          <w:rFonts w:ascii="Times New Roman" w:hAnsi="Times New Roman" w:cs="Times New Roman"/>
          <w:b/>
          <w:sz w:val="28"/>
        </w:rPr>
        <w:t>Scenariji</w:t>
      </w:r>
    </w:p>
    <w:p w14:paraId="5A77BD00" w14:textId="3E9A7E92" w:rsidR="00FF1E38" w:rsidRDefault="00FF1E38" w:rsidP="009768D5">
      <w:pPr>
        <w:spacing w:after="0" w:line="240" w:lineRule="auto"/>
        <w:ind w:left="0" w:right="0" w:firstLine="709"/>
        <w:rPr>
          <w:rFonts w:ascii="Times New Roman" w:hAnsi="Times New Roman" w:cs="Times New Roman"/>
          <w:sz w:val="24"/>
        </w:rPr>
      </w:pPr>
    </w:p>
    <w:p w14:paraId="74A0E63D" w14:textId="3D8270B4" w:rsidR="00FF1E38" w:rsidRDefault="00EA269E" w:rsidP="009768D5">
      <w:pPr>
        <w:spacing w:after="0" w:line="240" w:lineRule="auto"/>
        <w:ind w:left="0" w:right="0" w:firstLine="709"/>
        <w:rPr>
          <w:rFonts w:ascii="Times New Roman" w:hAnsi="Times New Roman" w:cs="Times New Roman"/>
          <w:sz w:val="24"/>
        </w:rPr>
      </w:pPr>
      <w:r>
        <w:rPr>
          <w:rFonts w:ascii="Times New Roman" w:hAnsi="Times New Roman" w:cs="Times New Roman"/>
          <w:sz w:val="24"/>
        </w:rPr>
        <w:t>Procjena rizika od velikih nesreća temelji se na scenarijima za svaki pojedini rizik. Za svaki identificirani rizik izrađen je odgovarajući scenarij uz pomoć kojeg je op</w:t>
      </w:r>
      <w:r w:rsidR="00071895">
        <w:rPr>
          <w:rFonts w:ascii="Times New Roman" w:hAnsi="Times New Roman" w:cs="Times New Roman"/>
          <w:sz w:val="24"/>
        </w:rPr>
        <w:t>i</w:t>
      </w:r>
      <w:r>
        <w:rPr>
          <w:rFonts w:ascii="Times New Roman" w:hAnsi="Times New Roman" w:cs="Times New Roman"/>
          <w:sz w:val="24"/>
        </w:rPr>
        <w:t>sana identificirna prijetnja, njezin nastanak i posljedice, kako bi se mogle planirati preventivne mjere, educirati stanovništvo, odnosno pripremati eventualni odgovor na veliku nesreću.</w:t>
      </w:r>
    </w:p>
    <w:p w14:paraId="78948133" w14:textId="7876BBA8" w:rsidR="00EA269E" w:rsidRDefault="00EA269E" w:rsidP="009768D5">
      <w:pPr>
        <w:spacing w:after="0" w:line="240" w:lineRule="auto"/>
        <w:ind w:left="0" w:right="0" w:firstLine="709"/>
        <w:rPr>
          <w:rFonts w:ascii="Times New Roman" w:hAnsi="Times New Roman" w:cs="Times New Roman"/>
          <w:sz w:val="24"/>
        </w:rPr>
      </w:pPr>
      <w:r>
        <w:rPr>
          <w:rFonts w:ascii="Times New Roman" w:hAnsi="Times New Roman" w:cs="Times New Roman"/>
          <w:sz w:val="24"/>
        </w:rPr>
        <w:t>Nazivi scenarija su</w:t>
      </w:r>
      <w:r w:rsidR="00BB0508">
        <w:rPr>
          <w:rFonts w:ascii="Times New Roman" w:hAnsi="Times New Roman" w:cs="Times New Roman"/>
          <w:sz w:val="24"/>
        </w:rPr>
        <w:t>:</w:t>
      </w:r>
    </w:p>
    <w:p w14:paraId="4763ECAE" w14:textId="3FD97E13" w:rsidR="00EA269E" w:rsidRPr="00EA269E" w:rsidRDefault="00EA269E" w:rsidP="00EA269E">
      <w:pPr>
        <w:spacing w:after="0" w:line="240" w:lineRule="auto"/>
        <w:ind w:left="1049" w:right="0" w:hanging="340"/>
        <w:rPr>
          <w:rFonts w:ascii="Times New Roman" w:eastAsia="Calibri" w:hAnsi="Times New Roman" w:cs="Times New Roman"/>
          <w:sz w:val="24"/>
          <w:szCs w:val="24"/>
        </w:rPr>
      </w:pPr>
      <w:r w:rsidRPr="00EA269E">
        <w:rPr>
          <w:rFonts w:ascii="Times New Roman" w:eastAsia="Calibri" w:hAnsi="Times New Roman" w:cs="Times New Roman"/>
          <w:sz w:val="24"/>
          <w:szCs w:val="24"/>
        </w:rPr>
        <w:t>1.   Podrhtavanje tla uzrokovano potresom jačine IX</w:t>
      </w:r>
      <w:r w:rsidRPr="00EA269E">
        <w:rPr>
          <w:rFonts w:ascii="Times New Roman" w:eastAsia="Calibri" w:hAnsi="Times New Roman" w:cs="Times New Roman"/>
          <w:sz w:val="24"/>
          <w:szCs w:val="24"/>
          <w:vertAlign w:val="superscript"/>
        </w:rPr>
        <w:t>o</w:t>
      </w:r>
      <w:r w:rsidRPr="00EA269E">
        <w:rPr>
          <w:rFonts w:ascii="Times New Roman" w:eastAsia="Calibri" w:hAnsi="Times New Roman" w:cs="Times New Roman"/>
          <w:sz w:val="24"/>
          <w:szCs w:val="24"/>
        </w:rPr>
        <w:t xml:space="preserve"> MCS ljestvice</w:t>
      </w:r>
    </w:p>
    <w:p w14:paraId="5F7BB03E" w14:textId="15C68076" w:rsidR="00EA269E" w:rsidRPr="00EA269E" w:rsidRDefault="00EA269E" w:rsidP="00EA269E">
      <w:pPr>
        <w:spacing w:after="0" w:line="240" w:lineRule="auto"/>
        <w:ind w:left="1049" w:right="0" w:hanging="340"/>
        <w:rPr>
          <w:rFonts w:ascii="Times New Roman" w:eastAsia="Calibri" w:hAnsi="Times New Roman" w:cs="Times New Roman"/>
          <w:sz w:val="24"/>
          <w:szCs w:val="24"/>
        </w:rPr>
      </w:pPr>
      <w:r w:rsidRPr="00EA269E">
        <w:rPr>
          <w:rFonts w:ascii="Times New Roman" w:eastAsia="Calibri" w:hAnsi="Times New Roman" w:cs="Times New Roman"/>
          <w:sz w:val="24"/>
          <w:szCs w:val="24"/>
        </w:rPr>
        <w:t>2.   Poplava izazvana pucanjem Savskog nasipa</w:t>
      </w:r>
    </w:p>
    <w:p w14:paraId="27251CFB" w14:textId="7B3AF55F" w:rsidR="00EA269E" w:rsidRPr="00EA269E" w:rsidRDefault="00EA269E" w:rsidP="00EA269E">
      <w:pPr>
        <w:spacing w:after="0" w:line="240" w:lineRule="auto"/>
        <w:ind w:left="1049" w:right="0" w:hanging="340"/>
        <w:rPr>
          <w:rFonts w:ascii="Times New Roman" w:eastAsia="Calibri" w:hAnsi="Times New Roman" w:cs="Times New Roman"/>
          <w:sz w:val="24"/>
          <w:szCs w:val="24"/>
        </w:rPr>
      </w:pPr>
      <w:r w:rsidRPr="00EA269E">
        <w:rPr>
          <w:rFonts w:ascii="Times New Roman" w:eastAsia="Calibri" w:hAnsi="Times New Roman" w:cs="Times New Roman"/>
          <w:sz w:val="24"/>
          <w:szCs w:val="24"/>
        </w:rPr>
        <w:t>3.   Pojava domino-efekta na području industrijske zone Žitnjak izazvana eksplozijom ukapljenog naftnog plina</w:t>
      </w:r>
    </w:p>
    <w:p w14:paraId="55D59695" w14:textId="1FE43ACB" w:rsidR="00EA269E" w:rsidRPr="00EA269E" w:rsidRDefault="00EA269E" w:rsidP="00EA269E">
      <w:pPr>
        <w:spacing w:after="0" w:line="240" w:lineRule="auto"/>
        <w:ind w:left="1049" w:right="0" w:hanging="340"/>
        <w:rPr>
          <w:rFonts w:ascii="Times New Roman" w:eastAsia="Calibri" w:hAnsi="Times New Roman" w:cs="Times New Roman"/>
          <w:sz w:val="24"/>
          <w:szCs w:val="24"/>
        </w:rPr>
      </w:pPr>
      <w:r w:rsidRPr="00EA269E">
        <w:rPr>
          <w:rFonts w:ascii="Times New Roman" w:eastAsia="Calibri" w:hAnsi="Times New Roman" w:cs="Times New Roman"/>
          <w:sz w:val="24"/>
          <w:szCs w:val="24"/>
        </w:rPr>
        <w:t>4.   Dugotrajni toplinski val na području Grada Zagreba</w:t>
      </w:r>
    </w:p>
    <w:p w14:paraId="7DFEC451" w14:textId="77777777" w:rsidR="00EA269E" w:rsidRPr="00EA269E" w:rsidRDefault="00EA269E" w:rsidP="00EA269E">
      <w:pPr>
        <w:spacing w:after="0" w:line="240" w:lineRule="auto"/>
        <w:ind w:left="1049" w:right="0" w:hanging="340"/>
        <w:rPr>
          <w:rFonts w:ascii="Times New Roman" w:eastAsia="Calibri" w:hAnsi="Times New Roman" w:cs="Times New Roman"/>
          <w:sz w:val="24"/>
          <w:szCs w:val="24"/>
        </w:rPr>
      </w:pPr>
      <w:r w:rsidRPr="00EA269E">
        <w:rPr>
          <w:rFonts w:ascii="Times New Roman" w:eastAsia="Calibri" w:hAnsi="Times New Roman" w:cs="Times New Roman"/>
          <w:sz w:val="24"/>
          <w:szCs w:val="24"/>
        </w:rPr>
        <w:t>5.   Pojava pandemijske gripe</w:t>
      </w:r>
    </w:p>
    <w:p w14:paraId="31BE50BC" w14:textId="77777777" w:rsidR="00EA269E" w:rsidRPr="00EA269E" w:rsidRDefault="00EA269E" w:rsidP="00EA269E">
      <w:pPr>
        <w:spacing w:after="0" w:line="240" w:lineRule="auto"/>
        <w:ind w:left="1049" w:right="0" w:hanging="340"/>
        <w:rPr>
          <w:rFonts w:ascii="Times New Roman" w:eastAsia="Calibri" w:hAnsi="Times New Roman" w:cs="Times New Roman"/>
          <w:sz w:val="24"/>
          <w:szCs w:val="24"/>
        </w:rPr>
      </w:pPr>
      <w:r w:rsidRPr="00EA269E">
        <w:rPr>
          <w:rFonts w:ascii="Times New Roman" w:eastAsia="Calibri" w:hAnsi="Times New Roman" w:cs="Times New Roman"/>
          <w:sz w:val="24"/>
          <w:szCs w:val="24"/>
        </w:rPr>
        <w:t>6.   Izvanredni događaj u Nuklearnoj elektrani Krško</w:t>
      </w:r>
    </w:p>
    <w:p w14:paraId="6D2C1921" w14:textId="120EE66C" w:rsidR="00EA269E" w:rsidRPr="00EA269E" w:rsidRDefault="00EA269E" w:rsidP="00EA269E">
      <w:pPr>
        <w:spacing w:after="0" w:line="240" w:lineRule="auto"/>
        <w:ind w:left="1049" w:right="0" w:hanging="340"/>
        <w:rPr>
          <w:rFonts w:ascii="Times New Roman" w:eastAsia="Calibri" w:hAnsi="Times New Roman" w:cs="Times New Roman"/>
          <w:sz w:val="24"/>
          <w:szCs w:val="24"/>
        </w:rPr>
      </w:pPr>
      <w:r w:rsidRPr="00EA269E">
        <w:rPr>
          <w:rFonts w:ascii="Times New Roman" w:eastAsia="Calibri" w:hAnsi="Times New Roman" w:cs="Times New Roman"/>
          <w:sz w:val="24"/>
          <w:szCs w:val="24"/>
        </w:rPr>
        <w:t>7.   Nesreća na odlagalištu otpada Prudinec</w:t>
      </w:r>
      <w:r w:rsidR="00BD3851">
        <w:rPr>
          <w:rFonts w:ascii="Times New Roman" w:eastAsia="Calibri" w:hAnsi="Times New Roman" w:cs="Times New Roman"/>
          <w:sz w:val="24"/>
          <w:szCs w:val="24"/>
        </w:rPr>
        <w:t>-Jakuševec</w:t>
      </w:r>
    </w:p>
    <w:p w14:paraId="30DA1488" w14:textId="67146B32" w:rsidR="00FF1E38" w:rsidRDefault="00EA269E" w:rsidP="00EA269E">
      <w:pPr>
        <w:spacing w:after="0" w:line="240" w:lineRule="auto"/>
        <w:ind w:left="1049" w:right="0" w:hanging="340"/>
        <w:rPr>
          <w:rFonts w:ascii="Times New Roman" w:eastAsia="Calibri" w:hAnsi="Times New Roman" w:cs="Times New Roman"/>
          <w:sz w:val="24"/>
          <w:szCs w:val="24"/>
        </w:rPr>
      </w:pPr>
      <w:r w:rsidRPr="00EA269E">
        <w:rPr>
          <w:rFonts w:ascii="Times New Roman" w:eastAsia="Calibri" w:hAnsi="Times New Roman" w:cs="Times New Roman"/>
          <w:sz w:val="24"/>
          <w:szCs w:val="24"/>
        </w:rPr>
        <w:t>8.   Pojava masovnih klizišta na području Grada Zagreba.</w:t>
      </w:r>
    </w:p>
    <w:p w14:paraId="156151D5" w14:textId="68E5F826" w:rsidR="00EA269E" w:rsidRDefault="00EA269E" w:rsidP="00EA269E">
      <w:pPr>
        <w:spacing w:after="0" w:line="240" w:lineRule="auto"/>
        <w:ind w:left="1049" w:right="0" w:hanging="340"/>
        <w:rPr>
          <w:rFonts w:ascii="Times New Roman" w:hAnsi="Times New Roman" w:cs="Times New Roman"/>
          <w:sz w:val="24"/>
        </w:rPr>
      </w:pPr>
    </w:p>
    <w:p w14:paraId="596DAEA8" w14:textId="5FD24F9A" w:rsidR="00D93FE4" w:rsidRDefault="00D93FE4" w:rsidP="00EA269E">
      <w:pPr>
        <w:spacing w:after="0" w:line="240" w:lineRule="auto"/>
        <w:ind w:left="1049" w:right="0" w:hanging="340"/>
        <w:rPr>
          <w:rFonts w:ascii="Times New Roman" w:hAnsi="Times New Roman" w:cs="Times New Roman"/>
          <w:sz w:val="24"/>
        </w:rPr>
      </w:pPr>
    </w:p>
    <w:p w14:paraId="2244A85B" w14:textId="4122AF6C" w:rsidR="00D93FE4" w:rsidRDefault="00D93FE4" w:rsidP="00EA269E">
      <w:pPr>
        <w:spacing w:after="0" w:line="240" w:lineRule="auto"/>
        <w:ind w:left="1049" w:right="0" w:hanging="340"/>
        <w:rPr>
          <w:rFonts w:ascii="Times New Roman" w:hAnsi="Times New Roman" w:cs="Times New Roman"/>
          <w:sz w:val="24"/>
        </w:rPr>
      </w:pPr>
    </w:p>
    <w:p w14:paraId="6AB08B70" w14:textId="77777777" w:rsidR="00476BBA" w:rsidRDefault="00476BBA" w:rsidP="00EA269E">
      <w:pPr>
        <w:spacing w:after="0" w:line="240" w:lineRule="auto"/>
        <w:ind w:left="1049" w:right="0" w:hanging="340"/>
        <w:rPr>
          <w:rFonts w:ascii="Times New Roman" w:hAnsi="Times New Roman" w:cs="Times New Roman"/>
          <w:sz w:val="24"/>
        </w:rPr>
      </w:pPr>
    </w:p>
    <w:p w14:paraId="1DDCE935" w14:textId="77777777" w:rsidR="00FF1E38" w:rsidRPr="00FF1E38" w:rsidRDefault="00FF1E38" w:rsidP="00FF1E38">
      <w:pPr>
        <w:spacing w:after="0" w:line="240" w:lineRule="auto"/>
        <w:ind w:left="0" w:right="0" w:firstLine="0"/>
        <w:rPr>
          <w:rFonts w:ascii="Times New Roman" w:hAnsi="Times New Roman" w:cs="Times New Roman"/>
          <w:sz w:val="24"/>
        </w:rPr>
      </w:pPr>
      <w:bookmarkStart w:id="67" w:name="_Toc2938585"/>
      <w:r w:rsidRPr="00FF1E38">
        <w:rPr>
          <w:rFonts w:ascii="Times New Roman" w:hAnsi="Times New Roman" w:cs="Times New Roman"/>
          <w:b/>
          <w:sz w:val="24"/>
        </w:rPr>
        <w:lastRenderedPageBreak/>
        <w:t>6.1. Potres - opis scenarija</w:t>
      </w:r>
      <w:bookmarkEnd w:id="67"/>
    </w:p>
    <w:p w14:paraId="3EEB551E" w14:textId="77777777" w:rsidR="00FF1E38" w:rsidRPr="00FF1E38" w:rsidRDefault="00FF1E38" w:rsidP="00FF1E38">
      <w:pPr>
        <w:spacing w:after="0" w:line="240" w:lineRule="auto"/>
        <w:ind w:left="0" w:right="0" w:firstLine="0"/>
        <w:rPr>
          <w:rFonts w:ascii="Times New Roman" w:hAnsi="Times New Roman" w:cs="Times New Roman"/>
          <w:sz w:val="24"/>
        </w:rPr>
      </w:pPr>
    </w:p>
    <w:p w14:paraId="652D48F2" w14:textId="77777777" w:rsidR="00FF1E38" w:rsidRPr="00FF1E38" w:rsidRDefault="00FF1E38" w:rsidP="00FF1E38">
      <w:pPr>
        <w:spacing w:after="0" w:line="240" w:lineRule="auto"/>
        <w:ind w:right="0" w:firstLine="699"/>
        <w:rPr>
          <w:rFonts w:ascii="Times New Roman" w:hAnsi="Times New Roman" w:cs="Times New Roman"/>
          <w:b/>
          <w:sz w:val="24"/>
        </w:rPr>
      </w:pPr>
      <w:bookmarkStart w:id="68" w:name="_Toc2938586"/>
      <w:r w:rsidRPr="00FF1E38">
        <w:rPr>
          <w:rFonts w:ascii="Times New Roman" w:hAnsi="Times New Roman" w:cs="Times New Roman"/>
          <w:b/>
          <w:sz w:val="24"/>
        </w:rPr>
        <w:t>6.1.1. Naziv scenarija, rizik</w:t>
      </w:r>
      <w:bookmarkEnd w:id="68"/>
    </w:p>
    <w:p w14:paraId="15545F15" w14:textId="77777777" w:rsidR="00FF1E38" w:rsidRPr="00FF1E38" w:rsidRDefault="00FF1E38" w:rsidP="00FF1E38">
      <w:pPr>
        <w:spacing w:after="0" w:line="240" w:lineRule="auto"/>
        <w:ind w:right="0"/>
        <w:rPr>
          <w:rFonts w:ascii="Times New Roman" w:hAnsi="Times New Roman" w:cs="Times New Roman"/>
          <w:sz w:val="24"/>
        </w:rPr>
      </w:pPr>
    </w:p>
    <w:tbl>
      <w:tblPr>
        <w:tblStyle w:val="TableGrid1"/>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2" w:type="dxa"/>
        </w:tblCellMar>
        <w:tblLook w:val="04A0" w:firstRow="1" w:lastRow="0" w:firstColumn="1" w:lastColumn="0" w:noHBand="0" w:noVBand="1"/>
      </w:tblPr>
      <w:tblGrid>
        <w:gridCol w:w="9072"/>
      </w:tblGrid>
      <w:tr w:rsidR="00FF1E38" w:rsidRPr="00FF1E38" w14:paraId="35759D74" w14:textId="77777777" w:rsidTr="00DE0C9A">
        <w:trPr>
          <w:cantSplit/>
        </w:trPr>
        <w:tc>
          <w:tcPr>
            <w:tcW w:w="9058" w:type="dxa"/>
            <w:shd w:val="clear" w:color="auto" w:fill="FFC000"/>
          </w:tcPr>
          <w:p w14:paraId="60D06312"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b/>
                <w:sz w:val="24"/>
              </w:rPr>
              <w:t xml:space="preserve">Naziv scenarija </w:t>
            </w:r>
          </w:p>
        </w:tc>
      </w:tr>
      <w:tr w:rsidR="00FF1E38" w:rsidRPr="00FF1E38" w14:paraId="632E42FC" w14:textId="77777777" w:rsidTr="00DE0C9A">
        <w:trPr>
          <w:cantSplit/>
        </w:trPr>
        <w:tc>
          <w:tcPr>
            <w:tcW w:w="9058" w:type="dxa"/>
          </w:tcPr>
          <w:p w14:paraId="7C2644E7"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Podrhtavanje tla uzrokovano potresom jačine IX</w:t>
            </w:r>
            <w:r w:rsidRPr="00FF1E38">
              <w:rPr>
                <w:rFonts w:ascii="Times New Roman" w:hAnsi="Times New Roman" w:cs="Times New Roman"/>
                <w:sz w:val="24"/>
                <w:vertAlign w:val="superscript"/>
              </w:rPr>
              <w:t>o</w:t>
            </w:r>
            <w:r w:rsidRPr="00FF1E38">
              <w:rPr>
                <w:rFonts w:ascii="Times New Roman" w:hAnsi="Times New Roman" w:cs="Times New Roman"/>
                <w:sz w:val="24"/>
              </w:rPr>
              <w:t xml:space="preserve"> MCS ljestvice </w:t>
            </w:r>
          </w:p>
        </w:tc>
      </w:tr>
      <w:tr w:rsidR="00FF1E38" w:rsidRPr="00FF1E38" w14:paraId="44683C2C" w14:textId="77777777" w:rsidTr="00DE0C9A">
        <w:trPr>
          <w:cantSplit/>
        </w:trPr>
        <w:tc>
          <w:tcPr>
            <w:tcW w:w="9058" w:type="dxa"/>
            <w:shd w:val="clear" w:color="auto" w:fill="FFC000"/>
          </w:tcPr>
          <w:p w14:paraId="00CC9B23"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b/>
                <w:sz w:val="24"/>
              </w:rPr>
              <w:t xml:space="preserve">Grupa rizika </w:t>
            </w:r>
          </w:p>
        </w:tc>
      </w:tr>
      <w:tr w:rsidR="00FF1E38" w:rsidRPr="00FF1E38" w14:paraId="3FF23E23" w14:textId="77777777" w:rsidTr="00DE0C9A">
        <w:trPr>
          <w:cantSplit/>
        </w:trPr>
        <w:tc>
          <w:tcPr>
            <w:tcW w:w="9058" w:type="dxa"/>
          </w:tcPr>
          <w:p w14:paraId="6DD92F23"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 xml:space="preserve">Potres </w:t>
            </w:r>
          </w:p>
        </w:tc>
      </w:tr>
      <w:tr w:rsidR="00FF1E38" w:rsidRPr="00FF1E38" w14:paraId="6E4C0A1E" w14:textId="77777777" w:rsidTr="00DE0C9A">
        <w:trPr>
          <w:cantSplit/>
        </w:trPr>
        <w:tc>
          <w:tcPr>
            <w:tcW w:w="9058" w:type="dxa"/>
            <w:shd w:val="clear" w:color="auto" w:fill="FFC000"/>
          </w:tcPr>
          <w:p w14:paraId="4B469842"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b/>
                <w:sz w:val="24"/>
              </w:rPr>
              <w:t xml:space="preserve">Rizik </w:t>
            </w:r>
          </w:p>
        </w:tc>
      </w:tr>
      <w:tr w:rsidR="00FF1E38" w:rsidRPr="00FF1E38" w14:paraId="3C6CF36B" w14:textId="77777777" w:rsidTr="00DE0C9A">
        <w:trPr>
          <w:cantSplit/>
        </w:trPr>
        <w:tc>
          <w:tcPr>
            <w:tcW w:w="9058" w:type="dxa"/>
          </w:tcPr>
          <w:p w14:paraId="762D218C"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 xml:space="preserve">Potres </w:t>
            </w:r>
          </w:p>
        </w:tc>
      </w:tr>
      <w:tr w:rsidR="00FF1E38" w:rsidRPr="00FF1E38" w14:paraId="696C5C15" w14:textId="77777777" w:rsidTr="00DE0C9A">
        <w:trPr>
          <w:cantSplit/>
        </w:trPr>
        <w:tc>
          <w:tcPr>
            <w:tcW w:w="9058" w:type="dxa"/>
            <w:shd w:val="clear" w:color="auto" w:fill="FFC000"/>
          </w:tcPr>
          <w:p w14:paraId="3AC31794"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b/>
                <w:sz w:val="24"/>
              </w:rPr>
              <w:t xml:space="preserve">Radna skupina </w:t>
            </w:r>
          </w:p>
        </w:tc>
      </w:tr>
      <w:tr w:rsidR="00FF1E38" w:rsidRPr="00FF1E38" w14:paraId="3F716B16" w14:textId="77777777" w:rsidTr="00DE0C9A">
        <w:trPr>
          <w:cantSplit/>
        </w:trPr>
        <w:tc>
          <w:tcPr>
            <w:tcW w:w="9058" w:type="dxa"/>
          </w:tcPr>
          <w:p w14:paraId="7D15913A"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Gradski ured za mjesnu samoupravu, civilnu zaštitu i sigurnost</w:t>
            </w:r>
          </w:p>
        </w:tc>
      </w:tr>
      <w:tr w:rsidR="00FF1E38" w:rsidRPr="00FF1E38" w14:paraId="35B9BAE1" w14:textId="77777777" w:rsidTr="00DE0C9A">
        <w:trPr>
          <w:cantSplit/>
        </w:trPr>
        <w:tc>
          <w:tcPr>
            <w:tcW w:w="9058" w:type="dxa"/>
            <w:shd w:val="clear" w:color="auto" w:fill="FFC000"/>
          </w:tcPr>
          <w:p w14:paraId="7D25FF22"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b/>
                <w:sz w:val="24"/>
              </w:rPr>
              <w:t xml:space="preserve">Opis scenarija: </w:t>
            </w:r>
          </w:p>
        </w:tc>
      </w:tr>
      <w:tr w:rsidR="00FF1E38" w:rsidRPr="00FF1E38" w14:paraId="789EAC17" w14:textId="77777777" w:rsidTr="00DE0C9A">
        <w:trPr>
          <w:cantSplit/>
        </w:trPr>
        <w:tc>
          <w:tcPr>
            <w:tcW w:w="9058" w:type="dxa"/>
          </w:tcPr>
          <w:p w14:paraId="31432993"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 xml:space="preserve">Scenarijem će se što vjernije opisati situacija koja može nastati nakon razornog potresa na području Grada Zagreba. U obzir će se uzeti najgori mogući scenarij male vjerojatnosti, ali najvećih posljedica. Smisao je da se opisom najgore moguće situacije postavi temelj preventivnog planiranja i operativnog osnaživanja snaga civilne zaštite na području Grada Zagreba, a što je u konačnici proces smanjenja rizika, posebno u slučaju kada se radi o prijetnjama koje se ne mogu u potpunosti ukloniti niti predvidjeti trenutak njihova nastanka. </w:t>
            </w:r>
          </w:p>
        </w:tc>
      </w:tr>
    </w:tbl>
    <w:p w14:paraId="229EC67E" w14:textId="77777777" w:rsidR="00E768BC" w:rsidRDefault="00FF1E38" w:rsidP="00FF1E38">
      <w:pPr>
        <w:spacing w:after="0" w:line="240" w:lineRule="auto"/>
        <w:ind w:left="0" w:right="0" w:firstLine="0"/>
        <w:rPr>
          <w:rFonts w:ascii="Times New Roman" w:hAnsi="Times New Roman" w:cs="Times New Roman"/>
          <w:sz w:val="24"/>
        </w:rPr>
      </w:pPr>
      <w:bookmarkStart w:id="69" w:name="_Toc2938587"/>
      <w:r w:rsidRPr="00FF1E38">
        <w:rPr>
          <w:rFonts w:ascii="Times New Roman" w:hAnsi="Times New Roman" w:cs="Times New Roman"/>
          <w:sz w:val="24"/>
        </w:rPr>
        <w:t xml:space="preserve">           </w:t>
      </w:r>
    </w:p>
    <w:p w14:paraId="7A3CD754" w14:textId="0DA66683" w:rsidR="00FF1E38" w:rsidRDefault="00E768BC" w:rsidP="00FF1E38">
      <w:pPr>
        <w:spacing w:after="0" w:line="240" w:lineRule="auto"/>
        <w:ind w:left="0" w:right="0" w:firstLine="0"/>
        <w:rPr>
          <w:rFonts w:ascii="Times New Roman" w:hAnsi="Times New Roman" w:cs="Times New Roman"/>
          <w:b/>
          <w:sz w:val="24"/>
        </w:rPr>
      </w:pPr>
      <w:r>
        <w:rPr>
          <w:rFonts w:ascii="Times New Roman" w:hAnsi="Times New Roman" w:cs="Times New Roman"/>
          <w:sz w:val="24"/>
        </w:rPr>
        <w:t xml:space="preserve">            </w:t>
      </w:r>
      <w:r w:rsidR="00FF1E38" w:rsidRPr="00FF1E38">
        <w:rPr>
          <w:rFonts w:ascii="Times New Roman" w:hAnsi="Times New Roman" w:cs="Times New Roman"/>
          <w:sz w:val="24"/>
        </w:rPr>
        <w:t xml:space="preserve"> </w:t>
      </w:r>
      <w:r w:rsidR="00FF1E38" w:rsidRPr="00FF1E38">
        <w:rPr>
          <w:rFonts w:ascii="Times New Roman" w:hAnsi="Times New Roman" w:cs="Times New Roman"/>
          <w:b/>
          <w:sz w:val="24"/>
        </w:rPr>
        <w:t>6.1.2. Prikaz utjecaja na kritičnu infrastrukturu</w:t>
      </w:r>
      <w:bookmarkEnd w:id="69"/>
    </w:p>
    <w:p w14:paraId="43B763D1" w14:textId="77777777" w:rsidR="00E768BC" w:rsidRPr="00FF1E38" w:rsidRDefault="00E768BC" w:rsidP="00FF1E38">
      <w:pPr>
        <w:spacing w:after="0" w:line="240" w:lineRule="auto"/>
        <w:ind w:left="0" w:right="0" w:firstLine="0"/>
        <w:rPr>
          <w:rFonts w:ascii="Times New Roman" w:hAnsi="Times New Roman" w:cs="Times New Roman"/>
          <w:b/>
          <w:sz w:val="24"/>
        </w:rPr>
      </w:pPr>
    </w:p>
    <w:p w14:paraId="0B1D9DCA"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Razoran potres je događaj najpogubnijih posljedica u suvremenom društvu jer njegova pojava utječe na sve strukture ljudskog društva, odnosno na sve ono što je čovjek stvorio i proizveo. Budući da se ne može predvidjeti točno vrijeme i mjesto nastanka potresa, vrlo je izražena potreba provedbe i planiranja odgovornih i dugoročnih preventivnih aktivnosti u zajednici (što uključuje prije svega kvalitetnu zakonski definiranu protupotresnu gradnju i kontrolu tijekom gradnje, educiranje stanovništva i detaljiziranje planova za postupanje, ojačavanje zgrada kritične infrastrukture ili preseljenje ključnih institucija u potresno sigurnije zgrade), odnosno nužno je postojanje kolektivne svijesti o prijetnji i načinu društvenog odgovora na nju. Kritična infrastruktura koja je najbitniji preduvjet normalnog funkcioniranja svake visokotehnološki razvijene zajednice, posebno je osjetljiva čak i u slučaju kada je riječ o pojavi nerazornih potresa koji samom pojavom unose nemir, strah i neugodu među stanovništvom. Primjera otkazivanja telekomunikacijske infrastrukture nakon takvih potresa ima više, a izdvaja se prekid mobilnih mreža zbog preopterećenja pozivima uznemirenih građana u Washingtonu 2011. godine</w:t>
      </w:r>
      <w:r w:rsidRPr="00FF1E38">
        <w:rPr>
          <w:rFonts w:ascii="Times New Roman" w:hAnsi="Times New Roman" w:cs="Times New Roman"/>
          <w:sz w:val="24"/>
          <w:vertAlign w:val="superscript"/>
        </w:rPr>
        <w:footnoteReference w:id="7"/>
      </w:r>
      <w:r w:rsidRPr="00FF1E38">
        <w:rPr>
          <w:rFonts w:ascii="Times New Roman" w:hAnsi="Times New Roman" w:cs="Times New Roman"/>
          <w:sz w:val="24"/>
        </w:rPr>
        <w:t>. I u Hrvatskoj je primijećen trend povećanog broja poziva Centru 112 nakon svakog slabijeg potresa, a nakon potresa koji se dogodio 2020. godine također je došlo do kratkotrajnog prekida telekomunikacijskih linija.</w:t>
      </w:r>
    </w:p>
    <w:p w14:paraId="0A3B13FF" w14:textId="783CD185"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U slučaju razornog potresa izgledan je nestanak električne energije zbog pucanja vodova i šteta na </w:t>
      </w:r>
      <w:r w:rsidRPr="00FF1E38">
        <w:rPr>
          <w:rFonts w:ascii="Times New Roman" w:hAnsi="Times New Roman" w:cs="Times New Roman"/>
          <w:b/>
          <w:sz w:val="24"/>
        </w:rPr>
        <w:t>elektroenergetskoj infrastrukturi</w:t>
      </w:r>
      <w:r w:rsidRPr="00FF1E38">
        <w:rPr>
          <w:rFonts w:ascii="Times New Roman" w:hAnsi="Times New Roman" w:cs="Times New Roman"/>
          <w:sz w:val="24"/>
        </w:rPr>
        <w:t>. Iako su objekti EL-TO Zagreb i TE-TO Zagreb koji su jezgra elektroenergetskog sustava na području Grada Zagreba protupotresno građeni, nakon potresa se mogu očekivati oštećenja 2. i 3. stupnja (umjerena i teška oštećenja građevina i infrastrukture na lokaciji). Osim toga, unatoč tome što su spremnici i cjevovodi izgrađeni prema protupotresnim standardima i pravilno osigurani, može doći do oštećenja/puknuća skladišnog spremnika opasnih tvari/cjevovoda ili pripadajućih instalacija</w:t>
      </w:r>
      <w:r w:rsidRPr="00FF1E38">
        <w:rPr>
          <w:rFonts w:ascii="Times New Roman" w:hAnsi="Times New Roman" w:cs="Times New Roman"/>
          <w:sz w:val="24"/>
          <w:vertAlign w:val="superscript"/>
        </w:rPr>
        <w:footnoteReference w:id="8"/>
      </w:r>
      <w:r w:rsidRPr="00FF1E38">
        <w:rPr>
          <w:rFonts w:ascii="Times New Roman" w:hAnsi="Times New Roman" w:cs="Times New Roman"/>
          <w:sz w:val="24"/>
        </w:rPr>
        <w:t xml:space="preserve">. Nakon razornog potresa može se očekivati nestanak električne energije na većem području Grada Zagreba, a </w:t>
      </w:r>
      <w:r w:rsidRPr="00FF1E38">
        <w:rPr>
          <w:rFonts w:ascii="Times New Roman" w:hAnsi="Times New Roman" w:cs="Times New Roman"/>
          <w:sz w:val="24"/>
        </w:rPr>
        <w:lastRenderedPageBreak/>
        <w:t>zbog ponovnog uspostavljanja funkcionalnosti i popravka elektroenergetske mreže bit će potrebno angažirati i radnike iz susjednih županija i drugih dijelova Hrvatske. U prijelaznom razdoblju, do ponovnog uspostavljanja funkcionalnosti mreže, na kritičnim točkama potrebno je postaviti agregate za proizvodnju električne energije. U takve objekte spadaju bolnice u kojima je moguće nastaviti rad nakon potresa jer nisu znatno oštećene, objekti za proizvodnju hrane, vodoopskrbne stanice, ključne točke telekomunikacijskog sustava, pojedine bankarske institucije, veći gospodarski objekti od interesa za normalizaciju života i sl.</w:t>
      </w:r>
    </w:p>
    <w:p w14:paraId="177AC74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Na </w:t>
      </w:r>
      <w:r w:rsidRPr="00FF1E38">
        <w:rPr>
          <w:rFonts w:ascii="Times New Roman" w:hAnsi="Times New Roman" w:cs="Times New Roman"/>
          <w:b/>
          <w:sz w:val="24"/>
        </w:rPr>
        <w:t>komunikacijsku i informacijsku tehnologiju</w:t>
      </w:r>
      <w:r w:rsidRPr="00FF1E38">
        <w:rPr>
          <w:rFonts w:ascii="Times New Roman" w:hAnsi="Times New Roman" w:cs="Times New Roman"/>
          <w:sz w:val="24"/>
        </w:rPr>
        <w:t xml:space="preserve"> razoran potres negativno utječe na dva načina. Prvi je dovođenje do preopterećenosti (zagušenosti) kapaciteta koja može nastati zbog velikog broja poziva građana u kratkom vremenu a upravo je to slučaj nakon događaja koji imaju izražen utjecaj na većem zemljopisnom području. Drugi negativan utjecaj se odnosi na moguće rušenje telekomunikacijske infrastrukture (samostalne ili one koja se nalazi na objektima koji se sruše zbog potresa) te na nestanak električne energije zbog kojeg dolazi do prestanka rada baznih stanica, repetitora i odašiljača. Kako bi se spriječio scenarij potpune komunikacijske odsječenosti, potrebno je da hitne službe imaju redundantan sustav veza (satelitski terminali, pomoć radioamatera) te da se mediji koriste dominantnim komunikacijskim točkama (odašiljačima) koji se nalaze u susjednim okolnim područjima a kojih signal dopire u pogođeno područje. Najbolji način prijenosa informacija stanovništvu u takvim situacijama je FM radio zbog postojanja malih prijenosnih uređaja koji rade na baterije, a visoko su zastupljeni u kućanstvima, te zbog robusnosti i jednostavnosti tehnologije prijenosa.</w:t>
      </w:r>
    </w:p>
    <w:p w14:paraId="5C3C8826"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Kada je riječ o </w:t>
      </w:r>
      <w:r w:rsidRPr="00FF1E38">
        <w:rPr>
          <w:rFonts w:ascii="Times New Roman" w:hAnsi="Times New Roman" w:cs="Times New Roman"/>
          <w:b/>
          <w:sz w:val="24"/>
        </w:rPr>
        <w:t>prometu</w:t>
      </w:r>
      <w:r w:rsidRPr="00FF1E38">
        <w:rPr>
          <w:rFonts w:ascii="Times New Roman" w:hAnsi="Times New Roman" w:cs="Times New Roman"/>
          <w:sz w:val="24"/>
        </w:rPr>
        <w:t>, potrebno je naglasiti da izuzev novih mostova za suprotni smjer Mosta Zaprešić, Jankomirskog mosta i Domovinskog mosta, zagrebački savski mostovi nisu projektirani na danas propisano seizmičko opterećenje. Stoga bi u slučaju potresa kakav se predviđa na području grada Zagreba moglo doći do znatnih oštećenja ili čak rušenja nekih od njih</w:t>
      </w:r>
      <w:r w:rsidRPr="00FF1E38">
        <w:rPr>
          <w:rFonts w:ascii="Times New Roman" w:hAnsi="Times New Roman" w:cs="Times New Roman"/>
          <w:sz w:val="24"/>
          <w:vertAlign w:val="superscript"/>
        </w:rPr>
        <w:footnoteReference w:id="9"/>
      </w:r>
      <w:r w:rsidRPr="00FF1E38">
        <w:rPr>
          <w:rFonts w:ascii="Times New Roman" w:hAnsi="Times New Roman" w:cs="Times New Roman"/>
          <w:sz w:val="24"/>
        </w:rPr>
        <w:t>. Mostovi preko Save uglavnom su već premašili svoj predviđeni vijek trajanja, a u većini slučajeva nisu projektirani za potresno opterećenje</w:t>
      </w:r>
      <w:r w:rsidRPr="00FF1E38">
        <w:rPr>
          <w:rFonts w:ascii="Times New Roman" w:hAnsi="Times New Roman" w:cs="Times New Roman"/>
          <w:sz w:val="24"/>
          <w:vertAlign w:val="superscript"/>
        </w:rPr>
        <w:footnoteReference w:id="10"/>
      </w:r>
      <w:r w:rsidRPr="00FF1E38">
        <w:rPr>
          <w:rFonts w:ascii="Times New Roman" w:hAnsi="Times New Roman" w:cs="Times New Roman"/>
          <w:sz w:val="24"/>
        </w:rPr>
        <w:t>, što je istaknuto prilikom utvrđivanja evakuacijskih puteva od strane Grada Zagreba. Povezanost je izrazito bitna s obzirom na činjenicu da broj spašenih osoba iz zatrpanih dijelova izravno ovisi o brzini reakcije (isključivo vlastitih snaga) u prvim danima katastrofe. Budući da mostovi povezuju stari dio Zagreba koji je potresno najosjetljiviji s novim dijelom grada, izgledan je prekid prometa ili otežan promet do uspostavljanja alternativnih ruta i izgradnje privremenih pontonskih mostova, a što je dodatan problem i za evakuaciju građana i za pristup spasilačkih ekipa, jer će se do užeg gradskog središta u tom slučaju moći doći samo s istočne strane grada (Sesvete) te preko Domovinskog mosta jer se očekuje da i Aleja grada Bologne bude neprohodna zbog aktivnih klizišta na tom području. Cestovni promet bit će prekinut na području gradskog središta odnosno stare gradske jezgre zbog zarušavanja zgrada na prometnice, a takva situacija može otežati procese evakuacije te zaštite i spašavanja stanovništva. Zbog navedenih situacija planira se djelovanje građevinskom mehanizacijom s ciljem raščišćavanja zakrčenih prometnica a definirane su i lokacije za odlaganje građevinskog materijala. Zbog pojave klizišta i odrona nakon potresa te prestanka rada željezničke infrastrukture uzrokovanog nestankom električne energije izgledan je i prekid željezničkog prometa. Pretpostavlja se kako će novi Domovinski most zbog nedavne izgradnje ipak izdržati razoran potres te će preko njega biti moguće uspostaviti humanitarni koridor od Zračne luke "Dr. Franjo Tuđman" prema centru grada.</w:t>
      </w:r>
    </w:p>
    <w:p w14:paraId="193FF5F8" w14:textId="77777777" w:rsidR="00FF1E38" w:rsidRPr="00FF1E38" w:rsidRDefault="00FF1E38" w:rsidP="00FF1E38">
      <w:pPr>
        <w:spacing w:after="0" w:line="240" w:lineRule="auto"/>
        <w:ind w:left="0" w:right="0" w:firstLine="709"/>
        <w:rPr>
          <w:rFonts w:ascii="Times New Roman" w:hAnsi="Times New Roman" w:cs="Times New Roman"/>
          <w:color w:val="auto"/>
          <w:sz w:val="24"/>
        </w:rPr>
      </w:pPr>
      <w:r w:rsidRPr="00FF1E38">
        <w:rPr>
          <w:rFonts w:ascii="Times New Roman" w:hAnsi="Times New Roman" w:cs="Times New Roman"/>
          <w:b/>
          <w:sz w:val="24"/>
        </w:rPr>
        <w:t>Zdravstveni sustav</w:t>
      </w:r>
      <w:r w:rsidRPr="00FF1E38">
        <w:rPr>
          <w:rFonts w:ascii="Times New Roman" w:hAnsi="Times New Roman" w:cs="Times New Roman"/>
          <w:sz w:val="24"/>
        </w:rPr>
        <w:t xml:space="preserve"> u trenucima nakon razornog potresa bit će vrlo opterećen potrebama stanovništva. S druge strane, zbog starosti zgrada u kojima su smještene skoro sve zagrebačke bolnice, izgledno je da zdravstveni sustav neće imati dovoljno kapaciteta niti za obavljanje redovnih aktivnosti a kamoli aktivnosti tijekom izvanrednih situacija. Stoga će se morati uspostaviti poljske bolnice, otvoriti koridori hitnog prijevoza ozlijeđenih u bolnice u </w:t>
      </w:r>
      <w:r w:rsidRPr="00FF1E38">
        <w:rPr>
          <w:rFonts w:ascii="Times New Roman" w:hAnsi="Times New Roman" w:cs="Times New Roman"/>
          <w:sz w:val="24"/>
        </w:rPr>
        <w:lastRenderedPageBreak/>
        <w:t>susjednim gradovima i županijama, a izgledno je da će se morati tražiti i međunarodna pomoć u medicinskoj opremi i zdravstvenom osoblju (liječnici i medicinske sestre). Budući da je Grad Zagreb zdravstveno središte Republike Hrvatske, bit će potrebne donacije u opremi kako bi zdravstveni sustav mogao ponovno profunkcionirati u kapacitetima prije nastanka potresa što će biti dugotrajan proces (uništenje infrastrukture - zgrada, opreme, moguća pogibija dijela liječnika i med. sestara i sl.).</w:t>
      </w:r>
    </w:p>
    <w:p w14:paraId="45CBEE9B"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Kada je o </w:t>
      </w:r>
      <w:r w:rsidRPr="00FF1E38">
        <w:rPr>
          <w:rFonts w:ascii="Times New Roman" w:hAnsi="Times New Roman" w:cs="Times New Roman"/>
          <w:b/>
          <w:sz w:val="24"/>
        </w:rPr>
        <w:t>vodnom gospodarstvu</w:t>
      </w:r>
      <w:r w:rsidRPr="00FF1E38">
        <w:rPr>
          <w:rFonts w:ascii="Times New Roman" w:hAnsi="Times New Roman" w:cs="Times New Roman"/>
          <w:sz w:val="24"/>
        </w:rPr>
        <w:t xml:space="preserve"> riječ, iako je vjerojatnost vrlo mala, postoji opasnost od pucanja Savskog nasipa zbog potresnih sila i popuštanja retencijskih brana što bi dovelo do poplavljivanja gradskog područja ispod južnih i jugoistočnih obronaka Medvednice. Jednako su tako izgledni i prekidi vodoopskrbnog sustava zbog pucanja magistralnih vodova te uništenja vodocrpilišnih objekata. Najmanja je opasnost prekid rada vodoopskrbnih sustava, a najveća je opasnost mogućnost pucanja Savskog nasipa zbog potresa tijekom visokog vodostaja rijeke Save i otkazivanje retencijskih brana u podsljemenskoj zoni. U tom su slučaju posljedice otežana mogućnost evakuacije građana u zoni blizu rijeke Save te dodatno uništenje kuća i gospodarskih objekata zbog naglog bujičnog prodora vode u podsljemenskoj zoni uzrokovanog pucanjem retencijskih brana.</w:t>
      </w:r>
    </w:p>
    <w:p w14:paraId="3B8D7D09" w14:textId="75391A06"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Budući da Grad Zagreb ima razvijenu prehrambenu industriju, razoran potres svakako će znatno utjecati i na </w:t>
      </w:r>
      <w:r w:rsidRPr="00FF1E38">
        <w:rPr>
          <w:rFonts w:ascii="Times New Roman" w:hAnsi="Times New Roman" w:cs="Times New Roman"/>
          <w:b/>
          <w:sz w:val="24"/>
        </w:rPr>
        <w:t>prehrambeni sektor</w:t>
      </w:r>
      <w:r w:rsidRPr="00FF1E38">
        <w:rPr>
          <w:rFonts w:ascii="Times New Roman" w:hAnsi="Times New Roman" w:cs="Times New Roman"/>
          <w:sz w:val="24"/>
        </w:rPr>
        <w:t xml:space="preserve">, ponajprije na proces proizvodnje. Ako proizvodni pogoni ne budu uništeni djelovanjem potresa, gubitci će se odnositi na prestanak proizvodnje zbog nestanka električne energije, prestanka distribucije plina, vode i ostalih energenata potrebnih za rad pogona ili nedolaska zaposlenika na posao. Osim toga, zbog uništenja prometne infrastrukture bit će otežana distribucija proizvoda. Nakon razornog potresa ljudima smještenim u šatorska naselja moraju se osigurati na početku suhi, a kasnije i topli obroci te dovoljna količina pitke vode i sredstava za osobnu higijenu. Stoga je potrebno napraviti plan dostavljanja navedenoga temeljem unaprijed dostavljenih mogućih kapaciteta isporuke od strane pravnih osoba od interesa za civilnu zaštitu. U tu skupinu spadaju i veliki trgovački lanci koji uvijek imaju i zalihu proizvoda i logistiku za dostavu potrebnoga. Pritom će se trebati računati na kapacitete u okolici Zagreba, jer je izgledno da će dio kapaciteta na području samog Grada Zagreba zbog prekida rada ostalih kritičnih infrastruktura biti onemogućen. Pomoć će pružiti </w:t>
      </w:r>
      <w:r w:rsidR="00976283">
        <w:rPr>
          <w:rFonts w:ascii="Times New Roman" w:hAnsi="Times New Roman" w:cs="Times New Roman"/>
          <w:sz w:val="24"/>
        </w:rPr>
        <w:t xml:space="preserve">Hrvatski </w:t>
      </w:r>
      <w:r w:rsidRPr="00FF1E38">
        <w:rPr>
          <w:rFonts w:ascii="Times New Roman" w:hAnsi="Times New Roman" w:cs="Times New Roman"/>
          <w:sz w:val="24"/>
        </w:rPr>
        <w:t>Crveni križ te će stići donacijama iz inozemstva.</w:t>
      </w:r>
    </w:p>
    <w:p w14:paraId="3E029C1C"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Razoran potres će na </w:t>
      </w:r>
      <w:r w:rsidRPr="00FF1E38">
        <w:rPr>
          <w:rFonts w:ascii="Times New Roman" w:hAnsi="Times New Roman" w:cs="Times New Roman"/>
          <w:b/>
          <w:sz w:val="24"/>
        </w:rPr>
        <w:t>financijski sektor</w:t>
      </w:r>
      <w:r w:rsidRPr="00FF1E38">
        <w:rPr>
          <w:rFonts w:ascii="Times New Roman" w:hAnsi="Times New Roman" w:cs="Times New Roman"/>
          <w:sz w:val="24"/>
        </w:rPr>
        <w:t xml:space="preserve"> prije svega utjecati tako da onemogući rad ključnih financijskih ustanova u državi. Dio zgrada navedenih institucija bit će srušen ili teško oštećen (npr. zgrada Hrvatske narodne banke), a dijelu financijskih ustanova će zbog nestanka električne energije i telekomunikacijske odsječenosti biti onemogućeno poslovanje prvih dana nakon potresa.</w:t>
      </w:r>
    </w:p>
    <w:p w14:paraId="052BAFD9"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b/>
          <w:sz w:val="24"/>
        </w:rPr>
        <w:t>Djelatnost proizvodnje i skladištenja opasnih tvari</w:t>
      </w:r>
      <w:r w:rsidRPr="00FF1E38">
        <w:rPr>
          <w:rFonts w:ascii="Times New Roman" w:hAnsi="Times New Roman" w:cs="Times New Roman"/>
          <w:sz w:val="24"/>
        </w:rPr>
        <w:t xml:space="preserve"> poseban je rizik nakon događaja razornog potresa jer i djelomično uništenje postrojenja i objekata u kojima se proizvode opasne tvari ili se rukuje s njima, može izazvati domino-efekt i lančane eksplozije, posebno u industrijskoj zoni grada (zona Gradske četvrti Peščenica - Žitnjak). U situaciji razorenog grada i teško prohodnih prometnica te velikog broja osoba kojima je potrebna medicinska pomoć i koje je potrebno spasiti iz ruševina, angažiranje dodatnih vatrogasnih snaga dodatan je izazov i problem, posebno u slučaju kada industrijske vatrogasne postrojbe zbog razornosti reakcije ne mogu pružiti prvi odgovor u gašenju požara ili on nije dovoljan.</w:t>
      </w:r>
    </w:p>
    <w:p w14:paraId="7805CADB"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b/>
          <w:sz w:val="24"/>
        </w:rPr>
        <w:t>Javne službe</w:t>
      </w:r>
      <w:r w:rsidRPr="00FF1E38">
        <w:rPr>
          <w:rFonts w:ascii="Times New Roman" w:hAnsi="Times New Roman" w:cs="Times New Roman"/>
          <w:sz w:val="24"/>
        </w:rPr>
        <w:t xml:space="preserve"> su izrazito izložene negativnom utjecaju razornog potresa zato što se glavnina njih nalazi u potresno neotpornim zgradama, a najvažnije državne institucije poput Vlade RH i Sabora nalaze se na Gornjem gradu, u potpuno potresno neotpornoj zoni, najproblematičnijoj za evakuaciju i spašavanje zbog uskih ulica i teškog pristupa, posebno nakon rušenja okolnih objekata na prometnice. Rad javnih službi će nakon potresa biti većim dijelom onemogućen kao i rad hitnih službi (pojedini objekti u kojima je sjedište hitnih službi bit će oštećeni nakon potresa). Potrebno je istaknuti nepovoljan položaj bolnica smještenih u </w:t>
      </w:r>
      <w:r w:rsidRPr="00FF1E38">
        <w:rPr>
          <w:rFonts w:ascii="Times New Roman" w:hAnsi="Times New Roman" w:cs="Times New Roman"/>
          <w:sz w:val="24"/>
        </w:rPr>
        <w:lastRenderedPageBreak/>
        <w:t>starom gradskom dijelu, gdje se očekuje najveća ugroženost, prije svega zbog nepovoljnog položaja u seizmički najaktivnijem području, gradnje u razdoblju prije uvođenja seizmičkih propisa, ali i mogućih dodatnih problema poput požara (zbog drvenih stropova i krovova) te teške dostupnosti u slučaju zakrčenih uskih i slabo povezanih prometnica, primjerice rušenjem fasada. Same bolnice nemaju dovoljne kapacitete</w:t>
      </w:r>
      <w:r w:rsidRPr="00FF1E38">
        <w:rPr>
          <w:rFonts w:ascii="Times New Roman" w:hAnsi="Times New Roman" w:cs="Times New Roman"/>
          <w:sz w:val="24"/>
          <w:vertAlign w:val="superscript"/>
        </w:rPr>
        <w:footnoteReference w:id="11"/>
      </w:r>
      <w:r w:rsidRPr="00FF1E38">
        <w:rPr>
          <w:rFonts w:ascii="Times New Roman" w:hAnsi="Times New Roman" w:cs="Times New Roman"/>
          <w:sz w:val="24"/>
        </w:rPr>
        <w:t xml:space="preserve"> za prihvat velikog broja žrtava i nemaju dovoljno dobru prometnu povezanost s ostalim gradskim dijelovima, posebice preko rijeke Save. Stoga primjerice za gradske četvrti Novi Zagreb - istok i zapad postoji veća opasnost zbog problema povezanosti s bolnicama u sjevernijim dijelovima grada.</w:t>
      </w:r>
    </w:p>
    <w:p w14:paraId="11442826"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Svakako će se morati računati, osim na pomoć postrojbi civilne zaštite opće i specijalističke namjene i udruga građana pri spašavanju stanovnika, i na vatrogasne, policijske ekipe i ekipe hitne medicinske pomoći iz okolnih županija, posebno u prvim satima nakon razornog potresa. Dio pripadnika postrojbi specijalističke namjene će također stradati u potresu (mrtvi i teško ozlijeđeni), a dio će neorganizirano pristupiti spašavanju i traganju prvo za svojim bližnjima, što je normalna ljudska reakcija, pa se na njih neće moći računati. Stoga je vrlo bitno većim dijelom osloniti se na pripadnike postrojbi u južnim dijelovima grada u kojima će posljedice potresa biti najmanje izražene (Gradska četvrt Brezovica) i na pripadnike postrojbi iz susjednih županija.</w:t>
      </w:r>
    </w:p>
    <w:p w14:paraId="7EC5058E"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Kada je o </w:t>
      </w:r>
      <w:r w:rsidRPr="00FF1E38">
        <w:rPr>
          <w:rFonts w:ascii="Times New Roman" w:hAnsi="Times New Roman" w:cs="Times New Roman"/>
          <w:b/>
          <w:sz w:val="24"/>
        </w:rPr>
        <w:t>nacionalnim spomenicima i vrijednostima</w:t>
      </w:r>
      <w:r w:rsidRPr="00FF1E38">
        <w:rPr>
          <w:rFonts w:ascii="Times New Roman" w:hAnsi="Times New Roman" w:cs="Times New Roman"/>
          <w:sz w:val="24"/>
        </w:rPr>
        <w:t xml:space="preserve"> riječ, oni nažalost prvi nepovratno stradaju u rušilačkoj snazi razornog potresa. Najvrjednija baština često ima svoju vrijednost upravo zbog starosti izgradnje, a takve građevine su potresno najneotpornije. I u potresu 1880. koji se dogodio u Zagrebu stradali su najstariji sakralni objekti najveće spomeničke vrijednosti, a  najveća oštećenja su takvi objekti doživjeli i tijekom potresa 2020. godine. Izgledno je očekivati da će nakon potresa od IX</w:t>
      </w:r>
      <w:r w:rsidRPr="00FF1E38">
        <w:rPr>
          <w:rFonts w:ascii="Times New Roman" w:hAnsi="Times New Roman" w:cs="Times New Roman"/>
          <w:sz w:val="24"/>
          <w:vertAlign w:val="superscript"/>
        </w:rPr>
        <w:t>o</w:t>
      </w:r>
      <w:r w:rsidRPr="00FF1E38">
        <w:rPr>
          <w:rFonts w:ascii="Times New Roman" w:hAnsi="Times New Roman" w:cs="Times New Roman"/>
          <w:sz w:val="24"/>
        </w:rPr>
        <w:t xml:space="preserve"> MCS ljestvice čitava povijesna jezgra Gornjeg grada biti u ruševinama te veći dio Donjeg grada, odnosno velik postotak zgrada na potezu do Glavnog kolodvora i željezničke pruge na jugu, do Črnomerca na zapadu i do Maksimira na istoku. Problem je i što se neke vrlo bitne državne ustanove nalaze u zgradama koje su spomenici kulture, odnosno koje su potresno neotporne. Nakon takvog događaja osim nepovratnog uništavanja povijesne arhitekture, može doći i do prekida rada javnih ustanova od izrazitog interesa te stradavanja učenika i studenata koji se školuju u pojedinim potresno neotpornim zgradama. Slijedom navedenoga, potrebno je osigurati da državne institucije od izrazitog značenja budu smještene u zgradama koje su građene po protupotresnim standardima a zgrade koje su spomenici kulture potrebno je dodatno ojačati kako bi s većom vjerojatnošću izdržale razoran potres koji se može dogoditi.</w:t>
      </w:r>
    </w:p>
    <w:p w14:paraId="67730AED" w14:textId="77777777" w:rsidR="00FF1E38" w:rsidRPr="00FF1E38" w:rsidRDefault="00FF1E38" w:rsidP="00FF1E38">
      <w:pPr>
        <w:spacing w:after="0" w:line="240" w:lineRule="auto"/>
        <w:ind w:right="0"/>
        <w:rPr>
          <w:rFonts w:ascii="Times New Roman" w:hAnsi="Times New Roman" w:cs="Times New Roman"/>
          <w:sz w:val="24"/>
        </w:rPr>
      </w:pPr>
    </w:p>
    <w:p w14:paraId="43770721" w14:textId="48D6564F" w:rsidR="00FF1E38" w:rsidRPr="00D34B92" w:rsidRDefault="00D34B92" w:rsidP="00476BBA">
      <w:pPr>
        <w:spacing w:line="240" w:lineRule="auto"/>
        <w:ind w:left="0" w:right="0" w:firstLine="0"/>
        <w:jc w:val="center"/>
        <w:rPr>
          <w:rFonts w:ascii="Times New Roman" w:hAnsi="Times New Roman" w:cs="Times New Roman"/>
          <w:b/>
          <w:color w:val="auto"/>
          <w:sz w:val="24"/>
        </w:rPr>
      </w:pPr>
      <w:r w:rsidRPr="00D34B92">
        <w:rPr>
          <w:rFonts w:ascii="Times New Roman" w:hAnsi="Times New Roman" w:cs="Times New Roman"/>
          <w:b/>
          <w:color w:val="auto"/>
          <w:sz w:val="24"/>
        </w:rPr>
        <w:t>Tablica 37</w:t>
      </w:r>
      <w:r w:rsidR="00FF1E38" w:rsidRPr="00D34B92">
        <w:rPr>
          <w:rFonts w:ascii="Times New Roman" w:hAnsi="Times New Roman" w:cs="Times New Roman"/>
          <w:b/>
          <w:color w:val="auto"/>
          <w:sz w:val="24"/>
        </w:rPr>
        <w:t>. Prikaz utjecaja potresa na kritičnu infrastrukturu</w:t>
      </w:r>
    </w:p>
    <w:tbl>
      <w:tblPr>
        <w:tblStyle w:val="TableGrid1"/>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3" w:type="dxa"/>
        </w:tblCellMar>
        <w:tblLook w:val="04A0" w:firstRow="1" w:lastRow="0" w:firstColumn="1" w:lastColumn="0" w:noHBand="0" w:noVBand="1"/>
      </w:tblPr>
      <w:tblGrid>
        <w:gridCol w:w="1418"/>
        <w:gridCol w:w="7654"/>
      </w:tblGrid>
      <w:tr w:rsidR="00FF1E38" w:rsidRPr="00FF1E38" w14:paraId="0EE1CEC2" w14:textId="77777777" w:rsidTr="00DE0C9A">
        <w:trPr>
          <w:cantSplit/>
          <w:tblHeader/>
        </w:trPr>
        <w:tc>
          <w:tcPr>
            <w:tcW w:w="1418" w:type="dxa"/>
            <w:shd w:val="clear" w:color="auto" w:fill="FFC000"/>
            <w:vAlign w:val="center"/>
          </w:tcPr>
          <w:p w14:paraId="48595F72"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b/>
                <w:sz w:val="24"/>
              </w:rPr>
              <w:t>UTJECAJ</w:t>
            </w:r>
          </w:p>
        </w:tc>
        <w:tc>
          <w:tcPr>
            <w:tcW w:w="7655" w:type="dxa"/>
            <w:shd w:val="clear" w:color="auto" w:fill="FFC000"/>
            <w:vAlign w:val="center"/>
          </w:tcPr>
          <w:p w14:paraId="27AF65D1"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b/>
                <w:sz w:val="24"/>
              </w:rPr>
              <w:t>SEKTOR</w:t>
            </w:r>
          </w:p>
        </w:tc>
      </w:tr>
      <w:tr w:rsidR="00FF1E38" w:rsidRPr="00FF1E38" w14:paraId="51DD1583" w14:textId="77777777" w:rsidTr="00DE0C9A">
        <w:trPr>
          <w:cantSplit/>
        </w:trPr>
        <w:tc>
          <w:tcPr>
            <w:tcW w:w="1418" w:type="dxa"/>
            <w:vAlign w:val="center"/>
          </w:tcPr>
          <w:p w14:paraId="07C59510"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 xml:space="preserve">x </w:t>
            </w:r>
          </w:p>
        </w:tc>
        <w:tc>
          <w:tcPr>
            <w:tcW w:w="7655" w:type="dxa"/>
          </w:tcPr>
          <w:p w14:paraId="41F43D36"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 xml:space="preserve">Energetika (proizvodnja, uključivo akumulacije i brane, prijenos, skladištenje, transport energenata i energije, sustavi za distribuciju) </w:t>
            </w:r>
          </w:p>
        </w:tc>
      </w:tr>
      <w:tr w:rsidR="00FF1E38" w:rsidRPr="00FF1E38" w14:paraId="1CEC7A81" w14:textId="77777777" w:rsidTr="00DE0C9A">
        <w:trPr>
          <w:cantSplit/>
        </w:trPr>
        <w:tc>
          <w:tcPr>
            <w:tcW w:w="1418" w:type="dxa"/>
            <w:shd w:val="clear" w:color="auto" w:fill="FFC000"/>
            <w:vAlign w:val="center"/>
          </w:tcPr>
          <w:p w14:paraId="298F14B7"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 xml:space="preserve">x </w:t>
            </w:r>
          </w:p>
        </w:tc>
        <w:tc>
          <w:tcPr>
            <w:tcW w:w="7655" w:type="dxa"/>
            <w:shd w:val="clear" w:color="auto" w:fill="FFC000"/>
          </w:tcPr>
          <w:p w14:paraId="711A66F3"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 xml:space="preserve">Komunikacijska i informacijska tehnologija (elektroničke komunikacije, prijenos podataka, informacijski sustavi, pružanje audio i audiovizualnih medijskih usluga) </w:t>
            </w:r>
          </w:p>
        </w:tc>
      </w:tr>
      <w:tr w:rsidR="00FF1E38" w:rsidRPr="00FF1E38" w14:paraId="6BE5F742" w14:textId="77777777" w:rsidTr="00DE0C9A">
        <w:trPr>
          <w:cantSplit/>
        </w:trPr>
        <w:tc>
          <w:tcPr>
            <w:tcW w:w="1418" w:type="dxa"/>
            <w:vAlign w:val="center"/>
          </w:tcPr>
          <w:p w14:paraId="37247504"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 xml:space="preserve">x </w:t>
            </w:r>
          </w:p>
        </w:tc>
        <w:tc>
          <w:tcPr>
            <w:tcW w:w="7655" w:type="dxa"/>
          </w:tcPr>
          <w:p w14:paraId="0CA9DF3E"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 xml:space="preserve">Promet (cestovni, željeznički, zračni, pomorski i promet unutarnjim plovnim putevima) </w:t>
            </w:r>
          </w:p>
        </w:tc>
      </w:tr>
      <w:tr w:rsidR="00FF1E38" w:rsidRPr="00FF1E38" w14:paraId="48B28651" w14:textId="77777777" w:rsidTr="00DE0C9A">
        <w:trPr>
          <w:cantSplit/>
        </w:trPr>
        <w:tc>
          <w:tcPr>
            <w:tcW w:w="1418" w:type="dxa"/>
            <w:shd w:val="clear" w:color="auto" w:fill="FFC000"/>
          </w:tcPr>
          <w:p w14:paraId="704B7F7B"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 xml:space="preserve">x </w:t>
            </w:r>
          </w:p>
        </w:tc>
        <w:tc>
          <w:tcPr>
            <w:tcW w:w="7655" w:type="dxa"/>
            <w:shd w:val="clear" w:color="auto" w:fill="FFC000"/>
          </w:tcPr>
          <w:p w14:paraId="1B669017"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 xml:space="preserve">Zdravstvo (zdravstvena zaštita, proizvodnja, promet i nadzor nad lijekovima) </w:t>
            </w:r>
          </w:p>
        </w:tc>
      </w:tr>
      <w:tr w:rsidR="00FF1E38" w:rsidRPr="00FF1E38" w14:paraId="1DDBDD5F" w14:textId="77777777" w:rsidTr="00DE0C9A">
        <w:trPr>
          <w:cantSplit/>
        </w:trPr>
        <w:tc>
          <w:tcPr>
            <w:tcW w:w="1418" w:type="dxa"/>
            <w:vAlign w:val="center"/>
          </w:tcPr>
          <w:p w14:paraId="03D7A19A"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 xml:space="preserve">x </w:t>
            </w:r>
          </w:p>
        </w:tc>
        <w:tc>
          <w:tcPr>
            <w:tcW w:w="7655" w:type="dxa"/>
          </w:tcPr>
          <w:p w14:paraId="025F5210"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 xml:space="preserve">Vodno gospodarstvo (regulacijske i zaštitne vodne građevine i komunalne vodne građevine) </w:t>
            </w:r>
          </w:p>
        </w:tc>
      </w:tr>
      <w:tr w:rsidR="00FF1E38" w:rsidRPr="00FF1E38" w14:paraId="01EE3454" w14:textId="77777777" w:rsidTr="00DE0C9A">
        <w:trPr>
          <w:cantSplit/>
        </w:trPr>
        <w:tc>
          <w:tcPr>
            <w:tcW w:w="1418" w:type="dxa"/>
            <w:shd w:val="clear" w:color="auto" w:fill="FFC000"/>
          </w:tcPr>
          <w:p w14:paraId="16C849C7"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 xml:space="preserve">x </w:t>
            </w:r>
          </w:p>
        </w:tc>
        <w:tc>
          <w:tcPr>
            <w:tcW w:w="7655" w:type="dxa"/>
            <w:shd w:val="clear" w:color="auto" w:fill="FFC000"/>
          </w:tcPr>
          <w:p w14:paraId="1CC30D9E"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 xml:space="preserve">Hrana (proizvodnja i opskrba hranom i sustav sigurnosti hrane, robne zalihe) </w:t>
            </w:r>
          </w:p>
        </w:tc>
      </w:tr>
      <w:tr w:rsidR="00FF1E38" w:rsidRPr="00FF1E38" w14:paraId="43E56B8E" w14:textId="77777777" w:rsidTr="00DE0C9A">
        <w:trPr>
          <w:cantSplit/>
        </w:trPr>
        <w:tc>
          <w:tcPr>
            <w:tcW w:w="1418" w:type="dxa"/>
          </w:tcPr>
          <w:p w14:paraId="2A5A2A65"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lastRenderedPageBreak/>
              <w:t xml:space="preserve">x </w:t>
            </w:r>
          </w:p>
        </w:tc>
        <w:tc>
          <w:tcPr>
            <w:tcW w:w="7655" w:type="dxa"/>
          </w:tcPr>
          <w:p w14:paraId="60194127"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 xml:space="preserve">Financije (bankarstvo, burze, investicije, sustavi osiguranja i plaćanja) </w:t>
            </w:r>
          </w:p>
        </w:tc>
      </w:tr>
      <w:tr w:rsidR="00FF1E38" w:rsidRPr="00FF1E38" w14:paraId="6E9AB3E4" w14:textId="77777777" w:rsidTr="00DE0C9A">
        <w:trPr>
          <w:cantSplit/>
        </w:trPr>
        <w:tc>
          <w:tcPr>
            <w:tcW w:w="1418" w:type="dxa"/>
            <w:shd w:val="clear" w:color="auto" w:fill="FFC000"/>
            <w:vAlign w:val="center"/>
          </w:tcPr>
          <w:p w14:paraId="535C0020"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 xml:space="preserve">x </w:t>
            </w:r>
          </w:p>
        </w:tc>
        <w:tc>
          <w:tcPr>
            <w:tcW w:w="7655" w:type="dxa"/>
            <w:shd w:val="clear" w:color="auto" w:fill="FFC000"/>
          </w:tcPr>
          <w:p w14:paraId="0B7DA7CA"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Proizvodnja, skladištenje i prijevoz opasnih tvari (kemijski, biološki, radiološki i nuklearni materijal)</w:t>
            </w:r>
          </w:p>
        </w:tc>
      </w:tr>
      <w:tr w:rsidR="00FF1E38" w:rsidRPr="00FF1E38" w14:paraId="6F555A49" w14:textId="77777777" w:rsidTr="00DE0C9A">
        <w:trPr>
          <w:cantSplit/>
        </w:trPr>
        <w:tc>
          <w:tcPr>
            <w:tcW w:w="1418" w:type="dxa"/>
            <w:vAlign w:val="center"/>
          </w:tcPr>
          <w:p w14:paraId="3FF424EB"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 xml:space="preserve">x </w:t>
            </w:r>
          </w:p>
        </w:tc>
        <w:tc>
          <w:tcPr>
            <w:tcW w:w="7655" w:type="dxa"/>
          </w:tcPr>
          <w:p w14:paraId="14392537"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 xml:space="preserve">Javne službe (osiguranje javnog reda i mira, zaštita i spašavanje, hitna medicinska pomoć) </w:t>
            </w:r>
          </w:p>
        </w:tc>
      </w:tr>
      <w:tr w:rsidR="00FF1E38" w:rsidRPr="00FF1E38" w14:paraId="72B749A7" w14:textId="77777777" w:rsidTr="00DE0C9A">
        <w:trPr>
          <w:cantSplit/>
        </w:trPr>
        <w:tc>
          <w:tcPr>
            <w:tcW w:w="1418" w:type="dxa"/>
            <w:shd w:val="clear" w:color="auto" w:fill="FFC000"/>
          </w:tcPr>
          <w:p w14:paraId="3875A246"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 xml:space="preserve">x </w:t>
            </w:r>
          </w:p>
        </w:tc>
        <w:tc>
          <w:tcPr>
            <w:tcW w:w="7655" w:type="dxa"/>
            <w:shd w:val="clear" w:color="auto" w:fill="FFC000"/>
          </w:tcPr>
          <w:p w14:paraId="13DF25BC"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 xml:space="preserve">Nacionalni spomenici i vrijednosti </w:t>
            </w:r>
          </w:p>
        </w:tc>
      </w:tr>
    </w:tbl>
    <w:p w14:paraId="7C9179E2"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73FDDACB"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Sažetak u tablici utjecaja na kritičnu infrastrukturu prikazuje da očekivane posljedice potresa mogu obuhvatiti sva područja društvene i gospodarske djelatnosti stanovništva te znatno utjecati na državno upravljanje i ljudske živote.</w:t>
      </w:r>
    </w:p>
    <w:p w14:paraId="6CBF9C26" w14:textId="77777777" w:rsidR="00FF1E38" w:rsidRPr="00FF1E38" w:rsidRDefault="00FF1E38" w:rsidP="00FF1E38">
      <w:pPr>
        <w:spacing w:after="0" w:line="240" w:lineRule="auto"/>
        <w:ind w:right="0"/>
        <w:rPr>
          <w:rFonts w:ascii="Times New Roman" w:hAnsi="Times New Roman" w:cs="Times New Roman"/>
          <w:sz w:val="24"/>
        </w:rPr>
      </w:pPr>
    </w:p>
    <w:p w14:paraId="0DD64822" w14:textId="77777777" w:rsidR="00FF1E38" w:rsidRP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sz w:val="24"/>
          <w:u w:val="single"/>
        </w:rPr>
        <w:t>Zaključak</w:t>
      </w:r>
    </w:p>
    <w:p w14:paraId="7099EA3C"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Posljedice pojave jakog potresa mogu obuhvatiti oštećenja ili rušenje svih vrsta postojećih građevina, među kojima posebnu pozornost treba usmjeriti na stambene zgrade, vrijednu kulturno-spomeničku baštinu, objekte od posebne važnosti (primjerice bolnice i industrijske objekte) te kritične točke prometne i komunalne infrastrukture. Stoga se moguća pojava potresa mora povezati sa značajnom izravnom i neizravnom štetom na imovini, uz opasnost od ozbiljnih ozljeda i mogućeg gubitka ljudskih života. Posljedično, potres u naseljenom području, posebice ako se radi o regionalnom središtu ili području od strateške važnosti (primjerice za turizam), može izazvati potpuni poremećaj gospodarskih i društvenih odnosa u zajednici.</w:t>
      </w:r>
    </w:p>
    <w:p w14:paraId="5BBBEE3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Od mogućih posljedica zbog utjecaja na infrastrukturu i strateške objekte urbanog područja pogođenog potresom posebno treba istaknuti:</w:t>
      </w:r>
    </w:p>
    <w:p w14:paraId="53AF9079" w14:textId="20C5537D"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izravna oštećenja prometnica zbog podrhtavanja tla ili njihova neprohodnost zbog sekundarnih posljedica, primjerice odrona ili klizišta, mogu otežati prometnu povezanost i usporiti potrebne radnje neposredno nakon potresa (spašavanje i evakuaciju, raščišćavanje ruševina, pregled oštećenja građevina itd.)</w:t>
      </w:r>
    </w:p>
    <w:p w14:paraId="11464488" w14:textId="4D20B7AE"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oštećenje ili rušenje objekata koji su kritične točke prometne infrastrukture, posebice mostova, nadvožnjaka, potpornih zidova itd. mogu prekinuti važne prometne tokove</w:t>
      </w:r>
    </w:p>
    <w:p w14:paraId="4FBFCF53" w14:textId="7B335CCF"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oštećenja industrijskih objekata uz izravne troškove zbog oštećenja građevina i opreme mogu zbog odgode spremnosti za rad uključivati dodatne posljedice za zaposleno stanovništvo i gospodarstvo u cjelini, a u pojedinim slučajevima moguće su i dugoročne posljedice zbog potencijalnih opasnosti za okoliš</w:t>
      </w:r>
    </w:p>
    <w:p w14:paraId="0C818CA8" w14:textId="7C7C5FCA"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prekidi u telekomunikacijskoj mreži zbog oštećenja stanovništvu i hitnim službama mogu otežati komunikaciju, a oštećenja strujne mreže i komunalne infrastrukture mogu usporiti djelovanje hitnih službi i povećati osjećaj nesigurnosti stanovništva</w:t>
      </w:r>
    </w:p>
    <w:p w14:paraId="60FDB2EA" w14:textId="4A73CC7B"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opasnost od oštećenja bolnica i domova zdravlja s odgovarajućom zdravstvenom opremom može dodatno ugroziti najranjivije stanovništvo i otežati mogućnost osiguravanja dovoljnih kapaciteta za zbrinjavanje ozlijeđenih</w:t>
      </w:r>
    </w:p>
    <w:p w14:paraId="7FC5A973" w14:textId="57786D83"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oštećenje javnih objekata društvene namjene poput kazališta, muzeja i sportskih objekata može ugroziti sigurnost velikog broja ljudi i dugoročno utjecati na uobičajeno odvijanje društvenih aktivnosti</w:t>
      </w:r>
    </w:p>
    <w:p w14:paraId="5D0296F0" w14:textId="420E2AD5"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posebice treba obratiti pozornost na oštećenja vrtića, škola i visokoškolskih institucija, a oštećenje vjerskih objekata i kulturno-povijesne baštine može dovesti do nenadoknadivih gubitaka i dodatno demoralizirati stanovništvo</w:t>
      </w:r>
    </w:p>
    <w:p w14:paraId="47656043"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u slučaju oštećenja građevina u kojima se odvijaju poslovi državne uprave postoji opasnost od zastoja u državnoj administraciji i narušavanja političke stabilnosti, a od posebnog je značenja sigurnost i raspoloživost hitnih službi, uključujući vatrogastvo i policiju.</w:t>
      </w:r>
    </w:p>
    <w:p w14:paraId="172AB379"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lastRenderedPageBreak/>
        <w:t>Razina sigurnog i udobnog života građana bitno ovisi o gradskoj infrastrukturi pa je njezino funkcioniranje važno omogućiti i u razdoblju neposredno nakon prirodne katastrofe. Grad Zagreb je s obzirom na geografski položaj između obronaka planine Medvednice i rijeke Save posebno osjetljiv u pogledu prometne protočnosti, pa je sigurnost objekata na kritičnim točkama, posebice mostova preko Save, od iznimne važnosti.</w:t>
      </w:r>
    </w:p>
    <w:p w14:paraId="5C33E739" w14:textId="77777777" w:rsidR="00FF1E38" w:rsidRPr="00FF1E38" w:rsidRDefault="00FF1E38" w:rsidP="00FF1E38">
      <w:pPr>
        <w:spacing w:after="0" w:line="240" w:lineRule="auto"/>
        <w:ind w:right="0"/>
        <w:rPr>
          <w:rFonts w:ascii="Times New Roman" w:hAnsi="Times New Roman" w:cs="Times New Roman"/>
          <w:sz w:val="24"/>
        </w:rPr>
      </w:pPr>
    </w:p>
    <w:p w14:paraId="4E3A4D5F" w14:textId="77777777" w:rsidR="00FF1E38" w:rsidRPr="00FF1E38" w:rsidRDefault="00FF1E38" w:rsidP="00FF1E38">
      <w:pPr>
        <w:spacing w:after="0" w:line="240" w:lineRule="auto"/>
        <w:ind w:left="0" w:right="0" w:firstLine="709"/>
        <w:rPr>
          <w:rFonts w:ascii="Times New Roman" w:hAnsi="Times New Roman" w:cs="Times New Roman"/>
          <w:b/>
          <w:sz w:val="24"/>
        </w:rPr>
      </w:pPr>
      <w:bookmarkStart w:id="70" w:name="_Toc2938588"/>
      <w:r w:rsidRPr="00FF1E38">
        <w:rPr>
          <w:rFonts w:ascii="Times New Roman" w:hAnsi="Times New Roman" w:cs="Times New Roman"/>
          <w:b/>
          <w:sz w:val="24"/>
        </w:rPr>
        <w:t>6.1.3. Kontekst</w:t>
      </w:r>
      <w:bookmarkEnd w:id="70"/>
    </w:p>
    <w:p w14:paraId="2DB72348" w14:textId="77777777" w:rsidR="00FF1E38" w:rsidRP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sz w:val="24"/>
          <w:u w:val="single"/>
        </w:rPr>
        <w:t>Društveni kontekst</w:t>
      </w:r>
    </w:p>
    <w:p w14:paraId="65D15EF7"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Grad Zagreb je središte državne uprave Republike Hrvatske i regionalno središte od iznimne važnosti. U njemu se nalaze važne obrazovne, kulturne, umjetničke i zdravstvene institucije, industrijski pogoni i kulturna baština neprocjenjive nacionalne vrijednosti. S obzirom na strukturu gospodarstva i instalirane industrijske kapacitete te postotak gradskog proračuna u odnosu na druge gradove u Hrvatskoj, Zagreb se može smatrati dominantnim gospodarskim središtem, a zbog velike koncentracije institucija državne uprave njegova važnost za administrativnu i političku stabilnost cijele države je neupitna. Osim toga, Zagreb je državno središte cestovnog, željezničkog i zračnog prometa te sjecište europskih prometnih smjerova istok-zapad i sjever-jug.</w:t>
      </w:r>
    </w:p>
    <w:p w14:paraId="2C351375" w14:textId="77777777" w:rsidR="00FF1E38" w:rsidRPr="00FF1E38" w:rsidRDefault="00FF1E38" w:rsidP="00FF1E38">
      <w:pPr>
        <w:spacing w:after="0" w:line="240" w:lineRule="auto"/>
        <w:ind w:left="0" w:right="0" w:firstLine="709"/>
        <w:rPr>
          <w:rFonts w:ascii="Times New Roman" w:hAnsi="Times New Roman" w:cs="Times New Roman"/>
          <w:sz w:val="24"/>
        </w:rPr>
      </w:pPr>
    </w:p>
    <w:p w14:paraId="0B382E4C"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Gradu Zagrebu živi više od 1/5 stanovništva Republike Hrvatske, dominantno je gospodarsko središte s više od 1/3 ekonomije, istaknuto (centralizirano) je administrativno središte, a ujedno i glavni grad. U razdoblju neposredno nakon razornog potresa razina sigurnog i udobnog života građana bitno ovisi o infrastrukturi stoga je ključno omogućiti brzi oporavak i njezino funkcioniranje. Potrebno je istaknuti da precizna procjena ugroženosti odabranih elemenata kritične infrastrukture zahtijeva posebnu pozornost i u pravilu se temeljem opsežnih analiza provodi zasebno za pojedini objekt. Nažalost, s obzirom na malu razinu svijesti rizika od potresa takve procjene se najčešće ne provode unatoč tome što je za većinu elemenata kritične infrastrukture već premašen predviđeni (projektirani) vijek trajanja, a često nisu ni projektirani za potresno opterećenje</w:t>
      </w:r>
      <w:r w:rsidRPr="00FF1E38">
        <w:rPr>
          <w:rFonts w:ascii="Times New Roman" w:hAnsi="Times New Roman" w:cs="Times New Roman"/>
          <w:sz w:val="24"/>
          <w:vertAlign w:val="superscript"/>
        </w:rPr>
        <w:footnoteReference w:id="12"/>
      </w:r>
      <w:r w:rsidRPr="00FF1E38">
        <w:rPr>
          <w:rFonts w:ascii="Times New Roman" w:hAnsi="Times New Roman" w:cs="Times New Roman"/>
          <w:sz w:val="24"/>
        </w:rPr>
        <w:t xml:space="preserve">. </w:t>
      </w:r>
    </w:p>
    <w:p w14:paraId="0554D555"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 </w:t>
      </w:r>
    </w:p>
    <w:p w14:paraId="2288C871"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Može se istaknuti samo primjer bolnica koje su uglavnom izgrađene prije važećih propisa, a tijekom vremena su doživjele mnogobrojne nedokumentirane rekonstrukcije i nadogradnje kojima je dodatno narušen konstrukcijski sustav. Navedeno potvrđuju detaljne analize bolnica Sv. Duh i KBC-a Sestre milosrdnice provedenih unutar Studije za saniranje posljedica potresa</w:t>
      </w:r>
      <w:r w:rsidRPr="00FF1E38">
        <w:rPr>
          <w:rFonts w:ascii="Times New Roman" w:hAnsi="Times New Roman" w:cs="Times New Roman"/>
          <w:sz w:val="24"/>
          <w:vertAlign w:val="superscript"/>
        </w:rPr>
        <w:footnoteReference w:id="13"/>
      </w:r>
      <w:r w:rsidRPr="00FF1E38">
        <w:rPr>
          <w:rFonts w:ascii="Times New Roman" w:hAnsi="Times New Roman" w:cs="Times New Roman"/>
          <w:sz w:val="24"/>
        </w:rPr>
        <w:t xml:space="preserve">. Dodatni problem je vrlo nepovoljan položaj većine bolnica koje su smještene u starom (izrazito ugroženom) dijelu grada, a ključno je osigurati njihov nesmetan rad s obzirom na očekivani veliki broj stradalih. Prema analizama bolnice nemaju dovoljne kapacitete (postoji samo oko 11000 zdravstvenih djelatnika i oko 6700 ležajeva u 13 zdravstvenih ustanova) za prihvat procijenjenog broja stradalih i nemaju dovoljno dobru prometnu povezanost s ostalim dijelovima grada, posebice preko rijeke Save.  </w:t>
      </w:r>
    </w:p>
    <w:p w14:paraId="747E511E"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 </w:t>
      </w:r>
    </w:p>
    <w:p w14:paraId="2CFAE356"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Što se tiče stambenih građevina, također je vrlo mali postotak projektiran prema važećim seizmičkim normama (od 2013.) odnosno za vrlo mali postotak stambenog fonda možemo smatrati da zadovoljava važeće propise (mjerodavno opterećenje). S druge strane, građevine izgrađene do 1964. najčešće nisu projektirane za potresna djelovanja, a čine više od trećine stambenog fonda. Dodatnih, više od pola stambenog fonda je izgrađeno od 1964. do 2013. pri čemu su propisane vrijednosti horizontalnih sila od potresnog djelovanja, ovisno o </w:t>
      </w:r>
      <w:r w:rsidRPr="00FF1E38">
        <w:rPr>
          <w:rFonts w:ascii="Times New Roman" w:hAnsi="Times New Roman" w:cs="Times New Roman"/>
          <w:sz w:val="24"/>
        </w:rPr>
        <w:lastRenderedPageBreak/>
        <w:t>promatranoj lokaciji, bile i nekoliko puta manje nego danas</w:t>
      </w:r>
      <w:r w:rsidRPr="00FF1E38">
        <w:rPr>
          <w:rFonts w:ascii="Times New Roman" w:hAnsi="Times New Roman" w:cs="Times New Roman"/>
          <w:sz w:val="24"/>
          <w:vertAlign w:val="superscript"/>
        </w:rPr>
        <w:footnoteReference w:id="14"/>
      </w:r>
      <w:r w:rsidRPr="00FF1E38">
        <w:rPr>
          <w:rFonts w:ascii="Times New Roman" w:hAnsi="Times New Roman" w:cs="Times New Roman"/>
          <w:sz w:val="24"/>
        </w:rPr>
        <w:t xml:space="preserve">. Sve postojeće procjene rizika od potresa ističu da bi jedan razarajući potres (koji bi uništio dio stambenog fonda i/ili radna mjesta) mogao narušiti krhku ekonomsku stabilnost države (gospodarstvo), dodatno povećati trenutno aktualno iseljavanje stanovništva i u konačnici ugroziti društvenu i političku stabilnost države.  </w:t>
      </w:r>
    </w:p>
    <w:p w14:paraId="2FF02266" w14:textId="77777777" w:rsidR="00FF1E38" w:rsidRPr="00FF1E38" w:rsidRDefault="00FF1E38" w:rsidP="00FF1E38">
      <w:pPr>
        <w:spacing w:after="0" w:line="240" w:lineRule="auto"/>
        <w:ind w:left="0" w:right="0" w:firstLine="709"/>
        <w:rPr>
          <w:rFonts w:ascii="Times New Roman" w:hAnsi="Times New Roman" w:cs="Times New Roman"/>
          <w:sz w:val="24"/>
        </w:rPr>
      </w:pPr>
    </w:p>
    <w:p w14:paraId="2A6479D3" w14:textId="3117E4A0" w:rsidR="00FF1E38" w:rsidRPr="00FF1E38" w:rsidRDefault="00D34B92" w:rsidP="00FF1E38">
      <w:pPr>
        <w:spacing w:after="160" w:line="259" w:lineRule="auto"/>
        <w:ind w:left="0" w:right="0" w:firstLine="0"/>
        <w:jc w:val="center"/>
        <w:rPr>
          <w:rFonts w:ascii="Times New Roman" w:hAnsi="Times New Roman" w:cs="Times New Roman"/>
          <w:b/>
          <w:sz w:val="24"/>
        </w:rPr>
      </w:pPr>
      <w:r w:rsidRPr="00D34B92">
        <w:rPr>
          <w:rFonts w:ascii="Times New Roman" w:hAnsi="Times New Roman" w:cs="Times New Roman"/>
          <w:b/>
          <w:color w:val="auto"/>
          <w:sz w:val="24"/>
        </w:rPr>
        <w:t>Tablica 38</w:t>
      </w:r>
      <w:r w:rsidR="00FF1E38" w:rsidRPr="00D34B92">
        <w:rPr>
          <w:rFonts w:ascii="Times New Roman" w:hAnsi="Times New Roman" w:cs="Times New Roman"/>
          <w:b/>
          <w:color w:val="auto"/>
          <w:sz w:val="24"/>
        </w:rPr>
        <w:t xml:space="preserve">. Usporedba statističkih pokazatelja o poslovnim subjektima u Gradu </w:t>
      </w:r>
      <w:r w:rsidR="00FF1E38" w:rsidRPr="00FF1E38">
        <w:rPr>
          <w:rFonts w:ascii="Times New Roman" w:hAnsi="Times New Roman" w:cs="Times New Roman"/>
          <w:b/>
          <w:sz w:val="24"/>
        </w:rPr>
        <w:t>Zagrebu i Republici Hrvatskoj</w:t>
      </w:r>
    </w:p>
    <w:p w14:paraId="6BA2542A"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noProof/>
          <w:sz w:val="24"/>
        </w:rPr>
        <w:drawing>
          <wp:inline distT="0" distB="0" distL="0" distR="0" wp14:anchorId="26959EFD" wp14:editId="55010B07">
            <wp:extent cx="5852160" cy="1234440"/>
            <wp:effectExtent l="0" t="0" r="0" b="0"/>
            <wp:docPr id="30170" name="Picture 30170"/>
            <wp:cNvGraphicFramePr/>
            <a:graphic xmlns:a="http://schemas.openxmlformats.org/drawingml/2006/main">
              <a:graphicData uri="http://schemas.openxmlformats.org/drawingml/2006/picture">
                <pic:pic xmlns:pic="http://schemas.openxmlformats.org/drawingml/2006/picture">
                  <pic:nvPicPr>
                    <pic:cNvPr id="30170" name="Picture 30170"/>
                    <pic:cNvPicPr/>
                  </pic:nvPicPr>
                  <pic:blipFill>
                    <a:blip r:embed="rId51"/>
                    <a:stretch>
                      <a:fillRect/>
                    </a:stretch>
                  </pic:blipFill>
                  <pic:spPr>
                    <a:xfrm>
                      <a:off x="0" y="0"/>
                      <a:ext cx="5852160" cy="1234440"/>
                    </a:xfrm>
                    <a:prstGeom prst="rect">
                      <a:avLst/>
                    </a:prstGeom>
                  </pic:spPr>
                </pic:pic>
              </a:graphicData>
            </a:graphic>
          </wp:inline>
        </w:drawing>
      </w:r>
    </w:p>
    <w:p w14:paraId="4D83B828" w14:textId="77777777" w:rsidR="00FF1E38" w:rsidRPr="00FF1E38" w:rsidRDefault="00FF1E38" w:rsidP="008167C3">
      <w:pPr>
        <w:spacing w:line="240" w:lineRule="auto"/>
        <w:ind w:left="0" w:right="0" w:firstLine="0"/>
        <w:jc w:val="center"/>
        <w:rPr>
          <w:rFonts w:ascii="Times New Roman" w:eastAsia="Calibri" w:hAnsi="Times New Roman" w:cs="Times New Roman"/>
          <w:i/>
          <w:sz w:val="20"/>
          <w:szCs w:val="20"/>
        </w:rPr>
      </w:pPr>
      <w:r w:rsidRPr="00FF1E38">
        <w:rPr>
          <w:rFonts w:ascii="Times New Roman" w:eastAsia="Calibri" w:hAnsi="Times New Roman" w:cs="Times New Roman"/>
          <w:i/>
          <w:sz w:val="20"/>
          <w:szCs w:val="20"/>
        </w:rPr>
        <w:t>Izvor: Procjena rizika od katastrofa za Republiku Hrvatsku</w:t>
      </w:r>
    </w:p>
    <w:p w14:paraId="513CBBC2" w14:textId="3ACDDB1A"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Osim stambenih zgrada i gospodarskih objekata u Zagrebu su smještene brojne institucije državne uprave kao što su Hrvatski sabor, Ured predsjednika Republike Hrvatske, Vlada RH (Banski dvori), Ustavni sud, Vrhovni sud Republike Hrvatske, brojni ostali sudovi (županijski, općinski građanski, kazneni, visoki upravni, radni, visoki trgovački, prekršajni itd.), Državno odvjetništvo Republike Hrvatske, sva ministarstva (28 zgrada), državni zavodi, državni i gradski uredi itd. Izdvojen je sažetak ključnih građevina od javnog i društvenog </w:t>
      </w:r>
      <w:r w:rsidRPr="00786588">
        <w:rPr>
          <w:rFonts w:ascii="Times New Roman" w:hAnsi="Times New Roman" w:cs="Times New Roman"/>
          <w:color w:val="auto"/>
          <w:sz w:val="24"/>
        </w:rPr>
        <w:t xml:space="preserve">značaja, uključujući godinu izgradnje i lokaciju (Tablica </w:t>
      </w:r>
      <w:r w:rsidR="00786588" w:rsidRPr="00786588">
        <w:rPr>
          <w:rFonts w:ascii="Times New Roman" w:hAnsi="Times New Roman" w:cs="Times New Roman"/>
          <w:color w:val="auto"/>
          <w:sz w:val="24"/>
        </w:rPr>
        <w:t>39.</w:t>
      </w:r>
      <w:r w:rsidRPr="00786588">
        <w:rPr>
          <w:rFonts w:ascii="Times New Roman" w:hAnsi="Times New Roman" w:cs="Times New Roman"/>
          <w:color w:val="auto"/>
          <w:sz w:val="24"/>
        </w:rPr>
        <w:t xml:space="preserve">). Podaci o starosti građevina su </w:t>
      </w:r>
      <w:r w:rsidRPr="00FF1E38">
        <w:rPr>
          <w:rFonts w:ascii="Times New Roman" w:hAnsi="Times New Roman" w:cs="Times New Roman"/>
          <w:sz w:val="24"/>
        </w:rPr>
        <w:t>dobiveni iz Ministarstva graditeljstva i prostornog uređenja Republike Hrvatske, a prikupljeni su prilikom pregleda za potrebe energetskog certificiranja</w:t>
      </w:r>
      <w:r w:rsidRPr="00FF1E38">
        <w:rPr>
          <w:rFonts w:ascii="Times New Roman" w:hAnsi="Times New Roman" w:cs="Times New Roman"/>
          <w:sz w:val="24"/>
          <w:vertAlign w:val="superscript"/>
        </w:rPr>
        <w:footnoteReference w:id="15"/>
      </w:r>
      <w:r w:rsidRPr="00FF1E38">
        <w:rPr>
          <w:rFonts w:ascii="Times New Roman" w:hAnsi="Times New Roman" w:cs="Times New Roman"/>
          <w:sz w:val="24"/>
        </w:rPr>
        <w:t>.</w:t>
      </w:r>
    </w:p>
    <w:p w14:paraId="21FBEA87"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Važnost i veličina grada Zagreba i njegovih sadržaja ističe se i po ostaloj infrastrukturi; to su posebice: dječji vrtići (više od 100), osnovne škole (više od 150), srednje škole (više od 100), sveučilište i fakulteti (33), veleučilišta i visoke škole, domovi zdravlja i zdravstvene stanice, bolnice i klinike, domovi za starije i nemoćne osobe (10), zatvori, policijske postrojbe (redovne, prometne i specijalne), vatrogasne postrojbe (profesionalne i dobrovoljne), vojarne, komunikacijska središta (državna i gradska), diplomatsko središte, kazališta, muzeji, galerije, zbirke, vjerske građevine, kina, sportske dvorane, sportsko-rekreacijski centri, stadioni, trgovački centri, industrija i proizvodni pogoni, javne garaže te svi glavni mediji u državi (HRT i komercijalne televizije, lokalne radiopostaje i novinske kuće). Prema Registru kulturnih dobara područje Grada Zagreba obuhvaća i brojna zaštićena nepokretna kulturna dobra: kulturno-povijesne cjeline (oko 30) i pojedinačne građevine (preko 500).</w:t>
      </w:r>
    </w:p>
    <w:p w14:paraId="586109D8" w14:textId="77777777" w:rsidR="00FF1E38" w:rsidRPr="00FF1E38" w:rsidRDefault="00FF1E38" w:rsidP="00FF1E38">
      <w:pPr>
        <w:spacing w:after="0" w:line="240" w:lineRule="auto"/>
        <w:ind w:left="0" w:right="0" w:firstLine="0"/>
        <w:rPr>
          <w:rFonts w:ascii="Times New Roman" w:hAnsi="Times New Roman" w:cs="Times New Roman"/>
          <w:sz w:val="24"/>
        </w:rPr>
      </w:pPr>
    </w:p>
    <w:p w14:paraId="1DC38447" w14:textId="53868EFF" w:rsidR="00FF1E38" w:rsidRPr="00D34B92" w:rsidRDefault="00D34B92" w:rsidP="00BD08A2">
      <w:pPr>
        <w:spacing w:line="240" w:lineRule="auto"/>
        <w:ind w:left="0" w:right="0" w:firstLine="0"/>
        <w:jc w:val="center"/>
        <w:rPr>
          <w:rFonts w:ascii="Times New Roman" w:hAnsi="Times New Roman" w:cs="Times New Roman"/>
          <w:b/>
          <w:color w:val="auto"/>
          <w:sz w:val="24"/>
        </w:rPr>
      </w:pPr>
      <w:r w:rsidRPr="00D34B92">
        <w:rPr>
          <w:rFonts w:ascii="Times New Roman" w:hAnsi="Times New Roman" w:cs="Times New Roman"/>
          <w:b/>
          <w:color w:val="auto"/>
          <w:sz w:val="24"/>
        </w:rPr>
        <w:t>Tablica 39</w:t>
      </w:r>
      <w:r w:rsidR="00FF1E38" w:rsidRPr="00D34B92">
        <w:rPr>
          <w:rFonts w:ascii="Times New Roman" w:hAnsi="Times New Roman" w:cs="Times New Roman"/>
          <w:b/>
          <w:color w:val="auto"/>
          <w:sz w:val="24"/>
        </w:rPr>
        <w:t>. Građevine od javnog i društvenog značaja u Gradu Zagrebu</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268"/>
        <w:gridCol w:w="4536"/>
        <w:gridCol w:w="2268"/>
      </w:tblGrid>
      <w:tr w:rsidR="00FF1E38" w:rsidRPr="00FF1E38" w14:paraId="362C6241" w14:textId="77777777" w:rsidTr="00DE0C9A">
        <w:trPr>
          <w:cantSplit/>
          <w:trHeight w:val="284"/>
          <w:tblHeader/>
        </w:trPr>
        <w:tc>
          <w:tcPr>
            <w:tcW w:w="2268" w:type="dxa"/>
            <w:shd w:val="clear" w:color="000000" w:fill="FFC000"/>
            <w:vAlign w:val="center"/>
            <w:hideMark/>
          </w:tcPr>
          <w:p w14:paraId="70B66557"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b/>
                <w:bCs/>
                <w:sz w:val="20"/>
                <w:szCs w:val="20"/>
              </w:rPr>
            </w:pPr>
            <w:r w:rsidRPr="00FF1E38">
              <w:rPr>
                <w:rFonts w:ascii="Times New Roman" w:eastAsia="Times New Roman" w:hAnsi="Times New Roman" w:cs="Times New Roman"/>
                <w:b/>
                <w:bCs/>
                <w:sz w:val="20"/>
                <w:szCs w:val="20"/>
              </w:rPr>
              <w:t>Gradska četvrt</w:t>
            </w:r>
          </w:p>
        </w:tc>
        <w:tc>
          <w:tcPr>
            <w:tcW w:w="4536" w:type="dxa"/>
            <w:shd w:val="clear" w:color="000000" w:fill="FFC000"/>
            <w:vAlign w:val="center"/>
            <w:hideMark/>
          </w:tcPr>
          <w:p w14:paraId="205ABABC"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sz w:val="20"/>
                <w:szCs w:val="20"/>
              </w:rPr>
            </w:pPr>
            <w:r w:rsidRPr="00FF1E38">
              <w:rPr>
                <w:rFonts w:ascii="Times New Roman" w:eastAsia="Times New Roman" w:hAnsi="Times New Roman" w:cs="Times New Roman"/>
                <w:b/>
                <w:bCs/>
                <w:sz w:val="20"/>
                <w:szCs w:val="20"/>
              </w:rPr>
              <w:t>Naziv institucije državne uprave i ministarstva</w:t>
            </w:r>
          </w:p>
        </w:tc>
        <w:tc>
          <w:tcPr>
            <w:tcW w:w="2268" w:type="dxa"/>
            <w:shd w:val="clear" w:color="000000" w:fill="FFC000"/>
            <w:vAlign w:val="center"/>
            <w:hideMark/>
          </w:tcPr>
          <w:p w14:paraId="53BA8926"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b/>
                <w:bCs/>
                <w:sz w:val="20"/>
                <w:szCs w:val="20"/>
              </w:rPr>
            </w:pPr>
            <w:r w:rsidRPr="00FF1E38">
              <w:rPr>
                <w:rFonts w:ascii="Times New Roman" w:eastAsia="Times New Roman" w:hAnsi="Times New Roman" w:cs="Times New Roman"/>
                <w:b/>
                <w:bCs/>
                <w:sz w:val="20"/>
                <w:szCs w:val="20"/>
              </w:rPr>
              <w:t>Godina izgradnje</w:t>
            </w:r>
          </w:p>
        </w:tc>
      </w:tr>
      <w:tr w:rsidR="00FF1E38" w:rsidRPr="00FF1E38" w14:paraId="23BA3C1F" w14:textId="77777777" w:rsidTr="00DE0C9A">
        <w:trPr>
          <w:cantSplit/>
          <w:trHeight w:val="284"/>
        </w:trPr>
        <w:tc>
          <w:tcPr>
            <w:tcW w:w="2268" w:type="dxa"/>
            <w:vMerge w:val="restart"/>
            <w:shd w:val="clear" w:color="000000" w:fill="FFC000"/>
            <w:vAlign w:val="center"/>
            <w:hideMark/>
          </w:tcPr>
          <w:p w14:paraId="5FC21D38"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Gornji grad - Medveščak</w:t>
            </w:r>
          </w:p>
        </w:tc>
        <w:tc>
          <w:tcPr>
            <w:tcW w:w="4536" w:type="dxa"/>
            <w:shd w:val="clear" w:color="auto" w:fill="auto"/>
            <w:vAlign w:val="center"/>
            <w:hideMark/>
          </w:tcPr>
          <w:p w14:paraId="34E7E3BB"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Ured predsjednika Republike Hrvatske</w:t>
            </w:r>
          </w:p>
        </w:tc>
        <w:tc>
          <w:tcPr>
            <w:tcW w:w="2268" w:type="dxa"/>
            <w:shd w:val="clear" w:color="auto" w:fill="auto"/>
            <w:hideMark/>
          </w:tcPr>
          <w:p w14:paraId="3F185679"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1964.</w:t>
            </w:r>
          </w:p>
        </w:tc>
      </w:tr>
      <w:tr w:rsidR="00FF1E38" w:rsidRPr="00FF1E38" w14:paraId="4598A6AF" w14:textId="77777777" w:rsidTr="00DE0C9A">
        <w:trPr>
          <w:cantSplit/>
          <w:trHeight w:val="284"/>
        </w:trPr>
        <w:tc>
          <w:tcPr>
            <w:tcW w:w="2268" w:type="dxa"/>
            <w:vMerge/>
            <w:vAlign w:val="center"/>
            <w:hideMark/>
          </w:tcPr>
          <w:p w14:paraId="3AA134C6"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p>
        </w:tc>
        <w:tc>
          <w:tcPr>
            <w:tcW w:w="4536" w:type="dxa"/>
            <w:shd w:val="clear" w:color="auto" w:fill="auto"/>
            <w:vAlign w:val="center"/>
            <w:hideMark/>
          </w:tcPr>
          <w:p w14:paraId="55725CA8"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Vlada Republike Hrvatske (Banski dvori)</w:t>
            </w:r>
          </w:p>
        </w:tc>
        <w:tc>
          <w:tcPr>
            <w:tcW w:w="2268" w:type="dxa"/>
            <w:shd w:val="clear" w:color="auto" w:fill="auto"/>
            <w:hideMark/>
          </w:tcPr>
          <w:p w14:paraId="1F5972DF"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1808.</w:t>
            </w:r>
          </w:p>
        </w:tc>
      </w:tr>
      <w:tr w:rsidR="00FF1E38" w:rsidRPr="00FF1E38" w14:paraId="46191187" w14:textId="77777777" w:rsidTr="00DE0C9A">
        <w:trPr>
          <w:cantSplit/>
          <w:trHeight w:val="284"/>
        </w:trPr>
        <w:tc>
          <w:tcPr>
            <w:tcW w:w="2268" w:type="dxa"/>
            <w:vMerge/>
            <w:vAlign w:val="center"/>
            <w:hideMark/>
          </w:tcPr>
          <w:p w14:paraId="0C3F60F8"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p>
        </w:tc>
        <w:tc>
          <w:tcPr>
            <w:tcW w:w="4536" w:type="dxa"/>
            <w:shd w:val="clear" w:color="auto" w:fill="auto"/>
            <w:vAlign w:val="center"/>
            <w:hideMark/>
          </w:tcPr>
          <w:p w14:paraId="7677B1F4"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Hrvatski sabor</w:t>
            </w:r>
          </w:p>
        </w:tc>
        <w:tc>
          <w:tcPr>
            <w:tcW w:w="2268" w:type="dxa"/>
            <w:shd w:val="clear" w:color="auto" w:fill="auto"/>
            <w:hideMark/>
          </w:tcPr>
          <w:p w14:paraId="68F2CFC1"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1911.</w:t>
            </w:r>
          </w:p>
        </w:tc>
      </w:tr>
      <w:tr w:rsidR="00FF1E38" w:rsidRPr="00FF1E38" w14:paraId="5D75AAEE" w14:textId="77777777" w:rsidTr="00DE0C9A">
        <w:trPr>
          <w:cantSplit/>
          <w:trHeight w:val="284"/>
        </w:trPr>
        <w:tc>
          <w:tcPr>
            <w:tcW w:w="2268" w:type="dxa"/>
            <w:vMerge/>
            <w:vAlign w:val="center"/>
            <w:hideMark/>
          </w:tcPr>
          <w:p w14:paraId="4AC24FE5"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p>
        </w:tc>
        <w:tc>
          <w:tcPr>
            <w:tcW w:w="4536" w:type="dxa"/>
            <w:shd w:val="clear" w:color="auto" w:fill="auto"/>
            <w:vAlign w:val="center"/>
            <w:hideMark/>
          </w:tcPr>
          <w:p w14:paraId="1B7FD498"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Ustavni sud</w:t>
            </w:r>
          </w:p>
        </w:tc>
        <w:tc>
          <w:tcPr>
            <w:tcW w:w="2268" w:type="dxa"/>
            <w:shd w:val="clear" w:color="auto" w:fill="auto"/>
            <w:hideMark/>
          </w:tcPr>
          <w:p w14:paraId="120B7AE0"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krajem 19. st.</w:t>
            </w:r>
          </w:p>
        </w:tc>
      </w:tr>
    </w:tbl>
    <w:p w14:paraId="34DECD98" w14:textId="77777777" w:rsidR="00BD08A2" w:rsidRDefault="00BD08A2"/>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268"/>
        <w:gridCol w:w="4536"/>
        <w:gridCol w:w="2268"/>
      </w:tblGrid>
      <w:tr w:rsidR="00FF1E38" w:rsidRPr="00FF1E38" w14:paraId="65A7A390" w14:textId="77777777" w:rsidTr="00DE0C9A">
        <w:trPr>
          <w:cantSplit/>
          <w:trHeight w:val="284"/>
        </w:trPr>
        <w:tc>
          <w:tcPr>
            <w:tcW w:w="2268" w:type="dxa"/>
            <w:vMerge w:val="restart"/>
            <w:shd w:val="clear" w:color="000000" w:fill="FFC000"/>
            <w:vAlign w:val="center"/>
            <w:hideMark/>
          </w:tcPr>
          <w:p w14:paraId="062B5836"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lastRenderedPageBreak/>
              <w:t>Donji grad</w:t>
            </w:r>
          </w:p>
        </w:tc>
        <w:tc>
          <w:tcPr>
            <w:tcW w:w="4536" w:type="dxa"/>
            <w:shd w:val="clear" w:color="auto" w:fill="auto"/>
            <w:vAlign w:val="center"/>
            <w:hideMark/>
          </w:tcPr>
          <w:p w14:paraId="47E3CABC"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Vrhovni sud Republike Hrvatske</w:t>
            </w:r>
          </w:p>
        </w:tc>
        <w:tc>
          <w:tcPr>
            <w:tcW w:w="2268" w:type="dxa"/>
            <w:shd w:val="clear" w:color="auto" w:fill="auto"/>
            <w:hideMark/>
          </w:tcPr>
          <w:p w14:paraId="08E57434"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1887. (rek. 1998.)</w:t>
            </w:r>
          </w:p>
        </w:tc>
      </w:tr>
      <w:tr w:rsidR="00FF1E38" w:rsidRPr="00FF1E38" w14:paraId="45540537" w14:textId="77777777" w:rsidTr="00DE0C9A">
        <w:trPr>
          <w:cantSplit/>
          <w:trHeight w:val="284"/>
        </w:trPr>
        <w:tc>
          <w:tcPr>
            <w:tcW w:w="2268" w:type="dxa"/>
            <w:vMerge/>
            <w:vAlign w:val="center"/>
            <w:hideMark/>
          </w:tcPr>
          <w:p w14:paraId="6B3ABFC0"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p>
        </w:tc>
        <w:tc>
          <w:tcPr>
            <w:tcW w:w="4536" w:type="dxa"/>
            <w:shd w:val="clear" w:color="auto" w:fill="auto"/>
            <w:vAlign w:val="center"/>
            <w:hideMark/>
          </w:tcPr>
          <w:p w14:paraId="47DB0CEE"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Trgovački sud u Zagrebu</w:t>
            </w:r>
          </w:p>
        </w:tc>
        <w:tc>
          <w:tcPr>
            <w:tcW w:w="2268" w:type="dxa"/>
            <w:shd w:val="clear" w:color="auto" w:fill="auto"/>
            <w:hideMark/>
          </w:tcPr>
          <w:p w14:paraId="398BDAC2"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1890.</w:t>
            </w:r>
          </w:p>
        </w:tc>
      </w:tr>
      <w:tr w:rsidR="00FF1E38" w:rsidRPr="00FF1E38" w14:paraId="7059D136" w14:textId="77777777" w:rsidTr="00DE0C9A">
        <w:trPr>
          <w:cantSplit/>
          <w:trHeight w:val="284"/>
        </w:trPr>
        <w:tc>
          <w:tcPr>
            <w:tcW w:w="2268" w:type="dxa"/>
            <w:vMerge/>
            <w:vAlign w:val="center"/>
            <w:hideMark/>
          </w:tcPr>
          <w:p w14:paraId="4358E66C"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p>
        </w:tc>
        <w:tc>
          <w:tcPr>
            <w:tcW w:w="4536" w:type="dxa"/>
            <w:shd w:val="clear" w:color="auto" w:fill="auto"/>
            <w:vAlign w:val="center"/>
            <w:hideMark/>
          </w:tcPr>
          <w:p w14:paraId="448C9619"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Županijski sud u Zagrebu</w:t>
            </w:r>
          </w:p>
        </w:tc>
        <w:tc>
          <w:tcPr>
            <w:tcW w:w="2268" w:type="dxa"/>
            <w:shd w:val="clear" w:color="auto" w:fill="auto"/>
            <w:hideMark/>
          </w:tcPr>
          <w:p w14:paraId="60672741"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1887.</w:t>
            </w:r>
          </w:p>
        </w:tc>
      </w:tr>
      <w:tr w:rsidR="00FF1E38" w:rsidRPr="00FF1E38" w14:paraId="6764E0FB" w14:textId="77777777" w:rsidTr="00DE0C9A">
        <w:trPr>
          <w:cantSplit/>
          <w:trHeight w:val="284"/>
        </w:trPr>
        <w:tc>
          <w:tcPr>
            <w:tcW w:w="2268" w:type="dxa"/>
            <w:vMerge/>
            <w:vAlign w:val="center"/>
            <w:hideMark/>
          </w:tcPr>
          <w:p w14:paraId="40BBF456"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p>
        </w:tc>
        <w:tc>
          <w:tcPr>
            <w:tcW w:w="4536" w:type="dxa"/>
            <w:shd w:val="clear" w:color="auto" w:fill="auto"/>
            <w:vAlign w:val="center"/>
            <w:hideMark/>
          </w:tcPr>
          <w:p w14:paraId="05995A7E"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Ministarstvo financija</w:t>
            </w:r>
          </w:p>
        </w:tc>
        <w:tc>
          <w:tcPr>
            <w:tcW w:w="2268" w:type="dxa"/>
            <w:shd w:val="clear" w:color="auto" w:fill="auto"/>
            <w:hideMark/>
          </w:tcPr>
          <w:p w14:paraId="67313FAE"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1903.</w:t>
            </w:r>
          </w:p>
        </w:tc>
      </w:tr>
      <w:tr w:rsidR="00FF1E38" w:rsidRPr="00FF1E38" w14:paraId="337585B5" w14:textId="77777777" w:rsidTr="00DE0C9A">
        <w:trPr>
          <w:cantSplit/>
          <w:trHeight w:val="284"/>
        </w:trPr>
        <w:tc>
          <w:tcPr>
            <w:tcW w:w="2268" w:type="dxa"/>
            <w:vMerge/>
            <w:vAlign w:val="center"/>
            <w:hideMark/>
          </w:tcPr>
          <w:p w14:paraId="2417F72B"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p>
        </w:tc>
        <w:tc>
          <w:tcPr>
            <w:tcW w:w="4536" w:type="dxa"/>
            <w:shd w:val="clear" w:color="auto" w:fill="auto"/>
            <w:vAlign w:val="center"/>
            <w:hideMark/>
          </w:tcPr>
          <w:p w14:paraId="4671FB5F"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Ministarstvo kulture</w:t>
            </w:r>
          </w:p>
        </w:tc>
        <w:tc>
          <w:tcPr>
            <w:tcW w:w="2268" w:type="dxa"/>
            <w:shd w:val="clear" w:color="auto" w:fill="auto"/>
            <w:hideMark/>
          </w:tcPr>
          <w:p w14:paraId="1DC541AF"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1912.</w:t>
            </w:r>
          </w:p>
        </w:tc>
      </w:tr>
      <w:tr w:rsidR="00FF1E38" w:rsidRPr="00FF1E38" w14:paraId="6D8472E8" w14:textId="77777777" w:rsidTr="00DE0C9A">
        <w:trPr>
          <w:cantSplit/>
          <w:trHeight w:val="284"/>
        </w:trPr>
        <w:tc>
          <w:tcPr>
            <w:tcW w:w="2268" w:type="dxa"/>
            <w:vMerge/>
            <w:vAlign w:val="center"/>
            <w:hideMark/>
          </w:tcPr>
          <w:p w14:paraId="3E972DE5"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p>
        </w:tc>
        <w:tc>
          <w:tcPr>
            <w:tcW w:w="4536" w:type="dxa"/>
            <w:shd w:val="clear" w:color="auto" w:fill="auto"/>
            <w:vAlign w:val="center"/>
            <w:hideMark/>
          </w:tcPr>
          <w:p w14:paraId="48C88C6C"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Državno odvjetništvo Republike Hrvatske</w:t>
            </w:r>
          </w:p>
        </w:tc>
        <w:tc>
          <w:tcPr>
            <w:tcW w:w="2268" w:type="dxa"/>
            <w:shd w:val="clear" w:color="auto" w:fill="auto"/>
            <w:hideMark/>
          </w:tcPr>
          <w:p w14:paraId="50BFEA18"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1900.</w:t>
            </w:r>
          </w:p>
        </w:tc>
      </w:tr>
      <w:tr w:rsidR="00FF1E38" w:rsidRPr="00FF1E38" w14:paraId="03EA7E54" w14:textId="77777777" w:rsidTr="00DE0C9A">
        <w:trPr>
          <w:cantSplit/>
          <w:trHeight w:val="284"/>
        </w:trPr>
        <w:tc>
          <w:tcPr>
            <w:tcW w:w="2268" w:type="dxa"/>
            <w:vMerge/>
            <w:vAlign w:val="center"/>
            <w:hideMark/>
          </w:tcPr>
          <w:p w14:paraId="0D392678"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p>
        </w:tc>
        <w:tc>
          <w:tcPr>
            <w:tcW w:w="4536" w:type="dxa"/>
            <w:shd w:val="clear" w:color="auto" w:fill="auto"/>
            <w:vAlign w:val="center"/>
            <w:hideMark/>
          </w:tcPr>
          <w:p w14:paraId="64858A8E"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Visoki upravni sud Republike Hrvatske</w:t>
            </w:r>
          </w:p>
        </w:tc>
        <w:tc>
          <w:tcPr>
            <w:tcW w:w="2268" w:type="dxa"/>
            <w:shd w:val="clear" w:color="auto" w:fill="auto"/>
            <w:hideMark/>
          </w:tcPr>
          <w:p w14:paraId="722155EE"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1900.</w:t>
            </w:r>
          </w:p>
        </w:tc>
      </w:tr>
      <w:tr w:rsidR="00FF1E38" w:rsidRPr="00FF1E38" w14:paraId="52B84B15" w14:textId="77777777" w:rsidTr="00DE0C9A">
        <w:trPr>
          <w:cantSplit/>
          <w:trHeight w:val="284"/>
        </w:trPr>
        <w:tc>
          <w:tcPr>
            <w:tcW w:w="2268" w:type="dxa"/>
            <w:vMerge/>
            <w:vAlign w:val="center"/>
            <w:hideMark/>
          </w:tcPr>
          <w:p w14:paraId="55FD2186"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p>
        </w:tc>
        <w:tc>
          <w:tcPr>
            <w:tcW w:w="4536" w:type="dxa"/>
            <w:shd w:val="clear" w:color="auto" w:fill="auto"/>
            <w:vAlign w:val="center"/>
            <w:hideMark/>
          </w:tcPr>
          <w:p w14:paraId="6AFBF6AE"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Ministarstvo financija</w:t>
            </w:r>
          </w:p>
        </w:tc>
        <w:tc>
          <w:tcPr>
            <w:tcW w:w="2268" w:type="dxa"/>
            <w:shd w:val="clear" w:color="auto" w:fill="auto"/>
            <w:hideMark/>
          </w:tcPr>
          <w:p w14:paraId="5F336BB8"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1903., 1968.</w:t>
            </w:r>
          </w:p>
        </w:tc>
      </w:tr>
      <w:tr w:rsidR="00FF1E38" w:rsidRPr="00FF1E38" w14:paraId="4F96DD9F" w14:textId="77777777" w:rsidTr="00DE0C9A">
        <w:trPr>
          <w:cantSplit/>
          <w:trHeight w:val="284"/>
        </w:trPr>
        <w:tc>
          <w:tcPr>
            <w:tcW w:w="2268" w:type="dxa"/>
            <w:vMerge w:val="restart"/>
            <w:shd w:val="clear" w:color="000000" w:fill="FFC000"/>
            <w:vAlign w:val="center"/>
            <w:hideMark/>
          </w:tcPr>
          <w:p w14:paraId="03254B49"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Trnje</w:t>
            </w:r>
          </w:p>
        </w:tc>
        <w:tc>
          <w:tcPr>
            <w:tcW w:w="4536" w:type="dxa"/>
            <w:shd w:val="clear" w:color="auto" w:fill="auto"/>
            <w:vAlign w:val="center"/>
            <w:hideMark/>
          </w:tcPr>
          <w:p w14:paraId="48C5DD27"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Općinski građanski sud u Zagrebu</w:t>
            </w:r>
          </w:p>
        </w:tc>
        <w:tc>
          <w:tcPr>
            <w:tcW w:w="2268" w:type="dxa"/>
            <w:shd w:val="clear" w:color="auto" w:fill="auto"/>
            <w:hideMark/>
          </w:tcPr>
          <w:p w14:paraId="69C1EC65"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1962.</w:t>
            </w:r>
          </w:p>
        </w:tc>
      </w:tr>
      <w:tr w:rsidR="00FF1E38" w:rsidRPr="00FF1E38" w14:paraId="24A01D62" w14:textId="77777777" w:rsidTr="00DE0C9A">
        <w:trPr>
          <w:cantSplit/>
          <w:trHeight w:val="284"/>
        </w:trPr>
        <w:tc>
          <w:tcPr>
            <w:tcW w:w="2268" w:type="dxa"/>
            <w:vMerge/>
            <w:vAlign w:val="center"/>
            <w:hideMark/>
          </w:tcPr>
          <w:p w14:paraId="69C0EB0F"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p>
        </w:tc>
        <w:tc>
          <w:tcPr>
            <w:tcW w:w="4536" w:type="dxa"/>
            <w:shd w:val="clear" w:color="auto" w:fill="auto"/>
            <w:vAlign w:val="center"/>
            <w:hideMark/>
          </w:tcPr>
          <w:p w14:paraId="29069789"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Uprava Grada Zagreba</w:t>
            </w:r>
          </w:p>
        </w:tc>
        <w:tc>
          <w:tcPr>
            <w:tcW w:w="2268" w:type="dxa"/>
            <w:shd w:val="clear" w:color="auto" w:fill="auto"/>
            <w:hideMark/>
          </w:tcPr>
          <w:p w14:paraId="7CF02A9F"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1958.</w:t>
            </w:r>
          </w:p>
        </w:tc>
      </w:tr>
      <w:tr w:rsidR="00FF1E38" w:rsidRPr="00FF1E38" w14:paraId="69088849" w14:textId="77777777" w:rsidTr="00DE0C9A">
        <w:trPr>
          <w:cantSplit/>
          <w:trHeight w:val="284"/>
        </w:trPr>
        <w:tc>
          <w:tcPr>
            <w:tcW w:w="2268" w:type="dxa"/>
            <w:vMerge/>
            <w:vAlign w:val="center"/>
            <w:hideMark/>
          </w:tcPr>
          <w:p w14:paraId="2D9409C0"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p>
        </w:tc>
        <w:tc>
          <w:tcPr>
            <w:tcW w:w="4536" w:type="dxa"/>
            <w:shd w:val="clear" w:color="auto" w:fill="auto"/>
            <w:vAlign w:val="center"/>
            <w:hideMark/>
          </w:tcPr>
          <w:p w14:paraId="2346D9BA"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Ministarstvo unutarnjih poslova</w:t>
            </w:r>
          </w:p>
        </w:tc>
        <w:tc>
          <w:tcPr>
            <w:tcW w:w="2268" w:type="dxa"/>
            <w:shd w:val="clear" w:color="auto" w:fill="auto"/>
            <w:hideMark/>
          </w:tcPr>
          <w:p w14:paraId="701B7947"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1940. (rek. 1955.)</w:t>
            </w:r>
          </w:p>
        </w:tc>
      </w:tr>
      <w:tr w:rsidR="00FF1E38" w:rsidRPr="00FF1E38" w14:paraId="172C3499" w14:textId="77777777" w:rsidTr="00DE0C9A">
        <w:trPr>
          <w:cantSplit/>
          <w:trHeight w:val="284"/>
        </w:trPr>
        <w:tc>
          <w:tcPr>
            <w:tcW w:w="2268" w:type="dxa"/>
            <w:vMerge/>
            <w:vAlign w:val="center"/>
            <w:hideMark/>
          </w:tcPr>
          <w:p w14:paraId="07613D27"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p>
        </w:tc>
        <w:tc>
          <w:tcPr>
            <w:tcW w:w="4536" w:type="dxa"/>
            <w:shd w:val="clear" w:color="auto" w:fill="auto"/>
            <w:vAlign w:val="center"/>
            <w:hideMark/>
          </w:tcPr>
          <w:p w14:paraId="3873B279"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Ministarstvo vanjskih i europskih poslova</w:t>
            </w:r>
          </w:p>
        </w:tc>
        <w:tc>
          <w:tcPr>
            <w:tcW w:w="2268" w:type="dxa"/>
            <w:shd w:val="clear" w:color="auto" w:fill="auto"/>
            <w:hideMark/>
          </w:tcPr>
          <w:p w14:paraId="4992935D"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1900.</w:t>
            </w:r>
          </w:p>
        </w:tc>
      </w:tr>
      <w:tr w:rsidR="00FF1E38" w:rsidRPr="00FF1E38" w14:paraId="1644F7E2" w14:textId="77777777" w:rsidTr="00DE0C9A">
        <w:trPr>
          <w:cantSplit/>
          <w:trHeight w:val="284"/>
        </w:trPr>
        <w:tc>
          <w:tcPr>
            <w:tcW w:w="2268" w:type="dxa"/>
            <w:vMerge/>
            <w:vAlign w:val="center"/>
            <w:hideMark/>
          </w:tcPr>
          <w:p w14:paraId="15EA94F2"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p>
        </w:tc>
        <w:tc>
          <w:tcPr>
            <w:tcW w:w="4536" w:type="dxa"/>
            <w:shd w:val="clear" w:color="auto" w:fill="auto"/>
            <w:vAlign w:val="center"/>
            <w:hideMark/>
          </w:tcPr>
          <w:p w14:paraId="6360C6B4"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Ministarstvo poduzetništva i obrta</w:t>
            </w:r>
          </w:p>
        </w:tc>
        <w:tc>
          <w:tcPr>
            <w:tcW w:w="2268" w:type="dxa"/>
            <w:shd w:val="clear" w:color="auto" w:fill="auto"/>
            <w:hideMark/>
          </w:tcPr>
          <w:p w14:paraId="12B3C97A"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1964.</w:t>
            </w:r>
          </w:p>
        </w:tc>
      </w:tr>
      <w:tr w:rsidR="00FF1E38" w:rsidRPr="00FF1E38" w14:paraId="1CBDAC14" w14:textId="77777777" w:rsidTr="00DE0C9A">
        <w:trPr>
          <w:cantSplit/>
          <w:trHeight w:val="284"/>
        </w:trPr>
        <w:tc>
          <w:tcPr>
            <w:tcW w:w="2268" w:type="dxa"/>
            <w:vMerge/>
            <w:vAlign w:val="center"/>
            <w:hideMark/>
          </w:tcPr>
          <w:p w14:paraId="6EE6532B"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p>
        </w:tc>
        <w:tc>
          <w:tcPr>
            <w:tcW w:w="4536" w:type="dxa"/>
            <w:shd w:val="clear" w:color="auto" w:fill="auto"/>
            <w:vAlign w:val="center"/>
            <w:hideMark/>
          </w:tcPr>
          <w:p w14:paraId="1511900F"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Općinski građanski i radni sud u Zagrebu</w:t>
            </w:r>
          </w:p>
        </w:tc>
        <w:tc>
          <w:tcPr>
            <w:tcW w:w="2268" w:type="dxa"/>
            <w:shd w:val="clear" w:color="auto" w:fill="auto"/>
            <w:hideMark/>
          </w:tcPr>
          <w:p w14:paraId="5DD0579B"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1962. -1970.</w:t>
            </w:r>
          </w:p>
        </w:tc>
      </w:tr>
      <w:tr w:rsidR="00FF1E38" w:rsidRPr="00FF1E38" w14:paraId="60A61897" w14:textId="77777777" w:rsidTr="00DE0C9A">
        <w:trPr>
          <w:cantSplit/>
          <w:trHeight w:val="284"/>
        </w:trPr>
        <w:tc>
          <w:tcPr>
            <w:tcW w:w="2268" w:type="dxa"/>
            <w:vMerge/>
            <w:vAlign w:val="center"/>
            <w:hideMark/>
          </w:tcPr>
          <w:p w14:paraId="337F3BC8"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p>
        </w:tc>
        <w:tc>
          <w:tcPr>
            <w:tcW w:w="4536" w:type="dxa"/>
            <w:shd w:val="clear" w:color="auto" w:fill="auto"/>
            <w:vAlign w:val="center"/>
            <w:hideMark/>
          </w:tcPr>
          <w:p w14:paraId="33252A32"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Ministarstvo pomorstva, prometa i infrastrukture</w:t>
            </w:r>
          </w:p>
        </w:tc>
        <w:tc>
          <w:tcPr>
            <w:tcW w:w="2268" w:type="dxa"/>
            <w:shd w:val="clear" w:color="auto" w:fill="auto"/>
            <w:hideMark/>
          </w:tcPr>
          <w:p w14:paraId="33D07F08"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1968.</w:t>
            </w:r>
          </w:p>
        </w:tc>
      </w:tr>
      <w:tr w:rsidR="00FF1E38" w:rsidRPr="00FF1E38" w14:paraId="24732D9D" w14:textId="77777777" w:rsidTr="00DE0C9A">
        <w:trPr>
          <w:cantSplit/>
          <w:trHeight w:val="284"/>
        </w:trPr>
        <w:tc>
          <w:tcPr>
            <w:tcW w:w="2268" w:type="dxa"/>
            <w:vMerge/>
            <w:vAlign w:val="center"/>
            <w:hideMark/>
          </w:tcPr>
          <w:p w14:paraId="5F0A4C05"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p>
        </w:tc>
        <w:tc>
          <w:tcPr>
            <w:tcW w:w="4536" w:type="dxa"/>
            <w:shd w:val="clear" w:color="auto" w:fill="auto"/>
            <w:vAlign w:val="center"/>
            <w:hideMark/>
          </w:tcPr>
          <w:p w14:paraId="29133CA0"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Ministarstvo pomorstva, prometa i infrastrukture</w:t>
            </w:r>
          </w:p>
        </w:tc>
        <w:tc>
          <w:tcPr>
            <w:tcW w:w="2268" w:type="dxa"/>
            <w:shd w:val="clear" w:color="auto" w:fill="auto"/>
            <w:hideMark/>
          </w:tcPr>
          <w:p w14:paraId="620993AD"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1968.</w:t>
            </w:r>
          </w:p>
        </w:tc>
      </w:tr>
      <w:tr w:rsidR="00FF1E38" w:rsidRPr="00FF1E38" w14:paraId="411D9404" w14:textId="77777777" w:rsidTr="00DE0C9A">
        <w:trPr>
          <w:cantSplit/>
          <w:trHeight w:val="284"/>
        </w:trPr>
        <w:tc>
          <w:tcPr>
            <w:tcW w:w="2268" w:type="dxa"/>
            <w:shd w:val="clear" w:color="000000" w:fill="FFC000"/>
            <w:vAlign w:val="center"/>
            <w:hideMark/>
          </w:tcPr>
          <w:p w14:paraId="71A9AABC"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Maksimir</w:t>
            </w:r>
          </w:p>
        </w:tc>
        <w:tc>
          <w:tcPr>
            <w:tcW w:w="4536" w:type="dxa"/>
            <w:shd w:val="clear" w:color="auto" w:fill="auto"/>
            <w:vAlign w:val="center"/>
            <w:hideMark/>
          </w:tcPr>
          <w:p w14:paraId="1507F22C"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Ministarstvo uprave</w:t>
            </w:r>
          </w:p>
        </w:tc>
        <w:tc>
          <w:tcPr>
            <w:tcW w:w="2268" w:type="dxa"/>
            <w:shd w:val="clear" w:color="auto" w:fill="auto"/>
            <w:hideMark/>
          </w:tcPr>
          <w:p w14:paraId="6CE24FD5"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1900.</w:t>
            </w:r>
          </w:p>
        </w:tc>
      </w:tr>
      <w:tr w:rsidR="00FF1E38" w:rsidRPr="00FF1E38" w14:paraId="2972BAB9" w14:textId="77777777" w:rsidTr="00DE0C9A">
        <w:trPr>
          <w:cantSplit/>
          <w:trHeight w:val="284"/>
        </w:trPr>
        <w:tc>
          <w:tcPr>
            <w:tcW w:w="2268" w:type="dxa"/>
            <w:shd w:val="clear" w:color="000000" w:fill="FFC000"/>
            <w:vAlign w:val="center"/>
            <w:hideMark/>
          </w:tcPr>
          <w:p w14:paraId="26C43E30"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Trešnjevka - sjever</w:t>
            </w:r>
          </w:p>
        </w:tc>
        <w:tc>
          <w:tcPr>
            <w:tcW w:w="4536" w:type="dxa"/>
            <w:shd w:val="clear" w:color="auto" w:fill="auto"/>
            <w:vAlign w:val="center"/>
            <w:hideMark/>
          </w:tcPr>
          <w:p w14:paraId="51927E05"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Ravnateljstvo civilne zaštite</w:t>
            </w:r>
          </w:p>
        </w:tc>
        <w:tc>
          <w:tcPr>
            <w:tcW w:w="2268" w:type="dxa"/>
            <w:shd w:val="clear" w:color="auto" w:fill="auto"/>
            <w:hideMark/>
          </w:tcPr>
          <w:p w14:paraId="7BF963B3"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1957.</w:t>
            </w:r>
          </w:p>
        </w:tc>
      </w:tr>
      <w:tr w:rsidR="00FF1E38" w:rsidRPr="00FF1E38" w14:paraId="373B008F" w14:textId="77777777" w:rsidTr="00DE0C9A">
        <w:trPr>
          <w:cantSplit/>
          <w:trHeight w:val="284"/>
        </w:trPr>
        <w:tc>
          <w:tcPr>
            <w:tcW w:w="2268" w:type="dxa"/>
            <w:shd w:val="clear" w:color="000000" w:fill="FFC000"/>
            <w:vAlign w:val="center"/>
            <w:hideMark/>
          </w:tcPr>
          <w:p w14:paraId="317205E1"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Črnomerec</w:t>
            </w:r>
          </w:p>
        </w:tc>
        <w:tc>
          <w:tcPr>
            <w:tcW w:w="4536" w:type="dxa"/>
            <w:shd w:val="clear" w:color="auto" w:fill="auto"/>
            <w:vAlign w:val="center"/>
            <w:hideMark/>
          </w:tcPr>
          <w:p w14:paraId="7E5844D4"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Ministarstvo prostornoga uređenja, graditeljstva i državne imovine</w:t>
            </w:r>
          </w:p>
        </w:tc>
        <w:tc>
          <w:tcPr>
            <w:tcW w:w="2268" w:type="dxa"/>
            <w:shd w:val="clear" w:color="auto" w:fill="auto"/>
            <w:hideMark/>
          </w:tcPr>
          <w:p w14:paraId="1B556CC8"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1889., 1920.</w:t>
            </w:r>
          </w:p>
        </w:tc>
      </w:tr>
    </w:tbl>
    <w:p w14:paraId="6D9147DC" w14:textId="77777777" w:rsidR="00FF1E38" w:rsidRPr="00FF1E38" w:rsidRDefault="00FF1E38" w:rsidP="00FF1E38">
      <w:pPr>
        <w:spacing w:after="0" w:line="240" w:lineRule="auto"/>
        <w:ind w:left="0" w:right="0" w:firstLine="0"/>
        <w:jc w:val="center"/>
        <w:rPr>
          <w:rFonts w:ascii="Times New Roman" w:eastAsia="Calibri" w:hAnsi="Times New Roman" w:cs="Times New Roman"/>
          <w:i/>
          <w:sz w:val="20"/>
          <w:szCs w:val="20"/>
        </w:rPr>
      </w:pPr>
      <w:r w:rsidRPr="00FF1E38">
        <w:rPr>
          <w:rFonts w:ascii="Times New Roman" w:eastAsia="Calibri" w:hAnsi="Times New Roman" w:cs="Times New Roman"/>
          <w:i/>
          <w:sz w:val="20"/>
          <w:szCs w:val="20"/>
        </w:rPr>
        <w:t>Izvor: Procjena rizika od katastrofa za Republiku Hrvatsku</w:t>
      </w:r>
    </w:p>
    <w:p w14:paraId="797EC1EC" w14:textId="77777777" w:rsidR="00FF1E38" w:rsidRPr="00FF1E38" w:rsidRDefault="00FF1E38" w:rsidP="00FF1E38">
      <w:pPr>
        <w:spacing w:after="0" w:line="240" w:lineRule="auto"/>
        <w:ind w:left="0" w:right="0" w:firstLine="0"/>
        <w:rPr>
          <w:rFonts w:ascii="Times New Roman" w:hAnsi="Times New Roman" w:cs="Times New Roman"/>
          <w:sz w:val="24"/>
        </w:rPr>
      </w:pPr>
    </w:p>
    <w:p w14:paraId="0EE2767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Prometna infrastruktura uključuje preko 2200 km cestovnih prometnica, 7 mostova preko rijeke Save, brojne nadvožnjake, podvožnjake, željezničke pruge (za međunarodni, međugradski i prigradski putnički i teretni željeznički promet), željezničke mostove i nadvožnjake, tramvajske pruge (116 km) te zračnu luku Zagreb (u neposrednoj blizini). Na području Grada Zagreba djeluju brojne službe koje obavljaju javnu i komunalnu djelatnost: opskrbu električnom energijom i plinom (250.000 korisnika), toplinskom energijom (98.000 korisnika, 266 km mreže) i pitkom vodom (2.400 km mreže); odvodnju (1.600 km mreže) i pročišćavanje otpadnih voda; održavanje čistoće; odlaganje komunalnog otpada i gospodarenje otpadom; pogrebne usluge (28 groblja i krematorija); telekomunikacijske usluge (fiksna i mobilna telefonija, internet); upravljanje tržnicama (25); upravljanje hidrotehničkim objektima (akumulacije, brane, retencije) itd.</w:t>
      </w:r>
    </w:p>
    <w:p w14:paraId="20E6A2B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Kada je o naseljenosti riječ, stariji dio grada (od potoka Črnomerec na zapadu do Kvaternikova trga na istoku, pravac Ilica - Vlaška na sjeveru i željezničke pruge na jugu) pored visoke izgrađenosti karakterizira i prenaseljenost. Naseljenost tog područja iznosi 264 stanovnika po hektaru, s time da neki stambeni blokovi imaju i do tisuću stanovnika po hektaru. S obzirom na to da urbanistički standardi predviđaju maksimalnu naseljenost prostora s 200 stanovnika po hektaru, može se zaključiti da je ovaj dio grada prenapučen i da je s osnove moguće ugroženosti temeljna briga u spašavanju i evakuaciji velikog broja ljudi u slučaju potresa. Drugi dio grada koji karakterizira nova gradnja (Novi Zagreb, Susedgrad, dijelovi područja Trešnjevke, Trnja, Maksimira, Peščenice i Dubrave), naseljen je s otprilike 600 000 stanovnika. Kako se radi o mješovitoj izgrađenosti na tom području, promjenjiva je i gustoća naseljenosti, odnosno na području gdje se radi o individualnoj izgradnji naseljeno je oko 20 stanovnika po ha, dok je na područjima gdje se grade stambena naselja (višekatnice) naseljeno oko 150 stanovnika po ha.</w:t>
      </w:r>
    </w:p>
    <w:p w14:paraId="4AFC51BE" w14:textId="11B4ADBD" w:rsidR="00FF1E38" w:rsidRDefault="00FF1E38" w:rsidP="00FF1E38">
      <w:pPr>
        <w:spacing w:after="0" w:line="240" w:lineRule="auto"/>
        <w:ind w:right="0"/>
        <w:rPr>
          <w:rFonts w:ascii="Times New Roman" w:hAnsi="Times New Roman" w:cs="Times New Roman"/>
          <w:sz w:val="24"/>
        </w:rPr>
      </w:pPr>
    </w:p>
    <w:p w14:paraId="5B79DA0A" w14:textId="6CAE9C2E" w:rsidR="00854F50" w:rsidRDefault="00854F50" w:rsidP="00FF1E38">
      <w:pPr>
        <w:spacing w:after="0" w:line="240" w:lineRule="auto"/>
        <w:ind w:right="0"/>
        <w:rPr>
          <w:rFonts w:ascii="Times New Roman" w:hAnsi="Times New Roman" w:cs="Times New Roman"/>
          <w:sz w:val="24"/>
        </w:rPr>
      </w:pPr>
    </w:p>
    <w:p w14:paraId="01AA75CB" w14:textId="0375A193" w:rsidR="00854F50" w:rsidRDefault="00854F50" w:rsidP="00FF1E38">
      <w:pPr>
        <w:spacing w:after="0" w:line="240" w:lineRule="auto"/>
        <w:ind w:right="0"/>
        <w:rPr>
          <w:rFonts w:ascii="Times New Roman" w:hAnsi="Times New Roman" w:cs="Times New Roman"/>
          <w:sz w:val="24"/>
        </w:rPr>
      </w:pPr>
    </w:p>
    <w:p w14:paraId="4CD8C003" w14:textId="77777777" w:rsidR="00FF1E38" w:rsidRP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sz w:val="24"/>
          <w:u w:val="single"/>
        </w:rPr>
        <w:lastRenderedPageBreak/>
        <w:t>Znanstveni kontekst</w:t>
      </w:r>
    </w:p>
    <w:p w14:paraId="324B12B3" w14:textId="77777777" w:rsidR="00FF1E38" w:rsidRPr="00FF1E38" w:rsidRDefault="00FF1E38" w:rsidP="00FF1E38">
      <w:pPr>
        <w:spacing w:after="0" w:line="240" w:lineRule="auto"/>
        <w:ind w:left="0" w:right="0" w:firstLine="709"/>
        <w:rPr>
          <w:rFonts w:ascii="Times New Roman" w:hAnsi="Times New Roman" w:cs="Times New Roman"/>
          <w:color w:val="auto"/>
          <w:sz w:val="24"/>
        </w:rPr>
      </w:pPr>
      <w:r w:rsidRPr="00FF1E38">
        <w:rPr>
          <w:rFonts w:ascii="Times New Roman" w:hAnsi="Times New Roman" w:cs="Times New Roman"/>
          <w:sz w:val="24"/>
        </w:rPr>
        <w:t xml:space="preserve">Potresi se u klasifikaciji prirodnih katastrofa s obzirom na ljudske i materijalne gubitke nalaze pri samom vrhu. Prema karti potresnih područja Republike Hrvatske za povratno razdoblje od 475 godina, područje Grada Zagreba nalazi se u zoni izražene seizmičke aktivnosti, a seizmičnost na području Grada </w:t>
      </w:r>
      <w:r w:rsidRPr="00FF1E38">
        <w:rPr>
          <w:rFonts w:ascii="Times New Roman" w:hAnsi="Times New Roman" w:cs="Times New Roman"/>
          <w:color w:val="auto"/>
          <w:sz w:val="24"/>
        </w:rPr>
        <w:t>Zagreba iznosi prema staroj razredbi potresa prema intenzitetima od VIII do IX stupnjeva Mercalli-Cancani-Siebergove (MCS) ljestvice.</w:t>
      </w:r>
    </w:p>
    <w:p w14:paraId="05192E2E" w14:textId="2FA1D56B" w:rsidR="00FF1E38" w:rsidRPr="00970914" w:rsidRDefault="00FF1E38" w:rsidP="00FF1E38">
      <w:pPr>
        <w:spacing w:after="0" w:line="240" w:lineRule="auto"/>
        <w:ind w:left="0" w:right="0" w:firstLine="709"/>
        <w:rPr>
          <w:rFonts w:ascii="Times New Roman" w:hAnsi="Times New Roman" w:cs="Times New Roman"/>
          <w:color w:val="auto"/>
          <w:sz w:val="24"/>
        </w:rPr>
      </w:pPr>
      <w:r w:rsidRPr="00FF1E38">
        <w:rPr>
          <w:rFonts w:ascii="Times New Roman" w:hAnsi="Times New Roman" w:cs="Times New Roman"/>
          <w:sz w:val="24"/>
        </w:rPr>
        <w:t xml:space="preserve">Potresno djelovanje ne djeluje izravno na konstrukciju u obliku sila kao neko drugo opterećenje, već neizravno, gibanjem tla. Lokalni uvjeti tla mogu bitno pojačati gibanje tla u usporedbi s onim na osnovnoj stijeni. Za građevine je najnepovoljnije kada se njihove osnovne frekvencije poklapaju s dominantnim frekventnim opsezima u vremenskom toku ubrzanja tla. Uzme li se u obzir da se naseljeno područje Grada Zagreba nalazi najvećim dijelom na temeljnim tlima tipa B (nanosi vrlo gustog pijeska, šljunka ili vrlo krute gline debljine najmanje nekoliko desetaka metara) i C (duboki nanosi gustog ili srednje gustog pijeska, šljunka ili krute gline debljine od nekoliko desetaka metara do više stotina metara) a neznatnim dijelom na tlu tipa A (stijena ili druga geološka formacija poput stijene), mogu se odrediti proračunska (projektna) ubrzanja temeljnoga tla za pojedine gradske četvrti. Pri tome - ako se pojedina gradska četvrt nalazi unutar dvaju područja s različitim ubrzanjima, srednja vrijednost određena je proračunom pripadajućih površina četvrti u pojedinom području. To je načinjeno za gradske četvrti Brezovica, Donji grad, Novi Zagreb - istok, Peščenica - Žitnjak, Sesvete, Stenjevec i </w:t>
      </w:r>
      <w:r w:rsidRPr="00970914">
        <w:rPr>
          <w:rFonts w:ascii="Times New Roman" w:hAnsi="Times New Roman" w:cs="Times New Roman"/>
          <w:color w:val="auto"/>
          <w:sz w:val="24"/>
        </w:rPr>
        <w:t xml:space="preserve">Trešnjevka - sjever. Pripadajuća proračunska ubrzanja prikazana su u Tablici </w:t>
      </w:r>
      <w:r w:rsidR="00970914" w:rsidRPr="00970914">
        <w:rPr>
          <w:rFonts w:ascii="Times New Roman" w:hAnsi="Times New Roman" w:cs="Times New Roman"/>
          <w:color w:val="auto"/>
          <w:sz w:val="24"/>
        </w:rPr>
        <w:t>40</w:t>
      </w:r>
      <w:r w:rsidRPr="00970914">
        <w:rPr>
          <w:rFonts w:ascii="Times New Roman" w:hAnsi="Times New Roman" w:cs="Times New Roman"/>
          <w:color w:val="auto"/>
          <w:sz w:val="24"/>
        </w:rPr>
        <w:t>.</w:t>
      </w:r>
    </w:p>
    <w:p w14:paraId="320D4353"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Temeljem navedenih podataka može se zaključiti da je najugroženija gradska četvrt Podsljeme (ag,BC = 0,336g) a najmanje ugrožena gradska četvrt Brezovica (ag,BC = 0,256g). Uz isključenje dviju gradskih četvrti (Podsljeme i Brezovica) za cijelo gradsko područje približno vrijedi izraz ag = (0,300 ± 0,02) g pa se može zaključiti da između petnaest gradskih četvrti nema bitne razlike u opasnosti od potresa.</w:t>
      </w:r>
    </w:p>
    <w:p w14:paraId="41DC8BD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Razlikuju se tri područja različite ugroženosti. Područje najveće ugroženosti je Gradska četvrt Podsljeme s najvećim ubrzanjem temeljnoga tla od ag = 0,336g uz nepovoljne okolnosti kao što su:</w:t>
      </w:r>
    </w:p>
    <w:p w14:paraId="44EE666A"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postojanje vrlo starih zgrada izgrađenih bez uzimanja u obzir djelovanja potresa,</w:t>
      </w:r>
    </w:p>
    <w:p w14:paraId="08DBD524"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postojanje većeg broja novoizgrađenih zgrada kod izgradnje kojih se djelovanje potresa uzelo u obzir u projektu, ali se pri izvedbi odstupilo od projektiranih parametara (tzv. urbane vile građene za prodaju na tržištu s ciljem brze zarade investitora, tzv. "divlji urbanizam"),</w:t>
      </w:r>
    </w:p>
    <w:p w14:paraId="748C7761"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postojanje evidentiranih i mogućih klizišta na strmim građevnim parcelama i povećana ugroženost potresom na strmom terenu.</w:t>
      </w:r>
    </w:p>
    <w:p w14:paraId="4BCCB20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Područje najmanje ugroženosti je Gradska četvrt Brezovica s najvećim ubrzanjem temeljnoga tla ag = 0,256g, tj. najmanjim za područje Grada Zagreba uz povoljne okolnosti kao što su:</w:t>
      </w:r>
    </w:p>
    <w:p w14:paraId="06D5D49E"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 xml:space="preserve">izgradnja suvremenih zidanih obiteljskih kuća visine 1 - 3 etaže, </w:t>
      </w:r>
    </w:p>
    <w:p w14:paraId="544A555D"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rPr>
        <w:t>- veća udaljenost od mogućeg epicentralnog područja,</w:t>
      </w:r>
    </w:p>
    <w:p w14:paraId="42B9B1D1"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nizinski karakter područja.</w:t>
      </w:r>
    </w:p>
    <w:p w14:paraId="68E78161" w14:textId="7F8DA50A" w:rsidR="00FF1E38" w:rsidRDefault="00FF1E38" w:rsidP="00FF1E38">
      <w:pPr>
        <w:spacing w:after="0" w:line="240" w:lineRule="auto"/>
        <w:ind w:left="879" w:right="0" w:hanging="170"/>
        <w:rPr>
          <w:rFonts w:ascii="Times New Roman" w:hAnsi="Times New Roman" w:cs="Times New Roman"/>
          <w:b/>
          <w:sz w:val="24"/>
        </w:rPr>
      </w:pPr>
    </w:p>
    <w:p w14:paraId="78015D33" w14:textId="6761755F" w:rsidR="00854F50" w:rsidRDefault="00854F50" w:rsidP="00FF1E38">
      <w:pPr>
        <w:spacing w:after="0" w:line="240" w:lineRule="auto"/>
        <w:ind w:left="879" w:right="0" w:hanging="170"/>
        <w:rPr>
          <w:rFonts w:ascii="Times New Roman" w:hAnsi="Times New Roman" w:cs="Times New Roman"/>
          <w:b/>
          <w:sz w:val="24"/>
        </w:rPr>
      </w:pPr>
    </w:p>
    <w:p w14:paraId="20E0A37E" w14:textId="64ECD46A" w:rsidR="00854F50" w:rsidRDefault="00854F50" w:rsidP="00FF1E38">
      <w:pPr>
        <w:spacing w:after="0" w:line="240" w:lineRule="auto"/>
        <w:ind w:left="879" w:right="0" w:hanging="170"/>
        <w:rPr>
          <w:rFonts w:ascii="Times New Roman" w:hAnsi="Times New Roman" w:cs="Times New Roman"/>
          <w:b/>
          <w:sz w:val="24"/>
        </w:rPr>
      </w:pPr>
    </w:p>
    <w:p w14:paraId="6C9DD6D3" w14:textId="7E474134" w:rsidR="00854F50" w:rsidRDefault="00854F50" w:rsidP="00FF1E38">
      <w:pPr>
        <w:spacing w:after="0" w:line="240" w:lineRule="auto"/>
        <w:ind w:left="879" w:right="0" w:hanging="170"/>
        <w:rPr>
          <w:rFonts w:ascii="Times New Roman" w:hAnsi="Times New Roman" w:cs="Times New Roman"/>
          <w:b/>
          <w:sz w:val="24"/>
        </w:rPr>
      </w:pPr>
    </w:p>
    <w:p w14:paraId="0E9D5F1B" w14:textId="465641FC" w:rsidR="00854F50" w:rsidRDefault="00854F50" w:rsidP="00FF1E38">
      <w:pPr>
        <w:spacing w:after="0" w:line="240" w:lineRule="auto"/>
        <w:ind w:left="879" w:right="0" w:hanging="170"/>
        <w:rPr>
          <w:rFonts w:ascii="Times New Roman" w:hAnsi="Times New Roman" w:cs="Times New Roman"/>
          <w:b/>
          <w:sz w:val="24"/>
        </w:rPr>
      </w:pPr>
    </w:p>
    <w:p w14:paraId="762E3CB5" w14:textId="66DBD5A0" w:rsidR="00854F50" w:rsidRDefault="00854F50" w:rsidP="00FF1E38">
      <w:pPr>
        <w:spacing w:after="0" w:line="240" w:lineRule="auto"/>
        <w:ind w:left="879" w:right="0" w:hanging="170"/>
        <w:rPr>
          <w:rFonts w:ascii="Times New Roman" w:hAnsi="Times New Roman" w:cs="Times New Roman"/>
          <w:b/>
          <w:sz w:val="24"/>
        </w:rPr>
      </w:pPr>
    </w:p>
    <w:p w14:paraId="1A9F4E4B" w14:textId="6C8B4DB0" w:rsidR="00854F50" w:rsidRDefault="00854F50" w:rsidP="00FF1E38">
      <w:pPr>
        <w:spacing w:after="0" w:line="240" w:lineRule="auto"/>
        <w:ind w:left="879" w:right="0" w:hanging="170"/>
        <w:rPr>
          <w:rFonts w:ascii="Times New Roman" w:hAnsi="Times New Roman" w:cs="Times New Roman"/>
          <w:b/>
          <w:sz w:val="24"/>
        </w:rPr>
      </w:pPr>
    </w:p>
    <w:p w14:paraId="37304CDA" w14:textId="53012109" w:rsidR="00854F50" w:rsidRDefault="00854F50" w:rsidP="00FF1E38">
      <w:pPr>
        <w:spacing w:after="0" w:line="240" w:lineRule="auto"/>
        <w:ind w:left="879" w:right="0" w:hanging="170"/>
        <w:rPr>
          <w:rFonts w:ascii="Times New Roman" w:hAnsi="Times New Roman" w:cs="Times New Roman"/>
          <w:b/>
          <w:sz w:val="24"/>
        </w:rPr>
      </w:pPr>
    </w:p>
    <w:p w14:paraId="6D5D27F0" w14:textId="29D221F1" w:rsidR="00854F50" w:rsidRDefault="00854F50" w:rsidP="00FF1E38">
      <w:pPr>
        <w:spacing w:after="0" w:line="240" w:lineRule="auto"/>
        <w:ind w:left="879" w:right="0" w:hanging="170"/>
        <w:rPr>
          <w:rFonts w:ascii="Times New Roman" w:hAnsi="Times New Roman" w:cs="Times New Roman"/>
          <w:b/>
          <w:sz w:val="24"/>
        </w:rPr>
      </w:pPr>
    </w:p>
    <w:p w14:paraId="145B5A01" w14:textId="1EB57A96" w:rsidR="00FF1E38" w:rsidRPr="00FF1E38" w:rsidRDefault="00FF1E38" w:rsidP="00FF1E38">
      <w:pPr>
        <w:spacing w:after="0" w:line="240" w:lineRule="auto"/>
        <w:ind w:left="879" w:right="0" w:hanging="170"/>
        <w:rPr>
          <w:rFonts w:ascii="Times New Roman" w:hAnsi="Times New Roman" w:cs="Times New Roman"/>
          <w:sz w:val="24"/>
        </w:rPr>
      </w:pPr>
      <w:r w:rsidRPr="00D34B92">
        <w:rPr>
          <w:rFonts w:ascii="Times New Roman" w:hAnsi="Times New Roman" w:cs="Times New Roman"/>
          <w:b/>
          <w:color w:val="auto"/>
          <w:sz w:val="24"/>
        </w:rPr>
        <w:lastRenderedPageBreak/>
        <w:t xml:space="preserve">Tablica </w:t>
      </w:r>
      <w:r w:rsidR="00D34B92" w:rsidRPr="00D34B92">
        <w:rPr>
          <w:rFonts w:ascii="Times New Roman" w:hAnsi="Times New Roman" w:cs="Times New Roman"/>
          <w:b/>
          <w:color w:val="auto"/>
          <w:sz w:val="24"/>
        </w:rPr>
        <w:t>40</w:t>
      </w:r>
      <w:r w:rsidRPr="00D34B92">
        <w:rPr>
          <w:rFonts w:ascii="Times New Roman" w:hAnsi="Times New Roman" w:cs="Times New Roman"/>
          <w:b/>
          <w:color w:val="auto"/>
          <w:sz w:val="24"/>
        </w:rPr>
        <w:t xml:space="preserve">. Gradske četvrti Grada Zagreba, površine, broj stanovnika i </w:t>
      </w:r>
      <w:r w:rsidRPr="00FF1E38">
        <w:rPr>
          <w:rFonts w:ascii="Times New Roman" w:hAnsi="Times New Roman" w:cs="Times New Roman"/>
          <w:b/>
          <w:sz w:val="24"/>
        </w:rPr>
        <w:t>pripadajuća proračunska ubrzanja temeljnoga tla za tla tipa B i C</w:t>
      </w:r>
    </w:p>
    <w:p w14:paraId="0F98A432" w14:textId="77777777" w:rsidR="00FF1E38" w:rsidRPr="00FF1E38" w:rsidRDefault="00FF1E38" w:rsidP="00FF1E38">
      <w:pPr>
        <w:spacing w:after="0" w:line="240" w:lineRule="auto"/>
        <w:ind w:left="0" w:right="0" w:firstLine="0"/>
        <w:jc w:val="center"/>
        <w:rPr>
          <w:rFonts w:ascii="Times New Roman" w:hAnsi="Times New Roman" w:cs="Times New Roman"/>
          <w:b/>
          <w:sz w:val="24"/>
        </w:rPr>
      </w:pPr>
      <w:r w:rsidRPr="00FF1E38">
        <w:rPr>
          <w:rFonts w:ascii="Times New Roman" w:hAnsi="Times New Roman" w:cs="Times New Roman"/>
          <w:noProof/>
          <w:sz w:val="24"/>
        </w:rPr>
        <w:drawing>
          <wp:inline distT="0" distB="0" distL="0" distR="0" wp14:anchorId="2410F173" wp14:editId="6A028DAB">
            <wp:extent cx="3933190" cy="3448050"/>
            <wp:effectExtent l="0" t="0" r="0" b="0"/>
            <wp:docPr id="30496" name="Picture 30496"/>
            <wp:cNvGraphicFramePr/>
            <a:graphic xmlns:a="http://schemas.openxmlformats.org/drawingml/2006/main">
              <a:graphicData uri="http://schemas.openxmlformats.org/drawingml/2006/picture">
                <pic:pic xmlns:pic="http://schemas.openxmlformats.org/drawingml/2006/picture">
                  <pic:nvPicPr>
                    <pic:cNvPr id="30496" name="Picture 30496"/>
                    <pic:cNvPicPr/>
                  </pic:nvPicPr>
                  <pic:blipFill>
                    <a:blip r:embed="rId52"/>
                    <a:stretch>
                      <a:fillRect/>
                    </a:stretch>
                  </pic:blipFill>
                  <pic:spPr>
                    <a:xfrm>
                      <a:off x="0" y="0"/>
                      <a:ext cx="3933190" cy="3448050"/>
                    </a:xfrm>
                    <a:prstGeom prst="rect">
                      <a:avLst/>
                    </a:prstGeom>
                  </pic:spPr>
                </pic:pic>
              </a:graphicData>
            </a:graphic>
          </wp:inline>
        </w:drawing>
      </w:r>
    </w:p>
    <w:p w14:paraId="6DDFBEBE" w14:textId="77777777" w:rsidR="00FF1E38" w:rsidRPr="00FF1E38" w:rsidRDefault="00FF1E38" w:rsidP="00FF1E38">
      <w:pPr>
        <w:spacing w:after="0" w:line="240" w:lineRule="auto"/>
        <w:ind w:left="0" w:right="0" w:firstLine="0"/>
        <w:jc w:val="center"/>
        <w:rPr>
          <w:rFonts w:ascii="Times New Roman" w:eastAsia="Calibri" w:hAnsi="Times New Roman" w:cs="Times New Roman"/>
          <w:i/>
          <w:sz w:val="20"/>
        </w:rPr>
      </w:pPr>
      <w:r w:rsidRPr="00FF1E38">
        <w:rPr>
          <w:rFonts w:ascii="Times New Roman" w:eastAsia="Calibri" w:hAnsi="Times New Roman" w:cs="Times New Roman"/>
          <w:i/>
          <w:sz w:val="20"/>
        </w:rPr>
        <w:t>Izvor podataka: Seizmičko i geološko mikrozoniranje prema Eurokodu 8 za zapadni dio podsljemenske urbanizirane zone, knjiga 1: Seizmološka istraživanja i rezultati studije, Sveučilište u Zagrebu, PMF, Geofizički odsjek, Zagreb, ožujak 2013.</w:t>
      </w:r>
    </w:p>
    <w:p w14:paraId="3BA58226"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Područje ostalih petnaest gradskih četvrti s ubrzanjima u relativno uskom rasponu ubrzanja od ag = 0,276g do ag = 0,312g uz nepovoljne okolnosti kao što su:</w:t>
      </w:r>
    </w:p>
    <w:p w14:paraId="577EC0D9" w14:textId="0463990A"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najveći dio stambenih zgrada izgrađen je u razdobljima kad učinci potresa na građevine uopće nisu uzimani u obzir ili u razdobljima kada su uzimani u obzir (nakon 1964. godine) ali na razini koja je višestruko (do tri puta) manja od one propisane danas važećim tehničkim propisima i normama</w:t>
      </w:r>
    </w:p>
    <w:p w14:paraId="34B924E4" w14:textId="7BF2C170"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dio zgrada u središnjem gradskom prostoru nakon izgradnje adaptiran je uklanjanjem "nepotrebnih" nosivih elemenata u razini ulične etaže radi stvaranja trgovačkog prostora čime su zgrade pretvorene u građevine izrazito nepovoljnoga tipa s "mekim prizemljem" (engl. soft first story)</w:t>
      </w:r>
    </w:p>
    <w:p w14:paraId="3DC9136C" w14:textId="2AF3D75B"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suvremene građevine, proračunate (projektirane) sukladno proračunskim kriterijima propisa i normi koje su bile na snazi u vrijeme projektiranja, izvedene su uz manjkavo stručno znanje projektanata i uvjerenje da se računalnim programom sve može dokazati</w:t>
      </w:r>
    </w:p>
    <w:p w14:paraId="65FAF2D8"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pojavom "divljeg kapitalizma" nakon 1991. na tržištu nekretnina djelovala su trgovačka društva koja su zgrade gradila radi ostvarenja što većeg profita s nedovoljno stručnom radnom snagom i uz nedopuštenu štednju materijala.</w:t>
      </w:r>
    </w:p>
    <w:p w14:paraId="674335C9" w14:textId="1E7E69DB"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Seizmički rizik može </w:t>
      </w:r>
      <w:r w:rsidR="0003700B">
        <w:rPr>
          <w:rFonts w:ascii="Times New Roman" w:hAnsi="Times New Roman" w:cs="Times New Roman"/>
          <w:sz w:val="24"/>
        </w:rPr>
        <w:t xml:space="preserve">se </w:t>
      </w:r>
      <w:r w:rsidRPr="00FF1E38">
        <w:rPr>
          <w:rFonts w:ascii="Times New Roman" w:hAnsi="Times New Roman" w:cs="Times New Roman"/>
          <w:sz w:val="24"/>
        </w:rPr>
        <w:t>kvantitativno izraziti u obliku konvolucije četiri individualna faktora: seizmičkog hazarda, izloženosti, ranjivosti i specifičnog troška</w:t>
      </w:r>
      <w:r w:rsidRPr="00FF1E38">
        <w:rPr>
          <w:rFonts w:ascii="Times New Roman" w:hAnsi="Times New Roman" w:cs="Times New Roman"/>
          <w:sz w:val="24"/>
          <w:vertAlign w:val="superscript"/>
        </w:rPr>
        <w:footnoteReference w:id="16"/>
      </w:r>
      <w:r w:rsidRPr="00FF1E38">
        <w:rPr>
          <w:rFonts w:ascii="Times New Roman" w:hAnsi="Times New Roman" w:cs="Times New Roman"/>
          <w:sz w:val="24"/>
        </w:rPr>
        <w:t xml:space="preserve">. Za područje Grada Zagreba trenutno nisu dostupni dovoljno pouzdani ulazni podaci u obliku opsežnih baza podataka o karakterističnim tipovima građevina, njihovoj rasprostranjenosti i očekivanoj ranjivosti, potrebni za sustavnu procjenu seizmičkog rizika temeljenu na suvremenim postupcima. Međutim, u posljednje vrijeme učinjeni su prvi koraci, 11.05.2020. potpisan je </w:t>
      </w:r>
      <w:r w:rsidRPr="00FF1E38">
        <w:rPr>
          <w:rFonts w:ascii="Times New Roman" w:hAnsi="Times New Roman" w:cs="Times New Roman"/>
          <w:sz w:val="24"/>
        </w:rPr>
        <w:lastRenderedPageBreak/>
        <w:t>ugovor o dodjeli bespovratnih sredstava za projekt „Multisenzorsko zračno snimanje Republike Hrvatske za potrebe procjene smanjenja rizika od katastrofa“. Nositelj projekta je Državna geodetska uprava, dok uz Grad Zagreb kao partner na Projektu sudjeluje i Geodetski fakultet Sveučilišta u Zagrebu, a Hrvatske vode su sufinancijer projekta.</w:t>
      </w:r>
    </w:p>
    <w:p w14:paraId="187360C0"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Projekt se sastoji od dva dijela:</w:t>
      </w:r>
    </w:p>
    <w:p w14:paraId="1D535B7A"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a)   Multisenzorsko zračno snimanje Republike Hrvatske i</w:t>
      </w:r>
    </w:p>
    <w:p w14:paraId="21E913DD" w14:textId="1E0BEC8A"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b)   Potresni rizik Grada Zagreba</w:t>
      </w:r>
    </w:p>
    <w:p w14:paraId="05ABD623"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pri čemu će se drugi dio oslanjati na podatke i podloge prikupljene u prvom dijelu.</w:t>
      </w:r>
    </w:p>
    <w:p w14:paraId="2C42AFD1"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Ovaj Projekt će suradnjom s partnerima, što je moguće točnije, utvrditi potresni rizik radi sagledavanja potencijalne opasnosti (ugroze) za građevine i ljudske živote. Rizik za građevine iskazati će se u skupinama po namjeni i važnosti, npr. za stambene, poslovne i javne građevine, za kulturnu baštinu i infrastrukturu, a za ljude s obzirom na rizik gubitka života, ranjavanja i stambenog zbrinjavanja. Isto tako, osigurati će podatke za pripremu učinkovitog odgovora u hitnoj situaciji neposredno nakon potresa vezanog za stanovništvo, građevine, infrastrukturu i drugu imovinu, te omogućiti pripremu mjera za brzi oporavak potresom pogođene zajednice i donošenje primjerenih gospodarskih, društvenih i političkih odluka.</w:t>
      </w:r>
    </w:p>
    <w:p w14:paraId="155FBA1F"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​Najveći ugovaratelji na provedbi projekta su Sveučilište u Zagrebu - Građevinski fakultet i Centar građevinskog fakulteta d.o.o. (kao zajednica gospodarskih subjekata) , GDI d.o.o. te Sveučilište Josipa Juraja Strossmayera u Osijeku, Građevinski i Arhitektonski fakultet Osijek.</w:t>
      </w:r>
    </w:p>
    <w:p w14:paraId="1473FEE5"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Grad Zagreb kroz nekoliko faza koordinira izradu studije povezane s posljedicama potresa (trenutno je izrađeno 9 faza studije), dok je u suradnji s Akademijom tehničkih znanosti Hrvatske pripremio projektni prijedlog koji se odnosi na potresni rizik Grada Zagreba. Znanstveni projekt je nakon potpisivanja ugovora o dodjeli bespovratnih sredstava na temelju projektnog prijedloga pokrenut krajem 2021. godine, a rezultati će između ostaloga predstavljati značajan doprinos sustavnoj izradi baze podataka o karakteristikama fonda postojećih građevina. </w:t>
      </w:r>
    </w:p>
    <w:p w14:paraId="4106638B"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Projektom je predviđeno definirati potresnu opasnost (hazard), popisati vrste građevina (napraviti bazu) s obzirom na osnovne značajke (funkciju, nastanjenost, ulogu nakon potresa i slično), provesti procjenu oštetljivosti (prema dostupnim podacima) i u konačnici utvrditi rizik za stanovnike i imovinu. Glavni je cilj projekta doći do novih spoznaja koje će poslužiti službama Grada Zagreba da odluče o mjerama koje treba poduzeti kako bi se ljudske žrtve i gospodarski gubici nakon velike prirodne katastrofe svele na najmanju moguću mjeru. Projektom se planiralo povezati nove znanstvene i stručne spoznaje sa organizacijama i službama Grada Zagreba, uključujući preporuke od UN </w:t>
      </w:r>
      <w:r w:rsidRPr="00FF1E38">
        <w:rPr>
          <w:rFonts w:ascii="Times New Roman" w:hAnsi="Times New Roman" w:cs="Times New Roman"/>
          <w:i/>
          <w:sz w:val="24"/>
        </w:rPr>
        <w:t>Office for Disaster Risk Reduction</w:t>
      </w:r>
      <w:r w:rsidRPr="00FF1E38">
        <w:rPr>
          <w:rFonts w:ascii="Times New Roman" w:hAnsi="Times New Roman" w:cs="Times New Roman"/>
          <w:sz w:val="24"/>
        </w:rPr>
        <w:t xml:space="preserve">, široko zahvaćajući aktivnosti društva. </w:t>
      </w:r>
    </w:p>
    <w:p w14:paraId="2D25A8DC"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Temeljem aktivnosti povezanih s energetskom obnovom i certificiranjem zgrada, očekuje se postupno proširenje raspoloživih baza podataka o svojstvima građevina. U nedostatku sustavnih rezultata pregleda stanja građevina i detaljnih analiza rizika za cijelo područje interesa, načelna ocjena razine seizmičke otpornosti može se dati za pojedine tipske građevine temeljem inženjerske prosudbe iskusnih stručnjaka ili uz pomoć numeričkih proračuna. U tom slučaju za uspostavljanje nelinearnih numeričkih modela i postizanje pouzdanih rezultata također je potrebna iscrpna dokumentacija o promatranim objektima, uključujući rezultate eksperimentalnih istražnih radova. S obzirom na generalna ograničenja raspoloživih ulaznih parametara, očekivani gubici za odabrani scenarij se temelje na načelnim procjenama stručnjaka u skladu s dostupnim podacima. Povoljno je što su jedino u Gradu Zagrebu učinjeni prvi koraci prema sustavnoj izradi baze podataka, a temeljem novih dostupnih podataka u budućnosti procjenu je moguće proširiti i detaljnije razraditi. </w:t>
      </w:r>
    </w:p>
    <w:p w14:paraId="18CBBFD7"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Potrebno je naglasiti da je hazard, uz izloženost, ranjivost i specifični trošak, samo jedna komponenta seizmičkog rizika. Grad Zagreb nalazi se u pojasu omeđenom s više seizmički </w:t>
      </w:r>
      <w:r w:rsidRPr="00FF1E38">
        <w:rPr>
          <w:rFonts w:ascii="Times New Roman" w:hAnsi="Times New Roman" w:cs="Times New Roman"/>
          <w:sz w:val="24"/>
        </w:rPr>
        <w:lastRenderedPageBreak/>
        <w:t>aktivnih epicentralnih područja, a najznačajnije je područje Medvednice. Ono po svojoj dosadašnjoj aktivnosti te u pogledu prostornog rasporeda epicentra potresa skreće pozornost na činjenicu da je sjeverni, a pogotovo sjeveroistočni dio Zagreba, područje Markuševca, Remeta i Dubrave, seizmički jače aktivan u odnosu na zapadni i južni dio grada. Granični rasjedi zone na površini pružaju se između Podsuseda, Markuševca i Kašine te Kerestinca, Ilice, Maksimira i Lužana. Paralelno zoni u dolini Save postoje još dva rasjeda na potezu Stupnik - Novi Zagreb - Dubrava - Sesvete. Oni su u dubini od 8 km spajaju s glavnom zonom te ih se svrstava u širu zonu Zagrebačkog rasjeda</w:t>
      </w:r>
      <w:r w:rsidRPr="00FF1E38">
        <w:rPr>
          <w:rFonts w:ascii="Times New Roman" w:hAnsi="Times New Roman" w:cs="Times New Roman"/>
          <w:sz w:val="24"/>
          <w:vertAlign w:val="superscript"/>
        </w:rPr>
        <w:footnoteReference w:id="17"/>
      </w:r>
      <w:r w:rsidRPr="00FF1E38">
        <w:rPr>
          <w:rFonts w:ascii="Times New Roman" w:hAnsi="Times New Roman" w:cs="Times New Roman"/>
          <w:sz w:val="24"/>
        </w:rPr>
        <w:t>. U slučaju potresa, seizmički se val rasprostire od žarišta prema površini kroz slojeve tla i na kraju djeluje na građevine. Učinak potresa na zgrade značajno ovisi o svojstvima zgrade i o podlozi na kojoj je zgrada sagrađena. Utjecaj podloge je dvojak: podloga mijenja amplitude oscilacija i utječe na frekvencijski odziv sustava tlo - zgrada. Svojstva vala potresa značajnije se ne mijenjaju kad se val rasprostire stijenom, ali kod slojevitog tla mijenja se i akceleracija i vrijeme titranja.</w:t>
      </w:r>
    </w:p>
    <w:p w14:paraId="5B8B4C4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Ranijim procjenama ustanovljeno je da jačina potresa u sjevernom i sjeveroistočnom dijelu grada Zagreba može iznositi od VII do IX stupnjeva, a u zapadnom i južnom dijelu od VII do VIII stupnjeva prema ljestvici Mercalli-Cancani-Sieberg (MCS). Za cijeli teritorij Republike Hrvatske, pa tako i za Grad Zagreb, seizmički hazard je, u skladu s uvjetima koje zadaju Europski propisi za projektiranje u seizmički aktivnim područjima</w:t>
      </w:r>
      <w:r w:rsidRPr="00FF1E38">
        <w:rPr>
          <w:rFonts w:ascii="Times New Roman" w:hAnsi="Times New Roman" w:cs="Times New Roman"/>
          <w:sz w:val="24"/>
          <w:vertAlign w:val="superscript"/>
        </w:rPr>
        <w:footnoteReference w:id="18"/>
      </w:r>
      <w:r w:rsidRPr="00FF1E38">
        <w:rPr>
          <w:rFonts w:ascii="Times New Roman" w:hAnsi="Times New Roman" w:cs="Times New Roman"/>
          <w:sz w:val="24"/>
        </w:rPr>
        <w:t>, definiran temeljem suvremenih postupaka i prikazan na dostupnim kartama potresnih područja.</w:t>
      </w:r>
    </w:p>
    <w:p w14:paraId="09F95FD0" w14:textId="77777777" w:rsidR="00FF1E38" w:rsidRPr="00FF1E38" w:rsidRDefault="00FF1E38" w:rsidP="00FF1E38">
      <w:pPr>
        <w:spacing w:after="0" w:line="240" w:lineRule="auto"/>
        <w:ind w:left="0" w:right="0" w:firstLine="0"/>
        <w:rPr>
          <w:rFonts w:ascii="Times New Roman" w:hAnsi="Times New Roman" w:cs="Times New Roman"/>
          <w:sz w:val="24"/>
        </w:rPr>
      </w:pPr>
    </w:p>
    <w:p w14:paraId="3EDD6E40" w14:textId="77777777" w:rsidR="00FF1E38" w:rsidRP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sz w:val="24"/>
          <w:u w:val="single"/>
        </w:rPr>
        <w:t>Izloženost fonda postojećih zgrada</w:t>
      </w:r>
    </w:p>
    <w:p w14:paraId="4FDB7639"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Podaci o izloženosti fonda građevina odnosno nedostatak baza s karakteristikama postojećeg fonda građevina su već istaknuti kao ozbiljna prepreka na putu prema pouzdanoj ocjeni seizmičkog rizika. Dodatno, vrlo se slabo dokumentiraju brojne rekonstrukcije koje značajno utječu na ponašanje konstrukcije pri djelovanju potresa (primjerice uklanjanje zidova prizemlja u prodajnim prostorima u staroj gradskoj jezgri), a posebice treba istaknuti veliki broj nezakonito izgrađenih ili rekonstruiranih zgrada (u Zagrebu je zaprimljeno preko 90.000 zahtjeva za legalizaciju). Nastavno na probleme (izazove) izloženosti izravno se oslanjaju problemi procjene oštetljivosti postojećeg fonda građevina. S nepouzdanim podacima vrlo je teško procijeniti očekivano ponašanje građevine pri djelovanju potresa odnosno odrediti razinu oštećenja s obzirom na nepovoljni utjecaj gibanja tla na nosivost konstrukcijskog sustava građevine</w:t>
      </w:r>
      <w:r w:rsidRPr="00FF1E38">
        <w:rPr>
          <w:rFonts w:ascii="Times New Roman" w:hAnsi="Times New Roman" w:cs="Times New Roman"/>
          <w:sz w:val="24"/>
          <w:vertAlign w:val="superscript"/>
        </w:rPr>
        <w:footnoteReference w:id="19"/>
      </w:r>
      <w:r w:rsidRPr="00FF1E38">
        <w:rPr>
          <w:rFonts w:ascii="Times New Roman" w:hAnsi="Times New Roman" w:cs="Times New Roman"/>
          <w:sz w:val="24"/>
        </w:rPr>
        <w:t xml:space="preserve">. Gubici su krajnji podatak za donošenje strategija, ali oslanjaju se na prethodno istaknute manjkavosti odnosno bitno je imati u vidu sve nepreciznosti na temelju kojih se donose zaključci. </w:t>
      </w:r>
    </w:p>
    <w:p w14:paraId="315354E8"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Nedostatak detaljnih baza s karakteristikama postojećeg fonda građevina u pojedinim dijelovima Grada Zagreba prva je ozbiljna prepreka na putu prema pouzdanoj ocjeni očekivane rasprostranjenosti pojedinih razina oštećenja za slučaj neželjenih događaja odabranih promatranim scenarijem. Fond postojećih zgrada uobičajeno se opisuje odabranom taksonomijom kojom se pojedine značajke obuhvaćaju na ujednačen način, tako da se može provesti jednoznačna klasifikacija.</w:t>
      </w:r>
    </w:p>
    <w:p w14:paraId="64ED06D8" w14:textId="6722DE46" w:rsidR="00FF1E38" w:rsidRPr="004067E6" w:rsidRDefault="00FF1E38" w:rsidP="00FF1E38">
      <w:pPr>
        <w:spacing w:after="0" w:line="240" w:lineRule="auto"/>
        <w:ind w:left="0" w:right="0" w:firstLine="709"/>
        <w:rPr>
          <w:rFonts w:ascii="Times New Roman" w:hAnsi="Times New Roman" w:cs="Times New Roman"/>
          <w:color w:val="auto"/>
          <w:sz w:val="24"/>
        </w:rPr>
      </w:pPr>
      <w:r w:rsidRPr="00FF1E38">
        <w:rPr>
          <w:rFonts w:ascii="Times New Roman" w:hAnsi="Times New Roman" w:cs="Times New Roman"/>
          <w:sz w:val="24"/>
        </w:rPr>
        <w:t xml:space="preserve">Za detaljnije procjene rizika od potresa preporuča se sveobuhvatna obrada izloženosti postojećih građevina odabirom najučestalijih kategorija zgrada (npr. AB okvirna konstrukcija visine do 4 kata izgrađena od 1965. do 1981. i sl.), kojima je moguće pridružiti postotak zastupljenosti na promatranom području te odgovarajuću statističku razdiobu geometrijskih i </w:t>
      </w:r>
      <w:r w:rsidRPr="00FF1E38">
        <w:rPr>
          <w:rFonts w:ascii="Times New Roman" w:hAnsi="Times New Roman" w:cs="Times New Roman"/>
          <w:sz w:val="24"/>
        </w:rPr>
        <w:lastRenderedPageBreak/>
        <w:t xml:space="preserve">mehaničkih svojstava. Kao prvi korak preciznije kategorizacije postojećeg fonda zgrada u Gradu Zagrebu moguće je ocijeniti karakteristične tipove građevina i nosivih konstrukcija, odnosno načina gradnje, uz odgovarajuća razdoblja izgradnje za pojedine dijelove grada </w:t>
      </w:r>
      <w:r w:rsidRPr="004067E6">
        <w:rPr>
          <w:rFonts w:ascii="Times New Roman" w:hAnsi="Times New Roman" w:cs="Times New Roman"/>
          <w:color w:val="auto"/>
          <w:sz w:val="24"/>
        </w:rPr>
        <w:t>(</w:t>
      </w:r>
      <w:r w:rsidR="004067E6" w:rsidRPr="004067E6">
        <w:rPr>
          <w:rFonts w:ascii="Times New Roman" w:hAnsi="Times New Roman" w:cs="Times New Roman"/>
          <w:color w:val="auto"/>
          <w:sz w:val="24"/>
        </w:rPr>
        <w:t>Karta 9.</w:t>
      </w:r>
      <w:r w:rsidRPr="004067E6">
        <w:rPr>
          <w:rFonts w:ascii="Times New Roman" w:hAnsi="Times New Roman" w:cs="Times New Roman"/>
          <w:color w:val="auto"/>
          <w:sz w:val="24"/>
        </w:rPr>
        <w:t>).</w:t>
      </w:r>
    </w:p>
    <w:p w14:paraId="742C8001" w14:textId="77777777" w:rsidR="00FF1E38" w:rsidRPr="00FF1E38" w:rsidRDefault="00FF1E38" w:rsidP="00FF1E38">
      <w:pPr>
        <w:spacing w:after="0" w:line="240" w:lineRule="auto"/>
        <w:ind w:left="0" w:right="0" w:firstLine="0"/>
        <w:rPr>
          <w:rFonts w:ascii="Times New Roman" w:hAnsi="Times New Roman" w:cs="Times New Roman"/>
          <w:sz w:val="24"/>
        </w:rPr>
      </w:pPr>
    </w:p>
    <w:p w14:paraId="6A37AA03" w14:textId="468E3225" w:rsidR="00FF1E38" w:rsidRPr="004067E6" w:rsidRDefault="004067E6" w:rsidP="008167C3">
      <w:pPr>
        <w:spacing w:line="240" w:lineRule="auto"/>
        <w:ind w:left="0" w:right="0" w:firstLine="0"/>
        <w:jc w:val="center"/>
        <w:rPr>
          <w:rFonts w:ascii="Times New Roman" w:hAnsi="Times New Roman" w:cs="Times New Roman"/>
          <w:b/>
          <w:strike/>
          <w:color w:val="auto"/>
          <w:sz w:val="24"/>
        </w:rPr>
      </w:pPr>
      <w:r w:rsidRPr="004067E6">
        <w:rPr>
          <w:rFonts w:ascii="Times New Roman" w:hAnsi="Times New Roman" w:cs="Times New Roman"/>
          <w:b/>
          <w:color w:val="auto"/>
          <w:sz w:val="24"/>
        </w:rPr>
        <w:t>Karta 9</w:t>
      </w:r>
      <w:r w:rsidR="00FF1E38" w:rsidRPr="004067E6">
        <w:rPr>
          <w:rFonts w:ascii="Times New Roman" w:hAnsi="Times New Roman" w:cs="Times New Roman"/>
          <w:b/>
          <w:color w:val="auto"/>
          <w:sz w:val="24"/>
        </w:rPr>
        <w:t>. Zastupljenost tipova građevina</w:t>
      </w:r>
    </w:p>
    <w:p w14:paraId="3D584890"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noProof/>
          <w:sz w:val="24"/>
        </w:rPr>
        <w:drawing>
          <wp:inline distT="0" distB="0" distL="0" distR="0" wp14:anchorId="08D89938" wp14:editId="0692F4CD">
            <wp:extent cx="4552950" cy="2409825"/>
            <wp:effectExtent l="0" t="0" r="0" b="9525"/>
            <wp:docPr id="30771" name="Picture 30771"/>
            <wp:cNvGraphicFramePr/>
            <a:graphic xmlns:a="http://schemas.openxmlformats.org/drawingml/2006/main">
              <a:graphicData uri="http://schemas.openxmlformats.org/drawingml/2006/picture">
                <pic:pic xmlns:pic="http://schemas.openxmlformats.org/drawingml/2006/picture">
                  <pic:nvPicPr>
                    <pic:cNvPr id="30771" name="Picture 30771"/>
                    <pic:cNvPicPr/>
                  </pic:nvPicPr>
                  <pic:blipFill>
                    <a:blip r:embed="rId53"/>
                    <a:stretch>
                      <a:fillRect/>
                    </a:stretch>
                  </pic:blipFill>
                  <pic:spPr>
                    <a:xfrm>
                      <a:off x="0" y="0"/>
                      <a:ext cx="4552950" cy="2409825"/>
                    </a:xfrm>
                    <a:prstGeom prst="rect">
                      <a:avLst/>
                    </a:prstGeom>
                  </pic:spPr>
                </pic:pic>
              </a:graphicData>
            </a:graphic>
          </wp:inline>
        </w:drawing>
      </w:r>
    </w:p>
    <w:p w14:paraId="7EE497A6" w14:textId="77777777" w:rsidR="00FF1E38" w:rsidRPr="00FF1E38" w:rsidRDefault="00FF1E38" w:rsidP="00FF1E38">
      <w:pPr>
        <w:spacing w:after="0" w:line="240" w:lineRule="auto"/>
        <w:ind w:left="0" w:right="0" w:firstLine="0"/>
        <w:jc w:val="center"/>
        <w:rPr>
          <w:rFonts w:ascii="Times New Roman" w:eastAsia="Calibri" w:hAnsi="Times New Roman" w:cs="Times New Roman"/>
          <w:i/>
          <w:sz w:val="20"/>
        </w:rPr>
      </w:pPr>
      <w:r w:rsidRPr="00FF1E38">
        <w:rPr>
          <w:rFonts w:ascii="Times New Roman" w:eastAsia="Calibri" w:hAnsi="Times New Roman" w:cs="Times New Roman"/>
          <w:i/>
          <w:sz w:val="20"/>
        </w:rPr>
        <w:t>Izvor: Korlaet, Luka. Karta grada Zagreba s tipovima građevina i godinama gradnje. s.l.: Sveučilište u Zagrebu, Arhitektonski fakultet., 2014.</w:t>
      </w:r>
    </w:p>
    <w:p w14:paraId="229AA541" w14:textId="77777777" w:rsidR="00FF1E38" w:rsidRPr="00FF1E38" w:rsidRDefault="00FF1E38" w:rsidP="00FF1E38">
      <w:pPr>
        <w:spacing w:after="0" w:line="240" w:lineRule="auto"/>
        <w:ind w:left="0" w:right="0" w:firstLine="0"/>
        <w:rPr>
          <w:rFonts w:ascii="Times New Roman" w:hAnsi="Times New Roman" w:cs="Times New Roman"/>
          <w:sz w:val="24"/>
        </w:rPr>
      </w:pPr>
    </w:p>
    <w:p w14:paraId="21C28276" w14:textId="5EDC4C22"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Poznavanje razdoblja izgradnje pojedine skupine zgrada, osnovnih karakteristika načina gradnje i načina primjene odgovarajućih propisa (ako su postojali) važno je za grubu ocjenu potresne otpornosti građevina i očekivanih učinaka potresa. Detalji o postojećem fondu građevina, pomoću kojih bi bilo moguće preciznije opisati njihovu izloženost u slučaju potresa (katnost, materijal, tip konstrukcije i sl.) trenutno temeljem državnih statističkih baza nisu </w:t>
      </w:r>
      <w:r w:rsidRPr="00B04B7F">
        <w:rPr>
          <w:rFonts w:ascii="Times New Roman" w:hAnsi="Times New Roman" w:cs="Times New Roman"/>
          <w:color w:val="auto"/>
          <w:sz w:val="24"/>
        </w:rPr>
        <w:t xml:space="preserve">dostupni. Temeljem Tablice </w:t>
      </w:r>
      <w:r w:rsidR="00B04B7F" w:rsidRPr="00B04B7F">
        <w:rPr>
          <w:rFonts w:ascii="Times New Roman" w:hAnsi="Times New Roman" w:cs="Times New Roman"/>
          <w:color w:val="auto"/>
          <w:sz w:val="24"/>
        </w:rPr>
        <w:t>41</w:t>
      </w:r>
      <w:r w:rsidRPr="00B04B7F">
        <w:rPr>
          <w:rFonts w:ascii="Times New Roman" w:hAnsi="Times New Roman" w:cs="Times New Roman"/>
          <w:color w:val="auto"/>
          <w:sz w:val="24"/>
        </w:rPr>
        <w:t xml:space="preserve">. vidljivo je da su čitava naselja planski građena prije stupanja </w:t>
      </w:r>
      <w:r w:rsidRPr="00FF1E38">
        <w:rPr>
          <w:rFonts w:ascii="Times New Roman" w:hAnsi="Times New Roman" w:cs="Times New Roman"/>
          <w:sz w:val="24"/>
        </w:rPr>
        <w:t>na snagu pravilnika koji propisuju strože standarde izgradnje u seizmičkim područjima te samim time postoji velika opasnost od kolapsa dijela zgrada u tim naseljima ili čak čitavih naselja. Razina rizika od kolapsa većine zgrada unutar naselja može se uopćiti temeljem prosjeka godina izgradnje glavnina zgrada unutar nekog naselja. To su dosta neprecizni podaci bez dodatnog istraživanja i pregledavanja svake zgrade ponaosob, ali mogu se koristiti prilikom procjene razina rizika unutar pojedinih gradskih četvrti odnosno pomažu da se dobije slika očekivanih postotaka urušavanja unutar pojedinih dijelova grada, a to je vrlo bitno zbog planiranja broja ljudi u postrojbama civilne zaštite specijalističke namjene za spašavanje iz ruševina te za definiranje evakuacijskih koridora unutar gradskog područja.</w:t>
      </w:r>
    </w:p>
    <w:p w14:paraId="3E13A629" w14:textId="06620DE1" w:rsidR="00FF1E38" w:rsidRDefault="00FF1E38" w:rsidP="00FF1E38">
      <w:pPr>
        <w:spacing w:after="0" w:line="240" w:lineRule="auto"/>
        <w:ind w:left="0" w:right="0" w:firstLine="0"/>
        <w:jc w:val="left"/>
        <w:rPr>
          <w:rFonts w:ascii="Times New Roman" w:hAnsi="Times New Roman" w:cs="Times New Roman"/>
          <w:sz w:val="24"/>
        </w:rPr>
      </w:pPr>
    </w:p>
    <w:p w14:paraId="12DA3CB4" w14:textId="6E521182" w:rsidR="00FF1E38" w:rsidRPr="00B04B7F" w:rsidRDefault="00FF1E38" w:rsidP="00DF507E">
      <w:pPr>
        <w:spacing w:line="240" w:lineRule="auto"/>
        <w:ind w:left="0" w:right="0" w:firstLine="0"/>
        <w:jc w:val="center"/>
        <w:rPr>
          <w:rFonts w:ascii="Times New Roman" w:hAnsi="Times New Roman" w:cs="Times New Roman"/>
          <w:b/>
          <w:color w:val="auto"/>
          <w:sz w:val="24"/>
        </w:rPr>
      </w:pPr>
      <w:r w:rsidRPr="00B04B7F">
        <w:rPr>
          <w:rFonts w:ascii="Times New Roman" w:hAnsi="Times New Roman" w:cs="Times New Roman"/>
          <w:b/>
          <w:color w:val="auto"/>
          <w:sz w:val="24"/>
        </w:rPr>
        <w:t xml:space="preserve">Tablica </w:t>
      </w:r>
      <w:r w:rsidR="00B04B7F" w:rsidRPr="00B04B7F">
        <w:rPr>
          <w:rFonts w:ascii="Times New Roman" w:hAnsi="Times New Roman" w:cs="Times New Roman"/>
          <w:b/>
          <w:color w:val="auto"/>
          <w:sz w:val="24"/>
        </w:rPr>
        <w:t>41</w:t>
      </w:r>
      <w:r w:rsidRPr="00B04B7F">
        <w:rPr>
          <w:rFonts w:ascii="Times New Roman" w:hAnsi="Times New Roman" w:cs="Times New Roman"/>
          <w:b/>
          <w:color w:val="auto"/>
          <w:sz w:val="24"/>
        </w:rPr>
        <w:t>. Karakteristični tipovi građevina u Gradu Zagrebu s godinama izgradnje</w:t>
      </w:r>
    </w:p>
    <w:tbl>
      <w:tblPr>
        <w:tblW w:w="9072" w:type="dxa"/>
        <w:tblLayout w:type="fixed"/>
        <w:tblCellMar>
          <w:left w:w="57" w:type="dxa"/>
          <w:right w:w="57" w:type="dxa"/>
        </w:tblCellMar>
        <w:tblLook w:val="04A0" w:firstRow="1" w:lastRow="0" w:firstColumn="1" w:lastColumn="0" w:noHBand="0" w:noVBand="1"/>
      </w:tblPr>
      <w:tblGrid>
        <w:gridCol w:w="3256"/>
        <w:gridCol w:w="5816"/>
      </w:tblGrid>
      <w:tr w:rsidR="00FF1E38" w:rsidRPr="00FF1E38" w14:paraId="0D8C8FE2" w14:textId="77777777" w:rsidTr="00DE0C9A">
        <w:trPr>
          <w:cantSplit/>
          <w:trHeight w:val="284"/>
          <w:tblHeader/>
        </w:trPr>
        <w:tc>
          <w:tcPr>
            <w:tcW w:w="3256" w:type="dxa"/>
            <w:tcBorders>
              <w:top w:val="single" w:sz="4" w:space="0" w:color="000000"/>
              <w:left w:val="single" w:sz="4" w:space="0" w:color="000000"/>
              <w:bottom w:val="dotted" w:sz="4" w:space="0" w:color="auto"/>
              <w:right w:val="single" w:sz="4" w:space="0" w:color="000000"/>
            </w:tcBorders>
            <w:shd w:val="clear" w:color="000000" w:fill="FFC000"/>
            <w:vAlign w:val="center"/>
            <w:hideMark/>
          </w:tcPr>
          <w:p w14:paraId="595775A5" w14:textId="77777777" w:rsidR="00FF1E38" w:rsidRPr="00FF1E38" w:rsidRDefault="00FF1E38" w:rsidP="00FF1E38">
            <w:pPr>
              <w:spacing w:after="0" w:line="240" w:lineRule="auto"/>
              <w:ind w:left="0" w:right="0"/>
              <w:jc w:val="center"/>
              <w:rPr>
                <w:rFonts w:ascii="Times New Roman" w:eastAsia="Times New Roman" w:hAnsi="Times New Roman" w:cs="Times New Roman"/>
                <w:b/>
                <w:bCs/>
                <w:sz w:val="18"/>
                <w:szCs w:val="18"/>
              </w:rPr>
            </w:pPr>
            <w:r w:rsidRPr="00FF1E38">
              <w:rPr>
                <w:rFonts w:ascii="Times New Roman" w:eastAsia="Times New Roman" w:hAnsi="Times New Roman" w:cs="Times New Roman"/>
                <w:b/>
                <w:bCs/>
                <w:sz w:val="18"/>
                <w:szCs w:val="18"/>
              </w:rPr>
              <w:t>DIO GRADA</w:t>
            </w:r>
          </w:p>
        </w:tc>
        <w:tc>
          <w:tcPr>
            <w:tcW w:w="5816" w:type="dxa"/>
            <w:vMerge w:val="restart"/>
            <w:tcBorders>
              <w:top w:val="single" w:sz="4" w:space="0" w:color="000000"/>
              <w:left w:val="single" w:sz="4" w:space="0" w:color="000000"/>
              <w:bottom w:val="single" w:sz="4" w:space="0" w:color="000000"/>
              <w:right w:val="single" w:sz="4" w:space="0" w:color="000000"/>
            </w:tcBorders>
            <w:shd w:val="clear" w:color="000000" w:fill="FFC000"/>
            <w:vAlign w:val="center"/>
            <w:hideMark/>
          </w:tcPr>
          <w:p w14:paraId="0B4913E3" w14:textId="77777777" w:rsidR="00FF1E38" w:rsidRPr="00FF1E38" w:rsidRDefault="00FF1E38" w:rsidP="00FF1E38">
            <w:pPr>
              <w:spacing w:after="0" w:line="240" w:lineRule="auto"/>
              <w:ind w:left="0" w:right="0"/>
              <w:jc w:val="center"/>
              <w:rPr>
                <w:rFonts w:ascii="Times New Roman" w:eastAsia="Times New Roman" w:hAnsi="Times New Roman" w:cs="Times New Roman"/>
                <w:b/>
                <w:bCs/>
                <w:sz w:val="20"/>
                <w:szCs w:val="20"/>
              </w:rPr>
            </w:pPr>
            <w:r w:rsidRPr="00FF1E38">
              <w:rPr>
                <w:rFonts w:ascii="Times New Roman" w:eastAsia="Times New Roman" w:hAnsi="Times New Roman" w:cs="Times New Roman"/>
                <w:b/>
                <w:bCs/>
                <w:sz w:val="20"/>
                <w:szCs w:val="20"/>
              </w:rPr>
              <w:t>TIP GRAĐEVINE/KONSTRUKCIJE/GRADNJE</w:t>
            </w:r>
          </w:p>
        </w:tc>
      </w:tr>
      <w:tr w:rsidR="00FF1E38" w:rsidRPr="00FF1E38" w14:paraId="2BD0A58D" w14:textId="77777777" w:rsidTr="00DE0C9A">
        <w:trPr>
          <w:cantSplit/>
          <w:trHeight w:val="284"/>
          <w:tblHeader/>
        </w:trPr>
        <w:tc>
          <w:tcPr>
            <w:tcW w:w="3256" w:type="dxa"/>
            <w:tcBorders>
              <w:top w:val="dotted" w:sz="4" w:space="0" w:color="auto"/>
              <w:left w:val="single" w:sz="4" w:space="0" w:color="000000"/>
              <w:bottom w:val="single" w:sz="4" w:space="0" w:color="000000"/>
              <w:right w:val="single" w:sz="4" w:space="0" w:color="000000"/>
            </w:tcBorders>
            <w:shd w:val="clear" w:color="000000" w:fill="FFC000"/>
            <w:vAlign w:val="center"/>
            <w:hideMark/>
          </w:tcPr>
          <w:p w14:paraId="64788F37" w14:textId="77777777" w:rsidR="00FF1E38" w:rsidRPr="00FF1E38" w:rsidRDefault="00FF1E38" w:rsidP="00FF1E38">
            <w:pPr>
              <w:spacing w:after="0" w:line="240" w:lineRule="auto"/>
              <w:ind w:left="0" w:right="0"/>
              <w:jc w:val="center"/>
              <w:rPr>
                <w:rFonts w:ascii="Times New Roman" w:eastAsia="Times New Roman" w:hAnsi="Times New Roman" w:cs="Times New Roman"/>
                <w:sz w:val="18"/>
                <w:szCs w:val="18"/>
              </w:rPr>
            </w:pPr>
            <w:r w:rsidRPr="00FF1E38">
              <w:rPr>
                <w:rFonts w:ascii="Times New Roman" w:eastAsia="Times New Roman" w:hAnsi="Times New Roman" w:cs="Times New Roman"/>
                <w:sz w:val="18"/>
                <w:szCs w:val="18"/>
              </w:rPr>
              <w:t>(Razdoblje gradnje)</w:t>
            </w:r>
          </w:p>
        </w:tc>
        <w:tc>
          <w:tcPr>
            <w:tcW w:w="5816" w:type="dxa"/>
            <w:vMerge/>
            <w:tcBorders>
              <w:top w:val="single" w:sz="4" w:space="0" w:color="000000"/>
              <w:left w:val="single" w:sz="4" w:space="0" w:color="000000"/>
              <w:bottom w:val="single" w:sz="4" w:space="0" w:color="000000"/>
              <w:right w:val="single" w:sz="4" w:space="0" w:color="000000"/>
            </w:tcBorders>
            <w:vAlign w:val="center"/>
            <w:hideMark/>
          </w:tcPr>
          <w:p w14:paraId="001B2114" w14:textId="77777777" w:rsidR="00FF1E38" w:rsidRPr="00FF1E38" w:rsidRDefault="00FF1E38" w:rsidP="00FF1E38">
            <w:pPr>
              <w:spacing w:after="0" w:line="240" w:lineRule="auto"/>
              <w:ind w:left="0" w:right="0"/>
              <w:jc w:val="center"/>
              <w:rPr>
                <w:rFonts w:ascii="Times New Roman" w:eastAsia="Times New Roman" w:hAnsi="Times New Roman" w:cs="Times New Roman"/>
                <w:b/>
                <w:bCs/>
                <w:sz w:val="20"/>
                <w:szCs w:val="20"/>
              </w:rPr>
            </w:pPr>
          </w:p>
        </w:tc>
      </w:tr>
      <w:tr w:rsidR="00FF1E38" w:rsidRPr="00FF1E38" w14:paraId="3DC465FB" w14:textId="77777777" w:rsidTr="00DE0C9A">
        <w:trPr>
          <w:cantSplit/>
          <w:trHeight w:val="284"/>
        </w:trPr>
        <w:tc>
          <w:tcPr>
            <w:tcW w:w="3256" w:type="dxa"/>
            <w:tcBorders>
              <w:top w:val="nil"/>
              <w:left w:val="single" w:sz="4" w:space="0" w:color="000000"/>
              <w:bottom w:val="dotted" w:sz="4" w:space="0" w:color="auto"/>
              <w:right w:val="single" w:sz="4" w:space="0" w:color="000000"/>
            </w:tcBorders>
            <w:shd w:val="clear" w:color="000000" w:fill="FFC000"/>
            <w:hideMark/>
          </w:tcPr>
          <w:p w14:paraId="7E6BEF48" w14:textId="77777777" w:rsidR="00FF1E38" w:rsidRPr="00FF1E38" w:rsidRDefault="00FF1E38" w:rsidP="00FF1E38">
            <w:pPr>
              <w:spacing w:after="0" w:line="240" w:lineRule="auto"/>
              <w:ind w:left="0" w:right="0"/>
              <w:jc w:val="left"/>
              <w:rPr>
                <w:rFonts w:ascii="Times New Roman" w:eastAsia="Times New Roman" w:hAnsi="Times New Roman" w:cs="Times New Roman"/>
                <w:b/>
                <w:bCs/>
                <w:sz w:val="18"/>
                <w:szCs w:val="18"/>
              </w:rPr>
            </w:pPr>
            <w:r w:rsidRPr="00FF1E38">
              <w:rPr>
                <w:rFonts w:ascii="Times New Roman" w:eastAsia="Times New Roman" w:hAnsi="Times New Roman" w:cs="Times New Roman"/>
                <w:b/>
                <w:bCs/>
                <w:sz w:val="18"/>
                <w:szCs w:val="18"/>
              </w:rPr>
              <w:t>1. LANIŠTE</w:t>
            </w:r>
          </w:p>
        </w:tc>
        <w:tc>
          <w:tcPr>
            <w:tcW w:w="5816" w:type="dxa"/>
            <w:vMerge w:val="restart"/>
            <w:tcBorders>
              <w:top w:val="nil"/>
              <w:left w:val="single" w:sz="4" w:space="0" w:color="000000"/>
              <w:bottom w:val="single" w:sz="4" w:space="0" w:color="000000"/>
              <w:right w:val="single" w:sz="4" w:space="0" w:color="000000"/>
            </w:tcBorders>
            <w:shd w:val="clear" w:color="auto" w:fill="auto"/>
            <w:hideMark/>
          </w:tcPr>
          <w:p w14:paraId="0DC79C50"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Monolitne AB konstrukcije (poprečne stijene i ploče na rasponima uglavnom 6 m) na trakastim temeljima</w:t>
            </w:r>
          </w:p>
        </w:tc>
      </w:tr>
      <w:tr w:rsidR="00FF1E38" w:rsidRPr="00FF1E38" w14:paraId="509C53D8" w14:textId="77777777" w:rsidTr="00DE0C9A">
        <w:trPr>
          <w:cantSplit/>
          <w:trHeight w:val="284"/>
        </w:trPr>
        <w:tc>
          <w:tcPr>
            <w:tcW w:w="3256" w:type="dxa"/>
            <w:tcBorders>
              <w:top w:val="dotted" w:sz="4" w:space="0" w:color="auto"/>
              <w:left w:val="single" w:sz="4" w:space="0" w:color="000000"/>
              <w:bottom w:val="single" w:sz="4" w:space="0" w:color="000000"/>
              <w:right w:val="single" w:sz="4" w:space="0" w:color="000000"/>
            </w:tcBorders>
            <w:shd w:val="clear" w:color="000000" w:fill="FFC000"/>
            <w:hideMark/>
          </w:tcPr>
          <w:p w14:paraId="32891B83"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sz w:val="18"/>
                <w:szCs w:val="18"/>
              </w:rPr>
              <w:t>(2000-te godine)</w:t>
            </w:r>
          </w:p>
        </w:tc>
        <w:tc>
          <w:tcPr>
            <w:tcW w:w="5816" w:type="dxa"/>
            <w:vMerge/>
            <w:tcBorders>
              <w:top w:val="nil"/>
              <w:left w:val="single" w:sz="4" w:space="0" w:color="000000"/>
              <w:bottom w:val="single" w:sz="4" w:space="0" w:color="000000"/>
              <w:right w:val="single" w:sz="4" w:space="0" w:color="000000"/>
            </w:tcBorders>
            <w:vAlign w:val="center"/>
            <w:hideMark/>
          </w:tcPr>
          <w:p w14:paraId="50F13573"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p>
        </w:tc>
      </w:tr>
      <w:tr w:rsidR="00FF1E38" w:rsidRPr="00FF1E38" w14:paraId="5F18C52F" w14:textId="77777777" w:rsidTr="00DE0C9A">
        <w:trPr>
          <w:cantSplit/>
          <w:trHeight w:val="284"/>
        </w:trPr>
        <w:tc>
          <w:tcPr>
            <w:tcW w:w="3256" w:type="dxa"/>
            <w:tcBorders>
              <w:top w:val="nil"/>
              <w:left w:val="single" w:sz="4" w:space="0" w:color="000000"/>
              <w:bottom w:val="dotted" w:sz="4" w:space="0" w:color="auto"/>
              <w:right w:val="single" w:sz="4" w:space="0" w:color="000000"/>
            </w:tcBorders>
            <w:shd w:val="clear" w:color="000000" w:fill="FFC000"/>
            <w:hideMark/>
          </w:tcPr>
          <w:p w14:paraId="184961DC" w14:textId="77777777" w:rsidR="00FF1E38" w:rsidRPr="00FF1E38" w:rsidRDefault="00FF1E38" w:rsidP="00FF1E38">
            <w:pPr>
              <w:spacing w:after="0" w:line="240" w:lineRule="auto"/>
              <w:ind w:left="0" w:right="0"/>
              <w:jc w:val="left"/>
              <w:rPr>
                <w:rFonts w:ascii="Times New Roman" w:eastAsia="Times New Roman" w:hAnsi="Times New Roman" w:cs="Times New Roman"/>
                <w:b/>
                <w:bCs/>
                <w:sz w:val="18"/>
                <w:szCs w:val="18"/>
              </w:rPr>
            </w:pPr>
            <w:r w:rsidRPr="00FF1E38">
              <w:rPr>
                <w:rFonts w:ascii="Times New Roman" w:eastAsia="Times New Roman" w:hAnsi="Times New Roman" w:cs="Times New Roman"/>
                <w:b/>
                <w:bCs/>
                <w:sz w:val="18"/>
                <w:szCs w:val="18"/>
              </w:rPr>
              <w:t>2. REMETINEC</w:t>
            </w:r>
          </w:p>
        </w:tc>
        <w:tc>
          <w:tcPr>
            <w:tcW w:w="5816" w:type="dxa"/>
            <w:vMerge w:val="restart"/>
            <w:tcBorders>
              <w:top w:val="nil"/>
              <w:left w:val="single" w:sz="4" w:space="0" w:color="000000"/>
              <w:bottom w:val="single" w:sz="4" w:space="0" w:color="000000"/>
              <w:right w:val="single" w:sz="4" w:space="0" w:color="000000"/>
            </w:tcBorders>
            <w:shd w:val="clear" w:color="auto" w:fill="auto"/>
            <w:hideMark/>
          </w:tcPr>
          <w:p w14:paraId="523BE6F9"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Potpuna AB predgotovljena gradnja prema sustavu ''Jugomont JU-60'': debljina stijena i ploča 12 cm na rasponu 3,60 m sa središnjim uzdužnim ukrutnim potezom, povezano hor. i vert. serklažima - varenjem nastavaka armature (''limenke'')</w:t>
            </w:r>
          </w:p>
        </w:tc>
      </w:tr>
      <w:tr w:rsidR="00FF1E38" w:rsidRPr="00FF1E38" w14:paraId="2F8E17F6" w14:textId="77777777" w:rsidTr="00DE0C9A">
        <w:trPr>
          <w:cantSplit/>
          <w:trHeight w:val="284"/>
        </w:trPr>
        <w:tc>
          <w:tcPr>
            <w:tcW w:w="3256" w:type="dxa"/>
            <w:tcBorders>
              <w:top w:val="dotted" w:sz="4" w:space="0" w:color="auto"/>
              <w:left w:val="single" w:sz="4" w:space="0" w:color="000000"/>
              <w:bottom w:val="single" w:sz="4" w:space="0" w:color="000000"/>
              <w:right w:val="single" w:sz="4" w:space="0" w:color="000000"/>
            </w:tcBorders>
            <w:shd w:val="clear" w:color="000000" w:fill="FFC000"/>
            <w:hideMark/>
          </w:tcPr>
          <w:p w14:paraId="54517709"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sz w:val="18"/>
                <w:szCs w:val="18"/>
              </w:rPr>
              <w:t>(druga polovica 50-tih)</w:t>
            </w:r>
          </w:p>
        </w:tc>
        <w:tc>
          <w:tcPr>
            <w:tcW w:w="5816" w:type="dxa"/>
            <w:vMerge/>
            <w:tcBorders>
              <w:top w:val="nil"/>
              <w:left w:val="single" w:sz="4" w:space="0" w:color="000000"/>
              <w:bottom w:val="single" w:sz="4" w:space="0" w:color="000000"/>
              <w:right w:val="single" w:sz="4" w:space="0" w:color="000000"/>
            </w:tcBorders>
            <w:vAlign w:val="center"/>
            <w:hideMark/>
          </w:tcPr>
          <w:p w14:paraId="545081BD"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p>
        </w:tc>
      </w:tr>
      <w:tr w:rsidR="00FF1E38" w:rsidRPr="00FF1E38" w14:paraId="0C67E263" w14:textId="77777777" w:rsidTr="00DE0C9A">
        <w:trPr>
          <w:cantSplit/>
          <w:trHeight w:val="284"/>
        </w:trPr>
        <w:tc>
          <w:tcPr>
            <w:tcW w:w="3256" w:type="dxa"/>
            <w:tcBorders>
              <w:top w:val="nil"/>
              <w:left w:val="single" w:sz="4" w:space="0" w:color="000000"/>
              <w:bottom w:val="dotted" w:sz="4" w:space="0" w:color="auto"/>
              <w:right w:val="single" w:sz="4" w:space="0" w:color="000000"/>
            </w:tcBorders>
            <w:shd w:val="clear" w:color="000000" w:fill="FFC000"/>
            <w:hideMark/>
          </w:tcPr>
          <w:p w14:paraId="793A0C35" w14:textId="77777777" w:rsidR="00FF1E38" w:rsidRPr="00FF1E38" w:rsidRDefault="00FF1E38" w:rsidP="00FF1E38">
            <w:pPr>
              <w:spacing w:after="0" w:line="240" w:lineRule="auto"/>
              <w:ind w:left="0" w:right="0"/>
              <w:jc w:val="left"/>
              <w:rPr>
                <w:rFonts w:ascii="Times New Roman" w:eastAsia="Times New Roman" w:hAnsi="Times New Roman" w:cs="Times New Roman"/>
                <w:b/>
                <w:bCs/>
                <w:sz w:val="18"/>
                <w:szCs w:val="18"/>
              </w:rPr>
            </w:pPr>
            <w:r w:rsidRPr="00FF1E38">
              <w:rPr>
                <w:rFonts w:ascii="Times New Roman" w:eastAsia="Times New Roman" w:hAnsi="Times New Roman" w:cs="Times New Roman"/>
                <w:b/>
                <w:bCs/>
                <w:sz w:val="18"/>
                <w:szCs w:val="18"/>
              </w:rPr>
              <w:t>3. TRNSKO</w:t>
            </w:r>
          </w:p>
        </w:tc>
        <w:tc>
          <w:tcPr>
            <w:tcW w:w="5816" w:type="dxa"/>
            <w:vMerge w:val="restart"/>
            <w:tcBorders>
              <w:top w:val="nil"/>
              <w:left w:val="single" w:sz="4" w:space="0" w:color="000000"/>
              <w:bottom w:val="single" w:sz="4" w:space="0" w:color="000000"/>
              <w:right w:val="single" w:sz="4" w:space="0" w:color="000000"/>
            </w:tcBorders>
            <w:shd w:val="clear" w:color="auto" w:fill="auto"/>
            <w:hideMark/>
          </w:tcPr>
          <w:p w14:paraId="42F35746"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Nosivi zidovi od opeke NF slaganih poprečno (25 cm), stropovi AB sitno rebro na rasponu 4,80 m, hor. i vert. serklaži</w:t>
            </w:r>
          </w:p>
        </w:tc>
      </w:tr>
      <w:tr w:rsidR="00FF1E38" w:rsidRPr="00FF1E38" w14:paraId="792773F5" w14:textId="77777777" w:rsidTr="00DE0C9A">
        <w:trPr>
          <w:cantSplit/>
          <w:trHeight w:val="284"/>
        </w:trPr>
        <w:tc>
          <w:tcPr>
            <w:tcW w:w="3256" w:type="dxa"/>
            <w:tcBorders>
              <w:top w:val="dotted" w:sz="4" w:space="0" w:color="auto"/>
              <w:left w:val="single" w:sz="4" w:space="0" w:color="000000"/>
              <w:bottom w:val="single" w:sz="4" w:space="0" w:color="000000"/>
              <w:right w:val="single" w:sz="4" w:space="0" w:color="000000"/>
            </w:tcBorders>
            <w:shd w:val="clear" w:color="000000" w:fill="FFC000"/>
            <w:hideMark/>
          </w:tcPr>
          <w:p w14:paraId="0864AE29"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sz w:val="18"/>
                <w:szCs w:val="18"/>
              </w:rPr>
              <w:t>(prijelaz 50-tih na 60-te)</w:t>
            </w:r>
          </w:p>
        </w:tc>
        <w:tc>
          <w:tcPr>
            <w:tcW w:w="5816" w:type="dxa"/>
            <w:vMerge/>
            <w:tcBorders>
              <w:top w:val="nil"/>
              <w:left w:val="single" w:sz="4" w:space="0" w:color="000000"/>
              <w:bottom w:val="single" w:sz="4" w:space="0" w:color="000000"/>
              <w:right w:val="single" w:sz="4" w:space="0" w:color="000000"/>
            </w:tcBorders>
            <w:vAlign w:val="center"/>
            <w:hideMark/>
          </w:tcPr>
          <w:p w14:paraId="197A053B"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p>
        </w:tc>
      </w:tr>
      <w:tr w:rsidR="00FF1E38" w:rsidRPr="00FF1E38" w14:paraId="437E802F" w14:textId="77777777" w:rsidTr="00DE0C9A">
        <w:trPr>
          <w:cantSplit/>
          <w:trHeight w:val="284"/>
        </w:trPr>
        <w:tc>
          <w:tcPr>
            <w:tcW w:w="3256" w:type="dxa"/>
            <w:tcBorders>
              <w:top w:val="nil"/>
              <w:left w:val="single" w:sz="4" w:space="0" w:color="000000"/>
              <w:bottom w:val="dotted" w:sz="4" w:space="0" w:color="auto"/>
              <w:right w:val="single" w:sz="4" w:space="0" w:color="000000"/>
            </w:tcBorders>
            <w:shd w:val="clear" w:color="000000" w:fill="FFC000"/>
            <w:hideMark/>
          </w:tcPr>
          <w:p w14:paraId="799881CD" w14:textId="77777777" w:rsidR="00FF1E38" w:rsidRPr="00FF1E38" w:rsidRDefault="00FF1E38" w:rsidP="00FF1E38">
            <w:pPr>
              <w:spacing w:after="0" w:line="240" w:lineRule="auto"/>
              <w:ind w:left="0" w:right="0"/>
              <w:jc w:val="left"/>
              <w:rPr>
                <w:rFonts w:ascii="Times New Roman" w:eastAsia="Times New Roman" w:hAnsi="Times New Roman" w:cs="Times New Roman"/>
                <w:b/>
                <w:bCs/>
                <w:sz w:val="18"/>
                <w:szCs w:val="18"/>
              </w:rPr>
            </w:pPr>
            <w:r w:rsidRPr="00FF1E38">
              <w:rPr>
                <w:rFonts w:ascii="Times New Roman" w:eastAsia="Times New Roman" w:hAnsi="Times New Roman" w:cs="Times New Roman"/>
                <w:b/>
                <w:bCs/>
                <w:sz w:val="18"/>
                <w:szCs w:val="18"/>
              </w:rPr>
              <w:lastRenderedPageBreak/>
              <w:t>4. SIGET</w:t>
            </w:r>
          </w:p>
        </w:tc>
        <w:tc>
          <w:tcPr>
            <w:tcW w:w="5816" w:type="dxa"/>
            <w:vMerge w:val="restart"/>
            <w:tcBorders>
              <w:top w:val="nil"/>
              <w:left w:val="single" w:sz="4" w:space="0" w:color="000000"/>
              <w:bottom w:val="single" w:sz="4" w:space="0" w:color="000000"/>
              <w:right w:val="single" w:sz="4" w:space="0" w:color="000000"/>
            </w:tcBorders>
            <w:shd w:val="clear" w:color="auto" w:fill="auto"/>
            <w:hideMark/>
          </w:tcPr>
          <w:p w14:paraId="6AB882CA"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Niže zgrade: popr. nosivi zidovi od bet. blokova 20 i 25 cm na razmaku 3,20 i 3,40 m, stropne konstr. od montažnih AB ploča d=16 cm, š=100, 120 i 140 cm sa štednim otvorima koje nakon montaže postaju monolitni stropovi.</w:t>
            </w:r>
            <w:r w:rsidRPr="00FF1E38">
              <w:rPr>
                <w:rFonts w:ascii="Times New Roman" w:eastAsia="Times New Roman" w:hAnsi="Times New Roman" w:cs="Times New Roman"/>
                <w:sz w:val="20"/>
                <w:szCs w:val="20"/>
              </w:rPr>
              <w:br/>
              <w:t>Više zgrade - tornjevi: AB stijene (d=40 cm u podrumu, d=16 cm na vrhu), križne AB ploče 7,8×8,6 m.</w:t>
            </w:r>
          </w:p>
        </w:tc>
      </w:tr>
      <w:tr w:rsidR="00FF1E38" w:rsidRPr="00FF1E38" w14:paraId="46576B27" w14:textId="77777777" w:rsidTr="00DE0C9A">
        <w:trPr>
          <w:cantSplit/>
          <w:trHeight w:val="284"/>
        </w:trPr>
        <w:tc>
          <w:tcPr>
            <w:tcW w:w="3256" w:type="dxa"/>
            <w:tcBorders>
              <w:top w:val="dotted" w:sz="4" w:space="0" w:color="auto"/>
              <w:left w:val="single" w:sz="4" w:space="0" w:color="000000"/>
              <w:bottom w:val="single" w:sz="4" w:space="0" w:color="000000"/>
              <w:right w:val="single" w:sz="4" w:space="0" w:color="000000"/>
            </w:tcBorders>
            <w:shd w:val="clear" w:color="000000" w:fill="FFC000"/>
            <w:hideMark/>
          </w:tcPr>
          <w:p w14:paraId="67086E21"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sz w:val="18"/>
                <w:szCs w:val="18"/>
              </w:rPr>
              <w:t>(početak 60-tih)</w:t>
            </w:r>
          </w:p>
        </w:tc>
        <w:tc>
          <w:tcPr>
            <w:tcW w:w="5816" w:type="dxa"/>
            <w:vMerge/>
            <w:tcBorders>
              <w:top w:val="nil"/>
              <w:left w:val="single" w:sz="4" w:space="0" w:color="000000"/>
              <w:bottom w:val="single" w:sz="4" w:space="0" w:color="000000"/>
              <w:right w:val="single" w:sz="4" w:space="0" w:color="000000"/>
            </w:tcBorders>
            <w:vAlign w:val="center"/>
            <w:hideMark/>
          </w:tcPr>
          <w:p w14:paraId="4975C6C6"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p>
        </w:tc>
      </w:tr>
      <w:tr w:rsidR="00FF1E38" w:rsidRPr="00FF1E38" w14:paraId="346B5F21" w14:textId="77777777" w:rsidTr="00DE0C9A">
        <w:trPr>
          <w:cantSplit/>
          <w:trHeight w:val="284"/>
        </w:trPr>
        <w:tc>
          <w:tcPr>
            <w:tcW w:w="3256" w:type="dxa"/>
            <w:tcBorders>
              <w:top w:val="nil"/>
              <w:left w:val="single" w:sz="4" w:space="0" w:color="000000"/>
              <w:bottom w:val="dotted" w:sz="4" w:space="0" w:color="auto"/>
              <w:right w:val="single" w:sz="4" w:space="0" w:color="000000"/>
            </w:tcBorders>
            <w:shd w:val="clear" w:color="000000" w:fill="FFC000"/>
            <w:hideMark/>
          </w:tcPr>
          <w:p w14:paraId="22B68D1D"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b/>
                <w:bCs/>
                <w:sz w:val="18"/>
                <w:szCs w:val="18"/>
              </w:rPr>
              <w:t>5. DUGAVE, SLOBOŠTINA, TRAVNO</w:t>
            </w:r>
            <w:r w:rsidRPr="00FF1E38">
              <w:rPr>
                <w:rFonts w:ascii="Times New Roman" w:eastAsia="Times New Roman" w:hAnsi="Times New Roman" w:cs="Times New Roman"/>
                <w:b/>
                <w:bCs/>
                <w:sz w:val="18"/>
                <w:szCs w:val="18"/>
              </w:rPr>
              <w:br/>
            </w:r>
            <w:r w:rsidRPr="00FF1E38">
              <w:rPr>
                <w:rFonts w:ascii="Times New Roman" w:eastAsia="Times New Roman" w:hAnsi="Times New Roman" w:cs="Times New Roman"/>
                <w:sz w:val="18"/>
                <w:szCs w:val="18"/>
              </w:rPr>
              <w:t>(''Mamutica'')</w:t>
            </w:r>
          </w:p>
        </w:tc>
        <w:tc>
          <w:tcPr>
            <w:tcW w:w="5816"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050521F"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Monolitna AB konstr. (stijene i ploče d=16 cm na trakastim temeljima), rasponi od 3,60, 5,40 i 6,0 m (izvedeno prostor. oplatom)</w:t>
            </w:r>
          </w:p>
        </w:tc>
      </w:tr>
      <w:tr w:rsidR="00FF1E38" w:rsidRPr="00FF1E38" w14:paraId="6F7414B8" w14:textId="77777777" w:rsidTr="00DE0C9A">
        <w:trPr>
          <w:cantSplit/>
          <w:trHeight w:val="284"/>
        </w:trPr>
        <w:tc>
          <w:tcPr>
            <w:tcW w:w="3256" w:type="dxa"/>
            <w:tcBorders>
              <w:top w:val="dotted" w:sz="4" w:space="0" w:color="auto"/>
              <w:left w:val="single" w:sz="4" w:space="0" w:color="000000"/>
              <w:bottom w:val="single" w:sz="4" w:space="0" w:color="000000"/>
              <w:right w:val="single" w:sz="4" w:space="0" w:color="000000"/>
            </w:tcBorders>
            <w:shd w:val="clear" w:color="000000" w:fill="FFC000"/>
            <w:hideMark/>
          </w:tcPr>
          <w:p w14:paraId="162D5619"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sz w:val="18"/>
                <w:szCs w:val="18"/>
              </w:rPr>
              <w:t>(druga pol. 70-tih, prva pol. 80-tih)</w:t>
            </w:r>
          </w:p>
        </w:tc>
        <w:tc>
          <w:tcPr>
            <w:tcW w:w="5816" w:type="dxa"/>
            <w:vMerge/>
            <w:tcBorders>
              <w:top w:val="nil"/>
              <w:left w:val="single" w:sz="4" w:space="0" w:color="000000"/>
              <w:bottom w:val="single" w:sz="4" w:space="0" w:color="000000"/>
              <w:right w:val="single" w:sz="4" w:space="0" w:color="000000"/>
            </w:tcBorders>
            <w:vAlign w:val="center"/>
            <w:hideMark/>
          </w:tcPr>
          <w:p w14:paraId="644CC024"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p>
        </w:tc>
      </w:tr>
      <w:tr w:rsidR="00FF1E38" w:rsidRPr="00FF1E38" w14:paraId="020BD912" w14:textId="77777777" w:rsidTr="00DE0C9A">
        <w:trPr>
          <w:cantSplit/>
          <w:trHeight w:val="284"/>
        </w:trPr>
        <w:tc>
          <w:tcPr>
            <w:tcW w:w="3256" w:type="dxa"/>
            <w:tcBorders>
              <w:top w:val="nil"/>
              <w:left w:val="single" w:sz="4" w:space="0" w:color="000000"/>
              <w:bottom w:val="dotted" w:sz="4" w:space="0" w:color="auto"/>
              <w:right w:val="single" w:sz="4" w:space="0" w:color="000000"/>
            </w:tcBorders>
            <w:shd w:val="clear" w:color="000000" w:fill="FFC000"/>
            <w:hideMark/>
          </w:tcPr>
          <w:p w14:paraId="534BC969" w14:textId="77777777" w:rsidR="00FF1E38" w:rsidRPr="00FF1E38" w:rsidRDefault="00FF1E38" w:rsidP="00FF1E38">
            <w:pPr>
              <w:spacing w:after="0" w:line="240" w:lineRule="auto"/>
              <w:ind w:left="0" w:right="0"/>
              <w:jc w:val="left"/>
              <w:rPr>
                <w:rFonts w:ascii="Times New Roman" w:eastAsia="Times New Roman" w:hAnsi="Times New Roman" w:cs="Times New Roman"/>
                <w:b/>
                <w:bCs/>
                <w:sz w:val="18"/>
                <w:szCs w:val="18"/>
              </w:rPr>
            </w:pPr>
            <w:r w:rsidRPr="00FF1E38">
              <w:rPr>
                <w:rFonts w:ascii="Times New Roman" w:eastAsia="Times New Roman" w:hAnsi="Times New Roman" w:cs="Times New Roman"/>
                <w:b/>
                <w:bCs/>
                <w:sz w:val="18"/>
                <w:szCs w:val="18"/>
              </w:rPr>
              <w:t>6. TRAVNO</w:t>
            </w:r>
          </w:p>
        </w:tc>
        <w:tc>
          <w:tcPr>
            <w:tcW w:w="5816" w:type="dxa"/>
            <w:vMerge w:val="restart"/>
            <w:tcBorders>
              <w:top w:val="nil"/>
              <w:left w:val="single" w:sz="4" w:space="0" w:color="000000"/>
              <w:bottom w:val="single" w:sz="4" w:space="0" w:color="000000"/>
              <w:right w:val="single" w:sz="4" w:space="0" w:color="000000"/>
            </w:tcBorders>
            <w:shd w:val="clear" w:color="auto" w:fill="auto"/>
            <w:hideMark/>
          </w:tcPr>
          <w:p w14:paraId="1D7A90A5"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Polumontažna izvedba - AB stijene betonirane velikoformatnom oplatom + ''OMNIA'' ploče za bezoplatnu izvedbu stropova (RO ''Tempo'')</w:t>
            </w:r>
          </w:p>
        </w:tc>
      </w:tr>
      <w:tr w:rsidR="00FF1E38" w:rsidRPr="00FF1E38" w14:paraId="70943883" w14:textId="77777777" w:rsidTr="00DE0C9A">
        <w:trPr>
          <w:cantSplit/>
          <w:trHeight w:val="284"/>
        </w:trPr>
        <w:tc>
          <w:tcPr>
            <w:tcW w:w="3256" w:type="dxa"/>
            <w:tcBorders>
              <w:top w:val="dotted" w:sz="4" w:space="0" w:color="auto"/>
              <w:left w:val="single" w:sz="4" w:space="0" w:color="000000"/>
              <w:bottom w:val="single" w:sz="4" w:space="0" w:color="000000"/>
              <w:right w:val="single" w:sz="4" w:space="0" w:color="000000"/>
            </w:tcBorders>
            <w:shd w:val="clear" w:color="000000" w:fill="FFC000"/>
            <w:hideMark/>
          </w:tcPr>
          <w:p w14:paraId="1B9333D3"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sz w:val="18"/>
                <w:szCs w:val="18"/>
              </w:rPr>
              <w:t>(druga polovica 70-tih)</w:t>
            </w:r>
          </w:p>
        </w:tc>
        <w:tc>
          <w:tcPr>
            <w:tcW w:w="5816" w:type="dxa"/>
            <w:vMerge/>
            <w:tcBorders>
              <w:top w:val="nil"/>
              <w:left w:val="single" w:sz="4" w:space="0" w:color="000000"/>
              <w:bottom w:val="single" w:sz="4" w:space="0" w:color="000000"/>
              <w:right w:val="single" w:sz="4" w:space="0" w:color="000000"/>
            </w:tcBorders>
            <w:vAlign w:val="center"/>
            <w:hideMark/>
          </w:tcPr>
          <w:p w14:paraId="7937E68A"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p>
        </w:tc>
      </w:tr>
      <w:tr w:rsidR="00FF1E38" w:rsidRPr="00FF1E38" w14:paraId="72E67ECF" w14:textId="77777777" w:rsidTr="00DE0C9A">
        <w:trPr>
          <w:cantSplit/>
          <w:trHeight w:val="284"/>
        </w:trPr>
        <w:tc>
          <w:tcPr>
            <w:tcW w:w="3256" w:type="dxa"/>
            <w:tcBorders>
              <w:top w:val="nil"/>
              <w:left w:val="single" w:sz="4" w:space="0" w:color="000000"/>
              <w:bottom w:val="dotted" w:sz="4" w:space="0" w:color="auto"/>
              <w:right w:val="single" w:sz="4" w:space="0" w:color="000000"/>
            </w:tcBorders>
            <w:shd w:val="clear" w:color="000000" w:fill="FFC000"/>
            <w:hideMark/>
          </w:tcPr>
          <w:p w14:paraId="0148E784" w14:textId="77777777" w:rsidR="00FF1E38" w:rsidRPr="00FF1E38" w:rsidRDefault="00FF1E38" w:rsidP="00FF1E38">
            <w:pPr>
              <w:spacing w:after="0" w:line="240" w:lineRule="auto"/>
              <w:ind w:left="0" w:right="0"/>
              <w:jc w:val="left"/>
              <w:rPr>
                <w:rFonts w:ascii="Times New Roman" w:eastAsia="Times New Roman" w:hAnsi="Times New Roman" w:cs="Times New Roman"/>
                <w:b/>
                <w:bCs/>
                <w:sz w:val="18"/>
                <w:szCs w:val="18"/>
              </w:rPr>
            </w:pPr>
            <w:r w:rsidRPr="00FF1E38">
              <w:rPr>
                <w:rFonts w:ascii="Times New Roman" w:eastAsia="Times New Roman" w:hAnsi="Times New Roman" w:cs="Times New Roman"/>
                <w:b/>
                <w:bCs/>
                <w:sz w:val="18"/>
                <w:szCs w:val="18"/>
              </w:rPr>
              <w:t>7. ZAPRUĐE, UTRINA</w:t>
            </w:r>
          </w:p>
        </w:tc>
        <w:tc>
          <w:tcPr>
            <w:tcW w:w="5816" w:type="dxa"/>
            <w:vMerge w:val="restart"/>
            <w:tcBorders>
              <w:top w:val="nil"/>
              <w:left w:val="single" w:sz="4" w:space="0" w:color="000000"/>
              <w:bottom w:val="single" w:sz="4" w:space="0" w:color="000000"/>
              <w:right w:val="single" w:sz="4" w:space="0" w:color="000000"/>
            </w:tcBorders>
            <w:shd w:val="clear" w:color="auto" w:fill="auto"/>
            <w:hideMark/>
          </w:tcPr>
          <w:p w14:paraId="64E6520C"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Potpuna AB predgotovljena gradnja prema sustavu ''Jugomont JU-61'': debljina stijena i ploča 12 cm na rasponu 3,60 m sa središnjim uzdužnim ukrutnim potezom, povezano hor. i vert. serklažima - varenje nastavaka armature te interpolacijom moždanika u reške (što ovaj sustav čini krućim od prethodnika JU-60)</w:t>
            </w:r>
          </w:p>
        </w:tc>
      </w:tr>
      <w:tr w:rsidR="00FF1E38" w:rsidRPr="00FF1E38" w14:paraId="659A6526" w14:textId="77777777" w:rsidTr="00DE0C9A">
        <w:trPr>
          <w:cantSplit/>
          <w:trHeight w:val="284"/>
        </w:trPr>
        <w:tc>
          <w:tcPr>
            <w:tcW w:w="3256" w:type="dxa"/>
            <w:tcBorders>
              <w:top w:val="dotted" w:sz="4" w:space="0" w:color="auto"/>
              <w:left w:val="single" w:sz="4" w:space="0" w:color="000000"/>
              <w:bottom w:val="single" w:sz="4" w:space="0" w:color="000000"/>
              <w:right w:val="single" w:sz="4" w:space="0" w:color="000000"/>
            </w:tcBorders>
            <w:shd w:val="clear" w:color="000000" w:fill="FFC000"/>
            <w:hideMark/>
          </w:tcPr>
          <w:p w14:paraId="0F9BB873"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sz w:val="18"/>
                <w:szCs w:val="18"/>
              </w:rPr>
              <w:t>(početak 60-tih)</w:t>
            </w:r>
          </w:p>
        </w:tc>
        <w:tc>
          <w:tcPr>
            <w:tcW w:w="5816" w:type="dxa"/>
            <w:vMerge/>
            <w:tcBorders>
              <w:top w:val="nil"/>
              <w:left w:val="single" w:sz="4" w:space="0" w:color="000000"/>
              <w:bottom w:val="single" w:sz="4" w:space="0" w:color="000000"/>
              <w:right w:val="single" w:sz="4" w:space="0" w:color="000000"/>
            </w:tcBorders>
            <w:vAlign w:val="center"/>
            <w:hideMark/>
          </w:tcPr>
          <w:p w14:paraId="63FFC0F5"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p>
        </w:tc>
      </w:tr>
      <w:tr w:rsidR="00FF1E38" w:rsidRPr="00FF1E38" w14:paraId="212A76C5" w14:textId="77777777" w:rsidTr="00DE0C9A">
        <w:trPr>
          <w:cantSplit/>
          <w:trHeight w:val="284"/>
        </w:trPr>
        <w:tc>
          <w:tcPr>
            <w:tcW w:w="3256" w:type="dxa"/>
            <w:tcBorders>
              <w:top w:val="nil"/>
              <w:left w:val="single" w:sz="4" w:space="0" w:color="000000"/>
              <w:bottom w:val="dotted" w:sz="4" w:space="0" w:color="auto"/>
              <w:right w:val="single" w:sz="4" w:space="0" w:color="000000"/>
            </w:tcBorders>
            <w:shd w:val="clear" w:color="000000" w:fill="FFC000"/>
            <w:hideMark/>
          </w:tcPr>
          <w:p w14:paraId="6F273D17" w14:textId="77777777" w:rsidR="00FF1E38" w:rsidRPr="00FF1E38" w:rsidRDefault="00FF1E38" w:rsidP="00FF1E38">
            <w:pPr>
              <w:spacing w:after="0" w:line="240" w:lineRule="auto"/>
              <w:ind w:left="0" w:right="0"/>
              <w:jc w:val="left"/>
              <w:rPr>
                <w:rFonts w:ascii="Times New Roman" w:eastAsia="Times New Roman" w:hAnsi="Times New Roman" w:cs="Times New Roman"/>
                <w:b/>
                <w:bCs/>
                <w:sz w:val="18"/>
                <w:szCs w:val="18"/>
              </w:rPr>
            </w:pPr>
            <w:r w:rsidRPr="00FF1E38">
              <w:rPr>
                <w:rFonts w:ascii="Times New Roman" w:eastAsia="Times New Roman" w:hAnsi="Times New Roman" w:cs="Times New Roman"/>
                <w:b/>
                <w:bCs/>
                <w:sz w:val="18"/>
                <w:szCs w:val="18"/>
              </w:rPr>
              <w:t>8. FOLNEGOVIĆEVO NASELJE</w:t>
            </w:r>
          </w:p>
        </w:tc>
        <w:tc>
          <w:tcPr>
            <w:tcW w:w="5816" w:type="dxa"/>
            <w:vMerge w:val="restart"/>
            <w:tcBorders>
              <w:top w:val="nil"/>
              <w:left w:val="single" w:sz="4" w:space="0" w:color="000000"/>
              <w:bottom w:val="single" w:sz="4" w:space="0" w:color="000000"/>
              <w:right w:val="single" w:sz="4" w:space="0" w:color="000000"/>
            </w:tcBorders>
            <w:shd w:val="clear" w:color="auto" w:fill="auto"/>
            <w:hideMark/>
          </w:tcPr>
          <w:p w14:paraId="4F5F96D6"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Potpuna AB predgotovljena gradnja prema sustavu ''Jugomont JU-60'' (jednako kao i 2 REMETINAC - ''limenke''). Nosivi zidovi od opeke NF slaganih poprečno (25 cm), stropovi AB sitno rebro na razmaku cca 50 cm sa hor. i vert. serklažima</w:t>
            </w:r>
          </w:p>
        </w:tc>
      </w:tr>
      <w:tr w:rsidR="00FF1E38" w:rsidRPr="00FF1E38" w14:paraId="64C3D745" w14:textId="77777777" w:rsidTr="00DE0C9A">
        <w:trPr>
          <w:cantSplit/>
          <w:trHeight w:val="284"/>
        </w:trPr>
        <w:tc>
          <w:tcPr>
            <w:tcW w:w="3256" w:type="dxa"/>
            <w:tcBorders>
              <w:top w:val="dotted" w:sz="4" w:space="0" w:color="auto"/>
              <w:left w:val="single" w:sz="4" w:space="0" w:color="000000"/>
              <w:bottom w:val="single" w:sz="4" w:space="0" w:color="000000"/>
              <w:right w:val="single" w:sz="4" w:space="0" w:color="000000"/>
            </w:tcBorders>
            <w:shd w:val="clear" w:color="000000" w:fill="FFC000"/>
            <w:hideMark/>
          </w:tcPr>
          <w:p w14:paraId="751B3409"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sz w:val="18"/>
                <w:szCs w:val="18"/>
              </w:rPr>
              <w:t>(prijelaz 50-tih u 60-te)</w:t>
            </w:r>
          </w:p>
        </w:tc>
        <w:tc>
          <w:tcPr>
            <w:tcW w:w="5816" w:type="dxa"/>
            <w:vMerge/>
            <w:tcBorders>
              <w:top w:val="nil"/>
              <w:left w:val="single" w:sz="4" w:space="0" w:color="000000"/>
              <w:bottom w:val="single" w:sz="4" w:space="0" w:color="000000"/>
              <w:right w:val="single" w:sz="4" w:space="0" w:color="000000"/>
            </w:tcBorders>
            <w:vAlign w:val="center"/>
            <w:hideMark/>
          </w:tcPr>
          <w:p w14:paraId="2FA8409F"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p>
        </w:tc>
      </w:tr>
      <w:tr w:rsidR="00FF1E38" w:rsidRPr="00FF1E38" w14:paraId="16B9D330" w14:textId="77777777" w:rsidTr="00DE0C9A">
        <w:trPr>
          <w:cantSplit/>
          <w:trHeight w:val="284"/>
        </w:trPr>
        <w:tc>
          <w:tcPr>
            <w:tcW w:w="3256" w:type="dxa"/>
            <w:tcBorders>
              <w:top w:val="nil"/>
              <w:left w:val="single" w:sz="4" w:space="0" w:color="000000"/>
              <w:bottom w:val="dotted" w:sz="4" w:space="0" w:color="auto"/>
              <w:right w:val="single" w:sz="4" w:space="0" w:color="000000"/>
            </w:tcBorders>
            <w:shd w:val="clear" w:color="000000" w:fill="FFC000"/>
            <w:hideMark/>
          </w:tcPr>
          <w:p w14:paraId="48266528" w14:textId="77777777" w:rsidR="00FF1E38" w:rsidRPr="00FF1E38" w:rsidRDefault="00FF1E38" w:rsidP="00FF1E38">
            <w:pPr>
              <w:spacing w:after="0" w:line="240" w:lineRule="auto"/>
              <w:ind w:left="0" w:right="0"/>
              <w:jc w:val="left"/>
              <w:rPr>
                <w:rFonts w:ascii="Times New Roman" w:eastAsia="Times New Roman" w:hAnsi="Times New Roman" w:cs="Times New Roman"/>
                <w:b/>
                <w:bCs/>
                <w:sz w:val="18"/>
                <w:szCs w:val="18"/>
              </w:rPr>
            </w:pPr>
            <w:r w:rsidRPr="00FF1E38">
              <w:rPr>
                <w:rFonts w:ascii="Times New Roman" w:eastAsia="Times New Roman" w:hAnsi="Times New Roman" w:cs="Times New Roman"/>
                <w:b/>
                <w:bCs/>
                <w:sz w:val="18"/>
                <w:szCs w:val="18"/>
              </w:rPr>
              <w:t>9. BOROVJE</w:t>
            </w:r>
          </w:p>
        </w:tc>
        <w:tc>
          <w:tcPr>
            <w:tcW w:w="5816" w:type="dxa"/>
            <w:vMerge w:val="restart"/>
            <w:tcBorders>
              <w:top w:val="nil"/>
              <w:left w:val="single" w:sz="4" w:space="0" w:color="000000"/>
              <w:bottom w:val="single" w:sz="4" w:space="0" w:color="000000"/>
              <w:right w:val="single" w:sz="4" w:space="0" w:color="000000"/>
            </w:tcBorders>
            <w:shd w:val="clear" w:color="auto" w:fill="auto"/>
            <w:hideMark/>
          </w:tcPr>
          <w:p w14:paraId="04038960"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Monolitne AB konstrukcije (poprečni nosivi zidovi ploče na rasponima uglavnom 6,0 m) na trakastim temeljima</w:t>
            </w:r>
          </w:p>
        </w:tc>
      </w:tr>
      <w:tr w:rsidR="00FF1E38" w:rsidRPr="00FF1E38" w14:paraId="16DCAE42" w14:textId="77777777" w:rsidTr="00DE0C9A">
        <w:trPr>
          <w:cantSplit/>
          <w:trHeight w:val="284"/>
        </w:trPr>
        <w:tc>
          <w:tcPr>
            <w:tcW w:w="3256" w:type="dxa"/>
            <w:tcBorders>
              <w:top w:val="dotted" w:sz="4" w:space="0" w:color="auto"/>
              <w:left w:val="single" w:sz="4" w:space="0" w:color="000000"/>
              <w:bottom w:val="single" w:sz="4" w:space="0" w:color="000000"/>
              <w:right w:val="single" w:sz="4" w:space="0" w:color="000000"/>
            </w:tcBorders>
            <w:shd w:val="clear" w:color="000000" w:fill="FFC000"/>
            <w:hideMark/>
          </w:tcPr>
          <w:p w14:paraId="71E78B76"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sz w:val="18"/>
                <w:szCs w:val="18"/>
              </w:rPr>
              <w:t>(90-te godine)</w:t>
            </w:r>
          </w:p>
        </w:tc>
        <w:tc>
          <w:tcPr>
            <w:tcW w:w="5816" w:type="dxa"/>
            <w:vMerge/>
            <w:tcBorders>
              <w:top w:val="nil"/>
              <w:left w:val="single" w:sz="4" w:space="0" w:color="000000"/>
              <w:bottom w:val="single" w:sz="4" w:space="0" w:color="000000"/>
              <w:right w:val="single" w:sz="4" w:space="0" w:color="000000"/>
            </w:tcBorders>
            <w:vAlign w:val="center"/>
            <w:hideMark/>
          </w:tcPr>
          <w:p w14:paraId="5ADE2274"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p>
        </w:tc>
      </w:tr>
      <w:tr w:rsidR="00FF1E38" w:rsidRPr="00FF1E38" w14:paraId="2C1EC333" w14:textId="77777777" w:rsidTr="00DE0C9A">
        <w:trPr>
          <w:cantSplit/>
          <w:trHeight w:val="284"/>
        </w:trPr>
        <w:tc>
          <w:tcPr>
            <w:tcW w:w="3256" w:type="dxa"/>
            <w:tcBorders>
              <w:top w:val="nil"/>
              <w:left w:val="single" w:sz="4" w:space="0" w:color="000000"/>
              <w:bottom w:val="dotted" w:sz="4" w:space="0" w:color="auto"/>
              <w:right w:val="single" w:sz="4" w:space="0" w:color="000000"/>
            </w:tcBorders>
            <w:shd w:val="clear" w:color="000000" w:fill="FFC000"/>
            <w:hideMark/>
          </w:tcPr>
          <w:p w14:paraId="2B15E5F5"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b/>
                <w:bCs/>
                <w:sz w:val="18"/>
                <w:szCs w:val="18"/>
              </w:rPr>
              <w:t>10. ŠPANSKO - ORANICE, PAVLENSKI PUT</w:t>
            </w:r>
          </w:p>
        </w:tc>
        <w:tc>
          <w:tcPr>
            <w:tcW w:w="5816"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223A287"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Monolitne AB konstrukcije (poprečni nosivi zidovi ploče na rasponima uglavnom 6,0 m) na trakastim temeljima</w:t>
            </w:r>
          </w:p>
        </w:tc>
      </w:tr>
      <w:tr w:rsidR="00FF1E38" w:rsidRPr="00FF1E38" w14:paraId="5A564819" w14:textId="77777777" w:rsidTr="00DE0C9A">
        <w:trPr>
          <w:cantSplit/>
          <w:trHeight w:val="284"/>
        </w:trPr>
        <w:tc>
          <w:tcPr>
            <w:tcW w:w="3256" w:type="dxa"/>
            <w:tcBorders>
              <w:top w:val="dotted" w:sz="4" w:space="0" w:color="auto"/>
              <w:left w:val="single" w:sz="4" w:space="0" w:color="000000"/>
              <w:bottom w:val="single" w:sz="4" w:space="0" w:color="000000"/>
              <w:right w:val="single" w:sz="4" w:space="0" w:color="000000"/>
            </w:tcBorders>
            <w:shd w:val="clear" w:color="000000" w:fill="FFC000"/>
            <w:hideMark/>
          </w:tcPr>
          <w:p w14:paraId="3333512D"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sz w:val="18"/>
                <w:szCs w:val="18"/>
              </w:rPr>
              <w:t>(2000-te godine)</w:t>
            </w:r>
          </w:p>
        </w:tc>
        <w:tc>
          <w:tcPr>
            <w:tcW w:w="5816" w:type="dxa"/>
            <w:vMerge/>
            <w:tcBorders>
              <w:top w:val="nil"/>
              <w:left w:val="single" w:sz="4" w:space="0" w:color="000000"/>
              <w:bottom w:val="single" w:sz="4" w:space="0" w:color="000000"/>
              <w:right w:val="single" w:sz="4" w:space="0" w:color="000000"/>
            </w:tcBorders>
            <w:vAlign w:val="center"/>
            <w:hideMark/>
          </w:tcPr>
          <w:p w14:paraId="52BDE711"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p>
        </w:tc>
      </w:tr>
      <w:tr w:rsidR="00FF1E38" w:rsidRPr="00FF1E38" w14:paraId="76FAA88C" w14:textId="77777777" w:rsidTr="00DE0C9A">
        <w:trPr>
          <w:cantSplit/>
          <w:trHeight w:val="284"/>
        </w:trPr>
        <w:tc>
          <w:tcPr>
            <w:tcW w:w="3256" w:type="dxa"/>
            <w:tcBorders>
              <w:top w:val="nil"/>
              <w:left w:val="single" w:sz="4" w:space="0" w:color="000000"/>
              <w:bottom w:val="dotted" w:sz="4" w:space="0" w:color="auto"/>
              <w:right w:val="single" w:sz="4" w:space="0" w:color="000000"/>
            </w:tcBorders>
            <w:shd w:val="clear" w:color="000000" w:fill="FFC000"/>
            <w:hideMark/>
          </w:tcPr>
          <w:p w14:paraId="3B18C784" w14:textId="77777777" w:rsidR="00FF1E38" w:rsidRPr="00FF1E38" w:rsidRDefault="00FF1E38" w:rsidP="00FF1E38">
            <w:pPr>
              <w:spacing w:after="0" w:line="240" w:lineRule="auto"/>
              <w:ind w:left="0" w:right="0"/>
              <w:jc w:val="left"/>
              <w:rPr>
                <w:rFonts w:ascii="Times New Roman" w:eastAsia="Times New Roman" w:hAnsi="Times New Roman" w:cs="Times New Roman"/>
                <w:b/>
                <w:bCs/>
                <w:sz w:val="18"/>
                <w:szCs w:val="18"/>
              </w:rPr>
            </w:pPr>
            <w:r w:rsidRPr="00FF1E38">
              <w:rPr>
                <w:rFonts w:ascii="Times New Roman" w:eastAsia="Times New Roman" w:hAnsi="Times New Roman" w:cs="Times New Roman"/>
                <w:b/>
                <w:bCs/>
                <w:sz w:val="18"/>
                <w:szCs w:val="18"/>
              </w:rPr>
              <w:t>11. ŠPANSKO, MALEŠNICA</w:t>
            </w:r>
          </w:p>
        </w:tc>
        <w:tc>
          <w:tcPr>
            <w:tcW w:w="5816" w:type="dxa"/>
            <w:vMerge w:val="restart"/>
            <w:tcBorders>
              <w:top w:val="nil"/>
              <w:left w:val="single" w:sz="4" w:space="0" w:color="000000"/>
              <w:bottom w:val="single" w:sz="4" w:space="0" w:color="000000"/>
              <w:right w:val="single" w:sz="4" w:space="0" w:color="000000"/>
            </w:tcBorders>
            <w:shd w:val="clear" w:color="auto" w:fill="auto"/>
            <w:hideMark/>
          </w:tcPr>
          <w:p w14:paraId="40AAE407"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Monolitne AB konstrukcije (poprečni nosivi zidovi ploče na rasponima uglavnom 6,0 m) na trakastim temeljima</w:t>
            </w:r>
          </w:p>
        </w:tc>
      </w:tr>
      <w:tr w:rsidR="00FF1E38" w:rsidRPr="00FF1E38" w14:paraId="3082DF42" w14:textId="77777777" w:rsidTr="00DE0C9A">
        <w:trPr>
          <w:cantSplit/>
          <w:trHeight w:val="284"/>
        </w:trPr>
        <w:tc>
          <w:tcPr>
            <w:tcW w:w="3256" w:type="dxa"/>
            <w:tcBorders>
              <w:top w:val="dotted" w:sz="4" w:space="0" w:color="auto"/>
              <w:left w:val="single" w:sz="4" w:space="0" w:color="000000"/>
              <w:bottom w:val="single" w:sz="4" w:space="0" w:color="000000"/>
              <w:right w:val="single" w:sz="4" w:space="0" w:color="000000"/>
            </w:tcBorders>
            <w:shd w:val="clear" w:color="000000" w:fill="FFC000"/>
            <w:hideMark/>
          </w:tcPr>
          <w:p w14:paraId="0920F20E"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sz w:val="18"/>
                <w:szCs w:val="18"/>
              </w:rPr>
              <w:t>(80-te i 90-te godine)</w:t>
            </w:r>
          </w:p>
        </w:tc>
        <w:tc>
          <w:tcPr>
            <w:tcW w:w="5816" w:type="dxa"/>
            <w:vMerge/>
            <w:tcBorders>
              <w:top w:val="nil"/>
              <w:left w:val="single" w:sz="4" w:space="0" w:color="000000"/>
              <w:bottom w:val="single" w:sz="4" w:space="0" w:color="000000"/>
              <w:right w:val="single" w:sz="4" w:space="0" w:color="000000"/>
            </w:tcBorders>
            <w:vAlign w:val="center"/>
            <w:hideMark/>
          </w:tcPr>
          <w:p w14:paraId="4FF2CBD7"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p>
        </w:tc>
      </w:tr>
      <w:tr w:rsidR="00FF1E38" w:rsidRPr="00FF1E38" w14:paraId="015E370F" w14:textId="77777777" w:rsidTr="00DE0C9A">
        <w:trPr>
          <w:cantSplit/>
          <w:trHeight w:val="284"/>
        </w:trPr>
        <w:tc>
          <w:tcPr>
            <w:tcW w:w="3256" w:type="dxa"/>
            <w:tcBorders>
              <w:top w:val="nil"/>
              <w:left w:val="single" w:sz="4" w:space="0" w:color="000000"/>
              <w:bottom w:val="dotted" w:sz="4" w:space="0" w:color="auto"/>
              <w:right w:val="single" w:sz="4" w:space="0" w:color="000000"/>
            </w:tcBorders>
            <w:shd w:val="clear" w:color="000000" w:fill="FFC000"/>
            <w:hideMark/>
          </w:tcPr>
          <w:p w14:paraId="27BBACE3" w14:textId="77777777" w:rsidR="00FF1E38" w:rsidRPr="00FF1E38" w:rsidRDefault="00FF1E38" w:rsidP="00FF1E38">
            <w:pPr>
              <w:spacing w:after="0" w:line="240" w:lineRule="auto"/>
              <w:ind w:left="0" w:right="0"/>
              <w:jc w:val="left"/>
              <w:rPr>
                <w:rFonts w:ascii="Times New Roman" w:eastAsia="Times New Roman" w:hAnsi="Times New Roman" w:cs="Times New Roman"/>
                <w:b/>
                <w:bCs/>
                <w:sz w:val="18"/>
                <w:szCs w:val="18"/>
              </w:rPr>
            </w:pPr>
            <w:r w:rsidRPr="00FF1E38">
              <w:rPr>
                <w:rFonts w:ascii="Times New Roman" w:eastAsia="Times New Roman" w:hAnsi="Times New Roman" w:cs="Times New Roman"/>
                <w:b/>
                <w:bCs/>
                <w:sz w:val="18"/>
                <w:szCs w:val="18"/>
              </w:rPr>
              <w:t>12. VOLTINO</w:t>
            </w:r>
          </w:p>
        </w:tc>
        <w:tc>
          <w:tcPr>
            <w:tcW w:w="5816" w:type="dxa"/>
            <w:vMerge w:val="restart"/>
            <w:tcBorders>
              <w:top w:val="nil"/>
              <w:left w:val="single" w:sz="4" w:space="0" w:color="000000"/>
              <w:bottom w:val="single" w:sz="4" w:space="0" w:color="000000"/>
              <w:right w:val="single" w:sz="4" w:space="0" w:color="000000"/>
            </w:tcBorders>
            <w:shd w:val="clear" w:color="auto" w:fill="auto"/>
            <w:hideMark/>
          </w:tcPr>
          <w:p w14:paraId="65E445FF"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Niže zgrade: poprečni nosivi zidovi od bet. blokova d=20 i 25 cm na razmaku od 3,20 do 3,40 m sa stropnom konstrukcijom od montažnih AB ploča d=16 cm, š=100, 120 i 140 cm sa štednim otvorima koji nakon montaže postaju monolitni stropovi</w:t>
            </w:r>
          </w:p>
        </w:tc>
      </w:tr>
      <w:tr w:rsidR="00FF1E38" w:rsidRPr="00FF1E38" w14:paraId="6C9378E1" w14:textId="77777777" w:rsidTr="00DE0C9A">
        <w:trPr>
          <w:cantSplit/>
          <w:trHeight w:val="284"/>
        </w:trPr>
        <w:tc>
          <w:tcPr>
            <w:tcW w:w="3256" w:type="dxa"/>
            <w:tcBorders>
              <w:top w:val="dotted" w:sz="4" w:space="0" w:color="auto"/>
              <w:left w:val="single" w:sz="4" w:space="0" w:color="000000"/>
              <w:bottom w:val="single" w:sz="4" w:space="0" w:color="000000"/>
              <w:right w:val="single" w:sz="4" w:space="0" w:color="000000"/>
            </w:tcBorders>
            <w:shd w:val="clear" w:color="000000" w:fill="FFC000"/>
            <w:hideMark/>
          </w:tcPr>
          <w:p w14:paraId="1672F1C0"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sz w:val="18"/>
                <w:szCs w:val="18"/>
              </w:rPr>
              <w:t>(početak 60-tih godina)</w:t>
            </w:r>
          </w:p>
        </w:tc>
        <w:tc>
          <w:tcPr>
            <w:tcW w:w="5816" w:type="dxa"/>
            <w:vMerge/>
            <w:tcBorders>
              <w:top w:val="nil"/>
              <w:left w:val="single" w:sz="4" w:space="0" w:color="000000"/>
              <w:bottom w:val="single" w:sz="4" w:space="0" w:color="000000"/>
              <w:right w:val="single" w:sz="4" w:space="0" w:color="000000"/>
            </w:tcBorders>
            <w:vAlign w:val="center"/>
            <w:hideMark/>
          </w:tcPr>
          <w:p w14:paraId="52B1082D"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p>
        </w:tc>
      </w:tr>
      <w:tr w:rsidR="00FF1E38" w:rsidRPr="00FF1E38" w14:paraId="60163BA3" w14:textId="77777777" w:rsidTr="00DE0C9A">
        <w:trPr>
          <w:cantSplit/>
          <w:trHeight w:val="284"/>
        </w:trPr>
        <w:tc>
          <w:tcPr>
            <w:tcW w:w="3256" w:type="dxa"/>
            <w:tcBorders>
              <w:top w:val="nil"/>
              <w:left w:val="single" w:sz="4" w:space="0" w:color="000000"/>
              <w:bottom w:val="dotted" w:sz="4" w:space="0" w:color="auto"/>
              <w:right w:val="single" w:sz="4" w:space="0" w:color="000000"/>
            </w:tcBorders>
            <w:shd w:val="clear" w:color="000000" w:fill="FFC000"/>
            <w:hideMark/>
          </w:tcPr>
          <w:p w14:paraId="70913FAE"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b/>
                <w:bCs/>
                <w:sz w:val="18"/>
                <w:szCs w:val="18"/>
              </w:rPr>
              <w:t xml:space="preserve">13. VOLTINO </w:t>
            </w:r>
            <w:r w:rsidRPr="00FF1E38">
              <w:rPr>
                <w:rFonts w:ascii="Times New Roman" w:eastAsia="Times New Roman" w:hAnsi="Times New Roman" w:cs="Times New Roman"/>
                <w:sz w:val="18"/>
                <w:szCs w:val="18"/>
              </w:rPr>
              <w:t>(''Papagajke'')</w:t>
            </w:r>
          </w:p>
        </w:tc>
        <w:tc>
          <w:tcPr>
            <w:tcW w:w="5816"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F44DE71"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Monolitne AB konstrukcije na trakastim temeljima, izvedene kliznom oplatom</w:t>
            </w:r>
          </w:p>
        </w:tc>
      </w:tr>
      <w:tr w:rsidR="00FF1E38" w:rsidRPr="00FF1E38" w14:paraId="03453B5D" w14:textId="77777777" w:rsidTr="00DE0C9A">
        <w:trPr>
          <w:cantSplit/>
          <w:trHeight w:val="284"/>
        </w:trPr>
        <w:tc>
          <w:tcPr>
            <w:tcW w:w="3256" w:type="dxa"/>
            <w:tcBorders>
              <w:top w:val="dotted" w:sz="4" w:space="0" w:color="auto"/>
              <w:left w:val="single" w:sz="4" w:space="0" w:color="000000"/>
              <w:bottom w:val="single" w:sz="4" w:space="0" w:color="000000"/>
              <w:right w:val="single" w:sz="4" w:space="0" w:color="000000"/>
            </w:tcBorders>
            <w:shd w:val="clear" w:color="000000" w:fill="FFC000"/>
            <w:hideMark/>
          </w:tcPr>
          <w:p w14:paraId="4FFACAF5"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sz w:val="18"/>
                <w:szCs w:val="18"/>
              </w:rPr>
              <w:t>(prva pol. 80-tih godina)</w:t>
            </w:r>
          </w:p>
        </w:tc>
        <w:tc>
          <w:tcPr>
            <w:tcW w:w="5816" w:type="dxa"/>
            <w:vMerge/>
            <w:tcBorders>
              <w:top w:val="nil"/>
              <w:left w:val="single" w:sz="4" w:space="0" w:color="000000"/>
              <w:bottom w:val="single" w:sz="4" w:space="0" w:color="000000"/>
              <w:right w:val="single" w:sz="4" w:space="0" w:color="000000"/>
            </w:tcBorders>
            <w:vAlign w:val="center"/>
            <w:hideMark/>
          </w:tcPr>
          <w:p w14:paraId="634904AD"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p>
        </w:tc>
      </w:tr>
      <w:tr w:rsidR="00FF1E38" w:rsidRPr="00FF1E38" w14:paraId="391FC9DE" w14:textId="77777777" w:rsidTr="00DE0C9A">
        <w:trPr>
          <w:cantSplit/>
          <w:trHeight w:val="284"/>
        </w:trPr>
        <w:tc>
          <w:tcPr>
            <w:tcW w:w="3256" w:type="dxa"/>
            <w:tcBorders>
              <w:top w:val="nil"/>
              <w:left w:val="single" w:sz="4" w:space="0" w:color="000000"/>
              <w:bottom w:val="dotted" w:sz="4" w:space="0" w:color="auto"/>
              <w:right w:val="single" w:sz="4" w:space="0" w:color="000000"/>
            </w:tcBorders>
            <w:shd w:val="clear" w:color="000000" w:fill="FFC000"/>
            <w:hideMark/>
          </w:tcPr>
          <w:p w14:paraId="12032273" w14:textId="77777777" w:rsidR="00FF1E38" w:rsidRPr="00FF1E38" w:rsidRDefault="00FF1E38" w:rsidP="00FF1E38">
            <w:pPr>
              <w:spacing w:after="0" w:line="240" w:lineRule="auto"/>
              <w:ind w:left="0" w:right="0"/>
              <w:jc w:val="left"/>
              <w:rPr>
                <w:rFonts w:ascii="Times New Roman" w:eastAsia="Times New Roman" w:hAnsi="Times New Roman" w:cs="Times New Roman"/>
                <w:b/>
                <w:bCs/>
                <w:sz w:val="18"/>
                <w:szCs w:val="18"/>
              </w:rPr>
            </w:pPr>
            <w:r w:rsidRPr="00FF1E38">
              <w:rPr>
                <w:rFonts w:ascii="Times New Roman" w:eastAsia="Times New Roman" w:hAnsi="Times New Roman" w:cs="Times New Roman"/>
                <w:b/>
                <w:bCs/>
                <w:sz w:val="18"/>
                <w:szCs w:val="18"/>
              </w:rPr>
              <w:t>14. JARUN</w:t>
            </w:r>
          </w:p>
        </w:tc>
        <w:tc>
          <w:tcPr>
            <w:tcW w:w="5816" w:type="dxa"/>
            <w:vMerge w:val="restart"/>
            <w:tcBorders>
              <w:top w:val="nil"/>
              <w:left w:val="single" w:sz="4" w:space="0" w:color="000000"/>
              <w:bottom w:val="single" w:sz="4" w:space="0" w:color="000000"/>
              <w:right w:val="single" w:sz="4" w:space="0" w:color="000000"/>
            </w:tcBorders>
            <w:shd w:val="clear" w:color="auto" w:fill="auto"/>
            <w:hideMark/>
          </w:tcPr>
          <w:p w14:paraId="1D4D4A15"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Monolitna AB konstr. (stijene i ploče d=16 cm na trakastim temeljima), rasponi od 3,60, 5,40 i 6,0 m (izvedeno prostor. oplatom)</w:t>
            </w:r>
          </w:p>
        </w:tc>
      </w:tr>
      <w:tr w:rsidR="00FF1E38" w:rsidRPr="00FF1E38" w14:paraId="42F3B313" w14:textId="77777777" w:rsidTr="00DE0C9A">
        <w:trPr>
          <w:cantSplit/>
          <w:trHeight w:val="284"/>
        </w:trPr>
        <w:tc>
          <w:tcPr>
            <w:tcW w:w="3256" w:type="dxa"/>
            <w:tcBorders>
              <w:top w:val="dotted" w:sz="4" w:space="0" w:color="auto"/>
              <w:left w:val="single" w:sz="4" w:space="0" w:color="000000"/>
              <w:bottom w:val="single" w:sz="4" w:space="0" w:color="000000"/>
              <w:right w:val="single" w:sz="4" w:space="0" w:color="000000"/>
            </w:tcBorders>
            <w:shd w:val="clear" w:color="000000" w:fill="FFC000"/>
            <w:hideMark/>
          </w:tcPr>
          <w:p w14:paraId="13901302"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sz w:val="18"/>
                <w:szCs w:val="18"/>
              </w:rPr>
              <w:t>(druga pol. 70-tih, prva pol. 80-tih)</w:t>
            </w:r>
          </w:p>
        </w:tc>
        <w:tc>
          <w:tcPr>
            <w:tcW w:w="5816" w:type="dxa"/>
            <w:vMerge/>
            <w:tcBorders>
              <w:top w:val="nil"/>
              <w:left w:val="single" w:sz="4" w:space="0" w:color="000000"/>
              <w:bottom w:val="single" w:sz="4" w:space="0" w:color="000000"/>
              <w:right w:val="single" w:sz="4" w:space="0" w:color="000000"/>
            </w:tcBorders>
            <w:vAlign w:val="center"/>
            <w:hideMark/>
          </w:tcPr>
          <w:p w14:paraId="1935E089"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p>
        </w:tc>
      </w:tr>
      <w:tr w:rsidR="00FF1E38" w:rsidRPr="00FF1E38" w14:paraId="77F11C4F" w14:textId="77777777" w:rsidTr="00DE0C9A">
        <w:trPr>
          <w:cantSplit/>
          <w:trHeight w:val="284"/>
        </w:trPr>
        <w:tc>
          <w:tcPr>
            <w:tcW w:w="3256" w:type="dxa"/>
            <w:tcBorders>
              <w:top w:val="nil"/>
              <w:left w:val="single" w:sz="4" w:space="0" w:color="000000"/>
              <w:bottom w:val="dotted" w:sz="4" w:space="0" w:color="auto"/>
              <w:right w:val="single" w:sz="4" w:space="0" w:color="000000"/>
            </w:tcBorders>
            <w:shd w:val="clear" w:color="000000" w:fill="FFC000"/>
            <w:hideMark/>
          </w:tcPr>
          <w:p w14:paraId="1A29A870" w14:textId="77777777" w:rsidR="00FF1E38" w:rsidRPr="00FF1E38" w:rsidRDefault="00FF1E38" w:rsidP="00FF1E38">
            <w:pPr>
              <w:spacing w:after="0" w:line="240" w:lineRule="auto"/>
              <w:ind w:left="0" w:right="0"/>
              <w:jc w:val="left"/>
              <w:rPr>
                <w:rFonts w:ascii="Times New Roman" w:eastAsia="Times New Roman" w:hAnsi="Times New Roman" w:cs="Times New Roman"/>
                <w:b/>
                <w:bCs/>
                <w:sz w:val="18"/>
                <w:szCs w:val="18"/>
              </w:rPr>
            </w:pPr>
            <w:r w:rsidRPr="00FF1E38">
              <w:rPr>
                <w:rFonts w:ascii="Times New Roman" w:eastAsia="Times New Roman" w:hAnsi="Times New Roman" w:cs="Times New Roman"/>
                <w:b/>
                <w:bCs/>
                <w:sz w:val="18"/>
                <w:szCs w:val="18"/>
              </w:rPr>
              <w:t>15. TREŠNJEVKA</w:t>
            </w:r>
          </w:p>
        </w:tc>
        <w:tc>
          <w:tcPr>
            <w:tcW w:w="5816" w:type="dxa"/>
            <w:vMerge w:val="restart"/>
            <w:tcBorders>
              <w:top w:val="nil"/>
              <w:left w:val="single" w:sz="4" w:space="0" w:color="000000"/>
              <w:bottom w:val="single" w:sz="4" w:space="0" w:color="000000"/>
              <w:right w:val="single" w:sz="4" w:space="0" w:color="000000"/>
            </w:tcBorders>
            <w:shd w:val="clear" w:color="auto" w:fill="auto"/>
            <w:hideMark/>
          </w:tcPr>
          <w:p w14:paraId="4B2F7D92"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Veliki postotak nesolidne ''uradi sam''/divlje gradnje, od NF (starije) i blok (novije) opeke s AB serklažima i polumontažnim stropovima tipa ''fert''</w:t>
            </w:r>
          </w:p>
        </w:tc>
      </w:tr>
      <w:tr w:rsidR="00FF1E38" w:rsidRPr="00FF1E38" w14:paraId="6344F276" w14:textId="77777777" w:rsidTr="00DE0C9A">
        <w:trPr>
          <w:cantSplit/>
          <w:trHeight w:val="284"/>
        </w:trPr>
        <w:tc>
          <w:tcPr>
            <w:tcW w:w="3256" w:type="dxa"/>
            <w:tcBorders>
              <w:top w:val="dotted" w:sz="4" w:space="0" w:color="auto"/>
              <w:left w:val="single" w:sz="4" w:space="0" w:color="000000"/>
              <w:bottom w:val="single" w:sz="4" w:space="0" w:color="000000"/>
              <w:right w:val="single" w:sz="4" w:space="0" w:color="000000"/>
            </w:tcBorders>
            <w:shd w:val="clear" w:color="000000" w:fill="FFC000"/>
            <w:hideMark/>
          </w:tcPr>
          <w:p w14:paraId="77D7ED78"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sz w:val="18"/>
                <w:szCs w:val="18"/>
              </w:rPr>
              <w:t> </w:t>
            </w:r>
          </w:p>
        </w:tc>
        <w:tc>
          <w:tcPr>
            <w:tcW w:w="5816" w:type="dxa"/>
            <w:vMerge/>
            <w:tcBorders>
              <w:top w:val="nil"/>
              <w:left w:val="single" w:sz="4" w:space="0" w:color="000000"/>
              <w:bottom w:val="single" w:sz="4" w:space="0" w:color="000000"/>
              <w:right w:val="single" w:sz="4" w:space="0" w:color="000000"/>
            </w:tcBorders>
            <w:vAlign w:val="center"/>
            <w:hideMark/>
          </w:tcPr>
          <w:p w14:paraId="31BE0EA7"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p>
        </w:tc>
      </w:tr>
      <w:tr w:rsidR="00FF1E38" w:rsidRPr="00FF1E38" w14:paraId="3A28B131" w14:textId="77777777" w:rsidTr="00DE0C9A">
        <w:trPr>
          <w:cantSplit/>
          <w:trHeight w:val="284"/>
        </w:trPr>
        <w:tc>
          <w:tcPr>
            <w:tcW w:w="3256" w:type="dxa"/>
            <w:tcBorders>
              <w:top w:val="nil"/>
              <w:left w:val="single" w:sz="4" w:space="0" w:color="000000"/>
              <w:bottom w:val="dotted" w:sz="4" w:space="0" w:color="auto"/>
              <w:right w:val="single" w:sz="4" w:space="0" w:color="000000"/>
            </w:tcBorders>
            <w:shd w:val="clear" w:color="000000" w:fill="FFC000"/>
            <w:hideMark/>
          </w:tcPr>
          <w:p w14:paraId="671671E1" w14:textId="77777777" w:rsidR="00FF1E38" w:rsidRPr="00FF1E38" w:rsidRDefault="00FF1E38" w:rsidP="00FF1E38">
            <w:pPr>
              <w:spacing w:after="0" w:line="240" w:lineRule="auto"/>
              <w:ind w:left="0" w:right="0"/>
              <w:jc w:val="left"/>
              <w:rPr>
                <w:rFonts w:ascii="Times New Roman" w:eastAsia="Times New Roman" w:hAnsi="Times New Roman" w:cs="Times New Roman"/>
                <w:b/>
                <w:bCs/>
                <w:sz w:val="18"/>
                <w:szCs w:val="18"/>
              </w:rPr>
            </w:pPr>
            <w:r w:rsidRPr="00FF1E38">
              <w:rPr>
                <w:rFonts w:ascii="Times New Roman" w:eastAsia="Times New Roman" w:hAnsi="Times New Roman" w:cs="Times New Roman"/>
                <w:b/>
                <w:bCs/>
                <w:sz w:val="18"/>
                <w:szCs w:val="18"/>
              </w:rPr>
              <w:t>16. VUKOVARSKA ULICA, VRBIK</w:t>
            </w:r>
          </w:p>
        </w:tc>
        <w:tc>
          <w:tcPr>
            <w:tcW w:w="5816"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31BBCD9"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Poprečne AB stijene ili blokovi + predgotovljeno sitno rebro (elementi ''T'' ili ''П'' presjeka)</w:t>
            </w:r>
          </w:p>
        </w:tc>
      </w:tr>
      <w:tr w:rsidR="00FF1E38" w:rsidRPr="00FF1E38" w14:paraId="1902329A" w14:textId="77777777" w:rsidTr="00DE0C9A">
        <w:trPr>
          <w:cantSplit/>
          <w:trHeight w:val="284"/>
        </w:trPr>
        <w:tc>
          <w:tcPr>
            <w:tcW w:w="3256" w:type="dxa"/>
            <w:tcBorders>
              <w:top w:val="dotted" w:sz="4" w:space="0" w:color="auto"/>
              <w:left w:val="single" w:sz="4" w:space="0" w:color="000000"/>
              <w:bottom w:val="single" w:sz="4" w:space="0" w:color="000000"/>
              <w:right w:val="single" w:sz="4" w:space="0" w:color="000000"/>
            </w:tcBorders>
            <w:shd w:val="clear" w:color="000000" w:fill="FFC000"/>
            <w:hideMark/>
          </w:tcPr>
          <w:p w14:paraId="46226EE8"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sz w:val="18"/>
                <w:szCs w:val="18"/>
              </w:rPr>
              <w:t>(druga pol. 40-tih, 50-te godine)</w:t>
            </w:r>
          </w:p>
        </w:tc>
        <w:tc>
          <w:tcPr>
            <w:tcW w:w="5816" w:type="dxa"/>
            <w:vMerge/>
            <w:tcBorders>
              <w:top w:val="nil"/>
              <w:left w:val="single" w:sz="4" w:space="0" w:color="000000"/>
              <w:bottom w:val="single" w:sz="4" w:space="0" w:color="000000"/>
              <w:right w:val="single" w:sz="4" w:space="0" w:color="000000"/>
            </w:tcBorders>
            <w:vAlign w:val="center"/>
            <w:hideMark/>
          </w:tcPr>
          <w:p w14:paraId="32058669"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p>
        </w:tc>
      </w:tr>
      <w:tr w:rsidR="00FF1E38" w:rsidRPr="00FF1E38" w14:paraId="73E0C07A" w14:textId="77777777" w:rsidTr="00DE0C9A">
        <w:trPr>
          <w:cantSplit/>
          <w:trHeight w:val="284"/>
        </w:trPr>
        <w:tc>
          <w:tcPr>
            <w:tcW w:w="3256" w:type="dxa"/>
            <w:tcBorders>
              <w:top w:val="nil"/>
              <w:left w:val="single" w:sz="4" w:space="0" w:color="000000"/>
              <w:bottom w:val="dotted" w:sz="4" w:space="0" w:color="auto"/>
              <w:right w:val="single" w:sz="4" w:space="0" w:color="000000"/>
            </w:tcBorders>
            <w:shd w:val="clear" w:color="000000" w:fill="FFC000"/>
            <w:hideMark/>
          </w:tcPr>
          <w:p w14:paraId="045C0A3A" w14:textId="77777777" w:rsidR="00FF1E38" w:rsidRPr="00FF1E38" w:rsidRDefault="00FF1E38" w:rsidP="00FF1E38">
            <w:pPr>
              <w:spacing w:after="0" w:line="240" w:lineRule="auto"/>
              <w:ind w:left="0" w:right="0"/>
              <w:jc w:val="left"/>
              <w:rPr>
                <w:rFonts w:ascii="Times New Roman" w:eastAsia="Times New Roman" w:hAnsi="Times New Roman" w:cs="Times New Roman"/>
                <w:b/>
                <w:bCs/>
                <w:sz w:val="18"/>
                <w:szCs w:val="18"/>
              </w:rPr>
            </w:pPr>
            <w:r w:rsidRPr="00FF1E38">
              <w:rPr>
                <w:rFonts w:ascii="Times New Roman" w:eastAsia="Times New Roman" w:hAnsi="Times New Roman" w:cs="Times New Roman"/>
                <w:b/>
                <w:bCs/>
                <w:sz w:val="18"/>
                <w:szCs w:val="18"/>
              </w:rPr>
              <w:t>17. GORNJI GRAD</w:t>
            </w:r>
          </w:p>
        </w:tc>
        <w:tc>
          <w:tcPr>
            <w:tcW w:w="5816" w:type="dxa"/>
            <w:vMerge w:val="restart"/>
            <w:tcBorders>
              <w:top w:val="nil"/>
              <w:left w:val="single" w:sz="4" w:space="0" w:color="000000"/>
              <w:bottom w:val="single" w:sz="4" w:space="0" w:color="000000"/>
              <w:right w:val="single" w:sz="4" w:space="0" w:color="000000"/>
            </w:tcBorders>
            <w:shd w:val="clear" w:color="auto" w:fill="auto"/>
            <w:hideMark/>
          </w:tcPr>
          <w:p w14:paraId="5A010319"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Uzdužni nosivi zidovi (pročelja i sredini) od pune opeke NF debljine cca 50 cm, serklažirani plosnim željezom + drveni grednik na rasponu cca 5,0 m</w:t>
            </w:r>
          </w:p>
        </w:tc>
      </w:tr>
      <w:tr w:rsidR="00FF1E38" w:rsidRPr="00FF1E38" w14:paraId="0B6927E5" w14:textId="77777777" w:rsidTr="00DE0C9A">
        <w:trPr>
          <w:cantSplit/>
          <w:trHeight w:val="284"/>
        </w:trPr>
        <w:tc>
          <w:tcPr>
            <w:tcW w:w="3256" w:type="dxa"/>
            <w:tcBorders>
              <w:top w:val="dotted" w:sz="4" w:space="0" w:color="auto"/>
              <w:left w:val="single" w:sz="4" w:space="0" w:color="000000"/>
              <w:bottom w:val="single" w:sz="4" w:space="0" w:color="000000"/>
              <w:right w:val="single" w:sz="4" w:space="0" w:color="000000"/>
            </w:tcBorders>
            <w:shd w:val="clear" w:color="000000" w:fill="FFC000"/>
            <w:hideMark/>
          </w:tcPr>
          <w:p w14:paraId="104505D4"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sz w:val="18"/>
                <w:szCs w:val="18"/>
              </w:rPr>
              <w:t>(17., 18. i 19 stoljeće)</w:t>
            </w:r>
          </w:p>
        </w:tc>
        <w:tc>
          <w:tcPr>
            <w:tcW w:w="5816" w:type="dxa"/>
            <w:vMerge/>
            <w:tcBorders>
              <w:top w:val="nil"/>
              <w:left w:val="single" w:sz="4" w:space="0" w:color="000000"/>
              <w:bottom w:val="single" w:sz="4" w:space="0" w:color="000000"/>
              <w:right w:val="single" w:sz="4" w:space="0" w:color="000000"/>
            </w:tcBorders>
            <w:vAlign w:val="center"/>
            <w:hideMark/>
          </w:tcPr>
          <w:p w14:paraId="42FD5315"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p>
        </w:tc>
      </w:tr>
      <w:tr w:rsidR="00FF1E38" w:rsidRPr="00FF1E38" w14:paraId="48DAAFCC" w14:textId="77777777" w:rsidTr="00DE0C9A">
        <w:trPr>
          <w:cantSplit/>
          <w:trHeight w:val="284"/>
        </w:trPr>
        <w:tc>
          <w:tcPr>
            <w:tcW w:w="3256" w:type="dxa"/>
            <w:tcBorders>
              <w:top w:val="nil"/>
              <w:left w:val="single" w:sz="4" w:space="0" w:color="000000"/>
              <w:bottom w:val="dotted" w:sz="4" w:space="0" w:color="auto"/>
              <w:right w:val="single" w:sz="4" w:space="0" w:color="000000"/>
            </w:tcBorders>
            <w:shd w:val="clear" w:color="000000" w:fill="FFC000"/>
            <w:hideMark/>
          </w:tcPr>
          <w:p w14:paraId="5C2C38CF" w14:textId="77777777" w:rsidR="00FF1E38" w:rsidRPr="00FF1E38" w:rsidRDefault="00FF1E38" w:rsidP="00FF1E38">
            <w:pPr>
              <w:spacing w:after="0" w:line="240" w:lineRule="auto"/>
              <w:ind w:left="0" w:right="0"/>
              <w:jc w:val="left"/>
              <w:rPr>
                <w:rFonts w:ascii="Times New Roman" w:eastAsia="Times New Roman" w:hAnsi="Times New Roman" w:cs="Times New Roman"/>
                <w:b/>
                <w:bCs/>
                <w:sz w:val="18"/>
                <w:szCs w:val="18"/>
              </w:rPr>
            </w:pPr>
            <w:r w:rsidRPr="00FF1E38">
              <w:rPr>
                <w:rFonts w:ascii="Times New Roman" w:eastAsia="Times New Roman" w:hAnsi="Times New Roman" w:cs="Times New Roman"/>
                <w:b/>
                <w:bCs/>
                <w:sz w:val="18"/>
                <w:szCs w:val="18"/>
              </w:rPr>
              <w:t>18. DONJI GRAD (80 %)</w:t>
            </w:r>
          </w:p>
        </w:tc>
        <w:tc>
          <w:tcPr>
            <w:tcW w:w="5816" w:type="dxa"/>
            <w:vMerge w:val="restart"/>
            <w:tcBorders>
              <w:top w:val="nil"/>
              <w:left w:val="single" w:sz="4" w:space="0" w:color="000000"/>
              <w:bottom w:val="single" w:sz="4" w:space="0" w:color="000000"/>
              <w:right w:val="single" w:sz="4" w:space="0" w:color="000000"/>
            </w:tcBorders>
            <w:shd w:val="clear" w:color="auto" w:fill="auto"/>
            <w:hideMark/>
          </w:tcPr>
          <w:p w14:paraId="278C3504"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Uzdužni nosivi zidovi (pročelja i sredni) od pune opeke NF debljine cca 50 cm, serklažirani plošnim željezom + drveni grednik na rasponu cca 5,0 m</w:t>
            </w:r>
          </w:p>
        </w:tc>
      </w:tr>
      <w:tr w:rsidR="00FF1E38" w:rsidRPr="00FF1E38" w14:paraId="773B8CE5" w14:textId="77777777" w:rsidTr="00DE0C9A">
        <w:trPr>
          <w:cantSplit/>
          <w:trHeight w:val="284"/>
        </w:trPr>
        <w:tc>
          <w:tcPr>
            <w:tcW w:w="3256" w:type="dxa"/>
            <w:tcBorders>
              <w:top w:val="dotted" w:sz="4" w:space="0" w:color="auto"/>
              <w:left w:val="single" w:sz="4" w:space="0" w:color="000000"/>
              <w:bottom w:val="single" w:sz="4" w:space="0" w:color="000000"/>
              <w:right w:val="single" w:sz="4" w:space="0" w:color="000000"/>
            </w:tcBorders>
            <w:shd w:val="clear" w:color="000000" w:fill="FFC000"/>
            <w:hideMark/>
          </w:tcPr>
          <w:p w14:paraId="0896FAAE"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sz w:val="18"/>
                <w:szCs w:val="18"/>
              </w:rPr>
              <w:t>(1830. - 1920. godine)</w:t>
            </w:r>
          </w:p>
        </w:tc>
        <w:tc>
          <w:tcPr>
            <w:tcW w:w="5816" w:type="dxa"/>
            <w:vMerge/>
            <w:tcBorders>
              <w:top w:val="nil"/>
              <w:left w:val="single" w:sz="4" w:space="0" w:color="000000"/>
              <w:bottom w:val="single" w:sz="4" w:space="0" w:color="000000"/>
              <w:right w:val="single" w:sz="4" w:space="0" w:color="000000"/>
            </w:tcBorders>
            <w:vAlign w:val="center"/>
            <w:hideMark/>
          </w:tcPr>
          <w:p w14:paraId="231BA953"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p>
        </w:tc>
      </w:tr>
      <w:tr w:rsidR="00FF1E38" w:rsidRPr="00FF1E38" w14:paraId="11C86A2D" w14:textId="77777777" w:rsidTr="00DE0C9A">
        <w:trPr>
          <w:cantSplit/>
          <w:trHeight w:val="284"/>
        </w:trPr>
        <w:tc>
          <w:tcPr>
            <w:tcW w:w="3256" w:type="dxa"/>
            <w:tcBorders>
              <w:top w:val="nil"/>
              <w:left w:val="single" w:sz="4" w:space="0" w:color="000000"/>
              <w:bottom w:val="dotted" w:sz="4" w:space="0" w:color="auto"/>
              <w:right w:val="single" w:sz="4" w:space="0" w:color="000000"/>
            </w:tcBorders>
            <w:shd w:val="clear" w:color="000000" w:fill="FFC000"/>
            <w:hideMark/>
          </w:tcPr>
          <w:p w14:paraId="429932CA" w14:textId="77777777" w:rsidR="00FF1E38" w:rsidRPr="00FF1E38" w:rsidRDefault="00FF1E38" w:rsidP="00FF1E38">
            <w:pPr>
              <w:spacing w:after="0" w:line="240" w:lineRule="auto"/>
              <w:ind w:left="0" w:right="0"/>
              <w:jc w:val="left"/>
              <w:rPr>
                <w:rFonts w:ascii="Times New Roman" w:eastAsia="Times New Roman" w:hAnsi="Times New Roman" w:cs="Times New Roman"/>
                <w:b/>
                <w:bCs/>
                <w:sz w:val="18"/>
                <w:szCs w:val="18"/>
              </w:rPr>
            </w:pPr>
            <w:r w:rsidRPr="00FF1E38">
              <w:rPr>
                <w:rFonts w:ascii="Times New Roman" w:eastAsia="Times New Roman" w:hAnsi="Times New Roman" w:cs="Times New Roman"/>
                <w:b/>
                <w:bCs/>
                <w:sz w:val="18"/>
                <w:szCs w:val="18"/>
              </w:rPr>
              <w:t>19. NOVAKOVA ULICA</w:t>
            </w:r>
          </w:p>
        </w:tc>
        <w:tc>
          <w:tcPr>
            <w:tcW w:w="5816"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A3E4421"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AB skelet na temeljima samcima + sitnorebrasti strop)</w:t>
            </w:r>
          </w:p>
        </w:tc>
      </w:tr>
      <w:tr w:rsidR="00FF1E38" w:rsidRPr="00FF1E38" w14:paraId="658AD024" w14:textId="77777777" w:rsidTr="00DE0C9A">
        <w:trPr>
          <w:cantSplit/>
          <w:trHeight w:val="284"/>
        </w:trPr>
        <w:tc>
          <w:tcPr>
            <w:tcW w:w="3256" w:type="dxa"/>
            <w:tcBorders>
              <w:top w:val="dotted" w:sz="4" w:space="0" w:color="auto"/>
              <w:left w:val="single" w:sz="4" w:space="0" w:color="000000"/>
              <w:bottom w:val="single" w:sz="4" w:space="0" w:color="000000"/>
              <w:right w:val="single" w:sz="4" w:space="0" w:color="000000"/>
            </w:tcBorders>
            <w:shd w:val="clear" w:color="000000" w:fill="FFC000"/>
            <w:hideMark/>
          </w:tcPr>
          <w:p w14:paraId="509DFF10"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sz w:val="18"/>
                <w:szCs w:val="18"/>
              </w:rPr>
              <w:t>(VILE iz 30-tih godina)</w:t>
            </w:r>
          </w:p>
        </w:tc>
        <w:tc>
          <w:tcPr>
            <w:tcW w:w="5816" w:type="dxa"/>
            <w:vMerge/>
            <w:tcBorders>
              <w:top w:val="nil"/>
              <w:left w:val="single" w:sz="4" w:space="0" w:color="000000"/>
              <w:bottom w:val="single" w:sz="4" w:space="0" w:color="000000"/>
              <w:right w:val="single" w:sz="4" w:space="0" w:color="000000"/>
            </w:tcBorders>
            <w:vAlign w:val="center"/>
            <w:hideMark/>
          </w:tcPr>
          <w:p w14:paraId="584EE3ED"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p>
        </w:tc>
      </w:tr>
      <w:tr w:rsidR="00FF1E38" w:rsidRPr="00FF1E38" w14:paraId="36FAD750" w14:textId="77777777" w:rsidTr="00DE0C9A">
        <w:trPr>
          <w:cantSplit/>
          <w:trHeight w:val="284"/>
        </w:trPr>
        <w:tc>
          <w:tcPr>
            <w:tcW w:w="3256" w:type="dxa"/>
            <w:tcBorders>
              <w:top w:val="nil"/>
              <w:left w:val="single" w:sz="4" w:space="0" w:color="000000"/>
              <w:bottom w:val="dotted" w:sz="4" w:space="0" w:color="auto"/>
              <w:right w:val="single" w:sz="4" w:space="0" w:color="000000"/>
            </w:tcBorders>
            <w:shd w:val="clear" w:color="000000" w:fill="FFC000"/>
            <w:hideMark/>
          </w:tcPr>
          <w:p w14:paraId="195FD524" w14:textId="77777777" w:rsidR="00FF1E38" w:rsidRPr="00FF1E38" w:rsidRDefault="00FF1E38" w:rsidP="00FF1E38">
            <w:pPr>
              <w:spacing w:after="0" w:line="240" w:lineRule="auto"/>
              <w:ind w:left="0" w:right="0"/>
              <w:jc w:val="left"/>
              <w:rPr>
                <w:rFonts w:ascii="Times New Roman" w:eastAsia="Times New Roman" w:hAnsi="Times New Roman" w:cs="Times New Roman"/>
                <w:b/>
                <w:bCs/>
                <w:sz w:val="18"/>
                <w:szCs w:val="18"/>
              </w:rPr>
            </w:pPr>
            <w:r w:rsidRPr="00FF1E38">
              <w:rPr>
                <w:rFonts w:ascii="Times New Roman" w:eastAsia="Times New Roman" w:hAnsi="Times New Roman" w:cs="Times New Roman"/>
                <w:b/>
                <w:bCs/>
                <w:sz w:val="18"/>
                <w:szCs w:val="18"/>
              </w:rPr>
              <w:t>20. PEŠČENICA, SIGEČICA</w:t>
            </w:r>
          </w:p>
        </w:tc>
        <w:tc>
          <w:tcPr>
            <w:tcW w:w="5816" w:type="dxa"/>
            <w:vMerge w:val="restart"/>
            <w:tcBorders>
              <w:top w:val="nil"/>
              <w:left w:val="single" w:sz="4" w:space="0" w:color="000000"/>
              <w:bottom w:val="single" w:sz="4" w:space="0" w:color="000000"/>
              <w:right w:val="single" w:sz="4" w:space="0" w:color="000000"/>
            </w:tcBorders>
            <w:shd w:val="clear" w:color="auto" w:fill="auto"/>
            <w:hideMark/>
          </w:tcPr>
          <w:p w14:paraId="0C807450"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Uzdužni nosivi zidovi od opeke NF slaganih poprečno (25 cm), stropovi AB sitno rebro na rasponu 4,80 m, hor. i vert. serklaži</w:t>
            </w:r>
          </w:p>
        </w:tc>
      </w:tr>
      <w:tr w:rsidR="00FF1E38" w:rsidRPr="00FF1E38" w14:paraId="7EE4C9CB" w14:textId="77777777" w:rsidTr="00DE0C9A">
        <w:trPr>
          <w:cantSplit/>
          <w:trHeight w:val="284"/>
        </w:trPr>
        <w:tc>
          <w:tcPr>
            <w:tcW w:w="3256" w:type="dxa"/>
            <w:tcBorders>
              <w:top w:val="dotted" w:sz="4" w:space="0" w:color="auto"/>
              <w:left w:val="single" w:sz="4" w:space="0" w:color="000000"/>
              <w:bottom w:val="single" w:sz="4" w:space="0" w:color="000000"/>
              <w:right w:val="single" w:sz="4" w:space="0" w:color="000000"/>
            </w:tcBorders>
            <w:shd w:val="clear" w:color="000000" w:fill="FFC000"/>
            <w:hideMark/>
          </w:tcPr>
          <w:p w14:paraId="5022DF05"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sz w:val="18"/>
                <w:szCs w:val="18"/>
              </w:rPr>
              <w:t>(prijelaz 50-te na 60-te godine)</w:t>
            </w:r>
          </w:p>
        </w:tc>
        <w:tc>
          <w:tcPr>
            <w:tcW w:w="5816" w:type="dxa"/>
            <w:vMerge/>
            <w:tcBorders>
              <w:top w:val="nil"/>
              <w:left w:val="single" w:sz="4" w:space="0" w:color="000000"/>
              <w:bottom w:val="single" w:sz="4" w:space="0" w:color="000000"/>
              <w:right w:val="single" w:sz="4" w:space="0" w:color="000000"/>
            </w:tcBorders>
            <w:vAlign w:val="center"/>
            <w:hideMark/>
          </w:tcPr>
          <w:p w14:paraId="64D29D2E"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p>
        </w:tc>
      </w:tr>
      <w:tr w:rsidR="00FF1E38" w:rsidRPr="00FF1E38" w14:paraId="04B3AF71" w14:textId="77777777" w:rsidTr="00DE0C9A">
        <w:trPr>
          <w:cantSplit/>
          <w:trHeight w:val="284"/>
        </w:trPr>
        <w:tc>
          <w:tcPr>
            <w:tcW w:w="3256" w:type="dxa"/>
            <w:tcBorders>
              <w:top w:val="nil"/>
              <w:left w:val="single" w:sz="4" w:space="0" w:color="000000"/>
              <w:bottom w:val="dotted" w:sz="4" w:space="0" w:color="auto"/>
              <w:right w:val="single" w:sz="4" w:space="0" w:color="000000"/>
            </w:tcBorders>
            <w:shd w:val="clear" w:color="000000" w:fill="FFC000"/>
            <w:hideMark/>
          </w:tcPr>
          <w:p w14:paraId="2A1E7A04"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b/>
                <w:bCs/>
                <w:sz w:val="18"/>
                <w:szCs w:val="18"/>
              </w:rPr>
              <w:lastRenderedPageBreak/>
              <w:t xml:space="preserve">21. BORONGAJ </w:t>
            </w:r>
            <w:r w:rsidRPr="00FF1E38">
              <w:rPr>
                <w:rFonts w:ascii="Times New Roman" w:eastAsia="Times New Roman" w:hAnsi="Times New Roman" w:cs="Times New Roman"/>
                <w:sz w:val="18"/>
                <w:szCs w:val="18"/>
              </w:rPr>
              <w:t>- ''LIMENKE''</w:t>
            </w:r>
          </w:p>
        </w:tc>
        <w:tc>
          <w:tcPr>
            <w:tcW w:w="5816" w:type="dxa"/>
            <w:tcBorders>
              <w:top w:val="nil"/>
              <w:left w:val="single" w:sz="4" w:space="0" w:color="000000"/>
              <w:bottom w:val="single" w:sz="4" w:space="0" w:color="000000"/>
              <w:right w:val="single" w:sz="4" w:space="0" w:color="000000"/>
            </w:tcBorders>
            <w:shd w:val="clear" w:color="auto" w:fill="auto"/>
            <w:hideMark/>
          </w:tcPr>
          <w:p w14:paraId="6E3BBC4C"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Potpuna AB predgotovljena gradnja prema sustavu ''Jugomont JU-61'': debljina stijena i ploča 12 cm na rasponu 3,60 m sa središnjim uzdužnim ukrutnim potezom, povezano hor. i vert. serklažima - varenje nastavaka armature te interpolacijom moždanika u reške (što ovaj sustav čini krućim od prethodnika JU-60)</w:t>
            </w:r>
          </w:p>
        </w:tc>
      </w:tr>
      <w:tr w:rsidR="00FF1E38" w:rsidRPr="00FF1E38" w14:paraId="43896D95" w14:textId="77777777" w:rsidTr="00DE0C9A">
        <w:trPr>
          <w:cantSplit/>
          <w:trHeight w:val="284"/>
        </w:trPr>
        <w:tc>
          <w:tcPr>
            <w:tcW w:w="3256" w:type="dxa"/>
            <w:tcBorders>
              <w:top w:val="dotted" w:sz="4" w:space="0" w:color="auto"/>
              <w:left w:val="single" w:sz="4" w:space="0" w:color="000000"/>
              <w:bottom w:val="single" w:sz="4" w:space="0" w:color="000000"/>
              <w:right w:val="single" w:sz="4" w:space="0" w:color="000000"/>
            </w:tcBorders>
            <w:shd w:val="clear" w:color="000000" w:fill="FFC000"/>
            <w:hideMark/>
          </w:tcPr>
          <w:p w14:paraId="7C5E3107" w14:textId="7C91E8C8" w:rsidR="00FF1E38" w:rsidRPr="00FF1E38" w:rsidRDefault="008F11E3"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sz w:val="18"/>
                <w:szCs w:val="18"/>
              </w:rPr>
              <w:t xml:space="preserve"> </w:t>
            </w:r>
            <w:r w:rsidR="00FF1E38" w:rsidRPr="00FF1E38">
              <w:rPr>
                <w:rFonts w:ascii="Times New Roman" w:eastAsia="Times New Roman" w:hAnsi="Times New Roman" w:cs="Times New Roman"/>
                <w:sz w:val="18"/>
                <w:szCs w:val="18"/>
              </w:rPr>
              <w:t>(početak 60-tih godina)</w:t>
            </w:r>
          </w:p>
        </w:tc>
        <w:tc>
          <w:tcPr>
            <w:tcW w:w="5816" w:type="dxa"/>
            <w:tcBorders>
              <w:top w:val="nil"/>
              <w:left w:val="single" w:sz="4" w:space="0" w:color="000000"/>
              <w:bottom w:val="single" w:sz="4" w:space="0" w:color="000000"/>
              <w:right w:val="single" w:sz="4" w:space="0" w:color="000000"/>
            </w:tcBorders>
            <w:vAlign w:val="center"/>
            <w:hideMark/>
          </w:tcPr>
          <w:p w14:paraId="448BD579"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p>
        </w:tc>
      </w:tr>
      <w:tr w:rsidR="00FF1E38" w:rsidRPr="00FF1E38" w14:paraId="67459901" w14:textId="77777777" w:rsidTr="00DE0C9A">
        <w:trPr>
          <w:cantSplit/>
          <w:trHeight w:val="284"/>
        </w:trPr>
        <w:tc>
          <w:tcPr>
            <w:tcW w:w="3256" w:type="dxa"/>
            <w:tcBorders>
              <w:top w:val="nil"/>
              <w:left w:val="single" w:sz="4" w:space="0" w:color="000000"/>
              <w:bottom w:val="dotted" w:sz="4" w:space="0" w:color="auto"/>
              <w:right w:val="single" w:sz="4" w:space="0" w:color="000000"/>
            </w:tcBorders>
            <w:shd w:val="clear" w:color="000000" w:fill="FFC000"/>
            <w:hideMark/>
          </w:tcPr>
          <w:p w14:paraId="0A3DB2D1" w14:textId="77777777" w:rsidR="00FF1E38" w:rsidRPr="00FF1E38" w:rsidRDefault="00FF1E38" w:rsidP="00FF1E38">
            <w:pPr>
              <w:spacing w:after="0" w:line="240" w:lineRule="auto"/>
              <w:ind w:left="0" w:right="0"/>
              <w:jc w:val="left"/>
              <w:rPr>
                <w:rFonts w:ascii="Times New Roman" w:eastAsia="Times New Roman" w:hAnsi="Times New Roman" w:cs="Times New Roman"/>
                <w:b/>
                <w:bCs/>
                <w:sz w:val="18"/>
                <w:szCs w:val="18"/>
              </w:rPr>
            </w:pPr>
            <w:r w:rsidRPr="00FF1E38">
              <w:rPr>
                <w:rFonts w:ascii="Times New Roman" w:eastAsia="Times New Roman" w:hAnsi="Times New Roman" w:cs="Times New Roman"/>
                <w:b/>
                <w:bCs/>
                <w:sz w:val="18"/>
                <w:szCs w:val="18"/>
              </w:rPr>
              <w:t>22. DUBRAVA</w:t>
            </w:r>
          </w:p>
        </w:tc>
        <w:tc>
          <w:tcPr>
            <w:tcW w:w="5816" w:type="dxa"/>
            <w:vMerge w:val="restart"/>
            <w:tcBorders>
              <w:top w:val="nil"/>
              <w:left w:val="single" w:sz="4" w:space="0" w:color="000000"/>
              <w:bottom w:val="single" w:sz="4" w:space="0" w:color="000000"/>
              <w:right w:val="single" w:sz="4" w:space="0" w:color="000000"/>
            </w:tcBorders>
            <w:shd w:val="clear" w:color="auto" w:fill="auto"/>
            <w:hideMark/>
          </w:tcPr>
          <w:p w14:paraId="7C01AC8D"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Opeka NF + drveni grednik (50-te i 60-te godine) s AB serklažima + polumontažni strop tipa ''fert'' (od 70-tih godina)</w:t>
            </w:r>
          </w:p>
        </w:tc>
      </w:tr>
      <w:tr w:rsidR="00FF1E38" w:rsidRPr="00FF1E38" w14:paraId="57C6FAEA" w14:textId="77777777" w:rsidTr="00DE0C9A">
        <w:trPr>
          <w:cantSplit/>
          <w:trHeight w:val="284"/>
        </w:trPr>
        <w:tc>
          <w:tcPr>
            <w:tcW w:w="3256" w:type="dxa"/>
            <w:tcBorders>
              <w:top w:val="dotted" w:sz="4" w:space="0" w:color="auto"/>
              <w:left w:val="single" w:sz="4" w:space="0" w:color="000000"/>
              <w:bottom w:val="single" w:sz="4" w:space="0" w:color="000000"/>
              <w:right w:val="single" w:sz="4" w:space="0" w:color="000000"/>
            </w:tcBorders>
            <w:shd w:val="clear" w:color="000000" w:fill="FFC000"/>
            <w:hideMark/>
          </w:tcPr>
          <w:p w14:paraId="740B97E6"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sz w:val="18"/>
                <w:szCs w:val="18"/>
              </w:rPr>
              <w:t>(50-te i 60-te godine)</w:t>
            </w:r>
          </w:p>
        </w:tc>
        <w:tc>
          <w:tcPr>
            <w:tcW w:w="5816" w:type="dxa"/>
            <w:vMerge/>
            <w:tcBorders>
              <w:top w:val="nil"/>
              <w:left w:val="single" w:sz="4" w:space="0" w:color="000000"/>
              <w:bottom w:val="single" w:sz="4" w:space="0" w:color="000000"/>
              <w:right w:val="single" w:sz="4" w:space="0" w:color="000000"/>
            </w:tcBorders>
            <w:vAlign w:val="center"/>
            <w:hideMark/>
          </w:tcPr>
          <w:p w14:paraId="7BCF38E7"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p>
        </w:tc>
      </w:tr>
      <w:tr w:rsidR="00FF1E38" w:rsidRPr="00FF1E38" w14:paraId="0E3FB914" w14:textId="77777777" w:rsidTr="00DE0C9A">
        <w:trPr>
          <w:cantSplit/>
          <w:trHeight w:val="284"/>
        </w:trPr>
        <w:tc>
          <w:tcPr>
            <w:tcW w:w="3256" w:type="dxa"/>
            <w:tcBorders>
              <w:top w:val="nil"/>
              <w:left w:val="single" w:sz="4" w:space="0" w:color="000000"/>
              <w:bottom w:val="dotted" w:sz="4" w:space="0" w:color="auto"/>
              <w:right w:val="single" w:sz="4" w:space="0" w:color="000000"/>
            </w:tcBorders>
            <w:shd w:val="clear" w:color="000000" w:fill="FFC000"/>
            <w:hideMark/>
          </w:tcPr>
          <w:p w14:paraId="0794CCBC"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b/>
                <w:bCs/>
                <w:sz w:val="18"/>
                <w:szCs w:val="18"/>
              </w:rPr>
              <w:t xml:space="preserve">23. SOPNICA </w:t>
            </w:r>
            <w:r w:rsidRPr="00FF1E38">
              <w:rPr>
                <w:rFonts w:ascii="Times New Roman" w:eastAsia="Times New Roman" w:hAnsi="Times New Roman" w:cs="Times New Roman"/>
                <w:b/>
                <w:sz w:val="18"/>
                <w:szCs w:val="18"/>
              </w:rPr>
              <w:t>- JELKOVEC</w:t>
            </w:r>
            <w:r w:rsidRPr="00FF1E38">
              <w:rPr>
                <w:rFonts w:ascii="Times New Roman" w:eastAsia="Times New Roman" w:hAnsi="Times New Roman" w:cs="Times New Roman"/>
                <w:sz w:val="18"/>
                <w:szCs w:val="18"/>
              </w:rPr>
              <w:t xml:space="preserve"> (POS)</w:t>
            </w:r>
          </w:p>
        </w:tc>
        <w:tc>
          <w:tcPr>
            <w:tcW w:w="5816" w:type="dxa"/>
            <w:vMerge w:val="restart"/>
            <w:tcBorders>
              <w:top w:val="nil"/>
              <w:left w:val="single" w:sz="4" w:space="0" w:color="000000"/>
              <w:bottom w:val="single" w:sz="4" w:space="0" w:color="000000"/>
              <w:right w:val="single" w:sz="4" w:space="0" w:color="000000"/>
            </w:tcBorders>
            <w:shd w:val="clear" w:color="auto" w:fill="auto"/>
            <w:hideMark/>
          </w:tcPr>
          <w:p w14:paraId="727F0716"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r w:rsidRPr="00FF1E38">
              <w:rPr>
                <w:rFonts w:ascii="Times New Roman" w:eastAsia="Times New Roman" w:hAnsi="Times New Roman" w:cs="Times New Roman"/>
                <w:sz w:val="20"/>
                <w:szCs w:val="20"/>
              </w:rPr>
              <w:t>Monolitne AB konstrukcije (poprečni nosivi zidovi ploče na rasponima uglavnom 6,0 m) na trakastim temeljima</w:t>
            </w:r>
          </w:p>
        </w:tc>
      </w:tr>
      <w:tr w:rsidR="00FF1E38" w:rsidRPr="00FF1E38" w14:paraId="7431F7F4" w14:textId="77777777" w:rsidTr="00DE0C9A">
        <w:trPr>
          <w:cantSplit/>
          <w:trHeight w:val="284"/>
        </w:trPr>
        <w:tc>
          <w:tcPr>
            <w:tcW w:w="3256" w:type="dxa"/>
            <w:tcBorders>
              <w:top w:val="dotted" w:sz="4" w:space="0" w:color="auto"/>
              <w:left w:val="single" w:sz="4" w:space="0" w:color="000000"/>
              <w:bottom w:val="single" w:sz="4" w:space="0" w:color="000000"/>
              <w:right w:val="single" w:sz="4" w:space="0" w:color="000000"/>
            </w:tcBorders>
            <w:shd w:val="clear" w:color="000000" w:fill="FFC000"/>
            <w:hideMark/>
          </w:tcPr>
          <w:p w14:paraId="3DABDEE6" w14:textId="77777777" w:rsidR="00FF1E38" w:rsidRPr="00FF1E38" w:rsidRDefault="00FF1E38" w:rsidP="00FF1E38">
            <w:pPr>
              <w:spacing w:after="0" w:line="240" w:lineRule="auto"/>
              <w:ind w:left="0" w:right="0"/>
              <w:jc w:val="left"/>
              <w:rPr>
                <w:rFonts w:ascii="Times New Roman" w:eastAsia="Times New Roman" w:hAnsi="Times New Roman" w:cs="Times New Roman"/>
                <w:sz w:val="18"/>
                <w:szCs w:val="18"/>
              </w:rPr>
            </w:pPr>
            <w:r w:rsidRPr="00FF1E38">
              <w:rPr>
                <w:rFonts w:ascii="Times New Roman" w:eastAsia="Times New Roman" w:hAnsi="Times New Roman" w:cs="Times New Roman"/>
                <w:sz w:val="18"/>
                <w:szCs w:val="18"/>
              </w:rPr>
              <w:t> </w:t>
            </w:r>
          </w:p>
        </w:tc>
        <w:tc>
          <w:tcPr>
            <w:tcW w:w="5816" w:type="dxa"/>
            <w:vMerge/>
            <w:tcBorders>
              <w:top w:val="nil"/>
              <w:left w:val="single" w:sz="4" w:space="0" w:color="000000"/>
              <w:bottom w:val="single" w:sz="4" w:space="0" w:color="000000"/>
              <w:right w:val="single" w:sz="4" w:space="0" w:color="000000"/>
            </w:tcBorders>
            <w:vAlign w:val="center"/>
            <w:hideMark/>
          </w:tcPr>
          <w:p w14:paraId="059304F6" w14:textId="77777777" w:rsidR="00FF1E38" w:rsidRPr="00FF1E38" w:rsidRDefault="00FF1E38" w:rsidP="00FF1E38">
            <w:pPr>
              <w:spacing w:after="0" w:line="240" w:lineRule="auto"/>
              <w:ind w:left="0" w:right="0"/>
              <w:jc w:val="left"/>
              <w:rPr>
                <w:rFonts w:ascii="Times New Roman" w:eastAsia="Times New Roman" w:hAnsi="Times New Roman" w:cs="Times New Roman"/>
                <w:sz w:val="20"/>
                <w:szCs w:val="20"/>
              </w:rPr>
            </w:pPr>
          </w:p>
        </w:tc>
      </w:tr>
    </w:tbl>
    <w:p w14:paraId="3C023A63" w14:textId="77777777" w:rsidR="00FF1E38" w:rsidRPr="00FF1E38" w:rsidRDefault="00FF1E38" w:rsidP="00FF1E38">
      <w:pPr>
        <w:spacing w:after="0" w:line="240" w:lineRule="auto"/>
        <w:ind w:left="0" w:right="0" w:firstLine="0"/>
        <w:jc w:val="center"/>
        <w:rPr>
          <w:rFonts w:ascii="Times New Roman" w:eastAsia="Calibri" w:hAnsi="Times New Roman" w:cs="Times New Roman"/>
          <w:i/>
          <w:sz w:val="20"/>
        </w:rPr>
      </w:pPr>
      <w:r w:rsidRPr="00FF1E38">
        <w:rPr>
          <w:rFonts w:ascii="Times New Roman" w:eastAsia="Calibri" w:hAnsi="Times New Roman" w:cs="Times New Roman"/>
          <w:i/>
          <w:sz w:val="20"/>
        </w:rPr>
        <w:t>Izvor: Procjena rizika od katastrofa za Republiku Hrvatsku prema Korlaet, Luka. Karta grada Zagreba s tipovima građevina i godinama gradnje. s.l.: Sveučilište u Zagrebu, Arhitektonski fakultet., 2014.</w:t>
      </w:r>
    </w:p>
    <w:p w14:paraId="3C86AD6D" w14:textId="77777777" w:rsidR="00FF1E38" w:rsidRPr="00FF1E38" w:rsidRDefault="00FF1E38" w:rsidP="00FF1E38">
      <w:pPr>
        <w:spacing w:after="0" w:line="240" w:lineRule="auto"/>
        <w:ind w:right="0"/>
        <w:rPr>
          <w:rFonts w:ascii="Times New Roman" w:hAnsi="Times New Roman" w:cs="Times New Roman"/>
          <w:sz w:val="24"/>
        </w:rPr>
      </w:pPr>
    </w:p>
    <w:p w14:paraId="15B7F0B0"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Najugroženijim područjima Grada u slučaju razornog potresa s obzirom na starost građevina i način gradnje mogu se smatrati: Gornji grad, Donji grad, Novakovu ulicu i Vukovarsku ulicu - Vrbik. Srednje ugroženim područjima mogu se smatrati područje Remetinca, Trnskog, Sigeta, Zapruđa, Utrina, Folnegovićevo naselje, dio Voltinoga, Peščenicu - Sigečicu, Dubravu i limenke na Borongaju (sva navedena naselja su izgrađena do kraja 60-ih godina).</w:t>
      </w:r>
    </w:p>
    <w:p w14:paraId="4C994B5B"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kontekstu Grada Zagreba može se pretpostaviti da će građevine projektirane prema najnovijim seizmičkim propisima (od 2013.) zadovoljiti zahtjeve povezane s projektiranim graničnim stanjima (Granično stanje nosivosti - GSN, odnosno Granično stanje uporabljivosti - GSU). Međutim, postavlja se pitanje ugroženosti prethodno izgrađenih građevina koje se mogu načelno podijeliti prema razdobljima razvoja seizmičkih propisa (do 1964., od 1965. do 1981., od 1982. do 1998., od 1998. do 2012.). Posebice treba istaknuti da građevine izgrađene do 1964. uopće nisu projektirane za potresna djelovanja, dok su u kasnijim razdobljima vrijednosti horizontalnih ubrzanja odnosno odgovarajuće proračunske horizontalne sile, ovisno o promatranoj lokaciji, bile i nekoliko puta manje. U svakom slučaju građevine posjeduju određenu inicijalnu otpornost koja ovisi o sustavu nosivosti konstrukcije i načinu gradnje te može biti povećana postupcima ojačanja.</w:t>
      </w:r>
    </w:p>
    <w:p w14:paraId="13CAF978" w14:textId="6CD11B73" w:rsidR="00854F50" w:rsidRDefault="00854F50" w:rsidP="00FF1E38">
      <w:pPr>
        <w:spacing w:after="0" w:line="240" w:lineRule="auto"/>
        <w:ind w:left="0" w:right="0" w:firstLine="709"/>
        <w:rPr>
          <w:rFonts w:ascii="Times New Roman" w:hAnsi="Times New Roman" w:cs="Times New Roman"/>
          <w:b/>
          <w:sz w:val="24"/>
        </w:rPr>
      </w:pPr>
    </w:p>
    <w:p w14:paraId="282D9583" w14:textId="0F49E0F4" w:rsidR="00FF1E38" w:rsidRPr="00FF1E38" w:rsidRDefault="00D728E5" w:rsidP="00DF507E">
      <w:pPr>
        <w:spacing w:line="240" w:lineRule="auto"/>
        <w:ind w:left="0" w:right="0" w:firstLine="709"/>
        <w:jc w:val="center"/>
        <w:rPr>
          <w:rFonts w:ascii="Times New Roman" w:hAnsi="Times New Roman" w:cs="Times New Roman"/>
          <w:sz w:val="24"/>
        </w:rPr>
      </w:pPr>
      <w:r w:rsidRPr="00D728E5">
        <w:rPr>
          <w:rFonts w:ascii="Times New Roman" w:hAnsi="Times New Roman" w:cs="Times New Roman"/>
          <w:b/>
          <w:color w:val="auto"/>
          <w:sz w:val="24"/>
        </w:rPr>
        <w:t>Tablica 42</w:t>
      </w:r>
      <w:r w:rsidR="00FF1E38" w:rsidRPr="00D728E5">
        <w:rPr>
          <w:rFonts w:ascii="Times New Roman" w:hAnsi="Times New Roman" w:cs="Times New Roman"/>
          <w:b/>
          <w:color w:val="auto"/>
          <w:sz w:val="24"/>
        </w:rPr>
        <w:t xml:space="preserve">. Pregled broja stambenih jedinica po razdobljima primjene pojedinih </w:t>
      </w:r>
      <w:r w:rsidR="00FF1E38" w:rsidRPr="00FF1E38">
        <w:rPr>
          <w:rFonts w:ascii="Times New Roman" w:hAnsi="Times New Roman" w:cs="Times New Roman"/>
          <w:b/>
          <w:sz w:val="24"/>
        </w:rPr>
        <w:t>propisa za projektiranje</w:t>
      </w:r>
    </w:p>
    <w:tbl>
      <w:tblPr>
        <w:tblW w:w="9072" w:type="dxa"/>
        <w:tblLayout w:type="fixed"/>
        <w:tblCellMar>
          <w:top w:w="57" w:type="dxa"/>
          <w:left w:w="57" w:type="dxa"/>
          <w:bottom w:w="57" w:type="dxa"/>
          <w:right w:w="57" w:type="dxa"/>
        </w:tblCellMar>
        <w:tblLook w:val="01E0" w:firstRow="1" w:lastRow="1" w:firstColumn="1" w:lastColumn="1" w:noHBand="0" w:noVBand="0"/>
      </w:tblPr>
      <w:tblGrid>
        <w:gridCol w:w="1073"/>
        <w:gridCol w:w="1331"/>
        <w:gridCol w:w="1334"/>
        <w:gridCol w:w="1333"/>
        <w:gridCol w:w="1333"/>
        <w:gridCol w:w="1335"/>
        <w:gridCol w:w="1333"/>
      </w:tblGrid>
      <w:tr w:rsidR="00FF1E38" w:rsidRPr="00FF1E38" w14:paraId="1316ACE0" w14:textId="77777777" w:rsidTr="00DE0C9A">
        <w:trPr>
          <w:cantSplit/>
        </w:trPr>
        <w:tc>
          <w:tcPr>
            <w:tcW w:w="1079"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77CD9229"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b/>
                <w:color w:val="auto"/>
                <w:sz w:val="18"/>
                <w:szCs w:val="18"/>
                <w:lang w:eastAsia="en-US"/>
              </w:rPr>
              <w:t>Razdoblje</w:t>
            </w:r>
          </w:p>
        </w:tc>
        <w:tc>
          <w:tcPr>
            <w:tcW w:w="1339"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246D2B5A"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b/>
                <w:color w:val="auto"/>
                <w:sz w:val="18"/>
                <w:szCs w:val="18"/>
                <w:lang w:eastAsia="en-US"/>
              </w:rPr>
              <w:t>do 1945.</w:t>
            </w:r>
          </w:p>
        </w:tc>
        <w:tc>
          <w:tcPr>
            <w:tcW w:w="1342"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0B24EA4C"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b/>
                <w:color w:val="auto"/>
                <w:sz w:val="18"/>
                <w:szCs w:val="18"/>
                <w:lang w:eastAsia="en-US"/>
              </w:rPr>
              <w:t>1946.-1964.</w:t>
            </w:r>
          </w:p>
        </w:tc>
        <w:tc>
          <w:tcPr>
            <w:tcW w:w="1342"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223D2DD8"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b/>
                <w:color w:val="auto"/>
                <w:sz w:val="18"/>
                <w:szCs w:val="18"/>
                <w:lang w:eastAsia="en-US"/>
              </w:rPr>
              <w:t>1965.-1981.</w:t>
            </w:r>
          </w:p>
        </w:tc>
        <w:tc>
          <w:tcPr>
            <w:tcW w:w="1342"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20146ED8"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b/>
                <w:color w:val="auto"/>
                <w:sz w:val="18"/>
                <w:szCs w:val="18"/>
                <w:lang w:eastAsia="en-US"/>
              </w:rPr>
              <w:t>1982.-1998.</w:t>
            </w:r>
          </w:p>
        </w:tc>
        <w:tc>
          <w:tcPr>
            <w:tcW w:w="1344"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4AED10DC"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b/>
                <w:color w:val="auto"/>
                <w:sz w:val="18"/>
                <w:szCs w:val="18"/>
                <w:lang w:eastAsia="en-US"/>
              </w:rPr>
              <w:t>1998.-2012.</w:t>
            </w:r>
          </w:p>
        </w:tc>
        <w:tc>
          <w:tcPr>
            <w:tcW w:w="1342"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03ACB133"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b/>
                <w:color w:val="auto"/>
                <w:sz w:val="18"/>
                <w:szCs w:val="18"/>
                <w:lang w:eastAsia="en-US"/>
              </w:rPr>
              <w:t>2013.-</w:t>
            </w:r>
          </w:p>
        </w:tc>
      </w:tr>
      <w:tr w:rsidR="00FF1E38" w:rsidRPr="00FF1E38" w14:paraId="381A3BF4" w14:textId="77777777" w:rsidTr="00DE0C9A">
        <w:trPr>
          <w:cantSplit/>
        </w:trPr>
        <w:tc>
          <w:tcPr>
            <w:tcW w:w="1079"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67F2BB74"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b/>
                <w:color w:val="auto"/>
                <w:sz w:val="18"/>
                <w:szCs w:val="18"/>
                <w:lang w:eastAsia="en-US"/>
              </w:rPr>
              <w:t>Opis propisa u primjeni</w:t>
            </w:r>
          </w:p>
        </w:tc>
        <w:tc>
          <w:tcPr>
            <w:tcW w:w="1339" w:type="dxa"/>
            <w:tcBorders>
              <w:top w:val="single" w:sz="5" w:space="0" w:color="000000"/>
              <w:left w:val="single" w:sz="5" w:space="0" w:color="000000"/>
              <w:bottom w:val="single" w:sz="5" w:space="0" w:color="000000"/>
              <w:right w:val="single" w:sz="5" w:space="0" w:color="000000"/>
            </w:tcBorders>
            <w:vAlign w:val="center"/>
          </w:tcPr>
          <w:p w14:paraId="660E462D"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color w:val="auto"/>
                <w:sz w:val="18"/>
                <w:szCs w:val="18"/>
                <w:lang w:eastAsia="en-US"/>
              </w:rPr>
              <w:t>bez propisa</w:t>
            </w:r>
          </w:p>
        </w:tc>
        <w:tc>
          <w:tcPr>
            <w:tcW w:w="1342" w:type="dxa"/>
            <w:tcBorders>
              <w:top w:val="single" w:sz="5" w:space="0" w:color="000000"/>
              <w:left w:val="single" w:sz="5" w:space="0" w:color="000000"/>
              <w:bottom w:val="single" w:sz="5" w:space="0" w:color="000000"/>
              <w:right w:val="single" w:sz="5" w:space="0" w:color="000000"/>
            </w:tcBorders>
            <w:vAlign w:val="center"/>
          </w:tcPr>
          <w:p w14:paraId="4CA721E9"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color w:val="auto"/>
                <w:sz w:val="18"/>
                <w:szCs w:val="18"/>
                <w:lang w:eastAsia="en-US"/>
              </w:rPr>
              <w:t>Rješenje o privremenim tehničkim propisima za opterećenje zgrada</w:t>
            </w:r>
          </w:p>
        </w:tc>
        <w:tc>
          <w:tcPr>
            <w:tcW w:w="1342" w:type="dxa"/>
            <w:tcBorders>
              <w:top w:val="single" w:sz="5" w:space="0" w:color="000000"/>
              <w:left w:val="single" w:sz="5" w:space="0" w:color="000000"/>
              <w:bottom w:val="single" w:sz="5" w:space="0" w:color="000000"/>
              <w:right w:val="single" w:sz="5" w:space="0" w:color="000000"/>
            </w:tcBorders>
            <w:vAlign w:val="center"/>
          </w:tcPr>
          <w:p w14:paraId="42CCC142"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color w:val="auto"/>
                <w:sz w:val="18"/>
                <w:szCs w:val="18"/>
                <w:lang w:eastAsia="en-US"/>
              </w:rPr>
              <w:t>Pravilnik o privremenim tehničkim propisima za građenje u seizmičkim područjima.</w:t>
            </w:r>
          </w:p>
        </w:tc>
        <w:tc>
          <w:tcPr>
            <w:tcW w:w="1342" w:type="dxa"/>
            <w:tcBorders>
              <w:top w:val="single" w:sz="5" w:space="0" w:color="000000"/>
              <w:left w:val="single" w:sz="5" w:space="0" w:color="000000"/>
              <w:bottom w:val="single" w:sz="5" w:space="0" w:color="000000"/>
              <w:right w:val="single" w:sz="5" w:space="0" w:color="000000"/>
            </w:tcBorders>
            <w:vAlign w:val="center"/>
          </w:tcPr>
          <w:p w14:paraId="441EE41B"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color w:val="auto"/>
                <w:sz w:val="18"/>
                <w:szCs w:val="18"/>
                <w:lang w:eastAsia="en-US"/>
              </w:rPr>
              <w:t>Pravilnik o tehničkim normativima za izgradnju objekata visokogradnje u seizmičkim područjima</w:t>
            </w:r>
          </w:p>
        </w:tc>
        <w:tc>
          <w:tcPr>
            <w:tcW w:w="1344" w:type="dxa"/>
            <w:tcBorders>
              <w:top w:val="single" w:sz="5" w:space="0" w:color="000000"/>
              <w:left w:val="single" w:sz="5" w:space="0" w:color="000000"/>
              <w:bottom w:val="single" w:sz="5" w:space="0" w:color="000000"/>
              <w:right w:val="single" w:sz="5" w:space="0" w:color="000000"/>
            </w:tcBorders>
            <w:vAlign w:val="center"/>
          </w:tcPr>
          <w:p w14:paraId="7021C58F"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color w:val="auto"/>
                <w:sz w:val="18"/>
                <w:szCs w:val="18"/>
                <w:lang w:eastAsia="en-US"/>
              </w:rPr>
              <w:t>prijelazno razdoblje: postupno uvođenje propisa ENV</w:t>
            </w:r>
          </w:p>
          <w:p w14:paraId="5AA4F26A"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color w:val="auto"/>
                <w:sz w:val="18"/>
                <w:szCs w:val="18"/>
                <w:lang w:eastAsia="en-US"/>
              </w:rPr>
              <w:t>(Eurocode 8)</w:t>
            </w:r>
          </w:p>
        </w:tc>
        <w:tc>
          <w:tcPr>
            <w:tcW w:w="1342" w:type="dxa"/>
            <w:tcBorders>
              <w:top w:val="single" w:sz="5" w:space="0" w:color="000000"/>
              <w:left w:val="single" w:sz="5" w:space="0" w:color="000000"/>
              <w:bottom w:val="single" w:sz="5" w:space="0" w:color="000000"/>
              <w:right w:val="single" w:sz="5" w:space="0" w:color="000000"/>
            </w:tcBorders>
            <w:vAlign w:val="center"/>
          </w:tcPr>
          <w:p w14:paraId="04F4A2E7"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color w:val="auto"/>
                <w:sz w:val="18"/>
                <w:szCs w:val="18"/>
                <w:lang w:eastAsia="en-US"/>
              </w:rPr>
              <w:t>suvremeni mjerodavni propisi EN (Eurocode 8)</w:t>
            </w:r>
          </w:p>
        </w:tc>
      </w:tr>
      <w:tr w:rsidR="00FF1E38" w:rsidRPr="00FF1E38" w14:paraId="246CA844" w14:textId="77777777" w:rsidTr="00DE0C9A">
        <w:trPr>
          <w:cantSplit/>
        </w:trPr>
        <w:tc>
          <w:tcPr>
            <w:tcW w:w="1079"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617AD6C8"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b/>
                <w:color w:val="auto"/>
                <w:sz w:val="18"/>
                <w:szCs w:val="18"/>
                <w:lang w:eastAsia="en-US"/>
              </w:rPr>
              <w:t>Motivacija za izmjene propisa</w:t>
            </w:r>
          </w:p>
        </w:tc>
        <w:tc>
          <w:tcPr>
            <w:tcW w:w="1339" w:type="dxa"/>
            <w:tcBorders>
              <w:top w:val="single" w:sz="5" w:space="0" w:color="000000"/>
              <w:left w:val="single" w:sz="5" w:space="0" w:color="000000"/>
              <w:bottom w:val="single" w:sz="5" w:space="0" w:color="000000"/>
              <w:right w:val="single" w:sz="5" w:space="0" w:color="000000"/>
            </w:tcBorders>
            <w:vAlign w:val="center"/>
          </w:tcPr>
          <w:p w14:paraId="408E9A03"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p>
        </w:tc>
        <w:tc>
          <w:tcPr>
            <w:tcW w:w="1342" w:type="dxa"/>
            <w:tcBorders>
              <w:top w:val="single" w:sz="5" w:space="0" w:color="000000"/>
              <w:left w:val="single" w:sz="5" w:space="0" w:color="000000"/>
              <w:bottom w:val="single" w:sz="5" w:space="0" w:color="000000"/>
              <w:right w:val="single" w:sz="5" w:space="0" w:color="000000"/>
            </w:tcBorders>
            <w:vAlign w:val="center"/>
          </w:tcPr>
          <w:p w14:paraId="39B73963"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p>
        </w:tc>
        <w:tc>
          <w:tcPr>
            <w:tcW w:w="1342" w:type="dxa"/>
            <w:tcBorders>
              <w:top w:val="single" w:sz="5" w:space="0" w:color="000000"/>
              <w:left w:val="single" w:sz="5" w:space="0" w:color="000000"/>
              <w:bottom w:val="single" w:sz="5" w:space="0" w:color="000000"/>
              <w:right w:val="single" w:sz="5" w:space="0" w:color="000000"/>
            </w:tcBorders>
            <w:vAlign w:val="center"/>
          </w:tcPr>
          <w:p w14:paraId="45214BB4"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color w:val="auto"/>
                <w:sz w:val="18"/>
                <w:szCs w:val="18"/>
                <w:lang w:eastAsia="en-US"/>
              </w:rPr>
              <w:t>potres u Skopju 1963.</w:t>
            </w:r>
          </w:p>
        </w:tc>
        <w:tc>
          <w:tcPr>
            <w:tcW w:w="1342" w:type="dxa"/>
            <w:tcBorders>
              <w:top w:val="single" w:sz="5" w:space="0" w:color="000000"/>
              <w:left w:val="single" w:sz="5" w:space="0" w:color="000000"/>
              <w:bottom w:val="single" w:sz="5" w:space="0" w:color="000000"/>
              <w:right w:val="single" w:sz="5" w:space="0" w:color="000000"/>
            </w:tcBorders>
            <w:vAlign w:val="center"/>
          </w:tcPr>
          <w:p w14:paraId="29620FD5"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color w:val="auto"/>
                <w:sz w:val="18"/>
                <w:szCs w:val="18"/>
                <w:lang w:eastAsia="en-US"/>
              </w:rPr>
              <w:t>potres u crnogorskom primorju 1979.</w:t>
            </w:r>
          </w:p>
        </w:tc>
        <w:tc>
          <w:tcPr>
            <w:tcW w:w="1344" w:type="dxa"/>
            <w:tcBorders>
              <w:top w:val="single" w:sz="5" w:space="0" w:color="000000"/>
              <w:left w:val="single" w:sz="5" w:space="0" w:color="000000"/>
              <w:bottom w:val="single" w:sz="5" w:space="0" w:color="000000"/>
              <w:right w:val="single" w:sz="5" w:space="0" w:color="000000"/>
            </w:tcBorders>
            <w:vAlign w:val="center"/>
          </w:tcPr>
          <w:p w14:paraId="3206373F"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p>
        </w:tc>
        <w:tc>
          <w:tcPr>
            <w:tcW w:w="1342" w:type="dxa"/>
            <w:tcBorders>
              <w:top w:val="single" w:sz="5" w:space="0" w:color="000000"/>
              <w:left w:val="single" w:sz="5" w:space="0" w:color="000000"/>
              <w:bottom w:val="single" w:sz="5" w:space="0" w:color="000000"/>
              <w:right w:val="single" w:sz="5" w:space="0" w:color="000000"/>
            </w:tcBorders>
            <w:vAlign w:val="center"/>
          </w:tcPr>
          <w:p w14:paraId="33822FB3"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p>
        </w:tc>
      </w:tr>
      <w:tr w:rsidR="00FF1E38" w:rsidRPr="00FF1E38" w14:paraId="31787FC5" w14:textId="77777777" w:rsidTr="00DE0C9A">
        <w:trPr>
          <w:cantSplit/>
        </w:trPr>
        <w:tc>
          <w:tcPr>
            <w:tcW w:w="1079"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7780020E"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b/>
                <w:color w:val="auto"/>
                <w:sz w:val="18"/>
                <w:szCs w:val="18"/>
                <w:lang w:eastAsia="en-US"/>
              </w:rPr>
              <w:t>Broj stambenih jedinica</w:t>
            </w:r>
          </w:p>
        </w:tc>
        <w:tc>
          <w:tcPr>
            <w:tcW w:w="1339" w:type="dxa"/>
            <w:tcBorders>
              <w:top w:val="single" w:sz="5" w:space="0" w:color="000000"/>
              <w:left w:val="single" w:sz="5" w:space="0" w:color="000000"/>
              <w:bottom w:val="single" w:sz="5" w:space="0" w:color="000000"/>
              <w:right w:val="single" w:sz="5" w:space="0" w:color="000000"/>
            </w:tcBorders>
            <w:vAlign w:val="center"/>
          </w:tcPr>
          <w:p w14:paraId="04DBCCA0"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color w:val="auto"/>
                <w:sz w:val="18"/>
                <w:szCs w:val="18"/>
                <w:lang w:eastAsia="en-US"/>
              </w:rPr>
              <w:t>oko 40.000</w:t>
            </w:r>
          </w:p>
          <w:p w14:paraId="7F45BB36"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color w:val="auto"/>
                <w:sz w:val="18"/>
                <w:szCs w:val="18"/>
                <w:lang w:eastAsia="en-US"/>
              </w:rPr>
              <w:t>(oko 13 %)</w:t>
            </w:r>
          </w:p>
        </w:tc>
        <w:tc>
          <w:tcPr>
            <w:tcW w:w="1342" w:type="dxa"/>
            <w:tcBorders>
              <w:top w:val="single" w:sz="5" w:space="0" w:color="000000"/>
              <w:left w:val="single" w:sz="5" w:space="0" w:color="000000"/>
              <w:bottom w:val="single" w:sz="5" w:space="0" w:color="000000"/>
              <w:right w:val="single" w:sz="5" w:space="0" w:color="000000"/>
            </w:tcBorders>
            <w:vAlign w:val="center"/>
          </w:tcPr>
          <w:p w14:paraId="312C0373"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color w:val="auto"/>
                <w:sz w:val="18"/>
                <w:szCs w:val="18"/>
                <w:lang w:eastAsia="en-US"/>
              </w:rPr>
              <w:t>oko 75.000</w:t>
            </w:r>
          </w:p>
          <w:p w14:paraId="008D1DEF"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color w:val="auto"/>
                <w:sz w:val="18"/>
                <w:szCs w:val="18"/>
                <w:lang w:eastAsia="en-US"/>
              </w:rPr>
              <w:t>(oko 25 %)</w:t>
            </w:r>
          </w:p>
        </w:tc>
        <w:tc>
          <w:tcPr>
            <w:tcW w:w="1342" w:type="dxa"/>
            <w:tcBorders>
              <w:top w:val="single" w:sz="5" w:space="0" w:color="000000"/>
              <w:left w:val="single" w:sz="5" w:space="0" w:color="000000"/>
              <w:bottom w:val="single" w:sz="5" w:space="0" w:color="000000"/>
              <w:right w:val="single" w:sz="5" w:space="0" w:color="000000"/>
            </w:tcBorders>
            <w:vAlign w:val="center"/>
          </w:tcPr>
          <w:p w14:paraId="40C2146B"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color w:val="auto"/>
                <w:sz w:val="18"/>
                <w:szCs w:val="18"/>
                <w:lang w:eastAsia="en-US"/>
              </w:rPr>
              <w:t>oko 87.000</w:t>
            </w:r>
          </w:p>
          <w:p w14:paraId="7096285B"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color w:val="auto"/>
                <w:sz w:val="18"/>
                <w:szCs w:val="18"/>
                <w:lang w:eastAsia="en-US"/>
              </w:rPr>
              <w:t>(oko 30 %)</w:t>
            </w:r>
          </w:p>
        </w:tc>
        <w:tc>
          <w:tcPr>
            <w:tcW w:w="1342" w:type="dxa"/>
            <w:tcBorders>
              <w:top w:val="single" w:sz="5" w:space="0" w:color="000000"/>
              <w:left w:val="single" w:sz="5" w:space="0" w:color="000000"/>
              <w:bottom w:val="single" w:sz="5" w:space="0" w:color="000000"/>
              <w:right w:val="single" w:sz="5" w:space="0" w:color="000000"/>
            </w:tcBorders>
            <w:vAlign w:val="center"/>
          </w:tcPr>
          <w:p w14:paraId="4B972E68"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color w:val="auto"/>
                <w:sz w:val="18"/>
                <w:szCs w:val="18"/>
                <w:lang w:eastAsia="en-US"/>
              </w:rPr>
              <w:t>oko 70.000</w:t>
            </w:r>
          </w:p>
          <w:p w14:paraId="01DC35A9"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color w:val="auto"/>
                <w:sz w:val="18"/>
                <w:szCs w:val="18"/>
                <w:lang w:eastAsia="en-US"/>
              </w:rPr>
              <w:t>(oko 23 %)</w:t>
            </w:r>
          </w:p>
        </w:tc>
        <w:tc>
          <w:tcPr>
            <w:tcW w:w="1344" w:type="dxa"/>
            <w:tcBorders>
              <w:top w:val="single" w:sz="5" w:space="0" w:color="000000"/>
              <w:left w:val="single" w:sz="5" w:space="0" w:color="000000"/>
              <w:bottom w:val="single" w:sz="5" w:space="0" w:color="000000"/>
              <w:right w:val="single" w:sz="5" w:space="0" w:color="000000"/>
            </w:tcBorders>
            <w:vAlign w:val="center"/>
          </w:tcPr>
          <w:p w14:paraId="78033AC1"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color w:val="auto"/>
                <w:sz w:val="18"/>
                <w:szCs w:val="18"/>
                <w:lang w:eastAsia="en-US"/>
              </w:rPr>
              <w:t>40.000</w:t>
            </w:r>
          </w:p>
          <w:p w14:paraId="2EF1FE52"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8"/>
                <w:lang w:eastAsia="en-US"/>
              </w:rPr>
            </w:pPr>
            <w:r w:rsidRPr="00FF1E38">
              <w:rPr>
                <w:rFonts w:ascii="Times New Roman" w:eastAsia="Calibri" w:hAnsi="Times New Roman" w:cs="Times New Roman"/>
                <w:color w:val="auto"/>
                <w:sz w:val="18"/>
                <w:szCs w:val="18"/>
                <w:lang w:eastAsia="en-US"/>
              </w:rPr>
              <w:t>(oko 13 %)</w:t>
            </w:r>
          </w:p>
        </w:tc>
        <w:tc>
          <w:tcPr>
            <w:tcW w:w="1342" w:type="dxa"/>
            <w:tcBorders>
              <w:top w:val="single" w:sz="5" w:space="0" w:color="000000"/>
              <w:left w:val="single" w:sz="5" w:space="0" w:color="000000"/>
              <w:bottom w:val="single" w:sz="5" w:space="0" w:color="000000"/>
              <w:right w:val="single" w:sz="5" w:space="0" w:color="000000"/>
            </w:tcBorders>
            <w:vAlign w:val="center"/>
          </w:tcPr>
          <w:p w14:paraId="14B6521B"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p>
        </w:tc>
      </w:tr>
    </w:tbl>
    <w:p w14:paraId="76CA779D" w14:textId="77777777" w:rsidR="00FF1E38" w:rsidRPr="00FF1E38" w:rsidRDefault="00FF1E38" w:rsidP="00FF1E38">
      <w:pPr>
        <w:spacing w:after="0" w:line="240" w:lineRule="auto"/>
        <w:ind w:left="0" w:right="0" w:firstLine="0"/>
        <w:jc w:val="center"/>
        <w:rPr>
          <w:rFonts w:ascii="Times New Roman" w:eastAsia="Calibri" w:hAnsi="Times New Roman" w:cs="Times New Roman"/>
          <w:i/>
          <w:sz w:val="20"/>
        </w:rPr>
      </w:pPr>
      <w:r w:rsidRPr="00FF1E38">
        <w:rPr>
          <w:rFonts w:ascii="Times New Roman" w:eastAsia="Calibri" w:hAnsi="Times New Roman" w:cs="Times New Roman"/>
          <w:i/>
          <w:sz w:val="20"/>
        </w:rPr>
        <w:t>Izvor: Procjena rizika od katastrofa za Republiku Hrvatsku</w:t>
      </w:r>
    </w:p>
    <w:p w14:paraId="505BB413" w14:textId="2533BBA7" w:rsidR="00FF1E38" w:rsidRDefault="00FF1E38" w:rsidP="00FF1E38">
      <w:pPr>
        <w:spacing w:after="0" w:line="240" w:lineRule="auto"/>
        <w:ind w:left="0" w:right="0" w:firstLine="0"/>
        <w:rPr>
          <w:rFonts w:ascii="Times New Roman" w:hAnsi="Times New Roman" w:cs="Times New Roman"/>
          <w:sz w:val="24"/>
        </w:rPr>
      </w:pPr>
    </w:p>
    <w:p w14:paraId="6918286C" w14:textId="6CD9E4EC" w:rsidR="00FF1E38" w:rsidRPr="00FF1E38" w:rsidRDefault="00FF1E38" w:rsidP="00FF1E38">
      <w:pPr>
        <w:spacing w:after="0" w:line="240" w:lineRule="auto"/>
        <w:ind w:left="0" w:right="0" w:firstLine="0"/>
        <w:jc w:val="center"/>
        <w:rPr>
          <w:rFonts w:ascii="Times New Roman" w:hAnsi="Times New Roman" w:cs="Times New Roman"/>
          <w:b/>
          <w:sz w:val="24"/>
        </w:rPr>
      </w:pPr>
      <w:r w:rsidRPr="00D728E5">
        <w:rPr>
          <w:rFonts w:ascii="Times New Roman" w:hAnsi="Times New Roman" w:cs="Times New Roman"/>
          <w:b/>
          <w:color w:val="auto"/>
          <w:sz w:val="24"/>
        </w:rPr>
        <w:lastRenderedPageBreak/>
        <w:t xml:space="preserve">Tablica </w:t>
      </w:r>
      <w:r w:rsidR="00D728E5" w:rsidRPr="00D728E5">
        <w:rPr>
          <w:rFonts w:ascii="Times New Roman" w:hAnsi="Times New Roman" w:cs="Times New Roman"/>
          <w:b/>
          <w:color w:val="auto"/>
          <w:sz w:val="24"/>
        </w:rPr>
        <w:t>43</w:t>
      </w:r>
      <w:r w:rsidRPr="00D728E5">
        <w:rPr>
          <w:rFonts w:ascii="Times New Roman" w:hAnsi="Times New Roman" w:cs="Times New Roman"/>
          <w:b/>
          <w:color w:val="auto"/>
          <w:sz w:val="24"/>
        </w:rPr>
        <w:t xml:space="preserve">. Pregled broja stanova na području Grada Zagreba prema godinama </w:t>
      </w:r>
      <w:r w:rsidRPr="00FF1E38">
        <w:rPr>
          <w:rFonts w:ascii="Times New Roman" w:hAnsi="Times New Roman" w:cs="Times New Roman"/>
          <w:b/>
          <w:sz w:val="24"/>
        </w:rPr>
        <w:t>izgradnje</w:t>
      </w:r>
    </w:p>
    <w:p w14:paraId="5ED3AA2C"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noProof/>
          <w:sz w:val="24"/>
        </w:rPr>
        <w:drawing>
          <wp:inline distT="0" distB="0" distL="0" distR="0" wp14:anchorId="16D1741E" wp14:editId="7C605CAA">
            <wp:extent cx="3657600" cy="1080770"/>
            <wp:effectExtent l="0" t="0" r="0" b="0"/>
            <wp:docPr id="30962" name="Picture 30962"/>
            <wp:cNvGraphicFramePr/>
            <a:graphic xmlns:a="http://schemas.openxmlformats.org/drawingml/2006/main">
              <a:graphicData uri="http://schemas.openxmlformats.org/drawingml/2006/picture">
                <pic:pic xmlns:pic="http://schemas.openxmlformats.org/drawingml/2006/picture">
                  <pic:nvPicPr>
                    <pic:cNvPr id="30962" name="Picture 30962"/>
                    <pic:cNvPicPr/>
                  </pic:nvPicPr>
                  <pic:blipFill>
                    <a:blip r:embed="rId54"/>
                    <a:stretch>
                      <a:fillRect/>
                    </a:stretch>
                  </pic:blipFill>
                  <pic:spPr>
                    <a:xfrm>
                      <a:off x="0" y="0"/>
                      <a:ext cx="3657600" cy="1080770"/>
                    </a:xfrm>
                    <a:prstGeom prst="rect">
                      <a:avLst/>
                    </a:prstGeom>
                  </pic:spPr>
                </pic:pic>
              </a:graphicData>
            </a:graphic>
          </wp:inline>
        </w:drawing>
      </w:r>
    </w:p>
    <w:p w14:paraId="79344C3F" w14:textId="77777777" w:rsidR="00FF1E38" w:rsidRPr="00FF1E38" w:rsidRDefault="00FF1E38" w:rsidP="00FF1E38">
      <w:pPr>
        <w:spacing w:after="0" w:line="240" w:lineRule="auto"/>
        <w:ind w:left="0" w:right="0" w:firstLine="0"/>
        <w:jc w:val="center"/>
        <w:rPr>
          <w:rFonts w:ascii="Times New Roman" w:eastAsia="Calibri" w:hAnsi="Times New Roman" w:cs="Times New Roman"/>
          <w:i/>
          <w:sz w:val="20"/>
        </w:rPr>
      </w:pPr>
      <w:r w:rsidRPr="00FF1E38">
        <w:rPr>
          <w:rFonts w:ascii="Times New Roman" w:eastAsia="Calibri" w:hAnsi="Times New Roman" w:cs="Times New Roman"/>
          <w:i/>
          <w:sz w:val="20"/>
        </w:rPr>
        <w:t>Izvor: Procjena rizika od katastrofa za Republiku Hrvatsku</w:t>
      </w:r>
    </w:p>
    <w:p w14:paraId="665E0D29" w14:textId="77777777" w:rsidR="00FF1E38" w:rsidRPr="00FF1E38" w:rsidRDefault="00FF1E38" w:rsidP="00FF1E38">
      <w:pPr>
        <w:spacing w:after="0" w:line="240" w:lineRule="auto"/>
        <w:ind w:left="0" w:right="0" w:firstLine="0"/>
        <w:jc w:val="center"/>
        <w:rPr>
          <w:rFonts w:ascii="Times New Roman" w:eastAsia="Calibri" w:hAnsi="Times New Roman" w:cs="Times New Roman"/>
          <w:i/>
          <w:sz w:val="20"/>
        </w:rPr>
      </w:pPr>
    </w:p>
    <w:p w14:paraId="412BDCE6" w14:textId="62D02161" w:rsidR="00FF1E38" w:rsidRPr="00D728E5" w:rsidRDefault="00FF1E38" w:rsidP="00FF1E38">
      <w:pPr>
        <w:spacing w:after="160" w:line="259" w:lineRule="auto"/>
        <w:ind w:left="0" w:right="0" w:firstLine="0"/>
        <w:jc w:val="center"/>
        <w:rPr>
          <w:rFonts w:ascii="Times New Roman" w:hAnsi="Times New Roman" w:cs="Times New Roman"/>
          <w:b/>
          <w:color w:val="auto"/>
          <w:sz w:val="24"/>
        </w:rPr>
      </w:pPr>
      <w:r w:rsidRPr="00D728E5">
        <w:rPr>
          <w:rFonts w:ascii="Times New Roman" w:hAnsi="Times New Roman" w:cs="Times New Roman"/>
          <w:b/>
          <w:color w:val="auto"/>
          <w:sz w:val="24"/>
        </w:rPr>
        <w:t xml:space="preserve">Tablica </w:t>
      </w:r>
      <w:r w:rsidR="00D728E5" w:rsidRPr="00D728E5">
        <w:rPr>
          <w:rFonts w:ascii="Times New Roman" w:hAnsi="Times New Roman" w:cs="Times New Roman"/>
          <w:b/>
          <w:color w:val="auto"/>
          <w:sz w:val="24"/>
        </w:rPr>
        <w:t>44</w:t>
      </w:r>
      <w:r w:rsidRPr="00D728E5">
        <w:rPr>
          <w:rFonts w:ascii="Times New Roman" w:hAnsi="Times New Roman" w:cs="Times New Roman"/>
          <w:b/>
          <w:color w:val="auto"/>
          <w:sz w:val="24"/>
        </w:rPr>
        <w:t>. Stupnjevi oštećenja za zidane građevine prema EMS-98 klasifikaciji</w:t>
      </w:r>
    </w:p>
    <w:p w14:paraId="4AC638D3" w14:textId="77777777" w:rsidR="00FF1E38" w:rsidRPr="00FF1E38" w:rsidRDefault="00FF1E38" w:rsidP="00FF1E38">
      <w:pPr>
        <w:spacing w:after="0" w:line="240" w:lineRule="auto"/>
        <w:ind w:left="0" w:right="0" w:firstLine="0"/>
        <w:jc w:val="center"/>
        <w:rPr>
          <w:rFonts w:ascii="Times New Roman" w:eastAsia="Calibri" w:hAnsi="Times New Roman" w:cs="Times New Roman"/>
          <w:i/>
          <w:sz w:val="20"/>
        </w:rPr>
      </w:pPr>
      <w:r w:rsidRPr="00FF1E38">
        <w:rPr>
          <w:rFonts w:ascii="Times New Roman" w:eastAsia="Calibri" w:hAnsi="Times New Roman" w:cs="Times New Roman"/>
          <w:i/>
          <w:noProof/>
          <w:sz w:val="20"/>
        </w:rPr>
        <w:drawing>
          <wp:inline distT="0" distB="0" distL="0" distR="0" wp14:anchorId="17CFE7B0" wp14:editId="768065C4">
            <wp:extent cx="5576320" cy="6705600"/>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44738" cy="6787873"/>
                    </a:xfrm>
                    <a:prstGeom prst="rect">
                      <a:avLst/>
                    </a:prstGeom>
                    <a:noFill/>
                  </pic:spPr>
                </pic:pic>
              </a:graphicData>
            </a:graphic>
          </wp:inline>
        </w:drawing>
      </w:r>
    </w:p>
    <w:p w14:paraId="317EC541" w14:textId="77777777" w:rsidR="00FF1E38" w:rsidRPr="00FF1E38" w:rsidRDefault="00FF1E38" w:rsidP="00FF1E38">
      <w:pPr>
        <w:spacing w:after="0" w:line="240" w:lineRule="auto"/>
        <w:ind w:left="0" w:right="0" w:firstLine="0"/>
        <w:jc w:val="center"/>
        <w:rPr>
          <w:rFonts w:ascii="Times New Roman" w:eastAsia="Calibri" w:hAnsi="Times New Roman" w:cs="Times New Roman"/>
          <w:i/>
          <w:sz w:val="20"/>
        </w:rPr>
      </w:pPr>
      <w:r w:rsidRPr="00FF1E38">
        <w:rPr>
          <w:rFonts w:ascii="Times New Roman" w:eastAsia="Calibri" w:hAnsi="Times New Roman" w:cs="Times New Roman"/>
          <w:i/>
          <w:sz w:val="20"/>
        </w:rPr>
        <w:t>Izvor: Studija za saniranje posljedica potresa, Građevinski fakultet Sveučilišta u Zagrebu</w:t>
      </w:r>
    </w:p>
    <w:p w14:paraId="31ACBFA6" w14:textId="527F332A" w:rsidR="00FF1E38" w:rsidRPr="00FF1E38" w:rsidRDefault="00FF1E38" w:rsidP="00FF1E38">
      <w:pPr>
        <w:spacing w:after="0" w:line="240" w:lineRule="auto"/>
        <w:ind w:left="0" w:right="0" w:firstLine="709"/>
        <w:rPr>
          <w:rFonts w:ascii="Times New Roman" w:hAnsi="Times New Roman" w:cs="Times New Roman"/>
          <w:sz w:val="24"/>
        </w:rPr>
      </w:pPr>
      <w:r w:rsidRPr="00D728E5">
        <w:rPr>
          <w:rFonts w:ascii="Times New Roman" w:hAnsi="Times New Roman" w:cs="Times New Roman"/>
          <w:color w:val="auto"/>
          <w:sz w:val="24"/>
        </w:rPr>
        <w:lastRenderedPageBreak/>
        <w:t xml:space="preserve">Iz </w:t>
      </w:r>
      <w:r w:rsidR="00D728E5" w:rsidRPr="00D728E5">
        <w:rPr>
          <w:rFonts w:ascii="Times New Roman" w:hAnsi="Times New Roman" w:cs="Times New Roman"/>
          <w:color w:val="auto"/>
          <w:sz w:val="24"/>
        </w:rPr>
        <w:t>tablice 42. i 43</w:t>
      </w:r>
      <w:r w:rsidRPr="00D728E5">
        <w:rPr>
          <w:rFonts w:ascii="Times New Roman" w:hAnsi="Times New Roman" w:cs="Times New Roman"/>
          <w:color w:val="auto"/>
          <w:sz w:val="24"/>
        </w:rPr>
        <w:t xml:space="preserve">. je vidljivo da je preko 50 % građevina izgrađeno do 1982. odnosno </w:t>
      </w:r>
      <w:r w:rsidRPr="00FF1E38">
        <w:rPr>
          <w:rFonts w:ascii="Times New Roman" w:hAnsi="Times New Roman" w:cs="Times New Roman"/>
          <w:sz w:val="24"/>
        </w:rPr>
        <w:t>do stupanja na snagu Pravilnika o tehničkim normativima za izgradnju objekata u seizmičkim područjima, što je vrlo visok postotak u negativnom smislu. Stoga u slučaju razornog potresa treba očekivati značajnu štetu i nepovratno uništenje mnogih kulturnih dobara.</w:t>
      </w:r>
    </w:p>
    <w:p w14:paraId="4B410637"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većini razornih potresa glavni uzroci gubitaka ljudskih života su oštećenje odnosno djelomično otkazivanje ili potpuno rušenje građevina. U prošlom stoljeću prosječno 75 % smrtnih slučajeva zbog posljedica potresa povezano je upravo s odzivom građevina, a većina žrtava bilo je povezano s rušenjem zidanih zgrada koje su uobičajene u seizmički aktivnim područjima. Osim opasnosti od ljudskih žrtava posljedice potresa obuhvaćaju nezaobilazne ekonomske gubitke, koji posebice u gospodarski manje razvijenim državama mogu doseći visok postotak BDP-a.</w:t>
      </w:r>
    </w:p>
    <w:p w14:paraId="18984DB1"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Izravni gubici u pravilu se odnose na izravna oštećenja nakon potresa (trošak sanacije građevina, trošak zbog privremenog zbrinjavanja stanovništva i sl.), dok neizravni troškovi proizlaze iz posljedica smanjene gospodarske aktivnosti zbog potresa (privremeno zaustavljanje proizvodnje, narušena prometna povezanost i sl.)</w:t>
      </w:r>
    </w:p>
    <w:p w14:paraId="25E92D62" w14:textId="03712AEA" w:rsidR="00FF1E38" w:rsidRPr="00D728E5" w:rsidRDefault="00FF1E38" w:rsidP="00FF1E38">
      <w:pPr>
        <w:spacing w:after="0" w:line="240" w:lineRule="auto"/>
        <w:ind w:left="0" w:right="0" w:firstLine="709"/>
        <w:rPr>
          <w:rFonts w:ascii="Times New Roman" w:hAnsi="Times New Roman" w:cs="Times New Roman"/>
          <w:color w:val="auto"/>
          <w:sz w:val="24"/>
        </w:rPr>
      </w:pPr>
      <w:r w:rsidRPr="00FF1E38">
        <w:rPr>
          <w:rFonts w:ascii="Times New Roman" w:hAnsi="Times New Roman" w:cs="Times New Roman"/>
          <w:sz w:val="24"/>
        </w:rPr>
        <w:t xml:space="preserve">Ocjena stanja i očekivanog ponašanja građevine temelji se na određivanju rasprostranjenosti oštećenja koja se prema razmjeru nepovoljnog utjecaja na nosivost konstruktivnog sustava građevine svrstavaju u pojedine stupnjeve. U literaturi poznate su različite podjele oštećenja temeljem kojih se građevine najčešće svrstavaju u tri do šest kategorija. Klasična podjela koja se najčešće navodi i često upotrebljava kao osnova za slične kategorizacije oštećenja temelji se na Europskoj makroseizmičkoj ljestvici EMS-98, pomoću </w:t>
      </w:r>
      <w:r w:rsidRPr="00D728E5">
        <w:rPr>
          <w:rFonts w:ascii="Times New Roman" w:hAnsi="Times New Roman" w:cs="Times New Roman"/>
          <w:color w:val="auto"/>
          <w:sz w:val="24"/>
        </w:rPr>
        <w:t xml:space="preserve">koje se uobičajeno određuje i intenzitet potresnog djelovanja (Tablica </w:t>
      </w:r>
      <w:r w:rsidR="00D728E5" w:rsidRPr="00D728E5">
        <w:rPr>
          <w:rFonts w:ascii="Times New Roman" w:hAnsi="Times New Roman" w:cs="Times New Roman"/>
          <w:color w:val="auto"/>
          <w:sz w:val="24"/>
        </w:rPr>
        <w:t>44</w:t>
      </w:r>
      <w:r w:rsidRPr="00D728E5">
        <w:rPr>
          <w:rFonts w:ascii="Times New Roman" w:hAnsi="Times New Roman" w:cs="Times New Roman"/>
          <w:color w:val="auto"/>
          <w:sz w:val="24"/>
        </w:rPr>
        <w:t>.)</w:t>
      </w:r>
    </w:p>
    <w:p w14:paraId="7D7ED746" w14:textId="4A90DABC"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Očekuju se značajna oštećenja čak i kolapsi pojedinih zgrada koje su građene </w:t>
      </w:r>
      <w:r w:rsidR="008B6F17">
        <w:rPr>
          <w:rFonts w:ascii="Times New Roman" w:hAnsi="Times New Roman" w:cs="Times New Roman"/>
          <w:sz w:val="24"/>
        </w:rPr>
        <w:t>prije</w:t>
      </w:r>
      <w:r w:rsidRPr="00FF1E38">
        <w:rPr>
          <w:rFonts w:ascii="Times New Roman" w:hAnsi="Times New Roman" w:cs="Times New Roman"/>
          <w:sz w:val="24"/>
        </w:rPr>
        <w:t xml:space="preserve"> 80-ih godina odnosno stupanja na snagu novih pravilnika o protupotresnoj gradnji te rušenje pojedinih infrastrukturnih objekata od izrazite prometne važnosti (Most slobode). Temeljem navedenog proizlazi da su zbog nedostatka detaljnijih podataka procjene rizika u ovoj fazi aproksimativne (generalizirane po gradskim četvrtima) te da je nužno napraviti procjenu svih zgrada počevši od objekata od društvene važnosti i objekata kritične infrastrukture, preko velikih stambenih zgrada (nebodera) do najučestalijih tipova obiteljskih kuća (npr. kuće u nizu standardizirane gradnje).</w:t>
      </w:r>
    </w:p>
    <w:p w14:paraId="06158DFF" w14:textId="77777777" w:rsidR="00FF1E38" w:rsidRPr="00FF1E38" w:rsidRDefault="00FF1E38" w:rsidP="00FF1E38">
      <w:pPr>
        <w:spacing w:after="0" w:line="240" w:lineRule="auto"/>
        <w:ind w:left="0" w:right="0" w:firstLine="0"/>
        <w:rPr>
          <w:rFonts w:ascii="Times New Roman" w:hAnsi="Times New Roman" w:cs="Times New Roman"/>
          <w:sz w:val="24"/>
        </w:rPr>
      </w:pPr>
    </w:p>
    <w:p w14:paraId="03F522F7" w14:textId="77777777" w:rsidR="00FF1E38" w:rsidRP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sz w:val="24"/>
          <w:u w:val="single"/>
        </w:rPr>
        <w:t>Studija za saniranje posljedica potresa</w:t>
      </w:r>
    </w:p>
    <w:p w14:paraId="6E4B2177"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Projekt „Izrada studije za saniranje posljedica potresa“ sastoji se od ukupno tri faze razvoja projekta:</w:t>
      </w:r>
    </w:p>
    <w:p w14:paraId="534FB3DC"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1. Faza projekta obuhvaća procjenu broja zgrada koje će biti oštećene ili srušene kao i broj mogućih ljudskih žrtava. Na temelju toga bi se izradili planovi za evakuaciju, zbrinjavanje ljudi te saniranje posljedica potresa. Da bi se to napravilo, potrebno je prikupiti podatke o ukupnom broju i vrsti zgrada i infrastrukturnih objekata. Ti podaci moraju sadržavati podatke o godinama izgradnje, načinu gradnje i vrsti materijala za sve objekte po Gradskim četvrtima Grada Zagreba.</w:t>
      </w:r>
    </w:p>
    <w:p w14:paraId="33B3F2D6"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2. Faza treba ostvariti materijalne i kadrovske pretpostavke za pregled potresom oštećenih građevina koji obuhvaća brzi (inicijalni) pregled (nekoliko sati nakon potresa), spasilački (unutar 24 sata nakon potresa), ubrzani (do 10 dana nakon potresa) i na kraju detaljni (inženjerski) pregled kojeg rade stručne osobe.</w:t>
      </w:r>
    </w:p>
    <w:p w14:paraId="1977D58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3. Faza predviđa izradu studije za uklanjanje urušenog građevinskog materijala, plan izgradnje i uređenja odlagališta kao i reciklažu istog.</w:t>
      </w:r>
    </w:p>
    <w:p w14:paraId="2546A6EF"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Studijom</w:t>
      </w:r>
      <w:r w:rsidRPr="00FF1E38">
        <w:rPr>
          <w:rFonts w:ascii="Times New Roman" w:hAnsi="Times New Roman" w:cs="Times New Roman"/>
          <w:sz w:val="24"/>
          <w:vertAlign w:val="superscript"/>
        </w:rPr>
        <w:footnoteReference w:id="20"/>
      </w:r>
      <w:r w:rsidRPr="00FF1E38">
        <w:rPr>
          <w:rFonts w:ascii="Times New Roman" w:hAnsi="Times New Roman" w:cs="Times New Roman"/>
          <w:sz w:val="24"/>
        </w:rPr>
        <w:t xml:space="preserve">za saniranje posljedica potresa se nastoje stvoriti realne pretpostavke za ublažavanje i saniranje posljedica potresa kao jedne od potencijalno najvećih katastrofa koje </w:t>
      </w:r>
      <w:r w:rsidRPr="00FF1E38">
        <w:rPr>
          <w:rFonts w:ascii="Times New Roman" w:hAnsi="Times New Roman" w:cs="Times New Roman"/>
          <w:sz w:val="24"/>
        </w:rPr>
        <w:lastRenderedPageBreak/>
        <w:t>mogu zadesiti Grad Zagreb. Navedena Studija provodi se u okviru Razvojne strategije Grada Zagreba u skladu s važećim propisima, a u suradnji s Građevinskim fakultetom Sveučilišta u Zagrebu. Tijekom osam godina rada na Studiji, u kojoj je sudjelovalo mnogo stručnjaka, obrađene su brojne teme vezane za aktivnosti prije i poslije potresa koje obuhvaćaju: kreiranje kvalitetne baze podataka o građevinama (definiranje metodologije, obrazaca, ključnih atributa, podjela grada na karakteristične dijelove – izrada karte, obuka popisivača itd.), razvoj metodologije brze inicijalne procjene potresne oštetljivosti (identifikacija ključnih parametara, kreiranje obrasca, itd.), detaljne procjene potresne otpornosti građevina na temelju eksperimentalnih i numeričkih analiza uz identifikaciju kritičnih mjesta, prijedloge seizmičkih ojačanja, organizaciju pregleda oštećenih građevina nakon potresa (izrada obrazaca za preglede, organizacija sustava, edukacije, sudjelovanje na vježbama, itd.) i drugo. Sve navedene teme doprinose umanjenju rizika od potresa, a većina ih se može primijeniti i na druga područja u Hrvatskoj</w:t>
      </w:r>
      <w:r w:rsidRPr="00FF1E38">
        <w:rPr>
          <w:rFonts w:ascii="Times New Roman" w:hAnsi="Times New Roman" w:cs="Times New Roman"/>
          <w:sz w:val="24"/>
          <w:vertAlign w:val="superscript"/>
        </w:rPr>
        <w:footnoteReference w:id="21"/>
      </w:r>
      <w:r w:rsidRPr="00FF1E38">
        <w:rPr>
          <w:rFonts w:ascii="Times New Roman" w:hAnsi="Times New Roman" w:cs="Times New Roman"/>
          <w:sz w:val="24"/>
        </w:rPr>
        <w:t>. Rezultati Studije bili su od velike koristi pri preliminarnom pregledu zgrada nakon potresa u Zagrebu 2020. godine budući je definirana metodologija koja se koristila pri brzim procjenama.</w:t>
      </w:r>
    </w:p>
    <w:p w14:paraId="227ED5F9" w14:textId="06E552D1" w:rsidR="00FF1E38" w:rsidRPr="008167C3" w:rsidRDefault="00FF1E38" w:rsidP="00FF1E38">
      <w:pPr>
        <w:spacing w:after="0" w:line="240" w:lineRule="auto"/>
        <w:ind w:left="0" w:right="0" w:firstLine="709"/>
        <w:rPr>
          <w:rFonts w:ascii="Times New Roman" w:hAnsi="Times New Roman" w:cs="Times New Roman"/>
          <w:color w:val="auto"/>
          <w:sz w:val="24"/>
        </w:rPr>
      </w:pPr>
      <w:r w:rsidRPr="00FF1E38">
        <w:rPr>
          <w:rFonts w:ascii="Times New Roman" w:hAnsi="Times New Roman" w:cs="Times New Roman"/>
          <w:sz w:val="24"/>
        </w:rPr>
        <w:t xml:space="preserve">U Studiji se nastojalo obuhvatiti karakteristične tipove zgrada na području Grada Zagreba prema razdobljima izgradnje, korištenim materijalima, visini građevine te primijenjenim propisima, zatim zgrade sa specifičnim lokalnim značajkama (primjerice, „limenke“, zgrade izvedene tunelskom gradnjom i slično), tornjeve, važne zgrade (povijesne, vatrogasne postaje, bolnice, industrijske zgrade, studentski domovi, koncertne dvorane, </w:t>
      </w:r>
      <w:r w:rsidRPr="008167C3">
        <w:rPr>
          <w:rFonts w:ascii="Times New Roman" w:hAnsi="Times New Roman" w:cs="Times New Roman"/>
          <w:color w:val="auto"/>
          <w:sz w:val="24"/>
        </w:rPr>
        <w:t xml:space="preserve">kazališta, škole, druge javne zgrade, itd.) i ostale elemente kritične infrastrukture (Slika </w:t>
      </w:r>
      <w:r w:rsidR="008167C3" w:rsidRPr="008167C3">
        <w:rPr>
          <w:rFonts w:ascii="Times New Roman" w:hAnsi="Times New Roman" w:cs="Times New Roman"/>
          <w:color w:val="auto"/>
          <w:sz w:val="24"/>
        </w:rPr>
        <w:t>11</w:t>
      </w:r>
      <w:r w:rsidRPr="008167C3">
        <w:rPr>
          <w:rFonts w:ascii="Times New Roman" w:hAnsi="Times New Roman" w:cs="Times New Roman"/>
          <w:color w:val="auto"/>
          <w:sz w:val="24"/>
        </w:rPr>
        <w:t>.)</w:t>
      </w:r>
    </w:p>
    <w:p w14:paraId="76E37F4E" w14:textId="77777777" w:rsidR="00FF1E38" w:rsidRPr="00FF1E38" w:rsidRDefault="00FF1E38" w:rsidP="00FF1E38">
      <w:pPr>
        <w:spacing w:after="0" w:line="240" w:lineRule="auto"/>
        <w:ind w:left="0" w:right="0" w:firstLine="0"/>
        <w:rPr>
          <w:rFonts w:ascii="Times New Roman" w:hAnsi="Times New Roman" w:cs="Times New Roman"/>
          <w:sz w:val="24"/>
        </w:rPr>
      </w:pPr>
    </w:p>
    <w:p w14:paraId="1097C8FA" w14:textId="5AFA1D49" w:rsidR="00FF1E38" w:rsidRPr="00A67E66" w:rsidRDefault="00A67E66" w:rsidP="00BD08A2">
      <w:pPr>
        <w:spacing w:line="240" w:lineRule="auto"/>
        <w:ind w:left="0" w:right="0" w:firstLine="0"/>
        <w:jc w:val="center"/>
        <w:rPr>
          <w:rFonts w:ascii="Times New Roman" w:hAnsi="Times New Roman" w:cs="Times New Roman"/>
          <w:b/>
          <w:color w:val="auto"/>
          <w:sz w:val="24"/>
        </w:rPr>
      </w:pPr>
      <w:r w:rsidRPr="00A67E66">
        <w:rPr>
          <w:rFonts w:ascii="Times New Roman" w:hAnsi="Times New Roman" w:cs="Times New Roman"/>
          <w:b/>
          <w:color w:val="auto"/>
          <w:sz w:val="24"/>
        </w:rPr>
        <w:t>Slika 11</w:t>
      </w:r>
      <w:r w:rsidR="00FF1E38" w:rsidRPr="00A67E66">
        <w:rPr>
          <w:rFonts w:ascii="Times New Roman" w:hAnsi="Times New Roman" w:cs="Times New Roman"/>
          <w:b/>
          <w:color w:val="auto"/>
          <w:sz w:val="24"/>
        </w:rPr>
        <w:t>. Nekoliko primjera zgrada analiziranih u Studiji za saniranje posljedica potresa</w:t>
      </w:r>
    </w:p>
    <w:p w14:paraId="2A05D931"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noProof/>
          <w:sz w:val="24"/>
        </w:rPr>
        <mc:AlternateContent>
          <mc:Choice Requires="wpg">
            <w:drawing>
              <wp:inline distT="0" distB="0" distL="0" distR="0" wp14:anchorId="4DB9FC40" wp14:editId="730EF1D9">
                <wp:extent cx="5172075" cy="1225739"/>
                <wp:effectExtent l="0" t="0" r="9525" b="0"/>
                <wp:docPr id="1039965" name="Group 1039965"/>
                <wp:cNvGraphicFramePr/>
                <a:graphic xmlns:a="http://schemas.openxmlformats.org/drawingml/2006/main">
                  <a:graphicData uri="http://schemas.microsoft.com/office/word/2010/wordprocessingGroup">
                    <wpg:wgp>
                      <wpg:cNvGrpSpPr/>
                      <wpg:grpSpPr>
                        <a:xfrm>
                          <a:off x="0" y="0"/>
                          <a:ext cx="5172075" cy="1225739"/>
                          <a:chOff x="0" y="0"/>
                          <a:chExt cx="5632450" cy="1225739"/>
                        </a:xfrm>
                      </wpg:grpSpPr>
                      <wps:wsp>
                        <wps:cNvPr id="66809" name="Rectangle 66809"/>
                        <wps:cNvSpPr/>
                        <wps:spPr>
                          <a:xfrm>
                            <a:off x="1160907" y="1082929"/>
                            <a:ext cx="42144" cy="189937"/>
                          </a:xfrm>
                          <a:prstGeom prst="rect">
                            <a:avLst/>
                          </a:prstGeom>
                          <a:ln>
                            <a:noFill/>
                          </a:ln>
                        </wps:spPr>
                        <wps:txbx>
                          <w:txbxContent>
                            <w:p w14:paraId="3C0958A1" w14:textId="77777777" w:rsidR="003E564E" w:rsidRDefault="003E564E" w:rsidP="00FF1E38">
                              <w:r>
                                <w:rPr>
                                  <w:rFonts w:ascii="Calibri" w:eastAsia="Calibri" w:hAnsi="Calibri" w:cs="Calibri"/>
                                </w:rPr>
                                <w:t xml:space="preserve"> </w:t>
                              </w:r>
                            </w:p>
                          </w:txbxContent>
                        </wps:txbx>
                        <wps:bodyPr horzOverflow="overflow" vert="horz" lIns="0" tIns="0" rIns="0" bIns="0" rtlCol="0">
                          <a:noAutofit/>
                        </wps:bodyPr>
                      </wps:wsp>
                      <wps:wsp>
                        <wps:cNvPr id="66810" name="Rectangle 66810"/>
                        <wps:cNvSpPr/>
                        <wps:spPr>
                          <a:xfrm>
                            <a:off x="1879092" y="1082929"/>
                            <a:ext cx="42144" cy="189937"/>
                          </a:xfrm>
                          <a:prstGeom prst="rect">
                            <a:avLst/>
                          </a:prstGeom>
                          <a:ln>
                            <a:noFill/>
                          </a:ln>
                        </wps:spPr>
                        <wps:txbx>
                          <w:txbxContent>
                            <w:p w14:paraId="279E9EEB" w14:textId="77777777" w:rsidR="003E564E" w:rsidRDefault="003E564E" w:rsidP="00FF1E38">
                              <w:r>
                                <w:rPr>
                                  <w:rFonts w:ascii="Calibri" w:eastAsia="Calibri" w:hAnsi="Calibri" w:cs="Calibri"/>
                                </w:rPr>
                                <w:t xml:space="preserve"> </w:t>
                              </w:r>
                            </w:p>
                          </w:txbxContent>
                        </wps:txbx>
                        <wps:bodyPr horzOverflow="overflow" vert="horz" lIns="0" tIns="0" rIns="0" bIns="0" rtlCol="0">
                          <a:noAutofit/>
                        </wps:bodyPr>
                      </wps:wsp>
                      <wps:wsp>
                        <wps:cNvPr id="66811" name="Rectangle 66811"/>
                        <wps:cNvSpPr/>
                        <wps:spPr>
                          <a:xfrm>
                            <a:off x="3032760" y="1082929"/>
                            <a:ext cx="42143" cy="189937"/>
                          </a:xfrm>
                          <a:prstGeom prst="rect">
                            <a:avLst/>
                          </a:prstGeom>
                          <a:ln>
                            <a:noFill/>
                          </a:ln>
                        </wps:spPr>
                        <wps:txbx>
                          <w:txbxContent>
                            <w:p w14:paraId="36274574" w14:textId="77777777" w:rsidR="003E564E" w:rsidRDefault="003E564E" w:rsidP="00FF1E38">
                              <w:r>
                                <w:rPr>
                                  <w:rFonts w:ascii="Calibri" w:eastAsia="Calibri" w:hAnsi="Calibri" w:cs="Calibri"/>
                                </w:rPr>
                                <w:t xml:space="preserve"> </w:t>
                              </w:r>
                            </w:p>
                          </w:txbxContent>
                        </wps:txbx>
                        <wps:bodyPr horzOverflow="overflow" vert="horz" lIns="0" tIns="0" rIns="0" bIns="0" rtlCol="0">
                          <a:noAutofit/>
                        </wps:bodyPr>
                      </wps:wsp>
                      <wps:wsp>
                        <wps:cNvPr id="66812" name="Rectangle 66812"/>
                        <wps:cNvSpPr/>
                        <wps:spPr>
                          <a:xfrm>
                            <a:off x="4328414" y="1082929"/>
                            <a:ext cx="42143" cy="189937"/>
                          </a:xfrm>
                          <a:prstGeom prst="rect">
                            <a:avLst/>
                          </a:prstGeom>
                          <a:ln>
                            <a:noFill/>
                          </a:ln>
                        </wps:spPr>
                        <wps:txbx>
                          <w:txbxContent>
                            <w:p w14:paraId="6F73EDD4" w14:textId="77777777" w:rsidR="003E564E" w:rsidRDefault="003E564E" w:rsidP="00FF1E38">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66842" name="Picture 66842"/>
                          <pic:cNvPicPr/>
                        </pic:nvPicPr>
                        <pic:blipFill>
                          <a:blip r:embed="rId56"/>
                          <a:stretch>
                            <a:fillRect/>
                          </a:stretch>
                        </pic:blipFill>
                        <pic:spPr>
                          <a:xfrm>
                            <a:off x="0" y="0"/>
                            <a:ext cx="1158875" cy="1186815"/>
                          </a:xfrm>
                          <a:prstGeom prst="rect">
                            <a:avLst/>
                          </a:prstGeom>
                        </pic:spPr>
                      </pic:pic>
                      <pic:pic xmlns:pic="http://schemas.openxmlformats.org/drawingml/2006/picture">
                        <pic:nvPicPr>
                          <pic:cNvPr id="66844" name="Picture 66844"/>
                          <pic:cNvPicPr/>
                        </pic:nvPicPr>
                        <pic:blipFill>
                          <a:blip r:embed="rId57"/>
                          <a:stretch>
                            <a:fillRect/>
                          </a:stretch>
                        </pic:blipFill>
                        <pic:spPr>
                          <a:xfrm>
                            <a:off x="1193673" y="0"/>
                            <a:ext cx="683895" cy="1186815"/>
                          </a:xfrm>
                          <a:prstGeom prst="rect">
                            <a:avLst/>
                          </a:prstGeom>
                        </pic:spPr>
                      </pic:pic>
                      <pic:pic xmlns:pic="http://schemas.openxmlformats.org/drawingml/2006/picture">
                        <pic:nvPicPr>
                          <pic:cNvPr id="66846" name="Picture 66846"/>
                          <pic:cNvPicPr/>
                        </pic:nvPicPr>
                        <pic:blipFill>
                          <a:blip r:embed="rId58"/>
                          <a:stretch>
                            <a:fillRect/>
                          </a:stretch>
                        </pic:blipFill>
                        <pic:spPr>
                          <a:xfrm>
                            <a:off x="1910969" y="0"/>
                            <a:ext cx="1116965" cy="1186815"/>
                          </a:xfrm>
                          <a:prstGeom prst="rect">
                            <a:avLst/>
                          </a:prstGeom>
                        </pic:spPr>
                      </pic:pic>
                      <pic:pic xmlns:pic="http://schemas.openxmlformats.org/drawingml/2006/picture">
                        <pic:nvPicPr>
                          <pic:cNvPr id="66848" name="Picture 66848"/>
                          <pic:cNvPicPr/>
                        </pic:nvPicPr>
                        <pic:blipFill>
                          <a:blip r:embed="rId59"/>
                          <a:stretch>
                            <a:fillRect/>
                          </a:stretch>
                        </pic:blipFill>
                        <pic:spPr>
                          <a:xfrm>
                            <a:off x="3066542" y="0"/>
                            <a:ext cx="1263650" cy="1186815"/>
                          </a:xfrm>
                          <a:prstGeom prst="rect">
                            <a:avLst/>
                          </a:prstGeom>
                        </pic:spPr>
                      </pic:pic>
                      <pic:pic xmlns:pic="http://schemas.openxmlformats.org/drawingml/2006/picture">
                        <pic:nvPicPr>
                          <pic:cNvPr id="66850" name="Picture 66850"/>
                          <pic:cNvPicPr/>
                        </pic:nvPicPr>
                        <pic:blipFill>
                          <a:blip r:embed="rId60"/>
                          <a:stretch>
                            <a:fillRect/>
                          </a:stretch>
                        </pic:blipFill>
                        <pic:spPr>
                          <a:xfrm>
                            <a:off x="4361815" y="13"/>
                            <a:ext cx="1270635" cy="1179055"/>
                          </a:xfrm>
                          <a:prstGeom prst="rect">
                            <a:avLst/>
                          </a:prstGeom>
                        </pic:spPr>
                      </pic:pic>
                    </wpg:wgp>
                  </a:graphicData>
                </a:graphic>
              </wp:inline>
            </w:drawing>
          </mc:Choice>
          <mc:Fallback>
            <w:pict>
              <v:group w14:anchorId="4DB9FC40" id="Group 1039965" o:spid="_x0000_s1029" style="width:407.25pt;height:96.5pt;mso-position-horizontal-relative:char;mso-position-vertical-relative:line" coordsize="56324,1225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dRN/6AMAAPsUAAAOAAAAZHJzL2Uyb0RvYy54bWzsWNtu2zgQfV+g/yDo&#10;vZEoydQFcYqi2QYFFttgu/0AWqYsoZJIkHTs7NfvDCUqju22QWp0vWgeLFMkRQ7PHM4c8vLNtmu9&#10;O650I/q5Ty5C3+N9KZZNv5r7n/9+/zrzPW1Yv2St6Pncv+faf3P16rfLjSx4JGrRLrnyYJBeFxs5&#10;92tjZBEEuqx5x/SFkLyHxkqojhl4VatgqdgGRu/aIApDGmyEWkolSq411F4Pjf6VHb+qeGk+VpXm&#10;xmvnPthm7FPZ5wKfwdUlK1aKybopRzPYM6zoWNPDpNNQ18wwb62ag6G6plRCi8pclKILRFU1Jbdr&#10;gNWQcG81N0qspV3Lqtis5AQTQLuH07OHLf+8u1VeswTfhXGe05nv9awDR9m5PVcJMG3kqoDeN0p+&#10;krdqrFgNb7jybaU6/Ic1eVsL8P0EMN8ar4TKGUmjMIU5SmgjUTRL43xwQVmDnw6+K+vf3Zc0jpIZ&#10;eHDvy8BNHKB9kzkbCXTSD4jpH0PsU80kt47QiMGIGKVZmDu8/gKqsX7Vcm+otgDZ3hNcutCA3BGs&#10;CKFhHqa+h6iEWZRHIyoOtyQiSTKuPcvzOEXQpqWzQiptbrjoPCzMfQW2WDayuz+0Gbq6Ljh92+Oz&#10;F++bth1asQYQdBZiyWwX24EYOBnWLMTyHpZeC/XPR9jyVSs2c1+MJR+jAMyNrb7XfugBctxwrqBc&#10;YeEKyrTvhN2WgzVv10ZUjTX3YbbRLPDlYMPPcCoBu4dN8MipUD0CARR4glOzNA/z6EydGrm1/DJO&#10;JcedShwQT3JqHMZRSoEf39qp8X+1U2O3ll/GqbC9ju3Uid1PcmoSR1lCIL6epVOTc3GqbMoCfqMK&#10;gdJBTv2+WoOvzFpxfxyke9IYHVNf1vI1CCbJTLNo2sbcW/EHOQ6N6u9umxITK748Ss/JxA/ogRNj&#10;coZKiOOuL36JORDfHw20aBuJCRKTE5ZHk0E77mmvI6sedN21KNcd780gVBVvwXrR67qR2vdUwbsF&#10;B92lPixtDGKFNoqbssYJK5gYkw9attNgrXwwDG3+iqQYQtSob52MIGSWZZP8IhnNyAyxeK6SsOYM&#10;Btgi2DMAC4X/FU1g7w9h5HaHJnbjIcRIqXOgieXtDhtOQBNC8pimkLAg9O2RhWZxljup/sIVK4Ux&#10;etBjXKHnFlKsFDgxV3IS5hQOPIdcIXCCsWdHezp7IctEFrj9OAws2bmRxUa605IlDimdYfo9QpaI&#10;xnQ6yr+QxZEFITkgC1SemVixiuG0ZEliSlCKWAE+Rq5Js0RpSOMpD8GZenZ6zWIvj+CGzUqh8TYQ&#10;r/B236G8e2d59S8AAAD//wMAUEsDBBQABgAIAAAAIQBwii8q2wAAADEDAAAZAAAAZHJzL19yZWxz&#10;L2Uyb0RvYy54bWwucmVsc7zSy2rDMBAF0H2g/yBmX8t2HoQQOZtSyLakHzBIY1mp9UBSS/P3FYRA&#10;A8HZeakZ5t6z0P7wa0f2QzEZ7wQ0VQ2MnPTKOC3g8/T+ugWWMjqFo3ck4EIJDt3LYv9BI+ZylAYT&#10;EispLgkYcg47zpMcyGKqfCBXNr2PFnN5Rs0Dyi/UxNu63vD4PwO6u0x2VALiUS2BnS6hND/P9n1v&#10;JL15+W3J5QcV3NjSXQIxasoCLCmD1+GyOgcN/LGhncfQThmaeQzNlGE9j2E9ZVjNY1jdDPzuo3d/&#10;AAAA//8DAFBLAwQUAAYACAAAACEAEk/hLN0AAAAFAQAADwAAAGRycy9kb3ducmV2LnhtbEyPQUvD&#10;QBCF74L/YRnBm93EWmljNqUU9VSEtoL0Nk2mSWh2NmS3SfrvHb3o5cHwHu99ky5H26ieOl87NhBP&#10;IlDEuStqLg187t8e5qB8QC6wcUwGruRhmd3epJgUbuAt9btQKilhn6CBKoQ20drnFVn0E9cSi3dy&#10;ncUgZ1fqosNBym2jH6PoWVusWRYqbGldUX7eXayB9wGH1TR+7Tfn0/p62M8+vjYxGXN/N65eQAUa&#10;w18YfvAFHTJhOroLF141BuSR8KvizeOnGaijhBbTCHSW6v/02TcAAAD//wMAUEsDBAoAAAAAAAAA&#10;IQDg0WJw2RcAANkXAAAUAAAAZHJzL21lZGlhL2ltYWdlNC5qcGf/2P/gABBKRklGAAEBAQBgAGAA&#10;AP/bAEMAAwICAwICAwMDAwQDAwQFCAUFBAQFCgcHBggMCgwMCwoLCw0OEhANDhEOCwsQFhARExQV&#10;FRUMDxcYFhQYEhQVFP/bAEMBAwQEBQQFCQUFCRQNCw0UFBQUFBQUFBQUFBQUFBQUFBQUFBQUFBQU&#10;FBQUFBQUFBQUFBQUFBQUFBQUFBQUFBQUFP/AABEIAHwAh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W9E+M2mWd+kV95aS3H3kRv4tm/Zs/z&#10;9+vTdB8YaVrzW8drcxvLLEsvk7q/Lz42eLbnwl8S3/er9nazX7M6Ltdd1vsR/k2bvn+avRv2YPiF&#10;4ov/ABbaRWcE9zK0q/ImxPlZ/nT5v4fkrsy/OMT7sqvvRkfMYnAR+OJ+kSJViOooUbam779W0Svu&#10;JTufPEsNW4arolSzTRWcDzzyrDFEu9pnbYirXNI3iaEL0zUvF2jaDtXVdX0/TXZdy/a7lIv/AEKv&#10;m34qftYQWckuleCVW8uPuNq0y/ul/wCuSfx/7/3f96vn99J8Q+MtUlvp/tN5d3Dbpbi7b52rglGP&#10;xSO+lSnM+9L/AOOXw+0dv3ni/TX/AOvef7R/6BurNm/ao+HVm22LV5rx/wC5b2Mv/syV8X/8IxpW&#10;jyp/a+qrv/iht/nf/c+WrH/CQ2dtF5Wi6K2/credd/8AxC1wVKlD/EepTwVQ+6vAvx38K+ONV+w2&#10;09zYXf8AyyTUIvK8/wD3W/8AZa9RR1da/P8A01G1jQbKe+VUu2Vv9Suzb89el/Df9oTXPBmyx16K&#10;fWNKVtm9/wDj7g/+KrhvzHTKjy/CfXiqv8NG6uf8I+M9I8ZaWmoaRfR3lu33trfOv+8v8Nb3yv8A&#10;daszIsLMtP3LVTa1PSp5So1JFr5f7tFQeZRUcpv7U/Hf4i+D28Q29lqraf8A2rLa/PBYzK/2iJmf&#10;533/AD7l/wBjZ8uxK4/wffS/CL/hH76Cxu/tEs8vmw+V93/gS/61fv8A+dldb/ws6z/4TDVdMSdd&#10;SiinWJv9Mifc29PufPubfv2/73y1dttY0j4kXj+GrPz4bi6vGtbpIW+1eV/A7/L/ABOn8H+/XxWH&#10;qYil7konXVjHlPqj9l34r3nxa0u9uZ4pHSLaiyvXvCWzf3WrN+Bvwf0P4ReAdN0WziV7vyt91cbf&#10;nllb79ei/Y7b0r9PwlepSp8tU+Sq0Yyl7pyPkssTttZ9q/cT+KvjL4r/ABIufGWqPZ+I9cXTdPib&#10;91oen/P/AN97fvN/v/8AjtfoB/ZsVfmf4qv7N/G96zW3nSrKyL8v8VXUrVKv8M7MJQjGX7wbZ6xB&#10;bNs0PQd/924vvv8A/fK//F1j+NtS8R22m+fc3LTI3yfZIW8pNv8AuLXYQ2eoXm/yoGhi/vv+6SsT&#10;XrbRblfK1DXIET77JaL5rt/sb/4a86VOPxVZHtxlL7ESp4G+w3/h/T76WBvNni3sj7P79dXNdfL5&#10;UES7/wC5Cu565/w9f6Lomm2lnoumXepW9urIr30v/wATWw+sa9cxbYlg02L+5bxbKI1KcfhiEqdS&#10;XxSO70rzU0a0WVWSX5t6Ov8At1FYQzwxXEF9eNcw7vlmdtjrF/v/APfdJ4Vtrmbw/F587XNwrNud&#10;2+989UrPWPtMuoKy/wDHnLsb5XqI1JBKJq6Vquq+D7+LU/D19PbXat800LJsZf8AbT7rLX0b8Nf2&#10;ktK8SXEWmeI/L0TWG+RZmf8A0e4b/Zf+D/davmCaOK8t4mglaFFlV18ltn/AKo+JNr6bcNEqpcbV&#10;+d1+8y1tyxl8JzSjzfEfo95lG/8A2q+HPhj+0H4g+GsyWN1u1jw7FsRre4f54t3/ADydv/QK+uvA&#10;fxC0H4kaT/aGh3y3O3/W27/LLA39x0/hrmOaUZROp8yioWbbwVk/4CjGigy94/nl8K21zo+rbZYI&#10;EiW6W9Wa4/eozxfP99f4fm+b/gFfob+xV4PtvCVn4o15rNXliXfFd3Eu/c0v73Z9z/cr88oYbZ30&#10;Ly2nuYriK4lnhh+X91v2b/8AvhN3/AK+iv8AhIby/wDD+m6ZB9pe0t1XyrHc8qRfIif+yVxUZQji&#10;Yymepi4ynHlgfpB4f+LWleIdLvdQtpY3tLWBZXuFn3pu/uf733f+BV3FneR3luk8Eu9GXdX52+G/&#10;Hmo+HvCqafFoqzSxQN++uJ9ibt7v9xfvL9z+7XVW3xm8bJptvp8XiGPSrRfkW30+BE3f8Dbe3/fF&#10;fQyxFKPwnj/Uqp9232twaPZy3N9eQWdpEvzTXEqoi/8AAq/PDW7/AFeHxVdxaZ9hs4mZna4SD983&#10;++9S3M32+6ludQludVu1Xe1xfSvK7f8AA2rn7/yofE2oS3mr6fD+/byoXl82Vf8AgC1ySqRqfF7p&#10;30aMqX94tzaat4+7UNTkvNv/AE131zPxC02x/snyoFaF1Zf33/fdbaaxpEMr7p768/694Nv/AKFW&#10;Zr3jCz0mJ7lvDnnJuVFe7l83+/8AwVl/s8Ts/eB8JdeWHwXoltLP9pu2il3O673b53ru3TUrmKVl&#10;tp3Tb/GuyuS8JeKtT8Q6JZX2kfZNN0+Xd5SWNqiJ9/ZWrc2F9cxS/btTuZk/iR5X2f8AfFVGtL7M&#10;QlTj9qR6r4Jhns9NeC5T96v+1vosNHXSrjU7mVfkum81tn97/YrK+GMMWm6W8UTfJub/ANkq3o+p&#10;ahN4j1uCedXsotjwJt+7u3//ABFcfNLmkbcseUr69/x4Wk9srfNdLEyO2x13P9+s+/8AtKXFxHKq&#10;+Uu11RPv1tf2lFc6W9zqEHkorbWRH31m3lyv9s3EUUqvLLBvVN33V2fJW3tPe94x9n/KZMzxXkXy&#10;t87Kr7Kt6Pr2oeGdYXV9BvptL1KNvlZW+/8A7/8AfTd/BTJrP/W+ezQxLar8+35Fb+P5/wDvj/vi&#10;uK8eeIV8K2sv/LzK33VT+GsaleMIhyn2B4L/AG1tN/snyvFml339pxnaZtFi82GUf3j83yn2or8v&#10;tQ8cJp15I5uGvnnO9tso/d/7Py0Vx+2kHKdd4M8H2ej3VlFc2fz29iu3zm37a6P7ffXK2/7v7NE0&#10;TO2xfnVt/wAlYWlaq02szfuvn+xrtmdvvf8AAKelzqtytu07eTug/epD/wA9a2px5R6m1DbX26yn&#10;nuW/dRN56bv9a1dBo9nLZ26RNfN/r967IkT5f7lcVbW15/oks88nyxMk6bvvN/uVu6Po89hZ28EV&#10;992fzWd13u6f3K35hcp2aPAlxLL5rO+35k3PsX/gFc/qVzY3Piq7laDe0UrJ89avnf7S1y+saq1h&#10;4tvYrHQ7SZ2lZ2muJXl3P/uVrGUY/F7wcpt/2xBbs6xQRp/wKsHxVdT6xpvlLa+c7MvyQxP/ALdW&#10;E1vXvn8qDT7b/bhtawvFvirxVo+mvPFqrJKzKjbIIvu/P/sVfto/ZiHs/wC8bvw30rVdK8G6VYtp&#10;9zbPE0v7l1dP+WrvWjeeGfFGpX8rzr5NkvzrvnT/AH64n4e6rq/irwvaahfavdvLLLKjJ577Pld1&#10;/v11qeG7bbukl3v/ALVHtqnL7sQ9nE9Y+GNnPpulywXM8FzL8257dt/9yuhSwltri4n3K7yr/wB9&#10;Vx3wotorawu4oPueaz/+gV0yWEsOvXFy3meVKv8Af+T+5XB70pSOn3eWJX1D7VDpcqywRu7N8qQr&#10;WZcus3iD7vz/AGXZ/u1b87U7XSb5mlZ7iKX915y1mfaZ38W2SyrG8UsG9v8AerbmqfaJ90ZbXN5t&#10;tNs/nRNZ/wCpm/e/vf8Aaeua8YeRdTfaZ9MaZ4l373l+Tcyf3P738P8AwOt37TZ3/wBnZraS2muI&#10;Jduz/lkv8dReTbXLfur773lS7Lhf4dmxPvf368urKJ0RieD+NNF8NXEOnXTWxhlnVnkVVl+9hf8A&#10;Yor2KTS7e60+wc2sF0vlfK/yUVkRynhWiTS/2tL8tsm21XbMi/vv4Pv1p2z301vaee2yVom83b/e&#10;+TZXknhv4kX3iHXEs44ltnaKXyksdiOzLE7om+Xf/GiLW9Nr3iVJbdZdMu7bbP8AN/xMbV9q/J/0&#10;y+avcjTlynNKXvHpSJcx3G7z/wB0qtuT+81b2j+elnEt8yvKrb98O/Z/49XhN/4w16wt71v7Q8n9&#10;/sVHWJ/l/wB/ZWjbfE65mvNTafUPs1utq32VEZH3S/wfwVfLIk+gprbT4bC3uVn33dwzebCq/Oq1&#10;zl4mrzeJr2VbO58rzW2ukX8NeOp8RZ5vDOnt/bjf2m0/7/5vnVd9ZPjzxtqd/rn/ABL9e1BLRVX/&#10;AFN433v+AvRzSh7wcsZHvf2bWnZ9ttP/AN/U/wDi6xNa8K+KNY/cLbbE2/cmlT/4uvnd9V1eb/W6&#10;vqD/AO/dNVWZLyaL/j5nd/8AblqJVpSNfZxPpjw34G8R6VoNpYz+XDcea3zeb/vvXYJ4b1DykVp7&#10;FP8Afn/+wr4/v7D/AEyXc/8AF8uxkf8A9BohsV3fPUe2qRD2cT74+GjrokTxXl5ab5fnVEnrqkto&#10;obp7zz/OeX/lsn3K/O+z02Pcny17XpWjy6r4Zt9MlWD7Iq+b51v/AK3d877H/wCAOn8Fc3LKUuY2&#10;+E+m3hnS3liivpPNl/jdqybl5YfEFku7e6xbPnX73yV4FHotnNqWn3l9eWifY/K/4954nTb8n+t+&#10;f5f4/v1y8NtZ3mvatZy30FtaSytLE/mpsb5/733fuVfLL+Yj4z6ls7G58q0lWKN0SBvk+596q6aP&#10;OixK1suxVt0+Vv7r768A8nRdSbU1bWo0lvJYvK2bv4U+er81nY7biW2vL65dnupVSFX/AOW/yRfe&#10;rz6sZfzHT70Piiev2sb2sEKFNp2H/wBGPRXjmnwwTWcTeZqIaYfaGRjt27vl/wDZKKcacrGPtTk7&#10;nwz8LdNZ59M1fxk92v8AqLi00W1i2t/v+ajVVS28Baa0UWn2fi+ZIpd8SXa28SfN/u/N97Z/H/fr&#10;6NuP2Idas4t0XiXSXT/rlcb/APvhUeprb9iHU7lf9J8S2KIv/TK4/wDZttexz0/5jHlqfynyd4tv&#10;4tVV7a20jUEi3fM811cPu/76fbWF4b1uXwrcXdt/Yttcpe/IzXa7/KVt/wBz/gL19wf8MPWdtavP&#10;c+MYEiiXfK6RIiKv+3+9qv8AD39mPwF42utYs9N8R6hrcukz/Z7p7eJERW3un32R/wCNH/74o56f&#10;8wRp1P5T4f1Wzsbaz8+0ga5llllTZt2eUq7P7tY6Q3kLfNYybf8AYV6/S3/hjDwhprJ5s+twuzfL&#10;vlt/m/8AIVdBpv7PHhzTU/0aef5f79jpsv8A6Fa1EqkZFxhI/L1Fldf9U3/A1ra03wfrV+37vTLv&#10;7u//AFD/ADf+OV+pdt8Pb7TbfyrHxLeWaf3E06yRP/HbdKr3PgnxLc/e8Xxzf9fei28v/wARWHNI&#10;vlPzH/4R7XNY/exaRfXL2/8Ao8/k2b/umX+D5U+Wov8AhHtVT5W0q7Tb/wBMHr9RbDwl4osIvKi8&#10;R6Slv/DEmgbE/wDHbirv9g+KNv8AyF/D7/7b6LL/APJFRKVQOU/MDQdNaG/RdQsbnyvm3JtdN1df&#10;4h8Z6r458P2kEFtJYPb3TSxXFjYxebFFAifx74v78Xyf3ov9ivvDW/hp4h1i4iln1PQn8pt6olte&#10;26K39/Yt1WPpXwZ17SovLW+0S5iXdtR5b1PvfO/3Zf43pxlU5Q94+TbbwxEnhy9a0Wd5re1+2tND&#10;vTc2ys/XvBOq6VofiDVZ9IuYUWWLyJvI2Jt3/wAHyV91Wfh7xjZqnlWfhCbau3fMt077f99t9ZWs&#10;fDTxLrEvnyaZojy/3LTXdStU/wC+F+WsantpR5S6f7qpGqfnv4e1VofE2mfaZZIbeW+ied9v3fn+&#10;/wD+PvXsfiH406H4YV4NB0+C/fds+0ahsRP++PnZv/Ha9Y8T/s8fEHUrqWWz0yCGL+FpvEUsv/oV&#10;eWeJvgn4q0FkiubHRLnzW2NMmyXa3+2+ysamXe35eaRtjcVLFSjIyPCnjS7+JH2j/QdEtlsVRVSx&#10;svKT5i3/AH193rRWh4X+GPjaFbr7HaaNAjMpZf7Qih7f3dy/yortjl0bHlcx+oU3wT0rc8ttc3KP&#10;/Ckzb0/9krmdb+GmoeHoftLa5p6W/wDz2u3+z/8A2Nevf2b/AM9by5m/7a7P/QaZeeHrG/t/Ins7&#10;a8ib7yXa/aN3/fVLlgd/MfmF+0N42a/+Imp6RPq7XmmeUsUsNpqb+TKrIjun7p9rfPW18AdSl8Nx&#10;Wljos8aaUt19n+zps8ra39/+Ld/9nX33f/Ar4faqqfafCGk/L/zxtfK3f981d0H4P+B/CrK2i+E9&#10;G011bfvtLGJH/wC+tlRKjH7JtGtKJ40lzLD/AMt9j/3KsJNLtTa0n+1sZ0r3C58E6LN97ToE/wBy&#10;JU/9BrNufhvpU3zKrQv/ALDb/wD0Ko9lIOY8pR7ncjLLs2/d3tW3H4ni023eW8gg2Ku+WaZn+X/g&#10;ddLc/Ctk3tBqC7/7kyV4l+09Y3fgH4bXeo3LQPtniSJ0lX5m3/wfxVPLMOaI74nftIeF/CXgu71y&#10;zXT9Su2/dWqW7eajS7PuPs/z9z7tdH8LviF4e+JHg3TNeWzaG7uLX9/DDseKKX+OvzqufFVnryp9&#10;us9Nv9y7GeaBHfb/AHP++67LwT4/n8Pbl0xpLNFXZ/o8rxf8A/3az9825acj9E7aHQ0tdsqxzSr/&#10;ABvFtoTw9pV/cRKrWlsm75v3vzsv+x89eX/DHXrnWNBla5lkm2ztFE+132rsT77/APxb11qJ/wAt&#10;Vlj/AO+qvmMeU9Ah8DaC6/JBI/8Atoz1FN4D0i5ili8i88pl2M9vK6P/AN9/erivl3I21n2/x1dh&#10;1W5tl8pbyeH/AGEZ6vmDlNjT/hF4csLrz4m1Z3X5P9LvLi4Rf+ASu61rXnw60i/i2zrLNF/cmVP/&#10;AGasSHxJqqRf8fm/5v7tV7jUtQvF/wBJnk8pf4PuVfNIjlLv/Ct/C8Py+VZW3+w0EVFZscLbeNtF&#10;P2sw5D1/5qf/AMBp11+7+7xSw/vPvc10GIbP7tPRG/iWnSUbTt+8350ACIv96pdi/wAVEdRUAS7l&#10;rznxz8CvCfjmP9/YxWdxu+a4tI0R2WvQU+/TJpGpObp/CHLzHzLr3/BPT4W6qrNFFqVncP8A8tkn&#10;T/0DZXLaP/wTZ8J2F557+Ltbfa3yoiov/wAVX18wP95vzqjr19Jpll5kON3+0M00+f4gjE86s/gn&#10;/wAIravFpV5HDb/fbezp/wDF1hTWE9tcOnmq7q33/kfd/wB81fm1m81yPfeTtKN/3P4fypEhXc/F&#10;ctonQX9N8H6hqtv5sX2ZE/66/O3/AHzVi58Aaun3Ylm/3JU/9mrCe4bdFwPyroINWvraIvHeTAR/&#10;dTd8v5UrRAzJvD2tQt81iyIv9yKsq5+2W0qbYo/vfxyun/sldfpvjbVW+/Ksny/xLmvTDHHcRP5s&#10;SSf7y1XKKUuU8GXVLiPhrSeX/ah2baK9ubw5pGf+QVZ/9+F/woq+Uz5j/9lQSwMECgAAAAAAAAAh&#10;AJMInfgwFAAAMBQAABQAAABkcnMvbWVkaWEvaW1hZ2UzLmpwZ//Y/+AAEEpGSUYAAQEBAGAAYAAA&#10;/9sAQwADAgIDAgIDAwMDBAMDBAUIBQUEBAUKBwcGCAwKDAwLCgsLDQ4SEA0OEQ4LCxAWEBETFBUV&#10;FQwPFxgWFBgSFBUU/9sAQwEDBAQFBAUJBQUJFA0LDRQUFBQUFBQUFBQUFBQUFBQUFBQUFBQUFBQU&#10;FBQUFBQUFBQUFBQUFBQUFBQUFBQUFBQU/8AAEQgAfAB1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Ni/Iq/IkVCfe81v+A0x3V28r+BfvU9&#10;3WggN67qPMqpM/8AFVd7lt1QWaDuv92oty1X+0fLUW9t1WBYeaoU3O1Z/ifxVovgbQbjWvEeq22j&#10;6VAvzXF22xP+Af3m/wBivg345f8ABQ7V/En2jSvhhbNommfcbxDdr/pEv/XJP4aiUowCMec+pf2g&#10;f2kNB+CGg3q/adPv/EqxK8WkzTv8qs6Jvl8pHZV+f+5WF8Iv2rvBnxRbT9K1CVfDfiu4/dLY3H/H&#10;vO3/AEyuPu/P/cfa1fnJ4P8ADd94k1vW7nU7m7uXl0zUri6uJpd8s7RW73Cb3/u+bEnyf7CVYmSW&#10;GKKJlW5+XZLvX71cftjpjR+yfrrNbMl0+5fur9+myQ/3a/P/AOC37Wnir4btFp99K3ifw/u2f2fq&#10;Ev8ApEC/9Mpf/ZH3L/u19tfDT4r+E/jBpf2zw1qavcRLvutMuF8q7tf99P7v+2ny10xqRl8JjKnK&#10;B03l1UmhZ22rWm8LLTreFasgzf7PdeC1FXrhPnooLJ1vGRfvUf2k1Y/2r2o86rINv7QlHnK1YnnP&#10;XP8Ajn4l+Hvhd4fl1zxRqsOm6fEvy72/eyt/ciT+JqAO9hTe21a8A+M37cPgD4Sy3elaVK3jDxRE&#10;v/Hpp7J9nib/AKa3H3f++N3/AAGvkn40/te+NvjfcXGi+HvP8JeEm+VrS3b/AE66X/pq/wDDv/uJ&#10;/wCPV5fpvgmz0fylvN00v31tIV3v/vv/AA/991x1MRGPwnTToykW/iF8RPG37QniZNV8VX0l+nzP&#10;a6fD8lpar/cRP4v9+sSb+yPCVxbwXPn6lrE/yRWlj88v3/4/7v8AuJW34bm1PWNG/tCeCHTdPuJW&#10;S1t7dvnZV+TfK9O02FYfHmmbVVEitW/i8pNu+uL3pVOWR0/BT5onUeCfN+2an5u2GJdF1JFt7f8A&#10;1S/6Fcf99VyWpTeTeea38P8A8XXYeE3b/ibL/B/ZN++7/t0lritS3PeJuX7tZR+E6H8RU/10USN8&#10;m7azJu+61aug+KtT8J6paanpGp3em3tv/qr60bZLF/8AY/7H8X+1WVM/mSuvm7P7v9yszVNVbR7X&#10;z2ga5i3bGRG+f/fojzc3umkox5fePvj4FftpWfie4t9F8ftbWF23yRa9D+6t5W/uXC/8sm/2/u/7&#10;lfVLwtD8396vxstpvl8+L5Nyfx19K/s6/taah8NFt/D3iNZ9V8L/AHIkT57iw/65f3ov9j/vj+6/&#10;fTrfZkcFTD8vvRPuq6dvMop/hvVNI8aaHaazoGoLq2mXS747iyQyL+IHKH/Zbmiuw4yu9nTfsexX&#10;lZlSJV3s7/IirXnPxg/aW8GfBnUP7IvLxtb8QL97RtM2Sywf9dX+7F/uP83+xXyb8ZvjZ4x+M1r5&#10;Gq3i+EvBlxKsUGk2LO73m50RPNdfml+dk/urRKrykRiesfHL9t7SPCTXGh/DuKDxPrat5UurP/yD&#10;7Vv9j/nq3+58v+9Xxzrc2vfEXXv7c8Z65Jqupy/OqXbfPt/6ZRfdVf8Ac/8AHa2E0qLR9Yt9MsbG&#10;NP3DStNM3zqv8Hyfd+/VW20ff46vbxom+WzWJpnX/bSuCpUlI740ylZ3k9t4qi0q2WOw0/7G0rP/&#10;AMvEv8H3/wCH/gFdLefJLCq/In2Vf/Z6ZD4Vlm1t9T3Mn7r7Psf+7WhfzW1hOkXlSXNwsS/JCv8A&#10;D/v/AHa4JHTH3QTStP0Hwz4X0yeW+82Wz+0fJF5qRMz73+7823f/AL1RQ+G4L+X7TBcx38Kr832d&#10;vu/76fe/77q14w1X7M2iXkTWyf8AEuVG+0K7ptZ3+Tevy1y+sPpmpM99cwahbIsq7b6Gd7iL/c3/&#10;AP7Nd8oxkd9HCc9OMjqNHv4Jl1WKzWTYumXn77bsT/j3f5K4/WJoEun81G2N/cXftrb0fUp5muNz&#10;M6S6PLud2d97fZXrC1jb5qN/7LXHy8hwfbK/2aK8V2tpY5k/iTd92snxDD/xLZVZdn3n+df9ird1&#10;5cKvc7o4UX/lszbNv/A6sfaZ5rdNzR39vKu9XRkfd/uPVx92XMEubl5SLTbb7TFb/L95f4f9ys/w&#10;9eXOpWHmXnlvcK2xnRdu7/brS/55RQfI7LsVJm2bafZ2bWCurLGm6X5URaf2S+bmkdH4V8eeJPB8&#10;dxDo+vX2lRTMsjrZTsm846sF70ViMn+15X+zRR7SRDpRudr4Y0Gzs7zUFgs/9RFFL9ruPnlZpX+f&#10;/PzVNpXh68v9G0r/AFk0v2pbid7hnd/v7/4q63/iX6Vb3d5t3ozK8s0zeVEq7H/9A2VmX/iRUutP&#10;tllkf+0t3kPYxbIlVfn3u+/d/wChVXMc0Yhf6PY2eqfbr6dYbjyPs6pD9/b9/wC5WVeXKw/vbOz2&#10;St917jZ/6AlV7C/vLzxHrGmNFAllYfZ/I8nfvZmTe+/+Guf8PXl5c+KPEqz3lzMkUqpEk0u9Il3v&#10;9z/viokbRJbzXrPUr+XTPt32y9t/nnt0V9ir/wB8bf8A0Kjxhcywx6nLAyo8VqzxfLv2ssXyfLXP&#10;6Dbf8Vp4glb51+5/4/Wt4wdPsGttu/5ZbP8AxxKiUffLjL3TH8GeKtV1jw466rPaax5TfZ4vtdqn&#10;3fv/AH12N/4/Wfr2veGrPVPs0+mX2m3G1X86xn82L/vhvm/8fq18PbC5Tw/KrW0+/wA9n2bf9hKy&#10;te8E3mseIHvpbmCwtIlXa9xKm9v+Afero5v3koyHTrVKVOPs5HS2czQ3kqru2Lp0sSu/3/8Aj3dP&#10;n+d6beIzxRMy7/8AgND6lplt9ob7Yrv9ll3On3F3Vif8JVE7RRMv3fk+Van3pxM5S94ff37abpd3&#10;fRfP9niZ1R/uPWD4DdbmzvblYFtkuJ/N8lPuLW3qrxaxo97BFt82WJkXe2z5qz/BOm3Olaa9rcwN&#10;DL/cq/8Al2Hu+0iXby8aG6htmtlubS4bZ52751Zv9iti2mlhlSLzVfd8iwzN97/crPvE/wCPfd8m&#10;2Vf/AEOq/i2HzNJRdy7GnXd8tRGPMbS92J032q1k5ktpo29IH3LRTPLVaKgvlPQLlZW8K66m6S5e&#10;4urjam93f+4iVLeaP9j1bR551WG3s4G3PMyJtZkRE+9VJ7DU5rdPP1WfYzNuV5diN/wBdlEPgxfM&#10;RvNVHZvm2Kj/APoW+rOPmkRWFzZ2Gra3qcuoW2y6lXalvvlddvyfw/LWJYfY9N1LU7mKWe8lvJd7&#10;pDa/Inzu/wB//gddL/wj0G7/AFtz83/XWL/xyqF54ftvN2y/vn++u/f8n/fVRzBynPQ3ltbXV7Lp&#10;+lf6RcPvl+13Xz/+O1n6lrGq/MrNY2cu750SDzX/APiq6iG3gSWKJYmT5v8AYpt/Cv2q7Ztv+t/j&#10;bZ/4/QM4e/udTv7rzZbvULn+9Wf/AGIyN8tnI6M3zLcT/wD7dd7sidX2rGm1v4G31XuZvJV0VY9/&#10;9zypW/8AH/u1HMLlOcsNK2WuoM1tHDb+Rs8lG3/3Ksalo8SW9o0VtH8nzsn3a2JofJtbvd/d/wDZ&#10;0qxqW1Iomi2/d+WrjL3S+X3uU4r+zYNv/HjPDt/ghl3p/wCyUz7GtssssFzJbO38DxP/AOyV1GyJ&#10;Pml2oit8zu38P+/Qk1nf71sZba52tsb7PPu2/wC98ny0cwSjGHunPp9r8qKJpbS5/jX5tjtT7+Fr&#10;mz8q+trm2iVt++Fvk+WtN9Y0hL+Gxlb97L8iu8XyN/wOpZtEiRf9V9/52TbV80ohylf+0LRuWkkX&#10;/rovNFXI9N8uNSskio3K8utFQXzS/mNy8168Twfp6RXMiahKsW+bav8AE/z1q2fiRv8AhNLhvNb7&#10;JFaqiw7E+9vrKe/2at/Zkqz/ANoeVvdPK+RV+f53fZTvtKpceU25P4N72ron/fTV1cpzRlGX2hvg&#10;nXpV0vUJ7mVpmadnV9v3V2Vx9tqU9h4SiaW5ubmVrrfve6fft2J8m/8A77/77ruPs0SR/uoF8pl3&#10;/J9xlrnNY01b9ks1/wBD2t9y3b/7CujC1KdKt7SUTnxMZSo8sZFfwNeS291qDTzzvuaJIkml37f8&#10;76m8Z37TaNd+RO0M0t1s3o2x/wDW0yztl02VItrQ/wC27I+7/vmormGC5WWKVWdPN3/df+//ALNY&#10;1JRnX9oVTjKNDlK/gyZ7PQYlnnabzW83982+uRv7Zrzx07ea2zz2dU3f3Nj120LwQxJFFE0KL8io&#10;6v8A+zVUfR7P7Z9pZJEl3M+/dWcZRjUlKRtKnKVOMYm3Nf8AnWd7KrfdXf8A+PpVp/PmW3ZtyJt/&#10;g2VhQuv2W9X7n7pf/Q0r1b4Y6JZ63Nd/bIvtKRRRbd/8PzpWUafP7ptKpyS5jzTxDbedoOoKy7/3&#10;DfJXOfDewaZLuCL5PtU8UX3v4W+T/wBnr2W5s1/4R+LyvIS4uPkZ3gi/i2f7FP8ADcLeHtW1hoot&#10;P/0dd8Gy1i+X5P8Acrpp0/3fKY1KnNUOf17wNq+sab4js9Qs1TTLeJpdMmTZvVl+5935q868B2bJ&#10;4o1CeWLfLLErt/tM1fVT+JNQs7d/3FjM/lRf661T7zVzXhjxDF4q1zTLzUPDmiO179niaZLN0fa1&#10;x5X9+iMQ5vtHzmtrJHrmrkPMu6fPytRX0D4+utJ8Ea3Na23hPRZzuVGmmSRZJP3MT7m2v/ekeirc&#10;Y3JjOVvhPIvE72af6dPFfQzearyvaXiIkvz/ACJs+f8A9DruPHPxm8PfEjSdHsdT0qTTXs4vv3Ev&#10;8X3HfzV2/f8A9yresfs66Vc3Es+larfabKyt+5mle4ibd/fRv9/+/Xn7/su+I/7S3T65Hfqzf8u7&#10;eVK3/wBlXTzHnxjEh0q5bxnqzeF9PVX0qdWeWaHe+1fv/wAf3a6vVfCWoabpP2GCKT91B5UXk/P/&#10;AAf7NWPBngDRfAF5cSrqt9pV3cbUnfUP9U23++6b1/77rvdWS1udNt5bFrTW381dyJs2Mu/53R1f&#10;/f8A++Kx92UjaUpHi9hoN5pthFFfeZc3C7t00yu/8f8AtVm+JE1O2sE/sVW+1tL8yQxb/l/3K9wm&#10;tnZt0Sts/hrEWziudS1BWto3liZUb5fn+4j/ANz/AG6PZ/aD2p5kltLNb28955j3bRLuT7m16c9u&#10;rt/Fv/3a9Im8N2ztu8hkf/Yaqlz4Midf3UrQv/t1j7I7I14xPKtYeXSliWLa7XUq2/8AH8v8f/sl&#10;e5/BB9lxqvmt8+1U+evNPE/g+WZtPii1DT0+z3S3Hzy/O3yP/BWt4VttQ0S88+WL7Yn2pbjei7HX&#10;ajp/En+3/BRH3ZES5ZxO1dGTTdM+X7rKzf8AjlYkOty38vitWijh8plRHT+LcleoWHj/AEO5Xyrm&#10;Xyf732hn/wDaqba24bDw5r1rutraxvIZW/ev5SS7v+BxV2cpzc3vGPsX5FZfk3W6f+OV5/4M0q5s&#10;/EGg3LT+TbxNYJ9k3P8A8/T/AMH/AHxXsc3gbRbm/wDlZUl3RStsvH3sypsT5GR//Q6or8KILO4t&#10;54L6e2tLXyn+eJH+WLf/AHX/APZKiMQ9qcD8W7Vv+ErmXyYm+WJvnEjH/j3iX+H/AHKK9L8WfDOX&#10;xVrcl/FNCF8tYtjK/wAu0Y/uUVfLAj2kjFuX3/diZHqJLlvn3Lv2/wDPH79aNuq3MOWRQf8AZGKb&#10;JEoXpVkGLeWFtqH3lZH/AN1K5y58E6Z9o837NH5v9/yE3/8AfddXNI1Qvu/vv+dVyRDmONfwfEjf&#10;uNX1KzT+5DO7/wDoe6q//CJTozsuuao7t95/k/8AiK66ZTt+8351nNIw71HJEvmMJPCv3Fn1PUpt&#10;rb97zun/AKDT/wDhEtKRdrRNc/8AXwzy/wDoVa808m375+5VJnc/xt+dTygWLawsbNdqwRp/uU90&#10;g/uqlQwxLIibhmpmjEJAUYzQAzyYv9p6a9nZ+ajNbK7r93fVtbdV7n86khiX0oAfDrd5bfLbXl2n&#10;+y87yp/3w29avW3jPXLa38pfs1zu+950Gzd/362VR/5a7P4aurCsf3RQB0Gm/ErXoICJbCAsxzvh&#10;ujEG/wCAsrfzorEXpRQHKf/ZUEsDBAoAAAAAAAAAIQDTnlRqsQ4AALEOAAAUAAAAZHJzL21lZGlh&#10;L2ltYWdlMi5qcGf/2P/gABBKRklGAAEBAQBgAGAAAP/bAEMAAwICAwICAwMDAwQDAwQFCAUFBAQF&#10;CgcHBggMCgwMCwoLCw0OEhANDhEOCwsQFhARExQVFRUMDxcYFhQYEhQVFP/bAEMBAwQEBQQFCQUF&#10;CRQNCw0UFBQUFBQUFBQUFBQUFBQUFBQUFBQUFBQUFBQUFBQUFBQUFBQUFBQUFBQUFBQUFBQUFP/A&#10;ABEIAH0AS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oB0rHvLbfW75Nee+KviK3hjxammf2et5ZfZVllmRnR1b/0H7ldlSpGlHmkcEYynLli&#10;Xbm2rHuUbdV2PxzoOrLua8+wO38F38n/AI/92uHv/i1pVhrN3p+pwT2aRStEt2nzxSrv2b6I16f8&#10;xEqFX+U3pKYiU+2v7HVV/wBBvILnb95Eb51/4BUvksi12Rnz/Cc0o8hXkqvJViSq8lbRJK8lFElF&#10;bkHuslfNXjC/W8+MmuxM7b7eBUaFG+T+D59n97/ar6beH5vu18uX9t/xcvxXctOs3mz/AHEXb5Vf&#10;KZl/DPoMF8RF4keK20OWXd5O1l+fzUi/j/2q8Z+zanbXlw9nqreVLKzsm7fF9/Z9z/7CvWPiK8D+&#10;EpVnaNEaWL/XS7E+/wD364J7xYWllZfOddybLiLfu/ep9za6V49OPNE9KpL3jP0fxtLZ3EX2zTIr&#10;na295oW8qX/2da634e/GC5m8Q2Wn3mrq9pcS+UyXy/PF/wAD/wDs65JIVdooG+dN38Lb9nzum/8A&#10;vbqlttNW2/4mECwTS2+3cjtslT7nz7G+bd9/7ldNOdWjL3TmlClW+I+mH2zLugben99GqJLNpv4t&#10;lcJqTy6TZy6hZzyQpFtl2Izp8v8AwGvRt6vsZf4l3rX0mExf1qJ4+Jw31eRUe28lfmbe7UVLND99&#10;maivROE94ewlT5m+RFr46017abxB4juYPtKSy3jJdfaFT7y/3K+5fG15FoPhzU7xomTyrVn+SJ3+&#10;bZ/sV8D+G5J/K1Bpdu+W8Z12fwrXyeNlzR5T6PDRNbxD5E1gizyxonmru3s6f+g15/NqWnzRXEE8&#10;E9h5srO3kt8n30+fym/+LrqvHLr/AMI/ufb/AK9fvs6f+PrXHzWEU1xLLbXLJ+9l/c3C703fJ/v/&#10;APodcdOPunTU+IpNu+1OzM2xZW2u8W/7sqf3a0NHv5XuIp4t29WVPkl37Pv/APAqyn2u138sDy+b&#10;K6pC2x/vp/AtaSPEl1uZmT7K29ftEG/7sv8Afi/361MD1uzmj1XQ4du7/SIP4/v/AHK7Pw3tufDm&#10;mMv8MCp/H/D8n8XzV5z4M1JdS0OGVZZHdWaJvOb59yv/AB12fw3dfsGoQeasz2t4yeSjbtu75/n/&#10;AO+69DLfdqSic+O96nGR0E2//gC0Vb/2NtFfUHhH0B8XdS+wfDfxHP8Ax/Y2Vd/+18n/ALPXwJ4b&#10;S8s9NSK+l867Vm3O9fav7S2sNpvwd1tYrZpnuF2K6bPk+ff/AOyfwV8T6XeTzabby3KslxKu9vlV&#10;P/Qa+LxPxH1VH4SbxDbLqVgkTWc94iyo/kw//sP/AOgVwmq6PfaHcMrK3+kLcSxfYbrejfJ/9hWx&#10;45mnXTbfyFV3a6X5H/4HVKGz0y5aX/Qbm22+b/qfkT5vv/deopx90zqe9IyZrlZov3s7bG812S7g&#10;/i8r/vmtiw0G+uVh/wBBndLrdLFNaN8jfIn3N2xW+dKypP3Mlx5c88KLKqRedA+xvk2ff2f+z1oa&#10;Jc6hDbuun3Kolx5SLcQzvb7m2f8AA97fcqhHd/D35LPUIt0j7bppf3y/3kr0LwG+zxHqttub/SIF&#10;uFR2TZ8vyfc/4HXmvgO5vLm81CW8ik3yxRPueXejNXpXg99njLT/APUJ9oWW33O3z/39ifJ/sf7N&#10;b4aXJiYk1o81A7vYqUVtvpTUV9ZzRPnDd/a61Jbb4QJFtZHuLxU+7/sPXxfZzf6LEvn7/l/javq3&#10;9uHW1034faJA3z/aLpvk/wB3Z/8AZ18pQvtt4v4E2/dr5Ct8R9HS+Ex/GG59LRVgW53Tr9/ZWnDp&#10;vhx7f97bX2lSy7v9S1w/3vvv8u9ayfE80CWtu0sU7o06/Pb796/981z/APoe5PK1q7R2llRkf/8A&#10;YojH3S5S9407yaDR9Uls7PWp3iiniRftC79y7P7+yrFhu1i3tFa50uaXar/PvR2bzfv/AMa/7NY8&#10;Nyzy3flavBc/LE+94vvbf+B1p2yTpH/pOlWOpRN5qfP/AN9/xVfKRzHUeDLCXR9ct1WCNIltWt5X&#10;hnR/m3p8/wDBt/74/jr0W21iDR7/AE/UJ22RWt1E7P5W/wDj/wA/PXm/hjTbb7e941jJYXdvK6Ls&#10;beku7/df/drrdYkabQb1YmaGXym2vu2fNWXwT5i/ijyn13c6J/s7KKseD7n/AISrwXoWr71me8sb&#10;e4byW3/MyJvor6L2p5Xsjwf9vB77XotH0rSrH7f9ltfts7vs2RRM+zf/AOOV89TTbFr6S/be+GLa&#10;loeieLJdVm863urfT1sYYvkZfnd3evmK5mZJXr5+r/EPSp/ARXLtNLaSweX9oil3xec2xF/ylaGm&#10;+J1s2e2XSoIUXb9y8Zt23/eSuM8SJbX9vEtzefZtrb4vm+81D/YbbVLiJpY4UVvm2Ns21004kSkd&#10;RrmpLf6lcNF4atLyJoldd+zfVe2s4r9pWi8OSJtZtzwsn8Sff+WqUyaV+6aC585/4vJn2ba3fD1h&#10;5MTzwa19m3L80KT/AHv++q2jR94xlUiP0fUpdEll22OqWyNt3b4Hl+X/AIFvr0Df8v3dlcu9hqdz&#10;bysutM6Mrbn2xf8AxFbtheb7WJmb59vzUVKZEZH3B8CrqDxD8NLdm1CPxDd287efdvFs/et/pDps&#10;Z3+55u3/AIBRXOfsu395D4DlluYrSHTPN8q1+zsiOzq773lTYnzfPF/EzPRWPvG3McF+0h8TvDni&#10;HTU0rSvFGk6rFb2stxPb288TpuaKVEdJd/zNv/gr4vvL+J2+VvvfP92vJP7b1BpUigWBNzKjb1/2&#10;Hf8A9kroJnvE+X9w7t/crm96UuY6f3fLyxL2tvBfyW8Uv3Vl/jiqj/YLTebL9uvpt396f56x9Y1r&#10;XNKhiVfsnmyt8v7p/m/8frWj8bfE/wAK2vlWfhW7d9kTypcaPL8rMnz1tTjKUiKnLGITaPc/bLfy&#10;L65SJl3s7yo+1q6Dwr4budSl/e6vv3bv9HSCLzW+T7/3K5HTf2nPGz3CQT2elpLu8pke1ffu/wC+&#10;607b9orxV/bNus66WlpcNFu/0V/3S/xv9+uz2cY+8cvNL4Tq5vBNz9n3LPdu7WqyqiWqbN2/5/up&#10;XYeGLlobNLa6ZvtsX+tR/kda8cuf2jfF7292stjo2+L+5BKv/tWrug/HjxRqVrL/AMSzTX8ptjJ5&#10;Er/+1avliSfZHwb+Jfh7QbC40/xHrU+m28TS3Vr+9uPs8srIiJvWL72zZv8Av0V8W6x8afFTt5sG&#10;maTMkTbPs9vZ73/3/wCOiuKdDX4jeEtDnIfFWn6lq1locE9zZ7pUt/kg+633H3fJu+/XtHxF8eeE&#10;PD2m+H7H+yPEz28Cy7tBuL/Zbyxea+x9/lbvn3v/AB7l2ffr6B8N6Xba/o+raTpWm6VoMM4aGKRb&#10;Pz2if+/87fMP9k8V8qfETwvd/wBu6veW2qtZmzMaGOKI7XDxxs2Pm+Xlj0qY1pRPYpwp4pSa92R9&#10;f/B/wT4H+Nmm+FPF+g+BfElnpKr/AGe6WN5YeVZz79j70a3837j7t+/dt2Vn/Evwlfab4wtJ9K8N&#10;SaPZaJFslsX8SWH79Vd3+e3+SVmevnH4P+OvEvhP4Ra9b6drl4iHV44GgaZ1gYtsy+1GVt3zj+P+&#10;EVvQeEbrxYkGpz63cx3d5B9qlbyIX3vlW+fcvzdTW/1iMTx5QjKUomV+0z8S9M8YaNaanpFnB5S3&#10;UtuyJvi/j++yeVF83++7Vz/wl+Hvww1vQdPl8WT+ILnWLjc7W+nzxRJFF/B/A+75Pm37/wDgFe1z&#10;fC/w/DbQ6VLZrNFBIyv/AApL/wAtfmT7v3qg8VeGdC8K6EdSh0uKW4EKovyou0DGz+H+HaK8/wDt&#10;KPwxiZyp8x5B8EPh14Q1v4nRaV4x0rVIdCv7xtNguLe88pFuPk8p5XZHba/+4te3fFr4G+APhr42&#10;TSJ2nv8AQVtUltZrSW6uPlfZ88rwJtZ/9hG/uNXAL461DSpPs1lI8aLcQwSLNsmR1k+9hWX5fwrw&#10;zxV8ePFl5rXlQ6lNYpcy/wCrttipGu/7q/Lvx/wKvRp1alX3ieSMT7fvvgV8Lvg/q2ma5AsHiTw/&#10;qUHmxQwwXFxcWrbEd0d96bfv/c+VttFfLvw7+PHiW48W6dpeoz/2rZ3kMSp9rYs9v8yr8rd/vHrm&#10;iuGpXqcxfun/2VBLAwQKAAAAAAAAACEAHJSJbf4cAAD+HAAAFAAAAGRycy9tZWRpYS9pbWFnZTEu&#10;anBn/9j/4AAQSkZJRgABAQEAYABgAAD/2wBDAAMCAgMCAgMDAwMEAwMEBQgFBQQEBQoHBwYIDAoM&#10;DAsKCwsNDhIQDQ4RDgsLEBYQERMUFRUVDA8XGBYUGBIUFRT/2wBDAQMEBAUEBQkFBQkUDQsNFBQU&#10;FBQUFBQUFBQUFBQUFBQUFBQUFBQUFBQUFBQUFBQUFBQUFBQUFBQUFBQUFBQUFBT/wAARCAB9AH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q&#10;6KdJUUlfYHy4yopKlqKgCKSoZKmkqGSoIIpKikp0lRSUAMkpvmUUzY00qRRK0zt91EX71Zz03N4E&#10;qPWha2E77G+zSXMsqtLBaQ/6262/f/3Yk/ilf5am03RJ/NuE8qC5uLXb5/nNvtLDc/37h1+838Xl&#10;J8zfx7a6C3XTbPSdQnvtQubCyaL97cP8moap877N/wDzyi3p/wDEffRq+WxmY/YoH0+FwHL79Qlv&#10;/D1yng9Lm5a0muLOdvnsU/dLA3ybE/ibY+z53+95rtXOI9ekeBr7TPE8flLpS6baXErW7aft2bV3&#10;7P8AeX+P/a3f7VZ/xU0GLTbi0vLO2jtrTb9nZIV2bf7lRleN972EwzHCe77eJxvmU6qqPUvmV9cf&#10;M6mhJUUlWHSq8ldBzleSmSVLJUUlAFeSopKlkqvJQBFJUMlTSVpaP4bl1WKW5nl+x6fFFLL5r/fl&#10;2p9yL+833F/3nRf465a9Wlh481U3pUp1pcsDKs7CfUrhILaLzpWZU/76fZ/6HsrtX8Ez+G79tKvF&#10;nTUGlaJre0bZd3W376Rf88otm/8Ae/eb73yrsam+A9V0XRPiDpUuvM1tZWf+lLYwrv8As+3/AJeJ&#10;X/8AZ/8AbTZt+7VTxJ45nvNWu9I8K2dz9rvHX7VqF8uy4l/gR33fdX979z7vz/xb6+IxeaSxT5If&#10;CfZYLLvZP3/iIrnW1+Hugxf2m0GpSreSvZ6fafPaac29Pk/utsTY3z/Lud/vNsrE8MvqHjPxvp8u&#10;qsv+mStLFYvK6vcfI7722/Mq/wC3/wB8VS8c+HtQ8N6bolnc2MFzqDX11dQPt+S1Vkt0/e7vmb7i&#10;fPL/AH5f7tZ/hW2+za8l9PquoPqDebLPqFijvMq7HeXyv4mbZ/H/ALf/AAKvJqR5ZRPZw/vUJSPe&#10;NBs/7H8VJZxQWkKRSxIsNjB5Vuvz/cRF/uf+yVofEjyptPiVfMe3llaK6mRvki+T5Hf5H+VJUirz&#10;/wCGl/bXnmtp9nPpumeaqQQ3E/myqyu7o8r/AN5/n/3d9e3yabBqv/EskgZ7W8WW1ZF+T76Omz/Z&#10;V/us3913q6cpQrykcdaMZYaJ81pvhbay7HVtjJUvmVLrcMtnr2oQXM7XNxFOyNcbdnmt/f8A+B/e&#10;qvX6TSftIqR+f1F7OXKbrpUTpV10qJ0rtOcpOlV5KuulV3SgClJVeSrv2aWZtqr/ALbfNsRf99/4&#10;a6j4keA5fhjpehSt4jgs/EF4yy+Sls8rrE2//j33fK0qPs+//f8A9iuHE4unhY+8dmGw1TES904e&#10;bUrHRNS/s+SBtV8RywNLa6HD/wCh3T/8sovn/wB7b/wDdb0Tw34z1661D+yrv+0tQulVrrxJfRfZ&#10;9H023XeiJb/w/I+//abf/wADX0Lwr8JYrPRk0/ULZrmVYmdfDcLfvZW+55t7cf3n/dN/tf3G2V3G&#10;g6rBf+FbRmln1jUNzWrPudLdZV3pvR13tudImbem5vn/AIVdK+Jr1amKlzVj62jGOFjy0zzXR/h/&#10;ofhLVNPs7GCTWNYum33ms6hO6eb/AH0dF/1S/cZkf97/AH9vyV55Yfbrn4p2TWctpstdYW4sbeGL&#10;yreXbLvR3Rfuq+z7/wAzbf71egeLYV8Mab5WvWzalFLtlnt0nit0+0N86RfL/qlR/l+R2+VPv15F&#10;51tolnd3O77Y8UEu7Z8iMrps2JuR/v7/AL+z/gFeLUl7/LA+kwseWhKcv5TuPiLokDxeGvP8VNrd&#10;3FFK7PNef6J80su+VE3uzfwL/uon/AcTwx/Y9z4isrG7l+x6VK2y81C4l8p1i/j+f7sS7P8A2f56&#10;yteha/8AEWmTz3yw2n9i2cs/kyvLulaJH/1X/PX53++/8H31+7RNNE9ncW1jB5KNAztcTfPKzKn/&#10;AI7/ALif8D3VVb+JAjBx/wBknI9Y0G80G/uNTufC8DQ+HIrpbeJPKdPl8qL59jfN99/4/wD2evYr&#10;m8+Xz4v3yL8+xP8Alqn/AAKvmr4LTXdnoNx56tM6ajdPKjqiJtaK1T7i/Kq796/J8q19Kw+Xc6ba&#10;Mq+dE0Cv8y/eq5e7WlE4372EpyPFfi0k7+OruedY9lwqyxXEX3J12ffrka6jx/Zz2d1p8U99Jf8A&#10;lRSxRTStvdYvtEuyJ33vuaLf9nZ/+mVcvX6FgZ81CJ+f4xcteR2Dw1E6VqvDVd4a9c4TNdKIbOJ2&#10;T7Tcx2cTMyK7/fbam90iT+J9ifcrS1WH/hG4ornU4F+aVU+yXDNE7bk3/wBzd/c+RPm+eua+Gvw9&#10;8R694ki/4SnU5kgWJdSvre5nW1RrVfn/AIP9RFtfaqff/eu33Xda+fxuaey9yh8R72Cy72suev8A&#10;CWPhj4t0+T4kW/8Aatms0Wht/aDWOns7/Yrj/ll9ql3+VLL99lT+Fk/769l+JHiff4t0TWoorGG0&#10;WzVIprv91cN5sqbPKdk+VvnT50+4jy/dbZu5XxJc2NndWWkaNPp+m6Par5t1bpB9nt1+T55djfeV&#10;ET7/AN7/AHvko8MW2n6k0viHQVkv7Jr643eIdelRPsFuqb0S1Rk2xRI7ptd9zKqSrs+5XycZzrVJ&#10;c59PUpQo048h0t5rcqXVpFfafc6bFqV06LCk+2WVV373d13t5SbIt2zavz/62Xe7Uz/hJ5/FvheG&#10;ezaTw34c+x/L8v2XauxNm+X+FUR3+WL7rRf63562LDTfJ03UG0y2a/vWWXdq2pxO7z/O/wC6/wCe&#10;sqp/wFdv3Plrz/WNH1hPG9prnirxR9mltWZ9M0aH97L829Ed4vniXZ5v30Rv4Pn+TdWhydTz3xn4&#10;h0Oz1a98PbZIZbiCKWC7sYESKL97slREb5l3pFL8iN82/wCZ/v1xl/rFnpWjXc8WlNcvbqrxI8r7&#10;5W3p9/bs+X77fJtb/brrfH+gwJfW/iG5ivpom227XyKkXns2+XYjt838b7tiMu5Kr+D9S8OeRqEu&#10;uafvit4N9rY2kUr+bLsf77r823Yn8bqteTH3q8T6aX7rCVDC8T6JF/wsa4nnuYLa0t7OK1ZId0u1&#10;liiR0iTf/sO2x9vzfx1q+FYdM17xRpmhrZslpfzraz3EzI8rRN9/Z/DF/wChf7dbHxa+LWleObfR&#10;4ov7P0eysJbp/wDX/PdM8uzfFEvzS/c/gVm+f7i/xeW6hrC3lu1jpVpc393dK0SvcRbIv+ARf62X&#10;5P4H8qqqRlVr+6Y4avQpYTllL+Y+hdbs9B8MeKHsfDy2z29ru+1QpP5v71tm9Jfn3bvkr1PRJopt&#10;D09oN3leVtXfXz9+zr4V1C8utdsdavPJvb9bf+zPtGxYnlXzd9q+35ol/u7/AJ1ZEb5tm2vZofE+&#10;g+DPD0UGs6rHptxbsyNaXH/Hwvzv9+Jfm/743L/c+WrlHkq832ThjUjPDRp/aOX+MFmr2untE0cK&#10;K0r/AGd2XzVbZFv/AI/u7Ht2VE+6rp8n368y8uvVfFt/4e8bfDt/FGnzyXj2s/2VndfnibenybPv&#10;fc+Zf9//AGEWvK96/wB2T/v09fbZbiKcaPvSPjMww9SVW8Ynp72e99qrUKbk1LU9DsdN+2a3EvlN&#10;dzSp9ks93yO+xfmaVP4UT5t391U3N0b+G9cvNR0+XT/M0qWJmRXhi815dv33ldvliXZ8v8TNv+fb&#10;92tiGznh1ZLm6gZ7e4laVpkVIooNv8by7/4/nbZF97zZd71x4vMJVZeypfCejhsHGlH2tX4jKsPA&#10;EWiW9xqq3PnaqsDPPfXe1LiLd9/5/uxKn8SJ8399/n+bnrbUtam0S61fTPCEWt6rdTvt1C4vNllZ&#10;2sDpseXa+6Vvu7Yk271R9n8dbfxGvGs7CWeCJry9up1stm1/KVGR0fykXY25N7rvfa3z1yviTStK&#10;0TTfl8Ua3qv7hdNsbR7NIrK18p/9I2Rb0/evK3zS/N/d/v14kvdPYoR5vd/mLHh9Jdb1y9vrrT9P&#10;sHi/dM9wkqRM87uqI8S/e3/6rZ8qtv2/xV2WvXmmW1/b6ZLPLqsq/PBY2MSSuu3+BX/1UGxPNX+F&#10;mT+Pelc1YWeg+CfD+iX3i/xHp9hoku7UJbe+n/dT7t6f6rYjMux0/jb5k+5/e8n8Yfte+F7DxvNe&#10;eB/Dlz4kla1W3Z/I8q3byvkt9m5NyxIjy/c27ml/2KKMeWmLFVOap/dPfZr/AMUeJ9St10pVh0+K&#10;W6tb5LdZYnVli/dbLiXbuXfs3PEny7H+evJfijpXg7w9dPfeLPEenw6hb332jTtJtGTfFKz/AH3d&#10;v3srf7crqvyf79eOeKPi18ZPiu3kS69H4V0y4l2Np+mL5X8H3N/3m+4/yO/8Fcv8BPA3hXxD4wu9&#10;XubyfW00FVupZrh/+PqVfn2RJv3SsiI7f3fkraUZcpyRlHm9w9N8W+Nv7b1KLSrb+1NbtLCV0tbT&#10;yFtUVv49m+Lz/vp/HF/3zUXhLRNc17xloVtPLHpuny3lrFPpNjK6fal81N6S/O7Kz/7bxL/sV674&#10;As4NY8M2Wr3nhO7h1C8ut95pNwvyKq+aiP8AMlvFKzuqN9zd89YX7M3wx8dfDfVNYn1yXTba01TU&#10;4tSaGVpbq7/dOjxRK+/bEvyfP977/wDBXNGjGJ01MRWqx5JSPMvhj8MdM8Q3FpBpEEn2e4n8p3vv&#10;3W7/AFu/ei/M3+qf+Na+g9B+Fug+EtL8V+arald6azW8EP8AqkuP9HilRHRfvNvf+PdTrCz8D/Cu&#10;SKz+3WOm3a7dv2u8/wBIZm3omxP7371/uJ/HWm/jCCaKWXStF1nVdzfM1vYvbpu/359i1tKUZfCc&#10;cY8vxHP+NtSW/a3vrbQ7vRLdZ4ooHu4oonn+S4+dIld2Vfuf61Fb/YrwH9oeae88UWXiPzWfU7+1&#10;2z/N/r/IRF/772ba+hvE9/rlhbxL4h0O0s081Xit3n+0eav71H+dfut9yvMfip8MW8c+GYrzQbne&#10;9g32hYbhvni3fwP/AOObX+79z7u/5fKqfxvePpMJGNXCHmXwE+KlzqH9uwaftm0q8gW1vreZ3R2b&#10;52idE2feR0/8ff8Av16b9savEvgn4P1zw3q2utqEElnb3E7L9nmg2fMr/I/+787167tair+7lyo1&#10;ox9pG59B635V9fefBBA6XSfZbV7FX2fY/wC55S/w79kX3dq/+g2/EWq2fgnS7i+1y+ttEt79ZUbU&#10;NWvovl+T50iT7qtv3/IkTfc/3NvkL23xb8W3Us+h2MfgbRbj54ri3gTesS75d7yt937/AN9EX+Cq&#10;vh79mDTL+8/tfxn4qXWL2WXe728st/ds3yP8/wAj/wAbv/45XsRifOVJcxma9+0Vp9t48stc8PW1&#10;34tl0vfbwSzRfYoZf9vzW3t99/4EX/Z2762PA/jy2+It1d6j8RP7P0q3l/daZaeHon2QfPvd3f8A&#10;i3s//odd7D8NPhzompPof9h/2xqGpS7/ACbufyol+RHT5N7yquxE++n9/wDv1w9zYaV4n8dRafp+&#10;mfZrdpUtYP7OnVIoolfY7onlfN8m9v4aitywjy/akdGFjKVTm+zE4fxJ+zBrXjaXUNe0jSLS8uLp&#10;opbH7d+6RomdPnf/AGvKf/vpK7CH4D6DoOrS6Vq+q22lWkUSXUsz7Et1VndEid96fvX+f5Nn3Yvv&#10;17XeaD4ovJbRYmuZrS3ZkVLvUfsW7+58lqm1l/3/AOGvNf8AhAJ/Cus+K9QbXv7NuLNV1DUbu0s0&#10;+Vf9bFZRSs/8exN3yfMqIv8AG9dMfh5Tin8fMM0H/hBU0bW2vovtmn+HL5f9I0/fFcMv3ElllV0+&#10;+7vtTf8AMtWNF17QfD2l3Fz4X8K6F4Msmgillu76W3tXb7mzzdv/AF1Rvnl/2a0LOHwBeeDdVg17&#10;xHpthca9FFcajYpqcTywSrsdPu/N8j/Ns/4D935a4zw3c/BP4XRXf9mXzaqlx/rXu4HuH+X7iJuR&#10;F/2qiUoijGR1vjPxneWFhpUX/CQxpqd/ZtcLDpOky3twv3NnyL5u1fnf76/PWfZ2a69qX2lrPxl4&#10;ktJZWilh1NfsFvLb+VsdHt5fK+b7/wDyyqK//au8D6ba/wCjWepTf3V8qKJP/Q6wpP2tIH2T2fhr&#10;em7erTXn/wASlY80S+U6r/hA9QmaWzsfBPhnQdMuNTsr1ZYb5/tcVvA9u/lIi2v8b2//AD1/j/ir&#10;0OH+1bdbuz3af/Z8u51RLV/NX/gXm/N/3xXzp/w1X4qdn8jSNJRP4XdJXf8A9DrNf49+PblmZdQg&#10;hRv4IbWL/wCIolUEe6/Eiw1XVp9PZ7671KVmZIrTyotn3037EVEZv+Bu1cvo80thcJPbNJbSr/wL&#10;/fSvEtb8eeMfHMtvp19ef2l5sqpFb+Qibm3/ACfdT72/ZX1lpXwW1ybwnplzBry+JLvyP39vrjPv&#10;3fx+Ver+9X/tqk61x1KMsRLmiethMbHDx9lI+dfG3ie8/wCFoJYxW1jDpUu1Jfv+bu8rf8nz/d3/&#10;AOxVrfVv4qXOmeD/AIiaVoeuafc6P4g1KBZYLe7iifzfn2b0lid1b7n8e1v9hab9mrkknHSR61Jw&#10;qR5ondaP+0b4O8SQJfXkGqXktrtRYdQni/v7/n3O/wD6B92sfxt+1dovhjQXl0jQVubvzVTZNqct&#10;w6rv3/3Pl/irntH+GPgabQvKvvEE1hf6bb/a9YvLeztbq0Z9+x4kbzYmb5/9ll+T71eV3j2OpXF3&#10;Fp8TPp8Xmy/aLvykl2/fR32/L86fwJ83+9Xo1KvsZRhL7R8jGUZntXhL9p/xx4kv5rmLwrpdhZRQ&#10;faL57fTrhH+zr8iIjy/Kvzui/c/jqpZ32vfEjwz4v8U+CZH8E3PhqSCJLhrWKVJZZXZHRdiJ9xfv&#10;f76/3qpeD/id4K034Q+LYF1+P+39R8i1sYfKd3lWJ9zfL9752i+9s/g/2q9L8O+LdE8A/srweHLG&#10;7/4SzxJqvm6jePYzxSrA6yo+6f5v3XyKnyt938K75Rpw9+Q41Jw0ifOSeLfib/Zd3bavr2u63LFu&#10;la4+3OkUv9xESuJtob57p7m8WRJW+9C7b9m7+/8A7n3a7jxJr154n1K4ittTk0dIlSy32M7o8UX3&#10;/wDvrYifPRrfiHRbm6RtD8WTp9554ruzt3dW/wBj5N23fs/2vnrnoVKNeMpESlM5J0a5t4mg+zI7&#10;Nt/fb/8AY/2P9us+/tbm5iRWa08rzfl2b67ObXtVT+zLFbzfcSwfNKion72X7jv8n3UR0b7lVtK1&#10;jxY+vaPZteSPFLLFFdb4rf8Av/P/AAf3KqlVoVZSjGPwmf7z+Y5XVdNi/tK4tvNX/Q/3S7LVH27P&#10;kR/v/wB96rul5baX5S6gyI37qJ/scSbdv/A/9uvUm17V5rN5YJ7HzWX5U2p8rb/kT7/z/JVXVfGe&#10;tabEnlfZLl/IaVt8H/fCJtl+b+Ou/lpfykc0jyfxt9s0210qK2vJ4d1iryuj7Nzb3euStptQmtbt&#10;V1O++Wz3/wDH0/3vtCV6R8Xb+8hvJbmC5nhdli3PCzxfN9nR/wD2evH08T60l+irrWoJ975PtT15&#10;tT3ZHfTjzROittHvn0u7udQ1O5e0VrPaj3Tfea3ld/8A2T/xyv1r+A7wf8Kl8KfZYo4YvsKuqQrs&#10;T5vn/wDZ6+FP2KtSbxO3ii216dtY8q2tZYE1BvtHlfPKj7N33d+9P++K+4PBN5Lo/gjUG0+CDdZ/&#10;aHghf5IvlTeifJ/DXXGMo+8c0ve90+cv+CkdnBpWufB/xV8yNZ6jLFPN/srLbun/ALPUEkcfmN9a&#10;uft4a23jn9mey1WWxVLiw8SRRNKrfIq/Z5d//j+2snw3qX/CQeHdK1T7Pj7daxXP/faBv6159aPt&#10;JcyPawk54dODON8c399MyafPP50UX8H8cv8A11f7zf8AA6ytE0SdInadYEi8pkZJm+Rl/uP/ALNc&#10;bJeXWoaus8tw+9mrq4dBudcuBs1KS02r/DGG/ma3WVrEy9rWl7x89HEKjL3Yneab/wAK18N+DbiD&#10;T/B2k3musypK1xfOlu33P4YtjS/8DZa4LxD8S/7V1nULFWjh0dl+z6cn2X7Okvz/AH/vvtb+8+9m&#10;+T77Ls3Sr4GW3hlaXUJrh2++zgfNXmXxG1D/AIR3TzHZxgArubzFRt3z/wC7XbUpfu+SXwnQpzr1&#10;JTlrI6O5v9M+3Xc8Wq/6P/qmdFR/+B79+3d9z/xysf7ZpkOuRXmn3U73EUu5XvooriJW2fP8mz+P&#10;564HQPiBPDrNvp40+0Nn5/8AqynHXdX1hrVlp/hnSdPuJ7VpnutNiv2jsTHaxguu4oPkZ9v/AAKs&#10;vq9GHu0zajUq0KfP9nmPNdK8B+ONSW48R3nhxv7HZWulvtPiR7f5f+B/L9xF2bK+itN8L+HNVuLS&#10;5bw9qltcSrvX7Ozoi/J/faLb/wCP155+z/DH4j1TxI0/nJYzY3Wq3UuHUP8AIrjdtYL/ALte/wBj&#10;Y2jfMlsgX/b+d/8Avpq5Y4eNGUuUKkoylzHnesfC7wvbKnlNd2aKyy+SnlSvuXfs/wCWv+//AAVF&#10;D+zloet26Naa9c/ul8r99Fs/vv8Awo9ew2l4tqMJCmNtV72aG8lbzrWOTa38Vbe8Z2ifIPxv+Anj&#10;+/urhdI0H+1bSKX5bi0uok3L9niT7jOjfwP/AAV4Sn7PfxPeWWf/AIQLXfKt/vf6G/8A45/e/wCA&#10;V+ltxJBYzRhIpV3Nt/dzsn/oOKg8P+KLhdI1TVWaWSKG7MEFqzJ8m1kjDFtmWO75/wDx3pzV/GHN&#10;yngP7D3wK8Z6DdarrmuaY2iafcWv9mxW+pxS29xLcb0l+4yfd2fx/wB6vsPwx9l0GzlgX/iZNLKz&#10;t9hi3pu3+VseX7u7/Y37qy/APi661TTY5blfPaPUWRfNbdxLJuH/AHxvG302iuqTWJ21SS2jPkrH&#10;L8rJ12p5OV+jeY2a2MTyH4/aDpXxI+GmoeDrPyNE0q88qVr6GBE2yq6Ojoi/e+5t/wB2vHdI+Ed1&#10;oek2Wmx+ML5o7OBLdT9jt+QihR/y8e1esal4mWDVrqC60jS9Q8idtsk9qpaq39vWH/QuaX/3y/8A&#10;8VXlVadSUviO5T5dj//ZUEsDBAoAAAAAAAAAIQBPUR1YnhgAAJ4YAAAUAAAAZHJzL21lZGlhL2lt&#10;YWdlNS5qcGf/2P/gABBKRklGAAEBAQBgAGAAAP/bAEMAAwICAwICAwMDAwQDAwQFCAUFBAQFCgcH&#10;BggMCgwMCwoLCw0OEhANDhEOCwsQFhARExQVFRUMDxcYFhQYEhQVFP/bAEMBAwQEBQQFCQUFCRQN&#10;Cw0UFBQUFBQUFBQUFBQUFBQUFBQUFBQUFBQUFBQUFBQUFBQUFBQUFBQUFBQUFBQUFBQUFP/AABEI&#10;AHsAh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zsFZNlbCbvN+7VSF1/u1oW3zt83yJX38onxkZEqW07/KtadnDLt+b5EoS5Xytq/JUqJvX5&#10;fk/36wOgrzQwTNuaq6WEe7/Y3VrJZtt+7vqu6f7Pz04gMubmCHZt/wC+6ihvFdk/9Ap6bfN/fxf7&#10;tWvJi+7Eu9/9mkTzD4Xge4+8u9q0Psywy7lbfu/jrHh02XduVal33iS7dvyVPKacxpvuZvvVL5K7&#10;fu1FZo33tv8Av07zG+7t/c1BrzDd/wDCy76r3L7Plq75O9flah9Kby6BmUjo7ffrdsIbZIvvLvas&#10;yaz8n/YqawdYbhFb56JGcZF2a1VU+X+9RW3/AKNLEhorHmOk8h+w7P4atw6U23durT+zb6sJDsX5&#10;fnr1jyCjDYNu+Zf+B1oJCsLJ8tTQvs+98lS/f+bb8lYSNfsh8zr8sVRJCv3tvz/36u+czqqquyj7&#10;G26sy+Y5HxD4w0Hw3qlvZ6rqEaahcRebBaPKiPKv++zoq/8AA3ro9EuYtV0a3vIIvkul3rsbem3/&#10;AH6tzWybom8pX21LC/2+3SWLckX3PnXZWXvc3xHTzR9n7sRsMLJ/Dv8A7tWN8UabWXfRD5u75t2x&#10;asb4t23ZVEcxdsYYHt/lXZ/v1UvNNaHe25Xp/wAyfKrUJcsjfNUl8xlJbSv/ALFbUKbIk/8AZKtw&#10;wrMztIu/dUTwsjfL/wCOUSIiVLmwXbu21nvYqjV0CWzO3zfJUv8AZS/3t9RzCMe3sdy/Ky0VrNug&#10;+VVooNdTiUj/AIdtTQwr/dq0lt8tTJC38VemeaY+seDNM8T2aQaj5n2dW3skM7xbv9/bW7DYRfZ4&#10;mglZ4tv7p3bfuX/favH/AB58VNTh+Ien+ENKaxsNPlZUv9Tu50i+Zv8AllFuf/c3P/t/7FeoeGLP&#10;xVZ6lqcGvWyzaZuaXTtThZHRomf5Indfl37P/QK8KWYUPrPsj144Or7D2ptw2ap8zUfx/dp0OpWM&#10;109mt5C9wrbGh81N6ts3VV8SalY6Dpbz6q32ayldbeWZ22Iu59nzv/D9+u+c4Jc5yQhK9jwf9pP4&#10;o+I9KvP+Ec8Kz2mlI0X/ABMdTuG2Ou7+CL/gH8aV1vwnfU9S0Hw1c+HNVtPEmlW9nb2Wp2NvPvuI&#10;mVER5URkRt33/ubq+arnwxFN4y0rT9KW2m82fypUu23y7t+zZ81fZXgOPRrzR9K8HS6a3/CQadL/&#10;AKY3kPF9nXeqPsl/74+41fk+L4hqKvGUY/8Akx+gU8ppxocsjsHsFSL5dtRR6X/Ey1wnxI8bXPw6&#10;8QeHNB0+KfXv7UuvKZ7uX+HYm9HlV9y/f+/81cb4q+NPxEv/ALLF4V0Pw+jSzy28txq14yRLKrp8&#10;kSb0aX5HSvuoZvQ9lGrV93mPlJZfV5pRie2/Y1mqJ7Py9nzKibv71fOl5D8YPFtrFcz/ABK0/wAM&#10;aU0G+5/s+zR33bN77Hb5lX+789c/4V+BWg/ELS7TXPF3jbxX4ntGXzVt9WvnRPvvs+Te+2spZ5Q+&#10;z7xn9RlD4j64s4flRvvo33dlbENrvX5lVErxT4FaVofhLxNLoPhPWtSvLSW1ll/sO4Z5YrNldNjx&#10;O33VdN/yf7FesW2qxara/bLaXzrdnZFfbs+6+x//AB9K78NjIYr4TGpS9iXpo4HX5du6qP2PZ/y1&#10;+epk3f3asJb+dXZ8Jzc3MVFSdf8AlmtFXm22vytK1FBpqccifL8y02/mtra1drlW8pmWL5Fd9zM+&#10;xPu/7b1pJa14/wDtV6fqFt8J7vXNMvNWs9Q0mWK4X+yZ9m750++n8ez73/AK6MZUlSoSlH4jjwsY&#10;yqwjI8n+FfhWLQfFGu+Kp7GD+zfDKrcT2k0X+kfx/wB7/brW8Sfte6LYebBbeHJLa7Vt63FvL9li&#10;3fP99In/AHq7NnyV81abpuo6h8MdV1q5g1S8urjU/wB7qD6myPKy27vKjp/21T5/9+vOY/EN3/wl&#10;6aLZ6DpqbpVT7RcI1w6bv96vxanh5zqznJ+8fqlScOTkPcE+PF1pWqXetaZqSprdwzP51pZq/wAz&#10;/wB/cj1z+t/Gn4jeJ7xG1XXLm5tFZXX7cv2e0ib+B9nyf+gV5Po/ibxVrdxKrX32Oy8iV1+zxJF9&#10;1Pkq38PfDeq+IfGWn/2reSal92VYbud3TdvT+9Xr+0ryhyVKp5/LSjLmjE9L/wCFl+IPih8RrK51&#10;XWodEiutRXzf7HXfL8z/AH0T+KvWvhvrHj9/HmsahF48a/1CKze6gS4Vvs+oxNL9x3Xeqb/nZd/9&#10;xK5T9mnwH9p+OHgq58hYdPtbzf8AJ/uPXv3g/Qd/g3xRLZ6RHc6nFotn5UKKn/PxdbH/AOAfJXze&#10;Jo048sYxPbpVJS5uY+avGHxi1LxPZ2mnz+GLGwSKWe4ie3n8rbu2fe2/xfI//fddB4V8Z/Ej/hGv&#10;DWm6NrNj9k+2N5SeRue1bZEn3/7v3f8AviuM8SeGNN0Wz0+WWDZLeQXHz7v4vtVx/wCybK918H20&#10;Wm/DH4bz2dmty8qyo027+7evU1VGFAqnKU6h2HhPW/Gr+HdPvNX0/SfiLD9j3yvoM6LqFkrJ8ieV&#10;/Fsf+P5m+SsrxnqtjrHhzWLnw14ons9Ygtd8uh6tF9nuPNV/7jJ/n569V1XwN4Y1uW3lWBrDW7W1&#10;V4Lu0bY8H+jv93b8yf8A2FVH0G50fVLK+1m8Xxb4d0vc8T3dit7qcTeb+6e3f725H/v7vuV5NPGy&#10;h8JvWwlOfxRPEv2e7bVbzxVFqFzeS/2rLZ3Fwr29y8X71YtyJv8A+A/3f+A19RzePL7SrOVfEtst&#10;5b/6PdRXdvBs2tv3umxX3PvX+4n3k3bdv3fAfG3xp8P+APi1car4Yi0u/wB255bS+ilifc0W198S&#10;xfK293/y9Yut/tS61f6oiwabG+jq3zJb6dLv2/77O/8AfrspYrE06/t6cjllhKU6XsqkT7Sh8q8t&#10;4p1X5JV3/Omx6mRGT5YF+9/HXjn7P37QFt8Trh9IvormHWFi+0RJcWbo8q73+fevyquxE/8AH691&#10;/wCBqlfs+Ex1LFUI1In5ticHLD1eWRnrp6r/AK1fNb/e20VYksvMbcvz0V28xzanP3M1tYWrz3Mq&#10;wxKrOzv/AHVTe/8A45Xi/wAZviRofir4N67/AGVPJMl1AyRO8TpuVf4//HK/PX/hbXiXUpUW817U&#10;Jn+4v2i8ffsZP4Pnr6Q8bTXmlfDLwJoq6vqU1x4jgit4IZvniVmSJPndvmX7/wDBXxOOz6pOUaEY&#10;/EfR5flNOUZV5S+E5Ga5sbb4N2+mQTx/a4tRv7qeFG+dWa3t/v8A+z/8RXnugzL4e+Kvntqa6bLc&#10;XTWTXe7Z8rI6Oj/7LpvWuy+IWm2fg/wvb2LeHtNttbnlunvNTt9TuHlaJXeLZKjfw70fbs/uV0fw&#10;E8NxTWfhzxeraNqv9srqUvk6zo738UXlJ5W9/n3bd7p/33XiRjy80/5T3ZSlPlgeRaJoNjprSxXl&#10;5HNafZZUa4T+638aVoeE4V0HxvabW+SL5Pn/AOuqV7R8Std8OfDWK0vPE+leB7b7VPOkFjb2Msry&#10;qtx877Yn27f9/wD3a8c8SeLYrPx1FqvhiCxvNMurNnWa083ypfn+/sf5l2U41IyhzxH7OUZcsj23&#10;4DzfY/iN4aXd9mla/VPn3/f+5Xv3wf2w6l4t0iTdDd/2PaxMro6P8ry703/8DT/vuvhTRPFuvPq0&#10;tzYwWj3bK0Uu+1eX/b+f56+uPhvoPizStNdVXS4U1TR/Nuvs+nSo6bXT/lqsvy7K8nF1oxlGUvsn&#10;fQpylGR4l4qtrW5t9HXbG6qsr7HX/p6lr1jwZqVtc/C/wktsv/HrLPFL8vyRN9o37P8Avh0b/gde&#10;Vax4V1Pxh8XP+Ec0yJZrS1g3y+T9o8ld1vu3v9zb/wDFf3q1fhdD478VRRaUui2kNpZQeav2hriJ&#10;2/db0/5ap9/5PnoryjLDcpdOMo1j69s7bSPEkWlOvkOl/ZtbtLD8ryssUv8AH/e+T+7/AAVj+IfC&#10;VzN4Zl/s+5bzWtm2pMybF8qV9/zsj/wp/crzrwPrHi99L8OanqGlaa8tr9qSC3+2S27xN5sqb0Rk&#10;dW+/9+tCz8c3mj2cTXOmapbafaxXUss32q3lSdpYnffvif7n73d8if3K+f8AdO/3jn9e8Aan/aVw&#10;194cj1L961v9ut1SKb5XSL53X5f40/5d68vs3l+2XCwaf+6WVkXe219u/wD3K+kpvjToPmyxXLQQ&#10;3Hms+x7pEf79u/3Jdrf8sq8C8VeKtIsPFuqqtzGitP5qp5qfdb5/79dFSUgond6P8LrGbRkns1ju&#10;ZZYrf/R76eVNu171PkdXVlb5E+b5v4/71c54SsPHXhv4q6ZbaUzWdk0tv5v26KK627ni375V8pmX&#10;5/8AZ+5XceD/ABzpHiTTdsEts9xbon/HpdLK/wC63/f/ANr96/yf7FSvqX9g+KLiWKf/AE1Ps6Rf&#10;aF+RnieLfv8A+/T/APfdduFrzhi4HLVpRnQmfTCzf3lor5Nuf25oLe3Vm0qx87dtbbqG1aK/Xlja&#10;B+ZvCVrn5v2FuqXCQL5iSq2zydnzq3+Ur6y8VfEXRta1L4ZQQNsutLezlvN213gVni2JvX/Y31xt&#10;/wDBPw/c6kmoWKwWcyz/AGjyZr5nRvn37H/dfd/4HUPiSx+HPgOKX/hHNQu9buLyK13PcT+U9rdK&#10;7/aP9lonT7rbVb7/AN771fC1KMZ1Y1f5T6nD1Pq9KUf5jW/aQvv7Ve9sVl8mKztbpF2fxr5t7P8A&#10;P/wN67r9j+aC++Dvh9VZnfS4NStZU2/xS3trsrwXWPGbeLby4n3W0zsuxk+R9y/7n/A60PCXxI1f&#10;wrF5HhydtN81Vllht4P9HZt6Mm9P73yJRUre7Ujy/ERGtHmjL+UsftmWc+peO9ElubmS5mbR7ja7&#10;/wAKJq+pRJ/5CiirjPhvpfk6dpXmys6PZyyqj/w/6RKn/tJK9ov/AIey/HXTf7e1PX9P0q9sLNrJ&#10;LeGJ3uGf7RLcfNF/dd7iX596/wC5Vfw94GsfDem/YblWubi1/dRTW8v7rb87v8n953d/46OXmocs&#10;TpjL97zFfwxfxPqyNZsvyQbGfbs/gr6u8ZQ32vfCPWrRbnZ5/haVdyt/tpXg3hiz0qHUop7y5WG3&#10;VW3Qzb9//ANibf8Ax+up8Q/tHRXOg3GlS+E76HT2g+xQasl06ebEsqPv2NFt/g/v/wAdeNiMFXr1&#10;IyierTxdOlTlE474FaJL/wALY8NaVfSx3P2ixXalwr7GX7L8iP8A7nyV3H7Ft5/wmWqaxYweXZ3F&#10;rBPLsl+RGRdifJ9//nqldN+y3pvhN/ix4M1qz1e7vLiLTLz7ZYvsldWX90n+qf8AdfJKnyPXUfC3&#10;4AwfDrUtQ1C2uba8illleK7SWW1dom/2Pn/2GrpqYScqHs6kTmjiY+05onmlt5qfFrzVZkii8H36&#10;bU/2tQuv/iK5r9nW81fUm8JWbXlylouj6orfvfut9ofY6fw7k2JX1Rpvw68I2dqzXy6Q+u/Zbi1X&#10;U/7aeJ2gllll2bNm378v3vvVwPwQ+D+kfByK9bVfGOj69Ku5NMmhuvs72Ctvd02b9rb3dG+dP4P9&#10;uuSOCqez5TaWJj7TmNu8TUv7W12dtQgS3i+eCGZt+75In2bP4fubf+B18n/ELTbaz+KHiXzY43dr&#10;z5Xt1REb5Pv19N+D/iFPrnirxbZ6vqv2O3tZfKtb5FidJV/g2bU+8m7/AND/ANivOfjH8NLHXvFq&#10;a5pXjG2vPtU6pdW93Yyp5C/c3o6p82xP4Pl/36zjgasZHTLFxMr4V2dm8T6Y1nA9l591Ku/76sr2&#10;/wBx/wCGpfGcM9t4y0y8i1XUkitYriL7J/aNxsl/dO+/7/8A6B8tdt8N08OeD4t1zqElzervlimh&#10;2W6bm2b0dG3/APPJP7v/AAKsTxzNY63f/wBoLP8A6Paz/wDHv9q/etbtF5T7Pk2q2/8Av044Cvz3&#10;F9dp2Pga/udv2u3lHmMtxudl2L83z0V7Lp/wh8J3T67q+vXGs2Nvcah/xL/sMR86WFt7/Mg+Xavy&#10;/MP79FfTx5bI+blGVz0T4l+G4vD1xFpnnyO9xFvlT5Pu15PcfC/RtS1Z76eO582X7zxS7U/8dro9&#10;Y8SXPiHUbi+nlaZ5Zd/ztveiG8ij+99yvAqYmrKXuHkVKnPIxLPR9MtrhLGWztPtES7/ADoV+Rl/&#10;v1Nf+CdPv9m5mR/vq8MtT6xpq63byr5CpKq/upkbY61zrzT237ifbC6r/A1bRxtTl90+tyDK8Nms&#10;pUKtfll/6Udl4Y0v/hGIvNW8keWX/WvcS79tdNNrF55X7qWPf/fdvkryRHn+RW/v/Ls+arttrE9g&#10;yLu/77XZXH9Zr/ZPtcXwRKjS56FTmkd2+sa4ku+VbF02/c89/wD4iiw1W5+1bp9Fjd2/jhlTf/6B&#10;WVYeJLa52LOuz+66/wAVaG9pot0TRzbl/jb51p/Wq/8AMfnOLwuOy+XLXpF3S/Ek+gtug0ye2dl2&#10;S/ZJ/K81mllleV/9r97t/wB1ErQ/4WpeJFuaDVETb/z3lfbWP+4T/Xrsf/Yqv+6+9E2z/datfrtQ&#10;8mOJlE6B/jFFCyLLFc73/wCe3m1Fc/E6xuJYpZZ2h3L8v79/lWsF3Xd8zb6q74Nrqyts+4z7qv67&#10;Iv6ybqeP9MmaKJb7e8vzrsn+9Q/jDT7m33QXip82zzt2+uXmtopm83cqbP7+yqU2jwTL80UEyf7a&#10;1f1+Rf1mJ6BZ+OdTSV1tdQ0vfF97/iXI+3/x+q+peLbzW7fyLy+02aJv4Esdn/fG164SbR4vnl/c&#10;PLL97+/WZc6DbPFEsvn/AC/6rZK/y1tHH/zFxxNP7R1t1pFtcXO37QI5du5ljZ//ALKiuIg0WIXE&#10;twt/dwSyffVZaKv65T/lI9rTNi/1Kf7RFEjMiL82yGL/ANnq0kzPs2rv3fwNWM8z7l+c/wCtrW8x&#10;t7/NXlSPMLbvKi7mi37v43V//HKz9VsLa/t5bxWjS9iX90jrs837nyVcsnY28q7mxu9T/frRvoUg&#10;01Jo1CyMzZYdfv1kvdN6GIlhq0KkPsnnqTRPFbwL/D8uyb7+7/Oyrb/OybWX5V+dEXd8tUfF08lj&#10;4gl+zsYt0vO2rWlSNcXVxHI25Gi5U/8AA63lH7R/RvDucSzjDax5RYbnYssX3NvyNNt2bqls9Vls&#10;7iLbLsl3fNCjJWNDNJPqnkyOWibqp6fwUr/uPtEkfyvs+8P9+j2aPTxEqVSPs8RHmO+tvFSzbPtK&#10;s6Mvyun8S1oJNbX8O6CdURm2Mm7/AD/crzeGV/tafMfvrWho9xLMx3uzbVXGe1cco8p8bnHCOCdO&#10;Vej7p3DboU/h/wDHKhm8qH7y7Hb/AGfkqxpP+kWq+Z821uM9qkvI1/u1nzH4dONnYzvlTeu5fu/f&#10;qKbzZldF+dNv8dUdS/0eT938nzdqckjeZ97+OnzyMyN0/wCeTNs/661UmeWGV/vIjf3GrUmUea/F&#10;VFjWaGLeu7b0z2+/WnMBT86f/nqrf8Bop8Ma5T5f7/8A6FRVkH//2VBLAQItABQABgAIAAAAIQAr&#10;ENvACgEAABQCAAATAAAAAAAAAAAAAAAAAAAAAABbQ29udGVudF9UeXBlc10ueG1sUEsBAi0AFAAG&#10;AAgAAAAhADj9If/WAAAAlAEAAAsAAAAAAAAAAAAAAAAAOwEAAF9yZWxzLy5yZWxzUEsBAi0AFAAG&#10;AAgAAAAhANd1E3/oAwAA+xQAAA4AAAAAAAAAAAAAAAAAOgIAAGRycy9lMm9Eb2MueG1sUEsBAi0A&#10;FAAGAAgAAAAhAHCKLyrbAAAAMQMAABkAAAAAAAAAAAAAAAAATgYAAGRycy9fcmVscy9lMm9Eb2Mu&#10;eG1sLnJlbHNQSwECLQAUAAYACAAAACEAEk/hLN0AAAAFAQAADwAAAAAAAAAAAAAAAABgBwAAZHJz&#10;L2Rvd25yZXYueG1sUEsBAi0ACgAAAAAAAAAhAODRYnDZFwAA2RcAABQAAAAAAAAAAAAAAAAAaggA&#10;AGRycy9tZWRpYS9pbWFnZTQuanBnUEsBAi0ACgAAAAAAAAAhAJMInfgwFAAAMBQAABQAAAAAAAAA&#10;AAAAAAAAdSAAAGRycy9tZWRpYS9pbWFnZTMuanBnUEsBAi0ACgAAAAAAAAAhANOeVGqxDgAAsQ4A&#10;ABQAAAAAAAAAAAAAAAAA1zQAAGRycy9tZWRpYS9pbWFnZTIuanBnUEsBAi0ACgAAAAAAAAAhAByU&#10;iW3+HAAA/hwAABQAAAAAAAAAAAAAAAAAukMAAGRycy9tZWRpYS9pbWFnZTEuanBnUEsBAi0ACgAA&#10;AAAAAAAhAE9RHVieGAAAnhgAABQAAAAAAAAAAAAAAAAA6mAAAGRycy9tZWRpYS9pbWFnZTUuanBn&#10;UEsFBgAAAAAKAAoAhAIAALp5AAAAAA==&#10;">
                <v:rect id="Rectangle 66809" o:spid="_x0000_s1030" style="position:absolute;left:11609;top:1082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UtcxwAAAN4AAAAPAAAAZHJzL2Rvd25yZXYueG1sRI9Pa8JA&#10;FMTvQr/D8gq96aYeQpK6iliLHusfSL09ss8kmH0bsluT9tO7guBxmJnfMLPFYBpxpc7VlhW8TyIQ&#10;xIXVNZcKjoevcQLCeWSNjWVS8EcOFvOX0QwzbXve0XXvSxEg7DJUUHnfZlK6oiKDbmJb4uCdbWfQ&#10;B9mVUnfYB7hp5DSKYmmw5rBQYUuriorL/tco2CTt8mdr//uyWZ82+Xeefh5Sr9Tb67D8AOFp8M/w&#10;o73VCuI4iVK43wlXQM5vAAAA//8DAFBLAQItABQABgAIAAAAIQDb4fbL7gAAAIUBAAATAAAAAAAA&#10;AAAAAAAAAAAAAABbQ29udGVudF9UeXBlc10ueG1sUEsBAi0AFAAGAAgAAAAhAFr0LFu/AAAAFQEA&#10;AAsAAAAAAAAAAAAAAAAAHwEAAF9yZWxzLy5yZWxzUEsBAi0AFAAGAAgAAAAhAHQhS1zHAAAA3gAA&#10;AA8AAAAAAAAAAAAAAAAABwIAAGRycy9kb3ducmV2LnhtbFBLBQYAAAAAAwADALcAAAD7AgAAAAA=&#10;" filled="f" stroked="f">
                  <v:textbox inset="0,0,0,0">
                    <w:txbxContent>
                      <w:p w14:paraId="3C0958A1" w14:textId="77777777" w:rsidR="003E564E" w:rsidRDefault="003E564E" w:rsidP="00FF1E38">
                        <w:r>
                          <w:rPr>
                            <w:rFonts w:ascii="Calibri" w:eastAsia="Calibri" w:hAnsi="Calibri" w:cs="Calibri"/>
                          </w:rPr>
                          <w:t xml:space="preserve"> </w:t>
                        </w:r>
                      </w:p>
                    </w:txbxContent>
                  </v:textbox>
                </v:rect>
                <v:rect id="Rectangle 66810" o:spid="_x0000_s1031" style="position:absolute;left:18790;top:1082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nQcxQAAAN4AAAAPAAAAZHJzL2Rvd25yZXYueG1sRI/NisIw&#10;FIX3wrxDuAOz01QXpXaMIjOKLtUKOrtLc22LzU1pou349GYhuDycP77Zoje1uFPrKssKxqMIBHFu&#10;dcWFgmO2HiYgnEfWWFsmBf/kYDH/GMww1bbjPd0PvhBhhF2KCkrvm1RKl5dk0I1sQxy8i20N+iDb&#10;QuoWuzBuajmJolgarDg8lNjQT0n59XAzCjZJszxv7aMr6tXf5rQ7TX+zqVfq67NffoPw1Pt3+NXe&#10;agVxnIwDQMAJKCDnTwAAAP//AwBQSwECLQAUAAYACAAAACEA2+H2y+4AAACFAQAAEwAAAAAAAAAA&#10;AAAAAAAAAAAAW0NvbnRlbnRfVHlwZXNdLnhtbFBLAQItABQABgAIAAAAIQBa9CxbvwAAABUBAAAL&#10;AAAAAAAAAAAAAAAAAB8BAABfcmVscy8ucmVsc1BLAQItABQABgAIAAAAIQBgwnQcxQAAAN4AAAAP&#10;AAAAAAAAAAAAAAAAAAcCAABkcnMvZG93bnJldi54bWxQSwUGAAAAAAMAAwC3AAAA+QIAAAAA&#10;" filled="f" stroked="f">
                  <v:textbox inset="0,0,0,0">
                    <w:txbxContent>
                      <w:p w14:paraId="279E9EEB" w14:textId="77777777" w:rsidR="003E564E" w:rsidRDefault="003E564E" w:rsidP="00FF1E38">
                        <w:r>
                          <w:rPr>
                            <w:rFonts w:ascii="Calibri" w:eastAsia="Calibri" w:hAnsi="Calibri" w:cs="Calibri"/>
                          </w:rPr>
                          <w:t xml:space="preserve"> </w:t>
                        </w:r>
                      </w:p>
                    </w:txbxContent>
                  </v:textbox>
                </v:rect>
                <v:rect id="Rectangle 66811" o:spid="_x0000_s1032" style="position:absolute;left:30327;top:1082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tGHxgAAAN4AAAAPAAAAZHJzL2Rvd25yZXYueG1sRI9Ba8JA&#10;FITvBf/D8gRvdZMeQoyuIlrRY6uCentkn0kw+zZkVxP767uFgsdhZr5hZove1OJBrassK4jHEQji&#10;3OqKCwXHw+Y9BeE8ssbaMil4koPFfPA2w0zbjr/psfeFCBB2GSoovW8yKV1ekkE3tg1x8K62NeiD&#10;bAupW+wC3NTyI4oSabDisFBiQ6uS8tv+bhRs02Z53tmfrqg/L9vT12myPky8UqNhv5yC8NT7V/i/&#10;vdMKkiSNY/i7E66AnP8CAAD//wMAUEsBAi0AFAAGAAgAAAAhANvh9svuAAAAhQEAABMAAAAAAAAA&#10;AAAAAAAAAAAAAFtDb250ZW50X1R5cGVzXS54bWxQSwECLQAUAAYACAAAACEAWvQsW78AAAAVAQAA&#10;CwAAAAAAAAAAAAAAAAAfAQAAX3JlbHMvLnJlbHNQSwECLQAUAAYACAAAACEAD47Rh8YAAADeAAAA&#10;DwAAAAAAAAAAAAAAAAAHAgAAZHJzL2Rvd25yZXYueG1sUEsFBgAAAAADAAMAtwAAAPoCAAAAAA==&#10;" filled="f" stroked="f">
                  <v:textbox inset="0,0,0,0">
                    <w:txbxContent>
                      <w:p w14:paraId="36274574" w14:textId="77777777" w:rsidR="003E564E" w:rsidRDefault="003E564E" w:rsidP="00FF1E38">
                        <w:r>
                          <w:rPr>
                            <w:rFonts w:ascii="Calibri" w:eastAsia="Calibri" w:hAnsi="Calibri" w:cs="Calibri"/>
                          </w:rPr>
                          <w:t xml:space="preserve"> </w:t>
                        </w:r>
                      </w:p>
                    </w:txbxContent>
                  </v:textbox>
                </v:rect>
                <v:rect id="Rectangle 66812" o:spid="_x0000_s1033" style="position:absolute;left:43284;top:1082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wxwAAAN4AAAAPAAAAZHJzL2Rvd25yZXYueG1sRI9Pa8JA&#10;FMTvQr/D8gq96UYPIUldRfoHPbZRsN4e2ecmNPs2ZLcm7afvCoLHYWZ+wyzXo23FhXrfOFYwnyUg&#10;iCunGzYKDvv3aQbCB2SNrWNS8Ese1quHyRIL7Qb+pEsZjIgQ9gUqqEPoCil9VZNFP3MdcfTOrrcY&#10;ouyN1D0OEW5buUiSVFpsOC7U2NFLTdV3+WMVbLNu87Vzf4Np307b48cxf93nQamnx3HzDCLQGO7h&#10;W3unFaRpNl/A9U68AnL1DwAA//8DAFBLAQItABQABgAIAAAAIQDb4fbL7gAAAIUBAAATAAAAAAAA&#10;AAAAAAAAAAAAAABbQ29udGVudF9UeXBlc10ueG1sUEsBAi0AFAAGAAgAAAAhAFr0LFu/AAAAFQEA&#10;AAsAAAAAAAAAAAAAAAAAHwEAAF9yZWxzLy5yZWxzUEsBAi0AFAAGAAgAAAAhAP9cT/DHAAAA3gAA&#10;AA8AAAAAAAAAAAAAAAAABwIAAGRycy9kb3ducmV2LnhtbFBLBQYAAAAAAwADALcAAAD7AgAAAAA=&#10;" filled="f" stroked="f">
                  <v:textbox inset="0,0,0,0">
                    <w:txbxContent>
                      <w:p w14:paraId="6F73EDD4" w14:textId="77777777" w:rsidR="003E564E" w:rsidRDefault="003E564E" w:rsidP="00FF1E38">
                        <w:r>
                          <w:rPr>
                            <w:rFonts w:ascii="Calibri" w:eastAsia="Calibri" w:hAnsi="Calibri" w:cs="Calibri"/>
                          </w:rPr>
                          <w:t xml:space="preserve"> </w:t>
                        </w:r>
                      </w:p>
                    </w:txbxContent>
                  </v:textbox>
                </v:rect>
                <v:shape id="Picture 66842" o:spid="_x0000_s1034" type="#_x0000_t75" style="position:absolute;width:11588;height:11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mC1xgAAAN4AAAAPAAAAZHJzL2Rvd25yZXYueG1sRI/dasJA&#10;FITvBd9hOUJvRDcNJWh0lVIqSL3xJw9wzJ4mS7NnQ3Zr4tt3C4KXw8x8w6y3g23EjTpvHCt4nScg&#10;iEunDVcKistutgDhA7LGxjEpuJOH7WY8WmOuXc8nup1DJSKEfY4K6hDaXEpf1mTRz11LHL1v11kM&#10;UXaV1B32EW4bmSZJJi0ajgs1tvRRU/lz/rUK+uF+xK+iMMuDa81u/+mn17RU6mUyvK9ABBrCM/xo&#10;77WCLFu8pfB/J14BufkDAAD//wMAUEsBAi0AFAAGAAgAAAAhANvh9svuAAAAhQEAABMAAAAAAAAA&#10;AAAAAAAAAAAAAFtDb250ZW50X1R5cGVzXS54bWxQSwECLQAUAAYACAAAACEAWvQsW78AAAAVAQAA&#10;CwAAAAAAAAAAAAAAAAAfAQAAX3JlbHMvLnJlbHNQSwECLQAUAAYACAAAACEAVjpgtcYAAADeAAAA&#10;DwAAAAAAAAAAAAAAAAAHAgAAZHJzL2Rvd25yZXYueG1sUEsFBgAAAAADAAMAtwAAAPoCAAAAAA==&#10;">
                  <v:imagedata r:id="rId61" o:title=""/>
                </v:shape>
                <v:shape id="Picture 66844" o:spid="_x0000_s1035" type="#_x0000_t75" style="position:absolute;left:11936;width:6839;height:11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Kp+xwAAAN4AAAAPAAAAZHJzL2Rvd25yZXYueG1sRI9Pa8JA&#10;FMTvBb/D8gre6qYlDZK6igilHuzBf+DxkX1Ngtm36e4ao5/eFQSPw8z8hpnMetOIjpyvLSt4HyUg&#10;iAuray4V7Lbfb2MQPiBrbCyTggt5mE0HLxPMtT3zmrpNKEWEsM9RQRVCm0vpi4oM+pFtiaP3Z53B&#10;EKUrpXZ4jnDTyI8kyaTBmuNChS0tKiqOm5NRMP88upVPl5fDv+10+sP76+92r9TwtZ9/gQjUh2f4&#10;0V5qBVk2TlO434lXQE5vAAAA//8DAFBLAQItABQABgAIAAAAIQDb4fbL7gAAAIUBAAATAAAAAAAA&#10;AAAAAAAAAAAAAABbQ29udGVudF9UeXBlc10ueG1sUEsBAi0AFAAGAAgAAAAhAFr0LFu/AAAAFQEA&#10;AAsAAAAAAAAAAAAAAAAAHwEAAF9yZWxzLy5yZWxzUEsBAi0AFAAGAAgAAAAhAJEYqn7HAAAA3gAA&#10;AA8AAAAAAAAAAAAAAAAABwIAAGRycy9kb3ducmV2LnhtbFBLBQYAAAAAAwADALcAAAD7AgAAAAA=&#10;">
                  <v:imagedata r:id="rId62" o:title=""/>
                </v:shape>
                <v:shape id="Picture 66846" o:spid="_x0000_s1036" type="#_x0000_t75" style="position:absolute;left:19109;width:11170;height:11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SE3xgAAAN4AAAAPAAAAZHJzL2Rvd25yZXYueG1sRI9Ba8JA&#10;FITvhf6H5RW81Y1BQpq6igpKwZNpL709s6/ZYPZtzK4a++tdodDjMDPfMLPFYFtxod43jhVMxgkI&#10;4srphmsFX5+b1xyED8gaW8ek4EYeFvPnpxkW2l15T5cy1CJC2BeowITQFVL6ypBFP3YdcfR+XG8x&#10;RNnXUvd4jXDbyjRJMmmx4bhgsKO1oepYnq2C1alND7tj7r+lubn88Lt9K8tUqdHLsHwHEWgI/+G/&#10;9odWkGX5NIPHnXgF5PwOAAD//wMAUEsBAi0AFAAGAAgAAAAhANvh9svuAAAAhQEAABMAAAAAAAAA&#10;AAAAAAAAAAAAAFtDb250ZW50X1R5cGVzXS54bWxQSwECLQAUAAYACAAAACEAWvQsW78AAAAVAQAA&#10;CwAAAAAAAAAAAAAAAAAfAQAAX3JlbHMvLnJlbHNQSwECLQAUAAYACAAAACEAdVkhN8YAAADeAAAA&#10;DwAAAAAAAAAAAAAAAAAHAgAAZHJzL2Rvd25yZXYueG1sUEsFBgAAAAADAAMAtwAAAPoCAAAAAA==&#10;">
                  <v:imagedata r:id="rId63" o:title=""/>
                </v:shape>
                <v:shape id="Picture 66848" o:spid="_x0000_s1037" type="#_x0000_t75" style="position:absolute;left:30665;width:12636;height:11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JfUxQAAAN4AAAAPAAAAZHJzL2Rvd25yZXYueG1sRE/PT8Iw&#10;FL6T+D80z4QbdBqyzEkhKhggHhT0oLeX9bFW19dlrTD+e3og4fjl+z2d964RB+qC9azgbpyBIK68&#10;tlwr+Pp8HRUgQkTW2HgmBScKMJ/dDKZYan/kLR12sRYphEOJCkyMbSllqAw5DGPfEidu7zuHMcGu&#10;lrrDYwp3jbzPslw6tJwaDLb0Yqj62/07Bd/PvH74+S02dr99+1iurHlfuF6p4W3/9AgiUh+v4ot7&#10;rRXkeTFJe9OddAXk7AwAAP//AwBQSwECLQAUAAYACAAAACEA2+H2y+4AAACFAQAAEwAAAAAAAAAA&#10;AAAAAAAAAAAAW0NvbnRlbnRfVHlwZXNdLnhtbFBLAQItABQABgAIAAAAIQBa9CxbvwAAABUBAAAL&#10;AAAAAAAAAAAAAAAAAB8BAABfcmVscy8ucmVsc1BLAQItABQABgAIAAAAIQA61JfUxQAAAN4AAAAP&#10;AAAAAAAAAAAAAAAAAAcCAABkcnMvZG93bnJldi54bWxQSwUGAAAAAAMAAwC3AAAA+QIAAAAA&#10;">
                  <v:imagedata r:id="rId64" o:title=""/>
                </v:shape>
                <v:shape id="Picture 66850" o:spid="_x0000_s1038" type="#_x0000_t75" style="position:absolute;left:43618;width:12706;height:11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H/FxAAAAN4AAAAPAAAAZHJzL2Rvd25yZXYueG1sRI/NisIw&#10;FIX3wrxDuAPuNFWYUjpNRWSGcePCKgV3l+ZOW2xuShNtfXuzEFwezh9ftplMJ+40uNaygtUyAkFc&#10;Wd1yreB8+l0kIJxH1thZJgUPcrDJP2YZptqOfKR74WsRRtilqKDxvk+ldFVDBt3S9sTB+7eDQR/k&#10;UEs94BjGTSfXURRLgy2HhwZ72jVUXYubUVCUcjz/ndr6YuODSQ4/5d6ZUqn557T9BuFp8u/wq73X&#10;CuI4+QoAASeggMyfAAAA//8DAFBLAQItABQABgAIAAAAIQDb4fbL7gAAAIUBAAATAAAAAAAAAAAA&#10;AAAAAAAAAABbQ29udGVudF9UeXBlc10ueG1sUEsBAi0AFAAGAAgAAAAhAFr0LFu/AAAAFQEAAAsA&#10;AAAAAAAAAAAAAAAAHwEAAF9yZWxzLy5yZWxzUEsBAi0AFAAGAAgAAAAhACjQf8XEAAAA3gAAAA8A&#10;AAAAAAAAAAAAAAAABwIAAGRycy9kb3ducmV2LnhtbFBLBQYAAAAAAwADALcAAAD4AgAAAAA=&#10;">
                  <v:imagedata r:id="rId65" o:title=""/>
                </v:shape>
                <w10:anchorlock/>
              </v:group>
            </w:pict>
          </mc:Fallback>
        </mc:AlternateContent>
      </w:r>
    </w:p>
    <w:p w14:paraId="3D69F362" w14:textId="77777777" w:rsidR="00FF1E38" w:rsidRPr="008F11E3" w:rsidRDefault="00FF1E38" w:rsidP="00FF1E38">
      <w:pPr>
        <w:spacing w:after="0" w:line="240" w:lineRule="auto"/>
        <w:ind w:left="0" w:right="0" w:firstLine="709"/>
        <w:jc w:val="center"/>
        <w:rPr>
          <w:rFonts w:ascii="Times New Roman" w:hAnsi="Times New Roman" w:cs="Times New Roman"/>
          <w:i/>
          <w:sz w:val="20"/>
          <w:szCs w:val="20"/>
        </w:rPr>
      </w:pPr>
      <w:r w:rsidRPr="008F11E3">
        <w:rPr>
          <w:rFonts w:ascii="Times New Roman" w:hAnsi="Times New Roman" w:cs="Times New Roman"/>
          <w:i/>
          <w:sz w:val="20"/>
          <w:szCs w:val="20"/>
        </w:rPr>
        <w:t>Izvor: Studija za saniranje posljedica potresa</w:t>
      </w:r>
    </w:p>
    <w:p w14:paraId="24AAD47D" w14:textId="77777777" w:rsidR="00FF1E38" w:rsidRPr="00FF1E38" w:rsidRDefault="00FF1E38" w:rsidP="00FF1E38">
      <w:pPr>
        <w:spacing w:after="0" w:line="240" w:lineRule="auto"/>
        <w:ind w:left="0" w:right="0" w:firstLine="709"/>
        <w:rPr>
          <w:rFonts w:ascii="Times New Roman" w:hAnsi="Times New Roman" w:cs="Times New Roman"/>
          <w:sz w:val="24"/>
        </w:rPr>
      </w:pPr>
    </w:p>
    <w:p w14:paraId="48A689B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Kod odabranih građevina prvo se pristupa eksperimentalnim istraživanjima dinamičkih parametara primjenjujući najsuvremenije metode, a zatim izradi numeričkih modela temeljenih na metodi konačnih elemenata, u skladu s važećim propisima</w:t>
      </w:r>
      <w:r w:rsidRPr="00FF1E38">
        <w:rPr>
          <w:rFonts w:ascii="Times New Roman" w:hAnsi="Times New Roman" w:cs="Times New Roman"/>
          <w:sz w:val="24"/>
          <w:vertAlign w:val="superscript"/>
        </w:rPr>
        <w:footnoteReference w:id="22"/>
      </w:r>
      <w:r w:rsidRPr="00FF1E38">
        <w:rPr>
          <w:rFonts w:ascii="Times New Roman" w:hAnsi="Times New Roman" w:cs="Times New Roman"/>
          <w:sz w:val="24"/>
        </w:rPr>
        <w:t xml:space="preserve">. U konačnici je prema rezultatima numeričkih analiza napravljeno načelno vrednovanje odnosno ocjena stanja i očekivanog ponašanja svih građevina pri djelovanju potresa, za djelovanje potresa povratnog razdoblja od 475 godina (prema EMS-98 ljestvici) što odgovara očekivanim rezultatima i odabranom scenariju u ovoj procjeni. Dodatno, značajan doprinos je što su za svaku analiziranu građevinu označena kritična mjesta što je posebice bitno prilikom eventualnog raščišćavanja od djelomičnog urušavanja, spašavanja zatrpanih osoba ili pregleda nakon potresa manjeg intenziteta (u slučaju oštećenja se može na vrijeme reagirati, a posebice za slučaj ponavljanja potresa). Ti podaci se također mogu iskoristiti za prijedloge seizmičkih ojačanja, planove </w:t>
      </w:r>
      <w:r w:rsidRPr="00FF1E38">
        <w:rPr>
          <w:rFonts w:ascii="Times New Roman" w:hAnsi="Times New Roman" w:cs="Times New Roman"/>
          <w:sz w:val="24"/>
        </w:rPr>
        <w:lastRenderedPageBreak/>
        <w:t>održavanja i ograničenje intervencija unutar zgrade čime bi se povećala sigurnost i produžio uporabni vijek građevine</w:t>
      </w:r>
      <w:r w:rsidRPr="00FF1E38">
        <w:rPr>
          <w:rFonts w:ascii="Times New Roman" w:hAnsi="Times New Roman" w:cs="Times New Roman"/>
          <w:sz w:val="24"/>
          <w:vertAlign w:val="superscript"/>
        </w:rPr>
        <w:footnoteReference w:id="23"/>
      </w:r>
      <w:r w:rsidRPr="00FF1E38">
        <w:rPr>
          <w:rFonts w:ascii="Times New Roman" w:hAnsi="Times New Roman" w:cs="Times New Roman"/>
          <w:sz w:val="24"/>
        </w:rPr>
        <w:t xml:space="preserve">.  </w:t>
      </w:r>
    </w:p>
    <w:p w14:paraId="37FEF8B1" w14:textId="0A9F6FE9"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Kao posebna tema napravljena je sistematizacija zagrebačkih savskih mostova koji su od iznimnog značaja za funkcioniranje nakon potresa, a posebice za definiranje evakuacijskih puteva (primjerice za neprekinutost prometnih tokova između starog i Novog Zagreba). Razdoblje njihove izgradnje se kreće od 1938. do 2007. i uglavnom nisu projektirani na danas propisano seizmičko opterećenje. Stoga bi u slučaju potresa moglo doći do značajnih oštećenja ili čak rušenja nekih od njih</w:t>
      </w:r>
      <w:r w:rsidRPr="00FF1E38">
        <w:rPr>
          <w:rFonts w:ascii="Times New Roman" w:hAnsi="Times New Roman" w:cs="Times New Roman"/>
          <w:sz w:val="24"/>
          <w:vertAlign w:val="superscript"/>
        </w:rPr>
        <w:footnoteReference w:id="24"/>
      </w:r>
      <w:r w:rsidRPr="00FF1E38">
        <w:rPr>
          <w:rFonts w:ascii="Times New Roman" w:hAnsi="Times New Roman" w:cs="Times New Roman"/>
          <w:sz w:val="24"/>
        </w:rPr>
        <w:t xml:space="preserve">. Također, napravljene su detaljne analize bolnica Sv. Duh i KBC-a Sestre milosrdnice što će biti iskorišteno za analize utjecaja potresa na društvenu stabilnost i politiku. Općenito se može zaključiti da korištena metodologija s detaljnim analizama, bez obzira na kvalitetu i primjenjivost rezultata, nije prikladna za analizu cijelog fonda građevina, ali rezultati za karakteristične građevine, a posebice zgrade kritične infrastrukture su vrlo korisna baza za sve procjene rizika od potresa. Ako na sve pridodamo projekt </w:t>
      </w:r>
      <w:r w:rsidRPr="00FF1E38">
        <w:rPr>
          <w:rFonts w:ascii="Times New Roman" w:hAnsi="Times New Roman" w:cs="Times New Roman"/>
          <w:i/>
          <w:sz w:val="24"/>
        </w:rPr>
        <w:t xml:space="preserve">Potresni rizik grada Zagreba </w:t>
      </w:r>
      <w:r w:rsidRPr="00FF1E38">
        <w:rPr>
          <w:rFonts w:ascii="Times New Roman" w:hAnsi="Times New Roman" w:cs="Times New Roman"/>
          <w:sz w:val="24"/>
        </w:rPr>
        <w:t>kao dio projekta Multisenzorsko zračno snimanje Republike Hrvatske za potrebe procjene smanjenja rizika od katastrofa koji je počeo krajem 2021. godine, i koji bi trebao obraditi gotovo sve zgrade u Zagrebu na način da im se pridruže ključni atributi, očito je da će vrlo brzo u Zagrebu zaživjeti vrlo kvalitetna baza podataka.</w:t>
      </w:r>
    </w:p>
    <w:p w14:paraId="4B9780C2" w14:textId="77777777" w:rsidR="00FF1E38" w:rsidRPr="00FF1E38" w:rsidRDefault="00FF1E38" w:rsidP="00FF1E38">
      <w:pPr>
        <w:spacing w:after="0" w:line="240" w:lineRule="auto"/>
        <w:ind w:left="0" w:right="0" w:firstLine="709"/>
        <w:rPr>
          <w:rFonts w:ascii="Times New Roman" w:hAnsi="Times New Roman" w:cs="Times New Roman"/>
          <w:sz w:val="24"/>
        </w:rPr>
      </w:pPr>
    </w:p>
    <w:p w14:paraId="0E335FE1" w14:textId="77777777" w:rsidR="00FF1E38" w:rsidRPr="00FF1E38" w:rsidRDefault="00FF1E38" w:rsidP="00FF1E38">
      <w:pPr>
        <w:spacing w:after="0" w:line="240" w:lineRule="auto"/>
        <w:ind w:left="0" w:right="0" w:firstLine="709"/>
        <w:rPr>
          <w:rFonts w:ascii="Times New Roman" w:hAnsi="Times New Roman" w:cs="Times New Roman"/>
          <w:b/>
          <w:sz w:val="24"/>
        </w:rPr>
      </w:pPr>
      <w:bookmarkStart w:id="71" w:name="_Toc2938589"/>
      <w:r w:rsidRPr="00FF1E38">
        <w:rPr>
          <w:rFonts w:ascii="Times New Roman" w:hAnsi="Times New Roman" w:cs="Times New Roman"/>
          <w:b/>
          <w:sz w:val="24"/>
        </w:rPr>
        <w:t>6.1.4. Uzrok</w:t>
      </w:r>
      <w:bookmarkEnd w:id="71"/>
    </w:p>
    <w:p w14:paraId="63F20690"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Potres je endogeni proces do kojeg dolazi zbog pomicanja tektonskih ploča, a posljedica je podrhtavanje Zemljine kore zbog oslobađanja velike količine energije. U skladu s globalnom teorijom tektonskih ploča koja objašnjava pomake Zemljine litosfere i učestalost pojave potresa u graničnim područjima, uzrok nastanka potresa u ovom dijelu Republike Hrvatske povezan je s podvlačenjem Jadranske platforme pod Dinaride zbog kretanja Afričke ploče u odnosu na Euro-azijsku. U sjeverozapadnom kontinentalnom dijelu uzročnici nastanka potresa su kompresijski procesi zbog pomaka Dinarida i Alpa.</w:t>
      </w:r>
    </w:p>
    <w:p w14:paraId="56F2BB9F" w14:textId="77777777" w:rsidR="00FF1E38" w:rsidRPr="00FF1E38" w:rsidRDefault="00FF1E38" w:rsidP="00FF1E38">
      <w:pPr>
        <w:spacing w:after="0" w:line="240" w:lineRule="auto"/>
        <w:ind w:right="0"/>
        <w:rPr>
          <w:rFonts w:ascii="Times New Roman" w:hAnsi="Times New Roman" w:cs="Times New Roman"/>
          <w:sz w:val="24"/>
        </w:rPr>
      </w:pPr>
    </w:p>
    <w:p w14:paraId="39149F86"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t>6.1.4.1. Razvoj događaja koji prethodi velikoj nesreći</w:t>
      </w:r>
    </w:p>
    <w:p w14:paraId="6738AC9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Potres se na području Grada Zagreba javlja iznenadno, bez prethodnih znakova i mjera ranog upozoravanja, u bilo koje doba dana, noći ili godine. Potresi ne pokazuju nikakvu periodičnost pojavljivanja, niti se događaju po nekom određenom pravilu. Postoji mogućnost jednog jačeg potresa nakon kojeg ne slijedi gotovo ni jedan ili ga slijedi vrlo mali broj naknadnih potresa. Drugdje se nakon jačeg potresa događa u kraćem ili duljem vremenskom intervalu velik broj naknadnih potresa, negdje su ti naknadni potresi svi slabiji od glavnog, a negdje se dogodi da naknadni bude jači od prvotnoga. Određena iskustva govore da se u nizu i određenom dužem razdoblju potresi nastavljaju događati uz različite intenzitete te bi događanje prvog bilo određeno upozorenje da postoji veća vjerojatnost pojave novih u vrlo skorom razdoblju, ali to nije pravilo.</w:t>
      </w:r>
    </w:p>
    <w:p w14:paraId="04415587"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Budući da se na nastanak potresa ne može utjecati, energiju je moguće jedino usmjeriti na preventivne mjere i edukaciju stanovništva. Preventivne mjere uključuju protupotresnu gradnju, urbanističko planiranje (planiranje zona za evakuaciju i područja za podizanje šatorskih naselja), izbjegavanje korištenja materijala koji su zbog potresa dodatan rizik ozljeđivanja ljudi i sl. te provođenje analize s ciljem detektiranja potresno neotpornih građevina od velike društvene važnosti što uključuje povijesne objekte, objekte u kojima se okuplja velika skupina ljudi, zgrade državne i lokalne vlasti, objekte kritične infrastrukture i velike stambene </w:t>
      </w:r>
      <w:r w:rsidRPr="00FF1E38">
        <w:rPr>
          <w:rFonts w:ascii="Times New Roman" w:hAnsi="Times New Roman" w:cs="Times New Roman"/>
          <w:sz w:val="24"/>
        </w:rPr>
        <w:lastRenderedPageBreak/>
        <w:t>zgrade / blokove radi poduzimanja mjera ojačavanja takvih objekata kako bi postali potresno izdržljiviji nego što jesu. Druge mjere koje mogu smanjiti broj teško ozlijeđenih i mrtvih osoba odnose se na edukaciju kako djece tako i odraslih (cjelokupnog stanovništva). Razumne reakcije bez panike čak i u slučaju rušenja objekata mogu spasiti ljudske živote, tako da je potrebno ljude educirati letcima, ali i redovnim obrazovnim sustavom te drugim načinima.</w:t>
      </w:r>
    </w:p>
    <w:p w14:paraId="597AD284"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Događaj koji dodatno može otežati situaciju i veliku nesreću pretvoriti u katastrofu je prekid funkcioniranja kritičnih elemenata u društvu, tj. prekid djelovanja vlasti, raspad djelovanja žurnih/hitnih službi i smrt velikog broja djece/mladih te stručnjaka na raznim znanstvenim područjima. U tom segmentu stručnjaci s Građevinskog fakulteta mogu pomoći u detektiranju objekata za koje je izgledno da će biti teško oštećeni u slučaju najgoreg scenarija događaja, te sukladno zaključcima struke predložiti ili premještanje tih objekata na nove lokacije ili strukturno ojačavanje tih objekata.</w:t>
      </w:r>
    </w:p>
    <w:p w14:paraId="57EAEDD0"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6AB238ED"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t>6.1.4.2. Okidač koji je uzrokovao veliku nesreću</w:t>
      </w:r>
    </w:p>
    <w:p w14:paraId="523EB94F"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Potres nastaje u unutrašnjosti Zemlje, u mjestu koje se naziva žarište ili hipocentar. Mjesto na površini Zemlje gdje se potres najjače osjeti zove se epicentar. Unutarnji procesi utječu na kretanje masa u zemljinoj unutrašnjosti i na formiranje tektonskih pokreta, koji djeluju kao okidač za nastanak potresa. U širem kontaktnom području Grada nema vulkana ili sličnih pojava promjena kojih bi (npr. erupcija) mogla biti vanjski okidač za nastanak potresa.</w:t>
      </w:r>
    </w:p>
    <w:p w14:paraId="4B57E40A" w14:textId="77777777" w:rsidR="00FF1E38" w:rsidRPr="00FF1E38" w:rsidRDefault="00FF1E38" w:rsidP="00FF1E38">
      <w:pPr>
        <w:spacing w:after="0" w:line="240" w:lineRule="auto"/>
        <w:ind w:right="0"/>
        <w:rPr>
          <w:rFonts w:ascii="Times New Roman" w:hAnsi="Times New Roman" w:cs="Times New Roman"/>
          <w:sz w:val="24"/>
        </w:rPr>
      </w:pPr>
    </w:p>
    <w:p w14:paraId="05D43365" w14:textId="77777777" w:rsidR="00FF1E38" w:rsidRPr="00FF1E38" w:rsidRDefault="00FF1E38" w:rsidP="00FF1E38">
      <w:pPr>
        <w:spacing w:after="0" w:line="240" w:lineRule="auto"/>
        <w:ind w:left="0" w:right="0" w:firstLine="709"/>
        <w:rPr>
          <w:rFonts w:ascii="Times New Roman" w:hAnsi="Times New Roman" w:cs="Times New Roman"/>
          <w:b/>
          <w:sz w:val="24"/>
        </w:rPr>
      </w:pPr>
      <w:bookmarkStart w:id="72" w:name="_Toc2938590"/>
      <w:r w:rsidRPr="00FF1E38">
        <w:rPr>
          <w:rFonts w:ascii="Times New Roman" w:hAnsi="Times New Roman" w:cs="Times New Roman"/>
          <w:b/>
          <w:sz w:val="24"/>
        </w:rPr>
        <w:t>6.1.5. Opis događaja</w:t>
      </w:r>
      <w:bookmarkEnd w:id="72"/>
    </w:p>
    <w:p w14:paraId="38C4626A" w14:textId="77777777" w:rsidR="00FF1E38" w:rsidRPr="00FF1E38" w:rsidRDefault="00FF1E38" w:rsidP="00FF1E38">
      <w:pPr>
        <w:spacing w:after="0" w:line="240" w:lineRule="auto"/>
        <w:ind w:left="0" w:right="0" w:firstLine="709"/>
        <w:rPr>
          <w:rFonts w:ascii="Times New Roman" w:hAnsi="Times New Roman" w:cs="Times New Roman"/>
          <w:i/>
          <w:sz w:val="24"/>
        </w:rPr>
      </w:pPr>
      <w:r w:rsidRPr="00FF1E38">
        <w:rPr>
          <w:rFonts w:ascii="Times New Roman" w:hAnsi="Times New Roman" w:cs="Times New Roman"/>
          <w:i/>
          <w:sz w:val="24"/>
          <w:u w:val="single" w:color="000000"/>
        </w:rPr>
        <w:t>Napomena</w:t>
      </w:r>
      <w:r w:rsidRPr="00FF1E38">
        <w:rPr>
          <w:rFonts w:ascii="Times New Roman" w:hAnsi="Times New Roman" w:cs="Times New Roman"/>
          <w:i/>
          <w:sz w:val="24"/>
        </w:rPr>
        <w:t>: Scenarij je orijentacijski i opisuje najgoru moguću situaciju. Mala je vjerojatnost da sve okolnosti budu najnepovoljnije, ali se u scenariju opisuje skup svih mogućih a malo izglednih događaja povezanih s prijetnjom. Cilj tako postavljenog scenarija je potaknuti na promišljanje o preventivnim mjerama koje je potrebno poduzeti kako bi se smanjio rizik i ojačala spremnost.</w:t>
      </w:r>
    </w:p>
    <w:p w14:paraId="6100433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četvrtak u 10:45 dogodio se razoran potres intenziteta IX</w:t>
      </w:r>
      <w:r w:rsidRPr="00FF1E38">
        <w:rPr>
          <w:rFonts w:ascii="Times New Roman" w:hAnsi="Times New Roman" w:cs="Times New Roman"/>
          <w:sz w:val="24"/>
          <w:vertAlign w:val="superscript"/>
        </w:rPr>
        <w:t>o</w:t>
      </w:r>
      <w:r w:rsidRPr="00FF1E38">
        <w:rPr>
          <w:rFonts w:ascii="Times New Roman" w:hAnsi="Times New Roman" w:cs="Times New Roman"/>
          <w:sz w:val="24"/>
        </w:rPr>
        <w:t xml:space="preserve"> MCS ljestvice s epicentrom na području Kašine. U trenutku potresa na širem području Grada nestalo je električne energije, a prekinute su i telekomunikacijske veze</w:t>
      </w:r>
      <w:r w:rsidRPr="00FF1E38">
        <w:rPr>
          <w:rFonts w:ascii="Times New Roman" w:hAnsi="Times New Roman" w:cs="Times New Roman"/>
          <w:sz w:val="24"/>
          <w:vertAlign w:val="superscript"/>
        </w:rPr>
        <w:footnoteReference w:id="25"/>
      </w:r>
      <w:r w:rsidRPr="00FF1E38">
        <w:rPr>
          <w:rFonts w:ascii="Times New Roman" w:hAnsi="Times New Roman" w:cs="Times New Roman"/>
          <w:sz w:val="24"/>
        </w:rPr>
        <w:t>. Oštećene su plinske instalacije pa su se pojavile lančane eksplozije i požari u pojedinim dijelovima Grada, osobito u urušenim zgradama u staroj gradskoj jezgri</w:t>
      </w:r>
      <w:r w:rsidRPr="00FF1E38">
        <w:rPr>
          <w:rFonts w:ascii="Times New Roman" w:hAnsi="Times New Roman" w:cs="Times New Roman"/>
          <w:sz w:val="24"/>
          <w:vertAlign w:val="superscript"/>
        </w:rPr>
        <w:footnoteReference w:id="26"/>
      </w:r>
      <w:r w:rsidRPr="00FF1E38">
        <w:rPr>
          <w:rFonts w:ascii="Times New Roman" w:hAnsi="Times New Roman" w:cs="Times New Roman"/>
          <w:sz w:val="24"/>
        </w:rPr>
        <w:t>. Grad je prekrio veliki oblak dima i prašine zbog postupnog urušavanja već srušenih objekata. Na području Gradske četvrti Gornji grad - Medveščak te većim dijelom na području Gradske četvrti Donji grad prevladavaju ruševine. Osim zgrada Vlade</w:t>
      </w:r>
      <w:r w:rsidRPr="00FF1E38">
        <w:rPr>
          <w:rFonts w:ascii="Times New Roman" w:hAnsi="Times New Roman" w:cs="Times New Roman"/>
          <w:sz w:val="24"/>
          <w:vertAlign w:val="superscript"/>
        </w:rPr>
        <w:footnoteReference w:id="27"/>
      </w:r>
      <w:r w:rsidRPr="00FF1E38">
        <w:rPr>
          <w:rFonts w:ascii="Times New Roman" w:hAnsi="Times New Roman" w:cs="Times New Roman"/>
          <w:sz w:val="24"/>
        </w:rPr>
        <w:t xml:space="preserve"> i Sabora</w:t>
      </w:r>
      <w:r w:rsidRPr="00FF1E38">
        <w:rPr>
          <w:rFonts w:ascii="Times New Roman" w:hAnsi="Times New Roman" w:cs="Times New Roman"/>
          <w:sz w:val="24"/>
          <w:vertAlign w:val="superscript"/>
        </w:rPr>
        <w:footnoteReference w:id="28"/>
      </w:r>
      <w:r w:rsidRPr="00FF1E38">
        <w:rPr>
          <w:rFonts w:ascii="Times New Roman" w:hAnsi="Times New Roman" w:cs="Times New Roman"/>
          <w:sz w:val="24"/>
        </w:rPr>
        <w:t xml:space="preserve"> na Gornjem gradu srušene su i osnovne i srednje škole te gimnazije. U svim objektima su se u trenutku potresa odvijale aktivnosti (zasjedanje Vlade i Sabora; nastava u školama, posjet turističkih grupa). Posebno je kritično na području Gornjeg grada zbog ulica koje su neprohodne radi urušavanja okolnih zgrada, a na malom području ispod ruševina nalazi se zarobljen velik broj ljudi.</w:t>
      </w:r>
    </w:p>
    <w:p w14:paraId="08D79F0E" w14:textId="77777777" w:rsidR="00DA19E9"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Zbog razornog potresa aktivirala su se i klizišta u podsljemenskoj zoni. Zbog klizišta prekinuta je prometna komunikacija Alejom grada Bologne</w:t>
      </w:r>
      <w:r w:rsidRPr="00FF1E38">
        <w:rPr>
          <w:rFonts w:ascii="Times New Roman" w:hAnsi="Times New Roman" w:cs="Times New Roman"/>
          <w:sz w:val="24"/>
          <w:vertAlign w:val="superscript"/>
        </w:rPr>
        <w:footnoteReference w:id="29"/>
      </w:r>
      <w:r w:rsidRPr="00FF1E38">
        <w:rPr>
          <w:rFonts w:ascii="Times New Roman" w:hAnsi="Times New Roman" w:cs="Times New Roman"/>
          <w:sz w:val="24"/>
        </w:rPr>
        <w:t xml:space="preserve"> prema Zagorju odnosno sjeveru. </w:t>
      </w:r>
    </w:p>
    <w:p w14:paraId="7A48BA9A" w14:textId="77777777" w:rsidR="00ED42D0" w:rsidRDefault="00ED42D0" w:rsidP="00FF1E38">
      <w:pPr>
        <w:spacing w:after="0" w:line="240" w:lineRule="auto"/>
        <w:ind w:left="0" w:right="0" w:firstLine="709"/>
        <w:rPr>
          <w:rFonts w:ascii="Times New Roman" w:hAnsi="Times New Roman" w:cs="Times New Roman"/>
          <w:sz w:val="24"/>
        </w:rPr>
      </w:pPr>
    </w:p>
    <w:p w14:paraId="4DDC62C1" w14:textId="77777777" w:rsidR="00ED42D0" w:rsidRDefault="00ED42D0" w:rsidP="00FF1E38">
      <w:pPr>
        <w:spacing w:after="0" w:line="240" w:lineRule="auto"/>
        <w:ind w:left="0" w:right="0" w:firstLine="709"/>
        <w:rPr>
          <w:rFonts w:ascii="Times New Roman" w:hAnsi="Times New Roman" w:cs="Times New Roman"/>
          <w:sz w:val="24"/>
        </w:rPr>
      </w:pPr>
    </w:p>
    <w:p w14:paraId="622066FB" w14:textId="532BAEC3"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lastRenderedPageBreak/>
        <w:t>Razorni potres srušio je ili teško oštetio i većinu zagrebačkih mostova</w:t>
      </w:r>
      <w:r w:rsidRPr="00FF1E38">
        <w:rPr>
          <w:rFonts w:ascii="Times New Roman" w:hAnsi="Times New Roman" w:cs="Times New Roman"/>
          <w:sz w:val="24"/>
          <w:vertAlign w:val="superscript"/>
        </w:rPr>
        <w:footnoteReference w:id="30"/>
      </w:r>
      <w:r w:rsidRPr="00FF1E38">
        <w:rPr>
          <w:rFonts w:ascii="Times New Roman" w:hAnsi="Times New Roman" w:cs="Times New Roman"/>
          <w:sz w:val="24"/>
        </w:rPr>
        <w:t xml:space="preserve"> stoga je prekinuta i prometna komunikacija s Novim Zagrebom. Sve bolnice, osim KB Dubrava, srušene su ili teško oštećene u potresu</w:t>
      </w:r>
      <w:r w:rsidRPr="00FF1E38">
        <w:rPr>
          <w:rFonts w:ascii="Times New Roman" w:hAnsi="Times New Roman" w:cs="Times New Roman"/>
          <w:sz w:val="24"/>
          <w:vertAlign w:val="superscript"/>
        </w:rPr>
        <w:footnoteReference w:id="31"/>
      </w:r>
      <w:r w:rsidRPr="00FF1E38">
        <w:rPr>
          <w:rFonts w:ascii="Times New Roman" w:hAnsi="Times New Roman" w:cs="Times New Roman"/>
          <w:sz w:val="24"/>
        </w:rPr>
        <w:t>. I pojedine policijske i vatrogasne postrojbe su onemogućene u radu zbog srušenih objekata i štete na opremi. Rad hitnih službi je većim dijelom paraliziran, a koridor prema gradskom centru moguće je uspostaviti samo s istočne strane grada i preko Domovinskog mosta.</w:t>
      </w:r>
    </w:p>
    <w:p w14:paraId="101B93A3"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Na području gradskih četvrti Gornji grad - Medveščak, Donji grad, Črnomerec i Maksimir prevladavaju srušeni ili teško oštećeni objekti. Na području Novog Zagreba manje je teško oštećenih (potpuno srušenih) objekata, ali se zato u pojedinim srušenim objektima nalazi puno zatrpanih osoba koje ne mogu biti propisno medicinski zbrinute zbog rušenja zgrada bolnica i mostova koji povezuju Novi Zagreb s centrom. Srušile su se i pojedine zgrade/neboderi koji su protupotresno građeni zbog nelegalnih intervencija u strukture zgrada (rušenja nosivih zidova od strane vlasnika). Najmanje srušenih objekata te mrtvih i ranjenih ima na području Gradske četvrti Brezovica.</w:t>
      </w:r>
    </w:p>
    <w:p w14:paraId="0CFB8FA3" w14:textId="77777777" w:rsidR="00FF1E38" w:rsidRPr="00FF1E38" w:rsidRDefault="00FF1E38" w:rsidP="00FF1E38">
      <w:pPr>
        <w:spacing w:after="0" w:line="240" w:lineRule="auto"/>
        <w:ind w:right="0"/>
        <w:rPr>
          <w:rFonts w:ascii="Times New Roman" w:hAnsi="Times New Roman" w:cs="Times New Roman"/>
          <w:sz w:val="24"/>
        </w:rPr>
      </w:pPr>
    </w:p>
    <w:p w14:paraId="29C21544"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t>6.1.5.1. Posljedice</w:t>
      </w:r>
    </w:p>
    <w:p w14:paraId="15B69C4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nastavku se donosi pregled postojećih procjena posljedica razornog potresa na području Grada Zagreba.</w:t>
      </w:r>
    </w:p>
    <w:p w14:paraId="19955F8E" w14:textId="77777777" w:rsidR="00FF1E38" w:rsidRPr="00FF1E38" w:rsidRDefault="00FF1E38" w:rsidP="00FF1E38">
      <w:pPr>
        <w:spacing w:after="0" w:line="240" w:lineRule="auto"/>
        <w:ind w:left="0" w:right="0" w:firstLine="709"/>
        <w:rPr>
          <w:rFonts w:ascii="Times New Roman" w:hAnsi="Times New Roman" w:cs="Times New Roman"/>
          <w:sz w:val="24"/>
        </w:rPr>
      </w:pPr>
    </w:p>
    <w:p w14:paraId="127F7A5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u w:val="single"/>
        </w:rPr>
        <w:t>Procjena štete na stambenom fondu i broja žrtava mogućeg budućeg potresa u Zagrebu iz 1992. godine</w:t>
      </w:r>
      <w:r w:rsidRPr="00FF1E38">
        <w:rPr>
          <w:rFonts w:ascii="Times New Roman" w:hAnsi="Times New Roman" w:cs="Times New Roman"/>
          <w:sz w:val="24"/>
          <w:u w:val="single"/>
          <w:vertAlign w:val="superscript"/>
        </w:rPr>
        <w:footnoteReference w:id="32"/>
      </w:r>
    </w:p>
    <w:p w14:paraId="3F8443F3" w14:textId="6457BE38"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Prvo istraživanje potresnog rizika za grad Zagreb je provedeno 1983. godine (Aničić</w:t>
      </w:r>
      <w:r w:rsidR="00AF5C91">
        <w:rPr>
          <w:rFonts w:ascii="Times New Roman" w:hAnsi="Times New Roman" w:cs="Times New Roman"/>
          <w:sz w:val="24"/>
        </w:rPr>
        <w:t xml:space="preserve"> D,</w:t>
      </w:r>
      <w:r w:rsidRPr="00FF1E38">
        <w:rPr>
          <w:rFonts w:ascii="Times New Roman" w:hAnsi="Times New Roman" w:cs="Times New Roman"/>
          <w:sz w:val="24"/>
        </w:rPr>
        <w:t xml:space="preserve"> i suradnici), ali su rezultati zbog povjerljivosti objavljeni tek 1992. godine nakon manjih korekcija. Danas tu procjenu možemo smatrati zastarjelom s obzirom </w:t>
      </w:r>
      <w:r w:rsidR="00C716DA">
        <w:rPr>
          <w:rFonts w:ascii="Times New Roman" w:hAnsi="Times New Roman" w:cs="Times New Roman"/>
          <w:sz w:val="24"/>
        </w:rPr>
        <w:t xml:space="preserve">na </w:t>
      </w:r>
      <w:r w:rsidRPr="00FF1E38">
        <w:rPr>
          <w:rFonts w:ascii="Times New Roman" w:hAnsi="Times New Roman" w:cs="Times New Roman"/>
          <w:sz w:val="24"/>
        </w:rPr>
        <w:t xml:space="preserve">veliki napredak u znanosti, ali s obzirom da nismo previše napredovali u pogledu prikupljanja podataka za preciznije procjene rizika, može poslužiti za usporedbu s ostalim procjenama koje će biti prezentirane u nastavku. Cilj istraživanja je bila procjena šteta na stambenom fondu i procjena stradalih s obzirom na organizaciju sustava, pripreme i definiranje strategije. Veliki početni dio istraživanja je posvećen opisivanju situacije nakon djelovanja razornog potresa te ukazivanju na koji način precizne procjene rizika mogu pomoći organizaciji sustava. </w:t>
      </w:r>
    </w:p>
    <w:p w14:paraId="502FA8E7" w14:textId="03EA28B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Za potresnu opasnost je korištena seizmološka karta objavljena 1987. godine za povratno razdoblje od 500 godina, prema Pravilniku iz 1990. godine. Napravljen je i osvrt s obzirom na seizmičku mikrozonaciju, tadašnje dostupne podatke i definiranje potreba koje ni do danas nisu izvršene. Prognoze šteta su napravljene za scenarij potresa intenziteta VIII ° MSK-64 ljestvice, maksimalne akceleracije 2,0 m/s</w:t>
      </w:r>
      <w:r w:rsidRPr="00FF1E38">
        <w:rPr>
          <w:rFonts w:ascii="Times New Roman" w:hAnsi="Times New Roman" w:cs="Times New Roman"/>
          <w:sz w:val="24"/>
          <w:vertAlign w:val="superscript"/>
        </w:rPr>
        <w:t>2</w:t>
      </w:r>
      <w:r w:rsidRPr="00FF1E38">
        <w:rPr>
          <w:rFonts w:ascii="Times New Roman" w:hAnsi="Times New Roman" w:cs="Times New Roman"/>
          <w:sz w:val="24"/>
        </w:rPr>
        <w:t xml:space="preserve"> (0,2g na cijelom području), trajanje potresa od 15 sekundi, bez uzimanja u obzir razlike u svojstvima tla, za uže područje grada (10 tadašnjih područnih ureda) s oko 700 000 stanovnika itd. Područje grada je podijeljeno na 45 </w:t>
      </w:r>
      <w:r w:rsidRPr="00A67E66">
        <w:rPr>
          <w:rFonts w:ascii="Times New Roman" w:hAnsi="Times New Roman" w:cs="Times New Roman"/>
          <w:color w:val="auto"/>
          <w:sz w:val="24"/>
        </w:rPr>
        <w:t xml:space="preserve">zona (Slika </w:t>
      </w:r>
      <w:r w:rsidR="00A67E66" w:rsidRPr="00A67E66">
        <w:rPr>
          <w:rFonts w:ascii="Times New Roman" w:hAnsi="Times New Roman" w:cs="Times New Roman"/>
          <w:color w:val="auto"/>
          <w:sz w:val="24"/>
        </w:rPr>
        <w:t>12</w:t>
      </w:r>
      <w:r w:rsidRPr="00A67E66">
        <w:rPr>
          <w:rFonts w:ascii="Times New Roman" w:hAnsi="Times New Roman" w:cs="Times New Roman"/>
          <w:color w:val="auto"/>
          <w:sz w:val="24"/>
        </w:rPr>
        <w:t xml:space="preserve">.) koje se razlikuju po vremenu izgradnje, broju građevina, broju katova zgrada, </w:t>
      </w:r>
      <w:r w:rsidRPr="00FF1E38">
        <w:rPr>
          <w:rFonts w:ascii="Times New Roman" w:hAnsi="Times New Roman" w:cs="Times New Roman"/>
          <w:sz w:val="24"/>
        </w:rPr>
        <w:t xml:space="preserve">konstrukcijskom sistemu i gustoći naseljenosti.  </w:t>
      </w:r>
    </w:p>
    <w:p w14:paraId="4F6F87C6" w14:textId="7387BC92" w:rsidR="00FF1E38" w:rsidRDefault="00FF1E38" w:rsidP="00FF1E38">
      <w:pPr>
        <w:spacing w:after="0" w:line="240" w:lineRule="auto"/>
        <w:ind w:left="0" w:right="0" w:firstLine="0"/>
        <w:rPr>
          <w:rFonts w:ascii="Times New Roman" w:hAnsi="Times New Roman" w:cs="Times New Roman"/>
          <w:b/>
          <w:sz w:val="24"/>
        </w:rPr>
      </w:pPr>
    </w:p>
    <w:p w14:paraId="20FC0572" w14:textId="77777777" w:rsidR="00ED42D0" w:rsidRPr="00FF1E38" w:rsidRDefault="00ED42D0" w:rsidP="00FF1E38">
      <w:pPr>
        <w:spacing w:after="0" w:line="240" w:lineRule="auto"/>
        <w:ind w:left="0" w:right="0" w:firstLine="0"/>
        <w:rPr>
          <w:rFonts w:ascii="Times New Roman" w:hAnsi="Times New Roman" w:cs="Times New Roman"/>
          <w:b/>
          <w:sz w:val="24"/>
        </w:rPr>
      </w:pPr>
    </w:p>
    <w:p w14:paraId="04B89951" w14:textId="6F85A2E8" w:rsidR="00FF1E38" w:rsidRPr="00A67E66" w:rsidRDefault="00A67E66" w:rsidP="008F11E3">
      <w:pPr>
        <w:spacing w:line="240" w:lineRule="auto"/>
        <w:ind w:left="0" w:right="0" w:firstLine="0"/>
        <w:jc w:val="center"/>
        <w:rPr>
          <w:rFonts w:ascii="Times New Roman" w:hAnsi="Times New Roman" w:cs="Times New Roman"/>
          <w:b/>
          <w:color w:val="auto"/>
          <w:sz w:val="24"/>
        </w:rPr>
      </w:pPr>
      <w:r w:rsidRPr="00A67E66">
        <w:rPr>
          <w:rFonts w:ascii="Times New Roman" w:hAnsi="Times New Roman" w:cs="Times New Roman"/>
          <w:b/>
          <w:color w:val="auto"/>
          <w:sz w:val="24"/>
        </w:rPr>
        <w:lastRenderedPageBreak/>
        <w:t>Slika 12</w:t>
      </w:r>
      <w:r w:rsidR="00FF1E38" w:rsidRPr="00A67E66">
        <w:rPr>
          <w:rFonts w:ascii="Times New Roman" w:hAnsi="Times New Roman" w:cs="Times New Roman"/>
          <w:b/>
          <w:color w:val="auto"/>
          <w:sz w:val="24"/>
        </w:rPr>
        <w:t>. Podjela Grada Zagreba na 15 područja</w:t>
      </w:r>
    </w:p>
    <w:p w14:paraId="38DE587F" w14:textId="77777777" w:rsidR="00FF1E38" w:rsidRPr="00FF1E38" w:rsidRDefault="00FF1E38" w:rsidP="008F11E3">
      <w:pPr>
        <w:spacing w:after="0" w:line="240" w:lineRule="auto"/>
        <w:ind w:left="0" w:right="0" w:firstLine="0"/>
        <w:jc w:val="center"/>
        <w:rPr>
          <w:rFonts w:ascii="Times New Roman" w:hAnsi="Times New Roman" w:cs="Times New Roman"/>
          <w:b/>
          <w:sz w:val="24"/>
        </w:rPr>
      </w:pPr>
      <w:r w:rsidRPr="00FF1E38">
        <w:rPr>
          <w:rFonts w:ascii="Times New Roman" w:hAnsi="Times New Roman" w:cs="Times New Roman"/>
          <w:b/>
          <w:noProof/>
          <w:sz w:val="24"/>
        </w:rPr>
        <w:drawing>
          <wp:inline distT="0" distB="0" distL="0" distR="0" wp14:anchorId="1F61006E" wp14:editId="675A3355">
            <wp:extent cx="5389245" cy="2950845"/>
            <wp:effectExtent l="0" t="0" r="1905"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89245" cy="2950845"/>
                    </a:xfrm>
                    <a:prstGeom prst="rect">
                      <a:avLst/>
                    </a:prstGeom>
                    <a:noFill/>
                  </pic:spPr>
                </pic:pic>
              </a:graphicData>
            </a:graphic>
          </wp:inline>
        </w:drawing>
      </w:r>
    </w:p>
    <w:p w14:paraId="44F5D016" w14:textId="77777777" w:rsidR="00FF1E38" w:rsidRPr="00FF1E38" w:rsidRDefault="00FF1E38" w:rsidP="00FF1E38">
      <w:pPr>
        <w:spacing w:after="0" w:line="240" w:lineRule="auto"/>
        <w:ind w:left="0" w:right="0" w:firstLine="709"/>
        <w:jc w:val="center"/>
        <w:rPr>
          <w:rFonts w:ascii="Times New Roman" w:hAnsi="Times New Roman" w:cs="Times New Roman"/>
          <w:i/>
          <w:sz w:val="20"/>
          <w:szCs w:val="20"/>
        </w:rPr>
      </w:pPr>
      <w:r w:rsidRPr="00FF1E38">
        <w:rPr>
          <w:rFonts w:ascii="Times New Roman" w:hAnsi="Times New Roman" w:cs="Times New Roman"/>
          <w:i/>
          <w:sz w:val="20"/>
          <w:szCs w:val="20"/>
        </w:rPr>
        <w:t>Izvor: Aničić, Dražen (1992) Prognoza štete na stambenom fondu i broja žrtava mogućeg budućeg potresa u Zagrebu, Civilna zaštita Zagreb, pp. 135-143.</w:t>
      </w:r>
    </w:p>
    <w:p w14:paraId="253CAE91" w14:textId="77777777" w:rsidR="00FF1E38" w:rsidRPr="00FF1E38" w:rsidRDefault="00FF1E38" w:rsidP="00FF1E38">
      <w:pPr>
        <w:spacing w:after="0" w:line="240" w:lineRule="auto"/>
        <w:ind w:left="0" w:right="0" w:firstLine="709"/>
        <w:rPr>
          <w:rFonts w:ascii="Times New Roman" w:hAnsi="Times New Roman" w:cs="Times New Roman"/>
          <w:b/>
          <w:sz w:val="24"/>
        </w:rPr>
      </w:pPr>
    </w:p>
    <w:p w14:paraId="2401AA99"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Građevine su s obzirom na vrijeme i način gradnje svrstane u tipove: zidane zgrade, zidane zgrade s serklažima, armiranobetonske skeletne zgrade, zgrade s sustavom armiranobetonskih nosivih zidova i armiranobetonske skeletne zgrade s armiranobetonskim nosivim zidovima. Postotak zastupljenosti zgrada određenog konstrukcijskog sustava je procijenjen temeljem iskustva s obzirom da podaci nisu bili dostupni. Koristeći matrice oštetljivosti</w:t>
      </w:r>
      <w:r w:rsidRPr="00FF1E38">
        <w:rPr>
          <w:rFonts w:ascii="Times New Roman" w:hAnsi="Times New Roman" w:cs="Times New Roman"/>
          <w:sz w:val="24"/>
          <w:vertAlign w:val="superscript"/>
        </w:rPr>
        <w:footnoteReference w:id="33"/>
      </w:r>
      <w:r w:rsidRPr="00FF1E38">
        <w:rPr>
          <w:rFonts w:ascii="Times New Roman" w:hAnsi="Times New Roman" w:cs="Times New Roman"/>
          <w:sz w:val="24"/>
        </w:rPr>
        <w:t xml:space="preserve"> za tipove zgrada procijenjena su oštećenja (šest kategorija) gdje je svakom sustavu pridijeljen postotak oštećenja ukupnog broja zgrada. Rezultati analiza su pokazali da će prema definiranom scenariju biti uništeno 11% stambenog fonda odnosno ekvivalentna vrijednost 24000 stambenih jedinica (djelomično oštećene stambene jedinice su s korekcijskim faktorima pretvorene u potpuno uništene). Za prosječnu veličinu stana od 60m</w:t>
      </w:r>
      <w:r w:rsidRPr="00FF1E38">
        <w:rPr>
          <w:rFonts w:ascii="Times New Roman" w:hAnsi="Times New Roman" w:cs="Times New Roman"/>
          <w:sz w:val="24"/>
          <w:vertAlign w:val="superscript"/>
        </w:rPr>
        <w:t>2</w:t>
      </w:r>
      <w:r w:rsidRPr="00FF1E38">
        <w:rPr>
          <w:rFonts w:ascii="Times New Roman" w:hAnsi="Times New Roman" w:cs="Times New Roman"/>
          <w:sz w:val="24"/>
        </w:rPr>
        <w:t xml:space="preserve"> i cijenu izgradnje od 1000 DEM/m</w:t>
      </w:r>
      <w:r w:rsidRPr="00FF1E38">
        <w:rPr>
          <w:rFonts w:ascii="Times New Roman" w:hAnsi="Times New Roman" w:cs="Times New Roman"/>
          <w:sz w:val="24"/>
          <w:vertAlign w:val="superscript"/>
        </w:rPr>
        <w:t>2</w:t>
      </w:r>
      <w:r w:rsidRPr="00FF1E38">
        <w:rPr>
          <w:rFonts w:ascii="Times New Roman" w:hAnsi="Times New Roman" w:cs="Times New Roman"/>
          <w:sz w:val="24"/>
        </w:rPr>
        <w:t xml:space="preserve">, šteta je procijenjena na 1.440.000.000 DEM.  </w:t>
      </w:r>
    </w:p>
    <w:p w14:paraId="6EFA72B7"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Broj stvarno oštećenih stambenih jedinica (bez korekcijskih faktora) procijenjen je na oko 80.000 pri čemu se može očekivati oko 38.400 lakše oštećenih stambenih jedinica (manji popravci, uporabljive za život), 39.200 teže oštećenih stambenih jedinica (sanacija nosive konstrukcije, neupotrebljive za život) i 2.400 potpuno srušenih stambenih jedinica. Uz pretpostavku da u stambenoj jedinici živi u prosjeku 3.1 osoba procijenjeno je da će oko 130.000 osoba biti bez uvjeta za život. Koristeći sličnu metodologiju procijenjeno je oko 13.500 ozlijeđenih osoba i 2000 poginulih.  </w:t>
      </w:r>
    </w:p>
    <w:p w14:paraId="129C80BE" w14:textId="1903C72D" w:rsidR="00ED42D0" w:rsidRPr="00ED42D0" w:rsidRDefault="00FF1E38" w:rsidP="00ED42D0">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Općenito se može zaključiti da je opisana analiza jako gruba što je i istaknuto u zaključku istraživanja uključujući napomenu da su potrebna detaljnija istraživanja. Nažalost do danas nije napravljen značajniji korak prema pouzdanijim podacima za procjene rizika od potresa. Analize su napravljene prema tadašnjoj podjeli grada, a podaci o konstrukciji su iskustveno procijenjeni. Za hazard je korištena karta koja više nije u upotrebi s tim da svojstva tla nisu uzeta u obzir. </w:t>
      </w:r>
    </w:p>
    <w:p w14:paraId="0E3BD9E1" w14:textId="77777777" w:rsidR="00FF1E38" w:rsidRP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sz w:val="24"/>
          <w:u w:val="single"/>
        </w:rPr>
        <w:t>Procjena ugroženosti stanovništva, materijalnih i kulturnih dobara i okoliša od katastrofa i velikih nesreća za područje Grada Zagreba iz 2011. godine</w:t>
      </w:r>
    </w:p>
    <w:p w14:paraId="29223D25" w14:textId="77777777" w:rsidR="00FF1E38" w:rsidRPr="00FF1E38" w:rsidRDefault="00FF1E38" w:rsidP="00FF1E38">
      <w:pPr>
        <w:spacing w:after="0" w:line="240" w:lineRule="auto"/>
        <w:ind w:left="0" w:right="0" w:firstLine="709"/>
        <w:rPr>
          <w:rFonts w:ascii="Times New Roman" w:hAnsi="Times New Roman" w:cs="Times New Roman"/>
          <w:b/>
          <w:sz w:val="24"/>
        </w:rPr>
      </w:pPr>
    </w:p>
    <w:p w14:paraId="219074F5" w14:textId="556D24E6"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Procjena je napravljena temeljem Zakona o zaštiti i spašavanju (N</w:t>
      </w:r>
      <w:r w:rsidR="00012F75">
        <w:rPr>
          <w:rFonts w:ascii="Times New Roman" w:hAnsi="Times New Roman" w:cs="Times New Roman"/>
          <w:sz w:val="24"/>
        </w:rPr>
        <w:t xml:space="preserve">arodne novine </w:t>
      </w:r>
      <w:r w:rsidRPr="00FF1E38">
        <w:rPr>
          <w:rFonts w:ascii="Times New Roman" w:hAnsi="Times New Roman" w:cs="Times New Roman"/>
          <w:sz w:val="24"/>
        </w:rPr>
        <w:t>174/04, 79/07, 38/09 i 127/10), te Pravilnika o metodologiji za izradu procjena ugroženosti i planova zaštite i spašavanja (N</w:t>
      </w:r>
      <w:r w:rsidR="00012F75">
        <w:rPr>
          <w:rFonts w:ascii="Times New Roman" w:hAnsi="Times New Roman" w:cs="Times New Roman"/>
          <w:sz w:val="24"/>
        </w:rPr>
        <w:t>arodne novine</w:t>
      </w:r>
      <w:r w:rsidRPr="00FF1E38">
        <w:rPr>
          <w:rFonts w:ascii="Times New Roman" w:hAnsi="Times New Roman" w:cs="Times New Roman"/>
          <w:sz w:val="24"/>
        </w:rPr>
        <w:t xml:space="preserve"> 38/08). Utvrđene su vrste, intenzitet i učinci te moguće posljedice djelovanja prirodnih i tehničko-tehnoloških katastrofa i velikih nesreća. Za procjene je opisana opasnost kroz seizmološku kartu iz 2010. godine, kronološki pregled potresa u okolici Zagreba, istaknuta epicentralna područja, intenzitet potresa, seizmičke zone, svojstva tla i slično.</w:t>
      </w:r>
    </w:p>
    <w:p w14:paraId="3DE39D8A"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Izloženost građevina je analizirana kroz podjelu stambenih jedinica (ne građevina) po razdobljima primjene pojedinih propisa s osvrtom na tipologiju gradnje i potresnu otpornost. Napravljena je i analiza gustoće stanovnika po gradskim četvrtima prema popisu stanovništva iz 2001. godine. Procjena ugroženosti i posljedice su napravljene za potres IX.° po MCS ljestvici svrstavajući ih prema stupnju oštećenja, koristeći podatke o vrsti i načinu gradnje, materijalu, vremenu izgradnje i slično. </w:t>
      </w:r>
    </w:p>
    <w:p w14:paraId="601F9C5C" w14:textId="66988AD8" w:rsidR="00FF1E38" w:rsidRPr="00FF1E38" w:rsidRDefault="00FF1E38" w:rsidP="00FF1E38">
      <w:pPr>
        <w:spacing w:after="0" w:line="240" w:lineRule="auto"/>
        <w:ind w:left="0" w:right="0" w:firstLine="709"/>
        <w:rPr>
          <w:rFonts w:ascii="Times New Roman" w:hAnsi="Times New Roman" w:cs="Times New Roman"/>
          <w:sz w:val="24"/>
        </w:rPr>
      </w:pPr>
      <w:r w:rsidRPr="00842016">
        <w:rPr>
          <w:rFonts w:ascii="Times New Roman" w:hAnsi="Times New Roman" w:cs="Times New Roman"/>
          <w:color w:val="auto"/>
          <w:sz w:val="24"/>
        </w:rPr>
        <w:t xml:space="preserve">Rezultati su prikazani po gradskim četvrtima (Tablica </w:t>
      </w:r>
      <w:r w:rsidR="00842016" w:rsidRPr="00842016">
        <w:rPr>
          <w:rFonts w:ascii="Times New Roman" w:hAnsi="Times New Roman" w:cs="Times New Roman"/>
          <w:color w:val="auto"/>
          <w:sz w:val="24"/>
        </w:rPr>
        <w:t>45</w:t>
      </w:r>
      <w:r w:rsidRPr="00842016">
        <w:rPr>
          <w:rFonts w:ascii="Times New Roman" w:hAnsi="Times New Roman" w:cs="Times New Roman"/>
          <w:color w:val="auto"/>
          <w:sz w:val="24"/>
        </w:rPr>
        <w:t xml:space="preserve">.) a može se istaknuti da bi </w:t>
      </w:r>
      <w:r w:rsidRPr="00FF1E38">
        <w:rPr>
          <w:rFonts w:ascii="Times New Roman" w:hAnsi="Times New Roman" w:cs="Times New Roman"/>
          <w:sz w:val="24"/>
        </w:rPr>
        <w:t xml:space="preserve">pretpostavljeni potres sumarno srušio 2 127 stambenih jedinica, razorna oštećenja bila bi na 4.379 stambenih jedinica dok bi 45.359 stambene jedinice bile teško oštećene. Procjenjuje se da za stanovanje ne bi bilo 51.865 stambenih jedinica (oko 16,5% stambenog fonda), a mogućnost oštećenja postoji za 186.378 objekata (oko 59%). Vjerojatnost stradavanja procijenjena je na 2.961 poginulu osobu, duboko zatrpanih bilo bi 6.233, srednje zatrpanih 8.571, a plitko zatrpanih 45.190. </w:t>
      </w:r>
    </w:p>
    <w:p w14:paraId="37BE5E79" w14:textId="77777777" w:rsidR="00FF1E38" w:rsidRPr="00FF1E38" w:rsidRDefault="00FF1E38" w:rsidP="00FF1E38">
      <w:pPr>
        <w:spacing w:after="0" w:line="240" w:lineRule="auto"/>
        <w:ind w:left="0" w:right="0" w:firstLine="0"/>
        <w:rPr>
          <w:rFonts w:ascii="Times New Roman" w:hAnsi="Times New Roman" w:cs="Times New Roman"/>
          <w:b/>
          <w:sz w:val="24"/>
        </w:rPr>
      </w:pPr>
    </w:p>
    <w:p w14:paraId="1D3B14C3" w14:textId="14D4E73F" w:rsidR="00FF1E38" w:rsidRPr="00842016" w:rsidRDefault="00FF1E38" w:rsidP="00571A98">
      <w:pPr>
        <w:spacing w:line="240" w:lineRule="auto"/>
        <w:ind w:left="0" w:right="0" w:firstLine="0"/>
        <w:jc w:val="center"/>
        <w:rPr>
          <w:rFonts w:ascii="Times New Roman" w:hAnsi="Times New Roman" w:cs="Times New Roman"/>
          <w:b/>
          <w:color w:val="auto"/>
          <w:sz w:val="24"/>
        </w:rPr>
      </w:pPr>
      <w:r w:rsidRPr="00842016">
        <w:rPr>
          <w:rFonts w:ascii="Times New Roman" w:hAnsi="Times New Roman" w:cs="Times New Roman"/>
          <w:b/>
          <w:color w:val="auto"/>
          <w:sz w:val="24"/>
        </w:rPr>
        <w:t xml:space="preserve">Tablica </w:t>
      </w:r>
      <w:r w:rsidR="00842016" w:rsidRPr="00842016">
        <w:rPr>
          <w:rFonts w:ascii="Times New Roman" w:hAnsi="Times New Roman" w:cs="Times New Roman"/>
          <w:b/>
          <w:color w:val="auto"/>
          <w:sz w:val="24"/>
        </w:rPr>
        <w:t>45</w:t>
      </w:r>
      <w:r w:rsidRPr="00842016">
        <w:rPr>
          <w:rFonts w:ascii="Times New Roman" w:hAnsi="Times New Roman" w:cs="Times New Roman"/>
          <w:b/>
          <w:color w:val="auto"/>
          <w:sz w:val="24"/>
        </w:rPr>
        <w:t>. Pregled oštećenja stambenih građevinskih jedinica za IX. stupanj MCS-a</w:t>
      </w:r>
    </w:p>
    <w:tbl>
      <w:tblPr>
        <w:tblStyle w:val="TableGrid1"/>
        <w:tblW w:w="9072" w:type="dxa"/>
        <w:tblInd w:w="0" w:type="dxa"/>
        <w:tblLayout w:type="fixed"/>
        <w:tblCellMar>
          <w:top w:w="5" w:type="dxa"/>
          <w:left w:w="57" w:type="dxa"/>
          <w:right w:w="57" w:type="dxa"/>
        </w:tblCellMar>
        <w:tblLook w:val="04A0" w:firstRow="1" w:lastRow="0" w:firstColumn="1" w:lastColumn="0" w:noHBand="0" w:noVBand="1"/>
      </w:tblPr>
      <w:tblGrid>
        <w:gridCol w:w="394"/>
        <w:gridCol w:w="2295"/>
        <w:gridCol w:w="1343"/>
        <w:gridCol w:w="1008"/>
        <w:gridCol w:w="1008"/>
        <w:gridCol w:w="1008"/>
        <w:gridCol w:w="1008"/>
        <w:gridCol w:w="1008"/>
      </w:tblGrid>
      <w:tr w:rsidR="00FF1E38" w:rsidRPr="00FF1E38" w14:paraId="0C3CCA80" w14:textId="77777777" w:rsidTr="00DE0C9A">
        <w:trPr>
          <w:cantSplit/>
          <w:tblHeader/>
        </w:trPr>
        <w:tc>
          <w:tcPr>
            <w:tcW w:w="397" w:type="dxa"/>
            <w:vMerge w:val="restart"/>
            <w:tcBorders>
              <w:top w:val="single" w:sz="4" w:space="0" w:color="000000"/>
              <w:left w:val="single" w:sz="4" w:space="0" w:color="000000"/>
              <w:bottom w:val="single" w:sz="4" w:space="0" w:color="000000"/>
              <w:right w:val="single" w:sz="4" w:space="0" w:color="000000"/>
            </w:tcBorders>
            <w:shd w:val="clear" w:color="auto" w:fill="FFC000"/>
            <w:vAlign w:val="center"/>
          </w:tcPr>
          <w:p w14:paraId="7E983748"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325" w:type="dxa"/>
            <w:vMerge w:val="restart"/>
            <w:tcBorders>
              <w:top w:val="single" w:sz="4" w:space="0" w:color="000000"/>
              <w:left w:val="single" w:sz="4" w:space="0" w:color="000000"/>
              <w:bottom w:val="single" w:sz="4" w:space="0" w:color="000000"/>
              <w:right w:val="single" w:sz="4" w:space="0" w:color="000000"/>
            </w:tcBorders>
            <w:shd w:val="clear" w:color="auto" w:fill="FFC000"/>
            <w:vAlign w:val="center"/>
          </w:tcPr>
          <w:p w14:paraId="308DB912" w14:textId="77777777" w:rsidR="00FF1E38" w:rsidRPr="00FF1E38" w:rsidRDefault="00FF1E38" w:rsidP="00FF1E38">
            <w:pPr>
              <w:spacing w:after="0" w:line="240" w:lineRule="auto"/>
              <w:ind w:left="0" w:right="0" w:firstLine="0"/>
              <w:jc w:val="center"/>
              <w:rPr>
                <w:rFonts w:ascii="Times New Roman" w:hAnsi="Times New Roman" w:cs="Times New Roman"/>
                <w:b/>
              </w:rPr>
            </w:pPr>
            <w:r w:rsidRPr="00FF1E38">
              <w:rPr>
                <w:rFonts w:ascii="Times New Roman" w:hAnsi="Times New Roman" w:cs="Times New Roman"/>
                <w:b/>
              </w:rPr>
              <w:t>GRADSKE</w:t>
            </w:r>
          </w:p>
          <w:p w14:paraId="4801C16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ČETVRTI</w:t>
            </w:r>
          </w:p>
        </w:tc>
        <w:tc>
          <w:tcPr>
            <w:tcW w:w="1361" w:type="dxa"/>
            <w:vMerge w:val="restart"/>
            <w:tcBorders>
              <w:top w:val="single" w:sz="4" w:space="0" w:color="000000"/>
              <w:left w:val="single" w:sz="4" w:space="0" w:color="000000"/>
              <w:bottom w:val="single" w:sz="4" w:space="0" w:color="000000"/>
              <w:right w:val="single" w:sz="4" w:space="0" w:color="000000"/>
            </w:tcBorders>
            <w:shd w:val="clear" w:color="auto" w:fill="FFC000"/>
            <w:vAlign w:val="center"/>
          </w:tcPr>
          <w:p w14:paraId="066477E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BROJ OBJEKATA</w:t>
            </w:r>
          </w:p>
        </w:tc>
        <w:tc>
          <w:tcPr>
            <w:tcW w:w="1021" w:type="dxa"/>
            <w:gridSpan w:val="5"/>
            <w:tcBorders>
              <w:top w:val="single" w:sz="4" w:space="0" w:color="000000"/>
              <w:left w:val="single" w:sz="4" w:space="0" w:color="000000"/>
              <w:bottom w:val="single" w:sz="4" w:space="0" w:color="000000"/>
              <w:right w:val="single" w:sz="4" w:space="0" w:color="000000"/>
            </w:tcBorders>
            <w:shd w:val="clear" w:color="auto" w:fill="FFC000"/>
            <w:vAlign w:val="center"/>
          </w:tcPr>
          <w:p w14:paraId="5758FF0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STUPANJ OŠTEĆENJA za IX. stupanj MCS</w:t>
            </w:r>
          </w:p>
        </w:tc>
      </w:tr>
      <w:tr w:rsidR="00FF1E38" w:rsidRPr="00FF1E38" w14:paraId="1512B2A9" w14:textId="77777777" w:rsidTr="00DE0C9A">
        <w:trPr>
          <w:cantSplit/>
          <w:tblHeader/>
        </w:trPr>
        <w:tc>
          <w:tcPr>
            <w:tcW w:w="397" w:type="dxa"/>
            <w:vMerge/>
            <w:tcBorders>
              <w:top w:val="nil"/>
              <w:left w:val="single" w:sz="4" w:space="0" w:color="000000"/>
              <w:bottom w:val="nil"/>
              <w:right w:val="single" w:sz="4" w:space="0" w:color="000000"/>
            </w:tcBorders>
            <w:vAlign w:val="center"/>
          </w:tcPr>
          <w:p w14:paraId="133135E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325" w:type="dxa"/>
            <w:vMerge/>
            <w:tcBorders>
              <w:top w:val="nil"/>
              <w:left w:val="single" w:sz="4" w:space="0" w:color="000000"/>
              <w:bottom w:val="nil"/>
              <w:right w:val="single" w:sz="4" w:space="0" w:color="000000"/>
            </w:tcBorders>
            <w:vAlign w:val="center"/>
          </w:tcPr>
          <w:p w14:paraId="61ED37CE"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361" w:type="dxa"/>
            <w:vMerge/>
            <w:tcBorders>
              <w:top w:val="nil"/>
              <w:left w:val="single" w:sz="4" w:space="0" w:color="000000"/>
              <w:bottom w:val="nil"/>
              <w:right w:val="single" w:sz="4" w:space="0" w:color="000000"/>
            </w:tcBorders>
            <w:vAlign w:val="center"/>
          </w:tcPr>
          <w:p w14:paraId="6482BAB7"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021"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0641F95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color w:val="FFFFFF"/>
              </w:rPr>
              <w:t>1.</w:t>
            </w:r>
          </w:p>
        </w:tc>
        <w:tc>
          <w:tcPr>
            <w:tcW w:w="102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C083A6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2.</w:t>
            </w:r>
          </w:p>
        </w:tc>
        <w:tc>
          <w:tcPr>
            <w:tcW w:w="102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2B6590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3.</w:t>
            </w:r>
          </w:p>
        </w:tc>
        <w:tc>
          <w:tcPr>
            <w:tcW w:w="1021"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3882AE9F"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b/>
                <w:color w:val="FFFFFF"/>
              </w:rPr>
              <w:t>4.</w:t>
            </w:r>
          </w:p>
        </w:tc>
        <w:tc>
          <w:tcPr>
            <w:tcW w:w="1021"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0871E960"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b/>
                <w:color w:val="FFFFFF"/>
              </w:rPr>
              <w:t>5.</w:t>
            </w:r>
          </w:p>
        </w:tc>
      </w:tr>
      <w:tr w:rsidR="00FF1E38" w:rsidRPr="00FF1E38" w14:paraId="7246988C" w14:textId="77777777" w:rsidTr="00DE0C9A">
        <w:trPr>
          <w:cantSplit/>
          <w:tblHeader/>
        </w:trPr>
        <w:tc>
          <w:tcPr>
            <w:tcW w:w="397" w:type="dxa"/>
            <w:vMerge/>
            <w:tcBorders>
              <w:top w:val="nil"/>
              <w:left w:val="single" w:sz="4" w:space="0" w:color="000000"/>
              <w:bottom w:val="single" w:sz="4" w:space="0" w:color="000000"/>
              <w:right w:val="single" w:sz="4" w:space="0" w:color="000000"/>
            </w:tcBorders>
            <w:vAlign w:val="center"/>
          </w:tcPr>
          <w:p w14:paraId="095CCC5F"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325" w:type="dxa"/>
            <w:vMerge/>
            <w:tcBorders>
              <w:top w:val="nil"/>
              <w:left w:val="single" w:sz="4" w:space="0" w:color="000000"/>
              <w:bottom w:val="single" w:sz="4" w:space="0" w:color="000000"/>
              <w:right w:val="single" w:sz="4" w:space="0" w:color="000000"/>
            </w:tcBorders>
            <w:vAlign w:val="center"/>
          </w:tcPr>
          <w:p w14:paraId="48191D39"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361" w:type="dxa"/>
            <w:vMerge/>
            <w:tcBorders>
              <w:top w:val="nil"/>
              <w:left w:val="single" w:sz="4" w:space="0" w:color="000000"/>
              <w:bottom w:val="single" w:sz="4" w:space="0" w:color="000000"/>
              <w:right w:val="single" w:sz="4" w:space="0" w:color="000000"/>
            </w:tcBorders>
            <w:vAlign w:val="center"/>
          </w:tcPr>
          <w:p w14:paraId="0682DCD7"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021" w:type="dxa"/>
            <w:tcBorders>
              <w:top w:val="single" w:sz="4" w:space="0" w:color="000000"/>
              <w:left w:val="single" w:sz="4" w:space="0" w:color="000000"/>
              <w:bottom w:val="single" w:sz="4" w:space="0" w:color="000000"/>
              <w:right w:val="single" w:sz="4" w:space="0" w:color="000000"/>
            </w:tcBorders>
            <w:vAlign w:val="center"/>
          </w:tcPr>
          <w:p w14:paraId="655EE25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lagana</w:t>
            </w:r>
          </w:p>
        </w:tc>
        <w:tc>
          <w:tcPr>
            <w:tcW w:w="1021" w:type="dxa"/>
            <w:tcBorders>
              <w:top w:val="single" w:sz="4" w:space="0" w:color="000000"/>
              <w:left w:val="single" w:sz="4" w:space="0" w:color="000000"/>
              <w:bottom w:val="single" w:sz="4" w:space="0" w:color="000000"/>
              <w:right w:val="single" w:sz="4" w:space="0" w:color="000000"/>
            </w:tcBorders>
            <w:vAlign w:val="center"/>
          </w:tcPr>
          <w:p w14:paraId="041F2E2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umjerena</w:t>
            </w:r>
          </w:p>
        </w:tc>
        <w:tc>
          <w:tcPr>
            <w:tcW w:w="1021" w:type="dxa"/>
            <w:tcBorders>
              <w:top w:val="single" w:sz="4" w:space="0" w:color="000000"/>
              <w:left w:val="single" w:sz="4" w:space="0" w:color="000000"/>
              <w:bottom w:val="single" w:sz="4" w:space="0" w:color="000000"/>
              <w:right w:val="single" w:sz="4" w:space="0" w:color="000000"/>
            </w:tcBorders>
            <w:vAlign w:val="center"/>
          </w:tcPr>
          <w:p w14:paraId="3B3B621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teška</w:t>
            </w:r>
          </w:p>
        </w:tc>
        <w:tc>
          <w:tcPr>
            <w:tcW w:w="1021" w:type="dxa"/>
            <w:tcBorders>
              <w:top w:val="single" w:sz="4" w:space="0" w:color="000000"/>
              <w:left w:val="single" w:sz="4" w:space="0" w:color="000000"/>
              <w:bottom w:val="single" w:sz="4" w:space="0" w:color="000000"/>
              <w:right w:val="single" w:sz="4" w:space="0" w:color="000000"/>
            </w:tcBorders>
            <w:vAlign w:val="center"/>
          </w:tcPr>
          <w:p w14:paraId="702FF6B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razorna</w:t>
            </w:r>
          </w:p>
        </w:tc>
        <w:tc>
          <w:tcPr>
            <w:tcW w:w="1021" w:type="dxa"/>
            <w:tcBorders>
              <w:top w:val="single" w:sz="4" w:space="0" w:color="000000"/>
              <w:left w:val="single" w:sz="4" w:space="0" w:color="000000"/>
              <w:bottom w:val="single" w:sz="4" w:space="0" w:color="000000"/>
              <w:right w:val="single" w:sz="4" w:space="0" w:color="000000"/>
            </w:tcBorders>
            <w:vAlign w:val="center"/>
          </w:tcPr>
          <w:p w14:paraId="7B18677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rušenje</w:t>
            </w:r>
          </w:p>
        </w:tc>
      </w:tr>
      <w:tr w:rsidR="00FF1E38" w:rsidRPr="00FF1E38" w14:paraId="1CD294C2"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19571BF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 xml:space="preserve">1. </w:t>
            </w:r>
          </w:p>
        </w:tc>
        <w:tc>
          <w:tcPr>
            <w:tcW w:w="2325" w:type="dxa"/>
            <w:tcBorders>
              <w:top w:val="single" w:sz="4" w:space="0" w:color="000000"/>
              <w:left w:val="single" w:sz="4" w:space="0" w:color="000000"/>
              <w:bottom w:val="single" w:sz="4" w:space="0" w:color="000000"/>
              <w:right w:val="single" w:sz="4" w:space="0" w:color="000000"/>
            </w:tcBorders>
          </w:tcPr>
          <w:p w14:paraId="3DD9666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 xml:space="preserve">Brezovica </w:t>
            </w:r>
          </w:p>
        </w:tc>
        <w:tc>
          <w:tcPr>
            <w:tcW w:w="1361" w:type="dxa"/>
            <w:tcBorders>
              <w:top w:val="single" w:sz="4" w:space="0" w:color="000000"/>
              <w:left w:val="single" w:sz="4" w:space="0" w:color="000000"/>
              <w:bottom w:val="single" w:sz="4" w:space="0" w:color="000000"/>
              <w:right w:val="single" w:sz="4" w:space="0" w:color="000000"/>
            </w:tcBorders>
            <w:vAlign w:val="center"/>
          </w:tcPr>
          <w:p w14:paraId="5839EDF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3.944</w:t>
            </w:r>
          </w:p>
        </w:tc>
        <w:tc>
          <w:tcPr>
            <w:tcW w:w="1021" w:type="dxa"/>
            <w:tcBorders>
              <w:top w:val="single" w:sz="4" w:space="0" w:color="000000"/>
              <w:left w:val="single" w:sz="4" w:space="0" w:color="000000"/>
              <w:bottom w:val="single" w:sz="4" w:space="0" w:color="000000"/>
              <w:right w:val="single" w:sz="4" w:space="0" w:color="000000"/>
            </w:tcBorders>
            <w:vAlign w:val="center"/>
          </w:tcPr>
          <w:p w14:paraId="416BA65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907</w:t>
            </w:r>
          </w:p>
        </w:tc>
        <w:tc>
          <w:tcPr>
            <w:tcW w:w="1021" w:type="dxa"/>
            <w:tcBorders>
              <w:top w:val="single" w:sz="4" w:space="0" w:color="000000"/>
              <w:left w:val="single" w:sz="4" w:space="0" w:color="000000"/>
              <w:bottom w:val="single" w:sz="4" w:space="0" w:color="000000"/>
              <w:right w:val="single" w:sz="4" w:space="0" w:color="000000"/>
            </w:tcBorders>
            <w:vAlign w:val="center"/>
          </w:tcPr>
          <w:p w14:paraId="59D9A15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789</w:t>
            </w:r>
          </w:p>
        </w:tc>
        <w:tc>
          <w:tcPr>
            <w:tcW w:w="1021" w:type="dxa"/>
            <w:tcBorders>
              <w:top w:val="single" w:sz="4" w:space="0" w:color="000000"/>
              <w:left w:val="single" w:sz="4" w:space="0" w:color="000000"/>
              <w:bottom w:val="single" w:sz="4" w:space="0" w:color="000000"/>
              <w:right w:val="single" w:sz="4" w:space="0" w:color="000000"/>
            </w:tcBorders>
            <w:vAlign w:val="center"/>
          </w:tcPr>
          <w:p w14:paraId="0D0E530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572</w:t>
            </w:r>
          </w:p>
        </w:tc>
        <w:tc>
          <w:tcPr>
            <w:tcW w:w="1021" w:type="dxa"/>
            <w:tcBorders>
              <w:top w:val="single" w:sz="4" w:space="0" w:color="000000"/>
              <w:left w:val="single" w:sz="4" w:space="0" w:color="000000"/>
              <w:bottom w:val="single" w:sz="4" w:space="0" w:color="000000"/>
              <w:right w:val="single" w:sz="4" w:space="0" w:color="000000"/>
            </w:tcBorders>
            <w:vAlign w:val="center"/>
          </w:tcPr>
          <w:p w14:paraId="7993182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55</w:t>
            </w:r>
          </w:p>
        </w:tc>
        <w:tc>
          <w:tcPr>
            <w:tcW w:w="1021" w:type="dxa"/>
            <w:tcBorders>
              <w:top w:val="single" w:sz="4" w:space="0" w:color="000000"/>
              <w:left w:val="single" w:sz="4" w:space="0" w:color="000000"/>
              <w:bottom w:val="single" w:sz="4" w:space="0" w:color="000000"/>
              <w:right w:val="single" w:sz="4" w:space="0" w:color="000000"/>
            </w:tcBorders>
            <w:vAlign w:val="center"/>
          </w:tcPr>
          <w:p w14:paraId="1B12018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27</w:t>
            </w:r>
          </w:p>
        </w:tc>
      </w:tr>
      <w:tr w:rsidR="00FF1E38" w:rsidRPr="00FF1E38" w14:paraId="09551D3E"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55A186B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 xml:space="preserve">2. </w:t>
            </w:r>
          </w:p>
        </w:tc>
        <w:tc>
          <w:tcPr>
            <w:tcW w:w="2325" w:type="dxa"/>
            <w:tcBorders>
              <w:top w:val="single" w:sz="4" w:space="0" w:color="000000"/>
              <w:left w:val="single" w:sz="4" w:space="0" w:color="000000"/>
              <w:bottom w:val="single" w:sz="4" w:space="0" w:color="000000"/>
              <w:right w:val="single" w:sz="4" w:space="0" w:color="000000"/>
            </w:tcBorders>
          </w:tcPr>
          <w:p w14:paraId="30BA8CE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 xml:space="preserve">Črnomerec </w:t>
            </w:r>
          </w:p>
        </w:tc>
        <w:tc>
          <w:tcPr>
            <w:tcW w:w="1361" w:type="dxa"/>
            <w:tcBorders>
              <w:top w:val="single" w:sz="4" w:space="0" w:color="000000"/>
              <w:left w:val="single" w:sz="4" w:space="0" w:color="000000"/>
              <w:bottom w:val="single" w:sz="4" w:space="0" w:color="000000"/>
              <w:right w:val="single" w:sz="4" w:space="0" w:color="000000"/>
            </w:tcBorders>
            <w:vAlign w:val="center"/>
          </w:tcPr>
          <w:p w14:paraId="7FBB382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16.341</w:t>
            </w:r>
          </w:p>
        </w:tc>
        <w:tc>
          <w:tcPr>
            <w:tcW w:w="1021" w:type="dxa"/>
            <w:tcBorders>
              <w:top w:val="single" w:sz="4" w:space="0" w:color="000000"/>
              <w:left w:val="single" w:sz="4" w:space="0" w:color="000000"/>
              <w:bottom w:val="single" w:sz="4" w:space="0" w:color="000000"/>
              <w:right w:val="single" w:sz="4" w:space="0" w:color="000000"/>
            </w:tcBorders>
            <w:vAlign w:val="center"/>
          </w:tcPr>
          <w:p w14:paraId="4C6614A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3.758</w:t>
            </w:r>
          </w:p>
        </w:tc>
        <w:tc>
          <w:tcPr>
            <w:tcW w:w="1021" w:type="dxa"/>
            <w:tcBorders>
              <w:top w:val="single" w:sz="4" w:space="0" w:color="000000"/>
              <w:left w:val="single" w:sz="4" w:space="0" w:color="000000"/>
              <w:bottom w:val="single" w:sz="4" w:space="0" w:color="000000"/>
              <w:right w:val="single" w:sz="4" w:space="0" w:color="000000"/>
            </w:tcBorders>
            <w:vAlign w:val="center"/>
          </w:tcPr>
          <w:p w14:paraId="0332EE1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3.268</w:t>
            </w:r>
          </w:p>
        </w:tc>
        <w:tc>
          <w:tcPr>
            <w:tcW w:w="1021" w:type="dxa"/>
            <w:tcBorders>
              <w:top w:val="single" w:sz="4" w:space="0" w:color="000000"/>
              <w:left w:val="single" w:sz="4" w:space="0" w:color="000000"/>
              <w:bottom w:val="single" w:sz="4" w:space="0" w:color="000000"/>
              <w:right w:val="single" w:sz="4" w:space="0" w:color="000000"/>
            </w:tcBorders>
            <w:vAlign w:val="center"/>
          </w:tcPr>
          <w:p w14:paraId="53E57EC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2.369</w:t>
            </w:r>
          </w:p>
        </w:tc>
        <w:tc>
          <w:tcPr>
            <w:tcW w:w="1021" w:type="dxa"/>
            <w:tcBorders>
              <w:top w:val="single" w:sz="4" w:space="0" w:color="000000"/>
              <w:left w:val="single" w:sz="4" w:space="0" w:color="000000"/>
              <w:bottom w:val="single" w:sz="4" w:space="0" w:color="000000"/>
              <w:right w:val="single" w:sz="4" w:space="0" w:color="000000"/>
            </w:tcBorders>
            <w:vAlign w:val="center"/>
          </w:tcPr>
          <w:p w14:paraId="263DE45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229</w:t>
            </w:r>
          </w:p>
        </w:tc>
        <w:tc>
          <w:tcPr>
            <w:tcW w:w="1021" w:type="dxa"/>
            <w:tcBorders>
              <w:top w:val="single" w:sz="4" w:space="0" w:color="000000"/>
              <w:left w:val="single" w:sz="4" w:space="0" w:color="000000"/>
              <w:bottom w:val="single" w:sz="4" w:space="0" w:color="000000"/>
              <w:right w:val="single" w:sz="4" w:space="0" w:color="000000"/>
            </w:tcBorders>
            <w:vAlign w:val="center"/>
          </w:tcPr>
          <w:p w14:paraId="2F6D25E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111</w:t>
            </w:r>
          </w:p>
        </w:tc>
      </w:tr>
      <w:tr w:rsidR="00FF1E38" w:rsidRPr="00FF1E38" w14:paraId="3B06D7E9"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214F77B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 xml:space="preserve">3. </w:t>
            </w:r>
          </w:p>
        </w:tc>
        <w:tc>
          <w:tcPr>
            <w:tcW w:w="2325" w:type="dxa"/>
            <w:tcBorders>
              <w:top w:val="single" w:sz="4" w:space="0" w:color="000000"/>
              <w:left w:val="single" w:sz="4" w:space="0" w:color="000000"/>
              <w:bottom w:val="single" w:sz="4" w:space="0" w:color="000000"/>
              <w:right w:val="single" w:sz="4" w:space="0" w:color="000000"/>
            </w:tcBorders>
          </w:tcPr>
          <w:p w14:paraId="00B0770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Donja Dubrava</w:t>
            </w:r>
          </w:p>
        </w:tc>
        <w:tc>
          <w:tcPr>
            <w:tcW w:w="1361" w:type="dxa"/>
            <w:tcBorders>
              <w:top w:val="single" w:sz="4" w:space="0" w:color="000000"/>
              <w:left w:val="single" w:sz="4" w:space="0" w:color="000000"/>
              <w:bottom w:val="single" w:sz="4" w:space="0" w:color="000000"/>
              <w:right w:val="single" w:sz="4" w:space="0" w:color="000000"/>
            </w:tcBorders>
            <w:vAlign w:val="center"/>
          </w:tcPr>
          <w:p w14:paraId="0CD42A2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12.172</w:t>
            </w:r>
          </w:p>
        </w:tc>
        <w:tc>
          <w:tcPr>
            <w:tcW w:w="1021" w:type="dxa"/>
            <w:tcBorders>
              <w:top w:val="single" w:sz="4" w:space="0" w:color="000000"/>
              <w:left w:val="single" w:sz="4" w:space="0" w:color="000000"/>
              <w:bottom w:val="single" w:sz="4" w:space="0" w:color="000000"/>
              <w:right w:val="single" w:sz="4" w:space="0" w:color="000000"/>
            </w:tcBorders>
            <w:vAlign w:val="center"/>
          </w:tcPr>
          <w:p w14:paraId="4262F53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2.800</w:t>
            </w:r>
          </w:p>
        </w:tc>
        <w:tc>
          <w:tcPr>
            <w:tcW w:w="1021" w:type="dxa"/>
            <w:tcBorders>
              <w:top w:val="single" w:sz="4" w:space="0" w:color="000000"/>
              <w:left w:val="single" w:sz="4" w:space="0" w:color="000000"/>
              <w:bottom w:val="single" w:sz="4" w:space="0" w:color="000000"/>
              <w:right w:val="single" w:sz="4" w:space="0" w:color="000000"/>
            </w:tcBorders>
            <w:vAlign w:val="center"/>
          </w:tcPr>
          <w:p w14:paraId="6966F1E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2.434</w:t>
            </w:r>
          </w:p>
        </w:tc>
        <w:tc>
          <w:tcPr>
            <w:tcW w:w="1021" w:type="dxa"/>
            <w:tcBorders>
              <w:top w:val="single" w:sz="4" w:space="0" w:color="000000"/>
              <w:left w:val="single" w:sz="4" w:space="0" w:color="000000"/>
              <w:bottom w:val="single" w:sz="4" w:space="0" w:color="000000"/>
              <w:right w:val="single" w:sz="4" w:space="0" w:color="000000"/>
            </w:tcBorders>
            <w:vAlign w:val="center"/>
          </w:tcPr>
          <w:p w14:paraId="2D5BDB4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1.765</w:t>
            </w:r>
          </w:p>
        </w:tc>
        <w:tc>
          <w:tcPr>
            <w:tcW w:w="1021" w:type="dxa"/>
            <w:tcBorders>
              <w:top w:val="single" w:sz="4" w:space="0" w:color="000000"/>
              <w:left w:val="single" w:sz="4" w:space="0" w:color="000000"/>
              <w:bottom w:val="single" w:sz="4" w:space="0" w:color="000000"/>
              <w:right w:val="single" w:sz="4" w:space="0" w:color="000000"/>
            </w:tcBorders>
            <w:vAlign w:val="center"/>
          </w:tcPr>
          <w:p w14:paraId="37F805E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170</w:t>
            </w:r>
          </w:p>
        </w:tc>
        <w:tc>
          <w:tcPr>
            <w:tcW w:w="1021" w:type="dxa"/>
            <w:tcBorders>
              <w:top w:val="single" w:sz="4" w:space="0" w:color="000000"/>
              <w:left w:val="single" w:sz="4" w:space="0" w:color="000000"/>
              <w:bottom w:val="single" w:sz="4" w:space="0" w:color="000000"/>
              <w:right w:val="single" w:sz="4" w:space="0" w:color="000000"/>
            </w:tcBorders>
            <w:vAlign w:val="center"/>
          </w:tcPr>
          <w:p w14:paraId="4106C02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83</w:t>
            </w:r>
          </w:p>
        </w:tc>
      </w:tr>
      <w:tr w:rsidR="00FF1E38" w:rsidRPr="00FF1E38" w14:paraId="2D397636"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1095D88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 xml:space="preserve">4. </w:t>
            </w:r>
          </w:p>
        </w:tc>
        <w:tc>
          <w:tcPr>
            <w:tcW w:w="2325" w:type="dxa"/>
            <w:tcBorders>
              <w:top w:val="single" w:sz="4" w:space="0" w:color="000000"/>
              <w:left w:val="single" w:sz="4" w:space="0" w:color="000000"/>
              <w:bottom w:val="single" w:sz="4" w:space="0" w:color="000000"/>
              <w:right w:val="single" w:sz="4" w:space="0" w:color="000000"/>
            </w:tcBorders>
          </w:tcPr>
          <w:p w14:paraId="5FA015B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 xml:space="preserve">Donji grad </w:t>
            </w:r>
          </w:p>
        </w:tc>
        <w:tc>
          <w:tcPr>
            <w:tcW w:w="1361" w:type="dxa"/>
            <w:tcBorders>
              <w:top w:val="single" w:sz="4" w:space="0" w:color="000000"/>
              <w:left w:val="single" w:sz="4" w:space="0" w:color="000000"/>
              <w:bottom w:val="single" w:sz="4" w:space="0" w:color="000000"/>
              <w:right w:val="single" w:sz="4" w:space="0" w:color="000000"/>
            </w:tcBorders>
            <w:vAlign w:val="center"/>
          </w:tcPr>
          <w:p w14:paraId="1B6F196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21.548</w:t>
            </w:r>
          </w:p>
        </w:tc>
        <w:tc>
          <w:tcPr>
            <w:tcW w:w="1021" w:type="dxa"/>
            <w:tcBorders>
              <w:top w:val="single" w:sz="4" w:space="0" w:color="000000"/>
              <w:left w:val="single" w:sz="4" w:space="0" w:color="000000"/>
              <w:bottom w:val="single" w:sz="4" w:space="0" w:color="000000"/>
              <w:right w:val="single" w:sz="4" w:space="0" w:color="000000"/>
            </w:tcBorders>
            <w:vAlign w:val="center"/>
          </w:tcPr>
          <w:p w14:paraId="102E562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4.956</w:t>
            </w:r>
          </w:p>
        </w:tc>
        <w:tc>
          <w:tcPr>
            <w:tcW w:w="1021" w:type="dxa"/>
            <w:tcBorders>
              <w:top w:val="single" w:sz="4" w:space="0" w:color="000000"/>
              <w:left w:val="single" w:sz="4" w:space="0" w:color="000000"/>
              <w:bottom w:val="single" w:sz="4" w:space="0" w:color="000000"/>
              <w:right w:val="single" w:sz="4" w:space="0" w:color="000000"/>
            </w:tcBorders>
            <w:vAlign w:val="center"/>
          </w:tcPr>
          <w:p w14:paraId="5CAC699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4.310</w:t>
            </w:r>
          </w:p>
        </w:tc>
        <w:tc>
          <w:tcPr>
            <w:tcW w:w="1021" w:type="dxa"/>
            <w:tcBorders>
              <w:top w:val="single" w:sz="4" w:space="0" w:color="000000"/>
              <w:left w:val="single" w:sz="4" w:space="0" w:color="000000"/>
              <w:bottom w:val="single" w:sz="4" w:space="0" w:color="000000"/>
              <w:right w:val="single" w:sz="4" w:space="0" w:color="000000"/>
            </w:tcBorders>
            <w:vAlign w:val="center"/>
          </w:tcPr>
          <w:p w14:paraId="5D5C9C8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3.124</w:t>
            </w:r>
          </w:p>
        </w:tc>
        <w:tc>
          <w:tcPr>
            <w:tcW w:w="1021" w:type="dxa"/>
            <w:tcBorders>
              <w:top w:val="single" w:sz="4" w:space="0" w:color="000000"/>
              <w:left w:val="single" w:sz="4" w:space="0" w:color="000000"/>
              <w:bottom w:val="single" w:sz="4" w:space="0" w:color="000000"/>
              <w:right w:val="single" w:sz="4" w:space="0" w:color="000000"/>
            </w:tcBorders>
            <w:vAlign w:val="center"/>
          </w:tcPr>
          <w:p w14:paraId="44ECCCF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302</w:t>
            </w:r>
          </w:p>
        </w:tc>
        <w:tc>
          <w:tcPr>
            <w:tcW w:w="1021" w:type="dxa"/>
            <w:tcBorders>
              <w:top w:val="single" w:sz="4" w:space="0" w:color="000000"/>
              <w:left w:val="single" w:sz="4" w:space="0" w:color="000000"/>
              <w:bottom w:val="single" w:sz="4" w:space="0" w:color="000000"/>
              <w:right w:val="single" w:sz="4" w:space="0" w:color="000000"/>
            </w:tcBorders>
            <w:vAlign w:val="center"/>
          </w:tcPr>
          <w:p w14:paraId="4B80F4B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147</w:t>
            </w:r>
          </w:p>
        </w:tc>
      </w:tr>
      <w:tr w:rsidR="00FF1E38" w:rsidRPr="00FF1E38" w14:paraId="2657FA83"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1078CC0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 xml:space="preserve">5. </w:t>
            </w:r>
          </w:p>
        </w:tc>
        <w:tc>
          <w:tcPr>
            <w:tcW w:w="2325" w:type="dxa"/>
            <w:tcBorders>
              <w:top w:val="single" w:sz="4" w:space="0" w:color="000000"/>
              <w:left w:val="single" w:sz="4" w:space="0" w:color="000000"/>
              <w:bottom w:val="single" w:sz="4" w:space="0" w:color="000000"/>
              <w:right w:val="single" w:sz="4" w:space="0" w:color="000000"/>
            </w:tcBorders>
          </w:tcPr>
          <w:p w14:paraId="0537532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 xml:space="preserve">Gornja Dubrava </w:t>
            </w:r>
          </w:p>
        </w:tc>
        <w:tc>
          <w:tcPr>
            <w:tcW w:w="1361" w:type="dxa"/>
            <w:tcBorders>
              <w:top w:val="single" w:sz="4" w:space="0" w:color="000000"/>
              <w:left w:val="single" w:sz="4" w:space="0" w:color="000000"/>
              <w:bottom w:val="single" w:sz="4" w:space="0" w:color="000000"/>
              <w:right w:val="single" w:sz="4" w:space="0" w:color="000000"/>
            </w:tcBorders>
            <w:vAlign w:val="center"/>
          </w:tcPr>
          <w:p w14:paraId="367CC9C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23.206</w:t>
            </w:r>
          </w:p>
        </w:tc>
        <w:tc>
          <w:tcPr>
            <w:tcW w:w="1021" w:type="dxa"/>
            <w:tcBorders>
              <w:top w:val="single" w:sz="4" w:space="0" w:color="000000"/>
              <w:left w:val="single" w:sz="4" w:space="0" w:color="000000"/>
              <w:bottom w:val="single" w:sz="4" w:space="0" w:color="000000"/>
              <w:right w:val="single" w:sz="4" w:space="0" w:color="000000"/>
            </w:tcBorders>
            <w:vAlign w:val="center"/>
          </w:tcPr>
          <w:p w14:paraId="6C55478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5.337</w:t>
            </w:r>
          </w:p>
        </w:tc>
        <w:tc>
          <w:tcPr>
            <w:tcW w:w="1021" w:type="dxa"/>
            <w:tcBorders>
              <w:top w:val="single" w:sz="4" w:space="0" w:color="000000"/>
              <w:left w:val="single" w:sz="4" w:space="0" w:color="000000"/>
              <w:bottom w:val="single" w:sz="4" w:space="0" w:color="000000"/>
              <w:right w:val="single" w:sz="4" w:space="0" w:color="000000"/>
            </w:tcBorders>
            <w:vAlign w:val="center"/>
          </w:tcPr>
          <w:p w14:paraId="1EA70D3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4.641</w:t>
            </w:r>
          </w:p>
        </w:tc>
        <w:tc>
          <w:tcPr>
            <w:tcW w:w="1021" w:type="dxa"/>
            <w:tcBorders>
              <w:top w:val="single" w:sz="4" w:space="0" w:color="000000"/>
              <w:left w:val="single" w:sz="4" w:space="0" w:color="000000"/>
              <w:bottom w:val="single" w:sz="4" w:space="0" w:color="000000"/>
              <w:right w:val="single" w:sz="4" w:space="0" w:color="000000"/>
            </w:tcBorders>
            <w:vAlign w:val="center"/>
          </w:tcPr>
          <w:p w14:paraId="09B3EAB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3.365</w:t>
            </w:r>
          </w:p>
        </w:tc>
        <w:tc>
          <w:tcPr>
            <w:tcW w:w="1021" w:type="dxa"/>
            <w:tcBorders>
              <w:top w:val="single" w:sz="4" w:space="0" w:color="000000"/>
              <w:left w:val="single" w:sz="4" w:space="0" w:color="000000"/>
              <w:bottom w:val="single" w:sz="4" w:space="0" w:color="000000"/>
              <w:right w:val="single" w:sz="4" w:space="0" w:color="000000"/>
            </w:tcBorders>
            <w:vAlign w:val="center"/>
          </w:tcPr>
          <w:p w14:paraId="563FB37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325</w:t>
            </w:r>
          </w:p>
        </w:tc>
        <w:tc>
          <w:tcPr>
            <w:tcW w:w="1021" w:type="dxa"/>
            <w:tcBorders>
              <w:top w:val="single" w:sz="4" w:space="0" w:color="000000"/>
              <w:left w:val="single" w:sz="4" w:space="0" w:color="000000"/>
              <w:bottom w:val="single" w:sz="4" w:space="0" w:color="000000"/>
              <w:right w:val="single" w:sz="4" w:space="0" w:color="000000"/>
            </w:tcBorders>
            <w:vAlign w:val="center"/>
          </w:tcPr>
          <w:p w14:paraId="64D3A46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158</w:t>
            </w:r>
          </w:p>
        </w:tc>
      </w:tr>
      <w:tr w:rsidR="00FF1E38" w:rsidRPr="00FF1E38" w14:paraId="5FB7BC9F"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1832324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 xml:space="preserve">6. </w:t>
            </w:r>
          </w:p>
        </w:tc>
        <w:tc>
          <w:tcPr>
            <w:tcW w:w="2325" w:type="dxa"/>
            <w:tcBorders>
              <w:top w:val="single" w:sz="4" w:space="0" w:color="000000"/>
              <w:left w:val="single" w:sz="4" w:space="0" w:color="000000"/>
              <w:bottom w:val="single" w:sz="4" w:space="0" w:color="000000"/>
              <w:right w:val="single" w:sz="4" w:space="0" w:color="000000"/>
            </w:tcBorders>
          </w:tcPr>
          <w:p w14:paraId="58C0B57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 xml:space="preserve">Gornji grad - Medveščak </w:t>
            </w:r>
          </w:p>
        </w:tc>
        <w:tc>
          <w:tcPr>
            <w:tcW w:w="1361" w:type="dxa"/>
            <w:tcBorders>
              <w:top w:val="single" w:sz="4" w:space="0" w:color="000000"/>
              <w:left w:val="single" w:sz="4" w:space="0" w:color="000000"/>
              <w:bottom w:val="single" w:sz="4" w:space="0" w:color="000000"/>
              <w:right w:val="single" w:sz="4" w:space="0" w:color="000000"/>
            </w:tcBorders>
            <w:vAlign w:val="center"/>
          </w:tcPr>
          <w:p w14:paraId="73FDD1D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16.437</w:t>
            </w:r>
          </w:p>
        </w:tc>
        <w:tc>
          <w:tcPr>
            <w:tcW w:w="1021" w:type="dxa"/>
            <w:tcBorders>
              <w:top w:val="single" w:sz="4" w:space="0" w:color="000000"/>
              <w:left w:val="single" w:sz="4" w:space="0" w:color="000000"/>
              <w:bottom w:val="single" w:sz="4" w:space="0" w:color="000000"/>
              <w:right w:val="single" w:sz="4" w:space="0" w:color="000000"/>
            </w:tcBorders>
            <w:vAlign w:val="center"/>
          </w:tcPr>
          <w:p w14:paraId="6B67455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3.781</w:t>
            </w:r>
          </w:p>
        </w:tc>
        <w:tc>
          <w:tcPr>
            <w:tcW w:w="1021" w:type="dxa"/>
            <w:tcBorders>
              <w:top w:val="single" w:sz="4" w:space="0" w:color="000000"/>
              <w:left w:val="single" w:sz="4" w:space="0" w:color="000000"/>
              <w:bottom w:val="single" w:sz="4" w:space="0" w:color="000000"/>
              <w:right w:val="single" w:sz="4" w:space="0" w:color="000000"/>
            </w:tcBorders>
            <w:vAlign w:val="center"/>
          </w:tcPr>
          <w:p w14:paraId="73DC3C1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3.287</w:t>
            </w:r>
          </w:p>
        </w:tc>
        <w:tc>
          <w:tcPr>
            <w:tcW w:w="1021" w:type="dxa"/>
            <w:tcBorders>
              <w:top w:val="single" w:sz="4" w:space="0" w:color="000000"/>
              <w:left w:val="single" w:sz="4" w:space="0" w:color="000000"/>
              <w:bottom w:val="single" w:sz="4" w:space="0" w:color="000000"/>
              <w:right w:val="single" w:sz="4" w:space="0" w:color="000000"/>
            </w:tcBorders>
            <w:vAlign w:val="center"/>
          </w:tcPr>
          <w:p w14:paraId="62F98F8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2.383</w:t>
            </w:r>
          </w:p>
        </w:tc>
        <w:tc>
          <w:tcPr>
            <w:tcW w:w="1021" w:type="dxa"/>
            <w:tcBorders>
              <w:top w:val="single" w:sz="4" w:space="0" w:color="000000"/>
              <w:left w:val="single" w:sz="4" w:space="0" w:color="000000"/>
              <w:bottom w:val="single" w:sz="4" w:space="0" w:color="000000"/>
              <w:right w:val="single" w:sz="4" w:space="0" w:color="000000"/>
            </w:tcBorders>
            <w:vAlign w:val="center"/>
          </w:tcPr>
          <w:p w14:paraId="1B03F3C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230</w:t>
            </w:r>
          </w:p>
        </w:tc>
        <w:tc>
          <w:tcPr>
            <w:tcW w:w="1021" w:type="dxa"/>
            <w:tcBorders>
              <w:top w:val="single" w:sz="4" w:space="0" w:color="000000"/>
              <w:left w:val="single" w:sz="4" w:space="0" w:color="000000"/>
              <w:bottom w:val="single" w:sz="4" w:space="0" w:color="000000"/>
              <w:right w:val="single" w:sz="4" w:space="0" w:color="000000"/>
            </w:tcBorders>
            <w:vAlign w:val="center"/>
          </w:tcPr>
          <w:p w14:paraId="01ACDD7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112</w:t>
            </w:r>
          </w:p>
        </w:tc>
      </w:tr>
      <w:tr w:rsidR="00FF1E38" w:rsidRPr="00FF1E38" w14:paraId="0E8A1E4A"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26CBFCA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 xml:space="preserve">7. </w:t>
            </w:r>
          </w:p>
        </w:tc>
        <w:tc>
          <w:tcPr>
            <w:tcW w:w="2325" w:type="dxa"/>
            <w:tcBorders>
              <w:top w:val="single" w:sz="4" w:space="0" w:color="000000"/>
              <w:left w:val="single" w:sz="4" w:space="0" w:color="000000"/>
              <w:bottom w:val="single" w:sz="4" w:space="0" w:color="000000"/>
              <w:right w:val="single" w:sz="4" w:space="0" w:color="000000"/>
            </w:tcBorders>
          </w:tcPr>
          <w:p w14:paraId="7AA94C5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 xml:space="preserve">Maksimir </w:t>
            </w:r>
          </w:p>
        </w:tc>
        <w:tc>
          <w:tcPr>
            <w:tcW w:w="1361" w:type="dxa"/>
            <w:tcBorders>
              <w:top w:val="single" w:sz="4" w:space="0" w:color="000000"/>
              <w:left w:val="single" w:sz="4" w:space="0" w:color="000000"/>
              <w:bottom w:val="single" w:sz="4" w:space="0" w:color="000000"/>
              <w:right w:val="single" w:sz="4" w:space="0" w:color="000000"/>
            </w:tcBorders>
            <w:vAlign w:val="center"/>
          </w:tcPr>
          <w:p w14:paraId="4BE1A69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21.306</w:t>
            </w:r>
          </w:p>
        </w:tc>
        <w:tc>
          <w:tcPr>
            <w:tcW w:w="1021" w:type="dxa"/>
            <w:tcBorders>
              <w:top w:val="single" w:sz="4" w:space="0" w:color="000000"/>
              <w:left w:val="single" w:sz="4" w:space="0" w:color="000000"/>
              <w:bottom w:val="single" w:sz="4" w:space="0" w:color="000000"/>
              <w:right w:val="single" w:sz="4" w:space="0" w:color="000000"/>
            </w:tcBorders>
            <w:vAlign w:val="center"/>
          </w:tcPr>
          <w:p w14:paraId="2AC1406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4.900</w:t>
            </w:r>
          </w:p>
        </w:tc>
        <w:tc>
          <w:tcPr>
            <w:tcW w:w="1021" w:type="dxa"/>
            <w:tcBorders>
              <w:top w:val="single" w:sz="4" w:space="0" w:color="000000"/>
              <w:left w:val="single" w:sz="4" w:space="0" w:color="000000"/>
              <w:bottom w:val="single" w:sz="4" w:space="0" w:color="000000"/>
              <w:right w:val="single" w:sz="4" w:space="0" w:color="000000"/>
            </w:tcBorders>
            <w:vAlign w:val="center"/>
          </w:tcPr>
          <w:p w14:paraId="52D197A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4.261</w:t>
            </w:r>
          </w:p>
        </w:tc>
        <w:tc>
          <w:tcPr>
            <w:tcW w:w="1021" w:type="dxa"/>
            <w:tcBorders>
              <w:top w:val="single" w:sz="4" w:space="0" w:color="000000"/>
              <w:left w:val="single" w:sz="4" w:space="0" w:color="000000"/>
              <w:bottom w:val="single" w:sz="4" w:space="0" w:color="000000"/>
              <w:right w:val="single" w:sz="4" w:space="0" w:color="000000"/>
            </w:tcBorders>
            <w:vAlign w:val="center"/>
          </w:tcPr>
          <w:p w14:paraId="4DB487E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3.089</w:t>
            </w:r>
          </w:p>
        </w:tc>
        <w:tc>
          <w:tcPr>
            <w:tcW w:w="1021" w:type="dxa"/>
            <w:tcBorders>
              <w:top w:val="single" w:sz="4" w:space="0" w:color="000000"/>
              <w:left w:val="single" w:sz="4" w:space="0" w:color="000000"/>
              <w:bottom w:val="single" w:sz="4" w:space="0" w:color="000000"/>
              <w:right w:val="single" w:sz="4" w:space="0" w:color="000000"/>
            </w:tcBorders>
            <w:vAlign w:val="center"/>
          </w:tcPr>
          <w:p w14:paraId="21CEDB1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298</w:t>
            </w:r>
          </w:p>
        </w:tc>
        <w:tc>
          <w:tcPr>
            <w:tcW w:w="1021" w:type="dxa"/>
            <w:tcBorders>
              <w:top w:val="single" w:sz="4" w:space="0" w:color="000000"/>
              <w:left w:val="single" w:sz="4" w:space="0" w:color="000000"/>
              <w:bottom w:val="single" w:sz="4" w:space="0" w:color="000000"/>
              <w:right w:val="single" w:sz="4" w:space="0" w:color="000000"/>
            </w:tcBorders>
            <w:vAlign w:val="center"/>
          </w:tcPr>
          <w:p w14:paraId="17B825A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145</w:t>
            </w:r>
          </w:p>
        </w:tc>
      </w:tr>
      <w:tr w:rsidR="00FF1E38" w:rsidRPr="00FF1E38" w14:paraId="11B9143C"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63B8B87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 xml:space="preserve">8. </w:t>
            </w:r>
          </w:p>
        </w:tc>
        <w:tc>
          <w:tcPr>
            <w:tcW w:w="2325" w:type="dxa"/>
            <w:tcBorders>
              <w:top w:val="single" w:sz="4" w:space="0" w:color="000000"/>
              <w:left w:val="single" w:sz="4" w:space="0" w:color="000000"/>
              <w:bottom w:val="single" w:sz="4" w:space="0" w:color="000000"/>
              <w:right w:val="single" w:sz="4" w:space="0" w:color="000000"/>
            </w:tcBorders>
          </w:tcPr>
          <w:p w14:paraId="4088FD2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 xml:space="preserve">Novi Zagreb - istok </w:t>
            </w:r>
          </w:p>
        </w:tc>
        <w:tc>
          <w:tcPr>
            <w:tcW w:w="1361" w:type="dxa"/>
            <w:tcBorders>
              <w:top w:val="single" w:sz="4" w:space="0" w:color="000000"/>
              <w:left w:val="single" w:sz="4" w:space="0" w:color="000000"/>
              <w:bottom w:val="single" w:sz="4" w:space="0" w:color="000000"/>
              <w:right w:val="single" w:sz="4" w:space="0" w:color="000000"/>
            </w:tcBorders>
            <w:vAlign w:val="center"/>
          </w:tcPr>
          <w:p w14:paraId="62639D4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25.977</w:t>
            </w:r>
          </w:p>
        </w:tc>
        <w:tc>
          <w:tcPr>
            <w:tcW w:w="1021" w:type="dxa"/>
            <w:tcBorders>
              <w:top w:val="single" w:sz="4" w:space="0" w:color="000000"/>
              <w:left w:val="single" w:sz="4" w:space="0" w:color="000000"/>
              <w:bottom w:val="single" w:sz="4" w:space="0" w:color="000000"/>
              <w:right w:val="single" w:sz="4" w:space="0" w:color="000000"/>
            </w:tcBorders>
            <w:vAlign w:val="center"/>
          </w:tcPr>
          <w:p w14:paraId="2296634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5.975</w:t>
            </w:r>
          </w:p>
        </w:tc>
        <w:tc>
          <w:tcPr>
            <w:tcW w:w="1021" w:type="dxa"/>
            <w:tcBorders>
              <w:top w:val="single" w:sz="4" w:space="0" w:color="000000"/>
              <w:left w:val="single" w:sz="4" w:space="0" w:color="000000"/>
              <w:bottom w:val="single" w:sz="4" w:space="0" w:color="000000"/>
              <w:right w:val="single" w:sz="4" w:space="0" w:color="000000"/>
            </w:tcBorders>
            <w:vAlign w:val="center"/>
          </w:tcPr>
          <w:p w14:paraId="7E6C29A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5.195</w:t>
            </w:r>
          </w:p>
        </w:tc>
        <w:tc>
          <w:tcPr>
            <w:tcW w:w="1021" w:type="dxa"/>
            <w:tcBorders>
              <w:top w:val="single" w:sz="4" w:space="0" w:color="000000"/>
              <w:left w:val="single" w:sz="4" w:space="0" w:color="000000"/>
              <w:bottom w:val="single" w:sz="4" w:space="0" w:color="000000"/>
              <w:right w:val="single" w:sz="4" w:space="0" w:color="000000"/>
            </w:tcBorders>
            <w:vAlign w:val="center"/>
          </w:tcPr>
          <w:p w14:paraId="1687041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3.767</w:t>
            </w:r>
          </w:p>
        </w:tc>
        <w:tc>
          <w:tcPr>
            <w:tcW w:w="1021" w:type="dxa"/>
            <w:tcBorders>
              <w:top w:val="single" w:sz="4" w:space="0" w:color="000000"/>
              <w:left w:val="single" w:sz="4" w:space="0" w:color="000000"/>
              <w:bottom w:val="single" w:sz="4" w:space="0" w:color="000000"/>
              <w:right w:val="single" w:sz="4" w:space="0" w:color="000000"/>
            </w:tcBorders>
            <w:vAlign w:val="center"/>
          </w:tcPr>
          <w:p w14:paraId="54B4120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364</w:t>
            </w:r>
          </w:p>
        </w:tc>
        <w:tc>
          <w:tcPr>
            <w:tcW w:w="1021" w:type="dxa"/>
            <w:tcBorders>
              <w:top w:val="single" w:sz="4" w:space="0" w:color="000000"/>
              <w:left w:val="single" w:sz="4" w:space="0" w:color="000000"/>
              <w:bottom w:val="single" w:sz="4" w:space="0" w:color="000000"/>
              <w:right w:val="single" w:sz="4" w:space="0" w:color="000000"/>
            </w:tcBorders>
            <w:vAlign w:val="center"/>
          </w:tcPr>
          <w:p w14:paraId="1B25BC6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177</w:t>
            </w:r>
          </w:p>
        </w:tc>
      </w:tr>
      <w:tr w:rsidR="00FF1E38" w:rsidRPr="00FF1E38" w14:paraId="5F33FB3E"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0449F55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 xml:space="preserve">9. </w:t>
            </w:r>
          </w:p>
        </w:tc>
        <w:tc>
          <w:tcPr>
            <w:tcW w:w="2325" w:type="dxa"/>
            <w:tcBorders>
              <w:top w:val="single" w:sz="4" w:space="0" w:color="000000"/>
              <w:left w:val="single" w:sz="4" w:space="0" w:color="000000"/>
              <w:bottom w:val="single" w:sz="4" w:space="0" w:color="000000"/>
              <w:right w:val="single" w:sz="4" w:space="0" w:color="000000"/>
            </w:tcBorders>
          </w:tcPr>
          <w:p w14:paraId="24562FF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 xml:space="preserve">Novi Zagreb - zapad </w:t>
            </w:r>
          </w:p>
        </w:tc>
        <w:tc>
          <w:tcPr>
            <w:tcW w:w="1361" w:type="dxa"/>
            <w:tcBorders>
              <w:top w:val="single" w:sz="4" w:space="0" w:color="000000"/>
              <w:left w:val="single" w:sz="4" w:space="0" w:color="000000"/>
              <w:bottom w:val="single" w:sz="4" w:space="0" w:color="000000"/>
              <w:right w:val="single" w:sz="4" w:space="0" w:color="000000"/>
            </w:tcBorders>
            <w:vAlign w:val="center"/>
          </w:tcPr>
          <w:p w14:paraId="197B38B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18.421</w:t>
            </w:r>
          </w:p>
        </w:tc>
        <w:tc>
          <w:tcPr>
            <w:tcW w:w="1021" w:type="dxa"/>
            <w:tcBorders>
              <w:top w:val="single" w:sz="4" w:space="0" w:color="000000"/>
              <w:left w:val="single" w:sz="4" w:space="0" w:color="000000"/>
              <w:bottom w:val="single" w:sz="4" w:space="0" w:color="000000"/>
              <w:right w:val="single" w:sz="4" w:space="0" w:color="000000"/>
            </w:tcBorders>
            <w:vAlign w:val="center"/>
          </w:tcPr>
          <w:p w14:paraId="273C062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4.237</w:t>
            </w:r>
          </w:p>
        </w:tc>
        <w:tc>
          <w:tcPr>
            <w:tcW w:w="1021" w:type="dxa"/>
            <w:tcBorders>
              <w:top w:val="single" w:sz="4" w:space="0" w:color="000000"/>
              <w:left w:val="single" w:sz="4" w:space="0" w:color="000000"/>
              <w:bottom w:val="single" w:sz="4" w:space="0" w:color="000000"/>
              <w:right w:val="single" w:sz="4" w:space="0" w:color="000000"/>
            </w:tcBorders>
            <w:vAlign w:val="center"/>
          </w:tcPr>
          <w:p w14:paraId="44C58E3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3.684</w:t>
            </w:r>
          </w:p>
        </w:tc>
        <w:tc>
          <w:tcPr>
            <w:tcW w:w="1021" w:type="dxa"/>
            <w:tcBorders>
              <w:top w:val="single" w:sz="4" w:space="0" w:color="000000"/>
              <w:left w:val="single" w:sz="4" w:space="0" w:color="000000"/>
              <w:bottom w:val="single" w:sz="4" w:space="0" w:color="000000"/>
              <w:right w:val="single" w:sz="4" w:space="0" w:color="000000"/>
            </w:tcBorders>
            <w:vAlign w:val="center"/>
          </w:tcPr>
          <w:p w14:paraId="69EDB1B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2.671</w:t>
            </w:r>
          </w:p>
        </w:tc>
        <w:tc>
          <w:tcPr>
            <w:tcW w:w="1021" w:type="dxa"/>
            <w:tcBorders>
              <w:top w:val="single" w:sz="4" w:space="0" w:color="000000"/>
              <w:left w:val="single" w:sz="4" w:space="0" w:color="000000"/>
              <w:bottom w:val="single" w:sz="4" w:space="0" w:color="000000"/>
              <w:right w:val="single" w:sz="4" w:space="0" w:color="000000"/>
            </w:tcBorders>
            <w:vAlign w:val="center"/>
          </w:tcPr>
          <w:p w14:paraId="5EC79C3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258</w:t>
            </w:r>
          </w:p>
        </w:tc>
        <w:tc>
          <w:tcPr>
            <w:tcW w:w="1021" w:type="dxa"/>
            <w:tcBorders>
              <w:top w:val="single" w:sz="4" w:space="0" w:color="000000"/>
              <w:left w:val="single" w:sz="4" w:space="0" w:color="000000"/>
              <w:bottom w:val="single" w:sz="4" w:space="0" w:color="000000"/>
              <w:right w:val="single" w:sz="4" w:space="0" w:color="000000"/>
            </w:tcBorders>
            <w:vAlign w:val="center"/>
          </w:tcPr>
          <w:p w14:paraId="2AC1931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125</w:t>
            </w:r>
          </w:p>
        </w:tc>
      </w:tr>
      <w:tr w:rsidR="00FF1E38" w:rsidRPr="00FF1E38" w14:paraId="4F0FA0F5"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683A7454" w14:textId="77777777" w:rsidR="00FF1E38" w:rsidRPr="00FF1E38" w:rsidRDefault="00FF1E38" w:rsidP="00FF1E38">
            <w:pPr>
              <w:spacing w:after="0" w:line="240" w:lineRule="auto"/>
              <w:ind w:left="0" w:right="0" w:firstLine="0"/>
              <w:jc w:val="left"/>
              <w:rPr>
                <w:rFonts w:ascii="Times New Roman" w:hAnsi="Times New Roman" w:cs="Times New Roman"/>
              </w:rPr>
            </w:pPr>
            <w:r w:rsidRPr="00FF1E38">
              <w:rPr>
                <w:rFonts w:ascii="Times New Roman" w:hAnsi="Times New Roman" w:cs="Times New Roman"/>
                <w:b/>
              </w:rPr>
              <w:t xml:space="preserve">10. </w:t>
            </w:r>
          </w:p>
        </w:tc>
        <w:tc>
          <w:tcPr>
            <w:tcW w:w="2325" w:type="dxa"/>
            <w:tcBorders>
              <w:top w:val="single" w:sz="4" w:space="0" w:color="000000"/>
              <w:left w:val="single" w:sz="4" w:space="0" w:color="000000"/>
              <w:bottom w:val="single" w:sz="4" w:space="0" w:color="000000"/>
              <w:right w:val="single" w:sz="4" w:space="0" w:color="000000"/>
            </w:tcBorders>
          </w:tcPr>
          <w:p w14:paraId="258DAF8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 xml:space="preserve">Peščenica - Žitnjak </w:t>
            </w:r>
          </w:p>
        </w:tc>
        <w:tc>
          <w:tcPr>
            <w:tcW w:w="1361" w:type="dxa"/>
            <w:tcBorders>
              <w:top w:val="single" w:sz="4" w:space="0" w:color="000000"/>
              <w:left w:val="single" w:sz="4" w:space="0" w:color="000000"/>
              <w:bottom w:val="single" w:sz="4" w:space="0" w:color="000000"/>
              <w:right w:val="single" w:sz="4" w:space="0" w:color="000000"/>
            </w:tcBorders>
            <w:vAlign w:val="center"/>
          </w:tcPr>
          <w:p w14:paraId="4794A9C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22.899</w:t>
            </w:r>
          </w:p>
        </w:tc>
        <w:tc>
          <w:tcPr>
            <w:tcW w:w="1021" w:type="dxa"/>
            <w:tcBorders>
              <w:top w:val="single" w:sz="4" w:space="0" w:color="000000"/>
              <w:left w:val="single" w:sz="4" w:space="0" w:color="000000"/>
              <w:bottom w:val="single" w:sz="4" w:space="0" w:color="000000"/>
              <w:right w:val="single" w:sz="4" w:space="0" w:color="000000"/>
            </w:tcBorders>
            <w:vAlign w:val="center"/>
          </w:tcPr>
          <w:p w14:paraId="2D425DA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5.267</w:t>
            </w:r>
          </w:p>
        </w:tc>
        <w:tc>
          <w:tcPr>
            <w:tcW w:w="1021" w:type="dxa"/>
            <w:tcBorders>
              <w:top w:val="single" w:sz="4" w:space="0" w:color="000000"/>
              <w:left w:val="single" w:sz="4" w:space="0" w:color="000000"/>
              <w:bottom w:val="single" w:sz="4" w:space="0" w:color="000000"/>
              <w:right w:val="single" w:sz="4" w:space="0" w:color="000000"/>
            </w:tcBorders>
            <w:vAlign w:val="center"/>
          </w:tcPr>
          <w:p w14:paraId="660EF2F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4.580</w:t>
            </w:r>
          </w:p>
        </w:tc>
        <w:tc>
          <w:tcPr>
            <w:tcW w:w="1021" w:type="dxa"/>
            <w:tcBorders>
              <w:top w:val="single" w:sz="4" w:space="0" w:color="000000"/>
              <w:left w:val="single" w:sz="4" w:space="0" w:color="000000"/>
              <w:bottom w:val="single" w:sz="4" w:space="0" w:color="000000"/>
              <w:right w:val="single" w:sz="4" w:space="0" w:color="000000"/>
            </w:tcBorders>
            <w:vAlign w:val="center"/>
          </w:tcPr>
          <w:p w14:paraId="668C6CE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3.320</w:t>
            </w:r>
          </w:p>
        </w:tc>
        <w:tc>
          <w:tcPr>
            <w:tcW w:w="1021" w:type="dxa"/>
            <w:tcBorders>
              <w:top w:val="single" w:sz="4" w:space="0" w:color="000000"/>
              <w:left w:val="single" w:sz="4" w:space="0" w:color="000000"/>
              <w:bottom w:val="single" w:sz="4" w:space="0" w:color="000000"/>
              <w:right w:val="single" w:sz="4" w:space="0" w:color="000000"/>
            </w:tcBorders>
            <w:vAlign w:val="center"/>
          </w:tcPr>
          <w:p w14:paraId="343C004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321</w:t>
            </w:r>
          </w:p>
        </w:tc>
        <w:tc>
          <w:tcPr>
            <w:tcW w:w="1021" w:type="dxa"/>
            <w:tcBorders>
              <w:top w:val="single" w:sz="4" w:space="0" w:color="000000"/>
              <w:left w:val="single" w:sz="4" w:space="0" w:color="000000"/>
              <w:bottom w:val="single" w:sz="4" w:space="0" w:color="000000"/>
              <w:right w:val="single" w:sz="4" w:space="0" w:color="000000"/>
            </w:tcBorders>
            <w:vAlign w:val="center"/>
          </w:tcPr>
          <w:p w14:paraId="7CE3ED3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156</w:t>
            </w:r>
          </w:p>
        </w:tc>
      </w:tr>
      <w:tr w:rsidR="00FF1E38" w:rsidRPr="00FF1E38" w14:paraId="62F7E3E0"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259EB258" w14:textId="77777777" w:rsidR="00FF1E38" w:rsidRPr="00FF1E38" w:rsidRDefault="00FF1E38" w:rsidP="00FF1E38">
            <w:pPr>
              <w:spacing w:after="0" w:line="240" w:lineRule="auto"/>
              <w:ind w:left="0" w:right="0" w:firstLine="0"/>
              <w:jc w:val="left"/>
              <w:rPr>
                <w:rFonts w:ascii="Times New Roman" w:hAnsi="Times New Roman" w:cs="Times New Roman"/>
              </w:rPr>
            </w:pPr>
            <w:r w:rsidRPr="00FF1E38">
              <w:rPr>
                <w:rFonts w:ascii="Times New Roman" w:hAnsi="Times New Roman" w:cs="Times New Roman"/>
                <w:b/>
              </w:rPr>
              <w:t xml:space="preserve">11. </w:t>
            </w:r>
          </w:p>
        </w:tc>
        <w:tc>
          <w:tcPr>
            <w:tcW w:w="2325" w:type="dxa"/>
            <w:tcBorders>
              <w:top w:val="single" w:sz="4" w:space="0" w:color="000000"/>
              <w:left w:val="single" w:sz="4" w:space="0" w:color="000000"/>
              <w:bottom w:val="single" w:sz="4" w:space="0" w:color="000000"/>
              <w:right w:val="single" w:sz="4" w:space="0" w:color="000000"/>
            </w:tcBorders>
          </w:tcPr>
          <w:p w14:paraId="542C9D8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 xml:space="preserve">Podsljeme </w:t>
            </w:r>
          </w:p>
        </w:tc>
        <w:tc>
          <w:tcPr>
            <w:tcW w:w="1361" w:type="dxa"/>
            <w:tcBorders>
              <w:top w:val="single" w:sz="4" w:space="0" w:color="000000"/>
              <w:left w:val="single" w:sz="4" w:space="0" w:color="000000"/>
              <w:bottom w:val="single" w:sz="4" w:space="0" w:color="000000"/>
              <w:right w:val="single" w:sz="4" w:space="0" w:color="000000"/>
            </w:tcBorders>
            <w:vAlign w:val="center"/>
          </w:tcPr>
          <w:p w14:paraId="4EA5244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6.743</w:t>
            </w:r>
          </w:p>
        </w:tc>
        <w:tc>
          <w:tcPr>
            <w:tcW w:w="1021" w:type="dxa"/>
            <w:tcBorders>
              <w:top w:val="single" w:sz="4" w:space="0" w:color="000000"/>
              <w:left w:val="single" w:sz="4" w:space="0" w:color="000000"/>
              <w:bottom w:val="single" w:sz="4" w:space="0" w:color="000000"/>
              <w:right w:val="single" w:sz="4" w:space="0" w:color="000000"/>
            </w:tcBorders>
            <w:vAlign w:val="center"/>
          </w:tcPr>
          <w:p w14:paraId="306DB3E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1.551</w:t>
            </w:r>
          </w:p>
        </w:tc>
        <w:tc>
          <w:tcPr>
            <w:tcW w:w="1021" w:type="dxa"/>
            <w:tcBorders>
              <w:top w:val="single" w:sz="4" w:space="0" w:color="000000"/>
              <w:left w:val="single" w:sz="4" w:space="0" w:color="000000"/>
              <w:bottom w:val="single" w:sz="4" w:space="0" w:color="000000"/>
              <w:right w:val="single" w:sz="4" w:space="0" w:color="000000"/>
            </w:tcBorders>
            <w:vAlign w:val="center"/>
          </w:tcPr>
          <w:p w14:paraId="7B9A6A6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1.349</w:t>
            </w:r>
          </w:p>
        </w:tc>
        <w:tc>
          <w:tcPr>
            <w:tcW w:w="1021" w:type="dxa"/>
            <w:tcBorders>
              <w:top w:val="single" w:sz="4" w:space="0" w:color="000000"/>
              <w:left w:val="single" w:sz="4" w:space="0" w:color="000000"/>
              <w:bottom w:val="single" w:sz="4" w:space="0" w:color="000000"/>
              <w:right w:val="single" w:sz="4" w:space="0" w:color="000000"/>
            </w:tcBorders>
            <w:vAlign w:val="center"/>
          </w:tcPr>
          <w:p w14:paraId="6DF1871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978</w:t>
            </w:r>
          </w:p>
        </w:tc>
        <w:tc>
          <w:tcPr>
            <w:tcW w:w="1021" w:type="dxa"/>
            <w:tcBorders>
              <w:top w:val="single" w:sz="4" w:space="0" w:color="000000"/>
              <w:left w:val="single" w:sz="4" w:space="0" w:color="000000"/>
              <w:bottom w:val="single" w:sz="4" w:space="0" w:color="000000"/>
              <w:right w:val="single" w:sz="4" w:space="0" w:color="000000"/>
            </w:tcBorders>
            <w:vAlign w:val="center"/>
          </w:tcPr>
          <w:p w14:paraId="65D8D09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94</w:t>
            </w:r>
          </w:p>
        </w:tc>
        <w:tc>
          <w:tcPr>
            <w:tcW w:w="1021" w:type="dxa"/>
            <w:tcBorders>
              <w:top w:val="single" w:sz="4" w:space="0" w:color="000000"/>
              <w:left w:val="single" w:sz="4" w:space="0" w:color="000000"/>
              <w:bottom w:val="single" w:sz="4" w:space="0" w:color="000000"/>
              <w:right w:val="single" w:sz="4" w:space="0" w:color="000000"/>
            </w:tcBorders>
            <w:vAlign w:val="center"/>
          </w:tcPr>
          <w:p w14:paraId="49C6996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46</w:t>
            </w:r>
          </w:p>
        </w:tc>
      </w:tr>
      <w:tr w:rsidR="00FF1E38" w:rsidRPr="00FF1E38" w14:paraId="673E3576"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5AEDF1F3" w14:textId="77777777" w:rsidR="00FF1E38" w:rsidRPr="00FF1E38" w:rsidRDefault="00FF1E38" w:rsidP="00FF1E38">
            <w:pPr>
              <w:spacing w:after="0" w:line="240" w:lineRule="auto"/>
              <w:ind w:left="0" w:right="0" w:firstLine="0"/>
              <w:jc w:val="left"/>
              <w:rPr>
                <w:rFonts w:ascii="Times New Roman" w:hAnsi="Times New Roman" w:cs="Times New Roman"/>
              </w:rPr>
            </w:pPr>
            <w:r w:rsidRPr="00FF1E38">
              <w:rPr>
                <w:rFonts w:ascii="Times New Roman" w:hAnsi="Times New Roman" w:cs="Times New Roman"/>
                <w:b/>
              </w:rPr>
              <w:t xml:space="preserve">12. </w:t>
            </w:r>
          </w:p>
        </w:tc>
        <w:tc>
          <w:tcPr>
            <w:tcW w:w="2325" w:type="dxa"/>
            <w:tcBorders>
              <w:top w:val="single" w:sz="4" w:space="0" w:color="000000"/>
              <w:left w:val="single" w:sz="4" w:space="0" w:color="000000"/>
              <w:bottom w:val="single" w:sz="4" w:space="0" w:color="000000"/>
              <w:right w:val="single" w:sz="4" w:space="0" w:color="000000"/>
            </w:tcBorders>
          </w:tcPr>
          <w:p w14:paraId="7567CE7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 xml:space="preserve">Podsused - Vrapče </w:t>
            </w:r>
          </w:p>
        </w:tc>
        <w:tc>
          <w:tcPr>
            <w:tcW w:w="1361" w:type="dxa"/>
            <w:tcBorders>
              <w:top w:val="single" w:sz="4" w:space="0" w:color="000000"/>
              <w:left w:val="single" w:sz="4" w:space="0" w:color="000000"/>
              <w:bottom w:val="single" w:sz="4" w:space="0" w:color="000000"/>
              <w:right w:val="single" w:sz="4" w:space="0" w:color="000000"/>
            </w:tcBorders>
            <w:vAlign w:val="center"/>
          </w:tcPr>
          <w:p w14:paraId="2A69A21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15.378</w:t>
            </w:r>
          </w:p>
        </w:tc>
        <w:tc>
          <w:tcPr>
            <w:tcW w:w="1021" w:type="dxa"/>
            <w:tcBorders>
              <w:top w:val="single" w:sz="4" w:space="0" w:color="000000"/>
              <w:left w:val="single" w:sz="4" w:space="0" w:color="000000"/>
              <w:bottom w:val="single" w:sz="4" w:space="0" w:color="000000"/>
              <w:right w:val="single" w:sz="4" w:space="0" w:color="000000"/>
            </w:tcBorders>
            <w:vAlign w:val="center"/>
          </w:tcPr>
          <w:p w14:paraId="317C695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3.537</w:t>
            </w:r>
          </w:p>
        </w:tc>
        <w:tc>
          <w:tcPr>
            <w:tcW w:w="1021" w:type="dxa"/>
            <w:tcBorders>
              <w:top w:val="single" w:sz="4" w:space="0" w:color="000000"/>
              <w:left w:val="single" w:sz="4" w:space="0" w:color="000000"/>
              <w:bottom w:val="single" w:sz="4" w:space="0" w:color="000000"/>
              <w:right w:val="single" w:sz="4" w:space="0" w:color="000000"/>
            </w:tcBorders>
            <w:vAlign w:val="center"/>
          </w:tcPr>
          <w:p w14:paraId="0CE1A9F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3.076</w:t>
            </w:r>
          </w:p>
        </w:tc>
        <w:tc>
          <w:tcPr>
            <w:tcW w:w="1021" w:type="dxa"/>
            <w:tcBorders>
              <w:top w:val="single" w:sz="4" w:space="0" w:color="000000"/>
              <w:left w:val="single" w:sz="4" w:space="0" w:color="000000"/>
              <w:bottom w:val="single" w:sz="4" w:space="0" w:color="000000"/>
              <w:right w:val="single" w:sz="4" w:space="0" w:color="000000"/>
            </w:tcBorders>
            <w:vAlign w:val="center"/>
          </w:tcPr>
          <w:p w14:paraId="4842122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2.230</w:t>
            </w:r>
          </w:p>
        </w:tc>
        <w:tc>
          <w:tcPr>
            <w:tcW w:w="1021" w:type="dxa"/>
            <w:tcBorders>
              <w:top w:val="single" w:sz="4" w:space="0" w:color="000000"/>
              <w:left w:val="single" w:sz="4" w:space="0" w:color="000000"/>
              <w:bottom w:val="single" w:sz="4" w:space="0" w:color="000000"/>
              <w:right w:val="single" w:sz="4" w:space="0" w:color="000000"/>
            </w:tcBorders>
            <w:vAlign w:val="center"/>
          </w:tcPr>
          <w:p w14:paraId="29BFC04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215</w:t>
            </w:r>
          </w:p>
        </w:tc>
        <w:tc>
          <w:tcPr>
            <w:tcW w:w="1021" w:type="dxa"/>
            <w:tcBorders>
              <w:top w:val="single" w:sz="4" w:space="0" w:color="000000"/>
              <w:left w:val="single" w:sz="4" w:space="0" w:color="000000"/>
              <w:bottom w:val="single" w:sz="4" w:space="0" w:color="000000"/>
              <w:right w:val="single" w:sz="4" w:space="0" w:color="000000"/>
            </w:tcBorders>
            <w:vAlign w:val="center"/>
          </w:tcPr>
          <w:p w14:paraId="3C3F662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105</w:t>
            </w:r>
          </w:p>
        </w:tc>
      </w:tr>
      <w:tr w:rsidR="00FF1E38" w:rsidRPr="00FF1E38" w14:paraId="121DBAD3"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5895ED85" w14:textId="77777777" w:rsidR="00FF1E38" w:rsidRPr="00FF1E38" w:rsidRDefault="00FF1E38" w:rsidP="00FF1E38">
            <w:pPr>
              <w:spacing w:after="0" w:line="240" w:lineRule="auto"/>
              <w:ind w:left="0" w:right="0" w:firstLine="0"/>
              <w:jc w:val="left"/>
              <w:rPr>
                <w:rFonts w:ascii="Times New Roman" w:hAnsi="Times New Roman" w:cs="Times New Roman"/>
              </w:rPr>
            </w:pPr>
            <w:r w:rsidRPr="00FF1E38">
              <w:rPr>
                <w:rFonts w:ascii="Times New Roman" w:hAnsi="Times New Roman" w:cs="Times New Roman"/>
                <w:b/>
              </w:rPr>
              <w:t xml:space="preserve">13. </w:t>
            </w:r>
          </w:p>
        </w:tc>
        <w:tc>
          <w:tcPr>
            <w:tcW w:w="2325" w:type="dxa"/>
            <w:tcBorders>
              <w:top w:val="single" w:sz="4" w:space="0" w:color="000000"/>
              <w:left w:val="single" w:sz="4" w:space="0" w:color="000000"/>
              <w:bottom w:val="single" w:sz="4" w:space="0" w:color="000000"/>
              <w:right w:val="single" w:sz="4" w:space="0" w:color="000000"/>
            </w:tcBorders>
          </w:tcPr>
          <w:p w14:paraId="0AC5F89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 xml:space="preserve">Trešnjevka - sjever </w:t>
            </w:r>
          </w:p>
        </w:tc>
        <w:tc>
          <w:tcPr>
            <w:tcW w:w="1361" w:type="dxa"/>
            <w:tcBorders>
              <w:top w:val="single" w:sz="4" w:space="0" w:color="000000"/>
              <w:left w:val="single" w:sz="4" w:space="0" w:color="000000"/>
              <w:bottom w:val="single" w:sz="4" w:space="0" w:color="000000"/>
              <w:right w:val="single" w:sz="4" w:space="0" w:color="000000"/>
            </w:tcBorders>
            <w:vAlign w:val="center"/>
          </w:tcPr>
          <w:p w14:paraId="67DF44B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25.639</w:t>
            </w:r>
          </w:p>
        </w:tc>
        <w:tc>
          <w:tcPr>
            <w:tcW w:w="1021" w:type="dxa"/>
            <w:tcBorders>
              <w:top w:val="single" w:sz="4" w:space="0" w:color="000000"/>
              <w:left w:val="single" w:sz="4" w:space="0" w:color="000000"/>
              <w:bottom w:val="single" w:sz="4" w:space="0" w:color="000000"/>
              <w:right w:val="single" w:sz="4" w:space="0" w:color="000000"/>
            </w:tcBorders>
            <w:vAlign w:val="center"/>
          </w:tcPr>
          <w:p w14:paraId="7B5C550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5.897</w:t>
            </w:r>
          </w:p>
        </w:tc>
        <w:tc>
          <w:tcPr>
            <w:tcW w:w="1021" w:type="dxa"/>
            <w:tcBorders>
              <w:top w:val="single" w:sz="4" w:space="0" w:color="000000"/>
              <w:left w:val="single" w:sz="4" w:space="0" w:color="000000"/>
              <w:bottom w:val="single" w:sz="4" w:space="0" w:color="000000"/>
              <w:right w:val="single" w:sz="4" w:space="0" w:color="000000"/>
            </w:tcBorders>
            <w:vAlign w:val="center"/>
          </w:tcPr>
          <w:p w14:paraId="2037F0D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5.128</w:t>
            </w:r>
          </w:p>
        </w:tc>
        <w:tc>
          <w:tcPr>
            <w:tcW w:w="1021" w:type="dxa"/>
            <w:tcBorders>
              <w:top w:val="single" w:sz="4" w:space="0" w:color="000000"/>
              <w:left w:val="single" w:sz="4" w:space="0" w:color="000000"/>
              <w:bottom w:val="single" w:sz="4" w:space="0" w:color="000000"/>
              <w:right w:val="single" w:sz="4" w:space="0" w:color="000000"/>
            </w:tcBorders>
            <w:vAlign w:val="center"/>
          </w:tcPr>
          <w:p w14:paraId="1D1F8AE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3.718</w:t>
            </w:r>
          </w:p>
        </w:tc>
        <w:tc>
          <w:tcPr>
            <w:tcW w:w="1021" w:type="dxa"/>
            <w:tcBorders>
              <w:top w:val="single" w:sz="4" w:space="0" w:color="000000"/>
              <w:left w:val="single" w:sz="4" w:space="0" w:color="000000"/>
              <w:bottom w:val="single" w:sz="4" w:space="0" w:color="000000"/>
              <w:right w:val="single" w:sz="4" w:space="0" w:color="000000"/>
            </w:tcBorders>
            <w:vAlign w:val="center"/>
          </w:tcPr>
          <w:p w14:paraId="5E21749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359</w:t>
            </w:r>
          </w:p>
        </w:tc>
        <w:tc>
          <w:tcPr>
            <w:tcW w:w="1021" w:type="dxa"/>
            <w:tcBorders>
              <w:top w:val="single" w:sz="4" w:space="0" w:color="000000"/>
              <w:left w:val="single" w:sz="4" w:space="0" w:color="000000"/>
              <w:bottom w:val="single" w:sz="4" w:space="0" w:color="000000"/>
              <w:right w:val="single" w:sz="4" w:space="0" w:color="000000"/>
            </w:tcBorders>
            <w:vAlign w:val="center"/>
          </w:tcPr>
          <w:p w14:paraId="4483DF6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174</w:t>
            </w:r>
          </w:p>
        </w:tc>
      </w:tr>
      <w:tr w:rsidR="00FF1E38" w:rsidRPr="00FF1E38" w14:paraId="43222196"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1994ECAC" w14:textId="77777777" w:rsidR="00FF1E38" w:rsidRPr="00FF1E38" w:rsidRDefault="00FF1E38" w:rsidP="00FF1E38">
            <w:pPr>
              <w:spacing w:after="0" w:line="240" w:lineRule="auto"/>
              <w:ind w:left="0" w:right="0" w:firstLine="0"/>
              <w:jc w:val="left"/>
              <w:rPr>
                <w:rFonts w:ascii="Times New Roman" w:hAnsi="Times New Roman" w:cs="Times New Roman"/>
              </w:rPr>
            </w:pPr>
            <w:r w:rsidRPr="00FF1E38">
              <w:rPr>
                <w:rFonts w:ascii="Times New Roman" w:hAnsi="Times New Roman" w:cs="Times New Roman"/>
                <w:b/>
              </w:rPr>
              <w:t xml:space="preserve">14. </w:t>
            </w:r>
          </w:p>
        </w:tc>
        <w:tc>
          <w:tcPr>
            <w:tcW w:w="2325" w:type="dxa"/>
            <w:tcBorders>
              <w:top w:val="single" w:sz="4" w:space="0" w:color="000000"/>
              <w:left w:val="single" w:sz="4" w:space="0" w:color="000000"/>
              <w:bottom w:val="single" w:sz="4" w:space="0" w:color="000000"/>
              <w:right w:val="single" w:sz="4" w:space="0" w:color="000000"/>
            </w:tcBorders>
          </w:tcPr>
          <w:p w14:paraId="014848E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 xml:space="preserve">Trešnjevka - jug </w:t>
            </w:r>
          </w:p>
        </w:tc>
        <w:tc>
          <w:tcPr>
            <w:tcW w:w="1361" w:type="dxa"/>
            <w:tcBorders>
              <w:top w:val="single" w:sz="4" w:space="0" w:color="000000"/>
              <w:left w:val="single" w:sz="4" w:space="0" w:color="000000"/>
              <w:bottom w:val="single" w:sz="4" w:space="0" w:color="000000"/>
              <w:right w:val="single" w:sz="4" w:space="0" w:color="000000"/>
            </w:tcBorders>
            <w:vAlign w:val="center"/>
          </w:tcPr>
          <w:p w14:paraId="4D222F5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27.463</w:t>
            </w:r>
          </w:p>
        </w:tc>
        <w:tc>
          <w:tcPr>
            <w:tcW w:w="1021" w:type="dxa"/>
            <w:tcBorders>
              <w:top w:val="single" w:sz="4" w:space="0" w:color="000000"/>
              <w:left w:val="single" w:sz="4" w:space="0" w:color="000000"/>
              <w:bottom w:val="single" w:sz="4" w:space="0" w:color="000000"/>
              <w:right w:val="single" w:sz="4" w:space="0" w:color="000000"/>
            </w:tcBorders>
            <w:vAlign w:val="center"/>
          </w:tcPr>
          <w:p w14:paraId="337E2F5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6.316</w:t>
            </w:r>
          </w:p>
        </w:tc>
        <w:tc>
          <w:tcPr>
            <w:tcW w:w="1021" w:type="dxa"/>
            <w:tcBorders>
              <w:top w:val="single" w:sz="4" w:space="0" w:color="000000"/>
              <w:left w:val="single" w:sz="4" w:space="0" w:color="000000"/>
              <w:bottom w:val="single" w:sz="4" w:space="0" w:color="000000"/>
              <w:right w:val="single" w:sz="4" w:space="0" w:color="000000"/>
            </w:tcBorders>
            <w:vAlign w:val="center"/>
          </w:tcPr>
          <w:p w14:paraId="0AEBC82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5.493</w:t>
            </w:r>
          </w:p>
        </w:tc>
        <w:tc>
          <w:tcPr>
            <w:tcW w:w="1021" w:type="dxa"/>
            <w:tcBorders>
              <w:top w:val="single" w:sz="4" w:space="0" w:color="000000"/>
              <w:left w:val="single" w:sz="4" w:space="0" w:color="000000"/>
              <w:bottom w:val="single" w:sz="4" w:space="0" w:color="000000"/>
              <w:right w:val="single" w:sz="4" w:space="0" w:color="000000"/>
            </w:tcBorders>
            <w:vAlign w:val="center"/>
          </w:tcPr>
          <w:p w14:paraId="126AFB1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3.982</w:t>
            </w:r>
          </w:p>
        </w:tc>
        <w:tc>
          <w:tcPr>
            <w:tcW w:w="1021" w:type="dxa"/>
            <w:tcBorders>
              <w:top w:val="single" w:sz="4" w:space="0" w:color="000000"/>
              <w:left w:val="single" w:sz="4" w:space="0" w:color="000000"/>
              <w:bottom w:val="single" w:sz="4" w:space="0" w:color="000000"/>
              <w:right w:val="single" w:sz="4" w:space="0" w:color="000000"/>
            </w:tcBorders>
            <w:vAlign w:val="center"/>
          </w:tcPr>
          <w:p w14:paraId="2D2FFA5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384</w:t>
            </w:r>
          </w:p>
        </w:tc>
        <w:tc>
          <w:tcPr>
            <w:tcW w:w="1021" w:type="dxa"/>
            <w:tcBorders>
              <w:top w:val="single" w:sz="4" w:space="0" w:color="000000"/>
              <w:left w:val="single" w:sz="4" w:space="0" w:color="000000"/>
              <w:bottom w:val="single" w:sz="4" w:space="0" w:color="000000"/>
              <w:right w:val="single" w:sz="4" w:space="0" w:color="000000"/>
            </w:tcBorders>
            <w:vAlign w:val="center"/>
          </w:tcPr>
          <w:p w14:paraId="24A4035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187</w:t>
            </w:r>
          </w:p>
        </w:tc>
      </w:tr>
      <w:tr w:rsidR="00FF1E38" w:rsidRPr="00FF1E38" w14:paraId="508F31B8"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0F6F5BAD" w14:textId="77777777" w:rsidR="00FF1E38" w:rsidRPr="00FF1E38" w:rsidRDefault="00FF1E38" w:rsidP="00FF1E38">
            <w:pPr>
              <w:spacing w:after="0" w:line="240" w:lineRule="auto"/>
              <w:ind w:left="0" w:right="0" w:firstLine="0"/>
              <w:jc w:val="left"/>
              <w:rPr>
                <w:rFonts w:ascii="Times New Roman" w:hAnsi="Times New Roman" w:cs="Times New Roman"/>
              </w:rPr>
            </w:pPr>
            <w:r w:rsidRPr="00FF1E38">
              <w:rPr>
                <w:rFonts w:ascii="Times New Roman" w:hAnsi="Times New Roman" w:cs="Times New Roman"/>
                <w:b/>
              </w:rPr>
              <w:t xml:space="preserve">15. </w:t>
            </w:r>
          </w:p>
        </w:tc>
        <w:tc>
          <w:tcPr>
            <w:tcW w:w="2325" w:type="dxa"/>
            <w:tcBorders>
              <w:top w:val="single" w:sz="4" w:space="0" w:color="000000"/>
              <w:left w:val="single" w:sz="4" w:space="0" w:color="000000"/>
              <w:bottom w:val="single" w:sz="4" w:space="0" w:color="000000"/>
              <w:right w:val="single" w:sz="4" w:space="0" w:color="000000"/>
            </w:tcBorders>
          </w:tcPr>
          <w:p w14:paraId="3E1CA9B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 xml:space="preserve">Trnje </w:t>
            </w:r>
          </w:p>
        </w:tc>
        <w:tc>
          <w:tcPr>
            <w:tcW w:w="1361" w:type="dxa"/>
            <w:tcBorders>
              <w:top w:val="single" w:sz="4" w:space="0" w:color="000000"/>
              <w:left w:val="single" w:sz="4" w:space="0" w:color="000000"/>
              <w:bottom w:val="single" w:sz="4" w:space="0" w:color="000000"/>
              <w:right w:val="single" w:sz="4" w:space="0" w:color="000000"/>
            </w:tcBorders>
            <w:vAlign w:val="center"/>
          </w:tcPr>
          <w:p w14:paraId="6CA73E8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20.280</w:t>
            </w:r>
          </w:p>
        </w:tc>
        <w:tc>
          <w:tcPr>
            <w:tcW w:w="1021" w:type="dxa"/>
            <w:tcBorders>
              <w:top w:val="single" w:sz="4" w:space="0" w:color="000000"/>
              <w:left w:val="single" w:sz="4" w:space="0" w:color="000000"/>
              <w:bottom w:val="single" w:sz="4" w:space="0" w:color="000000"/>
              <w:right w:val="single" w:sz="4" w:space="0" w:color="000000"/>
            </w:tcBorders>
            <w:vAlign w:val="center"/>
          </w:tcPr>
          <w:p w14:paraId="6716763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4.664</w:t>
            </w:r>
          </w:p>
        </w:tc>
        <w:tc>
          <w:tcPr>
            <w:tcW w:w="1021" w:type="dxa"/>
            <w:tcBorders>
              <w:top w:val="single" w:sz="4" w:space="0" w:color="000000"/>
              <w:left w:val="single" w:sz="4" w:space="0" w:color="000000"/>
              <w:bottom w:val="single" w:sz="4" w:space="0" w:color="000000"/>
              <w:right w:val="single" w:sz="4" w:space="0" w:color="000000"/>
            </w:tcBorders>
            <w:vAlign w:val="center"/>
          </w:tcPr>
          <w:p w14:paraId="63C3012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4.056</w:t>
            </w:r>
          </w:p>
        </w:tc>
        <w:tc>
          <w:tcPr>
            <w:tcW w:w="1021" w:type="dxa"/>
            <w:tcBorders>
              <w:top w:val="single" w:sz="4" w:space="0" w:color="000000"/>
              <w:left w:val="single" w:sz="4" w:space="0" w:color="000000"/>
              <w:bottom w:val="single" w:sz="4" w:space="0" w:color="000000"/>
              <w:right w:val="single" w:sz="4" w:space="0" w:color="000000"/>
            </w:tcBorders>
            <w:vAlign w:val="center"/>
          </w:tcPr>
          <w:p w14:paraId="4B107D8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2.941</w:t>
            </w:r>
          </w:p>
        </w:tc>
        <w:tc>
          <w:tcPr>
            <w:tcW w:w="1021" w:type="dxa"/>
            <w:tcBorders>
              <w:top w:val="single" w:sz="4" w:space="0" w:color="000000"/>
              <w:left w:val="single" w:sz="4" w:space="0" w:color="000000"/>
              <w:bottom w:val="single" w:sz="4" w:space="0" w:color="000000"/>
              <w:right w:val="single" w:sz="4" w:space="0" w:color="000000"/>
            </w:tcBorders>
            <w:vAlign w:val="center"/>
          </w:tcPr>
          <w:p w14:paraId="52AC72A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284</w:t>
            </w:r>
          </w:p>
        </w:tc>
        <w:tc>
          <w:tcPr>
            <w:tcW w:w="1021" w:type="dxa"/>
            <w:tcBorders>
              <w:top w:val="single" w:sz="4" w:space="0" w:color="000000"/>
              <w:left w:val="single" w:sz="4" w:space="0" w:color="000000"/>
              <w:bottom w:val="single" w:sz="4" w:space="0" w:color="000000"/>
              <w:right w:val="single" w:sz="4" w:space="0" w:color="000000"/>
            </w:tcBorders>
            <w:vAlign w:val="center"/>
          </w:tcPr>
          <w:p w14:paraId="3CB6EC2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138</w:t>
            </w:r>
          </w:p>
        </w:tc>
      </w:tr>
      <w:tr w:rsidR="00FF1E38" w:rsidRPr="00FF1E38" w14:paraId="58FE8076"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2073429A" w14:textId="77777777" w:rsidR="00FF1E38" w:rsidRPr="00FF1E38" w:rsidRDefault="00FF1E38" w:rsidP="00FF1E38">
            <w:pPr>
              <w:spacing w:after="0" w:line="240" w:lineRule="auto"/>
              <w:ind w:left="0" w:right="0" w:firstLine="0"/>
              <w:jc w:val="left"/>
              <w:rPr>
                <w:rFonts w:ascii="Times New Roman" w:hAnsi="Times New Roman" w:cs="Times New Roman"/>
              </w:rPr>
            </w:pPr>
            <w:r w:rsidRPr="00FF1E38">
              <w:rPr>
                <w:rFonts w:ascii="Times New Roman" w:hAnsi="Times New Roman" w:cs="Times New Roman"/>
                <w:b/>
              </w:rPr>
              <w:t xml:space="preserve">16. </w:t>
            </w:r>
          </w:p>
        </w:tc>
        <w:tc>
          <w:tcPr>
            <w:tcW w:w="2325" w:type="dxa"/>
            <w:tcBorders>
              <w:top w:val="single" w:sz="4" w:space="0" w:color="000000"/>
              <w:left w:val="single" w:sz="4" w:space="0" w:color="000000"/>
              <w:bottom w:val="single" w:sz="4" w:space="0" w:color="000000"/>
              <w:right w:val="single" w:sz="4" w:space="0" w:color="000000"/>
            </w:tcBorders>
          </w:tcPr>
          <w:p w14:paraId="00CED0D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 xml:space="preserve">Sesvete </w:t>
            </w:r>
          </w:p>
        </w:tc>
        <w:tc>
          <w:tcPr>
            <w:tcW w:w="1361" w:type="dxa"/>
            <w:tcBorders>
              <w:top w:val="single" w:sz="4" w:space="0" w:color="000000"/>
              <w:left w:val="single" w:sz="4" w:space="0" w:color="000000"/>
              <w:bottom w:val="single" w:sz="4" w:space="0" w:color="000000"/>
              <w:right w:val="single" w:sz="4" w:space="0" w:color="000000"/>
            </w:tcBorders>
            <w:vAlign w:val="center"/>
          </w:tcPr>
          <w:p w14:paraId="192F434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20.172</w:t>
            </w:r>
          </w:p>
        </w:tc>
        <w:tc>
          <w:tcPr>
            <w:tcW w:w="1021" w:type="dxa"/>
            <w:tcBorders>
              <w:top w:val="single" w:sz="4" w:space="0" w:color="000000"/>
              <w:left w:val="single" w:sz="4" w:space="0" w:color="000000"/>
              <w:bottom w:val="single" w:sz="4" w:space="0" w:color="000000"/>
              <w:right w:val="single" w:sz="4" w:space="0" w:color="000000"/>
            </w:tcBorders>
            <w:vAlign w:val="center"/>
          </w:tcPr>
          <w:p w14:paraId="45345C2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4.640</w:t>
            </w:r>
          </w:p>
        </w:tc>
        <w:tc>
          <w:tcPr>
            <w:tcW w:w="1021" w:type="dxa"/>
            <w:tcBorders>
              <w:top w:val="single" w:sz="4" w:space="0" w:color="000000"/>
              <w:left w:val="single" w:sz="4" w:space="0" w:color="000000"/>
              <w:bottom w:val="single" w:sz="4" w:space="0" w:color="000000"/>
              <w:right w:val="single" w:sz="4" w:space="0" w:color="000000"/>
            </w:tcBorders>
            <w:vAlign w:val="center"/>
          </w:tcPr>
          <w:p w14:paraId="04BFF7F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4.034</w:t>
            </w:r>
          </w:p>
        </w:tc>
        <w:tc>
          <w:tcPr>
            <w:tcW w:w="1021" w:type="dxa"/>
            <w:tcBorders>
              <w:top w:val="single" w:sz="4" w:space="0" w:color="000000"/>
              <w:left w:val="single" w:sz="4" w:space="0" w:color="000000"/>
              <w:bottom w:val="single" w:sz="4" w:space="0" w:color="000000"/>
              <w:right w:val="single" w:sz="4" w:space="0" w:color="000000"/>
            </w:tcBorders>
            <w:vAlign w:val="center"/>
          </w:tcPr>
          <w:p w14:paraId="539935F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2.925</w:t>
            </w:r>
          </w:p>
        </w:tc>
        <w:tc>
          <w:tcPr>
            <w:tcW w:w="1021" w:type="dxa"/>
            <w:tcBorders>
              <w:top w:val="single" w:sz="4" w:space="0" w:color="000000"/>
              <w:left w:val="single" w:sz="4" w:space="0" w:color="000000"/>
              <w:bottom w:val="single" w:sz="4" w:space="0" w:color="000000"/>
              <w:right w:val="single" w:sz="4" w:space="0" w:color="000000"/>
            </w:tcBorders>
            <w:vAlign w:val="center"/>
          </w:tcPr>
          <w:p w14:paraId="37B93B0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282</w:t>
            </w:r>
          </w:p>
        </w:tc>
        <w:tc>
          <w:tcPr>
            <w:tcW w:w="1021" w:type="dxa"/>
            <w:tcBorders>
              <w:top w:val="single" w:sz="4" w:space="0" w:color="000000"/>
              <w:left w:val="single" w:sz="4" w:space="0" w:color="000000"/>
              <w:bottom w:val="single" w:sz="4" w:space="0" w:color="000000"/>
              <w:right w:val="single" w:sz="4" w:space="0" w:color="000000"/>
            </w:tcBorders>
            <w:vAlign w:val="center"/>
          </w:tcPr>
          <w:p w14:paraId="58192DC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137</w:t>
            </w:r>
          </w:p>
        </w:tc>
      </w:tr>
      <w:tr w:rsidR="00FF1E38" w:rsidRPr="00FF1E38" w14:paraId="16AC26B2"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36932627" w14:textId="77777777" w:rsidR="00FF1E38" w:rsidRPr="00FF1E38" w:rsidRDefault="00FF1E38" w:rsidP="00FF1E38">
            <w:pPr>
              <w:spacing w:after="0" w:line="240" w:lineRule="auto"/>
              <w:ind w:left="0" w:right="0" w:firstLine="0"/>
              <w:jc w:val="left"/>
              <w:rPr>
                <w:rFonts w:ascii="Times New Roman" w:hAnsi="Times New Roman" w:cs="Times New Roman"/>
              </w:rPr>
            </w:pPr>
            <w:r w:rsidRPr="00FF1E38">
              <w:rPr>
                <w:rFonts w:ascii="Times New Roman" w:hAnsi="Times New Roman" w:cs="Times New Roman"/>
                <w:b/>
              </w:rPr>
              <w:t xml:space="preserve">17. </w:t>
            </w:r>
          </w:p>
        </w:tc>
        <w:tc>
          <w:tcPr>
            <w:tcW w:w="2325" w:type="dxa"/>
            <w:tcBorders>
              <w:top w:val="single" w:sz="4" w:space="0" w:color="000000"/>
              <w:left w:val="single" w:sz="4" w:space="0" w:color="000000"/>
              <w:bottom w:val="single" w:sz="4" w:space="0" w:color="000000"/>
              <w:right w:val="single" w:sz="4" w:space="0" w:color="000000"/>
            </w:tcBorders>
          </w:tcPr>
          <w:p w14:paraId="462B869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 xml:space="preserve">Stenjevec </w:t>
            </w:r>
          </w:p>
        </w:tc>
        <w:tc>
          <w:tcPr>
            <w:tcW w:w="1361" w:type="dxa"/>
            <w:tcBorders>
              <w:top w:val="single" w:sz="4" w:space="0" w:color="000000"/>
              <w:left w:val="single" w:sz="4" w:space="0" w:color="000000"/>
              <w:bottom w:val="single" w:sz="4" w:space="0" w:color="000000"/>
              <w:right w:val="single" w:sz="4" w:space="0" w:color="000000"/>
            </w:tcBorders>
            <w:vAlign w:val="center"/>
          </w:tcPr>
          <w:p w14:paraId="0ED7930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14.895</w:t>
            </w:r>
          </w:p>
        </w:tc>
        <w:tc>
          <w:tcPr>
            <w:tcW w:w="1021" w:type="dxa"/>
            <w:tcBorders>
              <w:top w:val="single" w:sz="4" w:space="0" w:color="000000"/>
              <w:left w:val="single" w:sz="4" w:space="0" w:color="000000"/>
              <w:bottom w:val="single" w:sz="4" w:space="0" w:color="000000"/>
              <w:right w:val="single" w:sz="4" w:space="0" w:color="000000"/>
            </w:tcBorders>
            <w:vAlign w:val="center"/>
          </w:tcPr>
          <w:p w14:paraId="7F2FEED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3.426</w:t>
            </w:r>
          </w:p>
        </w:tc>
        <w:tc>
          <w:tcPr>
            <w:tcW w:w="1021" w:type="dxa"/>
            <w:tcBorders>
              <w:top w:val="single" w:sz="4" w:space="0" w:color="000000"/>
              <w:left w:val="single" w:sz="4" w:space="0" w:color="000000"/>
              <w:bottom w:val="single" w:sz="4" w:space="0" w:color="000000"/>
              <w:right w:val="single" w:sz="4" w:space="0" w:color="000000"/>
            </w:tcBorders>
            <w:vAlign w:val="center"/>
          </w:tcPr>
          <w:p w14:paraId="6CE9DD7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2.979</w:t>
            </w:r>
          </w:p>
        </w:tc>
        <w:tc>
          <w:tcPr>
            <w:tcW w:w="1021" w:type="dxa"/>
            <w:tcBorders>
              <w:top w:val="single" w:sz="4" w:space="0" w:color="000000"/>
              <w:left w:val="single" w:sz="4" w:space="0" w:color="000000"/>
              <w:bottom w:val="single" w:sz="4" w:space="0" w:color="000000"/>
              <w:right w:val="single" w:sz="4" w:space="0" w:color="000000"/>
            </w:tcBorders>
            <w:vAlign w:val="center"/>
          </w:tcPr>
          <w:p w14:paraId="62E2A6C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2.160</w:t>
            </w:r>
          </w:p>
        </w:tc>
        <w:tc>
          <w:tcPr>
            <w:tcW w:w="1021" w:type="dxa"/>
            <w:tcBorders>
              <w:top w:val="single" w:sz="4" w:space="0" w:color="000000"/>
              <w:left w:val="single" w:sz="4" w:space="0" w:color="000000"/>
              <w:bottom w:val="single" w:sz="4" w:space="0" w:color="000000"/>
              <w:right w:val="single" w:sz="4" w:space="0" w:color="000000"/>
            </w:tcBorders>
            <w:vAlign w:val="center"/>
          </w:tcPr>
          <w:p w14:paraId="2C25EEB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209</w:t>
            </w:r>
          </w:p>
        </w:tc>
        <w:tc>
          <w:tcPr>
            <w:tcW w:w="1021" w:type="dxa"/>
            <w:tcBorders>
              <w:top w:val="single" w:sz="4" w:space="0" w:color="000000"/>
              <w:left w:val="single" w:sz="4" w:space="0" w:color="000000"/>
              <w:bottom w:val="single" w:sz="4" w:space="0" w:color="000000"/>
              <w:right w:val="single" w:sz="4" w:space="0" w:color="000000"/>
            </w:tcBorders>
            <w:vAlign w:val="center"/>
          </w:tcPr>
          <w:p w14:paraId="464315E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101</w:t>
            </w:r>
          </w:p>
        </w:tc>
      </w:tr>
      <w:tr w:rsidR="00FF1E38" w:rsidRPr="00FF1E38" w14:paraId="321DDCB3" w14:textId="77777777" w:rsidTr="00DE0C9A">
        <w:trPr>
          <w:cantSplit/>
        </w:trPr>
        <w:tc>
          <w:tcPr>
            <w:tcW w:w="2325" w:type="dxa"/>
            <w:gridSpan w:val="2"/>
            <w:tcBorders>
              <w:top w:val="single" w:sz="4" w:space="0" w:color="000000"/>
              <w:left w:val="single" w:sz="4" w:space="0" w:color="000000"/>
              <w:bottom w:val="single" w:sz="4" w:space="0" w:color="000000"/>
              <w:right w:val="single" w:sz="4" w:space="0" w:color="000000"/>
            </w:tcBorders>
          </w:tcPr>
          <w:p w14:paraId="6555441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 xml:space="preserve">UKUPNO </w:t>
            </w:r>
          </w:p>
        </w:tc>
        <w:tc>
          <w:tcPr>
            <w:tcW w:w="1361" w:type="dxa"/>
            <w:tcBorders>
              <w:top w:val="single" w:sz="4" w:space="0" w:color="000000"/>
              <w:left w:val="single" w:sz="4" w:space="0" w:color="000000"/>
              <w:bottom w:val="single" w:sz="4" w:space="0" w:color="000000"/>
              <w:right w:val="single" w:sz="4" w:space="0" w:color="000000"/>
            </w:tcBorders>
            <w:vAlign w:val="center"/>
          </w:tcPr>
          <w:p w14:paraId="132226D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312.821</w:t>
            </w:r>
          </w:p>
        </w:tc>
        <w:tc>
          <w:tcPr>
            <w:tcW w:w="1021" w:type="dxa"/>
            <w:tcBorders>
              <w:top w:val="single" w:sz="4" w:space="0" w:color="000000"/>
              <w:left w:val="single" w:sz="4" w:space="0" w:color="000000"/>
              <w:bottom w:val="single" w:sz="4" w:space="0" w:color="000000"/>
              <w:right w:val="single" w:sz="4" w:space="0" w:color="000000"/>
            </w:tcBorders>
            <w:vAlign w:val="center"/>
          </w:tcPr>
          <w:p w14:paraId="20398D1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71.949</w:t>
            </w:r>
          </w:p>
        </w:tc>
        <w:tc>
          <w:tcPr>
            <w:tcW w:w="1021" w:type="dxa"/>
            <w:tcBorders>
              <w:top w:val="single" w:sz="4" w:space="0" w:color="000000"/>
              <w:left w:val="single" w:sz="4" w:space="0" w:color="000000"/>
              <w:bottom w:val="single" w:sz="4" w:space="0" w:color="000000"/>
              <w:right w:val="single" w:sz="4" w:space="0" w:color="000000"/>
            </w:tcBorders>
            <w:vAlign w:val="center"/>
          </w:tcPr>
          <w:p w14:paraId="5AE70DB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62.564</w:t>
            </w:r>
          </w:p>
        </w:tc>
        <w:tc>
          <w:tcPr>
            <w:tcW w:w="1021" w:type="dxa"/>
            <w:tcBorders>
              <w:top w:val="single" w:sz="4" w:space="0" w:color="000000"/>
              <w:left w:val="single" w:sz="4" w:space="0" w:color="000000"/>
              <w:bottom w:val="single" w:sz="4" w:space="0" w:color="000000"/>
              <w:right w:val="single" w:sz="4" w:space="0" w:color="000000"/>
            </w:tcBorders>
            <w:vAlign w:val="center"/>
          </w:tcPr>
          <w:p w14:paraId="6D05F53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45.359</w:t>
            </w:r>
          </w:p>
        </w:tc>
        <w:tc>
          <w:tcPr>
            <w:tcW w:w="1021" w:type="dxa"/>
            <w:tcBorders>
              <w:top w:val="single" w:sz="4" w:space="0" w:color="000000"/>
              <w:left w:val="single" w:sz="4" w:space="0" w:color="000000"/>
              <w:bottom w:val="single" w:sz="4" w:space="0" w:color="000000"/>
              <w:right w:val="single" w:sz="4" w:space="0" w:color="000000"/>
            </w:tcBorders>
            <w:vAlign w:val="center"/>
          </w:tcPr>
          <w:p w14:paraId="189CAFE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4.379</w:t>
            </w:r>
          </w:p>
        </w:tc>
        <w:tc>
          <w:tcPr>
            <w:tcW w:w="1021" w:type="dxa"/>
            <w:tcBorders>
              <w:top w:val="single" w:sz="4" w:space="0" w:color="000000"/>
              <w:left w:val="single" w:sz="4" w:space="0" w:color="000000"/>
              <w:bottom w:val="single" w:sz="4" w:space="0" w:color="000000"/>
              <w:right w:val="single" w:sz="4" w:space="0" w:color="000000"/>
            </w:tcBorders>
            <w:vAlign w:val="center"/>
          </w:tcPr>
          <w:p w14:paraId="4E15B71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2.127</w:t>
            </w:r>
          </w:p>
        </w:tc>
      </w:tr>
    </w:tbl>
    <w:p w14:paraId="3EA895B8" w14:textId="77777777" w:rsidR="00FF1E38" w:rsidRPr="00FF1E38" w:rsidRDefault="00FF1E38" w:rsidP="00FF1E38">
      <w:pPr>
        <w:spacing w:after="0" w:line="240" w:lineRule="auto"/>
        <w:ind w:left="0" w:right="0" w:firstLine="0"/>
        <w:jc w:val="center"/>
        <w:rPr>
          <w:rFonts w:ascii="Times New Roman" w:eastAsia="Calibri" w:hAnsi="Times New Roman" w:cs="Times New Roman"/>
          <w:i/>
          <w:sz w:val="20"/>
        </w:rPr>
      </w:pPr>
      <w:r w:rsidRPr="00FF1E38">
        <w:rPr>
          <w:rFonts w:ascii="Times New Roman" w:eastAsia="Calibri" w:hAnsi="Times New Roman" w:cs="Times New Roman"/>
          <w:i/>
          <w:sz w:val="20"/>
        </w:rPr>
        <w:t>Izvor: Procjena rizika od katastrofa za Republiku Hrvatsku</w:t>
      </w:r>
    </w:p>
    <w:p w14:paraId="648493C0" w14:textId="77777777" w:rsidR="00FF1E38" w:rsidRPr="00FF1E38" w:rsidRDefault="00FF1E38" w:rsidP="00FF1E38">
      <w:pPr>
        <w:spacing w:after="0" w:line="240" w:lineRule="auto"/>
        <w:ind w:left="0" w:right="0" w:firstLine="0"/>
        <w:rPr>
          <w:rFonts w:ascii="Times New Roman" w:hAnsi="Times New Roman" w:cs="Times New Roman"/>
          <w:sz w:val="24"/>
        </w:rPr>
      </w:pPr>
    </w:p>
    <w:p w14:paraId="4D2519C5"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Općenito se može zaključiti da je opisana analiza vrlo gruba (na razini gradske četvrti), analiza procjena oštećenja koristi samo nekoliko podataka o konstrukciji, korišteni statistički </w:t>
      </w:r>
      <w:r w:rsidRPr="00FF1E38">
        <w:rPr>
          <w:rFonts w:ascii="Times New Roman" w:hAnsi="Times New Roman" w:cs="Times New Roman"/>
          <w:sz w:val="24"/>
        </w:rPr>
        <w:lastRenderedPageBreak/>
        <w:t xml:space="preserve">podaci i definirani hazard su danas zastarjeli. Ipak, rezultati su korišteni za usporedbu s rezultatima ostalih analiza u događaju s najgorim mogućim posljedicama. </w:t>
      </w:r>
    </w:p>
    <w:p w14:paraId="61D71871" w14:textId="0F4ECADE" w:rsidR="00FF1E38" w:rsidRP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b/>
          <w:sz w:val="24"/>
        </w:rPr>
        <w:t xml:space="preserve"> </w:t>
      </w:r>
      <w:r w:rsidRPr="00FF1E38">
        <w:rPr>
          <w:rFonts w:ascii="Times New Roman" w:hAnsi="Times New Roman" w:cs="Times New Roman"/>
          <w:sz w:val="24"/>
          <w:u w:val="single"/>
        </w:rPr>
        <w:t>Projekt Potresni rizik Grada Zagreba - infrastruktura, stanovništvo, građevine i kulturna dobra</w:t>
      </w:r>
    </w:p>
    <w:p w14:paraId="13D18876" w14:textId="7268DB22"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Najveći dio projekta svodi se na detaljna istraživanja svojstava konstrukcijskih sustava građevina što je osnovni problem u svim procjenama rizika od potresa. U dokumentu je </w:t>
      </w:r>
      <w:r w:rsidRPr="00700C46">
        <w:rPr>
          <w:rFonts w:ascii="Times New Roman" w:hAnsi="Times New Roman" w:cs="Times New Roman"/>
          <w:color w:val="auto"/>
          <w:sz w:val="24"/>
        </w:rPr>
        <w:t xml:space="preserve">priložena tablica </w:t>
      </w:r>
      <w:r w:rsidR="00700C46" w:rsidRPr="00700C46">
        <w:rPr>
          <w:rFonts w:ascii="Times New Roman" w:hAnsi="Times New Roman" w:cs="Times New Roman"/>
          <w:color w:val="auto"/>
          <w:sz w:val="24"/>
        </w:rPr>
        <w:t>46</w:t>
      </w:r>
      <w:r w:rsidRPr="00700C46">
        <w:rPr>
          <w:rFonts w:ascii="Times New Roman" w:hAnsi="Times New Roman" w:cs="Times New Roman"/>
          <w:color w:val="auto"/>
          <w:sz w:val="24"/>
        </w:rPr>
        <w:t xml:space="preserve">., gdje je prema ekspertnoj procjeni i iskustvu napravljena preliminarna </w:t>
      </w:r>
      <w:r w:rsidRPr="00FF1E38">
        <w:rPr>
          <w:rFonts w:ascii="Times New Roman" w:hAnsi="Times New Roman" w:cs="Times New Roman"/>
          <w:sz w:val="24"/>
        </w:rPr>
        <w:t xml:space="preserve">procjena tipova zgrada po gradskim četvrtima bez čega nije moguće napraviti preliminarne procjene oštećenja građevina prilikom djelovanja potresa.  </w:t>
      </w:r>
    </w:p>
    <w:p w14:paraId="686CCF70" w14:textId="77777777" w:rsidR="00FF1E38" w:rsidRPr="00FF1E38" w:rsidRDefault="00FF1E38" w:rsidP="00FF1E38">
      <w:pPr>
        <w:spacing w:after="0" w:line="240" w:lineRule="auto"/>
        <w:ind w:left="0" w:right="0" w:firstLine="709"/>
        <w:rPr>
          <w:rFonts w:ascii="Times New Roman" w:hAnsi="Times New Roman" w:cs="Times New Roman"/>
          <w:sz w:val="24"/>
        </w:rPr>
      </w:pPr>
    </w:p>
    <w:p w14:paraId="315EDAD9" w14:textId="23307ED8" w:rsidR="00FF1E38" w:rsidRPr="00FF1E38" w:rsidRDefault="00FF1E38" w:rsidP="00571A98">
      <w:pPr>
        <w:spacing w:line="240" w:lineRule="auto"/>
        <w:ind w:left="0" w:right="0" w:firstLine="709"/>
        <w:jc w:val="center"/>
        <w:rPr>
          <w:rFonts w:ascii="Times New Roman" w:hAnsi="Times New Roman" w:cs="Times New Roman"/>
          <w:b/>
          <w:color w:val="auto"/>
          <w:sz w:val="24"/>
        </w:rPr>
      </w:pPr>
      <w:r w:rsidRPr="00571A98">
        <w:rPr>
          <w:rFonts w:ascii="Times New Roman" w:hAnsi="Times New Roman" w:cs="Times New Roman"/>
          <w:b/>
          <w:color w:val="auto"/>
          <w:sz w:val="24"/>
        </w:rPr>
        <w:t xml:space="preserve">Tablica </w:t>
      </w:r>
      <w:r w:rsidR="00700C46" w:rsidRPr="00571A98">
        <w:rPr>
          <w:rFonts w:ascii="Times New Roman" w:hAnsi="Times New Roman" w:cs="Times New Roman"/>
          <w:b/>
          <w:color w:val="auto"/>
          <w:sz w:val="24"/>
        </w:rPr>
        <w:t>46</w:t>
      </w:r>
      <w:r w:rsidRPr="00571A98">
        <w:rPr>
          <w:rFonts w:ascii="Times New Roman" w:hAnsi="Times New Roman" w:cs="Times New Roman"/>
          <w:b/>
          <w:color w:val="auto"/>
          <w:sz w:val="24"/>
        </w:rPr>
        <w:t xml:space="preserve">. Gradske četvrti Grada Zagreba, procjena strukture zgrada po </w:t>
      </w:r>
      <w:r w:rsidRPr="00FF1E38">
        <w:rPr>
          <w:rFonts w:ascii="Times New Roman" w:hAnsi="Times New Roman" w:cs="Times New Roman"/>
          <w:b/>
          <w:color w:val="auto"/>
          <w:sz w:val="24"/>
        </w:rPr>
        <w:t>tipovima</w:t>
      </w:r>
    </w:p>
    <w:tbl>
      <w:tblPr>
        <w:tblStyle w:val="TableGrid1"/>
        <w:tblW w:w="9038" w:type="dxa"/>
        <w:tblInd w:w="149" w:type="dxa"/>
        <w:tblCellMar>
          <w:top w:w="21" w:type="dxa"/>
          <w:right w:w="36" w:type="dxa"/>
        </w:tblCellMar>
        <w:tblLook w:val="04A0" w:firstRow="1" w:lastRow="0" w:firstColumn="1" w:lastColumn="0" w:noHBand="0" w:noVBand="1"/>
      </w:tblPr>
      <w:tblGrid>
        <w:gridCol w:w="533"/>
        <w:gridCol w:w="1560"/>
        <w:gridCol w:w="709"/>
        <w:gridCol w:w="991"/>
        <w:gridCol w:w="900"/>
        <w:gridCol w:w="1086"/>
        <w:gridCol w:w="1086"/>
        <w:gridCol w:w="1088"/>
        <w:gridCol w:w="1085"/>
      </w:tblGrid>
      <w:tr w:rsidR="00FF1E38" w:rsidRPr="00FF1E38" w14:paraId="5E755005" w14:textId="77777777" w:rsidTr="00DE0C9A">
        <w:trPr>
          <w:trHeight w:val="386"/>
        </w:trPr>
        <w:tc>
          <w:tcPr>
            <w:tcW w:w="533" w:type="dxa"/>
            <w:vMerge w:val="restart"/>
            <w:tcBorders>
              <w:top w:val="single" w:sz="4" w:space="0" w:color="000000"/>
              <w:left w:val="single" w:sz="4" w:space="0" w:color="000000"/>
              <w:bottom w:val="single" w:sz="4" w:space="0" w:color="000000"/>
              <w:right w:val="single" w:sz="4" w:space="0" w:color="000000"/>
            </w:tcBorders>
            <w:shd w:val="clear" w:color="auto" w:fill="FFC000"/>
            <w:vAlign w:val="center"/>
          </w:tcPr>
          <w:p w14:paraId="1EFE8489"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p>
        </w:tc>
        <w:tc>
          <w:tcPr>
            <w:tcW w:w="1560" w:type="dxa"/>
            <w:vMerge w:val="restart"/>
            <w:tcBorders>
              <w:top w:val="single" w:sz="4" w:space="0" w:color="000000"/>
              <w:left w:val="single" w:sz="4" w:space="0" w:color="000000"/>
              <w:bottom w:val="single" w:sz="4" w:space="0" w:color="000000"/>
              <w:right w:val="single" w:sz="4" w:space="0" w:color="000000"/>
            </w:tcBorders>
            <w:shd w:val="clear" w:color="auto" w:fill="FFC000"/>
          </w:tcPr>
          <w:p w14:paraId="252F3D1C" w14:textId="77777777" w:rsidR="00FF1E38" w:rsidRPr="00FF1E38" w:rsidRDefault="00FF1E38" w:rsidP="00FF1E38">
            <w:pPr>
              <w:spacing w:after="0" w:line="240" w:lineRule="auto"/>
              <w:ind w:left="616" w:right="0" w:firstLine="0"/>
              <w:jc w:val="left"/>
              <w:rPr>
                <w:rFonts w:ascii="Cambria" w:eastAsia="Cambria" w:hAnsi="Cambria" w:cs="Cambria"/>
                <w:b/>
                <w:sz w:val="20"/>
                <w:szCs w:val="20"/>
              </w:rPr>
            </w:pPr>
            <w:r w:rsidRPr="00FF1E38">
              <w:rPr>
                <w:rFonts w:ascii="Calibri" w:eastAsia="Calibri" w:hAnsi="Calibri" w:cs="Calibri"/>
                <w:b/>
                <w:noProof/>
                <w:sz w:val="20"/>
                <w:szCs w:val="20"/>
              </w:rPr>
              <mc:AlternateContent>
                <mc:Choice Requires="wpg">
                  <w:drawing>
                    <wp:inline distT="0" distB="0" distL="0" distR="0" wp14:anchorId="0A7026A3" wp14:editId="4D6F2883">
                      <wp:extent cx="252095" cy="809625"/>
                      <wp:effectExtent l="0" t="0" r="0" b="0"/>
                      <wp:docPr id="1031082" name="Group 1031082"/>
                      <wp:cNvGraphicFramePr/>
                      <a:graphic xmlns:a="http://schemas.openxmlformats.org/drawingml/2006/main">
                        <a:graphicData uri="http://schemas.microsoft.com/office/word/2010/wordprocessingGroup">
                          <wpg:wgp>
                            <wpg:cNvGrpSpPr/>
                            <wpg:grpSpPr>
                              <a:xfrm>
                                <a:off x="0" y="0"/>
                                <a:ext cx="252095" cy="809625"/>
                                <a:chOff x="0" y="0"/>
                                <a:chExt cx="224028" cy="412210"/>
                              </a:xfrm>
                            </wpg:grpSpPr>
                            <wps:wsp>
                              <wps:cNvPr id="60730" name="Rectangle 60730"/>
                              <wps:cNvSpPr/>
                              <wps:spPr>
                                <a:xfrm rot="-5399999">
                                  <a:off x="-206216" y="70188"/>
                                  <a:ext cx="548239" cy="135804"/>
                                </a:xfrm>
                                <a:prstGeom prst="rect">
                                  <a:avLst/>
                                </a:prstGeom>
                                <a:ln>
                                  <a:noFill/>
                                </a:ln>
                              </wps:spPr>
                              <wps:txbx>
                                <w:txbxContent>
                                  <w:p w14:paraId="07789FFE" w14:textId="77777777" w:rsidR="003E564E" w:rsidRDefault="003E564E" w:rsidP="00FF1E38">
                                    <w:r>
                                      <w:rPr>
                                        <w:b/>
                                        <w:sz w:val="16"/>
                                      </w:rPr>
                                      <w:t xml:space="preserve">Gradska </w:t>
                                    </w:r>
                                  </w:p>
                                </w:txbxContent>
                              </wps:txbx>
                              <wps:bodyPr horzOverflow="overflow" vert="horz" lIns="0" tIns="0" rIns="0" bIns="0" rtlCol="0">
                                <a:noAutofit/>
                              </wps:bodyPr>
                            </wps:wsp>
                            <wps:wsp>
                              <wps:cNvPr id="60732" name="Rectangle 60732"/>
                              <wps:cNvSpPr/>
                              <wps:spPr>
                                <a:xfrm rot="-5399999">
                                  <a:off x="6080" y="160566"/>
                                  <a:ext cx="367484" cy="135804"/>
                                </a:xfrm>
                                <a:prstGeom prst="rect">
                                  <a:avLst/>
                                </a:prstGeom>
                                <a:ln>
                                  <a:noFill/>
                                </a:ln>
                              </wps:spPr>
                              <wps:txbx>
                                <w:txbxContent>
                                  <w:p w14:paraId="12425E50" w14:textId="77777777" w:rsidR="003E564E" w:rsidRDefault="003E564E" w:rsidP="00FF1E38">
                                    <w:r>
                                      <w:rPr>
                                        <w:b/>
                                        <w:sz w:val="16"/>
                                      </w:rPr>
                                      <w:t>četvrt</w:t>
                                    </w:r>
                                  </w:p>
                                </w:txbxContent>
                              </wps:txbx>
                              <wps:bodyPr horzOverflow="overflow" vert="horz" lIns="0" tIns="0" rIns="0" bIns="0" rtlCol="0">
                                <a:noAutofit/>
                              </wps:bodyPr>
                            </wps:wsp>
                            <wps:wsp>
                              <wps:cNvPr id="60733" name="Rectangle 60733"/>
                              <wps:cNvSpPr/>
                              <wps:spPr>
                                <a:xfrm rot="-5399999">
                                  <a:off x="174884" y="53525"/>
                                  <a:ext cx="29877" cy="135804"/>
                                </a:xfrm>
                                <a:prstGeom prst="rect">
                                  <a:avLst/>
                                </a:prstGeom>
                                <a:ln>
                                  <a:noFill/>
                                </a:ln>
                              </wps:spPr>
                              <wps:txbx>
                                <w:txbxContent>
                                  <w:p w14:paraId="15311881" w14:textId="77777777" w:rsidR="003E564E" w:rsidRDefault="003E564E" w:rsidP="00FF1E38">
                                    <w:r>
                                      <w:rPr>
                                        <w:b/>
                                        <w:sz w:val="16"/>
                                      </w:rPr>
                                      <w:t xml:space="preserve"> </w:t>
                                    </w:r>
                                  </w:p>
                                </w:txbxContent>
                              </wps:txbx>
                              <wps:bodyPr horzOverflow="overflow" vert="horz" lIns="0" tIns="0" rIns="0" bIns="0" rtlCol="0">
                                <a:noAutofit/>
                              </wps:bodyPr>
                            </wps:wsp>
                          </wpg:wgp>
                        </a:graphicData>
                      </a:graphic>
                    </wp:inline>
                  </w:drawing>
                </mc:Choice>
                <mc:Fallback>
                  <w:pict>
                    <v:group w14:anchorId="0A7026A3" id="Group 1031082" o:spid="_x0000_s1039" style="width:19.85pt;height:63.75pt;mso-position-horizontal-relative:char;mso-position-vertical-relative:line" coordsize="224028,412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6C+jgIAAG0IAAAOAAAAZHJzL2Uyb0RvYy54bWzkVk1v3CAQvVfqf0Dcs8Z47fVa8UZV00SV&#10;qiZq2h/A2vhDsg0CNt7013fAxtskvTSRmkP3wMIAw5v3ZsDnF8e+Q/dc6VYMOQ5XBCM+FKJshzrH&#10;P75fnaUYacOGknVi4Dl+4Bpf7N6/Ox9lxqloRFdyhcDJoLNR5rgxRmZBoIuG90yvhOQDTFZC9czA&#10;UNVBqdgI3vsuoIQkwShUKZUouNZgvZwm8c75rypemJuq0tygLseAzbhWuXZv22B3zrJaMdm0xQyD&#10;vQBFz9oBDl1cXTLD0EG1z1z1baGEFpVZFaIPRFW1BXcxQDQheRLNtRIH6WKps7GWC01A7ROeXuy2&#10;+Hp/q1BbgnYkCklKMRpYD0K5s5E3Ak2jrDNYfa3knbxVs6GeRjbyY6V6+w8xoaMj+GEhmB8NKsBI&#10;Y0q2MUYFTKVkm9B4EqBoQKVnu4rmk99H14RCJtl965DS0AkX+EMDi22BMkpIJX1iS7+OrbuGSe5E&#10;0Db+ma2EbCLIp4mrb5BmbKg7jiazI8etXqjSmQbWPE9ICcjEszja2p9LnJm2M0oSGiYYQaQbEqbp&#10;RJAnMF6nNNpORIRRnJK1nV+IYJlU2lxz0SPbybECZM49u/+izbTUL7FgusG2g7hqu26atRbg0+O1&#10;PXPcH12KOLWsZS/KByCiEernDRR/1Ykxx2LuYXsfwNl2FqPu8wAC2NLzHeU7e99RpvsoXIFOaD4c&#10;jKhaB/d02gwLlLW5+I8kXsrhscTUsm5BQEL8tcQJSYEO0DdMSJwkjwWOks06Xb+VwA7MifL/QODo&#10;zzUcvUbgECS0GoLEcRT7O86XMN2mm81bCbzxcb11BbsrG940d3nN7699NH8fu4o/fSXsfgEAAP//&#10;AwBQSwMEFAAGAAgAAAAhAP54dBDcAAAABAEAAA8AAABkcnMvZG93bnJldi54bWxMj0FLw0AQhe+C&#10;/2EZwZvdpKVWYzalFPVUBFuh9DZNpklodjZkt0n67x296OXB8B7vfZMuR9uonjpfOzYQTyJQxLkr&#10;ai4NfO3eHp5A+YBcYOOYDFzJwzK7vUkxKdzAn9RvQ6mkhH2CBqoQ2kRrn1dk0U9cSyzeyXUWg5xd&#10;qYsOBym3jZ5G0aO2WLMsVNjSuqL8vL1YA+8DDqtZ/Npvzqf19bCbf+w3MRlzfzeuXkAFGsNfGH7w&#10;BR0yYTq6CxdeNQbkkfCr4s2eF6COkpku5qCzVP+Hz74BAAD//wMAUEsBAi0AFAAGAAgAAAAhALaD&#10;OJL+AAAA4QEAABMAAAAAAAAAAAAAAAAAAAAAAFtDb250ZW50X1R5cGVzXS54bWxQSwECLQAUAAYA&#10;CAAAACEAOP0h/9YAAACUAQAACwAAAAAAAAAAAAAAAAAvAQAAX3JlbHMvLnJlbHNQSwECLQAUAAYA&#10;CAAAACEAwmegvo4CAABtCAAADgAAAAAAAAAAAAAAAAAuAgAAZHJzL2Uyb0RvYy54bWxQSwECLQAU&#10;AAYACAAAACEA/nh0ENwAAAAEAQAADwAAAAAAAAAAAAAAAADoBAAAZHJzL2Rvd25yZXYueG1sUEsF&#10;BgAAAAAEAAQA8wAAAPEFAAAAAA==&#10;">
                      <v:rect id="Rectangle 60730" o:spid="_x0000_s1040" style="position:absolute;left:-206216;top:70188;width:548239;height:13580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wTJxgAAAN4AAAAPAAAAZHJzL2Rvd25yZXYueG1sRI/LasJA&#10;FIb3Qt9hOIXudBIrWlLHUIQSNwYaW3F5mjm50MyZNDNqfPvOQujy57/xrdPRdOJCg2stK4hnEQji&#10;0uqWawWfh/fpCwjnkTV2lknBjRykm4fJGhNtr/xBl8LXIoywS1BB432fSOnKhgy6me2Jg1fZwaAP&#10;cqilHvAaxk0n51G0lAZbDg8N9rRtqPwpzkbBV3w4HzOXf/Op+l0t9j7LqzpT6ulxfHsF4Wn0/+F7&#10;e6cVLKPVcwAIOAEF5OYPAAD//wMAUEsBAi0AFAAGAAgAAAAhANvh9svuAAAAhQEAABMAAAAAAAAA&#10;AAAAAAAAAAAAAFtDb250ZW50X1R5cGVzXS54bWxQSwECLQAUAAYACAAAACEAWvQsW78AAAAVAQAA&#10;CwAAAAAAAAAAAAAAAAAfAQAAX3JlbHMvLnJlbHNQSwECLQAUAAYACAAAACEAqk8EycYAAADeAAAA&#10;DwAAAAAAAAAAAAAAAAAHAgAAZHJzL2Rvd25yZXYueG1sUEsFBgAAAAADAAMAtwAAAPoCAAAAAA==&#10;" filled="f" stroked="f">
                        <v:textbox inset="0,0,0,0">
                          <w:txbxContent>
                            <w:p w14:paraId="07789FFE" w14:textId="77777777" w:rsidR="003E564E" w:rsidRDefault="003E564E" w:rsidP="00FF1E38">
                              <w:r>
                                <w:rPr>
                                  <w:b/>
                                  <w:sz w:val="16"/>
                                </w:rPr>
                                <w:t xml:space="preserve">Gradska </w:t>
                              </w:r>
                            </w:p>
                          </w:txbxContent>
                        </v:textbox>
                      </v:rect>
                      <v:rect id="Rectangle 60732" o:spid="_x0000_s1041" style="position:absolute;left:6080;top:160566;width:367484;height:13580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T8lxwAAAN4AAAAPAAAAZHJzL2Rvd25yZXYueG1sRI9LawJB&#10;EITvgfyHoQVvcdYHKqujBEHWi0I0isd2p/eBOz3rzqibf58JCDkWVfUVNV+2phIPalxpWUG/F4Eg&#10;Tq0uOVfwfVh/TEE4j6yxskwKfsjBcvH+NsdY2yd/0WPvcxEg7GJUUHhfx1K6tCCDrmdr4uBltjHo&#10;g2xyqRt8Brip5CCKxtJgyWGhwJpWBaXX/d0oOPYP91Pidhc+Z7fJaOuTXZYnSnU77ecMhKfW/4df&#10;7Y1WMI4mwwH83QlXQC5+AQAA//8DAFBLAQItABQABgAIAAAAIQDb4fbL7gAAAIUBAAATAAAAAAAA&#10;AAAAAAAAAAAAAABbQ29udGVudF9UeXBlc10ueG1sUEsBAi0AFAAGAAgAAAAhAFr0LFu/AAAAFQEA&#10;AAsAAAAAAAAAAAAAAAAAHwEAAF9yZWxzLy5yZWxzUEsBAi0AFAAGAAgAAAAhADXRPyXHAAAA3gAA&#10;AA8AAAAAAAAAAAAAAAAABwIAAGRycy9kb3ducmV2LnhtbFBLBQYAAAAAAwADALcAAAD7AgAAAAA=&#10;" filled="f" stroked="f">
                        <v:textbox inset="0,0,0,0">
                          <w:txbxContent>
                            <w:p w14:paraId="12425E50" w14:textId="77777777" w:rsidR="003E564E" w:rsidRDefault="003E564E" w:rsidP="00FF1E38">
                              <w:r>
                                <w:rPr>
                                  <w:b/>
                                  <w:sz w:val="16"/>
                                </w:rPr>
                                <w:t>četvrt</w:t>
                              </w:r>
                            </w:p>
                          </w:txbxContent>
                        </v:textbox>
                      </v:rect>
                      <v:rect id="Rectangle 60733" o:spid="_x0000_s1042" style="position:absolute;left:174884;top:53525;width:29877;height:13580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Zq+xwAAAN4AAAAPAAAAZHJzL2Rvd25yZXYueG1sRI9Pa8JA&#10;FMTvhX6H5Qne6sZaVGI2UgoSLxWqVTw+sy9/MPs2ZldNv323IPQ4zMxvmGTZm0bcqHO1ZQXjUQSC&#10;OLe65lLB9271MgfhPLLGxjIp+CEHy/T5KcFY2zt/0W3rSxEg7GJUUHnfxlK6vCKDbmRb4uAVtjPo&#10;g+xKqTu8B7hp5GsUTaXBmsNChS19VJSft1ejYD/eXQ+Z25z4WFxmb58+2xRlptRw0L8vQHjq/X/4&#10;0V5rBdNoNpnA351wBWT6CwAA//8DAFBLAQItABQABgAIAAAAIQDb4fbL7gAAAIUBAAATAAAAAAAA&#10;AAAAAAAAAAAAAABbQ29udGVudF9UeXBlc10ueG1sUEsBAi0AFAAGAAgAAAAhAFr0LFu/AAAAFQEA&#10;AAsAAAAAAAAAAAAAAAAAHwEAAF9yZWxzLy5yZWxzUEsBAi0AFAAGAAgAAAAhAFqdmr7HAAAA3gAA&#10;AA8AAAAAAAAAAAAAAAAABwIAAGRycy9kb3ducmV2LnhtbFBLBQYAAAAAAwADALcAAAD7AgAAAAA=&#10;" filled="f" stroked="f">
                        <v:textbox inset="0,0,0,0">
                          <w:txbxContent>
                            <w:p w14:paraId="15311881" w14:textId="77777777" w:rsidR="003E564E" w:rsidRDefault="003E564E" w:rsidP="00FF1E38">
                              <w:r>
                                <w:rPr>
                                  <w:b/>
                                  <w:sz w:val="16"/>
                                </w:rPr>
                                <w:t xml:space="preserve"> </w:t>
                              </w:r>
                            </w:p>
                          </w:txbxContent>
                        </v:textbox>
                      </v:rect>
                      <w10:anchorlock/>
                    </v:group>
                  </w:pict>
                </mc:Fallback>
              </mc:AlternateContent>
            </w:r>
          </w:p>
        </w:tc>
        <w:tc>
          <w:tcPr>
            <w:tcW w:w="709" w:type="dxa"/>
            <w:vMerge w:val="restart"/>
            <w:tcBorders>
              <w:top w:val="single" w:sz="4" w:space="0" w:color="000000"/>
              <w:left w:val="single" w:sz="4" w:space="0" w:color="000000"/>
              <w:bottom w:val="single" w:sz="4" w:space="0" w:color="000000"/>
              <w:right w:val="single" w:sz="4" w:space="0" w:color="000000"/>
            </w:tcBorders>
            <w:shd w:val="clear" w:color="auto" w:fill="FFC000"/>
          </w:tcPr>
          <w:p w14:paraId="20481DA3" w14:textId="77777777" w:rsidR="00FF1E38" w:rsidRPr="00FF1E38" w:rsidRDefault="00FF1E38" w:rsidP="00FF1E38">
            <w:pPr>
              <w:spacing w:after="0" w:line="240" w:lineRule="auto"/>
              <w:ind w:left="189" w:right="0" w:firstLine="0"/>
              <w:jc w:val="left"/>
              <w:rPr>
                <w:rFonts w:ascii="Cambria" w:eastAsia="Cambria" w:hAnsi="Cambria" w:cs="Cambria"/>
                <w:b/>
                <w:sz w:val="20"/>
                <w:szCs w:val="20"/>
              </w:rPr>
            </w:pPr>
            <w:r w:rsidRPr="00FF1E38">
              <w:rPr>
                <w:rFonts w:ascii="Calibri" w:eastAsia="Calibri" w:hAnsi="Calibri" w:cs="Calibri"/>
                <w:b/>
                <w:noProof/>
                <w:sz w:val="20"/>
                <w:szCs w:val="20"/>
              </w:rPr>
              <mc:AlternateContent>
                <mc:Choice Requires="wpg">
                  <w:drawing>
                    <wp:inline distT="0" distB="0" distL="0" distR="0" wp14:anchorId="54CFF355" wp14:editId="5F573C57">
                      <wp:extent cx="279722" cy="975804"/>
                      <wp:effectExtent l="0" t="0" r="0" b="0"/>
                      <wp:docPr id="1031092" name="Group 1031092"/>
                      <wp:cNvGraphicFramePr/>
                      <a:graphic xmlns:a="http://schemas.openxmlformats.org/drawingml/2006/main">
                        <a:graphicData uri="http://schemas.microsoft.com/office/word/2010/wordprocessingGroup">
                          <wpg:wgp>
                            <wpg:cNvGrpSpPr/>
                            <wpg:grpSpPr>
                              <a:xfrm>
                                <a:off x="0" y="0"/>
                                <a:ext cx="279722" cy="975804"/>
                                <a:chOff x="0" y="-116107"/>
                                <a:chExt cx="258104" cy="554623"/>
                              </a:xfrm>
                            </wpg:grpSpPr>
                            <wps:wsp>
                              <wps:cNvPr id="60736" name="Rectangle 60736"/>
                              <wps:cNvSpPr/>
                              <wps:spPr>
                                <a:xfrm rot="-5399999">
                                  <a:off x="-209408" y="93303"/>
                                  <a:ext cx="554623" cy="135804"/>
                                </a:xfrm>
                                <a:prstGeom prst="rect">
                                  <a:avLst/>
                                </a:prstGeom>
                                <a:ln>
                                  <a:noFill/>
                                </a:ln>
                              </wps:spPr>
                              <wps:txbx>
                                <w:txbxContent>
                                  <w:p w14:paraId="048C149D" w14:textId="77777777" w:rsidR="003E564E" w:rsidRDefault="003E564E" w:rsidP="00FF1E38">
                                    <w:r>
                                      <w:rPr>
                                        <w:b/>
                                        <w:sz w:val="16"/>
                                      </w:rPr>
                                      <w:t>Površina</w:t>
                                    </w:r>
                                  </w:p>
                                </w:txbxContent>
                              </wps:txbx>
                              <wps:bodyPr horzOverflow="overflow" vert="horz" lIns="0" tIns="0" rIns="0" bIns="0" rtlCol="0">
                                <a:noAutofit/>
                              </wps:bodyPr>
                            </wps:wsp>
                            <wps:wsp>
                              <wps:cNvPr id="60737" name="Rectangle 60737"/>
                              <wps:cNvSpPr/>
                              <wps:spPr>
                                <a:xfrm rot="-5399999">
                                  <a:off x="52963" y="-60375"/>
                                  <a:ext cx="29877" cy="135803"/>
                                </a:xfrm>
                                <a:prstGeom prst="rect">
                                  <a:avLst/>
                                </a:prstGeom>
                                <a:ln>
                                  <a:noFill/>
                                </a:ln>
                              </wps:spPr>
                              <wps:txbx>
                                <w:txbxContent>
                                  <w:p w14:paraId="3FE4A1ED" w14:textId="77777777" w:rsidR="003E564E" w:rsidRDefault="003E564E" w:rsidP="00FF1E38">
                                    <w:r>
                                      <w:rPr>
                                        <w:b/>
                                        <w:sz w:val="16"/>
                                      </w:rPr>
                                      <w:t xml:space="preserve"> </w:t>
                                    </w:r>
                                  </w:p>
                                </w:txbxContent>
                              </wps:txbx>
                              <wps:bodyPr horzOverflow="overflow" vert="horz" lIns="0" tIns="0" rIns="0" bIns="0" rtlCol="0">
                                <a:noAutofit/>
                              </wps:bodyPr>
                            </wps:wsp>
                            <wps:wsp>
                              <wps:cNvPr id="60741" name="Rectangle 60741"/>
                              <wps:cNvSpPr/>
                              <wps:spPr>
                                <a:xfrm rot="-5399999">
                                  <a:off x="162498" y="111262"/>
                                  <a:ext cx="55408" cy="135804"/>
                                </a:xfrm>
                                <a:prstGeom prst="rect">
                                  <a:avLst/>
                                </a:prstGeom>
                                <a:ln>
                                  <a:noFill/>
                                </a:ln>
                              </wps:spPr>
                              <wps:txbx>
                                <w:txbxContent>
                                  <w:p w14:paraId="545A3EA8" w14:textId="3153F492" w:rsidR="003E564E" w:rsidRDefault="003E564E" w:rsidP="00DD132E">
                                    <w:pPr>
                                      <w:ind w:left="0" w:firstLine="0"/>
                                    </w:pPr>
                                  </w:p>
                                </w:txbxContent>
                              </wps:txbx>
                              <wps:bodyPr horzOverflow="overflow" vert="horz" lIns="0" tIns="0" rIns="0" bIns="0" rtlCol="0">
                                <a:noAutofit/>
                              </wps:bodyPr>
                            </wps:wsp>
                          </wpg:wgp>
                        </a:graphicData>
                      </a:graphic>
                    </wp:inline>
                  </w:drawing>
                </mc:Choice>
                <mc:Fallback>
                  <w:pict>
                    <v:group w14:anchorId="54CFF355" id="Group 1031092" o:spid="_x0000_s1043" style="width:22.05pt;height:76.85pt;mso-position-horizontal-relative:char;mso-position-vertical-relative:line" coordorigin=",-1161" coordsize="2581,5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mTVmgIAAHUIAAAOAAAAZHJzL2Uyb0RvYy54bWzkVk1vnDAQvVfqf7B83wXDAgsKG1VNE1Wq&#10;mihpf4AXzIcE2LKdZdNf37HBbJPm0kRND83BMWN75s17M/aenR/7Dh2YVC0fckzWPkZsKHjZDnWO&#10;v3+7XG0xUpoOJe34wHL8wBQ+371/dzaKjAW84V3JJAIng8pGkeNGa5F5nioa1lO15oINsFhx2VMN&#10;n7L2SklH8N53XuD7sTdyWQrJC6YUWC+mRbyz/quKFfq6qhTTqMsxYNN2lHbcm9HbndGsllQ0bTHD&#10;oC9A0dN2gKCLqwuqKbqX7W+u+raQXPFKrwvee7yq2oLZHCAb4j/J5krye2FzqbOxFgtNQO0Tnl7s&#10;tvh6uJGoLUE7PyR+GmA00B6EsrGRMwJNo6gz2H0lxZ24kbOhnr5M5sdK9uY/5ISOluCHhWB21KgA&#10;Y5CkSQAhClhKk2jrbyYBigZUOp1aERITP3Frn9zpaEvghD0dRZs4CM0Oz4X2DMIF0CigoNSJM/U6&#10;zu4aKpiVQhkWZs5iPwljx9gtFBsd6o6hyWwpsrsXwlSmgDvHFpIc6nEVhan5s+Uzk7cK/HTjQ+sY&#10;nsLQt4nSzNE4J2+JIKGjcSGCZkIqfcV4j8wkxxKQWff08EXpiTO3xYDpBjMO/LLtumnVWIBPh9fM&#10;9HF/tIWyNawby56XD0BEw+WPa7gCqo6POebzDJtbAWKbVYy6zwMIYBrQTaSb7N1E6u4jt206oflw&#10;r3nVWrinaDMsUHbC8CYSJ89LbAvUQIOC+GOJoyCNQyvwKvbDJJqK3SkcpNsEopo+sQI/rvS/LHD6&#10;vwm8Ic8KDOZX9DCJg006tTAhJIiDxwpDD5sGXxS2N+FbtTCxD9+pq/5dD9tLG942e4/P77B5PH/9&#10;tj1/+rWw+wkAAP//AwBQSwMEFAAGAAgAAAAhAC/K4WncAAAABAEAAA8AAABkcnMvZG93bnJldi54&#10;bWxMj0FLw0AQhe+C/2EZwZvdxLYqMZtSinoqQluh9DZNpklodjZkt0n67x296OXB8B7vfZMuRtuo&#10;njpfOzYQTyJQxLkrai4NfO3eH15A+YBcYOOYDFzJwyK7vUkxKdzAG+q3oVRSwj5BA1UIbaK1zyuy&#10;6CeuJRbv5DqLQc6u1EWHg5TbRj9G0ZO2WLMsVNjSqqL8vL1YAx8DDstp/Navz6fV9bCbf+7XMRlz&#10;fzcuX0EFGsNfGH7wBR0yYTq6CxdeNQbkkfCr4s1mMaijZObTZ9BZqv/DZ98AAAD//wMAUEsBAi0A&#10;FAAGAAgAAAAhALaDOJL+AAAA4QEAABMAAAAAAAAAAAAAAAAAAAAAAFtDb250ZW50X1R5cGVzXS54&#10;bWxQSwECLQAUAAYACAAAACEAOP0h/9YAAACUAQAACwAAAAAAAAAAAAAAAAAvAQAAX3JlbHMvLnJl&#10;bHNQSwECLQAUAAYACAAAACEAyjpk1ZoCAAB1CAAADgAAAAAAAAAAAAAAAAAuAgAAZHJzL2Uyb0Rv&#10;Yy54bWxQSwECLQAUAAYACAAAACEAL8rhadwAAAAEAQAADwAAAAAAAAAAAAAAAAD0BAAAZHJzL2Rv&#10;d25yZXYueG1sUEsFBgAAAAAEAAQA8wAAAP0FAAAAAA==&#10;">
                      <v:rect id="Rectangle 60736" o:spid="_x0000_s1044" style="position:absolute;left:-2094;top:933;width:5546;height:13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jkmxwAAAN4AAAAPAAAAZHJzL2Rvd25yZXYueG1sRI9Pa8JA&#10;FMTvgt9heYI33WglltRVSqHEi0K1LR6f2Zc/NPs2ZleN374rCB6HmfkNs1h1phYXal1lWcFkHIEg&#10;zqyuuFDwvf8cvYJwHlljbZkU3MjBatnvLTDR9spfdNn5QgQIuwQVlN43iZQuK8mgG9uGOHi5bQ36&#10;INtC6havAW5qOY2iWBqsOCyU2NBHSdnf7mwU/Ez259/UbY98yE/z2can27xIlRoOuvc3EJ46/ww/&#10;2mutII7mLzHc74QrIJf/AAAA//8DAFBLAQItABQABgAIAAAAIQDb4fbL7gAAAIUBAAATAAAAAAAA&#10;AAAAAAAAAAAAAABbQ29udGVudF9UeXBlc10ueG1sUEsBAi0AFAAGAAgAAAAhAFr0LFu/AAAAFQEA&#10;AAsAAAAAAAAAAAAAAAAAHwEAAF9yZWxzLy5yZWxzUEsBAi0AFAAGAAgAAAAhAErqOSbHAAAA3gAA&#10;AA8AAAAAAAAAAAAAAAAABwIAAGRycy9kb3ducmV2LnhtbFBLBQYAAAAAAwADALcAAAD7AgAAAAA=&#10;" filled="f" stroked="f">
                        <v:textbox inset="0,0,0,0">
                          <w:txbxContent>
                            <w:p w14:paraId="048C149D" w14:textId="77777777" w:rsidR="003E564E" w:rsidRDefault="003E564E" w:rsidP="00FF1E38">
                              <w:r>
                                <w:rPr>
                                  <w:b/>
                                  <w:sz w:val="16"/>
                                </w:rPr>
                                <w:t>Površina</w:t>
                              </w:r>
                            </w:p>
                          </w:txbxContent>
                        </v:textbox>
                      </v:rect>
                      <v:rect id="Rectangle 60737" o:spid="_x0000_s1045" style="position:absolute;left:530;top:-604;width:298;height:13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py9xwAAAN4AAAAPAAAAZHJzL2Rvd25yZXYueG1sRI9Pa8JA&#10;FMTvgt9heYI33WjFlNRVSqHEi0K1LR6f2Zc/NPs2ZleN374rCB6HmfkNs1h1phYXal1lWcFkHIEg&#10;zqyuuFDwvf8cvYJwHlljbZkU3MjBatnvLTDR9spfdNn5QgQIuwQVlN43iZQuK8mgG9uGOHi5bQ36&#10;INtC6havAW5qOY2iuTRYcVgosaGPkrK/3dko+Jnsz7+p2x75kJ/i2can27xIlRoOuvc3EJ46/ww/&#10;2mutYB7FLzHc74QrIJf/AAAA//8DAFBLAQItABQABgAIAAAAIQDb4fbL7gAAAIUBAAATAAAAAAAA&#10;AAAAAAAAAAAAAABbQ29udGVudF9UeXBlc10ueG1sUEsBAi0AFAAGAAgAAAAhAFr0LFu/AAAAFQEA&#10;AAsAAAAAAAAAAAAAAAAAHwEAAF9yZWxzLy5yZWxzUEsBAi0AFAAGAAgAAAAhACWmnL3HAAAA3gAA&#10;AA8AAAAAAAAAAAAAAAAABwIAAGRycy9kb3ducmV2LnhtbFBLBQYAAAAAAwADALcAAAD7AgAAAAA=&#10;" filled="f" stroked="f">
                        <v:textbox inset="0,0,0,0">
                          <w:txbxContent>
                            <w:p w14:paraId="3FE4A1ED" w14:textId="77777777" w:rsidR="003E564E" w:rsidRDefault="003E564E" w:rsidP="00FF1E38">
                              <w:r>
                                <w:rPr>
                                  <w:b/>
                                  <w:sz w:val="16"/>
                                </w:rPr>
                                <w:t xml:space="preserve"> </w:t>
                              </w:r>
                            </w:p>
                          </w:txbxContent>
                        </v:textbox>
                      </v:rect>
                      <v:rect id="Rectangle 60741" o:spid="_x0000_s1046" style="position:absolute;left:1625;top:1112;width:554;height:13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dIvxwAAAN4AAAAPAAAAZHJzL2Rvd25yZXYueG1sRI9ba8JA&#10;FITfC/0Pyyn0rdlERCW6ihRK+lLBKz4esycXzJ6N2VXTf+8WCj4OM/MNM1v0phE36lxtWUESxSCI&#10;c6trLhXstl8fExDOI2tsLJOCX3KwmL++zDDV9s5rum18KQKEXYoKKu/bVEqXV2TQRbYlDl5hO4M+&#10;yK6UusN7gJtGDuJ4JA3WHBYqbOmzovy8uRoF+2R7PWRudeJjcRkPf3y2KspMqfe3fjkF4an3z/B/&#10;+1srGMXjYQJ/d8IVkPMHAAAA//8DAFBLAQItABQABgAIAAAAIQDb4fbL7gAAAIUBAAATAAAAAAAA&#10;AAAAAAAAAAAAAABbQ29udGVudF9UeXBlc10ueG1sUEsBAi0AFAAGAAgAAAAhAFr0LFu/AAAAFQEA&#10;AAsAAAAAAAAAAAAAAAAAHwEAAF9yZWxzLy5yZWxzUEsBAi0AFAAGAAgAAAAhAJ0F0i/HAAAA3gAA&#10;AA8AAAAAAAAAAAAAAAAABwIAAGRycy9kb3ducmV2LnhtbFBLBQYAAAAAAwADALcAAAD7AgAAAAA=&#10;" filled="f" stroked="f">
                        <v:textbox inset="0,0,0,0">
                          <w:txbxContent>
                            <w:p w14:paraId="545A3EA8" w14:textId="3153F492" w:rsidR="003E564E" w:rsidRDefault="003E564E" w:rsidP="00DD132E">
                              <w:pPr>
                                <w:ind w:left="0" w:firstLine="0"/>
                              </w:pPr>
                            </w:p>
                          </w:txbxContent>
                        </v:textbox>
                      </v:rect>
                      <w10:anchorlock/>
                    </v:group>
                  </w:pict>
                </mc:Fallback>
              </mc:AlternateContent>
            </w:r>
          </w:p>
        </w:tc>
        <w:tc>
          <w:tcPr>
            <w:tcW w:w="991" w:type="dxa"/>
            <w:vMerge w:val="restart"/>
            <w:tcBorders>
              <w:top w:val="single" w:sz="4" w:space="0" w:color="000000"/>
              <w:left w:val="single" w:sz="4" w:space="0" w:color="000000"/>
              <w:bottom w:val="single" w:sz="4" w:space="0" w:color="000000"/>
              <w:right w:val="single" w:sz="4" w:space="0" w:color="000000"/>
            </w:tcBorders>
            <w:shd w:val="clear" w:color="auto" w:fill="FFC000"/>
          </w:tcPr>
          <w:p w14:paraId="09A5AE1D" w14:textId="77777777" w:rsidR="00FF1E38" w:rsidRPr="00FF1E38" w:rsidRDefault="00FF1E38" w:rsidP="00FF1E38">
            <w:pPr>
              <w:spacing w:after="0" w:line="240" w:lineRule="auto"/>
              <w:ind w:left="235" w:right="0" w:firstLine="0"/>
              <w:jc w:val="left"/>
              <w:rPr>
                <w:rFonts w:ascii="Cambria" w:eastAsia="Cambria" w:hAnsi="Cambria" w:cs="Cambria"/>
                <w:b/>
                <w:sz w:val="20"/>
                <w:szCs w:val="20"/>
              </w:rPr>
            </w:pPr>
            <w:r w:rsidRPr="00FF1E38">
              <w:rPr>
                <w:rFonts w:ascii="Calibri" w:eastAsia="Calibri" w:hAnsi="Calibri" w:cs="Calibri"/>
                <w:b/>
                <w:noProof/>
                <w:sz w:val="20"/>
                <w:szCs w:val="20"/>
              </w:rPr>
              <mc:AlternateContent>
                <mc:Choice Requires="wpg">
                  <w:drawing>
                    <wp:inline distT="0" distB="0" distL="0" distR="0" wp14:anchorId="2995B6D4" wp14:editId="3B17BE41">
                      <wp:extent cx="347472" cy="1104900"/>
                      <wp:effectExtent l="0" t="0" r="0" b="0"/>
                      <wp:docPr id="1031100" name="Group 1031100"/>
                      <wp:cNvGraphicFramePr/>
                      <a:graphic xmlns:a="http://schemas.openxmlformats.org/drawingml/2006/main">
                        <a:graphicData uri="http://schemas.microsoft.com/office/word/2010/wordprocessingGroup">
                          <wpg:wgp>
                            <wpg:cNvGrpSpPr/>
                            <wpg:grpSpPr>
                              <a:xfrm>
                                <a:off x="0" y="0"/>
                                <a:ext cx="347472" cy="1104900"/>
                                <a:chOff x="0" y="0"/>
                                <a:chExt cx="347472" cy="542148"/>
                              </a:xfrm>
                            </wpg:grpSpPr>
                            <wps:wsp>
                              <wps:cNvPr id="60745" name="Rectangle 60745"/>
                              <wps:cNvSpPr/>
                              <wps:spPr>
                                <a:xfrm rot="-5399999">
                                  <a:off x="-81753" y="324590"/>
                                  <a:ext cx="299311" cy="135804"/>
                                </a:xfrm>
                                <a:prstGeom prst="rect">
                                  <a:avLst/>
                                </a:prstGeom>
                                <a:ln>
                                  <a:noFill/>
                                </a:ln>
                              </wps:spPr>
                              <wps:txbx>
                                <w:txbxContent>
                                  <w:p w14:paraId="71DE7815" w14:textId="77777777" w:rsidR="003E564E" w:rsidRDefault="003E564E" w:rsidP="00FF1E38">
                                    <w:r>
                                      <w:rPr>
                                        <w:b/>
                                        <w:sz w:val="16"/>
                                      </w:rPr>
                                      <w:t xml:space="preserve">Broj </w:t>
                                    </w:r>
                                  </w:p>
                                </w:txbxContent>
                              </wps:txbx>
                              <wps:bodyPr horzOverflow="overflow" vert="horz" lIns="0" tIns="0" rIns="0" bIns="0" rtlCol="0">
                                <a:noAutofit/>
                              </wps:bodyPr>
                            </wps:wsp>
                            <wps:wsp>
                              <wps:cNvPr id="60747" name="Rectangle 60747"/>
                              <wps:cNvSpPr/>
                              <wps:spPr>
                                <a:xfrm rot="-5399999">
                                  <a:off x="-154749" y="128150"/>
                                  <a:ext cx="692191" cy="135804"/>
                                </a:xfrm>
                                <a:prstGeom prst="rect">
                                  <a:avLst/>
                                </a:prstGeom>
                                <a:ln>
                                  <a:noFill/>
                                </a:ln>
                              </wps:spPr>
                              <wps:txbx>
                                <w:txbxContent>
                                  <w:p w14:paraId="0295F419" w14:textId="77777777" w:rsidR="003E564E" w:rsidRDefault="003E564E" w:rsidP="00FF1E38">
                                    <w:r>
                                      <w:rPr>
                                        <w:b/>
                                        <w:sz w:val="16"/>
                                      </w:rPr>
                                      <w:t>stanovnika</w:t>
                                    </w:r>
                                  </w:p>
                                </w:txbxContent>
                              </wps:txbx>
                              <wps:bodyPr horzOverflow="overflow" vert="horz" lIns="0" tIns="0" rIns="0" bIns="0" rtlCol="0">
                                <a:noAutofit/>
                              </wps:bodyPr>
                            </wps:wsp>
                            <wps:wsp>
                              <wps:cNvPr id="60748" name="Rectangle 60748"/>
                              <wps:cNvSpPr/>
                              <wps:spPr>
                                <a:xfrm rot="-5399999">
                                  <a:off x="176407" y="-60376"/>
                                  <a:ext cx="29877" cy="135804"/>
                                </a:xfrm>
                                <a:prstGeom prst="rect">
                                  <a:avLst/>
                                </a:prstGeom>
                                <a:ln>
                                  <a:noFill/>
                                </a:ln>
                              </wps:spPr>
                              <wps:txbx>
                                <w:txbxContent>
                                  <w:p w14:paraId="289ACCA1" w14:textId="77777777" w:rsidR="003E564E" w:rsidRDefault="003E564E" w:rsidP="00FF1E38">
                                    <w:r>
                                      <w:rPr>
                                        <w:b/>
                                        <w:sz w:val="16"/>
                                      </w:rPr>
                                      <w:t xml:space="preserve"> </w:t>
                                    </w:r>
                                  </w:p>
                                </w:txbxContent>
                              </wps:txbx>
                              <wps:bodyPr horzOverflow="overflow" vert="horz" lIns="0" tIns="0" rIns="0" bIns="0" rtlCol="0">
                                <a:noAutofit/>
                              </wps:bodyPr>
                            </wps:wsp>
                            <wps:wsp>
                              <wps:cNvPr id="60750" name="Rectangle 60750"/>
                              <wps:cNvSpPr/>
                              <wps:spPr>
                                <a:xfrm rot="-5399999">
                                  <a:off x="137537" y="298516"/>
                                  <a:ext cx="351459" cy="135804"/>
                                </a:xfrm>
                                <a:prstGeom prst="rect">
                                  <a:avLst/>
                                </a:prstGeom>
                                <a:ln>
                                  <a:noFill/>
                                </a:ln>
                              </wps:spPr>
                              <wps:txbx>
                                <w:txbxContent>
                                  <w:p w14:paraId="4D52852B" w14:textId="77777777" w:rsidR="003E564E" w:rsidRDefault="003E564E" w:rsidP="00FF1E38">
                                    <w:r>
                                      <w:rPr>
                                        <w:b/>
                                        <w:sz w:val="16"/>
                                      </w:rPr>
                                      <w:t>2011.</w:t>
                                    </w:r>
                                  </w:p>
                                </w:txbxContent>
                              </wps:txbx>
                              <wps:bodyPr horzOverflow="overflow" vert="horz" lIns="0" tIns="0" rIns="0" bIns="0" rtlCol="0">
                                <a:noAutofit/>
                              </wps:bodyPr>
                            </wps:wsp>
                            <wps:wsp>
                              <wps:cNvPr id="60751" name="Rectangle 60751"/>
                              <wps:cNvSpPr/>
                              <wps:spPr>
                                <a:xfrm rot="-5399999">
                                  <a:off x="298328" y="195655"/>
                                  <a:ext cx="29877" cy="135804"/>
                                </a:xfrm>
                                <a:prstGeom prst="rect">
                                  <a:avLst/>
                                </a:prstGeom>
                                <a:ln>
                                  <a:noFill/>
                                </a:ln>
                              </wps:spPr>
                              <wps:txbx>
                                <w:txbxContent>
                                  <w:p w14:paraId="2CFBB87F" w14:textId="77777777" w:rsidR="003E564E" w:rsidRDefault="003E564E" w:rsidP="00FF1E38">
                                    <w:r>
                                      <w:rPr>
                                        <w:b/>
                                        <w:sz w:val="16"/>
                                      </w:rPr>
                                      <w:t xml:space="preserve"> </w:t>
                                    </w:r>
                                  </w:p>
                                </w:txbxContent>
                              </wps:txbx>
                              <wps:bodyPr horzOverflow="overflow" vert="horz" lIns="0" tIns="0" rIns="0" bIns="0" rtlCol="0">
                                <a:noAutofit/>
                              </wps:bodyPr>
                            </wps:wsp>
                          </wpg:wgp>
                        </a:graphicData>
                      </a:graphic>
                    </wp:inline>
                  </w:drawing>
                </mc:Choice>
                <mc:Fallback>
                  <w:pict>
                    <v:group w14:anchorId="2995B6D4" id="Group 1031100" o:spid="_x0000_s1047" style="width:27.35pt;height:87pt;mso-position-horizontal-relative:char;mso-position-vertical-relative:line" coordsize="3474,54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Xbz0AIAADwMAAAOAAAAZHJzL2Uyb0RvYy54bWzkVslu2zAQvRfoPxC8O1qpDZGDommDAkUT&#10;NO0H0BK1AJJIkEzk9Os7pCS7cXypCyRB4wNNDaVZ3psZzvnFtu/QPZOq5UOOvTMXIzYUvGyHOsc/&#10;f3xeJRgpTYeSdnxgOX5gCl+s3787H0XGfN7wrmQSgZJBZaPIcaO1yBxHFQ3rqTrjgg1wWHHZUw2P&#10;snZKSUfQ3neO77qRM3JZCskLphRIL6dDvLb6q4oV+rqqFNOoyzH4pu0q7boxq7M+p1ktqWjaYnaD&#10;nuBFT9sBjO5UXVJN0Z1sn6jq20JyxSt9VvDe4VXVFszGANF47kE0V5LfCRtLnY212MEE0B7gdLLa&#10;4tv9jURtCdy5gee5gNFAeyDK2kaLEGAaRZ3B21dS3IobOQvq6clEvq1kb/4hJrS1AD/sAGZbjQoQ&#10;BmEcxj5GBRyBsTAFe5aBogGannxWNJ+OfEhC3wsT852zWHWMcztfRgG5pPZwqX+D67ahglkWlAFg&#10;hity45AsYH2HPKND3TE0iS069u0dVipTANsCFJIcUnFFgtT8bObMuK0SLyYBRoBQ4IcknQFaEPTT&#10;FGiaEQxI4oaPgKCZkEpfMd4js8mxBM+senr/VekJs+UV40w3mHXgn9uum06NBPBc/DU7vd1spxzx&#10;jDUj2vDyAZBouPx1DeVfdXzMMZ932HQEMG5OMeq+DMCAKb5lI5fNZtlI3X3ktkQndz7caV611t+9&#10;tdkvoHby4Vk4jo9zHC9AQEb8PccegUJILcmen3jkgOQo9b305Uj2l9jeDMlwSU1d73Eh2yZj8u8U&#10;kr04Cl3IHijkVeQGcWRQpdm+kJMYTm0nfP46Dt4axVBixyieKu9kigNo1RPFfpoQ74DigHjQwF+M&#10;Y3sz7Lvn/9+rCbTMI2UM4vnSOqWMgdjAh/5gJpaURIS8pjK2zrwGiu0ABiOqncnmcdrMwH8+2+t7&#10;P/SvfwMAAP//AwBQSwMEFAAGAAgAAAAhAMwLgx/cAAAABAEAAA8AAABkcnMvZG93bnJldi54bWxM&#10;j0FLw0AQhe+C/2EZwZvdRFtbYjalFPVUhLaC9DZNpklodjZkt0n67x296OXB8B7vfZMuR9uonjpf&#10;OzYQTyJQxLkrai4NfO7fHhagfEAusHFMBq7kYZnd3qSYFG7gLfW7UCopYZ+ggSqENtHa5xVZ9BPX&#10;Eot3cp3FIGdX6qLDQcptox+j6FlbrFkWKmxpXVF+3l2sgfcBh9VT/Npvzqf19bCffXxtYjLm/m5c&#10;vYAKNIa/MPzgCzpkwnR0Fy68agzII+FXxZtN56COkplPI9BZqv/DZ98AAAD//wMAUEsBAi0AFAAG&#10;AAgAAAAhALaDOJL+AAAA4QEAABMAAAAAAAAAAAAAAAAAAAAAAFtDb250ZW50X1R5cGVzXS54bWxQ&#10;SwECLQAUAAYACAAAACEAOP0h/9YAAACUAQAACwAAAAAAAAAAAAAAAAAvAQAAX3JlbHMvLnJlbHNQ&#10;SwECLQAUAAYACAAAACEAmyV289ACAAA8DAAADgAAAAAAAAAAAAAAAAAuAgAAZHJzL2Uyb0RvYy54&#10;bWxQSwECLQAUAAYACAAAACEAzAuDH9wAAAAEAQAADwAAAAAAAAAAAAAAAAAqBQAAZHJzL2Rvd25y&#10;ZXYueG1sUEsFBgAAAAAEAAQA8wAAADMGAAAAAA==&#10;">
                      <v:rect id="Rectangle 60745" o:spid="_x0000_s1048" style="position:absolute;left:-818;top:3246;width:2993;height:13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tQsxwAAAN4AAAAPAAAAZHJzL2Rvd25yZXYueG1sRI9Pa8JA&#10;FMTvhX6H5Qne6sZiVWI2UgoSLxWqVTw+sy9/MPs2ZldNv323IPQ4zMxvmGTZm0bcqHO1ZQXjUQSC&#10;OLe65lLB9271MgfhPLLGxjIp+CEHy/T5KcFY2zt/0W3rSxEg7GJUUHnfxlK6vCKDbmRb4uAVtjPo&#10;g+xKqTu8B7hp5GsUTaXBmsNChS19VJSft1ejYD/eXQ+Z25z4WFxmk0+fbYoyU2o46N8XIDz1/j/8&#10;aK+1gmk0m7zB351wBWT6CwAA//8DAFBLAQItABQABgAIAAAAIQDb4fbL7gAAAIUBAAATAAAAAAAA&#10;AAAAAAAAAAAAAABbQ29udGVudF9UeXBlc10ueG1sUEsBAi0AFAAGAAgAAAAhAFr0LFu/AAAAFQEA&#10;AAsAAAAAAAAAAAAAAAAAHwEAAF9yZWxzLy5yZWxzUEsBAi0AFAAGAAgAAAAhAOI+1CzHAAAA3gAA&#10;AA8AAAAAAAAAAAAAAAAABwIAAGRycy9kb3ducmV2LnhtbFBLBQYAAAAAAwADALcAAAD7AgAAAAA=&#10;" filled="f" stroked="f">
                        <v:textbox inset="0,0,0,0">
                          <w:txbxContent>
                            <w:p w14:paraId="71DE7815" w14:textId="77777777" w:rsidR="003E564E" w:rsidRDefault="003E564E" w:rsidP="00FF1E38">
                              <w:r>
                                <w:rPr>
                                  <w:b/>
                                  <w:sz w:val="16"/>
                                </w:rPr>
                                <w:t xml:space="preserve">Broj </w:t>
                              </w:r>
                            </w:p>
                          </w:txbxContent>
                        </v:textbox>
                      </v:rect>
                      <v:rect id="Rectangle 60747" o:spid="_x0000_s1049" style="position:absolute;left:-1548;top:1282;width:6921;height:13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O/AyAAAAN4AAAAPAAAAZHJzL2Rvd25yZXYueG1sRI9La8Mw&#10;EITvhf4HsYXeajklxMWxHEqhuJcG8mjIcWOtH9RauZaSuP8+CgRyHGbmGyZbjKYTJxpca1nBJIpB&#10;EJdWt1wr2G4+X95AOI+ssbNMCv7JwSJ/fMgw1fbMKzqtfS0ChF2KChrv+1RKVzZk0EW2Jw5eZQeD&#10;PsihlnrAc4CbTr7G8UwabDksNNjTR0Pl7/poFPxMNsdd4ZYH3ld/yfTbF8uqLpR6fhrf5yA8jf4e&#10;vrW/tIJZnEwTuN4JV0DmFwAAAP//AwBQSwECLQAUAAYACAAAACEA2+H2y+4AAACFAQAAEwAAAAAA&#10;AAAAAAAAAAAAAAAAW0NvbnRlbnRfVHlwZXNdLnhtbFBLAQItABQABgAIAAAAIQBa9CxbvwAAABUB&#10;AAALAAAAAAAAAAAAAAAAAB8BAABfcmVscy8ucmVsc1BLAQItABQABgAIAAAAIQB9oO/AyAAAAN4A&#10;AAAPAAAAAAAAAAAAAAAAAAcCAABkcnMvZG93bnJldi54bWxQSwUGAAAAAAMAAwC3AAAA/AIAAAAA&#10;" filled="f" stroked="f">
                        <v:textbox inset="0,0,0,0">
                          <w:txbxContent>
                            <w:p w14:paraId="0295F419" w14:textId="77777777" w:rsidR="003E564E" w:rsidRDefault="003E564E" w:rsidP="00FF1E38">
                              <w:r>
                                <w:rPr>
                                  <w:b/>
                                  <w:sz w:val="16"/>
                                </w:rPr>
                                <w:t>stanovnika</w:t>
                              </w:r>
                            </w:p>
                          </w:txbxContent>
                        </v:textbox>
                      </v:rect>
                      <v:rect id="Rectangle 60748" o:spid="_x0000_s1050" style="position:absolute;left:1764;top:-604;width:298;height:13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3uywwAAAN4AAAAPAAAAZHJzL2Rvd25yZXYueG1sRE/LisIw&#10;FN0L8w/hCu5sqohKNYoMSN0ojDqDyzvN7YNpbmoTtf69WQy4PJz3ct2ZWtypdZVlBaMoBkGcWV1x&#10;oeB82g7nIJxH1lhbJgVPcrBeffSWmGj74C+6H30hQgi7BBWU3jeJlC4ryaCLbEMcuNy2Bn2AbSF1&#10;i48Qbmo5juOpNFhxaCixoc+Ssr/jzSj4Hp1uP6k7/PIlv84me58e8iJVatDvNgsQnjr/Fv+7d1rB&#10;NJ5Nwt5wJ1wBuXoBAAD//wMAUEsBAi0AFAAGAAgAAAAhANvh9svuAAAAhQEAABMAAAAAAAAAAAAA&#10;AAAAAAAAAFtDb250ZW50X1R5cGVzXS54bWxQSwECLQAUAAYACAAAACEAWvQsW78AAAAVAQAACwAA&#10;AAAAAAAAAAAAAAAfAQAAX3JlbHMvLnJlbHNQSwECLQAUAAYACAAAACEADD97ssMAAADeAAAADwAA&#10;AAAAAAAAAAAAAAAHAgAAZHJzL2Rvd25yZXYueG1sUEsFBgAAAAADAAMAtwAAAPcCAAAAAA==&#10;" filled="f" stroked="f">
                        <v:textbox inset="0,0,0,0">
                          <w:txbxContent>
                            <w:p w14:paraId="289ACCA1" w14:textId="77777777" w:rsidR="003E564E" w:rsidRDefault="003E564E" w:rsidP="00FF1E38">
                              <w:r>
                                <w:rPr>
                                  <w:b/>
                                  <w:sz w:val="16"/>
                                </w:rPr>
                                <w:t xml:space="preserve"> </w:t>
                              </w:r>
                            </w:p>
                          </w:txbxContent>
                        </v:textbox>
                      </v:rect>
                      <v:rect id="Rectangle 60750" o:spid="_x0000_s1051" style="position:absolute;left:1374;top:2985;width:3515;height:13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OFpxgAAAN4AAAAPAAAAZHJzL2Rvd25yZXYueG1sRI/LasJA&#10;FIb3Qt9hOIXudBKpWlLHUIQSNwYaW3F5mjm50MyZNDNqfPvOQujy57/xrdPRdOJCg2stK4hnEQji&#10;0uqWawWfh/fpCwjnkTV2lknBjRykm4fJGhNtr/xBl8LXIoywS1BB432fSOnKhgy6me2Jg1fZwaAP&#10;cqilHvAaxk0n51G0lAZbDg8N9rRtqPwpzkbBV3w4HzOXf/Op+l09732WV3Wm1NPj+PYKwtPo/8P3&#10;9k4rWEarRQAIOAEF5OYPAAD//wMAUEsBAi0AFAAGAAgAAAAhANvh9svuAAAAhQEAABMAAAAAAAAA&#10;AAAAAAAAAAAAAFtDb250ZW50X1R5cGVzXS54bWxQSwECLQAUAAYACAAAACEAWvQsW78AAAAVAQAA&#10;CwAAAAAAAAAAAAAAAAAfAQAAX3JlbHMvLnJlbHNQSwECLQAUAAYACAAAACEAd5DhacYAAADeAAAA&#10;DwAAAAAAAAAAAAAAAAAHAgAAZHJzL2Rvd25yZXYueG1sUEsFBgAAAAADAAMAtwAAAPoCAAAAAA==&#10;" filled="f" stroked="f">
                        <v:textbox inset="0,0,0,0">
                          <w:txbxContent>
                            <w:p w14:paraId="4D52852B" w14:textId="77777777" w:rsidR="003E564E" w:rsidRDefault="003E564E" w:rsidP="00FF1E38">
                              <w:r>
                                <w:rPr>
                                  <w:b/>
                                  <w:sz w:val="16"/>
                                </w:rPr>
                                <w:t>2011.</w:t>
                              </w:r>
                            </w:p>
                          </w:txbxContent>
                        </v:textbox>
                      </v:rect>
                      <v:rect id="Rectangle 60751" o:spid="_x0000_s1052" style="position:absolute;left:2983;top:1956;width:298;height:135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ETyxwAAAN4AAAAPAAAAZHJzL2Rvd25yZXYueG1sRI9ba8JA&#10;FITfBf/DcoS+6SbSqqSuUgolfalQb/h4zJ5caPZszK4a/31XEHwcZuYbZr7sTC0u1LrKsoJ4FIEg&#10;zqyuuFCw3XwNZyCcR9ZYWyYFN3KwXPR7c0y0vfIvXda+EAHCLkEFpfdNIqXLSjLoRrYhDl5uW4M+&#10;yLaQusVrgJtajqNoIg1WHBZKbOizpOxvfTYKdvHmvE/d6siH/DR9/fHpKi9SpV4G3cc7CE+df4Yf&#10;7W+tYBJN32K43wlXQC7+AQAA//8DAFBLAQItABQABgAIAAAAIQDb4fbL7gAAAIUBAAATAAAAAAAA&#10;AAAAAAAAAAAAAABbQ29udGVudF9UeXBlc10ueG1sUEsBAi0AFAAGAAgAAAAhAFr0LFu/AAAAFQEA&#10;AAsAAAAAAAAAAAAAAAAAHwEAAF9yZWxzLy5yZWxzUEsBAi0AFAAGAAgAAAAhABjcRPLHAAAA3gAA&#10;AA8AAAAAAAAAAAAAAAAABwIAAGRycy9kb3ducmV2LnhtbFBLBQYAAAAAAwADALcAAAD7AgAAAAA=&#10;" filled="f" stroked="f">
                        <v:textbox inset="0,0,0,0">
                          <w:txbxContent>
                            <w:p w14:paraId="2CFBB87F" w14:textId="77777777" w:rsidR="003E564E" w:rsidRDefault="003E564E" w:rsidP="00FF1E38">
                              <w:r>
                                <w:rPr>
                                  <w:b/>
                                  <w:sz w:val="16"/>
                                </w:rPr>
                                <w:t xml:space="preserve"> </w:t>
                              </w:r>
                            </w:p>
                          </w:txbxContent>
                        </v:textbox>
                      </v:rect>
                      <w10:anchorlock/>
                    </v:group>
                  </w:pict>
                </mc:Fallback>
              </mc:AlternateContent>
            </w:r>
          </w:p>
        </w:tc>
        <w:tc>
          <w:tcPr>
            <w:tcW w:w="900" w:type="dxa"/>
            <w:tcBorders>
              <w:top w:val="single" w:sz="4" w:space="0" w:color="000000"/>
              <w:left w:val="single" w:sz="4" w:space="0" w:color="000000"/>
              <w:bottom w:val="single" w:sz="4" w:space="0" w:color="000000"/>
              <w:right w:val="nil"/>
            </w:tcBorders>
            <w:shd w:val="clear" w:color="auto" w:fill="FFC000"/>
          </w:tcPr>
          <w:p w14:paraId="34155558" w14:textId="77777777" w:rsidR="00FF1E38" w:rsidRPr="00FF1E38" w:rsidRDefault="00FF1E38" w:rsidP="00FF1E38">
            <w:pPr>
              <w:spacing w:after="0" w:line="240" w:lineRule="auto"/>
              <w:ind w:left="0" w:right="0" w:firstLine="0"/>
              <w:jc w:val="left"/>
              <w:rPr>
                <w:rFonts w:ascii="Cambria" w:eastAsia="Cambria" w:hAnsi="Cambria" w:cs="Cambria"/>
                <w:sz w:val="20"/>
                <w:szCs w:val="20"/>
              </w:rPr>
            </w:pPr>
          </w:p>
        </w:tc>
        <w:tc>
          <w:tcPr>
            <w:tcW w:w="4345" w:type="dxa"/>
            <w:gridSpan w:val="4"/>
            <w:tcBorders>
              <w:top w:val="single" w:sz="4" w:space="0" w:color="000000"/>
              <w:left w:val="nil"/>
              <w:bottom w:val="single" w:sz="4" w:space="0" w:color="000000"/>
              <w:right w:val="single" w:sz="4" w:space="0" w:color="000000"/>
            </w:tcBorders>
            <w:shd w:val="clear" w:color="auto" w:fill="FFC000"/>
          </w:tcPr>
          <w:p w14:paraId="3177DD66" w14:textId="77777777" w:rsidR="00FF1E38" w:rsidRPr="00FF1E38" w:rsidRDefault="00FF1E38" w:rsidP="00FF1E38">
            <w:pPr>
              <w:spacing w:after="0" w:line="240" w:lineRule="auto"/>
              <w:ind w:left="994" w:right="850" w:hanging="785"/>
              <w:jc w:val="left"/>
              <w:rPr>
                <w:rFonts w:ascii="Cambria" w:eastAsia="Cambria" w:hAnsi="Cambria" w:cs="Cambria"/>
                <w:sz w:val="20"/>
                <w:szCs w:val="20"/>
              </w:rPr>
            </w:pPr>
            <w:r w:rsidRPr="00FF1E38">
              <w:rPr>
                <w:rFonts w:ascii="Cambria" w:eastAsia="Cambria" w:hAnsi="Cambria" w:cs="Cambria"/>
                <w:b/>
                <w:sz w:val="20"/>
                <w:szCs w:val="20"/>
              </w:rPr>
              <w:t xml:space="preserve">Zastupljenost tipova zgrada u postotcima po nosivom sustavu </w:t>
            </w:r>
          </w:p>
        </w:tc>
      </w:tr>
      <w:tr w:rsidR="00FF1E38" w:rsidRPr="00FF1E38" w14:paraId="5C91947A" w14:textId="77777777" w:rsidTr="00DE0C9A">
        <w:trPr>
          <w:trHeight w:val="197"/>
        </w:trPr>
        <w:tc>
          <w:tcPr>
            <w:tcW w:w="0" w:type="auto"/>
            <w:vMerge/>
            <w:tcBorders>
              <w:top w:val="nil"/>
              <w:left w:val="single" w:sz="4" w:space="0" w:color="000000"/>
              <w:bottom w:val="nil"/>
              <w:right w:val="single" w:sz="4" w:space="0" w:color="000000"/>
            </w:tcBorders>
          </w:tcPr>
          <w:p w14:paraId="558BB1F9" w14:textId="77777777" w:rsidR="00FF1E38" w:rsidRPr="00FF1E38" w:rsidRDefault="00FF1E38" w:rsidP="00FF1E38">
            <w:pPr>
              <w:spacing w:after="0" w:line="240" w:lineRule="auto"/>
              <w:ind w:left="0" w:right="0" w:firstLine="0"/>
              <w:jc w:val="left"/>
              <w:rPr>
                <w:rFonts w:ascii="Cambria" w:eastAsia="Cambria" w:hAnsi="Cambria" w:cs="Cambria"/>
                <w:sz w:val="20"/>
                <w:szCs w:val="20"/>
              </w:rPr>
            </w:pPr>
          </w:p>
        </w:tc>
        <w:tc>
          <w:tcPr>
            <w:tcW w:w="0" w:type="auto"/>
            <w:vMerge/>
            <w:tcBorders>
              <w:top w:val="nil"/>
              <w:left w:val="single" w:sz="4" w:space="0" w:color="000000"/>
              <w:bottom w:val="nil"/>
              <w:right w:val="single" w:sz="4" w:space="0" w:color="000000"/>
            </w:tcBorders>
          </w:tcPr>
          <w:p w14:paraId="6B377558" w14:textId="77777777" w:rsidR="00FF1E38" w:rsidRPr="00FF1E38" w:rsidRDefault="00FF1E38" w:rsidP="00FF1E38">
            <w:pPr>
              <w:spacing w:after="0" w:line="240" w:lineRule="auto"/>
              <w:ind w:left="0" w:right="0" w:firstLine="0"/>
              <w:jc w:val="left"/>
              <w:rPr>
                <w:rFonts w:ascii="Cambria" w:eastAsia="Cambria" w:hAnsi="Cambria" w:cs="Cambria"/>
                <w:sz w:val="20"/>
                <w:szCs w:val="20"/>
              </w:rPr>
            </w:pPr>
          </w:p>
        </w:tc>
        <w:tc>
          <w:tcPr>
            <w:tcW w:w="0" w:type="auto"/>
            <w:vMerge/>
            <w:tcBorders>
              <w:top w:val="nil"/>
              <w:left w:val="single" w:sz="4" w:space="0" w:color="000000"/>
              <w:bottom w:val="nil"/>
              <w:right w:val="single" w:sz="4" w:space="0" w:color="000000"/>
            </w:tcBorders>
          </w:tcPr>
          <w:p w14:paraId="499DB3A5" w14:textId="77777777" w:rsidR="00FF1E38" w:rsidRPr="00FF1E38" w:rsidRDefault="00FF1E38" w:rsidP="00FF1E38">
            <w:pPr>
              <w:spacing w:after="0" w:line="240" w:lineRule="auto"/>
              <w:ind w:left="0" w:right="0" w:firstLine="0"/>
              <w:jc w:val="left"/>
              <w:rPr>
                <w:rFonts w:ascii="Cambria" w:eastAsia="Cambria" w:hAnsi="Cambria" w:cs="Cambria"/>
                <w:sz w:val="20"/>
                <w:szCs w:val="20"/>
              </w:rPr>
            </w:pPr>
          </w:p>
        </w:tc>
        <w:tc>
          <w:tcPr>
            <w:tcW w:w="0" w:type="auto"/>
            <w:vMerge/>
            <w:tcBorders>
              <w:top w:val="nil"/>
              <w:left w:val="single" w:sz="4" w:space="0" w:color="000000"/>
              <w:bottom w:val="nil"/>
              <w:right w:val="single" w:sz="4" w:space="0" w:color="000000"/>
            </w:tcBorders>
          </w:tcPr>
          <w:p w14:paraId="42019263" w14:textId="77777777" w:rsidR="00FF1E38" w:rsidRPr="00FF1E38" w:rsidRDefault="00FF1E38" w:rsidP="00FF1E38">
            <w:pPr>
              <w:spacing w:after="0" w:line="240" w:lineRule="auto"/>
              <w:ind w:left="0" w:right="0" w:firstLine="0"/>
              <w:jc w:val="left"/>
              <w:rPr>
                <w:rFonts w:ascii="Cambria" w:eastAsia="Cambria" w:hAnsi="Cambria" w:cs="Cambria"/>
                <w:sz w:val="20"/>
                <w:szCs w:val="20"/>
              </w:rPr>
            </w:pPr>
          </w:p>
        </w:tc>
        <w:tc>
          <w:tcPr>
            <w:tcW w:w="900" w:type="dxa"/>
            <w:tcBorders>
              <w:top w:val="single" w:sz="4" w:space="0" w:color="000000"/>
              <w:left w:val="single" w:sz="4" w:space="0" w:color="000000"/>
              <w:bottom w:val="single" w:sz="4" w:space="0" w:color="000000"/>
              <w:right w:val="single" w:sz="4" w:space="0" w:color="000000"/>
            </w:tcBorders>
            <w:shd w:val="clear" w:color="auto" w:fill="FFC000"/>
          </w:tcPr>
          <w:p w14:paraId="5159CAD0" w14:textId="77777777" w:rsidR="00FF1E38" w:rsidRPr="00FF1E38" w:rsidRDefault="00FF1E38" w:rsidP="00FF1E38">
            <w:pPr>
              <w:spacing w:after="0" w:line="240" w:lineRule="auto"/>
              <w:ind w:left="37" w:right="0" w:firstLine="0"/>
              <w:jc w:val="center"/>
              <w:rPr>
                <w:rFonts w:ascii="Cambria" w:eastAsia="Cambria" w:hAnsi="Cambria" w:cs="Cambria"/>
                <w:sz w:val="20"/>
                <w:szCs w:val="20"/>
              </w:rPr>
            </w:pPr>
            <w:r w:rsidRPr="00FF1E38">
              <w:rPr>
                <w:rFonts w:ascii="Cambria" w:eastAsia="Cambria" w:hAnsi="Cambria" w:cs="Cambria"/>
                <w:b/>
                <w:sz w:val="20"/>
                <w:szCs w:val="20"/>
              </w:rPr>
              <w:t xml:space="preserve">A </w:t>
            </w:r>
          </w:p>
        </w:tc>
        <w:tc>
          <w:tcPr>
            <w:tcW w:w="1086" w:type="dxa"/>
            <w:tcBorders>
              <w:top w:val="single" w:sz="4" w:space="0" w:color="000000"/>
              <w:left w:val="single" w:sz="4" w:space="0" w:color="000000"/>
              <w:bottom w:val="single" w:sz="4" w:space="0" w:color="000000"/>
              <w:right w:val="single" w:sz="4" w:space="0" w:color="000000"/>
            </w:tcBorders>
            <w:shd w:val="clear" w:color="auto" w:fill="FFC000"/>
          </w:tcPr>
          <w:p w14:paraId="7CC66826" w14:textId="77777777" w:rsidR="00FF1E38" w:rsidRPr="00FF1E38" w:rsidRDefault="00FF1E38" w:rsidP="00FF1E38">
            <w:pPr>
              <w:spacing w:after="0" w:line="240" w:lineRule="auto"/>
              <w:ind w:left="38" w:right="0" w:firstLine="0"/>
              <w:jc w:val="center"/>
              <w:rPr>
                <w:rFonts w:ascii="Cambria" w:eastAsia="Cambria" w:hAnsi="Cambria" w:cs="Cambria"/>
                <w:sz w:val="20"/>
                <w:szCs w:val="20"/>
              </w:rPr>
            </w:pPr>
            <w:r w:rsidRPr="00FF1E38">
              <w:rPr>
                <w:rFonts w:ascii="Cambria" w:eastAsia="Cambria" w:hAnsi="Cambria" w:cs="Cambria"/>
                <w:b/>
                <w:sz w:val="20"/>
                <w:szCs w:val="20"/>
              </w:rPr>
              <w:t xml:space="preserve">B1 </w:t>
            </w:r>
          </w:p>
        </w:tc>
        <w:tc>
          <w:tcPr>
            <w:tcW w:w="1086" w:type="dxa"/>
            <w:tcBorders>
              <w:top w:val="single" w:sz="4" w:space="0" w:color="000000"/>
              <w:left w:val="single" w:sz="4" w:space="0" w:color="000000"/>
              <w:bottom w:val="single" w:sz="4" w:space="0" w:color="000000"/>
              <w:right w:val="single" w:sz="4" w:space="0" w:color="000000"/>
            </w:tcBorders>
            <w:shd w:val="clear" w:color="auto" w:fill="FFC000"/>
          </w:tcPr>
          <w:p w14:paraId="62966ACB"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b/>
                <w:sz w:val="20"/>
                <w:szCs w:val="20"/>
              </w:rPr>
              <w:t xml:space="preserve">B2 </w:t>
            </w:r>
          </w:p>
        </w:tc>
        <w:tc>
          <w:tcPr>
            <w:tcW w:w="1088" w:type="dxa"/>
            <w:tcBorders>
              <w:top w:val="single" w:sz="4" w:space="0" w:color="000000"/>
              <w:left w:val="single" w:sz="4" w:space="0" w:color="000000"/>
              <w:bottom w:val="single" w:sz="4" w:space="0" w:color="000000"/>
              <w:right w:val="single" w:sz="4" w:space="0" w:color="000000"/>
            </w:tcBorders>
            <w:shd w:val="clear" w:color="auto" w:fill="FFC000"/>
          </w:tcPr>
          <w:p w14:paraId="3F8BEAA7" w14:textId="77777777" w:rsidR="00FF1E38" w:rsidRPr="00FF1E38" w:rsidRDefault="00FF1E38" w:rsidP="00FF1E38">
            <w:pPr>
              <w:spacing w:after="0" w:line="240" w:lineRule="auto"/>
              <w:ind w:left="32" w:right="0" w:firstLine="0"/>
              <w:jc w:val="center"/>
              <w:rPr>
                <w:rFonts w:ascii="Cambria" w:eastAsia="Cambria" w:hAnsi="Cambria" w:cs="Cambria"/>
                <w:sz w:val="20"/>
                <w:szCs w:val="20"/>
              </w:rPr>
            </w:pPr>
            <w:r w:rsidRPr="00FF1E38">
              <w:rPr>
                <w:rFonts w:ascii="Cambria" w:eastAsia="Cambria" w:hAnsi="Cambria" w:cs="Cambria"/>
                <w:b/>
                <w:sz w:val="20"/>
                <w:szCs w:val="20"/>
              </w:rPr>
              <w:t xml:space="preserve">C1 </w:t>
            </w:r>
          </w:p>
        </w:tc>
        <w:tc>
          <w:tcPr>
            <w:tcW w:w="1085" w:type="dxa"/>
            <w:tcBorders>
              <w:top w:val="single" w:sz="4" w:space="0" w:color="000000"/>
              <w:left w:val="single" w:sz="4" w:space="0" w:color="000000"/>
              <w:bottom w:val="single" w:sz="4" w:space="0" w:color="000000"/>
              <w:right w:val="single" w:sz="4" w:space="0" w:color="000000"/>
            </w:tcBorders>
            <w:shd w:val="clear" w:color="auto" w:fill="FFC000"/>
          </w:tcPr>
          <w:p w14:paraId="75B5DAA3" w14:textId="77777777" w:rsidR="00FF1E38" w:rsidRPr="00FF1E38" w:rsidRDefault="00FF1E38" w:rsidP="00FF1E38">
            <w:pPr>
              <w:spacing w:after="0" w:line="240" w:lineRule="auto"/>
              <w:ind w:left="35" w:right="0" w:firstLine="0"/>
              <w:jc w:val="center"/>
              <w:rPr>
                <w:rFonts w:ascii="Cambria" w:eastAsia="Cambria" w:hAnsi="Cambria" w:cs="Cambria"/>
                <w:sz w:val="20"/>
                <w:szCs w:val="20"/>
              </w:rPr>
            </w:pPr>
            <w:r w:rsidRPr="00FF1E38">
              <w:rPr>
                <w:rFonts w:ascii="Cambria" w:eastAsia="Cambria" w:hAnsi="Cambria" w:cs="Cambria"/>
                <w:b/>
                <w:sz w:val="20"/>
                <w:szCs w:val="20"/>
              </w:rPr>
              <w:t xml:space="preserve">C2 </w:t>
            </w:r>
          </w:p>
        </w:tc>
      </w:tr>
      <w:tr w:rsidR="00FF1E38" w:rsidRPr="00FF1E38" w14:paraId="51EBA136" w14:textId="77777777" w:rsidTr="00DE0C9A">
        <w:trPr>
          <w:trHeight w:val="574"/>
        </w:trPr>
        <w:tc>
          <w:tcPr>
            <w:tcW w:w="0" w:type="auto"/>
            <w:vMerge/>
            <w:tcBorders>
              <w:top w:val="nil"/>
              <w:left w:val="single" w:sz="4" w:space="0" w:color="000000"/>
              <w:bottom w:val="single" w:sz="4" w:space="0" w:color="000000"/>
              <w:right w:val="single" w:sz="4" w:space="0" w:color="000000"/>
            </w:tcBorders>
          </w:tcPr>
          <w:p w14:paraId="57F9F080" w14:textId="77777777" w:rsidR="00FF1E38" w:rsidRPr="00FF1E38" w:rsidRDefault="00FF1E38" w:rsidP="00FF1E38">
            <w:pPr>
              <w:spacing w:after="0" w:line="240" w:lineRule="auto"/>
              <w:ind w:left="0" w:right="0" w:firstLine="0"/>
              <w:jc w:val="left"/>
              <w:rPr>
                <w:rFonts w:ascii="Cambria" w:eastAsia="Cambria" w:hAnsi="Cambria" w:cs="Cambria"/>
                <w:sz w:val="20"/>
                <w:szCs w:val="20"/>
              </w:rPr>
            </w:pPr>
          </w:p>
        </w:tc>
        <w:tc>
          <w:tcPr>
            <w:tcW w:w="0" w:type="auto"/>
            <w:vMerge/>
            <w:tcBorders>
              <w:top w:val="nil"/>
              <w:left w:val="single" w:sz="4" w:space="0" w:color="000000"/>
              <w:bottom w:val="single" w:sz="4" w:space="0" w:color="000000"/>
              <w:right w:val="single" w:sz="4" w:space="0" w:color="000000"/>
            </w:tcBorders>
          </w:tcPr>
          <w:p w14:paraId="2A8C32B9" w14:textId="77777777" w:rsidR="00FF1E38" w:rsidRPr="00FF1E38" w:rsidRDefault="00FF1E38" w:rsidP="00FF1E38">
            <w:pPr>
              <w:spacing w:after="0" w:line="240" w:lineRule="auto"/>
              <w:ind w:left="0" w:right="0" w:firstLine="0"/>
              <w:jc w:val="left"/>
              <w:rPr>
                <w:rFonts w:ascii="Cambria" w:eastAsia="Cambria" w:hAnsi="Cambria" w:cs="Cambria"/>
                <w:sz w:val="20"/>
                <w:szCs w:val="20"/>
              </w:rPr>
            </w:pPr>
          </w:p>
        </w:tc>
        <w:tc>
          <w:tcPr>
            <w:tcW w:w="0" w:type="auto"/>
            <w:vMerge/>
            <w:tcBorders>
              <w:top w:val="nil"/>
              <w:left w:val="single" w:sz="4" w:space="0" w:color="000000"/>
              <w:bottom w:val="single" w:sz="4" w:space="0" w:color="000000"/>
              <w:right w:val="single" w:sz="4" w:space="0" w:color="000000"/>
            </w:tcBorders>
          </w:tcPr>
          <w:p w14:paraId="5F829CFA" w14:textId="77777777" w:rsidR="00FF1E38" w:rsidRPr="00FF1E38" w:rsidRDefault="00FF1E38" w:rsidP="00FF1E38">
            <w:pPr>
              <w:spacing w:after="0" w:line="240" w:lineRule="auto"/>
              <w:ind w:left="0" w:right="0" w:firstLine="0"/>
              <w:jc w:val="left"/>
              <w:rPr>
                <w:rFonts w:ascii="Cambria" w:eastAsia="Cambria" w:hAnsi="Cambria" w:cs="Cambria"/>
                <w:sz w:val="20"/>
                <w:szCs w:val="20"/>
              </w:rPr>
            </w:pPr>
          </w:p>
        </w:tc>
        <w:tc>
          <w:tcPr>
            <w:tcW w:w="0" w:type="auto"/>
            <w:vMerge/>
            <w:tcBorders>
              <w:top w:val="nil"/>
              <w:left w:val="single" w:sz="4" w:space="0" w:color="000000"/>
              <w:bottom w:val="single" w:sz="4" w:space="0" w:color="000000"/>
              <w:right w:val="single" w:sz="4" w:space="0" w:color="000000"/>
            </w:tcBorders>
          </w:tcPr>
          <w:p w14:paraId="30CCFE62" w14:textId="77777777" w:rsidR="00FF1E38" w:rsidRPr="00FF1E38" w:rsidRDefault="00FF1E38" w:rsidP="00FF1E38">
            <w:pPr>
              <w:spacing w:after="0" w:line="240" w:lineRule="auto"/>
              <w:ind w:left="0" w:right="0" w:firstLine="0"/>
              <w:jc w:val="left"/>
              <w:rPr>
                <w:rFonts w:ascii="Cambria" w:eastAsia="Cambria" w:hAnsi="Cambria" w:cs="Cambria"/>
                <w:sz w:val="20"/>
                <w:szCs w:val="20"/>
              </w:rPr>
            </w:pPr>
          </w:p>
        </w:tc>
        <w:tc>
          <w:tcPr>
            <w:tcW w:w="900" w:type="dxa"/>
            <w:tcBorders>
              <w:top w:val="single" w:sz="4" w:space="0" w:color="000000"/>
              <w:left w:val="single" w:sz="4" w:space="0" w:color="000000"/>
              <w:bottom w:val="single" w:sz="4" w:space="0" w:color="000000"/>
              <w:right w:val="single" w:sz="4" w:space="0" w:color="000000"/>
            </w:tcBorders>
            <w:shd w:val="clear" w:color="auto" w:fill="FFC000"/>
          </w:tcPr>
          <w:p w14:paraId="4347CE18"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b/>
                <w:sz w:val="20"/>
                <w:szCs w:val="20"/>
              </w:rPr>
              <w:t xml:space="preserve">razni </w:t>
            </w:r>
          </w:p>
          <w:p w14:paraId="34BA360D" w14:textId="77777777" w:rsidR="00FF1E38" w:rsidRPr="00FF1E38" w:rsidRDefault="00FF1E38" w:rsidP="00FF1E38">
            <w:pPr>
              <w:spacing w:after="0" w:line="240" w:lineRule="auto"/>
              <w:ind w:left="0" w:right="0" w:firstLine="0"/>
              <w:jc w:val="center"/>
              <w:rPr>
                <w:rFonts w:ascii="Cambria" w:eastAsia="Cambria" w:hAnsi="Cambria" w:cs="Cambria"/>
                <w:sz w:val="20"/>
                <w:szCs w:val="20"/>
              </w:rPr>
            </w:pPr>
            <w:r w:rsidRPr="00FF1E38">
              <w:rPr>
                <w:rFonts w:ascii="Cambria" w:eastAsia="Cambria" w:hAnsi="Cambria" w:cs="Cambria"/>
                <w:b/>
                <w:sz w:val="20"/>
                <w:szCs w:val="20"/>
              </w:rPr>
              <w:t xml:space="preserve">tipovi zgrada </w:t>
            </w:r>
          </w:p>
        </w:tc>
        <w:tc>
          <w:tcPr>
            <w:tcW w:w="1086" w:type="dxa"/>
            <w:tcBorders>
              <w:top w:val="single" w:sz="4" w:space="0" w:color="000000"/>
              <w:left w:val="single" w:sz="4" w:space="0" w:color="000000"/>
              <w:bottom w:val="single" w:sz="4" w:space="0" w:color="000000"/>
              <w:right w:val="single" w:sz="4" w:space="0" w:color="000000"/>
            </w:tcBorders>
            <w:shd w:val="clear" w:color="auto" w:fill="FFC000"/>
          </w:tcPr>
          <w:p w14:paraId="66B86790" w14:textId="77777777" w:rsidR="00FF1E38" w:rsidRPr="00FF1E38" w:rsidRDefault="00FF1E38" w:rsidP="00FF1E38">
            <w:pPr>
              <w:spacing w:after="0" w:line="240" w:lineRule="auto"/>
              <w:ind w:left="35" w:right="0" w:firstLine="0"/>
              <w:jc w:val="center"/>
              <w:rPr>
                <w:rFonts w:ascii="Cambria" w:eastAsia="Cambria" w:hAnsi="Cambria" w:cs="Cambria"/>
                <w:sz w:val="20"/>
                <w:szCs w:val="20"/>
              </w:rPr>
            </w:pPr>
            <w:r w:rsidRPr="00FF1E38">
              <w:rPr>
                <w:rFonts w:ascii="Cambria" w:eastAsia="Cambria" w:hAnsi="Cambria" w:cs="Cambria"/>
                <w:b/>
                <w:sz w:val="20"/>
                <w:szCs w:val="20"/>
              </w:rPr>
              <w:t xml:space="preserve">zidane </w:t>
            </w:r>
          </w:p>
          <w:p w14:paraId="4B69ED28"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b/>
                <w:sz w:val="20"/>
                <w:szCs w:val="20"/>
              </w:rPr>
              <w:t>zgrade s 1-</w:t>
            </w:r>
          </w:p>
          <w:p w14:paraId="39BBFC4F" w14:textId="77777777" w:rsidR="00FF1E38" w:rsidRPr="00FF1E38" w:rsidRDefault="00FF1E38" w:rsidP="00FF1E38">
            <w:pPr>
              <w:spacing w:after="0" w:line="240" w:lineRule="auto"/>
              <w:ind w:left="37" w:right="0" w:firstLine="0"/>
              <w:jc w:val="center"/>
              <w:rPr>
                <w:rFonts w:ascii="Cambria" w:eastAsia="Cambria" w:hAnsi="Cambria" w:cs="Cambria"/>
                <w:sz w:val="20"/>
                <w:szCs w:val="20"/>
              </w:rPr>
            </w:pPr>
            <w:r w:rsidRPr="00FF1E38">
              <w:rPr>
                <w:rFonts w:ascii="Cambria" w:eastAsia="Cambria" w:hAnsi="Cambria" w:cs="Cambria"/>
                <w:b/>
                <w:sz w:val="20"/>
                <w:szCs w:val="20"/>
              </w:rPr>
              <w:t xml:space="preserve">2 etaže </w:t>
            </w:r>
          </w:p>
        </w:tc>
        <w:tc>
          <w:tcPr>
            <w:tcW w:w="1086" w:type="dxa"/>
            <w:tcBorders>
              <w:top w:val="single" w:sz="4" w:space="0" w:color="000000"/>
              <w:left w:val="single" w:sz="4" w:space="0" w:color="000000"/>
              <w:bottom w:val="single" w:sz="4" w:space="0" w:color="000000"/>
              <w:right w:val="single" w:sz="4" w:space="0" w:color="000000"/>
            </w:tcBorders>
            <w:shd w:val="clear" w:color="auto" w:fill="FFC000"/>
          </w:tcPr>
          <w:p w14:paraId="7BCB484C"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b/>
                <w:sz w:val="20"/>
                <w:szCs w:val="20"/>
              </w:rPr>
              <w:t xml:space="preserve">zidane </w:t>
            </w:r>
          </w:p>
          <w:p w14:paraId="40A19780"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b/>
                <w:sz w:val="20"/>
                <w:szCs w:val="20"/>
              </w:rPr>
              <w:t>zgrade s 3-</w:t>
            </w:r>
          </w:p>
          <w:p w14:paraId="123DE823"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b/>
                <w:sz w:val="20"/>
                <w:szCs w:val="20"/>
              </w:rPr>
              <w:t xml:space="preserve">6 etaža </w:t>
            </w:r>
          </w:p>
        </w:tc>
        <w:tc>
          <w:tcPr>
            <w:tcW w:w="1088" w:type="dxa"/>
            <w:tcBorders>
              <w:top w:val="single" w:sz="4" w:space="0" w:color="000000"/>
              <w:left w:val="single" w:sz="4" w:space="0" w:color="000000"/>
              <w:bottom w:val="single" w:sz="4" w:space="0" w:color="000000"/>
              <w:right w:val="single" w:sz="4" w:space="0" w:color="000000"/>
            </w:tcBorders>
            <w:shd w:val="clear" w:color="auto" w:fill="FFC000"/>
          </w:tcPr>
          <w:p w14:paraId="6BFF4A00" w14:textId="77777777" w:rsidR="00FF1E38" w:rsidRPr="00FF1E38" w:rsidRDefault="00FF1E38" w:rsidP="00FF1E38">
            <w:pPr>
              <w:spacing w:after="0" w:line="240" w:lineRule="auto"/>
              <w:ind w:left="0" w:right="0" w:firstLine="0"/>
              <w:jc w:val="center"/>
              <w:rPr>
                <w:rFonts w:ascii="Cambria" w:eastAsia="Cambria" w:hAnsi="Cambria" w:cs="Cambria"/>
                <w:sz w:val="20"/>
                <w:szCs w:val="20"/>
              </w:rPr>
            </w:pPr>
            <w:r w:rsidRPr="00FF1E38">
              <w:rPr>
                <w:rFonts w:ascii="Cambria" w:eastAsia="Cambria" w:hAnsi="Cambria" w:cs="Cambria"/>
                <w:b/>
                <w:sz w:val="20"/>
                <w:szCs w:val="20"/>
              </w:rPr>
              <w:t xml:space="preserve">AB zgrade s 1-12 etaža </w:t>
            </w:r>
          </w:p>
        </w:tc>
        <w:tc>
          <w:tcPr>
            <w:tcW w:w="1085" w:type="dxa"/>
            <w:tcBorders>
              <w:top w:val="single" w:sz="4" w:space="0" w:color="000000"/>
              <w:left w:val="single" w:sz="4" w:space="0" w:color="000000"/>
              <w:bottom w:val="single" w:sz="4" w:space="0" w:color="000000"/>
              <w:right w:val="single" w:sz="4" w:space="0" w:color="000000"/>
            </w:tcBorders>
            <w:shd w:val="clear" w:color="auto" w:fill="FFC000"/>
          </w:tcPr>
          <w:p w14:paraId="3BC6C02F" w14:textId="77777777" w:rsidR="00FF1E38" w:rsidRPr="00FF1E38" w:rsidRDefault="00FF1E38" w:rsidP="00FF1E38">
            <w:pPr>
              <w:spacing w:after="0" w:line="240" w:lineRule="auto"/>
              <w:ind w:left="115" w:right="0" w:firstLine="0"/>
              <w:jc w:val="left"/>
              <w:rPr>
                <w:rFonts w:ascii="Cambria" w:eastAsia="Cambria" w:hAnsi="Cambria" w:cs="Cambria"/>
                <w:sz w:val="20"/>
                <w:szCs w:val="20"/>
              </w:rPr>
            </w:pPr>
            <w:r w:rsidRPr="00FF1E38">
              <w:rPr>
                <w:rFonts w:ascii="Cambria" w:eastAsia="Cambria" w:hAnsi="Cambria" w:cs="Cambria"/>
                <w:b/>
                <w:sz w:val="20"/>
                <w:szCs w:val="20"/>
              </w:rPr>
              <w:t xml:space="preserve">AB zgrade s </w:t>
            </w:r>
          </w:p>
          <w:p w14:paraId="52C7B15A" w14:textId="77777777" w:rsidR="00FF1E38" w:rsidRPr="00FF1E38" w:rsidRDefault="00FF1E38" w:rsidP="00FF1E38">
            <w:pPr>
              <w:spacing w:after="0" w:line="240" w:lineRule="auto"/>
              <w:ind w:left="113" w:right="0" w:firstLine="0"/>
              <w:jc w:val="left"/>
              <w:rPr>
                <w:rFonts w:ascii="Cambria" w:eastAsia="Cambria" w:hAnsi="Cambria" w:cs="Cambria"/>
                <w:sz w:val="20"/>
                <w:szCs w:val="20"/>
              </w:rPr>
            </w:pPr>
            <w:r w:rsidRPr="00FF1E38">
              <w:rPr>
                <w:rFonts w:ascii="Cambria" w:eastAsia="Cambria" w:hAnsi="Cambria" w:cs="Cambria"/>
                <w:b/>
                <w:sz w:val="20"/>
                <w:szCs w:val="20"/>
              </w:rPr>
              <w:t xml:space="preserve">13-25 etaža </w:t>
            </w:r>
          </w:p>
        </w:tc>
      </w:tr>
      <w:tr w:rsidR="00FF1E38" w:rsidRPr="00FF1E38" w14:paraId="6A0B71EF" w14:textId="77777777" w:rsidTr="00DE0C9A">
        <w:trPr>
          <w:trHeight w:val="293"/>
        </w:trPr>
        <w:tc>
          <w:tcPr>
            <w:tcW w:w="533" w:type="dxa"/>
            <w:tcBorders>
              <w:top w:val="single" w:sz="4" w:space="0" w:color="000000"/>
              <w:left w:val="single" w:sz="4" w:space="0" w:color="000000"/>
              <w:bottom w:val="single" w:sz="4" w:space="0" w:color="000000"/>
              <w:right w:val="single" w:sz="4" w:space="0" w:color="000000"/>
            </w:tcBorders>
            <w:shd w:val="clear" w:color="auto" w:fill="FFC000"/>
          </w:tcPr>
          <w:p w14:paraId="57947473"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b/>
                <w:sz w:val="20"/>
                <w:szCs w:val="20"/>
              </w:rPr>
              <w:t xml:space="preserve">1 </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Pr>
          <w:p w14:paraId="754445D4" w14:textId="77777777" w:rsidR="00FF1E38" w:rsidRPr="00FF1E38" w:rsidRDefault="00174514" w:rsidP="00FF1E38">
            <w:pPr>
              <w:spacing w:after="0" w:line="240" w:lineRule="auto"/>
              <w:ind w:left="108" w:right="0" w:firstLine="0"/>
              <w:jc w:val="left"/>
              <w:rPr>
                <w:rFonts w:ascii="Cambria" w:eastAsia="Cambria" w:hAnsi="Cambria" w:cs="Cambria"/>
                <w:sz w:val="20"/>
                <w:szCs w:val="20"/>
              </w:rPr>
            </w:pPr>
            <w:hyperlink r:id="rId67">
              <w:r w:rsidR="00FF1E38" w:rsidRPr="00FF1E38">
                <w:rPr>
                  <w:rFonts w:ascii="Cambria" w:eastAsia="Cambria" w:hAnsi="Cambria" w:cs="Cambria"/>
                  <w:sz w:val="20"/>
                  <w:szCs w:val="20"/>
                </w:rPr>
                <w:t>Brezovica</w:t>
              </w:r>
            </w:hyperlink>
            <w:hyperlink r:id="rId68">
              <w:r w:rsidR="00FF1E38" w:rsidRPr="00FF1E38">
                <w:rPr>
                  <w:rFonts w:ascii="Cambria" w:eastAsia="Cambria" w:hAnsi="Cambria" w:cs="Cambria"/>
                  <w:sz w:val="20"/>
                  <w:szCs w:val="20"/>
                </w:rPr>
                <w:t xml:space="preserve"> </w:t>
              </w:r>
            </w:hyperlink>
          </w:p>
        </w:tc>
        <w:tc>
          <w:tcPr>
            <w:tcW w:w="709" w:type="dxa"/>
            <w:tcBorders>
              <w:top w:val="single" w:sz="4" w:space="0" w:color="000000"/>
              <w:left w:val="single" w:sz="4" w:space="0" w:color="000000"/>
              <w:bottom w:val="single" w:sz="4" w:space="0" w:color="000000"/>
              <w:right w:val="single" w:sz="4" w:space="0" w:color="000000"/>
            </w:tcBorders>
          </w:tcPr>
          <w:p w14:paraId="5737BEFD" w14:textId="77777777" w:rsidR="00FF1E38" w:rsidRPr="00FF1E38" w:rsidRDefault="00FF1E38" w:rsidP="00FF1E38">
            <w:pPr>
              <w:spacing w:after="0" w:line="240" w:lineRule="auto"/>
              <w:ind w:left="35" w:right="0" w:firstLine="0"/>
              <w:jc w:val="center"/>
              <w:rPr>
                <w:rFonts w:ascii="Cambria" w:eastAsia="Cambria" w:hAnsi="Cambria" w:cs="Cambria"/>
                <w:sz w:val="20"/>
                <w:szCs w:val="20"/>
              </w:rPr>
            </w:pPr>
            <w:r w:rsidRPr="00FF1E38">
              <w:rPr>
                <w:rFonts w:ascii="Cambria" w:eastAsia="Cambria" w:hAnsi="Cambria" w:cs="Cambria"/>
                <w:sz w:val="20"/>
                <w:szCs w:val="20"/>
              </w:rPr>
              <w:t xml:space="preserve">127 </w:t>
            </w:r>
          </w:p>
        </w:tc>
        <w:tc>
          <w:tcPr>
            <w:tcW w:w="991" w:type="dxa"/>
            <w:tcBorders>
              <w:top w:val="single" w:sz="4" w:space="0" w:color="000000"/>
              <w:left w:val="single" w:sz="4" w:space="0" w:color="000000"/>
              <w:bottom w:val="single" w:sz="4" w:space="0" w:color="000000"/>
              <w:right w:val="single" w:sz="4" w:space="0" w:color="000000"/>
            </w:tcBorders>
          </w:tcPr>
          <w:p w14:paraId="10A6DC2F"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12030 </w:t>
            </w:r>
          </w:p>
        </w:tc>
        <w:tc>
          <w:tcPr>
            <w:tcW w:w="900" w:type="dxa"/>
            <w:tcBorders>
              <w:top w:val="single" w:sz="4" w:space="0" w:color="000000"/>
              <w:left w:val="single" w:sz="4" w:space="0" w:color="000000"/>
              <w:bottom w:val="single" w:sz="4" w:space="0" w:color="000000"/>
              <w:right w:val="single" w:sz="4" w:space="0" w:color="000000"/>
            </w:tcBorders>
          </w:tcPr>
          <w:p w14:paraId="6C59BC9B"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sz w:val="20"/>
                <w:szCs w:val="20"/>
              </w:rPr>
              <w:t xml:space="preserve">10 </w:t>
            </w:r>
          </w:p>
        </w:tc>
        <w:tc>
          <w:tcPr>
            <w:tcW w:w="1086" w:type="dxa"/>
            <w:tcBorders>
              <w:top w:val="single" w:sz="4" w:space="0" w:color="000000"/>
              <w:left w:val="single" w:sz="4" w:space="0" w:color="000000"/>
              <w:bottom w:val="single" w:sz="4" w:space="0" w:color="000000"/>
              <w:right w:val="single" w:sz="4" w:space="0" w:color="000000"/>
            </w:tcBorders>
          </w:tcPr>
          <w:p w14:paraId="49A575BA"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sz w:val="20"/>
                <w:szCs w:val="20"/>
              </w:rPr>
              <w:t xml:space="preserve">60 </w:t>
            </w:r>
          </w:p>
        </w:tc>
        <w:tc>
          <w:tcPr>
            <w:tcW w:w="1086" w:type="dxa"/>
            <w:tcBorders>
              <w:top w:val="single" w:sz="4" w:space="0" w:color="000000"/>
              <w:left w:val="single" w:sz="4" w:space="0" w:color="000000"/>
              <w:bottom w:val="single" w:sz="4" w:space="0" w:color="000000"/>
              <w:right w:val="single" w:sz="4" w:space="0" w:color="000000"/>
            </w:tcBorders>
          </w:tcPr>
          <w:p w14:paraId="6BA23E4E" w14:textId="77777777" w:rsidR="00FF1E38" w:rsidRPr="00FF1E38" w:rsidRDefault="00FF1E38" w:rsidP="00FF1E38">
            <w:pPr>
              <w:spacing w:after="0" w:line="240" w:lineRule="auto"/>
              <w:ind w:left="32" w:right="0" w:firstLine="0"/>
              <w:jc w:val="center"/>
              <w:rPr>
                <w:rFonts w:ascii="Cambria" w:eastAsia="Cambria" w:hAnsi="Cambria" w:cs="Cambria"/>
                <w:sz w:val="20"/>
                <w:szCs w:val="20"/>
              </w:rPr>
            </w:pPr>
            <w:r w:rsidRPr="00FF1E38">
              <w:rPr>
                <w:rFonts w:ascii="Cambria" w:eastAsia="Cambria" w:hAnsi="Cambria" w:cs="Cambria"/>
                <w:sz w:val="20"/>
                <w:szCs w:val="20"/>
              </w:rPr>
              <w:t xml:space="preserve">25 </w:t>
            </w:r>
          </w:p>
        </w:tc>
        <w:tc>
          <w:tcPr>
            <w:tcW w:w="1088" w:type="dxa"/>
            <w:tcBorders>
              <w:top w:val="single" w:sz="4" w:space="0" w:color="000000"/>
              <w:left w:val="single" w:sz="4" w:space="0" w:color="000000"/>
              <w:bottom w:val="single" w:sz="4" w:space="0" w:color="000000"/>
              <w:right w:val="single" w:sz="4" w:space="0" w:color="000000"/>
            </w:tcBorders>
          </w:tcPr>
          <w:p w14:paraId="4A3D1917" w14:textId="77777777" w:rsidR="00FF1E38" w:rsidRPr="00FF1E38" w:rsidRDefault="00FF1E38" w:rsidP="00FF1E38">
            <w:pPr>
              <w:spacing w:after="0" w:line="240" w:lineRule="auto"/>
              <w:ind w:left="35" w:right="0" w:firstLine="0"/>
              <w:jc w:val="center"/>
              <w:rPr>
                <w:rFonts w:ascii="Cambria" w:eastAsia="Cambria" w:hAnsi="Cambria" w:cs="Cambria"/>
                <w:sz w:val="20"/>
                <w:szCs w:val="20"/>
              </w:rPr>
            </w:pPr>
            <w:r w:rsidRPr="00FF1E38">
              <w:rPr>
                <w:rFonts w:ascii="Cambria" w:eastAsia="Cambria" w:hAnsi="Cambria" w:cs="Cambria"/>
                <w:sz w:val="20"/>
                <w:szCs w:val="20"/>
              </w:rPr>
              <w:t xml:space="preserve">5 </w:t>
            </w:r>
          </w:p>
        </w:tc>
        <w:tc>
          <w:tcPr>
            <w:tcW w:w="1085" w:type="dxa"/>
            <w:tcBorders>
              <w:top w:val="single" w:sz="4" w:space="0" w:color="000000"/>
              <w:left w:val="single" w:sz="4" w:space="0" w:color="000000"/>
              <w:bottom w:val="single" w:sz="4" w:space="0" w:color="000000"/>
              <w:right w:val="single" w:sz="4" w:space="0" w:color="000000"/>
            </w:tcBorders>
          </w:tcPr>
          <w:p w14:paraId="24F870C8" w14:textId="77777777" w:rsidR="00FF1E38" w:rsidRPr="00FF1E38" w:rsidRDefault="00FF1E38" w:rsidP="00FF1E38">
            <w:pPr>
              <w:spacing w:after="0" w:line="240" w:lineRule="auto"/>
              <w:ind w:left="38" w:right="0" w:firstLine="0"/>
              <w:jc w:val="center"/>
              <w:rPr>
                <w:rFonts w:ascii="Cambria" w:eastAsia="Cambria" w:hAnsi="Cambria" w:cs="Cambria"/>
                <w:sz w:val="20"/>
                <w:szCs w:val="20"/>
              </w:rPr>
            </w:pPr>
            <w:r w:rsidRPr="00FF1E38">
              <w:rPr>
                <w:rFonts w:ascii="Cambria" w:eastAsia="Cambria" w:hAnsi="Cambria" w:cs="Cambria"/>
                <w:sz w:val="20"/>
                <w:szCs w:val="20"/>
              </w:rPr>
              <w:t xml:space="preserve">0 </w:t>
            </w:r>
          </w:p>
        </w:tc>
      </w:tr>
      <w:tr w:rsidR="00FF1E38" w:rsidRPr="00FF1E38" w14:paraId="354E8792" w14:textId="77777777" w:rsidTr="00DE0C9A">
        <w:trPr>
          <w:trHeight w:val="293"/>
        </w:trPr>
        <w:tc>
          <w:tcPr>
            <w:tcW w:w="533" w:type="dxa"/>
            <w:tcBorders>
              <w:top w:val="single" w:sz="4" w:space="0" w:color="000000"/>
              <w:left w:val="single" w:sz="4" w:space="0" w:color="000000"/>
              <w:bottom w:val="single" w:sz="4" w:space="0" w:color="000000"/>
              <w:right w:val="single" w:sz="4" w:space="0" w:color="000000"/>
            </w:tcBorders>
            <w:shd w:val="clear" w:color="auto" w:fill="FFC000"/>
          </w:tcPr>
          <w:p w14:paraId="541ED064"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b/>
                <w:sz w:val="20"/>
                <w:szCs w:val="20"/>
              </w:rPr>
              <w:t xml:space="preserve">2 </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Pr>
          <w:p w14:paraId="3D2D5BC1" w14:textId="77777777" w:rsidR="00FF1E38" w:rsidRPr="00FF1E38" w:rsidRDefault="00174514" w:rsidP="00FF1E38">
            <w:pPr>
              <w:spacing w:after="0" w:line="240" w:lineRule="auto"/>
              <w:ind w:left="108" w:right="0" w:firstLine="0"/>
              <w:jc w:val="left"/>
              <w:rPr>
                <w:rFonts w:ascii="Cambria" w:eastAsia="Cambria" w:hAnsi="Cambria" w:cs="Cambria"/>
                <w:sz w:val="20"/>
                <w:szCs w:val="20"/>
              </w:rPr>
            </w:pPr>
            <w:hyperlink r:id="rId69">
              <w:r w:rsidR="00FF1E38" w:rsidRPr="00FF1E38">
                <w:rPr>
                  <w:rFonts w:ascii="Cambria" w:eastAsia="Cambria" w:hAnsi="Cambria" w:cs="Cambria"/>
                  <w:sz w:val="20"/>
                  <w:szCs w:val="20"/>
                </w:rPr>
                <w:t>Črnomerec</w:t>
              </w:r>
            </w:hyperlink>
            <w:hyperlink r:id="rId70">
              <w:r w:rsidR="00FF1E38" w:rsidRPr="00FF1E38">
                <w:rPr>
                  <w:rFonts w:ascii="Cambria" w:eastAsia="Cambria" w:hAnsi="Cambria" w:cs="Cambria"/>
                  <w:sz w:val="20"/>
                  <w:szCs w:val="20"/>
                </w:rPr>
                <w:t xml:space="preserve"> </w:t>
              </w:r>
            </w:hyperlink>
          </w:p>
        </w:tc>
        <w:tc>
          <w:tcPr>
            <w:tcW w:w="709" w:type="dxa"/>
            <w:tcBorders>
              <w:top w:val="single" w:sz="4" w:space="0" w:color="000000"/>
              <w:left w:val="single" w:sz="4" w:space="0" w:color="000000"/>
              <w:bottom w:val="single" w:sz="4" w:space="0" w:color="000000"/>
              <w:right w:val="single" w:sz="4" w:space="0" w:color="000000"/>
            </w:tcBorders>
          </w:tcPr>
          <w:p w14:paraId="1025C346"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24 </w:t>
            </w:r>
          </w:p>
        </w:tc>
        <w:tc>
          <w:tcPr>
            <w:tcW w:w="991" w:type="dxa"/>
            <w:tcBorders>
              <w:top w:val="single" w:sz="4" w:space="0" w:color="000000"/>
              <w:left w:val="single" w:sz="4" w:space="0" w:color="000000"/>
              <w:bottom w:val="single" w:sz="4" w:space="0" w:color="000000"/>
              <w:right w:val="single" w:sz="4" w:space="0" w:color="000000"/>
            </w:tcBorders>
          </w:tcPr>
          <w:p w14:paraId="13C104D6"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38546 </w:t>
            </w:r>
          </w:p>
        </w:tc>
        <w:tc>
          <w:tcPr>
            <w:tcW w:w="900" w:type="dxa"/>
            <w:tcBorders>
              <w:top w:val="single" w:sz="4" w:space="0" w:color="000000"/>
              <w:left w:val="single" w:sz="4" w:space="0" w:color="000000"/>
              <w:bottom w:val="single" w:sz="4" w:space="0" w:color="000000"/>
              <w:right w:val="single" w:sz="4" w:space="0" w:color="000000"/>
            </w:tcBorders>
          </w:tcPr>
          <w:p w14:paraId="6EE34641"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5 </w:t>
            </w:r>
          </w:p>
        </w:tc>
        <w:tc>
          <w:tcPr>
            <w:tcW w:w="1086" w:type="dxa"/>
            <w:tcBorders>
              <w:top w:val="single" w:sz="4" w:space="0" w:color="000000"/>
              <w:left w:val="single" w:sz="4" w:space="0" w:color="000000"/>
              <w:bottom w:val="single" w:sz="4" w:space="0" w:color="000000"/>
              <w:right w:val="single" w:sz="4" w:space="0" w:color="000000"/>
            </w:tcBorders>
          </w:tcPr>
          <w:p w14:paraId="200B1484"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sz w:val="20"/>
                <w:szCs w:val="20"/>
              </w:rPr>
              <w:t xml:space="preserve">30 </w:t>
            </w:r>
          </w:p>
        </w:tc>
        <w:tc>
          <w:tcPr>
            <w:tcW w:w="1086" w:type="dxa"/>
            <w:tcBorders>
              <w:top w:val="single" w:sz="4" w:space="0" w:color="000000"/>
              <w:left w:val="single" w:sz="4" w:space="0" w:color="000000"/>
              <w:bottom w:val="single" w:sz="4" w:space="0" w:color="000000"/>
              <w:right w:val="single" w:sz="4" w:space="0" w:color="000000"/>
            </w:tcBorders>
          </w:tcPr>
          <w:p w14:paraId="641ECAD1" w14:textId="77777777" w:rsidR="00FF1E38" w:rsidRPr="00FF1E38" w:rsidRDefault="00FF1E38" w:rsidP="00FF1E38">
            <w:pPr>
              <w:spacing w:after="0" w:line="240" w:lineRule="auto"/>
              <w:ind w:left="32" w:right="0" w:firstLine="0"/>
              <w:jc w:val="center"/>
              <w:rPr>
                <w:rFonts w:ascii="Cambria" w:eastAsia="Cambria" w:hAnsi="Cambria" w:cs="Cambria"/>
                <w:sz w:val="20"/>
                <w:szCs w:val="20"/>
              </w:rPr>
            </w:pPr>
            <w:r w:rsidRPr="00FF1E38">
              <w:rPr>
                <w:rFonts w:ascii="Cambria" w:eastAsia="Cambria" w:hAnsi="Cambria" w:cs="Cambria"/>
                <w:sz w:val="20"/>
                <w:szCs w:val="20"/>
              </w:rPr>
              <w:t xml:space="preserve">40 </w:t>
            </w:r>
          </w:p>
        </w:tc>
        <w:tc>
          <w:tcPr>
            <w:tcW w:w="1088" w:type="dxa"/>
            <w:tcBorders>
              <w:top w:val="single" w:sz="4" w:space="0" w:color="000000"/>
              <w:left w:val="single" w:sz="4" w:space="0" w:color="000000"/>
              <w:bottom w:val="single" w:sz="4" w:space="0" w:color="000000"/>
              <w:right w:val="single" w:sz="4" w:space="0" w:color="000000"/>
            </w:tcBorders>
          </w:tcPr>
          <w:p w14:paraId="0C579CFB"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23 </w:t>
            </w:r>
          </w:p>
        </w:tc>
        <w:tc>
          <w:tcPr>
            <w:tcW w:w="1085" w:type="dxa"/>
            <w:tcBorders>
              <w:top w:val="single" w:sz="4" w:space="0" w:color="000000"/>
              <w:left w:val="single" w:sz="4" w:space="0" w:color="000000"/>
              <w:bottom w:val="single" w:sz="4" w:space="0" w:color="000000"/>
              <w:right w:val="single" w:sz="4" w:space="0" w:color="000000"/>
            </w:tcBorders>
          </w:tcPr>
          <w:p w14:paraId="182DEFA0" w14:textId="77777777" w:rsidR="00FF1E38" w:rsidRPr="00FF1E38" w:rsidRDefault="00FF1E38" w:rsidP="00FF1E38">
            <w:pPr>
              <w:spacing w:after="0" w:line="240" w:lineRule="auto"/>
              <w:ind w:left="38" w:right="0" w:firstLine="0"/>
              <w:jc w:val="center"/>
              <w:rPr>
                <w:rFonts w:ascii="Cambria" w:eastAsia="Cambria" w:hAnsi="Cambria" w:cs="Cambria"/>
                <w:sz w:val="20"/>
                <w:szCs w:val="20"/>
              </w:rPr>
            </w:pPr>
            <w:r w:rsidRPr="00FF1E38">
              <w:rPr>
                <w:rFonts w:ascii="Cambria" w:eastAsia="Cambria" w:hAnsi="Cambria" w:cs="Cambria"/>
                <w:sz w:val="20"/>
                <w:szCs w:val="20"/>
              </w:rPr>
              <w:t xml:space="preserve">2 </w:t>
            </w:r>
          </w:p>
        </w:tc>
      </w:tr>
      <w:tr w:rsidR="00FF1E38" w:rsidRPr="00FF1E38" w14:paraId="73A064F0" w14:textId="77777777" w:rsidTr="00DE0C9A">
        <w:trPr>
          <w:trHeight w:val="293"/>
        </w:trPr>
        <w:tc>
          <w:tcPr>
            <w:tcW w:w="533" w:type="dxa"/>
            <w:tcBorders>
              <w:top w:val="single" w:sz="4" w:space="0" w:color="000000"/>
              <w:left w:val="single" w:sz="4" w:space="0" w:color="000000"/>
              <w:bottom w:val="single" w:sz="4" w:space="0" w:color="000000"/>
              <w:right w:val="single" w:sz="4" w:space="0" w:color="000000"/>
            </w:tcBorders>
            <w:shd w:val="clear" w:color="auto" w:fill="FFC000"/>
          </w:tcPr>
          <w:p w14:paraId="20B3B998"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b/>
                <w:sz w:val="20"/>
                <w:szCs w:val="20"/>
              </w:rPr>
              <w:t xml:space="preserve">3 </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Pr>
          <w:p w14:paraId="29E3AF9F" w14:textId="77777777" w:rsidR="00FF1E38" w:rsidRPr="00FF1E38" w:rsidRDefault="00174514" w:rsidP="00FF1E38">
            <w:pPr>
              <w:spacing w:after="0" w:line="240" w:lineRule="auto"/>
              <w:ind w:left="108" w:right="0" w:firstLine="0"/>
              <w:jc w:val="left"/>
              <w:rPr>
                <w:rFonts w:ascii="Cambria" w:eastAsia="Cambria" w:hAnsi="Cambria" w:cs="Cambria"/>
                <w:sz w:val="20"/>
                <w:szCs w:val="20"/>
              </w:rPr>
            </w:pPr>
            <w:hyperlink r:id="rId71">
              <w:r w:rsidR="00FF1E38" w:rsidRPr="00FF1E38">
                <w:rPr>
                  <w:rFonts w:ascii="Cambria" w:eastAsia="Cambria" w:hAnsi="Cambria" w:cs="Cambria"/>
                  <w:sz w:val="20"/>
                  <w:szCs w:val="20"/>
                </w:rPr>
                <w:t>Donja Dubrava</w:t>
              </w:r>
            </w:hyperlink>
            <w:hyperlink r:id="rId72">
              <w:r w:rsidR="00FF1E38" w:rsidRPr="00FF1E38">
                <w:rPr>
                  <w:rFonts w:ascii="Cambria" w:eastAsia="Cambria" w:hAnsi="Cambria" w:cs="Cambria"/>
                  <w:sz w:val="20"/>
                  <w:szCs w:val="20"/>
                </w:rPr>
                <w:t xml:space="preserve"> </w:t>
              </w:r>
            </w:hyperlink>
          </w:p>
        </w:tc>
        <w:tc>
          <w:tcPr>
            <w:tcW w:w="709" w:type="dxa"/>
            <w:tcBorders>
              <w:top w:val="single" w:sz="4" w:space="0" w:color="000000"/>
              <w:left w:val="single" w:sz="4" w:space="0" w:color="000000"/>
              <w:bottom w:val="single" w:sz="4" w:space="0" w:color="000000"/>
              <w:right w:val="single" w:sz="4" w:space="0" w:color="000000"/>
            </w:tcBorders>
          </w:tcPr>
          <w:p w14:paraId="1ED53178"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11 </w:t>
            </w:r>
          </w:p>
        </w:tc>
        <w:tc>
          <w:tcPr>
            <w:tcW w:w="991" w:type="dxa"/>
            <w:tcBorders>
              <w:top w:val="single" w:sz="4" w:space="0" w:color="000000"/>
              <w:left w:val="single" w:sz="4" w:space="0" w:color="000000"/>
              <w:bottom w:val="single" w:sz="4" w:space="0" w:color="000000"/>
              <w:right w:val="single" w:sz="4" w:space="0" w:color="000000"/>
            </w:tcBorders>
          </w:tcPr>
          <w:p w14:paraId="73D77FBD"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36363 </w:t>
            </w:r>
          </w:p>
        </w:tc>
        <w:tc>
          <w:tcPr>
            <w:tcW w:w="900" w:type="dxa"/>
            <w:tcBorders>
              <w:top w:val="single" w:sz="4" w:space="0" w:color="000000"/>
              <w:left w:val="single" w:sz="4" w:space="0" w:color="000000"/>
              <w:bottom w:val="single" w:sz="4" w:space="0" w:color="000000"/>
              <w:right w:val="single" w:sz="4" w:space="0" w:color="000000"/>
            </w:tcBorders>
          </w:tcPr>
          <w:p w14:paraId="2D4C69E0"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sz w:val="20"/>
                <w:szCs w:val="20"/>
              </w:rPr>
              <w:t xml:space="preserve">10 </w:t>
            </w:r>
          </w:p>
        </w:tc>
        <w:tc>
          <w:tcPr>
            <w:tcW w:w="1086" w:type="dxa"/>
            <w:tcBorders>
              <w:top w:val="single" w:sz="4" w:space="0" w:color="000000"/>
              <w:left w:val="single" w:sz="4" w:space="0" w:color="000000"/>
              <w:bottom w:val="single" w:sz="4" w:space="0" w:color="000000"/>
              <w:right w:val="single" w:sz="4" w:space="0" w:color="000000"/>
            </w:tcBorders>
          </w:tcPr>
          <w:p w14:paraId="678685B9"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sz w:val="20"/>
                <w:szCs w:val="20"/>
              </w:rPr>
              <w:t xml:space="preserve">30 </w:t>
            </w:r>
          </w:p>
        </w:tc>
        <w:tc>
          <w:tcPr>
            <w:tcW w:w="1086" w:type="dxa"/>
            <w:tcBorders>
              <w:top w:val="single" w:sz="4" w:space="0" w:color="000000"/>
              <w:left w:val="single" w:sz="4" w:space="0" w:color="000000"/>
              <w:bottom w:val="single" w:sz="4" w:space="0" w:color="000000"/>
              <w:right w:val="single" w:sz="4" w:space="0" w:color="000000"/>
            </w:tcBorders>
          </w:tcPr>
          <w:p w14:paraId="2EC4F1C2" w14:textId="77777777" w:rsidR="00FF1E38" w:rsidRPr="00FF1E38" w:rsidRDefault="00FF1E38" w:rsidP="00FF1E38">
            <w:pPr>
              <w:spacing w:after="0" w:line="240" w:lineRule="auto"/>
              <w:ind w:left="32" w:right="0" w:firstLine="0"/>
              <w:jc w:val="center"/>
              <w:rPr>
                <w:rFonts w:ascii="Cambria" w:eastAsia="Cambria" w:hAnsi="Cambria" w:cs="Cambria"/>
                <w:sz w:val="20"/>
                <w:szCs w:val="20"/>
              </w:rPr>
            </w:pPr>
            <w:r w:rsidRPr="00FF1E38">
              <w:rPr>
                <w:rFonts w:ascii="Cambria" w:eastAsia="Cambria" w:hAnsi="Cambria" w:cs="Cambria"/>
                <w:sz w:val="20"/>
                <w:szCs w:val="20"/>
              </w:rPr>
              <w:t xml:space="preserve">40 </w:t>
            </w:r>
          </w:p>
        </w:tc>
        <w:tc>
          <w:tcPr>
            <w:tcW w:w="1088" w:type="dxa"/>
            <w:tcBorders>
              <w:top w:val="single" w:sz="4" w:space="0" w:color="000000"/>
              <w:left w:val="single" w:sz="4" w:space="0" w:color="000000"/>
              <w:bottom w:val="single" w:sz="4" w:space="0" w:color="000000"/>
              <w:right w:val="single" w:sz="4" w:space="0" w:color="000000"/>
            </w:tcBorders>
          </w:tcPr>
          <w:p w14:paraId="547B7A5D"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18 </w:t>
            </w:r>
          </w:p>
        </w:tc>
        <w:tc>
          <w:tcPr>
            <w:tcW w:w="1085" w:type="dxa"/>
            <w:tcBorders>
              <w:top w:val="single" w:sz="4" w:space="0" w:color="000000"/>
              <w:left w:val="single" w:sz="4" w:space="0" w:color="000000"/>
              <w:bottom w:val="single" w:sz="4" w:space="0" w:color="000000"/>
              <w:right w:val="single" w:sz="4" w:space="0" w:color="000000"/>
            </w:tcBorders>
          </w:tcPr>
          <w:p w14:paraId="2012284A" w14:textId="77777777" w:rsidR="00FF1E38" w:rsidRPr="00FF1E38" w:rsidRDefault="00FF1E38" w:rsidP="00FF1E38">
            <w:pPr>
              <w:spacing w:after="0" w:line="240" w:lineRule="auto"/>
              <w:ind w:left="38" w:right="0" w:firstLine="0"/>
              <w:jc w:val="center"/>
              <w:rPr>
                <w:rFonts w:ascii="Cambria" w:eastAsia="Cambria" w:hAnsi="Cambria" w:cs="Cambria"/>
                <w:sz w:val="20"/>
                <w:szCs w:val="20"/>
              </w:rPr>
            </w:pPr>
            <w:r w:rsidRPr="00FF1E38">
              <w:rPr>
                <w:rFonts w:ascii="Cambria" w:eastAsia="Cambria" w:hAnsi="Cambria" w:cs="Cambria"/>
                <w:sz w:val="20"/>
                <w:szCs w:val="20"/>
              </w:rPr>
              <w:t xml:space="preserve">2 </w:t>
            </w:r>
          </w:p>
        </w:tc>
      </w:tr>
      <w:tr w:rsidR="00FF1E38" w:rsidRPr="00FF1E38" w14:paraId="17BA189E" w14:textId="77777777" w:rsidTr="00DE0C9A">
        <w:trPr>
          <w:trHeight w:val="293"/>
        </w:trPr>
        <w:tc>
          <w:tcPr>
            <w:tcW w:w="533" w:type="dxa"/>
            <w:tcBorders>
              <w:top w:val="single" w:sz="4" w:space="0" w:color="000000"/>
              <w:left w:val="single" w:sz="4" w:space="0" w:color="000000"/>
              <w:bottom w:val="single" w:sz="4" w:space="0" w:color="000000"/>
              <w:right w:val="single" w:sz="4" w:space="0" w:color="000000"/>
            </w:tcBorders>
            <w:shd w:val="clear" w:color="auto" w:fill="FFC000"/>
          </w:tcPr>
          <w:p w14:paraId="6B4D4505"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b/>
                <w:sz w:val="20"/>
                <w:szCs w:val="20"/>
              </w:rPr>
              <w:t xml:space="preserve">4 </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Pr>
          <w:p w14:paraId="0E5DB825" w14:textId="77777777" w:rsidR="00FF1E38" w:rsidRPr="00FF1E38" w:rsidRDefault="00174514" w:rsidP="00FF1E38">
            <w:pPr>
              <w:spacing w:after="0" w:line="240" w:lineRule="auto"/>
              <w:ind w:left="108" w:right="0" w:firstLine="0"/>
              <w:jc w:val="left"/>
              <w:rPr>
                <w:rFonts w:ascii="Cambria" w:eastAsia="Cambria" w:hAnsi="Cambria" w:cs="Cambria"/>
                <w:sz w:val="20"/>
                <w:szCs w:val="20"/>
              </w:rPr>
            </w:pPr>
            <w:hyperlink r:id="rId73">
              <w:r w:rsidR="00FF1E38" w:rsidRPr="00FF1E38">
                <w:rPr>
                  <w:rFonts w:ascii="Cambria" w:eastAsia="Cambria" w:hAnsi="Cambria" w:cs="Cambria"/>
                  <w:sz w:val="20"/>
                  <w:szCs w:val="20"/>
                </w:rPr>
                <w:t>Donji grad</w:t>
              </w:r>
            </w:hyperlink>
            <w:hyperlink r:id="rId74">
              <w:r w:rsidR="00FF1E38" w:rsidRPr="00FF1E38">
                <w:rPr>
                  <w:rFonts w:ascii="Cambria" w:eastAsia="Cambria" w:hAnsi="Cambria" w:cs="Cambria"/>
                  <w:sz w:val="20"/>
                  <w:szCs w:val="20"/>
                </w:rPr>
                <w:t xml:space="preserve"> </w:t>
              </w:r>
            </w:hyperlink>
          </w:p>
        </w:tc>
        <w:tc>
          <w:tcPr>
            <w:tcW w:w="709" w:type="dxa"/>
            <w:tcBorders>
              <w:top w:val="single" w:sz="4" w:space="0" w:color="000000"/>
              <w:left w:val="single" w:sz="4" w:space="0" w:color="000000"/>
              <w:bottom w:val="single" w:sz="4" w:space="0" w:color="000000"/>
              <w:right w:val="single" w:sz="4" w:space="0" w:color="000000"/>
            </w:tcBorders>
          </w:tcPr>
          <w:p w14:paraId="3C6E2980" w14:textId="77777777" w:rsidR="00FF1E38" w:rsidRPr="00FF1E38" w:rsidRDefault="00FF1E38" w:rsidP="00FF1E38">
            <w:pPr>
              <w:spacing w:after="0" w:line="240" w:lineRule="auto"/>
              <w:ind w:left="35" w:right="0" w:firstLine="0"/>
              <w:jc w:val="center"/>
              <w:rPr>
                <w:rFonts w:ascii="Cambria" w:eastAsia="Cambria" w:hAnsi="Cambria" w:cs="Cambria"/>
                <w:sz w:val="20"/>
                <w:szCs w:val="20"/>
              </w:rPr>
            </w:pPr>
            <w:r w:rsidRPr="00FF1E38">
              <w:rPr>
                <w:rFonts w:ascii="Cambria" w:eastAsia="Cambria" w:hAnsi="Cambria" w:cs="Cambria"/>
                <w:sz w:val="20"/>
                <w:szCs w:val="20"/>
              </w:rPr>
              <w:t xml:space="preserve">3 </w:t>
            </w:r>
          </w:p>
        </w:tc>
        <w:tc>
          <w:tcPr>
            <w:tcW w:w="991" w:type="dxa"/>
            <w:tcBorders>
              <w:top w:val="single" w:sz="4" w:space="0" w:color="000000"/>
              <w:left w:val="single" w:sz="4" w:space="0" w:color="000000"/>
              <w:bottom w:val="single" w:sz="4" w:space="0" w:color="000000"/>
              <w:right w:val="single" w:sz="4" w:space="0" w:color="000000"/>
            </w:tcBorders>
          </w:tcPr>
          <w:p w14:paraId="693AE6F8"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37024 </w:t>
            </w:r>
          </w:p>
        </w:tc>
        <w:tc>
          <w:tcPr>
            <w:tcW w:w="900" w:type="dxa"/>
            <w:tcBorders>
              <w:top w:val="single" w:sz="4" w:space="0" w:color="000000"/>
              <w:left w:val="single" w:sz="4" w:space="0" w:color="000000"/>
              <w:bottom w:val="single" w:sz="4" w:space="0" w:color="000000"/>
              <w:right w:val="single" w:sz="4" w:space="0" w:color="000000"/>
            </w:tcBorders>
          </w:tcPr>
          <w:p w14:paraId="13BB9F46"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0 </w:t>
            </w:r>
          </w:p>
        </w:tc>
        <w:tc>
          <w:tcPr>
            <w:tcW w:w="1086" w:type="dxa"/>
            <w:tcBorders>
              <w:top w:val="single" w:sz="4" w:space="0" w:color="000000"/>
              <w:left w:val="single" w:sz="4" w:space="0" w:color="000000"/>
              <w:bottom w:val="single" w:sz="4" w:space="0" w:color="000000"/>
              <w:right w:val="single" w:sz="4" w:space="0" w:color="000000"/>
            </w:tcBorders>
          </w:tcPr>
          <w:p w14:paraId="1FD9F87A"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sz w:val="20"/>
                <w:szCs w:val="20"/>
              </w:rPr>
              <w:t xml:space="preserve">10 </w:t>
            </w:r>
          </w:p>
        </w:tc>
        <w:tc>
          <w:tcPr>
            <w:tcW w:w="1086" w:type="dxa"/>
            <w:tcBorders>
              <w:top w:val="single" w:sz="4" w:space="0" w:color="000000"/>
              <w:left w:val="single" w:sz="4" w:space="0" w:color="000000"/>
              <w:bottom w:val="single" w:sz="4" w:space="0" w:color="000000"/>
              <w:right w:val="single" w:sz="4" w:space="0" w:color="000000"/>
            </w:tcBorders>
          </w:tcPr>
          <w:p w14:paraId="081E3511" w14:textId="77777777" w:rsidR="00FF1E38" w:rsidRPr="00FF1E38" w:rsidRDefault="00FF1E38" w:rsidP="00FF1E38">
            <w:pPr>
              <w:spacing w:after="0" w:line="240" w:lineRule="auto"/>
              <w:ind w:left="32" w:right="0" w:firstLine="0"/>
              <w:jc w:val="center"/>
              <w:rPr>
                <w:rFonts w:ascii="Cambria" w:eastAsia="Cambria" w:hAnsi="Cambria" w:cs="Cambria"/>
                <w:sz w:val="20"/>
                <w:szCs w:val="20"/>
              </w:rPr>
            </w:pPr>
            <w:r w:rsidRPr="00FF1E38">
              <w:rPr>
                <w:rFonts w:ascii="Cambria" w:eastAsia="Cambria" w:hAnsi="Cambria" w:cs="Cambria"/>
                <w:sz w:val="20"/>
                <w:szCs w:val="20"/>
              </w:rPr>
              <w:t xml:space="preserve">80 </w:t>
            </w:r>
          </w:p>
        </w:tc>
        <w:tc>
          <w:tcPr>
            <w:tcW w:w="1088" w:type="dxa"/>
            <w:tcBorders>
              <w:top w:val="single" w:sz="4" w:space="0" w:color="000000"/>
              <w:left w:val="single" w:sz="4" w:space="0" w:color="000000"/>
              <w:bottom w:val="single" w:sz="4" w:space="0" w:color="000000"/>
              <w:right w:val="single" w:sz="4" w:space="0" w:color="000000"/>
            </w:tcBorders>
          </w:tcPr>
          <w:p w14:paraId="09E6915D"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10 </w:t>
            </w:r>
          </w:p>
        </w:tc>
        <w:tc>
          <w:tcPr>
            <w:tcW w:w="1085" w:type="dxa"/>
            <w:tcBorders>
              <w:top w:val="single" w:sz="4" w:space="0" w:color="000000"/>
              <w:left w:val="single" w:sz="4" w:space="0" w:color="000000"/>
              <w:bottom w:val="single" w:sz="4" w:space="0" w:color="000000"/>
              <w:right w:val="single" w:sz="4" w:space="0" w:color="000000"/>
            </w:tcBorders>
          </w:tcPr>
          <w:p w14:paraId="6D635B7F" w14:textId="77777777" w:rsidR="00FF1E38" w:rsidRPr="00FF1E38" w:rsidRDefault="00FF1E38" w:rsidP="00FF1E38">
            <w:pPr>
              <w:spacing w:after="0" w:line="240" w:lineRule="auto"/>
              <w:ind w:left="38" w:right="0" w:firstLine="0"/>
              <w:jc w:val="center"/>
              <w:rPr>
                <w:rFonts w:ascii="Cambria" w:eastAsia="Cambria" w:hAnsi="Cambria" w:cs="Cambria"/>
                <w:sz w:val="20"/>
                <w:szCs w:val="20"/>
              </w:rPr>
            </w:pPr>
            <w:r w:rsidRPr="00FF1E38">
              <w:rPr>
                <w:rFonts w:ascii="Cambria" w:eastAsia="Cambria" w:hAnsi="Cambria" w:cs="Cambria"/>
                <w:sz w:val="20"/>
                <w:szCs w:val="20"/>
              </w:rPr>
              <w:t xml:space="preserve">0 </w:t>
            </w:r>
          </w:p>
        </w:tc>
      </w:tr>
      <w:tr w:rsidR="00FF1E38" w:rsidRPr="00FF1E38" w14:paraId="2ADADE52" w14:textId="77777777" w:rsidTr="00DE0C9A">
        <w:trPr>
          <w:trHeight w:val="386"/>
        </w:trPr>
        <w:tc>
          <w:tcPr>
            <w:tcW w:w="533"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94F1414"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b/>
                <w:sz w:val="20"/>
                <w:szCs w:val="20"/>
              </w:rPr>
              <w:t xml:space="preserve">5 </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Pr>
          <w:p w14:paraId="49C22353" w14:textId="77777777" w:rsidR="00FF1E38" w:rsidRPr="00FF1E38" w:rsidRDefault="00174514" w:rsidP="00FF1E38">
            <w:pPr>
              <w:spacing w:after="0" w:line="240" w:lineRule="auto"/>
              <w:ind w:left="108" w:right="0" w:firstLine="0"/>
              <w:jc w:val="left"/>
              <w:rPr>
                <w:rFonts w:ascii="Cambria" w:eastAsia="Cambria" w:hAnsi="Cambria" w:cs="Cambria"/>
                <w:sz w:val="20"/>
                <w:szCs w:val="20"/>
              </w:rPr>
            </w:pPr>
            <w:hyperlink r:id="rId75">
              <w:r w:rsidR="00FF1E38" w:rsidRPr="00FF1E38">
                <w:rPr>
                  <w:rFonts w:ascii="Cambria" w:eastAsia="Cambria" w:hAnsi="Cambria" w:cs="Cambria"/>
                  <w:sz w:val="20"/>
                  <w:szCs w:val="20"/>
                </w:rPr>
                <w:t xml:space="preserve">Gornji grad </w:t>
              </w:r>
            </w:hyperlink>
            <w:hyperlink r:id="rId76">
              <w:r w:rsidR="00FF1E38" w:rsidRPr="00FF1E38">
                <w:rPr>
                  <w:rFonts w:ascii="Cambria" w:eastAsia="Cambria" w:hAnsi="Cambria" w:cs="Cambria"/>
                  <w:sz w:val="20"/>
                  <w:szCs w:val="20"/>
                </w:rPr>
                <w:t xml:space="preserve">- </w:t>
              </w:r>
            </w:hyperlink>
          </w:p>
          <w:p w14:paraId="37D1FBBF" w14:textId="77777777" w:rsidR="00FF1E38" w:rsidRPr="00FF1E38" w:rsidRDefault="00174514" w:rsidP="00FF1E38">
            <w:pPr>
              <w:spacing w:after="0" w:line="240" w:lineRule="auto"/>
              <w:ind w:left="108" w:right="0" w:firstLine="0"/>
              <w:jc w:val="left"/>
              <w:rPr>
                <w:rFonts w:ascii="Cambria" w:eastAsia="Cambria" w:hAnsi="Cambria" w:cs="Cambria"/>
                <w:sz w:val="20"/>
                <w:szCs w:val="20"/>
              </w:rPr>
            </w:pPr>
            <w:hyperlink r:id="rId77">
              <w:r w:rsidR="00FF1E38" w:rsidRPr="00FF1E38">
                <w:rPr>
                  <w:rFonts w:ascii="Cambria" w:eastAsia="Cambria" w:hAnsi="Cambria" w:cs="Cambria"/>
                  <w:sz w:val="20"/>
                  <w:szCs w:val="20"/>
                </w:rPr>
                <w:t>Medveščak</w:t>
              </w:r>
            </w:hyperlink>
            <w:hyperlink r:id="rId78">
              <w:r w:rsidR="00FF1E38" w:rsidRPr="00FF1E38">
                <w:rPr>
                  <w:rFonts w:ascii="Cambria" w:eastAsia="Cambria" w:hAnsi="Cambria" w:cs="Cambria"/>
                  <w:sz w:val="20"/>
                  <w:szCs w:val="20"/>
                </w:rPr>
                <w:t xml:space="preserve"> </w:t>
              </w:r>
            </w:hyperlink>
          </w:p>
        </w:tc>
        <w:tc>
          <w:tcPr>
            <w:tcW w:w="709" w:type="dxa"/>
            <w:tcBorders>
              <w:top w:val="single" w:sz="4" w:space="0" w:color="000000"/>
              <w:left w:val="single" w:sz="4" w:space="0" w:color="000000"/>
              <w:bottom w:val="single" w:sz="4" w:space="0" w:color="000000"/>
              <w:right w:val="single" w:sz="4" w:space="0" w:color="000000"/>
            </w:tcBorders>
            <w:vAlign w:val="center"/>
          </w:tcPr>
          <w:p w14:paraId="0DB3AB00"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10 </w:t>
            </w:r>
          </w:p>
        </w:tc>
        <w:tc>
          <w:tcPr>
            <w:tcW w:w="991" w:type="dxa"/>
            <w:tcBorders>
              <w:top w:val="single" w:sz="4" w:space="0" w:color="000000"/>
              <w:left w:val="single" w:sz="4" w:space="0" w:color="000000"/>
              <w:bottom w:val="single" w:sz="4" w:space="0" w:color="000000"/>
              <w:right w:val="single" w:sz="4" w:space="0" w:color="000000"/>
            </w:tcBorders>
            <w:vAlign w:val="center"/>
          </w:tcPr>
          <w:p w14:paraId="40B3E5F5"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30962 </w:t>
            </w:r>
          </w:p>
        </w:tc>
        <w:tc>
          <w:tcPr>
            <w:tcW w:w="900" w:type="dxa"/>
            <w:tcBorders>
              <w:top w:val="single" w:sz="4" w:space="0" w:color="000000"/>
              <w:left w:val="single" w:sz="4" w:space="0" w:color="000000"/>
              <w:bottom w:val="single" w:sz="4" w:space="0" w:color="000000"/>
              <w:right w:val="single" w:sz="4" w:space="0" w:color="000000"/>
            </w:tcBorders>
            <w:vAlign w:val="center"/>
          </w:tcPr>
          <w:p w14:paraId="5089C25E"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0 </w:t>
            </w:r>
          </w:p>
        </w:tc>
        <w:tc>
          <w:tcPr>
            <w:tcW w:w="1086" w:type="dxa"/>
            <w:tcBorders>
              <w:top w:val="single" w:sz="4" w:space="0" w:color="000000"/>
              <w:left w:val="single" w:sz="4" w:space="0" w:color="000000"/>
              <w:bottom w:val="single" w:sz="4" w:space="0" w:color="000000"/>
              <w:right w:val="single" w:sz="4" w:space="0" w:color="000000"/>
            </w:tcBorders>
            <w:vAlign w:val="center"/>
          </w:tcPr>
          <w:p w14:paraId="4FF26C3C"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sz w:val="20"/>
                <w:szCs w:val="20"/>
              </w:rPr>
              <w:t xml:space="preserve">30 </w:t>
            </w:r>
          </w:p>
        </w:tc>
        <w:tc>
          <w:tcPr>
            <w:tcW w:w="1086" w:type="dxa"/>
            <w:tcBorders>
              <w:top w:val="single" w:sz="4" w:space="0" w:color="000000"/>
              <w:left w:val="single" w:sz="4" w:space="0" w:color="000000"/>
              <w:bottom w:val="single" w:sz="4" w:space="0" w:color="000000"/>
              <w:right w:val="single" w:sz="4" w:space="0" w:color="000000"/>
            </w:tcBorders>
            <w:vAlign w:val="center"/>
          </w:tcPr>
          <w:p w14:paraId="222F1CB4" w14:textId="77777777" w:rsidR="00FF1E38" w:rsidRPr="00FF1E38" w:rsidRDefault="00FF1E38" w:rsidP="00FF1E38">
            <w:pPr>
              <w:spacing w:after="0" w:line="240" w:lineRule="auto"/>
              <w:ind w:left="32" w:right="0" w:firstLine="0"/>
              <w:jc w:val="center"/>
              <w:rPr>
                <w:rFonts w:ascii="Cambria" w:eastAsia="Cambria" w:hAnsi="Cambria" w:cs="Cambria"/>
                <w:sz w:val="20"/>
                <w:szCs w:val="20"/>
              </w:rPr>
            </w:pPr>
            <w:r w:rsidRPr="00FF1E38">
              <w:rPr>
                <w:rFonts w:ascii="Cambria" w:eastAsia="Cambria" w:hAnsi="Cambria" w:cs="Cambria"/>
                <w:sz w:val="20"/>
                <w:szCs w:val="20"/>
              </w:rPr>
              <w:t xml:space="preserve">30 </w:t>
            </w:r>
          </w:p>
        </w:tc>
        <w:tc>
          <w:tcPr>
            <w:tcW w:w="1088" w:type="dxa"/>
            <w:tcBorders>
              <w:top w:val="single" w:sz="4" w:space="0" w:color="000000"/>
              <w:left w:val="single" w:sz="4" w:space="0" w:color="000000"/>
              <w:bottom w:val="single" w:sz="4" w:space="0" w:color="000000"/>
              <w:right w:val="single" w:sz="4" w:space="0" w:color="000000"/>
            </w:tcBorders>
            <w:vAlign w:val="center"/>
          </w:tcPr>
          <w:p w14:paraId="046CF63E"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40 </w:t>
            </w:r>
          </w:p>
        </w:tc>
        <w:tc>
          <w:tcPr>
            <w:tcW w:w="1085" w:type="dxa"/>
            <w:tcBorders>
              <w:top w:val="single" w:sz="4" w:space="0" w:color="000000"/>
              <w:left w:val="single" w:sz="4" w:space="0" w:color="000000"/>
              <w:bottom w:val="single" w:sz="4" w:space="0" w:color="000000"/>
              <w:right w:val="single" w:sz="4" w:space="0" w:color="000000"/>
            </w:tcBorders>
            <w:vAlign w:val="center"/>
          </w:tcPr>
          <w:p w14:paraId="632F5B9F" w14:textId="77777777" w:rsidR="00FF1E38" w:rsidRPr="00FF1E38" w:rsidRDefault="00FF1E38" w:rsidP="00FF1E38">
            <w:pPr>
              <w:spacing w:after="0" w:line="240" w:lineRule="auto"/>
              <w:ind w:left="38" w:right="0" w:firstLine="0"/>
              <w:jc w:val="center"/>
              <w:rPr>
                <w:rFonts w:ascii="Cambria" w:eastAsia="Cambria" w:hAnsi="Cambria" w:cs="Cambria"/>
                <w:sz w:val="20"/>
                <w:szCs w:val="20"/>
              </w:rPr>
            </w:pPr>
            <w:r w:rsidRPr="00FF1E38">
              <w:rPr>
                <w:rFonts w:ascii="Cambria" w:eastAsia="Cambria" w:hAnsi="Cambria" w:cs="Cambria"/>
                <w:sz w:val="20"/>
                <w:szCs w:val="20"/>
              </w:rPr>
              <w:t xml:space="preserve">0 </w:t>
            </w:r>
          </w:p>
        </w:tc>
      </w:tr>
      <w:tr w:rsidR="00FF1E38" w:rsidRPr="00FF1E38" w14:paraId="0B1348C5" w14:textId="77777777" w:rsidTr="00DE0C9A">
        <w:trPr>
          <w:trHeight w:val="293"/>
        </w:trPr>
        <w:tc>
          <w:tcPr>
            <w:tcW w:w="533" w:type="dxa"/>
            <w:tcBorders>
              <w:top w:val="single" w:sz="4" w:space="0" w:color="000000"/>
              <w:left w:val="single" w:sz="4" w:space="0" w:color="000000"/>
              <w:bottom w:val="single" w:sz="4" w:space="0" w:color="000000"/>
              <w:right w:val="single" w:sz="4" w:space="0" w:color="000000"/>
            </w:tcBorders>
            <w:shd w:val="clear" w:color="auto" w:fill="FFC000"/>
          </w:tcPr>
          <w:p w14:paraId="298FB76C"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b/>
                <w:sz w:val="20"/>
                <w:szCs w:val="20"/>
              </w:rPr>
              <w:t xml:space="preserve">6 </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Pr>
          <w:p w14:paraId="097C7697" w14:textId="77777777" w:rsidR="00FF1E38" w:rsidRPr="00FF1E38" w:rsidRDefault="00174514" w:rsidP="00FF1E38">
            <w:pPr>
              <w:spacing w:after="0" w:line="240" w:lineRule="auto"/>
              <w:ind w:left="108" w:right="0" w:firstLine="0"/>
              <w:jc w:val="left"/>
              <w:rPr>
                <w:rFonts w:ascii="Cambria" w:eastAsia="Cambria" w:hAnsi="Cambria" w:cs="Cambria"/>
                <w:sz w:val="20"/>
                <w:szCs w:val="20"/>
              </w:rPr>
            </w:pPr>
            <w:hyperlink r:id="rId79">
              <w:r w:rsidR="00FF1E38" w:rsidRPr="00FF1E38">
                <w:rPr>
                  <w:rFonts w:ascii="Cambria" w:eastAsia="Cambria" w:hAnsi="Cambria" w:cs="Cambria"/>
                  <w:sz w:val="20"/>
                  <w:szCs w:val="20"/>
                </w:rPr>
                <w:t>Gornja Dubrava</w:t>
              </w:r>
            </w:hyperlink>
            <w:hyperlink r:id="rId80">
              <w:r w:rsidR="00FF1E38" w:rsidRPr="00FF1E38">
                <w:rPr>
                  <w:rFonts w:ascii="Cambria" w:eastAsia="Cambria" w:hAnsi="Cambria" w:cs="Cambria"/>
                  <w:sz w:val="20"/>
                  <w:szCs w:val="20"/>
                </w:rPr>
                <w:t xml:space="preserve"> </w:t>
              </w:r>
            </w:hyperlink>
          </w:p>
        </w:tc>
        <w:tc>
          <w:tcPr>
            <w:tcW w:w="709" w:type="dxa"/>
            <w:tcBorders>
              <w:top w:val="single" w:sz="4" w:space="0" w:color="000000"/>
              <w:left w:val="single" w:sz="4" w:space="0" w:color="000000"/>
              <w:bottom w:val="single" w:sz="4" w:space="0" w:color="000000"/>
              <w:right w:val="single" w:sz="4" w:space="0" w:color="000000"/>
            </w:tcBorders>
          </w:tcPr>
          <w:p w14:paraId="06DE35DB"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40 </w:t>
            </w:r>
          </w:p>
        </w:tc>
        <w:tc>
          <w:tcPr>
            <w:tcW w:w="991" w:type="dxa"/>
            <w:tcBorders>
              <w:top w:val="single" w:sz="4" w:space="0" w:color="000000"/>
              <w:left w:val="single" w:sz="4" w:space="0" w:color="000000"/>
              <w:bottom w:val="single" w:sz="4" w:space="0" w:color="000000"/>
              <w:right w:val="single" w:sz="4" w:space="0" w:color="000000"/>
            </w:tcBorders>
          </w:tcPr>
          <w:p w14:paraId="15C4D27A"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61841 </w:t>
            </w:r>
          </w:p>
        </w:tc>
        <w:tc>
          <w:tcPr>
            <w:tcW w:w="900" w:type="dxa"/>
            <w:tcBorders>
              <w:top w:val="single" w:sz="4" w:space="0" w:color="000000"/>
              <w:left w:val="single" w:sz="4" w:space="0" w:color="000000"/>
              <w:bottom w:val="single" w:sz="4" w:space="0" w:color="000000"/>
              <w:right w:val="single" w:sz="4" w:space="0" w:color="000000"/>
            </w:tcBorders>
          </w:tcPr>
          <w:p w14:paraId="3ACB4379"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sz w:val="20"/>
                <w:szCs w:val="20"/>
              </w:rPr>
              <w:t xml:space="preserve">10 </w:t>
            </w:r>
          </w:p>
        </w:tc>
        <w:tc>
          <w:tcPr>
            <w:tcW w:w="1086" w:type="dxa"/>
            <w:tcBorders>
              <w:top w:val="single" w:sz="4" w:space="0" w:color="000000"/>
              <w:left w:val="single" w:sz="4" w:space="0" w:color="000000"/>
              <w:bottom w:val="single" w:sz="4" w:space="0" w:color="000000"/>
              <w:right w:val="single" w:sz="4" w:space="0" w:color="000000"/>
            </w:tcBorders>
          </w:tcPr>
          <w:p w14:paraId="22E858CB"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sz w:val="20"/>
                <w:szCs w:val="20"/>
              </w:rPr>
              <w:t xml:space="preserve">40 </w:t>
            </w:r>
          </w:p>
        </w:tc>
        <w:tc>
          <w:tcPr>
            <w:tcW w:w="1086" w:type="dxa"/>
            <w:tcBorders>
              <w:top w:val="single" w:sz="4" w:space="0" w:color="000000"/>
              <w:left w:val="single" w:sz="4" w:space="0" w:color="000000"/>
              <w:bottom w:val="single" w:sz="4" w:space="0" w:color="000000"/>
              <w:right w:val="single" w:sz="4" w:space="0" w:color="000000"/>
            </w:tcBorders>
          </w:tcPr>
          <w:p w14:paraId="46A3236F" w14:textId="77777777" w:rsidR="00FF1E38" w:rsidRPr="00FF1E38" w:rsidRDefault="00FF1E38" w:rsidP="00FF1E38">
            <w:pPr>
              <w:spacing w:after="0" w:line="240" w:lineRule="auto"/>
              <w:ind w:left="32" w:right="0" w:firstLine="0"/>
              <w:jc w:val="center"/>
              <w:rPr>
                <w:rFonts w:ascii="Cambria" w:eastAsia="Cambria" w:hAnsi="Cambria" w:cs="Cambria"/>
                <w:sz w:val="20"/>
                <w:szCs w:val="20"/>
              </w:rPr>
            </w:pPr>
            <w:r w:rsidRPr="00FF1E38">
              <w:rPr>
                <w:rFonts w:ascii="Cambria" w:eastAsia="Cambria" w:hAnsi="Cambria" w:cs="Cambria"/>
                <w:sz w:val="20"/>
                <w:szCs w:val="20"/>
              </w:rPr>
              <w:t xml:space="preserve">40 </w:t>
            </w:r>
          </w:p>
        </w:tc>
        <w:tc>
          <w:tcPr>
            <w:tcW w:w="1088" w:type="dxa"/>
            <w:tcBorders>
              <w:top w:val="single" w:sz="4" w:space="0" w:color="000000"/>
              <w:left w:val="single" w:sz="4" w:space="0" w:color="000000"/>
              <w:bottom w:val="single" w:sz="4" w:space="0" w:color="000000"/>
              <w:right w:val="single" w:sz="4" w:space="0" w:color="000000"/>
            </w:tcBorders>
          </w:tcPr>
          <w:p w14:paraId="7B93424C"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10 </w:t>
            </w:r>
          </w:p>
        </w:tc>
        <w:tc>
          <w:tcPr>
            <w:tcW w:w="1085" w:type="dxa"/>
            <w:tcBorders>
              <w:top w:val="single" w:sz="4" w:space="0" w:color="000000"/>
              <w:left w:val="single" w:sz="4" w:space="0" w:color="000000"/>
              <w:bottom w:val="single" w:sz="4" w:space="0" w:color="000000"/>
              <w:right w:val="single" w:sz="4" w:space="0" w:color="000000"/>
            </w:tcBorders>
          </w:tcPr>
          <w:p w14:paraId="5B6349CE" w14:textId="77777777" w:rsidR="00FF1E38" w:rsidRPr="00FF1E38" w:rsidRDefault="00FF1E38" w:rsidP="00FF1E38">
            <w:pPr>
              <w:spacing w:after="0" w:line="240" w:lineRule="auto"/>
              <w:ind w:left="38" w:right="0" w:firstLine="0"/>
              <w:jc w:val="center"/>
              <w:rPr>
                <w:rFonts w:ascii="Cambria" w:eastAsia="Cambria" w:hAnsi="Cambria" w:cs="Cambria"/>
                <w:sz w:val="20"/>
                <w:szCs w:val="20"/>
              </w:rPr>
            </w:pPr>
            <w:r w:rsidRPr="00FF1E38">
              <w:rPr>
                <w:rFonts w:ascii="Cambria" w:eastAsia="Cambria" w:hAnsi="Cambria" w:cs="Cambria"/>
                <w:sz w:val="20"/>
                <w:szCs w:val="20"/>
              </w:rPr>
              <w:t xml:space="preserve">0 </w:t>
            </w:r>
          </w:p>
        </w:tc>
      </w:tr>
      <w:tr w:rsidR="00FF1E38" w:rsidRPr="00FF1E38" w14:paraId="5E0E1DE0" w14:textId="77777777" w:rsidTr="00DE0C9A">
        <w:trPr>
          <w:trHeight w:val="293"/>
        </w:trPr>
        <w:tc>
          <w:tcPr>
            <w:tcW w:w="533" w:type="dxa"/>
            <w:tcBorders>
              <w:top w:val="single" w:sz="4" w:space="0" w:color="000000"/>
              <w:left w:val="single" w:sz="4" w:space="0" w:color="000000"/>
              <w:bottom w:val="single" w:sz="4" w:space="0" w:color="000000"/>
              <w:right w:val="single" w:sz="4" w:space="0" w:color="000000"/>
            </w:tcBorders>
            <w:shd w:val="clear" w:color="auto" w:fill="FFC000"/>
          </w:tcPr>
          <w:p w14:paraId="7DDB5460"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b/>
                <w:sz w:val="20"/>
                <w:szCs w:val="20"/>
              </w:rPr>
              <w:t xml:space="preserve">7 </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Pr>
          <w:p w14:paraId="6240EA86" w14:textId="77777777" w:rsidR="00FF1E38" w:rsidRPr="00FF1E38" w:rsidRDefault="00174514" w:rsidP="00FF1E38">
            <w:pPr>
              <w:spacing w:after="0" w:line="240" w:lineRule="auto"/>
              <w:ind w:left="108" w:right="0" w:firstLine="0"/>
              <w:jc w:val="left"/>
              <w:rPr>
                <w:rFonts w:ascii="Cambria" w:eastAsia="Cambria" w:hAnsi="Cambria" w:cs="Cambria"/>
                <w:sz w:val="20"/>
                <w:szCs w:val="20"/>
              </w:rPr>
            </w:pPr>
            <w:hyperlink r:id="rId81">
              <w:r w:rsidR="00FF1E38" w:rsidRPr="00FF1E38">
                <w:rPr>
                  <w:rFonts w:ascii="Cambria" w:eastAsia="Cambria" w:hAnsi="Cambria" w:cs="Cambria"/>
                  <w:sz w:val="20"/>
                  <w:szCs w:val="20"/>
                </w:rPr>
                <w:t>Maksimir</w:t>
              </w:r>
            </w:hyperlink>
            <w:hyperlink r:id="rId82">
              <w:r w:rsidR="00FF1E38" w:rsidRPr="00FF1E38">
                <w:rPr>
                  <w:rFonts w:ascii="Cambria" w:eastAsia="Cambria" w:hAnsi="Cambria" w:cs="Cambria"/>
                  <w:sz w:val="20"/>
                  <w:szCs w:val="20"/>
                </w:rPr>
                <w:t xml:space="preserve"> </w:t>
              </w:r>
            </w:hyperlink>
          </w:p>
        </w:tc>
        <w:tc>
          <w:tcPr>
            <w:tcW w:w="709" w:type="dxa"/>
            <w:tcBorders>
              <w:top w:val="single" w:sz="4" w:space="0" w:color="000000"/>
              <w:left w:val="single" w:sz="4" w:space="0" w:color="000000"/>
              <w:bottom w:val="single" w:sz="4" w:space="0" w:color="000000"/>
              <w:right w:val="single" w:sz="4" w:space="0" w:color="000000"/>
            </w:tcBorders>
          </w:tcPr>
          <w:p w14:paraId="6F71F610"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14 </w:t>
            </w:r>
          </w:p>
        </w:tc>
        <w:tc>
          <w:tcPr>
            <w:tcW w:w="991" w:type="dxa"/>
            <w:tcBorders>
              <w:top w:val="single" w:sz="4" w:space="0" w:color="000000"/>
              <w:left w:val="single" w:sz="4" w:space="0" w:color="000000"/>
              <w:bottom w:val="single" w:sz="4" w:space="0" w:color="000000"/>
              <w:right w:val="single" w:sz="4" w:space="0" w:color="000000"/>
            </w:tcBorders>
          </w:tcPr>
          <w:p w14:paraId="01F9A66C"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48902 </w:t>
            </w:r>
          </w:p>
        </w:tc>
        <w:tc>
          <w:tcPr>
            <w:tcW w:w="900" w:type="dxa"/>
            <w:tcBorders>
              <w:top w:val="single" w:sz="4" w:space="0" w:color="000000"/>
              <w:left w:val="single" w:sz="4" w:space="0" w:color="000000"/>
              <w:bottom w:val="single" w:sz="4" w:space="0" w:color="000000"/>
              <w:right w:val="single" w:sz="4" w:space="0" w:color="000000"/>
            </w:tcBorders>
          </w:tcPr>
          <w:p w14:paraId="61723235"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0 </w:t>
            </w:r>
          </w:p>
        </w:tc>
        <w:tc>
          <w:tcPr>
            <w:tcW w:w="1086" w:type="dxa"/>
            <w:tcBorders>
              <w:top w:val="single" w:sz="4" w:space="0" w:color="000000"/>
              <w:left w:val="single" w:sz="4" w:space="0" w:color="000000"/>
              <w:bottom w:val="single" w:sz="4" w:space="0" w:color="000000"/>
              <w:right w:val="single" w:sz="4" w:space="0" w:color="000000"/>
            </w:tcBorders>
          </w:tcPr>
          <w:p w14:paraId="74FD0534"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sz w:val="20"/>
                <w:szCs w:val="20"/>
              </w:rPr>
              <w:t xml:space="preserve">20 </w:t>
            </w:r>
          </w:p>
        </w:tc>
        <w:tc>
          <w:tcPr>
            <w:tcW w:w="1086" w:type="dxa"/>
            <w:tcBorders>
              <w:top w:val="single" w:sz="4" w:space="0" w:color="000000"/>
              <w:left w:val="single" w:sz="4" w:space="0" w:color="000000"/>
              <w:bottom w:val="single" w:sz="4" w:space="0" w:color="000000"/>
              <w:right w:val="single" w:sz="4" w:space="0" w:color="000000"/>
            </w:tcBorders>
          </w:tcPr>
          <w:p w14:paraId="29BD8697" w14:textId="77777777" w:rsidR="00FF1E38" w:rsidRPr="00FF1E38" w:rsidRDefault="00FF1E38" w:rsidP="00FF1E38">
            <w:pPr>
              <w:spacing w:after="0" w:line="240" w:lineRule="auto"/>
              <w:ind w:left="32" w:right="0" w:firstLine="0"/>
              <w:jc w:val="center"/>
              <w:rPr>
                <w:rFonts w:ascii="Cambria" w:eastAsia="Cambria" w:hAnsi="Cambria" w:cs="Cambria"/>
                <w:sz w:val="20"/>
                <w:szCs w:val="20"/>
              </w:rPr>
            </w:pPr>
            <w:r w:rsidRPr="00FF1E38">
              <w:rPr>
                <w:rFonts w:ascii="Cambria" w:eastAsia="Cambria" w:hAnsi="Cambria" w:cs="Cambria"/>
                <w:sz w:val="20"/>
                <w:szCs w:val="20"/>
              </w:rPr>
              <w:t xml:space="preserve">50 </w:t>
            </w:r>
          </w:p>
        </w:tc>
        <w:tc>
          <w:tcPr>
            <w:tcW w:w="1088" w:type="dxa"/>
            <w:tcBorders>
              <w:top w:val="single" w:sz="4" w:space="0" w:color="000000"/>
              <w:left w:val="single" w:sz="4" w:space="0" w:color="000000"/>
              <w:bottom w:val="single" w:sz="4" w:space="0" w:color="000000"/>
              <w:right w:val="single" w:sz="4" w:space="0" w:color="000000"/>
            </w:tcBorders>
          </w:tcPr>
          <w:p w14:paraId="66E11B81"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28 </w:t>
            </w:r>
          </w:p>
        </w:tc>
        <w:tc>
          <w:tcPr>
            <w:tcW w:w="1085" w:type="dxa"/>
            <w:tcBorders>
              <w:top w:val="single" w:sz="4" w:space="0" w:color="000000"/>
              <w:left w:val="single" w:sz="4" w:space="0" w:color="000000"/>
              <w:bottom w:val="single" w:sz="4" w:space="0" w:color="000000"/>
              <w:right w:val="single" w:sz="4" w:space="0" w:color="000000"/>
            </w:tcBorders>
          </w:tcPr>
          <w:p w14:paraId="64E91D18" w14:textId="77777777" w:rsidR="00FF1E38" w:rsidRPr="00FF1E38" w:rsidRDefault="00FF1E38" w:rsidP="00FF1E38">
            <w:pPr>
              <w:spacing w:after="0" w:line="240" w:lineRule="auto"/>
              <w:ind w:left="38" w:right="0" w:firstLine="0"/>
              <w:jc w:val="center"/>
              <w:rPr>
                <w:rFonts w:ascii="Cambria" w:eastAsia="Cambria" w:hAnsi="Cambria" w:cs="Cambria"/>
                <w:sz w:val="20"/>
                <w:szCs w:val="20"/>
              </w:rPr>
            </w:pPr>
            <w:r w:rsidRPr="00FF1E38">
              <w:rPr>
                <w:rFonts w:ascii="Cambria" w:eastAsia="Cambria" w:hAnsi="Cambria" w:cs="Cambria"/>
                <w:sz w:val="20"/>
                <w:szCs w:val="20"/>
              </w:rPr>
              <w:t xml:space="preserve">2 </w:t>
            </w:r>
          </w:p>
        </w:tc>
      </w:tr>
      <w:tr w:rsidR="00FF1E38" w:rsidRPr="00FF1E38" w14:paraId="6DED724D" w14:textId="77777777" w:rsidTr="00DE0C9A">
        <w:trPr>
          <w:trHeight w:val="293"/>
        </w:trPr>
        <w:tc>
          <w:tcPr>
            <w:tcW w:w="533" w:type="dxa"/>
            <w:tcBorders>
              <w:top w:val="single" w:sz="4" w:space="0" w:color="000000"/>
              <w:left w:val="single" w:sz="4" w:space="0" w:color="000000"/>
              <w:bottom w:val="single" w:sz="4" w:space="0" w:color="000000"/>
              <w:right w:val="single" w:sz="4" w:space="0" w:color="000000"/>
            </w:tcBorders>
            <w:shd w:val="clear" w:color="auto" w:fill="FFC000"/>
          </w:tcPr>
          <w:p w14:paraId="5E9CF363"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b/>
                <w:sz w:val="20"/>
                <w:szCs w:val="20"/>
              </w:rPr>
              <w:t xml:space="preserve">8 </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Pr>
          <w:p w14:paraId="46321513" w14:textId="77777777" w:rsidR="00FF1E38" w:rsidRPr="00FF1E38" w:rsidRDefault="00174514" w:rsidP="00FF1E38">
            <w:pPr>
              <w:spacing w:after="0" w:line="240" w:lineRule="auto"/>
              <w:ind w:left="108" w:right="0" w:firstLine="0"/>
              <w:jc w:val="left"/>
              <w:rPr>
                <w:rFonts w:ascii="Cambria" w:eastAsia="Cambria" w:hAnsi="Cambria" w:cs="Cambria"/>
                <w:sz w:val="20"/>
                <w:szCs w:val="20"/>
              </w:rPr>
            </w:pPr>
            <w:hyperlink r:id="rId83">
              <w:r w:rsidR="00FF1E38" w:rsidRPr="00FF1E38">
                <w:rPr>
                  <w:rFonts w:ascii="Cambria" w:eastAsia="Cambria" w:hAnsi="Cambria" w:cs="Cambria"/>
                  <w:sz w:val="20"/>
                  <w:szCs w:val="20"/>
                </w:rPr>
                <w:t xml:space="preserve">Novi Zagreb </w:t>
              </w:r>
            </w:hyperlink>
            <w:hyperlink r:id="rId84">
              <w:r w:rsidR="00FF1E38" w:rsidRPr="00FF1E38">
                <w:rPr>
                  <w:rFonts w:ascii="Cambria" w:eastAsia="Cambria" w:hAnsi="Cambria" w:cs="Cambria"/>
                  <w:sz w:val="20"/>
                  <w:szCs w:val="20"/>
                </w:rPr>
                <w:t xml:space="preserve">- </w:t>
              </w:r>
            </w:hyperlink>
            <w:hyperlink r:id="rId85">
              <w:r w:rsidR="00FF1E38" w:rsidRPr="00FF1E38">
                <w:rPr>
                  <w:rFonts w:ascii="Cambria" w:eastAsia="Cambria" w:hAnsi="Cambria" w:cs="Cambria"/>
                  <w:sz w:val="20"/>
                  <w:szCs w:val="20"/>
                </w:rPr>
                <w:t>istok</w:t>
              </w:r>
            </w:hyperlink>
            <w:hyperlink r:id="rId86">
              <w:r w:rsidR="00FF1E38" w:rsidRPr="00FF1E38">
                <w:rPr>
                  <w:rFonts w:ascii="Cambria" w:eastAsia="Cambria" w:hAnsi="Cambria" w:cs="Cambria"/>
                  <w:sz w:val="20"/>
                  <w:szCs w:val="20"/>
                </w:rPr>
                <w:t xml:space="preserve"> </w:t>
              </w:r>
            </w:hyperlink>
          </w:p>
        </w:tc>
        <w:tc>
          <w:tcPr>
            <w:tcW w:w="709" w:type="dxa"/>
            <w:tcBorders>
              <w:top w:val="single" w:sz="4" w:space="0" w:color="000000"/>
              <w:left w:val="single" w:sz="4" w:space="0" w:color="000000"/>
              <w:bottom w:val="single" w:sz="4" w:space="0" w:color="000000"/>
              <w:right w:val="single" w:sz="4" w:space="0" w:color="000000"/>
            </w:tcBorders>
          </w:tcPr>
          <w:p w14:paraId="0A5F5A44"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17 </w:t>
            </w:r>
          </w:p>
        </w:tc>
        <w:tc>
          <w:tcPr>
            <w:tcW w:w="991" w:type="dxa"/>
            <w:tcBorders>
              <w:top w:val="single" w:sz="4" w:space="0" w:color="000000"/>
              <w:left w:val="single" w:sz="4" w:space="0" w:color="000000"/>
              <w:bottom w:val="single" w:sz="4" w:space="0" w:color="000000"/>
              <w:right w:val="single" w:sz="4" w:space="0" w:color="000000"/>
            </w:tcBorders>
          </w:tcPr>
          <w:p w14:paraId="07168673"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59055 </w:t>
            </w:r>
          </w:p>
        </w:tc>
        <w:tc>
          <w:tcPr>
            <w:tcW w:w="900" w:type="dxa"/>
            <w:tcBorders>
              <w:top w:val="single" w:sz="4" w:space="0" w:color="000000"/>
              <w:left w:val="single" w:sz="4" w:space="0" w:color="000000"/>
              <w:bottom w:val="single" w:sz="4" w:space="0" w:color="000000"/>
              <w:right w:val="single" w:sz="4" w:space="0" w:color="000000"/>
            </w:tcBorders>
          </w:tcPr>
          <w:p w14:paraId="06308F8C"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5 </w:t>
            </w:r>
          </w:p>
        </w:tc>
        <w:tc>
          <w:tcPr>
            <w:tcW w:w="1086" w:type="dxa"/>
            <w:tcBorders>
              <w:top w:val="single" w:sz="4" w:space="0" w:color="000000"/>
              <w:left w:val="single" w:sz="4" w:space="0" w:color="000000"/>
              <w:bottom w:val="single" w:sz="4" w:space="0" w:color="000000"/>
              <w:right w:val="single" w:sz="4" w:space="0" w:color="000000"/>
            </w:tcBorders>
          </w:tcPr>
          <w:p w14:paraId="0FFF8FF4"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sz w:val="20"/>
                <w:szCs w:val="20"/>
              </w:rPr>
              <w:t xml:space="preserve">20 </w:t>
            </w:r>
          </w:p>
        </w:tc>
        <w:tc>
          <w:tcPr>
            <w:tcW w:w="1086" w:type="dxa"/>
            <w:tcBorders>
              <w:top w:val="single" w:sz="4" w:space="0" w:color="000000"/>
              <w:left w:val="single" w:sz="4" w:space="0" w:color="000000"/>
              <w:bottom w:val="single" w:sz="4" w:space="0" w:color="000000"/>
              <w:right w:val="single" w:sz="4" w:space="0" w:color="000000"/>
            </w:tcBorders>
          </w:tcPr>
          <w:p w14:paraId="5A424FEB" w14:textId="77777777" w:rsidR="00FF1E38" w:rsidRPr="00FF1E38" w:rsidRDefault="00FF1E38" w:rsidP="00FF1E38">
            <w:pPr>
              <w:spacing w:after="0" w:line="240" w:lineRule="auto"/>
              <w:ind w:left="32" w:right="0" w:firstLine="0"/>
              <w:jc w:val="center"/>
              <w:rPr>
                <w:rFonts w:ascii="Cambria" w:eastAsia="Cambria" w:hAnsi="Cambria" w:cs="Cambria"/>
                <w:sz w:val="20"/>
                <w:szCs w:val="20"/>
              </w:rPr>
            </w:pPr>
            <w:r w:rsidRPr="00FF1E38">
              <w:rPr>
                <w:rFonts w:ascii="Cambria" w:eastAsia="Cambria" w:hAnsi="Cambria" w:cs="Cambria"/>
                <w:sz w:val="20"/>
                <w:szCs w:val="20"/>
              </w:rPr>
              <w:t xml:space="preserve">10 </w:t>
            </w:r>
          </w:p>
        </w:tc>
        <w:tc>
          <w:tcPr>
            <w:tcW w:w="1088" w:type="dxa"/>
            <w:tcBorders>
              <w:top w:val="single" w:sz="4" w:space="0" w:color="000000"/>
              <w:left w:val="single" w:sz="4" w:space="0" w:color="000000"/>
              <w:bottom w:val="single" w:sz="4" w:space="0" w:color="000000"/>
              <w:right w:val="single" w:sz="4" w:space="0" w:color="000000"/>
            </w:tcBorders>
          </w:tcPr>
          <w:p w14:paraId="3D00C0C4"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55 </w:t>
            </w:r>
          </w:p>
        </w:tc>
        <w:tc>
          <w:tcPr>
            <w:tcW w:w="1085" w:type="dxa"/>
            <w:tcBorders>
              <w:top w:val="single" w:sz="4" w:space="0" w:color="000000"/>
              <w:left w:val="single" w:sz="4" w:space="0" w:color="000000"/>
              <w:bottom w:val="single" w:sz="4" w:space="0" w:color="000000"/>
              <w:right w:val="single" w:sz="4" w:space="0" w:color="000000"/>
            </w:tcBorders>
          </w:tcPr>
          <w:p w14:paraId="60EFE33D"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10 </w:t>
            </w:r>
          </w:p>
        </w:tc>
      </w:tr>
      <w:tr w:rsidR="00FF1E38" w:rsidRPr="00FF1E38" w14:paraId="4D9FA97C" w14:textId="77777777" w:rsidTr="00DE0C9A">
        <w:trPr>
          <w:trHeight w:val="384"/>
        </w:trPr>
        <w:tc>
          <w:tcPr>
            <w:tcW w:w="533" w:type="dxa"/>
            <w:tcBorders>
              <w:top w:val="single" w:sz="4" w:space="0" w:color="000000"/>
              <w:left w:val="single" w:sz="4" w:space="0" w:color="000000"/>
              <w:bottom w:val="single" w:sz="4" w:space="0" w:color="000000"/>
              <w:right w:val="single" w:sz="4" w:space="0" w:color="000000"/>
            </w:tcBorders>
            <w:shd w:val="clear" w:color="auto" w:fill="FFC000"/>
          </w:tcPr>
          <w:p w14:paraId="4946D754"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b/>
                <w:sz w:val="20"/>
                <w:szCs w:val="20"/>
              </w:rPr>
              <w:t xml:space="preserve">9 </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Pr>
          <w:p w14:paraId="3DBF85F6" w14:textId="77777777" w:rsidR="00FF1E38" w:rsidRPr="00FF1E38" w:rsidRDefault="00174514" w:rsidP="00FF1E38">
            <w:pPr>
              <w:spacing w:after="0" w:line="240" w:lineRule="auto"/>
              <w:ind w:left="108" w:right="53" w:firstLine="0"/>
              <w:jc w:val="left"/>
              <w:rPr>
                <w:rFonts w:ascii="Cambria" w:eastAsia="Cambria" w:hAnsi="Cambria" w:cs="Cambria"/>
                <w:sz w:val="20"/>
                <w:szCs w:val="20"/>
              </w:rPr>
            </w:pPr>
            <w:hyperlink r:id="rId87">
              <w:r w:rsidR="00FF1E38" w:rsidRPr="00FF1E38">
                <w:rPr>
                  <w:rFonts w:ascii="Cambria" w:eastAsia="Cambria" w:hAnsi="Cambria" w:cs="Cambria"/>
                  <w:sz w:val="20"/>
                  <w:szCs w:val="20"/>
                </w:rPr>
                <w:t xml:space="preserve">Novi Zagreb </w:t>
              </w:r>
            </w:hyperlink>
            <w:hyperlink r:id="rId88">
              <w:r w:rsidR="00FF1E38" w:rsidRPr="00FF1E38">
                <w:rPr>
                  <w:rFonts w:ascii="Cambria" w:eastAsia="Cambria" w:hAnsi="Cambria" w:cs="Cambria"/>
                  <w:sz w:val="20"/>
                  <w:szCs w:val="20"/>
                </w:rPr>
                <w:t xml:space="preserve">- </w:t>
              </w:r>
            </w:hyperlink>
            <w:hyperlink r:id="rId89">
              <w:r w:rsidR="00FF1E38" w:rsidRPr="00FF1E38">
                <w:rPr>
                  <w:rFonts w:ascii="Cambria" w:eastAsia="Cambria" w:hAnsi="Cambria" w:cs="Cambria"/>
                  <w:sz w:val="20"/>
                  <w:szCs w:val="20"/>
                </w:rPr>
                <w:t>zapad</w:t>
              </w:r>
            </w:hyperlink>
            <w:hyperlink r:id="rId90">
              <w:r w:rsidR="00FF1E38" w:rsidRPr="00FF1E38">
                <w:rPr>
                  <w:rFonts w:ascii="Cambria" w:eastAsia="Cambria" w:hAnsi="Cambria" w:cs="Cambria"/>
                  <w:sz w:val="20"/>
                  <w:szCs w:val="20"/>
                </w:rPr>
                <w:t xml:space="preserve"> </w:t>
              </w:r>
            </w:hyperlink>
          </w:p>
        </w:tc>
        <w:tc>
          <w:tcPr>
            <w:tcW w:w="709" w:type="dxa"/>
            <w:tcBorders>
              <w:top w:val="single" w:sz="4" w:space="0" w:color="000000"/>
              <w:left w:val="single" w:sz="4" w:space="0" w:color="000000"/>
              <w:bottom w:val="single" w:sz="4" w:space="0" w:color="000000"/>
              <w:right w:val="single" w:sz="4" w:space="0" w:color="000000"/>
            </w:tcBorders>
          </w:tcPr>
          <w:p w14:paraId="7782FD0A"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63 </w:t>
            </w:r>
          </w:p>
        </w:tc>
        <w:tc>
          <w:tcPr>
            <w:tcW w:w="991" w:type="dxa"/>
            <w:tcBorders>
              <w:top w:val="single" w:sz="4" w:space="0" w:color="000000"/>
              <w:left w:val="single" w:sz="4" w:space="0" w:color="000000"/>
              <w:bottom w:val="single" w:sz="4" w:space="0" w:color="000000"/>
              <w:right w:val="single" w:sz="4" w:space="0" w:color="000000"/>
            </w:tcBorders>
          </w:tcPr>
          <w:p w14:paraId="77325E31"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58103 </w:t>
            </w:r>
          </w:p>
        </w:tc>
        <w:tc>
          <w:tcPr>
            <w:tcW w:w="900" w:type="dxa"/>
            <w:tcBorders>
              <w:top w:val="single" w:sz="4" w:space="0" w:color="000000"/>
              <w:left w:val="single" w:sz="4" w:space="0" w:color="000000"/>
              <w:bottom w:val="single" w:sz="4" w:space="0" w:color="000000"/>
              <w:right w:val="single" w:sz="4" w:space="0" w:color="000000"/>
            </w:tcBorders>
          </w:tcPr>
          <w:p w14:paraId="62547DDA"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5 </w:t>
            </w:r>
          </w:p>
        </w:tc>
        <w:tc>
          <w:tcPr>
            <w:tcW w:w="1086" w:type="dxa"/>
            <w:tcBorders>
              <w:top w:val="single" w:sz="4" w:space="0" w:color="000000"/>
              <w:left w:val="single" w:sz="4" w:space="0" w:color="000000"/>
              <w:bottom w:val="single" w:sz="4" w:space="0" w:color="000000"/>
              <w:right w:val="single" w:sz="4" w:space="0" w:color="000000"/>
            </w:tcBorders>
          </w:tcPr>
          <w:p w14:paraId="5E6CFE5E"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sz w:val="20"/>
                <w:szCs w:val="20"/>
              </w:rPr>
              <w:t xml:space="preserve">20 </w:t>
            </w:r>
          </w:p>
        </w:tc>
        <w:tc>
          <w:tcPr>
            <w:tcW w:w="1086" w:type="dxa"/>
            <w:tcBorders>
              <w:top w:val="single" w:sz="4" w:space="0" w:color="000000"/>
              <w:left w:val="single" w:sz="4" w:space="0" w:color="000000"/>
              <w:bottom w:val="single" w:sz="4" w:space="0" w:color="000000"/>
              <w:right w:val="single" w:sz="4" w:space="0" w:color="000000"/>
            </w:tcBorders>
          </w:tcPr>
          <w:p w14:paraId="166744C0" w14:textId="77777777" w:rsidR="00FF1E38" w:rsidRPr="00FF1E38" w:rsidRDefault="00FF1E38" w:rsidP="00FF1E38">
            <w:pPr>
              <w:spacing w:after="0" w:line="240" w:lineRule="auto"/>
              <w:ind w:left="32" w:right="0" w:firstLine="0"/>
              <w:jc w:val="center"/>
              <w:rPr>
                <w:rFonts w:ascii="Cambria" w:eastAsia="Cambria" w:hAnsi="Cambria" w:cs="Cambria"/>
                <w:sz w:val="20"/>
                <w:szCs w:val="20"/>
              </w:rPr>
            </w:pPr>
            <w:r w:rsidRPr="00FF1E38">
              <w:rPr>
                <w:rFonts w:ascii="Cambria" w:eastAsia="Cambria" w:hAnsi="Cambria" w:cs="Cambria"/>
                <w:sz w:val="20"/>
                <w:szCs w:val="20"/>
              </w:rPr>
              <w:t xml:space="preserve">10 </w:t>
            </w:r>
          </w:p>
        </w:tc>
        <w:tc>
          <w:tcPr>
            <w:tcW w:w="1088" w:type="dxa"/>
            <w:tcBorders>
              <w:top w:val="single" w:sz="4" w:space="0" w:color="000000"/>
              <w:left w:val="single" w:sz="4" w:space="0" w:color="000000"/>
              <w:bottom w:val="single" w:sz="4" w:space="0" w:color="000000"/>
              <w:right w:val="single" w:sz="4" w:space="0" w:color="000000"/>
            </w:tcBorders>
          </w:tcPr>
          <w:p w14:paraId="12C5431C"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55 </w:t>
            </w:r>
          </w:p>
        </w:tc>
        <w:tc>
          <w:tcPr>
            <w:tcW w:w="1085" w:type="dxa"/>
            <w:tcBorders>
              <w:top w:val="single" w:sz="4" w:space="0" w:color="000000"/>
              <w:left w:val="single" w:sz="4" w:space="0" w:color="000000"/>
              <w:bottom w:val="single" w:sz="4" w:space="0" w:color="000000"/>
              <w:right w:val="single" w:sz="4" w:space="0" w:color="000000"/>
            </w:tcBorders>
          </w:tcPr>
          <w:p w14:paraId="34AC35FB"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10 </w:t>
            </w:r>
          </w:p>
        </w:tc>
      </w:tr>
      <w:tr w:rsidR="00FF1E38" w:rsidRPr="00FF1E38" w14:paraId="711AD021" w14:textId="77777777" w:rsidTr="00DE0C9A">
        <w:trPr>
          <w:trHeight w:val="294"/>
        </w:trPr>
        <w:tc>
          <w:tcPr>
            <w:tcW w:w="533" w:type="dxa"/>
            <w:tcBorders>
              <w:top w:val="single" w:sz="4" w:space="0" w:color="000000"/>
              <w:left w:val="single" w:sz="4" w:space="0" w:color="000000"/>
              <w:bottom w:val="single" w:sz="4" w:space="0" w:color="000000"/>
              <w:right w:val="single" w:sz="4" w:space="0" w:color="000000"/>
            </w:tcBorders>
            <w:shd w:val="clear" w:color="auto" w:fill="FFC000"/>
          </w:tcPr>
          <w:p w14:paraId="0135E8F2"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b/>
                <w:sz w:val="20"/>
                <w:szCs w:val="20"/>
              </w:rPr>
              <w:t xml:space="preserve">10 </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Pr>
          <w:p w14:paraId="0C3638CD" w14:textId="77777777" w:rsidR="00FF1E38" w:rsidRPr="00FF1E38" w:rsidRDefault="00174514" w:rsidP="00FF1E38">
            <w:pPr>
              <w:spacing w:after="0" w:line="240" w:lineRule="auto"/>
              <w:ind w:left="108" w:right="0" w:firstLine="0"/>
              <w:jc w:val="left"/>
              <w:rPr>
                <w:rFonts w:ascii="Cambria" w:eastAsia="Cambria" w:hAnsi="Cambria" w:cs="Cambria"/>
                <w:sz w:val="20"/>
                <w:szCs w:val="20"/>
              </w:rPr>
            </w:pPr>
            <w:hyperlink r:id="rId91">
              <w:r w:rsidR="00FF1E38" w:rsidRPr="00FF1E38">
                <w:rPr>
                  <w:rFonts w:ascii="Cambria" w:eastAsia="Cambria" w:hAnsi="Cambria" w:cs="Cambria"/>
                  <w:sz w:val="20"/>
                  <w:szCs w:val="20"/>
                </w:rPr>
                <w:t xml:space="preserve">Peščenica </w:t>
              </w:r>
            </w:hyperlink>
            <w:hyperlink r:id="rId92">
              <w:r w:rsidR="00FF1E38" w:rsidRPr="00FF1E38">
                <w:rPr>
                  <w:rFonts w:ascii="Cambria" w:eastAsia="Cambria" w:hAnsi="Cambria" w:cs="Cambria"/>
                  <w:sz w:val="20"/>
                  <w:szCs w:val="20"/>
                </w:rPr>
                <w:t xml:space="preserve">- </w:t>
              </w:r>
            </w:hyperlink>
            <w:hyperlink r:id="rId93">
              <w:r w:rsidR="00FF1E38" w:rsidRPr="00FF1E38">
                <w:rPr>
                  <w:rFonts w:ascii="Cambria" w:eastAsia="Cambria" w:hAnsi="Cambria" w:cs="Cambria"/>
                  <w:sz w:val="20"/>
                  <w:szCs w:val="20"/>
                </w:rPr>
                <w:t>Žitnjak</w:t>
              </w:r>
            </w:hyperlink>
            <w:hyperlink r:id="rId94">
              <w:r w:rsidR="00FF1E38" w:rsidRPr="00FF1E38">
                <w:rPr>
                  <w:rFonts w:ascii="Cambria" w:eastAsia="Cambria" w:hAnsi="Cambria" w:cs="Cambria"/>
                  <w:sz w:val="20"/>
                  <w:szCs w:val="20"/>
                </w:rPr>
                <w:t xml:space="preserve"> </w:t>
              </w:r>
            </w:hyperlink>
          </w:p>
        </w:tc>
        <w:tc>
          <w:tcPr>
            <w:tcW w:w="709" w:type="dxa"/>
            <w:tcBorders>
              <w:top w:val="single" w:sz="4" w:space="0" w:color="000000"/>
              <w:left w:val="single" w:sz="4" w:space="0" w:color="000000"/>
              <w:bottom w:val="single" w:sz="4" w:space="0" w:color="000000"/>
              <w:right w:val="single" w:sz="4" w:space="0" w:color="000000"/>
            </w:tcBorders>
          </w:tcPr>
          <w:p w14:paraId="172DBC62"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35 </w:t>
            </w:r>
          </w:p>
        </w:tc>
        <w:tc>
          <w:tcPr>
            <w:tcW w:w="991" w:type="dxa"/>
            <w:tcBorders>
              <w:top w:val="single" w:sz="4" w:space="0" w:color="000000"/>
              <w:left w:val="single" w:sz="4" w:space="0" w:color="000000"/>
              <w:bottom w:val="single" w:sz="4" w:space="0" w:color="000000"/>
              <w:right w:val="single" w:sz="4" w:space="0" w:color="000000"/>
            </w:tcBorders>
          </w:tcPr>
          <w:p w14:paraId="50A0CB83"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56487 </w:t>
            </w:r>
          </w:p>
        </w:tc>
        <w:tc>
          <w:tcPr>
            <w:tcW w:w="900" w:type="dxa"/>
            <w:tcBorders>
              <w:top w:val="single" w:sz="4" w:space="0" w:color="000000"/>
              <w:left w:val="single" w:sz="4" w:space="0" w:color="000000"/>
              <w:bottom w:val="single" w:sz="4" w:space="0" w:color="000000"/>
              <w:right w:val="single" w:sz="4" w:space="0" w:color="000000"/>
            </w:tcBorders>
          </w:tcPr>
          <w:p w14:paraId="43AC42DC"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sz w:val="20"/>
                <w:szCs w:val="20"/>
              </w:rPr>
              <w:t xml:space="preserve">10 </w:t>
            </w:r>
          </w:p>
        </w:tc>
        <w:tc>
          <w:tcPr>
            <w:tcW w:w="1086" w:type="dxa"/>
            <w:tcBorders>
              <w:top w:val="single" w:sz="4" w:space="0" w:color="000000"/>
              <w:left w:val="single" w:sz="4" w:space="0" w:color="000000"/>
              <w:bottom w:val="single" w:sz="4" w:space="0" w:color="000000"/>
              <w:right w:val="single" w:sz="4" w:space="0" w:color="000000"/>
            </w:tcBorders>
          </w:tcPr>
          <w:p w14:paraId="428DC10C"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sz w:val="20"/>
                <w:szCs w:val="20"/>
              </w:rPr>
              <w:t xml:space="preserve">30 </w:t>
            </w:r>
          </w:p>
        </w:tc>
        <w:tc>
          <w:tcPr>
            <w:tcW w:w="1086" w:type="dxa"/>
            <w:tcBorders>
              <w:top w:val="single" w:sz="4" w:space="0" w:color="000000"/>
              <w:left w:val="single" w:sz="4" w:space="0" w:color="000000"/>
              <w:bottom w:val="single" w:sz="4" w:space="0" w:color="000000"/>
              <w:right w:val="single" w:sz="4" w:space="0" w:color="000000"/>
            </w:tcBorders>
          </w:tcPr>
          <w:p w14:paraId="5333BC01" w14:textId="77777777" w:rsidR="00FF1E38" w:rsidRPr="00FF1E38" w:rsidRDefault="00FF1E38" w:rsidP="00FF1E38">
            <w:pPr>
              <w:spacing w:after="0" w:line="240" w:lineRule="auto"/>
              <w:ind w:left="32" w:right="0" w:firstLine="0"/>
              <w:jc w:val="center"/>
              <w:rPr>
                <w:rFonts w:ascii="Cambria" w:eastAsia="Cambria" w:hAnsi="Cambria" w:cs="Cambria"/>
                <w:sz w:val="20"/>
                <w:szCs w:val="20"/>
              </w:rPr>
            </w:pPr>
            <w:r w:rsidRPr="00FF1E38">
              <w:rPr>
                <w:rFonts w:ascii="Cambria" w:eastAsia="Cambria" w:hAnsi="Cambria" w:cs="Cambria"/>
                <w:sz w:val="20"/>
                <w:szCs w:val="20"/>
              </w:rPr>
              <w:t xml:space="preserve">40 </w:t>
            </w:r>
          </w:p>
        </w:tc>
        <w:tc>
          <w:tcPr>
            <w:tcW w:w="1088" w:type="dxa"/>
            <w:tcBorders>
              <w:top w:val="single" w:sz="4" w:space="0" w:color="000000"/>
              <w:left w:val="single" w:sz="4" w:space="0" w:color="000000"/>
              <w:bottom w:val="single" w:sz="4" w:space="0" w:color="000000"/>
              <w:right w:val="single" w:sz="4" w:space="0" w:color="000000"/>
            </w:tcBorders>
          </w:tcPr>
          <w:p w14:paraId="02C0599E"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20 </w:t>
            </w:r>
          </w:p>
        </w:tc>
        <w:tc>
          <w:tcPr>
            <w:tcW w:w="1085" w:type="dxa"/>
            <w:tcBorders>
              <w:top w:val="single" w:sz="4" w:space="0" w:color="000000"/>
              <w:left w:val="single" w:sz="4" w:space="0" w:color="000000"/>
              <w:bottom w:val="single" w:sz="4" w:space="0" w:color="000000"/>
              <w:right w:val="single" w:sz="4" w:space="0" w:color="000000"/>
            </w:tcBorders>
          </w:tcPr>
          <w:p w14:paraId="283AC16A" w14:textId="77777777" w:rsidR="00FF1E38" w:rsidRPr="00FF1E38" w:rsidRDefault="00FF1E38" w:rsidP="00FF1E38">
            <w:pPr>
              <w:spacing w:after="0" w:line="240" w:lineRule="auto"/>
              <w:ind w:left="38" w:right="0" w:firstLine="0"/>
              <w:jc w:val="center"/>
              <w:rPr>
                <w:rFonts w:ascii="Cambria" w:eastAsia="Cambria" w:hAnsi="Cambria" w:cs="Cambria"/>
                <w:sz w:val="20"/>
                <w:szCs w:val="20"/>
              </w:rPr>
            </w:pPr>
            <w:r w:rsidRPr="00FF1E38">
              <w:rPr>
                <w:rFonts w:ascii="Cambria" w:eastAsia="Cambria" w:hAnsi="Cambria" w:cs="Cambria"/>
                <w:sz w:val="20"/>
                <w:szCs w:val="20"/>
              </w:rPr>
              <w:t xml:space="preserve">0 </w:t>
            </w:r>
          </w:p>
        </w:tc>
      </w:tr>
      <w:tr w:rsidR="00FF1E38" w:rsidRPr="00FF1E38" w14:paraId="0CD86C0B" w14:textId="77777777" w:rsidTr="00DE0C9A">
        <w:trPr>
          <w:trHeight w:val="293"/>
        </w:trPr>
        <w:tc>
          <w:tcPr>
            <w:tcW w:w="533" w:type="dxa"/>
            <w:tcBorders>
              <w:top w:val="single" w:sz="4" w:space="0" w:color="000000"/>
              <w:left w:val="single" w:sz="4" w:space="0" w:color="000000"/>
              <w:bottom w:val="single" w:sz="4" w:space="0" w:color="000000"/>
              <w:right w:val="single" w:sz="4" w:space="0" w:color="000000"/>
            </w:tcBorders>
            <w:shd w:val="clear" w:color="auto" w:fill="FFC000"/>
          </w:tcPr>
          <w:p w14:paraId="2CAF83EA"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b/>
                <w:sz w:val="20"/>
                <w:szCs w:val="20"/>
              </w:rPr>
              <w:t xml:space="preserve">11 </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Pr>
          <w:p w14:paraId="646480A5" w14:textId="77777777" w:rsidR="00FF1E38" w:rsidRPr="00FF1E38" w:rsidRDefault="00174514" w:rsidP="00FF1E38">
            <w:pPr>
              <w:spacing w:after="0" w:line="240" w:lineRule="auto"/>
              <w:ind w:left="108" w:right="0" w:firstLine="0"/>
              <w:jc w:val="left"/>
              <w:rPr>
                <w:rFonts w:ascii="Cambria" w:eastAsia="Cambria" w:hAnsi="Cambria" w:cs="Cambria"/>
                <w:sz w:val="20"/>
                <w:szCs w:val="20"/>
              </w:rPr>
            </w:pPr>
            <w:hyperlink r:id="rId95">
              <w:r w:rsidR="00FF1E38" w:rsidRPr="00FF1E38">
                <w:rPr>
                  <w:rFonts w:ascii="Cambria" w:eastAsia="Cambria" w:hAnsi="Cambria" w:cs="Cambria"/>
                  <w:sz w:val="20"/>
                  <w:szCs w:val="20"/>
                </w:rPr>
                <w:t xml:space="preserve">Podsused </w:t>
              </w:r>
            </w:hyperlink>
            <w:hyperlink r:id="rId96">
              <w:r w:rsidR="00FF1E38" w:rsidRPr="00FF1E38">
                <w:rPr>
                  <w:rFonts w:ascii="Cambria" w:eastAsia="Cambria" w:hAnsi="Cambria" w:cs="Cambria"/>
                  <w:sz w:val="20"/>
                  <w:szCs w:val="20"/>
                </w:rPr>
                <w:t xml:space="preserve">- </w:t>
              </w:r>
            </w:hyperlink>
            <w:hyperlink r:id="rId97">
              <w:r w:rsidR="00FF1E38" w:rsidRPr="00FF1E38">
                <w:rPr>
                  <w:rFonts w:ascii="Cambria" w:eastAsia="Cambria" w:hAnsi="Cambria" w:cs="Cambria"/>
                  <w:sz w:val="20"/>
                  <w:szCs w:val="20"/>
                </w:rPr>
                <w:t>Vrapče</w:t>
              </w:r>
            </w:hyperlink>
            <w:hyperlink r:id="rId98">
              <w:r w:rsidR="00FF1E38" w:rsidRPr="00FF1E38">
                <w:rPr>
                  <w:rFonts w:ascii="Cambria" w:eastAsia="Cambria" w:hAnsi="Cambria" w:cs="Cambria"/>
                  <w:sz w:val="20"/>
                  <w:szCs w:val="20"/>
                </w:rPr>
                <w:t xml:space="preserve"> </w:t>
              </w:r>
            </w:hyperlink>
          </w:p>
        </w:tc>
        <w:tc>
          <w:tcPr>
            <w:tcW w:w="709" w:type="dxa"/>
            <w:tcBorders>
              <w:top w:val="single" w:sz="4" w:space="0" w:color="000000"/>
              <w:left w:val="single" w:sz="4" w:space="0" w:color="000000"/>
              <w:bottom w:val="single" w:sz="4" w:space="0" w:color="000000"/>
              <w:right w:val="single" w:sz="4" w:space="0" w:color="000000"/>
            </w:tcBorders>
          </w:tcPr>
          <w:p w14:paraId="7EA83592"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36 </w:t>
            </w:r>
          </w:p>
        </w:tc>
        <w:tc>
          <w:tcPr>
            <w:tcW w:w="991" w:type="dxa"/>
            <w:tcBorders>
              <w:top w:val="single" w:sz="4" w:space="0" w:color="000000"/>
              <w:left w:val="single" w:sz="4" w:space="0" w:color="000000"/>
              <w:bottom w:val="single" w:sz="4" w:space="0" w:color="000000"/>
              <w:right w:val="single" w:sz="4" w:space="0" w:color="000000"/>
            </w:tcBorders>
          </w:tcPr>
          <w:p w14:paraId="161C1701"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45759 </w:t>
            </w:r>
          </w:p>
        </w:tc>
        <w:tc>
          <w:tcPr>
            <w:tcW w:w="900" w:type="dxa"/>
            <w:tcBorders>
              <w:top w:val="single" w:sz="4" w:space="0" w:color="000000"/>
              <w:left w:val="single" w:sz="4" w:space="0" w:color="000000"/>
              <w:bottom w:val="single" w:sz="4" w:space="0" w:color="000000"/>
              <w:right w:val="single" w:sz="4" w:space="0" w:color="000000"/>
            </w:tcBorders>
          </w:tcPr>
          <w:p w14:paraId="4EAB49AB"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5 </w:t>
            </w:r>
          </w:p>
        </w:tc>
        <w:tc>
          <w:tcPr>
            <w:tcW w:w="1086" w:type="dxa"/>
            <w:tcBorders>
              <w:top w:val="single" w:sz="4" w:space="0" w:color="000000"/>
              <w:left w:val="single" w:sz="4" w:space="0" w:color="000000"/>
              <w:bottom w:val="single" w:sz="4" w:space="0" w:color="000000"/>
              <w:right w:val="single" w:sz="4" w:space="0" w:color="000000"/>
            </w:tcBorders>
          </w:tcPr>
          <w:p w14:paraId="1C3609D4"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sz w:val="20"/>
                <w:szCs w:val="20"/>
              </w:rPr>
              <w:t xml:space="preserve">30 </w:t>
            </w:r>
          </w:p>
        </w:tc>
        <w:tc>
          <w:tcPr>
            <w:tcW w:w="1086" w:type="dxa"/>
            <w:tcBorders>
              <w:top w:val="single" w:sz="4" w:space="0" w:color="000000"/>
              <w:left w:val="single" w:sz="4" w:space="0" w:color="000000"/>
              <w:bottom w:val="single" w:sz="4" w:space="0" w:color="000000"/>
              <w:right w:val="single" w:sz="4" w:space="0" w:color="000000"/>
            </w:tcBorders>
          </w:tcPr>
          <w:p w14:paraId="6023C249" w14:textId="77777777" w:rsidR="00FF1E38" w:rsidRPr="00FF1E38" w:rsidRDefault="00FF1E38" w:rsidP="00FF1E38">
            <w:pPr>
              <w:spacing w:after="0" w:line="240" w:lineRule="auto"/>
              <w:ind w:left="32" w:right="0" w:firstLine="0"/>
              <w:jc w:val="center"/>
              <w:rPr>
                <w:rFonts w:ascii="Cambria" w:eastAsia="Cambria" w:hAnsi="Cambria" w:cs="Cambria"/>
                <w:sz w:val="20"/>
                <w:szCs w:val="20"/>
              </w:rPr>
            </w:pPr>
            <w:r w:rsidRPr="00FF1E38">
              <w:rPr>
                <w:rFonts w:ascii="Cambria" w:eastAsia="Cambria" w:hAnsi="Cambria" w:cs="Cambria"/>
                <w:sz w:val="20"/>
                <w:szCs w:val="20"/>
              </w:rPr>
              <w:t xml:space="preserve">40 </w:t>
            </w:r>
          </w:p>
        </w:tc>
        <w:tc>
          <w:tcPr>
            <w:tcW w:w="1088" w:type="dxa"/>
            <w:tcBorders>
              <w:top w:val="single" w:sz="4" w:space="0" w:color="000000"/>
              <w:left w:val="single" w:sz="4" w:space="0" w:color="000000"/>
              <w:bottom w:val="single" w:sz="4" w:space="0" w:color="000000"/>
              <w:right w:val="single" w:sz="4" w:space="0" w:color="000000"/>
            </w:tcBorders>
          </w:tcPr>
          <w:p w14:paraId="56E1542B"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20 </w:t>
            </w:r>
          </w:p>
        </w:tc>
        <w:tc>
          <w:tcPr>
            <w:tcW w:w="1085" w:type="dxa"/>
            <w:tcBorders>
              <w:top w:val="single" w:sz="4" w:space="0" w:color="000000"/>
              <w:left w:val="single" w:sz="4" w:space="0" w:color="000000"/>
              <w:bottom w:val="single" w:sz="4" w:space="0" w:color="000000"/>
              <w:right w:val="single" w:sz="4" w:space="0" w:color="000000"/>
            </w:tcBorders>
          </w:tcPr>
          <w:p w14:paraId="1D66D3CF" w14:textId="77777777" w:rsidR="00FF1E38" w:rsidRPr="00FF1E38" w:rsidRDefault="00FF1E38" w:rsidP="00FF1E38">
            <w:pPr>
              <w:spacing w:after="0" w:line="240" w:lineRule="auto"/>
              <w:ind w:left="38" w:right="0" w:firstLine="0"/>
              <w:jc w:val="center"/>
              <w:rPr>
                <w:rFonts w:ascii="Cambria" w:eastAsia="Cambria" w:hAnsi="Cambria" w:cs="Cambria"/>
                <w:sz w:val="20"/>
                <w:szCs w:val="20"/>
              </w:rPr>
            </w:pPr>
            <w:r w:rsidRPr="00FF1E38">
              <w:rPr>
                <w:rFonts w:ascii="Cambria" w:eastAsia="Cambria" w:hAnsi="Cambria" w:cs="Cambria"/>
                <w:sz w:val="20"/>
                <w:szCs w:val="20"/>
              </w:rPr>
              <w:t xml:space="preserve">5 </w:t>
            </w:r>
          </w:p>
        </w:tc>
      </w:tr>
      <w:tr w:rsidR="00FF1E38" w:rsidRPr="00FF1E38" w14:paraId="07223193" w14:textId="77777777" w:rsidTr="00DE0C9A">
        <w:trPr>
          <w:trHeight w:val="294"/>
        </w:trPr>
        <w:tc>
          <w:tcPr>
            <w:tcW w:w="533" w:type="dxa"/>
            <w:tcBorders>
              <w:top w:val="single" w:sz="4" w:space="0" w:color="000000"/>
              <w:left w:val="single" w:sz="4" w:space="0" w:color="000000"/>
              <w:bottom w:val="single" w:sz="4" w:space="0" w:color="000000"/>
              <w:right w:val="single" w:sz="4" w:space="0" w:color="000000"/>
            </w:tcBorders>
            <w:shd w:val="clear" w:color="auto" w:fill="FFC000"/>
          </w:tcPr>
          <w:p w14:paraId="65B58C2E"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b/>
                <w:sz w:val="20"/>
                <w:szCs w:val="20"/>
              </w:rPr>
              <w:t xml:space="preserve">12 </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Pr>
          <w:p w14:paraId="00CFA4AB" w14:textId="77777777" w:rsidR="00FF1E38" w:rsidRPr="00FF1E38" w:rsidRDefault="00174514" w:rsidP="00FF1E38">
            <w:pPr>
              <w:spacing w:after="0" w:line="240" w:lineRule="auto"/>
              <w:ind w:left="108" w:right="0" w:firstLine="0"/>
              <w:jc w:val="left"/>
              <w:rPr>
                <w:rFonts w:ascii="Cambria" w:eastAsia="Cambria" w:hAnsi="Cambria" w:cs="Cambria"/>
                <w:sz w:val="20"/>
                <w:szCs w:val="20"/>
              </w:rPr>
            </w:pPr>
            <w:hyperlink r:id="rId99">
              <w:r w:rsidR="00FF1E38" w:rsidRPr="00FF1E38">
                <w:rPr>
                  <w:rFonts w:ascii="Cambria" w:eastAsia="Cambria" w:hAnsi="Cambria" w:cs="Cambria"/>
                  <w:sz w:val="20"/>
                  <w:szCs w:val="20"/>
                </w:rPr>
                <w:t>Podsljeme</w:t>
              </w:r>
            </w:hyperlink>
            <w:hyperlink r:id="rId100">
              <w:r w:rsidR="00FF1E38" w:rsidRPr="00FF1E38">
                <w:rPr>
                  <w:rFonts w:ascii="Cambria" w:eastAsia="Cambria" w:hAnsi="Cambria" w:cs="Cambria"/>
                  <w:sz w:val="20"/>
                  <w:szCs w:val="20"/>
                </w:rPr>
                <w:t xml:space="preserve"> </w:t>
              </w:r>
            </w:hyperlink>
          </w:p>
        </w:tc>
        <w:tc>
          <w:tcPr>
            <w:tcW w:w="709" w:type="dxa"/>
            <w:tcBorders>
              <w:top w:val="single" w:sz="4" w:space="0" w:color="000000"/>
              <w:left w:val="single" w:sz="4" w:space="0" w:color="000000"/>
              <w:bottom w:val="single" w:sz="4" w:space="0" w:color="000000"/>
              <w:right w:val="single" w:sz="4" w:space="0" w:color="000000"/>
            </w:tcBorders>
          </w:tcPr>
          <w:p w14:paraId="38ECF370"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60 </w:t>
            </w:r>
          </w:p>
        </w:tc>
        <w:tc>
          <w:tcPr>
            <w:tcW w:w="991" w:type="dxa"/>
            <w:tcBorders>
              <w:top w:val="single" w:sz="4" w:space="0" w:color="000000"/>
              <w:left w:val="single" w:sz="4" w:space="0" w:color="000000"/>
              <w:bottom w:val="single" w:sz="4" w:space="0" w:color="000000"/>
              <w:right w:val="single" w:sz="4" w:space="0" w:color="000000"/>
            </w:tcBorders>
          </w:tcPr>
          <w:p w14:paraId="7543D5D2"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19165 </w:t>
            </w:r>
          </w:p>
        </w:tc>
        <w:tc>
          <w:tcPr>
            <w:tcW w:w="900" w:type="dxa"/>
            <w:tcBorders>
              <w:top w:val="single" w:sz="4" w:space="0" w:color="000000"/>
              <w:left w:val="single" w:sz="4" w:space="0" w:color="000000"/>
              <w:bottom w:val="single" w:sz="4" w:space="0" w:color="000000"/>
              <w:right w:val="single" w:sz="4" w:space="0" w:color="000000"/>
            </w:tcBorders>
          </w:tcPr>
          <w:p w14:paraId="466EBF31"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0 </w:t>
            </w:r>
          </w:p>
        </w:tc>
        <w:tc>
          <w:tcPr>
            <w:tcW w:w="1086" w:type="dxa"/>
            <w:tcBorders>
              <w:top w:val="single" w:sz="4" w:space="0" w:color="000000"/>
              <w:left w:val="single" w:sz="4" w:space="0" w:color="000000"/>
              <w:bottom w:val="single" w:sz="4" w:space="0" w:color="000000"/>
              <w:right w:val="single" w:sz="4" w:space="0" w:color="000000"/>
            </w:tcBorders>
          </w:tcPr>
          <w:p w14:paraId="21A995D7"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sz w:val="20"/>
                <w:szCs w:val="20"/>
              </w:rPr>
              <w:t xml:space="preserve">20 </w:t>
            </w:r>
          </w:p>
        </w:tc>
        <w:tc>
          <w:tcPr>
            <w:tcW w:w="1086" w:type="dxa"/>
            <w:tcBorders>
              <w:top w:val="single" w:sz="4" w:space="0" w:color="000000"/>
              <w:left w:val="single" w:sz="4" w:space="0" w:color="000000"/>
              <w:bottom w:val="single" w:sz="4" w:space="0" w:color="000000"/>
              <w:right w:val="single" w:sz="4" w:space="0" w:color="000000"/>
            </w:tcBorders>
          </w:tcPr>
          <w:p w14:paraId="01E6272F" w14:textId="77777777" w:rsidR="00FF1E38" w:rsidRPr="00FF1E38" w:rsidRDefault="00FF1E38" w:rsidP="00FF1E38">
            <w:pPr>
              <w:spacing w:after="0" w:line="240" w:lineRule="auto"/>
              <w:ind w:left="32" w:right="0" w:firstLine="0"/>
              <w:jc w:val="center"/>
              <w:rPr>
                <w:rFonts w:ascii="Cambria" w:eastAsia="Cambria" w:hAnsi="Cambria" w:cs="Cambria"/>
                <w:sz w:val="20"/>
                <w:szCs w:val="20"/>
              </w:rPr>
            </w:pPr>
            <w:r w:rsidRPr="00FF1E38">
              <w:rPr>
                <w:rFonts w:ascii="Cambria" w:eastAsia="Cambria" w:hAnsi="Cambria" w:cs="Cambria"/>
                <w:sz w:val="20"/>
                <w:szCs w:val="20"/>
              </w:rPr>
              <w:t xml:space="preserve">70 </w:t>
            </w:r>
          </w:p>
        </w:tc>
        <w:tc>
          <w:tcPr>
            <w:tcW w:w="1088" w:type="dxa"/>
            <w:tcBorders>
              <w:top w:val="single" w:sz="4" w:space="0" w:color="000000"/>
              <w:left w:val="single" w:sz="4" w:space="0" w:color="000000"/>
              <w:bottom w:val="single" w:sz="4" w:space="0" w:color="000000"/>
              <w:right w:val="single" w:sz="4" w:space="0" w:color="000000"/>
            </w:tcBorders>
          </w:tcPr>
          <w:p w14:paraId="7579F3E3"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10 </w:t>
            </w:r>
          </w:p>
        </w:tc>
        <w:tc>
          <w:tcPr>
            <w:tcW w:w="1085" w:type="dxa"/>
            <w:tcBorders>
              <w:top w:val="single" w:sz="4" w:space="0" w:color="000000"/>
              <w:left w:val="single" w:sz="4" w:space="0" w:color="000000"/>
              <w:bottom w:val="single" w:sz="4" w:space="0" w:color="000000"/>
              <w:right w:val="single" w:sz="4" w:space="0" w:color="000000"/>
            </w:tcBorders>
          </w:tcPr>
          <w:p w14:paraId="628E460C" w14:textId="77777777" w:rsidR="00FF1E38" w:rsidRPr="00FF1E38" w:rsidRDefault="00FF1E38" w:rsidP="00FF1E38">
            <w:pPr>
              <w:spacing w:after="0" w:line="240" w:lineRule="auto"/>
              <w:ind w:left="38" w:right="0" w:firstLine="0"/>
              <w:jc w:val="center"/>
              <w:rPr>
                <w:rFonts w:ascii="Cambria" w:eastAsia="Cambria" w:hAnsi="Cambria" w:cs="Cambria"/>
                <w:sz w:val="20"/>
                <w:szCs w:val="20"/>
              </w:rPr>
            </w:pPr>
            <w:r w:rsidRPr="00FF1E38">
              <w:rPr>
                <w:rFonts w:ascii="Cambria" w:eastAsia="Cambria" w:hAnsi="Cambria" w:cs="Cambria"/>
                <w:sz w:val="20"/>
                <w:szCs w:val="20"/>
              </w:rPr>
              <w:t xml:space="preserve">0 </w:t>
            </w:r>
          </w:p>
        </w:tc>
      </w:tr>
      <w:tr w:rsidR="00FF1E38" w:rsidRPr="00FF1E38" w14:paraId="1CB2472A" w14:textId="77777777" w:rsidTr="00DE0C9A">
        <w:trPr>
          <w:trHeight w:val="293"/>
        </w:trPr>
        <w:tc>
          <w:tcPr>
            <w:tcW w:w="533" w:type="dxa"/>
            <w:tcBorders>
              <w:top w:val="single" w:sz="4" w:space="0" w:color="000000"/>
              <w:left w:val="single" w:sz="4" w:space="0" w:color="000000"/>
              <w:bottom w:val="single" w:sz="4" w:space="0" w:color="000000"/>
              <w:right w:val="single" w:sz="4" w:space="0" w:color="000000"/>
            </w:tcBorders>
            <w:shd w:val="clear" w:color="auto" w:fill="FFC000"/>
          </w:tcPr>
          <w:p w14:paraId="45D48781"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b/>
                <w:sz w:val="20"/>
                <w:szCs w:val="20"/>
              </w:rPr>
              <w:t xml:space="preserve">13 </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Pr>
          <w:p w14:paraId="055F3510" w14:textId="77777777" w:rsidR="00FF1E38" w:rsidRPr="00FF1E38" w:rsidRDefault="00174514" w:rsidP="00FF1E38">
            <w:pPr>
              <w:spacing w:after="0" w:line="240" w:lineRule="auto"/>
              <w:ind w:left="108" w:right="0" w:firstLine="0"/>
              <w:jc w:val="left"/>
              <w:rPr>
                <w:rFonts w:ascii="Cambria" w:eastAsia="Cambria" w:hAnsi="Cambria" w:cs="Cambria"/>
                <w:sz w:val="20"/>
                <w:szCs w:val="20"/>
              </w:rPr>
            </w:pPr>
            <w:hyperlink r:id="rId101">
              <w:r w:rsidR="00FF1E38" w:rsidRPr="00FF1E38">
                <w:rPr>
                  <w:rFonts w:ascii="Cambria" w:eastAsia="Cambria" w:hAnsi="Cambria" w:cs="Cambria"/>
                  <w:sz w:val="20"/>
                  <w:szCs w:val="20"/>
                </w:rPr>
                <w:t>Sesvete</w:t>
              </w:r>
            </w:hyperlink>
            <w:hyperlink r:id="rId102">
              <w:r w:rsidR="00FF1E38" w:rsidRPr="00FF1E38">
                <w:rPr>
                  <w:rFonts w:ascii="Cambria" w:eastAsia="Cambria" w:hAnsi="Cambria" w:cs="Cambria"/>
                  <w:sz w:val="20"/>
                  <w:szCs w:val="20"/>
                </w:rPr>
                <w:t xml:space="preserve"> </w:t>
              </w:r>
            </w:hyperlink>
          </w:p>
        </w:tc>
        <w:tc>
          <w:tcPr>
            <w:tcW w:w="709" w:type="dxa"/>
            <w:tcBorders>
              <w:top w:val="single" w:sz="4" w:space="0" w:color="000000"/>
              <w:left w:val="single" w:sz="4" w:space="0" w:color="000000"/>
              <w:bottom w:val="single" w:sz="4" w:space="0" w:color="000000"/>
              <w:right w:val="single" w:sz="4" w:space="0" w:color="000000"/>
            </w:tcBorders>
          </w:tcPr>
          <w:p w14:paraId="30834815" w14:textId="77777777" w:rsidR="00FF1E38" w:rsidRPr="00FF1E38" w:rsidRDefault="00FF1E38" w:rsidP="00FF1E38">
            <w:pPr>
              <w:spacing w:after="0" w:line="240" w:lineRule="auto"/>
              <w:ind w:left="35" w:right="0" w:firstLine="0"/>
              <w:jc w:val="center"/>
              <w:rPr>
                <w:rFonts w:ascii="Cambria" w:eastAsia="Cambria" w:hAnsi="Cambria" w:cs="Cambria"/>
                <w:sz w:val="20"/>
                <w:szCs w:val="20"/>
              </w:rPr>
            </w:pPr>
            <w:r w:rsidRPr="00FF1E38">
              <w:rPr>
                <w:rFonts w:ascii="Cambria" w:eastAsia="Cambria" w:hAnsi="Cambria" w:cs="Cambria"/>
                <w:sz w:val="20"/>
                <w:szCs w:val="20"/>
              </w:rPr>
              <w:t xml:space="preserve">165 </w:t>
            </w:r>
          </w:p>
        </w:tc>
        <w:tc>
          <w:tcPr>
            <w:tcW w:w="991" w:type="dxa"/>
            <w:tcBorders>
              <w:top w:val="single" w:sz="4" w:space="0" w:color="000000"/>
              <w:left w:val="single" w:sz="4" w:space="0" w:color="000000"/>
              <w:bottom w:val="single" w:sz="4" w:space="0" w:color="000000"/>
              <w:right w:val="single" w:sz="4" w:space="0" w:color="000000"/>
            </w:tcBorders>
          </w:tcPr>
          <w:p w14:paraId="377119FB"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70009 </w:t>
            </w:r>
          </w:p>
        </w:tc>
        <w:tc>
          <w:tcPr>
            <w:tcW w:w="900" w:type="dxa"/>
            <w:tcBorders>
              <w:top w:val="single" w:sz="4" w:space="0" w:color="000000"/>
              <w:left w:val="single" w:sz="4" w:space="0" w:color="000000"/>
              <w:bottom w:val="single" w:sz="4" w:space="0" w:color="000000"/>
              <w:right w:val="single" w:sz="4" w:space="0" w:color="000000"/>
            </w:tcBorders>
          </w:tcPr>
          <w:p w14:paraId="08FE8F8C"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0 </w:t>
            </w:r>
          </w:p>
        </w:tc>
        <w:tc>
          <w:tcPr>
            <w:tcW w:w="1086" w:type="dxa"/>
            <w:tcBorders>
              <w:top w:val="single" w:sz="4" w:space="0" w:color="000000"/>
              <w:left w:val="single" w:sz="4" w:space="0" w:color="000000"/>
              <w:bottom w:val="single" w:sz="4" w:space="0" w:color="000000"/>
              <w:right w:val="single" w:sz="4" w:space="0" w:color="000000"/>
            </w:tcBorders>
          </w:tcPr>
          <w:p w14:paraId="28D5ADC6"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sz w:val="20"/>
                <w:szCs w:val="20"/>
              </w:rPr>
              <w:t xml:space="preserve">20 </w:t>
            </w:r>
          </w:p>
        </w:tc>
        <w:tc>
          <w:tcPr>
            <w:tcW w:w="1086" w:type="dxa"/>
            <w:tcBorders>
              <w:top w:val="single" w:sz="4" w:space="0" w:color="000000"/>
              <w:left w:val="single" w:sz="4" w:space="0" w:color="000000"/>
              <w:bottom w:val="single" w:sz="4" w:space="0" w:color="000000"/>
              <w:right w:val="single" w:sz="4" w:space="0" w:color="000000"/>
            </w:tcBorders>
          </w:tcPr>
          <w:p w14:paraId="28785C73" w14:textId="77777777" w:rsidR="00FF1E38" w:rsidRPr="00FF1E38" w:rsidRDefault="00FF1E38" w:rsidP="00FF1E38">
            <w:pPr>
              <w:spacing w:after="0" w:line="240" w:lineRule="auto"/>
              <w:ind w:left="32" w:right="0" w:firstLine="0"/>
              <w:jc w:val="center"/>
              <w:rPr>
                <w:rFonts w:ascii="Cambria" w:eastAsia="Cambria" w:hAnsi="Cambria" w:cs="Cambria"/>
                <w:sz w:val="20"/>
                <w:szCs w:val="20"/>
              </w:rPr>
            </w:pPr>
            <w:r w:rsidRPr="00FF1E38">
              <w:rPr>
                <w:rFonts w:ascii="Cambria" w:eastAsia="Cambria" w:hAnsi="Cambria" w:cs="Cambria"/>
                <w:sz w:val="20"/>
                <w:szCs w:val="20"/>
              </w:rPr>
              <w:t xml:space="preserve">70 </w:t>
            </w:r>
          </w:p>
        </w:tc>
        <w:tc>
          <w:tcPr>
            <w:tcW w:w="1088" w:type="dxa"/>
            <w:tcBorders>
              <w:top w:val="single" w:sz="4" w:space="0" w:color="000000"/>
              <w:left w:val="single" w:sz="4" w:space="0" w:color="000000"/>
              <w:bottom w:val="single" w:sz="4" w:space="0" w:color="000000"/>
              <w:right w:val="single" w:sz="4" w:space="0" w:color="000000"/>
            </w:tcBorders>
          </w:tcPr>
          <w:p w14:paraId="2C7F6140"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10 </w:t>
            </w:r>
          </w:p>
        </w:tc>
        <w:tc>
          <w:tcPr>
            <w:tcW w:w="1085" w:type="dxa"/>
            <w:tcBorders>
              <w:top w:val="single" w:sz="4" w:space="0" w:color="000000"/>
              <w:left w:val="single" w:sz="4" w:space="0" w:color="000000"/>
              <w:bottom w:val="single" w:sz="4" w:space="0" w:color="000000"/>
              <w:right w:val="single" w:sz="4" w:space="0" w:color="000000"/>
            </w:tcBorders>
          </w:tcPr>
          <w:p w14:paraId="2DC293F1" w14:textId="77777777" w:rsidR="00FF1E38" w:rsidRPr="00FF1E38" w:rsidRDefault="00FF1E38" w:rsidP="00FF1E38">
            <w:pPr>
              <w:spacing w:after="0" w:line="240" w:lineRule="auto"/>
              <w:ind w:left="38" w:right="0" w:firstLine="0"/>
              <w:jc w:val="center"/>
              <w:rPr>
                <w:rFonts w:ascii="Cambria" w:eastAsia="Cambria" w:hAnsi="Cambria" w:cs="Cambria"/>
                <w:sz w:val="20"/>
                <w:szCs w:val="20"/>
              </w:rPr>
            </w:pPr>
            <w:r w:rsidRPr="00FF1E38">
              <w:rPr>
                <w:rFonts w:ascii="Cambria" w:eastAsia="Cambria" w:hAnsi="Cambria" w:cs="Cambria"/>
                <w:sz w:val="20"/>
                <w:szCs w:val="20"/>
              </w:rPr>
              <w:t xml:space="preserve">0 </w:t>
            </w:r>
          </w:p>
        </w:tc>
      </w:tr>
      <w:tr w:rsidR="00FF1E38" w:rsidRPr="00FF1E38" w14:paraId="4BA6D2DF" w14:textId="77777777" w:rsidTr="00DE0C9A">
        <w:trPr>
          <w:trHeight w:val="293"/>
        </w:trPr>
        <w:tc>
          <w:tcPr>
            <w:tcW w:w="533" w:type="dxa"/>
            <w:tcBorders>
              <w:top w:val="single" w:sz="4" w:space="0" w:color="000000"/>
              <w:left w:val="single" w:sz="4" w:space="0" w:color="000000"/>
              <w:bottom w:val="single" w:sz="4" w:space="0" w:color="000000"/>
              <w:right w:val="single" w:sz="4" w:space="0" w:color="000000"/>
            </w:tcBorders>
            <w:shd w:val="clear" w:color="auto" w:fill="FFC000"/>
          </w:tcPr>
          <w:p w14:paraId="7E60DC16"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b/>
                <w:sz w:val="20"/>
                <w:szCs w:val="20"/>
              </w:rPr>
              <w:t xml:space="preserve">14 </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Pr>
          <w:p w14:paraId="64E84348" w14:textId="77777777" w:rsidR="00FF1E38" w:rsidRPr="00FF1E38" w:rsidRDefault="00174514" w:rsidP="00FF1E38">
            <w:pPr>
              <w:spacing w:after="0" w:line="240" w:lineRule="auto"/>
              <w:ind w:left="108" w:right="0" w:firstLine="0"/>
              <w:jc w:val="left"/>
              <w:rPr>
                <w:rFonts w:ascii="Cambria" w:eastAsia="Cambria" w:hAnsi="Cambria" w:cs="Cambria"/>
                <w:sz w:val="20"/>
                <w:szCs w:val="20"/>
              </w:rPr>
            </w:pPr>
            <w:hyperlink r:id="rId103">
              <w:r w:rsidR="00FF1E38" w:rsidRPr="00FF1E38">
                <w:rPr>
                  <w:rFonts w:ascii="Cambria" w:eastAsia="Cambria" w:hAnsi="Cambria" w:cs="Cambria"/>
                  <w:sz w:val="20"/>
                  <w:szCs w:val="20"/>
                </w:rPr>
                <w:t>Stenjevec</w:t>
              </w:r>
            </w:hyperlink>
            <w:hyperlink r:id="rId104">
              <w:r w:rsidR="00FF1E38" w:rsidRPr="00FF1E38">
                <w:rPr>
                  <w:rFonts w:ascii="Cambria" w:eastAsia="Cambria" w:hAnsi="Cambria" w:cs="Cambria"/>
                  <w:sz w:val="20"/>
                  <w:szCs w:val="20"/>
                </w:rPr>
                <w:t xml:space="preserve"> </w:t>
              </w:r>
            </w:hyperlink>
          </w:p>
        </w:tc>
        <w:tc>
          <w:tcPr>
            <w:tcW w:w="709" w:type="dxa"/>
            <w:tcBorders>
              <w:top w:val="single" w:sz="4" w:space="0" w:color="000000"/>
              <w:left w:val="single" w:sz="4" w:space="0" w:color="000000"/>
              <w:bottom w:val="single" w:sz="4" w:space="0" w:color="000000"/>
              <w:right w:val="single" w:sz="4" w:space="0" w:color="000000"/>
            </w:tcBorders>
          </w:tcPr>
          <w:p w14:paraId="3D6A14C5"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12 </w:t>
            </w:r>
          </w:p>
        </w:tc>
        <w:tc>
          <w:tcPr>
            <w:tcW w:w="991" w:type="dxa"/>
            <w:tcBorders>
              <w:top w:val="single" w:sz="4" w:space="0" w:color="000000"/>
              <w:left w:val="single" w:sz="4" w:space="0" w:color="000000"/>
              <w:bottom w:val="single" w:sz="4" w:space="0" w:color="000000"/>
              <w:right w:val="single" w:sz="4" w:space="0" w:color="000000"/>
            </w:tcBorders>
          </w:tcPr>
          <w:p w14:paraId="29ABADD2"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51390 </w:t>
            </w:r>
          </w:p>
        </w:tc>
        <w:tc>
          <w:tcPr>
            <w:tcW w:w="900" w:type="dxa"/>
            <w:tcBorders>
              <w:top w:val="single" w:sz="4" w:space="0" w:color="000000"/>
              <w:left w:val="single" w:sz="4" w:space="0" w:color="000000"/>
              <w:bottom w:val="single" w:sz="4" w:space="0" w:color="000000"/>
              <w:right w:val="single" w:sz="4" w:space="0" w:color="000000"/>
            </w:tcBorders>
          </w:tcPr>
          <w:p w14:paraId="3A382C7A"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0 </w:t>
            </w:r>
          </w:p>
        </w:tc>
        <w:tc>
          <w:tcPr>
            <w:tcW w:w="1086" w:type="dxa"/>
            <w:tcBorders>
              <w:top w:val="single" w:sz="4" w:space="0" w:color="000000"/>
              <w:left w:val="single" w:sz="4" w:space="0" w:color="000000"/>
              <w:bottom w:val="single" w:sz="4" w:space="0" w:color="000000"/>
              <w:right w:val="single" w:sz="4" w:space="0" w:color="000000"/>
            </w:tcBorders>
          </w:tcPr>
          <w:p w14:paraId="180F2056"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sz w:val="20"/>
                <w:szCs w:val="20"/>
              </w:rPr>
              <w:t xml:space="preserve">40 </w:t>
            </w:r>
          </w:p>
        </w:tc>
        <w:tc>
          <w:tcPr>
            <w:tcW w:w="1086" w:type="dxa"/>
            <w:tcBorders>
              <w:top w:val="single" w:sz="4" w:space="0" w:color="000000"/>
              <w:left w:val="single" w:sz="4" w:space="0" w:color="000000"/>
              <w:bottom w:val="single" w:sz="4" w:space="0" w:color="000000"/>
              <w:right w:val="single" w:sz="4" w:space="0" w:color="000000"/>
            </w:tcBorders>
          </w:tcPr>
          <w:p w14:paraId="175838D2" w14:textId="77777777" w:rsidR="00FF1E38" w:rsidRPr="00FF1E38" w:rsidRDefault="00FF1E38" w:rsidP="00FF1E38">
            <w:pPr>
              <w:spacing w:after="0" w:line="240" w:lineRule="auto"/>
              <w:ind w:left="32" w:right="0" w:firstLine="0"/>
              <w:jc w:val="center"/>
              <w:rPr>
                <w:rFonts w:ascii="Cambria" w:eastAsia="Cambria" w:hAnsi="Cambria" w:cs="Cambria"/>
                <w:sz w:val="20"/>
                <w:szCs w:val="20"/>
              </w:rPr>
            </w:pPr>
            <w:r w:rsidRPr="00FF1E38">
              <w:rPr>
                <w:rFonts w:ascii="Cambria" w:eastAsia="Cambria" w:hAnsi="Cambria" w:cs="Cambria"/>
                <w:sz w:val="20"/>
                <w:szCs w:val="20"/>
              </w:rPr>
              <w:t xml:space="preserve">30 </w:t>
            </w:r>
          </w:p>
        </w:tc>
        <w:tc>
          <w:tcPr>
            <w:tcW w:w="1088" w:type="dxa"/>
            <w:tcBorders>
              <w:top w:val="single" w:sz="4" w:space="0" w:color="000000"/>
              <w:left w:val="single" w:sz="4" w:space="0" w:color="000000"/>
              <w:bottom w:val="single" w:sz="4" w:space="0" w:color="000000"/>
              <w:right w:val="single" w:sz="4" w:space="0" w:color="000000"/>
            </w:tcBorders>
          </w:tcPr>
          <w:p w14:paraId="2E887EE5"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25 </w:t>
            </w:r>
          </w:p>
        </w:tc>
        <w:tc>
          <w:tcPr>
            <w:tcW w:w="1085" w:type="dxa"/>
            <w:tcBorders>
              <w:top w:val="single" w:sz="4" w:space="0" w:color="000000"/>
              <w:left w:val="single" w:sz="4" w:space="0" w:color="000000"/>
              <w:bottom w:val="single" w:sz="4" w:space="0" w:color="000000"/>
              <w:right w:val="single" w:sz="4" w:space="0" w:color="000000"/>
            </w:tcBorders>
          </w:tcPr>
          <w:p w14:paraId="4578F048" w14:textId="77777777" w:rsidR="00FF1E38" w:rsidRPr="00FF1E38" w:rsidRDefault="00FF1E38" w:rsidP="00FF1E38">
            <w:pPr>
              <w:spacing w:after="0" w:line="240" w:lineRule="auto"/>
              <w:ind w:left="38" w:right="0" w:firstLine="0"/>
              <w:jc w:val="center"/>
              <w:rPr>
                <w:rFonts w:ascii="Cambria" w:eastAsia="Cambria" w:hAnsi="Cambria" w:cs="Cambria"/>
                <w:sz w:val="20"/>
                <w:szCs w:val="20"/>
              </w:rPr>
            </w:pPr>
            <w:r w:rsidRPr="00FF1E38">
              <w:rPr>
                <w:rFonts w:ascii="Cambria" w:eastAsia="Cambria" w:hAnsi="Cambria" w:cs="Cambria"/>
                <w:sz w:val="20"/>
                <w:szCs w:val="20"/>
              </w:rPr>
              <w:t xml:space="preserve">5 </w:t>
            </w:r>
          </w:p>
        </w:tc>
      </w:tr>
      <w:tr w:rsidR="00FF1E38" w:rsidRPr="00FF1E38" w14:paraId="5A24F0B6" w14:textId="77777777" w:rsidTr="00DE0C9A">
        <w:trPr>
          <w:trHeight w:val="293"/>
        </w:trPr>
        <w:tc>
          <w:tcPr>
            <w:tcW w:w="533" w:type="dxa"/>
            <w:tcBorders>
              <w:top w:val="single" w:sz="4" w:space="0" w:color="000000"/>
              <w:left w:val="single" w:sz="4" w:space="0" w:color="000000"/>
              <w:bottom w:val="single" w:sz="4" w:space="0" w:color="000000"/>
              <w:right w:val="single" w:sz="4" w:space="0" w:color="000000"/>
            </w:tcBorders>
            <w:shd w:val="clear" w:color="auto" w:fill="FFC000"/>
          </w:tcPr>
          <w:p w14:paraId="59F4913F"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b/>
                <w:sz w:val="20"/>
                <w:szCs w:val="20"/>
              </w:rPr>
              <w:t xml:space="preserve">15 </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Pr>
          <w:p w14:paraId="16750EBB" w14:textId="77777777" w:rsidR="00FF1E38" w:rsidRPr="00FF1E38" w:rsidRDefault="00174514" w:rsidP="00FF1E38">
            <w:pPr>
              <w:spacing w:after="0" w:line="240" w:lineRule="auto"/>
              <w:ind w:left="108" w:right="0" w:firstLine="0"/>
              <w:jc w:val="left"/>
              <w:rPr>
                <w:rFonts w:ascii="Cambria" w:eastAsia="Cambria" w:hAnsi="Cambria" w:cs="Cambria"/>
                <w:sz w:val="20"/>
                <w:szCs w:val="20"/>
              </w:rPr>
            </w:pPr>
            <w:hyperlink r:id="rId105">
              <w:r w:rsidR="00FF1E38" w:rsidRPr="00FF1E38">
                <w:rPr>
                  <w:rFonts w:ascii="Cambria" w:eastAsia="Cambria" w:hAnsi="Cambria" w:cs="Cambria"/>
                  <w:sz w:val="20"/>
                  <w:szCs w:val="20"/>
                </w:rPr>
                <w:t xml:space="preserve">Trešnjevka </w:t>
              </w:r>
            </w:hyperlink>
            <w:hyperlink r:id="rId106">
              <w:r w:rsidR="00FF1E38" w:rsidRPr="00FF1E38">
                <w:rPr>
                  <w:rFonts w:ascii="Cambria" w:eastAsia="Cambria" w:hAnsi="Cambria" w:cs="Cambria"/>
                  <w:sz w:val="20"/>
                  <w:szCs w:val="20"/>
                </w:rPr>
                <w:t xml:space="preserve">- </w:t>
              </w:r>
            </w:hyperlink>
            <w:hyperlink r:id="rId107">
              <w:r w:rsidR="00FF1E38" w:rsidRPr="00FF1E38">
                <w:rPr>
                  <w:rFonts w:ascii="Cambria" w:eastAsia="Cambria" w:hAnsi="Cambria" w:cs="Cambria"/>
                  <w:sz w:val="20"/>
                  <w:szCs w:val="20"/>
                </w:rPr>
                <w:t>sjever</w:t>
              </w:r>
            </w:hyperlink>
            <w:hyperlink r:id="rId108">
              <w:r w:rsidR="00FF1E38" w:rsidRPr="00FF1E38">
                <w:rPr>
                  <w:rFonts w:ascii="Cambria" w:eastAsia="Cambria" w:hAnsi="Cambria" w:cs="Cambria"/>
                  <w:sz w:val="20"/>
                  <w:szCs w:val="20"/>
                </w:rPr>
                <w:t xml:space="preserve"> </w:t>
              </w:r>
            </w:hyperlink>
          </w:p>
        </w:tc>
        <w:tc>
          <w:tcPr>
            <w:tcW w:w="709" w:type="dxa"/>
            <w:tcBorders>
              <w:top w:val="single" w:sz="4" w:space="0" w:color="000000"/>
              <w:left w:val="single" w:sz="4" w:space="0" w:color="000000"/>
              <w:bottom w:val="single" w:sz="4" w:space="0" w:color="000000"/>
              <w:right w:val="single" w:sz="4" w:space="0" w:color="000000"/>
            </w:tcBorders>
          </w:tcPr>
          <w:p w14:paraId="23C2E48B"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5.8 </w:t>
            </w:r>
          </w:p>
        </w:tc>
        <w:tc>
          <w:tcPr>
            <w:tcW w:w="991" w:type="dxa"/>
            <w:tcBorders>
              <w:top w:val="single" w:sz="4" w:space="0" w:color="000000"/>
              <w:left w:val="single" w:sz="4" w:space="0" w:color="000000"/>
              <w:bottom w:val="single" w:sz="4" w:space="0" w:color="000000"/>
              <w:right w:val="single" w:sz="4" w:space="0" w:color="000000"/>
            </w:tcBorders>
          </w:tcPr>
          <w:p w14:paraId="06C65C5A"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55425 </w:t>
            </w:r>
          </w:p>
        </w:tc>
        <w:tc>
          <w:tcPr>
            <w:tcW w:w="900" w:type="dxa"/>
            <w:tcBorders>
              <w:top w:val="single" w:sz="4" w:space="0" w:color="000000"/>
              <w:left w:val="single" w:sz="4" w:space="0" w:color="000000"/>
              <w:bottom w:val="single" w:sz="4" w:space="0" w:color="000000"/>
              <w:right w:val="single" w:sz="4" w:space="0" w:color="000000"/>
            </w:tcBorders>
          </w:tcPr>
          <w:p w14:paraId="02D1907C"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5 </w:t>
            </w:r>
          </w:p>
        </w:tc>
        <w:tc>
          <w:tcPr>
            <w:tcW w:w="1086" w:type="dxa"/>
            <w:tcBorders>
              <w:top w:val="single" w:sz="4" w:space="0" w:color="000000"/>
              <w:left w:val="single" w:sz="4" w:space="0" w:color="000000"/>
              <w:bottom w:val="single" w:sz="4" w:space="0" w:color="000000"/>
              <w:right w:val="single" w:sz="4" w:space="0" w:color="000000"/>
            </w:tcBorders>
          </w:tcPr>
          <w:p w14:paraId="3CA0A9D5"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sz w:val="20"/>
                <w:szCs w:val="20"/>
              </w:rPr>
              <w:t xml:space="preserve">20 </w:t>
            </w:r>
          </w:p>
        </w:tc>
        <w:tc>
          <w:tcPr>
            <w:tcW w:w="1086" w:type="dxa"/>
            <w:tcBorders>
              <w:top w:val="single" w:sz="4" w:space="0" w:color="000000"/>
              <w:left w:val="single" w:sz="4" w:space="0" w:color="000000"/>
              <w:bottom w:val="single" w:sz="4" w:space="0" w:color="000000"/>
              <w:right w:val="single" w:sz="4" w:space="0" w:color="000000"/>
            </w:tcBorders>
          </w:tcPr>
          <w:p w14:paraId="7AA0207A" w14:textId="77777777" w:rsidR="00FF1E38" w:rsidRPr="00FF1E38" w:rsidRDefault="00FF1E38" w:rsidP="00FF1E38">
            <w:pPr>
              <w:spacing w:after="0" w:line="240" w:lineRule="auto"/>
              <w:ind w:left="32" w:right="0" w:firstLine="0"/>
              <w:jc w:val="center"/>
              <w:rPr>
                <w:rFonts w:ascii="Cambria" w:eastAsia="Cambria" w:hAnsi="Cambria" w:cs="Cambria"/>
                <w:sz w:val="20"/>
                <w:szCs w:val="20"/>
              </w:rPr>
            </w:pPr>
            <w:r w:rsidRPr="00FF1E38">
              <w:rPr>
                <w:rFonts w:ascii="Cambria" w:eastAsia="Cambria" w:hAnsi="Cambria" w:cs="Cambria"/>
                <w:sz w:val="20"/>
                <w:szCs w:val="20"/>
              </w:rPr>
              <w:t xml:space="preserve">40 </w:t>
            </w:r>
          </w:p>
        </w:tc>
        <w:tc>
          <w:tcPr>
            <w:tcW w:w="1088" w:type="dxa"/>
            <w:tcBorders>
              <w:top w:val="single" w:sz="4" w:space="0" w:color="000000"/>
              <w:left w:val="single" w:sz="4" w:space="0" w:color="000000"/>
              <w:bottom w:val="single" w:sz="4" w:space="0" w:color="000000"/>
              <w:right w:val="single" w:sz="4" w:space="0" w:color="000000"/>
            </w:tcBorders>
          </w:tcPr>
          <w:p w14:paraId="6C0ADFD4"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30 </w:t>
            </w:r>
          </w:p>
        </w:tc>
        <w:tc>
          <w:tcPr>
            <w:tcW w:w="1085" w:type="dxa"/>
            <w:tcBorders>
              <w:top w:val="single" w:sz="4" w:space="0" w:color="000000"/>
              <w:left w:val="single" w:sz="4" w:space="0" w:color="000000"/>
              <w:bottom w:val="single" w:sz="4" w:space="0" w:color="000000"/>
              <w:right w:val="single" w:sz="4" w:space="0" w:color="000000"/>
            </w:tcBorders>
          </w:tcPr>
          <w:p w14:paraId="7839BD6D" w14:textId="77777777" w:rsidR="00FF1E38" w:rsidRPr="00FF1E38" w:rsidRDefault="00FF1E38" w:rsidP="00FF1E38">
            <w:pPr>
              <w:spacing w:after="0" w:line="240" w:lineRule="auto"/>
              <w:ind w:left="38" w:right="0" w:firstLine="0"/>
              <w:jc w:val="center"/>
              <w:rPr>
                <w:rFonts w:ascii="Cambria" w:eastAsia="Cambria" w:hAnsi="Cambria" w:cs="Cambria"/>
                <w:sz w:val="20"/>
                <w:szCs w:val="20"/>
              </w:rPr>
            </w:pPr>
            <w:r w:rsidRPr="00FF1E38">
              <w:rPr>
                <w:rFonts w:ascii="Cambria" w:eastAsia="Cambria" w:hAnsi="Cambria" w:cs="Cambria"/>
                <w:sz w:val="20"/>
                <w:szCs w:val="20"/>
              </w:rPr>
              <w:t xml:space="preserve">5 </w:t>
            </w:r>
          </w:p>
        </w:tc>
      </w:tr>
      <w:tr w:rsidR="00FF1E38" w:rsidRPr="00FF1E38" w14:paraId="228AD33E" w14:textId="77777777" w:rsidTr="00DE0C9A">
        <w:trPr>
          <w:trHeight w:val="293"/>
        </w:trPr>
        <w:tc>
          <w:tcPr>
            <w:tcW w:w="533" w:type="dxa"/>
            <w:tcBorders>
              <w:top w:val="single" w:sz="4" w:space="0" w:color="000000"/>
              <w:left w:val="single" w:sz="4" w:space="0" w:color="000000"/>
              <w:bottom w:val="single" w:sz="4" w:space="0" w:color="000000"/>
              <w:right w:val="single" w:sz="4" w:space="0" w:color="000000"/>
            </w:tcBorders>
            <w:shd w:val="clear" w:color="auto" w:fill="FFC000"/>
          </w:tcPr>
          <w:p w14:paraId="56336888"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b/>
                <w:sz w:val="20"/>
                <w:szCs w:val="20"/>
              </w:rPr>
              <w:t xml:space="preserve">16 </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Pr>
          <w:p w14:paraId="0D3E1143" w14:textId="77777777" w:rsidR="00FF1E38" w:rsidRPr="00FF1E38" w:rsidRDefault="00174514" w:rsidP="00FF1E38">
            <w:pPr>
              <w:spacing w:after="0" w:line="240" w:lineRule="auto"/>
              <w:ind w:left="108" w:right="0" w:firstLine="0"/>
              <w:jc w:val="left"/>
              <w:rPr>
                <w:rFonts w:ascii="Cambria" w:eastAsia="Cambria" w:hAnsi="Cambria" w:cs="Cambria"/>
                <w:sz w:val="20"/>
                <w:szCs w:val="20"/>
              </w:rPr>
            </w:pPr>
            <w:hyperlink r:id="rId109">
              <w:r w:rsidR="00FF1E38" w:rsidRPr="00FF1E38">
                <w:rPr>
                  <w:rFonts w:ascii="Cambria" w:eastAsia="Cambria" w:hAnsi="Cambria" w:cs="Cambria"/>
                  <w:sz w:val="20"/>
                  <w:szCs w:val="20"/>
                </w:rPr>
                <w:t xml:space="preserve">Trešnjevka </w:t>
              </w:r>
            </w:hyperlink>
            <w:hyperlink r:id="rId110">
              <w:r w:rsidR="00FF1E38" w:rsidRPr="00FF1E38">
                <w:rPr>
                  <w:rFonts w:ascii="Cambria" w:eastAsia="Cambria" w:hAnsi="Cambria" w:cs="Cambria"/>
                  <w:sz w:val="20"/>
                  <w:szCs w:val="20"/>
                </w:rPr>
                <w:t xml:space="preserve">- </w:t>
              </w:r>
            </w:hyperlink>
            <w:hyperlink r:id="rId111">
              <w:r w:rsidR="00FF1E38" w:rsidRPr="00FF1E38">
                <w:rPr>
                  <w:rFonts w:ascii="Cambria" w:eastAsia="Cambria" w:hAnsi="Cambria" w:cs="Cambria"/>
                  <w:sz w:val="20"/>
                  <w:szCs w:val="20"/>
                </w:rPr>
                <w:t>jug</w:t>
              </w:r>
            </w:hyperlink>
            <w:hyperlink r:id="rId112">
              <w:r w:rsidR="00FF1E38" w:rsidRPr="00FF1E38">
                <w:rPr>
                  <w:rFonts w:ascii="Cambria" w:eastAsia="Cambria" w:hAnsi="Cambria" w:cs="Cambria"/>
                  <w:sz w:val="20"/>
                  <w:szCs w:val="20"/>
                </w:rPr>
                <w:t xml:space="preserve"> </w:t>
              </w:r>
            </w:hyperlink>
          </w:p>
        </w:tc>
        <w:tc>
          <w:tcPr>
            <w:tcW w:w="709" w:type="dxa"/>
            <w:tcBorders>
              <w:top w:val="single" w:sz="4" w:space="0" w:color="000000"/>
              <w:left w:val="single" w:sz="4" w:space="0" w:color="000000"/>
              <w:bottom w:val="single" w:sz="4" w:space="0" w:color="000000"/>
              <w:right w:val="single" w:sz="4" w:space="0" w:color="000000"/>
            </w:tcBorders>
          </w:tcPr>
          <w:p w14:paraId="2128E160"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10 </w:t>
            </w:r>
          </w:p>
        </w:tc>
        <w:tc>
          <w:tcPr>
            <w:tcW w:w="991" w:type="dxa"/>
            <w:tcBorders>
              <w:top w:val="single" w:sz="4" w:space="0" w:color="000000"/>
              <w:left w:val="single" w:sz="4" w:space="0" w:color="000000"/>
              <w:bottom w:val="single" w:sz="4" w:space="0" w:color="000000"/>
              <w:right w:val="single" w:sz="4" w:space="0" w:color="000000"/>
            </w:tcBorders>
          </w:tcPr>
          <w:p w14:paraId="385AF5E5"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66674 </w:t>
            </w:r>
          </w:p>
        </w:tc>
        <w:tc>
          <w:tcPr>
            <w:tcW w:w="900" w:type="dxa"/>
            <w:tcBorders>
              <w:top w:val="single" w:sz="4" w:space="0" w:color="000000"/>
              <w:left w:val="single" w:sz="4" w:space="0" w:color="000000"/>
              <w:bottom w:val="single" w:sz="4" w:space="0" w:color="000000"/>
              <w:right w:val="single" w:sz="4" w:space="0" w:color="000000"/>
            </w:tcBorders>
          </w:tcPr>
          <w:p w14:paraId="149819C0"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5 </w:t>
            </w:r>
          </w:p>
        </w:tc>
        <w:tc>
          <w:tcPr>
            <w:tcW w:w="1086" w:type="dxa"/>
            <w:tcBorders>
              <w:top w:val="single" w:sz="4" w:space="0" w:color="000000"/>
              <w:left w:val="single" w:sz="4" w:space="0" w:color="000000"/>
              <w:bottom w:val="single" w:sz="4" w:space="0" w:color="000000"/>
              <w:right w:val="single" w:sz="4" w:space="0" w:color="000000"/>
            </w:tcBorders>
          </w:tcPr>
          <w:p w14:paraId="2A20A023"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sz w:val="20"/>
                <w:szCs w:val="20"/>
              </w:rPr>
              <w:t xml:space="preserve">20 </w:t>
            </w:r>
          </w:p>
        </w:tc>
        <w:tc>
          <w:tcPr>
            <w:tcW w:w="1086" w:type="dxa"/>
            <w:tcBorders>
              <w:top w:val="single" w:sz="4" w:space="0" w:color="000000"/>
              <w:left w:val="single" w:sz="4" w:space="0" w:color="000000"/>
              <w:bottom w:val="single" w:sz="4" w:space="0" w:color="000000"/>
              <w:right w:val="single" w:sz="4" w:space="0" w:color="000000"/>
            </w:tcBorders>
          </w:tcPr>
          <w:p w14:paraId="40AC19D5" w14:textId="77777777" w:rsidR="00FF1E38" w:rsidRPr="00FF1E38" w:rsidRDefault="00FF1E38" w:rsidP="00FF1E38">
            <w:pPr>
              <w:spacing w:after="0" w:line="240" w:lineRule="auto"/>
              <w:ind w:left="32" w:right="0" w:firstLine="0"/>
              <w:jc w:val="center"/>
              <w:rPr>
                <w:rFonts w:ascii="Cambria" w:eastAsia="Cambria" w:hAnsi="Cambria" w:cs="Cambria"/>
                <w:sz w:val="20"/>
                <w:szCs w:val="20"/>
              </w:rPr>
            </w:pPr>
            <w:r w:rsidRPr="00FF1E38">
              <w:rPr>
                <w:rFonts w:ascii="Cambria" w:eastAsia="Cambria" w:hAnsi="Cambria" w:cs="Cambria"/>
                <w:sz w:val="20"/>
                <w:szCs w:val="20"/>
              </w:rPr>
              <w:t xml:space="preserve">40 </w:t>
            </w:r>
          </w:p>
        </w:tc>
        <w:tc>
          <w:tcPr>
            <w:tcW w:w="1088" w:type="dxa"/>
            <w:tcBorders>
              <w:top w:val="single" w:sz="4" w:space="0" w:color="000000"/>
              <w:left w:val="single" w:sz="4" w:space="0" w:color="000000"/>
              <w:bottom w:val="single" w:sz="4" w:space="0" w:color="000000"/>
              <w:right w:val="single" w:sz="4" w:space="0" w:color="000000"/>
            </w:tcBorders>
          </w:tcPr>
          <w:p w14:paraId="2567E649"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30 </w:t>
            </w:r>
          </w:p>
        </w:tc>
        <w:tc>
          <w:tcPr>
            <w:tcW w:w="1085" w:type="dxa"/>
            <w:tcBorders>
              <w:top w:val="single" w:sz="4" w:space="0" w:color="000000"/>
              <w:left w:val="single" w:sz="4" w:space="0" w:color="000000"/>
              <w:bottom w:val="single" w:sz="4" w:space="0" w:color="000000"/>
              <w:right w:val="single" w:sz="4" w:space="0" w:color="000000"/>
            </w:tcBorders>
          </w:tcPr>
          <w:p w14:paraId="1DFA3332" w14:textId="77777777" w:rsidR="00FF1E38" w:rsidRPr="00FF1E38" w:rsidRDefault="00FF1E38" w:rsidP="00FF1E38">
            <w:pPr>
              <w:spacing w:after="0" w:line="240" w:lineRule="auto"/>
              <w:ind w:left="38" w:right="0" w:firstLine="0"/>
              <w:jc w:val="center"/>
              <w:rPr>
                <w:rFonts w:ascii="Cambria" w:eastAsia="Cambria" w:hAnsi="Cambria" w:cs="Cambria"/>
                <w:sz w:val="20"/>
                <w:szCs w:val="20"/>
              </w:rPr>
            </w:pPr>
            <w:r w:rsidRPr="00FF1E38">
              <w:rPr>
                <w:rFonts w:ascii="Cambria" w:eastAsia="Cambria" w:hAnsi="Cambria" w:cs="Cambria"/>
                <w:sz w:val="20"/>
                <w:szCs w:val="20"/>
              </w:rPr>
              <w:t xml:space="preserve">5 </w:t>
            </w:r>
          </w:p>
        </w:tc>
      </w:tr>
      <w:tr w:rsidR="00FF1E38" w:rsidRPr="00FF1E38" w14:paraId="6E611F48" w14:textId="77777777" w:rsidTr="00DE0C9A">
        <w:trPr>
          <w:trHeight w:val="293"/>
        </w:trPr>
        <w:tc>
          <w:tcPr>
            <w:tcW w:w="533" w:type="dxa"/>
            <w:tcBorders>
              <w:top w:val="single" w:sz="4" w:space="0" w:color="000000"/>
              <w:left w:val="single" w:sz="4" w:space="0" w:color="000000"/>
              <w:bottom w:val="single" w:sz="4" w:space="0" w:color="000000"/>
              <w:right w:val="single" w:sz="4" w:space="0" w:color="000000"/>
            </w:tcBorders>
            <w:shd w:val="clear" w:color="auto" w:fill="FFC000"/>
          </w:tcPr>
          <w:p w14:paraId="42D6AF57"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b/>
                <w:sz w:val="20"/>
                <w:szCs w:val="20"/>
              </w:rPr>
              <w:t xml:space="preserve">17 </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Pr>
          <w:p w14:paraId="411170D3" w14:textId="77777777" w:rsidR="00FF1E38" w:rsidRPr="00FF1E38" w:rsidRDefault="00174514" w:rsidP="00FF1E38">
            <w:pPr>
              <w:spacing w:after="0" w:line="240" w:lineRule="auto"/>
              <w:ind w:left="108" w:right="0" w:firstLine="0"/>
              <w:jc w:val="left"/>
              <w:rPr>
                <w:rFonts w:ascii="Cambria" w:eastAsia="Cambria" w:hAnsi="Cambria" w:cs="Cambria"/>
                <w:sz w:val="20"/>
                <w:szCs w:val="20"/>
              </w:rPr>
            </w:pPr>
            <w:hyperlink r:id="rId113">
              <w:r w:rsidR="00FF1E38" w:rsidRPr="00FF1E38">
                <w:rPr>
                  <w:rFonts w:ascii="Cambria" w:eastAsia="Cambria" w:hAnsi="Cambria" w:cs="Cambria"/>
                  <w:sz w:val="20"/>
                  <w:szCs w:val="20"/>
                </w:rPr>
                <w:t>Trnje</w:t>
              </w:r>
            </w:hyperlink>
            <w:hyperlink r:id="rId114">
              <w:r w:rsidR="00FF1E38" w:rsidRPr="00FF1E38">
                <w:rPr>
                  <w:rFonts w:ascii="Cambria" w:eastAsia="Cambria" w:hAnsi="Cambria" w:cs="Cambria"/>
                  <w:sz w:val="20"/>
                  <w:szCs w:val="20"/>
                </w:rPr>
                <w:t xml:space="preserve"> </w:t>
              </w:r>
            </w:hyperlink>
          </w:p>
        </w:tc>
        <w:tc>
          <w:tcPr>
            <w:tcW w:w="709" w:type="dxa"/>
            <w:tcBorders>
              <w:top w:val="single" w:sz="4" w:space="0" w:color="000000"/>
              <w:left w:val="single" w:sz="4" w:space="0" w:color="000000"/>
              <w:bottom w:val="single" w:sz="4" w:space="0" w:color="000000"/>
              <w:right w:val="single" w:sz="4" w:space="0" w:color="000000"/>
            </w:tcBorders>
          </w:tcPr>
          <w:p w14:paraId="55222EC9" w14:textId="77777777" w:rsidR="00FF1E38" w:rsidRPr="00FF1E38" w:rsidRDefault="00FF1E38" w:rsidP="00FF1E38">
            <w:pPr>
              <w:spacing w:after="0" w:line="240" w:lineRule="auto"/>
              <w:ind w:left="35" w:right="0" w:firstLine="0"/>
              <w:jc w:val="center"/>
              <w:rPr>
                <w:rFonts w:ascii="Cambria" w:eastAsia="Cambria" w:hAnsi="Cambria" w:cs="Cambria"/>
                <w:sz w:val="20"/>
                <w:szCs w:val="20"/>
              </w:rPr>
            </w:pPr>
            <w:r w:rsidRPr="00FF1E38">
              <w:rPr>
                <w:rFonts w:ascii="Cambria" w:eastAsia="Cambria" w:hAnsi="Cambria" w:cs="Cambria"/>
                <w:sz w:val="20"/>
                <w:szCs w:val="20"/>
              </w:rPr>
              <w:t xml:space="preserve">7 </w:t>
            </w:r>
          </w:p>
        </w:tc>
        <w:tc>
          <w:tcPr>
            <w:tcW w:w="991" w:type="dxa"/>
            <w:tcBorders>
              <w:top w:val="single" w:sz="4" w:space="0" w:color="000000"/>
              <w:left w:val="single" w:sz="4" w:space="0" w:color="000000"/>
              <w:bottom w:val="single" w:sz="4" w:space="0" w:color="000000"/>
              <w:right w:val="single" w:sz="4" w:space="0" w:color="000000"/>
            </w:tcBorders>
          </w:tcPr>
          <w:p w14:paraId="1B69B096"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42282 </w:t>
            </w:r>
          </w:p>
        </w:tc>
        <w:tc>
          <w:tcPr>
            <w:tcW w:w="900" w:type="dxa"/>
            <w:tcBorders>
              <w:top w:val="single" w:sz="4" w:space="0" w:color="000000"/>
              <w:left w:val="single" w:sz="4" w:space="0" w:color="000000"/>
              <w:bottom w:val="single" w:sz="4" w:space="0" w:color="000000"/>
              <w:right w:val="single" w:sz="4" w:space="0" w:color="000000"/>
            </w:tcBorders>
          </w:tcPr>
          <w:p w14:paraId="40A81C9F"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5 </w:t>
            </w:r>
          </w:p>
        </w:tc>
        <w:tc>
          <w:tcPr>
            <w:tcW w:w="1086" w:type="dxa"/>
            <w:tcBorders>
              <w:top w:val="single" w:sz="4" w:space="0" w:color="000000"/>
              <w:left w:val="single" w:sz="4" w:space="0" w:color="000000"/>
              <w:bottom w:val="single" w:sz="4" w:space="0" w:color="000000"/>
              <w:right w:val="single" w:sz="4" w:space="0" w:color="000000"/>
            </w:tcBorders>
          </w:tcPr>
          <w:p w14:paraId="0C5EC719"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sz w:val="20"/>
                <w:szCs w:val="20"/>
              </w:rPr>
              <w:t xml:space="preserve">20 </w:t>
            </w:r>
          </w:p>
        </w:tc>
        <w:tc>
          <w:tcPr>
            <w:tcW w:w="1086" w:type="dxa"/>
            <w:tcBorders>
              <w:top w:val="single" w:sz="4" w:space="0" w:color="000000"/>
              <w:left w:val="single" w:sz="4" w:space="0" w:color="000000"/>
              <w:bottom w:val="single" w:sz="4" w:space="0" w:color="000000"/>
              <w:right w:val="single" w:sz="4" w:space="0" w:color="000000"/>
            </w:tcBorders>
          </w:tcPr>
          <w:p w14:paraId="2B08BA90" w14:textId="77777777" w:rsidR="00FF1E38" w:rsidRPr="00FF1E38" w:rsidRDefault="00FF1E38" w:rsidP="00FF1E38">
            <w:pPr>
              <w:spacing w:after="0" w:line="240" w:lineRule="auto"/>
              <w:ind w:left="32" w:right="0" w:firstLine="0"/>
              <w:jc w:val="center"/>
              <w:rPr>
                <w:rFonts w:ascii="Cambria" w:eastAsia="Cambria" w:hAnsi="Cambria" w:cs="Cambria"/>
                <w:sz w:val="20"/>
                <w:szCs w:val="20"/>
              </w:rPr>
            </w:pPr>
            <w:r w:rsidRPr="00FF1E38">
              <w:rPr>
                <w:rFonts w:ascii="Cambria" w:eastAsia="Cambria" w:hAnsi="Cambria" w:cs="Cambria"/>
                <w:sz w:val="20"/>
                <w:szCs w:val="20"/>
              </w:rPr>
              <w:t xml:space="preserve">40 </w:t>
            </w:r>
          </w:p>
        </w:tc>
        <w:tc>
          <w:tcPr>
            <w:tcW w:w="1088" w:type="dxa"/>
            <w:tcBorders>
              <w:top w:val="single" w:sz="4" w:space="0" w:color="000000"/>
              <w:left w:val="single" w:sz="4" w:space="0" w:color="000000"/>
              <w:bottom w:val="single" w:sz="4" w:space="0" w:color="000000"/>
              <w:right w:val="single" w:sz="4" w:space="0" w:color="000000"/>
            </w:tcBorders>
          </w:tcPr>
          <w:p w14:paraId="08E9EDCC"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30 </w:t>
            </w:r>
          </w:p>
        </w:tc>
        <w:tc>
          <w:tcPr>
            <w:tcW w:w="1085" w:type="dxa"/>
            <w:tcBorders>
              <w:top w:val="single" w:sz="4" w:space="0" w:color="000000"/>
              <w:left w:val="single" w:sz="4" w:space="0" w:color="000000"/>
              <w:bottom w:val="single" w:sz="4" w:space="0" w:color="000000"/>
              <w:right w:val="single" w:sz="4" w:space="0" w:color="000000"/>
            </w:tcBorders>
          </w:tcPr>
          <w:p w14:paraId="11546987" w14:textId="77777777" w:rsidR="00FF1E38" w:rsidRPr="00FF1E38" w:rsidRDefault="00FF1E38" w:rsidP="00FF1E38">
            <w:pPr>
              <w:spacing w:after="0" w:line="240" w:lineRule="auto"/>
              <w:ind w:left="38" w:right="0" w:firstLine="0"/>
              <w:jc w:val="center"/>
              <w:rPr>
                <w:rFonts w:ascii="Cambria" w:eastAsia="Cambria" w:hAnsi="Cambria" w:cs="Cambria"/>
                <w:sz w:val="20"/>
                <w:szCs w:val="20"/>
              </w:rPr>
            </w:pPr>
            <w:r w:rsidRPr="00FF1E38">
              <w:rPr>
                <w:rFonts w:ascii="Cambria" w:eastAsia="Cambria" w:hAnsi="Cambria" w:cs="Cambria"/>
                <w:sz w:val="20"/>
                <w:szCs w:val="20"/>
              </w:rPr>
              <w:t xml:space="preserve">5 </w:t>
            </w:r>
          </w:p>
        </w:tc>
      </w:tr>
      <w:tr w:rsidR="00FF1E38" w:rsidRPr="00FF1E38" w14:paraId="18393633" w14:textId="77777777" w:rsidTr="00DE0C9A">
        <w:trPr>
          <w:trHeight w:val="293"/>
        </w:trPr>
        <w:tc>
          <w:tcPr>
            <w:tcW w:w="533" w:type="dxa"/>
            <w:tcBorders>
              <w:top w:val="single" w:sz="4" w:space="0" w:color="000000"/>
              <w:left w:val="single" w:sz="4" w:space="0" w:color="000000"/>
              <w:bottom w:val="single" w:sz="4" w:space="0" w:color="000000"/>
              <w:right w:val="single" w:sz="4" w:space="0" w:color="000000"/>
            </w:tcBorders>
            <w:shd w:val="clear" w:color="auto" w:fill="FFC000"/>
          </w:tcPr>
          <w:p w14:paraId="1EF9F2B0"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sz w:val="20"/>
                <w:szCs w:val="20"/>
              </w:rPr>
              <w:t xml:space="preserve"> </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Pr>
          <w:p w14:paraId="75E00235"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sz w:val="20"/>
                <w:szCs w:val="20"/>
              </w:rPr>
              <w:t xml:space="preserve"> </w:t>
            </w:r>
          </w:p>
        </w:tc>
        <w:tc>
          <w:tcPr>
            <w:tcW w:w="709" w:type="dxa"/>
            <w:tcBorders>
              <w:top w:val="single" w:sz="4" w:space="0" w:color="000000"/>
              <w:left w:val="single" w:sz="4" w:space="0" w:color="000000"/>
              <w:bottom w:val="single" w:sz="4" w:space="0" w:color="000000"/>
              <w:right w:val="single" w:sz="4" w:space="0" w:color="000000"/>
            </w:tcBorders>
          </w:tcPr>
          <w:p w14:paraId="2DC194E7"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b/>
                <w:sz w:val="20"/>
                <w:szCs w:val="20"/>
              </w:rPr>
              <w:t xml:space="preserve">647 </w:t>
            </w:r>
          </w:p>
        </w:tc>
        <w:tc>
          <w:tcPr>
            <w:tcW w:w="991" w:type="dxa"/>
            <w:tcBorders>
              <w:top w:val="single" w:sz="4" w:space="0" w:color="000000"/>
              <w:left w:val="single" w:sz="4" w:space="0" w:color="000000"/>
              <w:bottom w:val="single" w:sz="4" w:space="0" w:color="000000"/>
              <w:right w:val="single" w:sz="4" w:space="0" w:color="000000"/>
            </w:tcBorders>
          </w:tcPr>
          <w:p w14:paraId="767A4040" w14:textId="77777777" w:rsidR="00FF1E38" w:rsidRPr="00FF1E38" w:rsidRDefault="00FF1E38" w:rsidP="00FF1E38">
            <w:pPr>
              <w:spacing w:after="0" w:line="240" w:lineRule="auto"/>
              <w:ind w:left="37" w:right="0" w:firstLine="0"/>
              <w:jc w:val="center"/>
              <w:rPr>
                <w:rFonts w:ascii="Cambria" w:eastAsia="Cambria" w:hAnsi="Cambria" w:cs="Cambria"/>
                <w:sz w:val="20"/>
                <w:szCs w:val="20"/>
              </w:rPr>
            </w:pPr>
            <w:r w:rsidRPr="00FF1E38">
              <w:rPr>
                <w:rFonts w:ascii="Cambria" w:eastAsia="Cambria" w:hAnsi="Cambria" w:cs="Cambria"/>
                <w:b/>
                <w:sz w:val="20"/>
                <w:szCs w:val="20"/>
              </w:rPr>
              <w:t xml:space="preserve">790017 </w:t>
            </w:r>
          </w:p>
        </w:tc>
        <w:tc>
          <w:tcPr>
            <w:tcW w:w="900" w:type="dxa"/>
            <w:tcBorders>
              <w:top w:val="single" w:sz="4" w:space="0" w:color="000000"/>
              <w:left w:val="single" w:sz="4" w:space="0" w:color="000000"/>
              <w:bottom w:val="single" w:sz="4" w:space="0" w:color="000000"/>
              <w:right w:val="single" w:sz="4" w:space="0" w:color="000000"/>
            </w:tcBorders>
          </w:tcPr>
          <w:p w14:paraId="4AFFCB63"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sz w:val="20"/>
                <w:szCs w:val="20"/>
              </w:rPr>
              <w:t xml:space="preserve">75 </w:t>
            </w:r>
          </w:p>
        </w:tc>
        <w:tc>
          <w:tcPr>
            <w:tcW w:w="1086" w:type="dxa"/>
            <w:tcBorders>
              <w:top w:val="single" w:sz="4" w:space="0" w:color="000000"/>
              <w:left w:val="single" w:sz="4" w:space="0" w:color="000000"/>
              <w:bottom w:val="single" w:sz="4" w:space="0" w:color="000000"/>
              <w:right w:val="single" w:sz="4" w:space="0" w:color="000000"/>
            </w:tcBorders>
          </w:tcPr>
          <w:p w14:paraId="522A83C8" w14:textId="77777777" w:rsidR="00FF1E38" w:rsidRPr="00FF1E38" w:rsidRDefault="00FF1E38" w:rsidP="00FF1E38">
            <w:pPr>
              <w:spacing w:after="0" w:line="240" w:lineRule="auto"/>
              <w:ind w:left="37" w:right="0" w:firstLine="0"/>
              <w:jc w:val="center"/>
              <w:rPr>
                <w:rFonts w:ascii="Cambria" w:eastAsia="Cambria" w:hAnsi="Cambria" w:cs="Cambria"/>
                <w:sz w:val="20"/>
                <w:szCs w:val="20"/>
              </w:rPr>
            </w:pPr>
            <w:r w:rsidRPr="00FF1E38">
              <w:rPr>
                <w:rFonts w:ascii="Cambria" w:eastAsia="Cambria" w:hAnsi="Cambria" w:cs="Cambria"/>
                <w:sz w:val="20"/>
                <w:szCs w:val="20"/>
              </w:rPr>
              <w:t xml:space="preserve">460 </w:t>
            </w:r>
          </w:p>
        </w:tc>
        <w:tc>
          <w:tcPr>
            <w:tcW w:w="1086" w:type="dxa"/>
            <w:tcBorders>
              <w:top w:val="single" w:sz="4" w:space="0" w:color="000000"/>
              <w:left w:val="single" w:sz="4" w:space="0" w:color="000000"/>
              <w:bottom w:val="single" w:sz="4" w:space="0" w:color="000000"/>
              <w:right w:val="single" w:sz="4" w:space="0" w:color="000000"/>
            </w:tcBorders>
          </w:tcPr>
          <w:p w14:paraId="440E824C" w14:textId="77777777" w:rsidR="00FF1E38" w:rsidRPr="00FF1E38" w:rsidRDefault="00FF1E38" w:rsidP="00FF1E38">
            <w:pPr>
              <w:spacing w:after="0" w:line="240" w:lineRule="auto"/>
              <w:ind w:left="35" w:right="0" w:firstLine="0"/>
              <w:jc w:val="center"/>
              <w:rPr>
                <w:rFonts w:ascii="Cambria" w:eastAsia="Cambria" w:hAnsi="Cambria" w:cs="Cambria"/>
                <w:sz w:val="20"/>
                <w:szCs w:val="20"/>
              </w:rPr>
            </w:pPr>
            <w:r w:rsidRPr="00FF1E38">
              <w:rPr>
                <w:rFonts w:ascii="Cambria" w:eastAsia="Cambria" w:hAnsi="Cambria" w:cs="Cambria"/>
                <w:sz w:val="20"/>
                <w:szCs w:val="20"/>
              </w:rPr>
              <w:t xml:space="preserve">695 </w:t>
            </w:r>
          </w:p>
        </w:tc>
        <w:tc>
          <w:tcPr>
            <w:tcW w:w="1088" w:type="dxa"/>
            <w:tcBorders>
              <w:top w:val="single" w:sz="4" w:space="0" w:color="000000"/>
              <w:left w:val="single" w:sz="4" w:space="0" w:color="000000"/>
              <w:bottom w:val="single" w:sz="4" w:space="0" w:color="000000"/>
              <w:right w:val="single" w:sz="4" w:space="0" w:color="000000"/>
            </w:tcBorders>
          </w:tcPr>
          <w:p w14:paraId="7BA97400" w14:textId="77777777" w:rsidR="00FF1E38" w:rsidRPr="00FF1E38" w:rsidRDefault="00FF1E38" w:rsidP="00FF1E38">
            <w:pPr>
              <w:spacing w:after="0" w:line="240" w:lineRule="auto"/>
              <w:ind w:left="35" w:right="0" w:firstLine="0"/>
              <w:jc w:val="center"/>
              <w:rPr>
                <w:rFonts w:ascii="Cambria" w:eastAsia="Cambria" w:hAnsi="Cambria" w:cs="Cambria"/>
                <w:sz w:val="20"/>
                <w:szCs w:val="20"/>
              </w:rPr>
            </w:pPr>
            <w:r w:rsidRPr="00FF1E38">
              <w:rPr>
                <w:rFonts w:ascii="Cambria" w:eastAsia="Cambria" w:hAnsi="Cambria" w:cs="Cambria"/>
                <w:sz w:val="20"/>
                <w:szCs w:val="20"/>
              </w:rPr>
              <w:t xml:space="preserve">419 </w:t>
            </w:r>
          </w:p>
        </w:tc>
        <w:tc>
          <w:tcPr>
            <w:tcW w:w="1085" w:type="dxa"/>
            <w:tcBorders>
              <w:top w:val="single" w:sz="4" w:space="0" w:color="000000"/>
              <w:left w:val="single" w:sz="4" w:space="0" w:color="000000"/>
              <w:bottom w:val="single" w:sz="4" w:space="0" w:color="000000"/>
              <w:right w:val="single" w:sz="4" w:space="0" w:color="000000"/>
            </w:tcBorders>
          </w:tcPr>
          <w:p w14:paraId="2ED40E66"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51 </w:t>
            </w:r>
          </w:p>
        </w:tc>
      </w:tr>
      <w:tr w:rsidR="00FF1E38" w:rsidRPr="00FF1E38" w14:paraId="1828CBBF" w14:textId="77777777" w:rsidTr="00DE0C9A">
        <w:trPr>
          <w:trHeight w:val="293"/>
        </w:trPr>
        <w:tc>
          <w:tcPr>
            <w:tcW w:w="533" w:type="dxa"/>
            <w:tcBorders>
              <w:top w:val="single" w:sz="4" w:space="0" w:color="000000"/>
              <w:left w:val="single" w:sz="4" w:space="0" w:color="000000"/>
              <w:bottom w:val="single" w:sz="4" w:space="0" w:color="000000"/>
              <w:right w:val="single" w:sz="4" w:space="0" w:color="000000"/>
            </w:tcBorders>
            <w:shd w:val="clear" w:color="auto" w:fill="FFC000"/>
          </w:tcPr>
          <w:p w14:paraId="65E0FF84"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b/>
                <w:sz w:val="20"/>
                <w:szCs w:val="20"/>
              </w:rPr>
              <w:t xml:space="preserve"> </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Pr>
          <w:p w14:paraId="03B7659D"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b/>
                <w:sz w:val="20"/>
                <w:szCs w:val="20"/>
              </w:rPr>
              <w:t xml:space="preserve">ZAGREB </w:t>
            </w:r>
          </w:p>
        </w:tc>
        <w:tc>
          <w:tcPr>
            <w:tcW w:w="709" w:type="dxa"/>
            <w:tcBorders>
              <w:top w:val="single" w:sz="4" w:space="0" w:color="000000"/>
              <w:left w:val="single" w:sz="4" w:space="0" w:color="000000"/>
              <w:bottom w:val="single" w:sz="4" w:space="0" w:color="000000"/>
              <w:right w:val="single" w:sz="4" w:space="0" w:color="000000"/>
            </w:tcBorders>
          </w:tcPr>
          <w:p w14:paraId="2DC1F8C6"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b/>
                <w:sz w:val="20"/>
                <w:szCs w:val="20"/>
              </w:rPr>
              <w:t xml:space="preserve">udio </w:t>
            </w:r>
          </w:p>
        </w:tc>
        <w:tc>
          <w:tcPr>
            <w:tcW w:w="991" w:type="dxa"/>
            <w:tcBorders>
              <w:top w:val="single" w:sz="4" w:space="0" w:color="000000"/>
              <w:left w:val="single" w:sz="4" w:space="0" w:color="000000"/>
              <w:bottom w:val="single" w:sz="4" w:space="0" w:color="000000"/>
              <w:right w:val="single" w:sz="4" w:space="0" w:color="000000"/>
            </w:tcBorders>
          </w:tcPr>
          <w:p w14:paraId="05719B60" w14:textId="77777777" w:rsidR="00FF1E38" w:rsidRPr="00FF1E38" w:rsidRDefault="00FF1E38" w:rsidP="00FF1E38">
            <w:pPr>
              <w:spacing w:after="0" w:line="240" w:lineRule="auto"/>
              <w:ind w:left="35" w:right="0" w:firstLine="0"/>
              <w:jc w:val="center"/>
              <w:rPr>
                <w:rFonts w:ascii="Cambria" w:eastAsia="Cambria" w:hAnsi="Cambria" w:cs="Cambria"/>
                <w:sz w:val="20"/>
                <w:szCs w:val="20"/>
              </w:rPr>
            </w:pPr>
            <w:r w:rsidRPr="00FF1E38">
              <w:rPr>
                <w:rFonts w:ascii="Cambria" w:eastAsia="Cambria" w:hAnsi="Cambria" w:cs="Cambria"/>
                <w:b/>
                <w:sz w:val="20"/>
                <w:szCs w:val="20"/>
              </w:rPr>
              <w:t xml:space="preserve">1/17 </w:t>
            </w:r>
          </w:p>
        </w:tc>
        <w:tc>
          <w:tcPr>
            <w:tcW w:w="900" w:type="dxa"/>
            <w:tcBorders>
              <w:top w:val="single" w:sz="4" w:space="0" w:color="000000"/>
              <w:left w:val="single" w:sz="4" w:space="0" w:color="000000"/>
              <w:bottom w:val="single" w:sz="4" w:space="0" w:color="000000"/>
              <w:right w:val="single" w:sz="4" w:space="0" w:color="000000"/>
            </w:tcBorders>
          </w:tcPr>
          <w:p w14:paraId="72626460"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4,4 </w:t>
            </w:r>
          </w:p>
        </w:tc>
        <w:tc>
          <w:tcPr>
            <w:tcW w:w="1086" w:type="dxa"/>
            <w:tcBorders>
              <w:top w:val="single" w:sz="4" w:space="0" w:color="000000"/>
              <w:left w:val="single" w:sz="4" w:space="0" w:color="000000"/>
              <w:bottom w:val="single" w:sz="4" w:space="0" w:color="000000"/>
              <w:right w:val="single" w:sz="4" w:space="0" w:color="000000"/>
            </w:tcBorders>
          </w:tcPr>
          <w:p w14:paraId="43B1A10C"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27,1 </w:t>
            </w:r>
          </w:p>
        </w:tc>
        <w:tc>
          <w:tcPr>
            <w:tcW w:w="1086" w:type="dxa"/>
            <w:tcBorders>
              <w:top w:val="single" w:sz="4" w:space="0" w:color="000000"/>
              <w:left w:val="single" w:sz="4" w:space="0" w:color="000000"/>
              <w:bottom w:val="single" w:sz="4" w:space="0" w:color="000000"/>
              <w:right w:val="single" w:sz="4" w:space="0" w:color="000000"/>
            </w:tcBorders>
          </w:tcPr>
          <w:p w14:paraId="107C320A"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sz w:val="20"/>
                <w:szCs w:val="20"/>
              </w:rPr>
              <w:t xml:space="preserve">40,8 </w:t>
            </w:r>
          </w:p>
        </w:tc>
        <w:tc>
          <w:tcPr>
            <w:tcW w:w="1088" w:type="dxa"/>
            <w:tcBorders>
              <w:top w:val="single" w:sz="4" w:space="0" w:color="000000"/>
              <w:left w:val="single" w:sz="4" w:space="0" w:color="000000"/>
              <w:bottom w:val="single" w:sz="4" w:space="0" w:color="000000"/>
              <w:right w:val="single" w:sz="4" w:space="0" w:color="000000"/>
            </w:tcBorders>
          </w:tcPr>
          <w:p w14:paraId="07985399" w14:textId="77777777" w:rsidR="00FF1E38" w:rsidRPr="00FF1E38" w:rsidRDefault="00FF1E38" w:rsidP="00FF1E38">
            <w:pPr>
              <w:spacing w:after="0" w:line="240" w:lineRule="auto"/>
              <w:ind w:left="35" w:right="0" w:firstLine="0"/>
              <w:jc w:val="center"/>
              <w:rPr>
                <w:rFonts w:ascii="Cambria" w:eastAsia="Cambria" w:hAnsi="Cambria" w:cs="Cambria"/>
                <w:sz w:val="20"/>
                <w:szCs w:val="20"/>
              </w:rPr>
            </w:pPr>
            <w:r w:rsidRPr="00FF1E38">
              <w:rPr>
                <w:rFonts w:ascii="Cambria" w:eastAsia="Cambria" w:hAnsi="Cambria" w:cs="Cambria"/>
                <w:sz w:val="20"/>
                <w:szCs w:val="20"/>
              </w:rPr>
              <w:t xml:space="preserve">24,7 </w:t>
            </w:r>
          </w:p>
        </w:tc>
        <w:tc>
          <w:tcPr>
            <w:tcW w:w="1085" w:type="dxa"/>
            <w:tcBorders>
              <w:top w:val="single" w:sz="4" w:space="0" w:color="000000"/>
              <w:left w:val="single" w:sz="4" w:space="0" w:color="000000"/>
              <w:bottom w:val="single" w:sz="4" w:space="0" w:color="000000"/>
              <w:right w:val="single" w:sz="4" w:space="0" w:color="000000"/>
            </w:tcBorders>
          </w:tcPr>
          <w:p w14:paraId="79CBBD44"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3,0 </w:t>
            </w:r>
          </w:p>
        </w:tc>
      </w:tr>
      <w:tr w:rsidR="00FF1E38" w:rsidRPr="00FF1E38" w14:paraId="32EA1FA1" w14:textId="77777777" w:rsidTr="00DE0C9A">
        <w:trPr>
          <w:trHeight w:val="293"/>
        </w:trPr>
        <w:tc>
          <w:tcPr>
            <w:tcW w:w="533" w:type="dxa"/>
            <w:tcBorders>
              <w:top w:val="single" w:sz="4" w:space="0" w:color="000000"/>
              <w:left w:val="single" w:sz="4" w:space="0" w:color="000000"/>
              <w:bottom w:val="single" w:sz="4" w:space="0" w:color="000000"/>
              <w:right w:val="single" w:sz="4" w:space="0" w:color="000000"/>
            </w:tcBorders>
            <w:shd w:val="clear" w:color="auto" w:fill="FFC000"/>
          </w:tcPr>
          <w:p w14:paraId="701D238B"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sz w:val="20"/>
                <w:szCs w:val="20"/>
              </w:rPr>
              <w:t xml:space="preserve"> </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Pr>
          <w:p w14:paraId="28E97E70"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sz w:val="20"/>
                <w:szCs w:val="20"/>
              </w:rPr>
              <w:t xml:space="preserve">Broj stanovnika </w:t>
            </w:r>
          </w:p>
        </w:tc>
        <w:tc>
          <w:tcPr>
            <w:tcW w:w="709" w:type="dxa"/>
            <w:tcBorders>
              <w:top w:val="single" w:sz="4" w:space="0" w:color="000000"/>
              <w:left w:val="single" w:sz="4" w:space="0" w:color="000000"/>
              <w:bottom w:val="single" w:sz="4" w:space="0" w:color="000000"/>
              <w:right w:val="nil"/>
            </w:tcBorders>
          </w:tcPr>
          <w:p w14:paraId="20A45ABE" w14:textId="77777777" w:rsidR="00FF1E38" w:rsidRPr="00FF1E38" w:rsidRDefault="00FF1E38" w:rsidP="00FF1E38">
            <w:pPr>
              <w:spacing w:after="0" w:line="240" w:lineRule="auto"/>
              <w:ind w:left="0" w:right="0" w:firstLine="0"/>
              <w:jc w:val="left"/>
              <w:rPr>
                <w:rFonts w:ascii="Cambria" w:eastAsia="Cambria" w:hAnsi="Cambria" w:cs="Cambria"/>
                <w:sz w:val="20"/>
                <w:szCs w:val="20"/>
              </w:rPr>
            </w:pPr>
          </w:p>
        </w:tc>
        <w:tc>
          <w:tcPr>
            <w:tcW w:w="991" w:type="dxa"/>
            <w:tcBorders>
              <w:top w:val="single" w:sz="4" w:space="0" w:color="000000"/>
              <w:left w:val="nil"/>
              <w:bottom w:val="single" w:sz="4" w:space="0" w:color="000000"/>
              <w:right w:val="single" w:sz="4" w:space="0" w:color="000000"/>
            </w:tcBorders>
          </w:tcPr>
          <w:p w14:paraId="5C39EC82" w14:textId="77777777" w:rsidR="00FF1E38" w:rsidRPr="00FF1E38" w:rsidRDefault="00FF1E38" w:rsidP="00FF1E38">
            <w:pPr>
              <w:spacing w:after="0" w:line="240" w:lineRule="auto"/>
              <w:ind w:left="142" w:right="0" w:firstLine="0"/>
              <w:jc w:val="left"/>
              <w:rPr>
                <w:rFonts w:ascii="Cambria" w:eastAsia="Cambria" w:hAnsi="Cambria" w:cs="Cambria"/>
                <w:sz w:val="20"/>
                <w:szCs w:val="20"/>
              </w:rPr>
            </w:pPr>
            <w:r w:rsidRPr="00FF1E38">
              <w:rPr>
                <w:rFonts w:ascii="Cambria" w:eastAsia="Cambria" w:hAnsi="Cambria" w:cs="Cambria"/>
                <w:sz w:val="20"/>
                <w:szCs w:val="20"/>
              </w:rPr>
              <w:t xml:space="preserve"> </w:t>
            </w:r>
          </w:p>
        </w:tc>
        <w:tc>
          <w:tcPr>
            <w:tcW w:w="900" w:type="dxa"/>
            <w:tcBorders>
              <w:top w:val="single" w:sz="4" w:space="0" w:color="000000"/>
              <w:left w:val="single" w:sz="4" w:space="0" w:color="000000"/>
              <w:bottom w:val="single" w:sz="4" w:space="0" w:color="000000"/>
              <w:right w:val="single" w:sz="4" w:space="0" w:color="000000"/>
            </w:tcBorders>
          </w:tcPr>
          <w:p w14:paraId="35332DFD"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34650 </w:t>
            </w:r>
          </w:p>
        </w:tc>
        <w:tc>
          <w:tcPr>
            <w:tcW w:w="1086" w:type="dxa"/>
            <w:tcBorders>
              <w:top w:val="single" w:sz="4" w:space="0" w:color="000000"/>
              <w:left w:val="single" w:sz="4" w:space="0" w:color="000000"/>
              <w:bottom w:val="single" w:sz="4" w:space="0" w:color="000000"/>
              <w:right w:val="single" w:sz="4" w:space="0" w:color="000000"/>
            </w:tcBorders>
          </w:tcPr>
          <w:p w14:paraId="077818EE" w14:textId="77777777" w:rsidR="00FF1E38" w:rsidRPr="00FF1E38" w:rsidRDefault="00FF1E38" w:rsidP="00FF1E38">
            <w:pPr>
              <w:spacing w:after="0" w:line="240" w:lineRule="auto"/>
              <w:ind w:left="34" w:right="0" w:firstLine="0"/>
              <w:jc w:val="center"/>
              <w:rPr>
                <w:rFonts w:ascii="Cambria" w:eastAsia="Cambria" w:hAnsi="Cambria" w:cs="Cambria"/>
                <w:sz w:val="20"/>
                <w:szCs w:val="20"/>
              </w:rPr>
            </w:pPr>
            <w:r w:rsidRPr="00FF1E38">
              <w:rPr>
                <w:rFonts w:ascii="Cambria" w:eastAsia="Cambria" w:hAnsi="Cambria" w:cs="Cambria"/>
                <w:sz w:val="20"/>
                <w:szCs w:val="20"/>
              </w:rPr>
              <w:t xml:space="preserve">214095 </w:t>
            </w:r>
          </w:p>
        </w:tc>
        <w:tc>
          <w:tcPr>
            <w:tcW w:w="1086" w:type="dxa"/>
            <w:tcBorders>
              <w:top w:val="single" w:sz="4" w:space="0" w:color="000000"/>
              <w:left w:val="single" w:sz="4" w:space="0" w:color="000000"/>
              <w:bottom w:val="single" w:sz="4" w:space="0" w:color="000000"/>
              <w:right w:val="single" w:sz="4" w:space="0" w:color="000000"/>
            </w:tcBorders>
          </w:tcPr>
          <w:p w14:paraId="25612A05" w14:textId="77777777" w:rsidR="00FF1E38" w:rsidRPr="00FF1E38" w:rsidRDefault="00FF1E38" w:rsidP="00FF1E38">
            <w:pPr>
              <w:spacing w:after="0" w:line="240" w:lineRule="auto"/>
              <w:ind w:left="32" w:right="0" w:firstLine="0"/>
              <w:jc w:val="center"/>
              <w:rPr>
                <w:rFonts w:ascii="Cambria" w:eastAsia="Cambria" w:hAnsi="Cambria" w:cs="Cambria"/>
                <w:sz w:val="20"/>
                <w:szCs w:val="20"/>
              </w:rPr>
            </w:pPr>
            <w:r w:rsidRPr="00FF1E38">
              <w:rPr>
                <w:rFonts w:ascii="Cambria" w:eastAsia="Cambria" w:hAnsi="Cambria" w:cs="Cambria"/>
                <w:sz w:val="20"/>
                <w:szCs w:val="20"/>
              </w:rPr>
              <w:t xml:space="preserve">322327 </w:t>
            </w:r>
          </w:p>
        </w:tc>
        <w:tc>
          <w:tcPr>
            <w:tcW w:w="1088" w:type="dxa"/>
            <w:tcBorders>
              <w:top w:val="single" w:sz="4" w:space="0" w:color="000000"/>
              <w:left w:val="single" w:sz="4" w:space="0" w:color="000000"/>
              <w:bottom w:val="single" w:sz="4" w:space="0" w:color="000000"/>
              <w:right w:val="single" w:sz="4" w:space="0" w:color="000000"/>
            </w:tcBorders>
          </w:tcPr>
          <w:p w14:paraId="1B95C734" w14:textId="77777777" w:rsidR="00FF1E38" w:rsidRPr="00FF1E38" w:rsidRDefault="00FF1E38" w:rsidP="00FF1E38">
            <w:pPr>
              <w:spacing w:after="0" w:line="240" w:lineRule="auto"/>
              <w:ind w:left="33" w:right="0" w:firstLine="0"/>
              <w:jc w:val="center"/>
              <w:rPr>
                <w:rFonts w:ascii="Cambria" w:eastAsia="Cambria" w:hAnsi="Cambria" w:cs="Cambria"/>
                <w:sz w:val="20"/>
                <w:szCs w:val="20"/>
              </w:rPr>
            </w:pPr>
            <w:r w:rsidRPr="00FF1E38">
              <w:rPr>
                <w:rFonts w:ascii="Cambria" w:eastAsia="Cambria" w:hAnsi="Cambria" w:cs="Cambria"/>
                <w:sz w:val="20"/>
                <w:szCs w:val="20"/>
              </w:rPr>
              <w:t xml:space="preserve">195134 </w:t>
            </w:r>
          </w:p>
        </w:tc>
        <w:tc>
          <w:tcPr>
            <w:tcW w:w="1085" w:type="dxa"/>
            <w:tcBorders>
              <w:top w:val="single" w:sz="4" w:space="0" w:color="000000"/>
              <w:left w:val="single" w:sz="4" w:space="0" w:color="000000"/>
              <w:bottom w:val="single" w:sz="4" w:space="0" w:color="000000"/>
              <w:right w:val="single" w:sz="4" w:space="0" w:color="000000"/>
            </w:tcBorders>
          </w:tcPr>
          <w:p w14:paraId="5C07D102" w14:textId="77777777" w:rsidR="00FF1E38" w:rsidRPr="00FF1E38" w:rsidRDefault="00FF1E38" w:rsidP="00FF1E38">
            <w:pPr>
              <w:spacing w:after="0" w:line="240" w:lineRule="auto"/>
              <w:ind w:left="38" w:right="0" w:firstLine="0"/>
              <w:jc w:val="center"/>
              <w:rPr>
                <w:rFonts w:ascii="Cambria" w:eastAsia="Cambria" w:hAnsi="Cambria" w:cs="Cambria"/>
                <w:sz w:val="20"/>
                <w:szCs w:val="20"/>
              </w:rPr>
            </w:pPr>
            <w:r w:rsidRPr="00FF1E38">
              <w:rPr>
                <w:rFonts w:ascii="Cambria" w:eastAsia="Cambria" w:hAnsi="Cambria" w:cs="Cambria"/>
                <w:sz w:val="20"/>
                <w:szCs w:val="20"/>
              </w:rPr>
              <w:t xml:space="preserve">23700 </w:t>
            </w:r>
          </w:p>
        </w:tc>
      </w:tr>
      <w:tr w:rsidR="00FF1E38" w:rsidRPr="00FF1E38" w14:paraId="49E4380F" w14:textId="77777777" w:rsidTr="00DE0C9A">
        <w:trPr>
          <w:trHeight w:val="292"/>
        </w:trPr>
        <w:tc>
          <w:tcPr>
            <w:tcW w:w="533" w:type="dxa"/>
            <w:tcBorders>
              <w:top w:val="single" w:sz="4" w:space="0" w:color="000000"/>
              <w:left w:val="single" w:sz="4" w:space="0" w:color="000000"/>
              <w:bottom w:val="single" w:sz="4" w:space="0" w:color="000000"/>
              <w:right w:val="single" w:sz="4" w:space="0" w:color="000000"/>
            </w:tcBorders>
            <w:shd w:val="clear" w:color="auto" w:fill="FFC000"/>
          </w:tcPr>
          <w:p w14:paraId="5ACC3E86"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sz w:val="20"/>
                <w:szCs w:val="20"/>
              </w:rPr>
              <w:t xml:space="preserve"> </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Pr>
          <w:p w14:paraId="68878F1E" w14:textId="77777777" w:rsidR="00FF1E38" w:rsidRPr="00FF1E38" w:rsidRDefault="00FF1E38" w:rsidP="00FF1E38">
            <w:pPr>
              <w:spacing w:after="0" w:line="240" w:lineRule="auto"/>
              <w:ind w:left="108" w:right="0" w:firstLine="0"/>
              <w:jc w:val="left"/>
              <w:rPr>
                <w:rFonts w:ascii="Cambria" w:eastAsia="Cambria" w:hAnsi="Cambria" w:cs="Cambria"/>
                <w:sz w:val="20"/>
                <w:szCs w:val="20"/>
              </w:rPr>
            </w:pPr>
            <w:r w:rsidRPr="00FF1E38">
              <w:rPr>
                <w:rFonts w:ascii="Cambria" w:eastAsia="Cambria" w:hAnsi="Cambria" w:cs="Cambria"/>
                <w:sz w:val="20"/>
                <w:szCs w:val="20"/>
              </w:rPr>
              <w:t xml:space="preserve">Broj stanova </w:t>
            </w:r>
          </w:p>
        </w:tc>
        <w:tc>
          <w:tcPr>
            <w:tcW w:w="709" w:type="dxa"/>
            <w:tcBorders>
              <w:top w:val="single" w:sz="4" w:space="0" w:color="000000"/>
              <w:left w:val="single" w:sz="4" w:space="0" w:color="000000"/>
              <w:bottom w:val="single" w:sz="4" w:space="0" w:color="000000"/>
              <w:right w:val="nil"/>
            </w:tcBorders>
          </w:tcPr>
          <w:p w14:paraId="338A5614" w14:textId="77777777" w:rsidR="00FF1E38" w:rsidRPr="00FF1E38" w:rsidRDefault="00FF1E38" w:rsidP="00FF1E38">
            <w:pPr>
              <w:spacing w:after="0" w:line="240" w:lineRule="auto"/>
              <w:ind w:left="0" w:right="0" w:firstLine="0"/>
              <w:jc w:val="right"/>
              <w:rPr>
                <w:rFonts w:ascii="Cambria" w:eastAsia="Cambria" w:hAnsi="Cambria" w:cs="Cambria"/>
                <w:sz w:val="20"/>
                <w:szCs w:val="20"/>
              </w:rPr>
            </w:pPr>
            <w:r w:rsidRPr="00FF1E38">
              <w:rPr>
                <w:rFonts w:ascii="Cambria" w:eastAsia="Cambria" w:hAnsi="Cambria" w:cs="Cambria"/>
                <w:sz w:val="20"/>
                <w:szCs w:val="20"/>
              </w:rPr>
              <w:t>3</w:t>
            </w:r>
          </w:p>
        </w:tc>
        <w:tc>
          <w:tcPr>
            <w:tcW w:w="991" w:type="dxa"/>
            <w:tcBorders>
              <w:top w:val="single" w:sz="4" w:space="0" w:color="000000"/>
              <w:left w:val="nil"/>
              <w:bottom w:val="single" w:sz="4" w:space="0" w:color="000000"/>
              <w:right w:val="single" w:sz="4" w:space="0" w:color="000000"/>
            </w:tcBorders>
          </w:tcPr>
          <w:p w14:paraId="5D15117C" w14:textId="77777777" w:rsidR="00FF1E38" w:rsidRPr="00FF1E38" w:rsidRDefault="00FF1E38" w:rsidP="00FF1E38">
            <w:pPr>
              <w:spacing w:after="0" w:line="240" w:lineRule="auto"/>
              <w:ind w:left="-36" w:right="0" w:firstLine="0"/>
              <w:jc w:val="left"/>
              <w:rPr>
                <w:rFonts w:ascii="Cambria" w:eastAsia="Cambria" w:hAnsi="Cambria" w:cs="Cambria"/>
                <w:sz w:val="20"/>
                <w:szCs w:val="20"/>
              </w:rPr>
            </w:pPr>
            <w:r w:rsidRPr="00FF1E38">
              <w:rPr>
                <w:rFonts w:ascii="Cambria" w:eastAsia="Cambria" w:hAnsi="Cambria" w:cs="Cambria"/>
                <w:sz w:val="20"/>
                <w:szCs w:val="20"/>
              </w:rPr>
              <w:t xml:space="preserve">06208 </w:t>
            </w:r>
          </w:p>
        </w:tc>
        <w:tc>
          <w:tcPr>
            <w:tcW w:w="900" w:type="dxa"/>
            <w:tcBorders>
              <w:top w:val="single" w:sz="4" w:space="0" w:color="000000"/>
              <w:left w:val="single" w:sz="4" w:space="0" w:color="000000"/>
              <w:bottom w:val="single" w:sz="4" w:space="0" w:color="000000"/>
              <w:right w:val="single" w:sz="4" w:space="0" w:color="000000"/>
            </w:tcBorders>
          </w:tcPr>
          <w:p w14:paraId="0C4CA22F"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13430 </w:t>
            </w:r>
          </w:p>
        </w:tc>
        <w:tc>
          <w:tcPr>
            <w:tcW w:w="1086" w:type="dxa"/>
            <w:tcBorders>
              <w:top w:val="single" w:sz="4" w:space="0" w:color="000000"/>
              <w:left w:val="single" w:sz="4" w:space="0" w:color="000000"/>
              <w:bottom w:val="single" w:sz="4" w:space="0" w:color="000000"/>
              <w:right w:val="single" w:sz="4" w:space="0" w:color="000000"/>
            </w:tcBorders>
          </w:tcPr>
          <w:p w14:paraId="72F69A45" w14:textId="77777777" w:rsidR="00FF1E38" w:rsidRPr="00FF1E38" w:rsidRDefault="00FF1E38" w:rsidP="00FF1E38">
            <w:pPr>
              <w:spacing w:after="0" w:line="240" w:lineRule="auto"/>
              <w:ind w:left="37" w:right="0" w:firstLine="0"/>
              <w:jc w:val="center"/>
              <w:rPr>
                <w:rFonts w:ascii="Cambria" w:eastAsia="Cambria" w:hAnsi="Cambria" w:cs="Cambria"/>
                <w:sz w:val="20"/>
                <w:szCs w:val="20"/>
              </w:rPr>
            </w:pPr>
            <w:r w:rsidRPr="00FF1E38">
              <w:rPr>
                <w:rFonts w:ascii="Cambria" w:eastAsia="Cambria" w:hAnsi="Cambria" w:cs="Cambria"/>
                <w:sz w:val="20"/>
                <w:szCs w:val="20"/>
              </w:rPr>
              <w:t xml:space="preserve">82982 </w:t>
            </w:r>
          </w:p>
        </w:tc>
        <w:tc>
          <w:tcPr>
            <w:tcW w:w="1086" w:type="dxa"/>
            <w:tcBorders>
              <w:top w:val="single" w:sz="4" w:space="0" w:color="000000"/>
              <w:left w:val="single" w:sz="4" w:space="0" w:color="000000"/>
              <w:bottom w:val="single" w:sz="4" w:space="0" w:color="000000"/>
              <w:right w:val="single" w:sz="4" w:space="0" w:color="000000"/>
            </w:tcBorders>
          </w:tcPr>
          <w:p w14:paraId="798947EB" w14:textId="77777777" w:rsidR="00FF1E38" w:rsidRPr="00FF1E38" w:rsidRDefault="00FF1E38" w:rsidP="00FF1E38">
            <w:pPr>
              <w:spacing w:after="0" w:line="240" w:lineRule="auto"/>
              <w:ind w:left="32" w:right="0" w:firstLine="0"/>
              <w:jc w:val="center"/>
              <w:rPr>
                <w:rFonts w:ascii="Cambria" w:eastAsia="Cambria" w:hAnsi="Cambria" w:cs="Cambria"/>
                <w:sz w:val="20"/>
                <w:szCs w:val="20"/>
              </w:rPr>
            </w:pPr>
            <w:r w:rsidRPr="00FF1E38">
              <w:rPr>
                <w:rFonts w:ascii="Cambria" w:eastAsia="Cambria" w:hAnsi="Cambria" w:cs="Cambria"/>
                <w:sz w:val="20"/>
                <w:szCs w:val="20"/>
              </w:rPr>
              <w:t xml:space="preserve">124933 </w:t>
            </w:r>
          </w:p>
        </w:tc>
        <w:tc>
          <w:tcPr>
            <w:tcW w:w="1088" w:type="dxa"/>
            <w:tcBorders>
              <w:top w:val="single" w:sz="4" w:space="0" w:color="000000"/>
              <w:left w:val="single" w:sz="4" w:space="0" w:color="000000"/>
              <w:bottom w:val="single" w:sz="4" w:space="0" w:color="000000"/>
              <w:right w:val="single" w:sz="4" w:space="0" w:color="000000"/>
            </w:tcBorders>
          </w:tcPr>
          <w:p w14:paraId="2298F025" w14:textId="77777777" w:rsidR="00FF1E38" w:rsidRPr="00FF1E38" w:rsidRDefault="00FF1E38" w:rsidP="00FF1E38">
            <w:pPr>
              <w:spacing w:after="0" w:line="240" w:lineRule="auto"/>
              <w:ind w:left="35" w:right="0" w:firstLine="0"/>
              <w:jc w:val="center"/>
              <w:rPr>
                <w:rFonts w:ascii="Cambria" w:eastAsia="Cambria" w:hAnsi="Cambria" w:cs="Cambria"/>
                <w:sz w:val="20"/>
                <w:szCs w:val="20"/>
              </w:rPr>
            </w:pPr>
            <w:r w:rsidRPr="00FF1E38">
              <w:rPr>
                <w:rFonts w:ascii="Cambria" w:eastAsia="Cambria" w:hAnsi="Cambria" w:cs="Cambria"/>
                <w:sz w:val="20"/>
                <w:szCs w:val="20"/>
              </w:rPr>
              <w:t xml:space="preserve">75633 </w:t>
            </w:r>
          </w:p>
        </w:tc>
        <w:tc>
          <w:tcPr>
            <w:tcW w:w="1085" w:type="dxa"/>
            <w:tcBorders>
              <w:top w:val="single" w:sz="4" w:space="0" w:color="000000"/>
              <w:left w:val="single" w:sz="4" w:space="0" w:color="000000"/>
              <w:bottom w:val="single" w:sz="4" w:space="0" w:color="000000"/>
              <w:right w:val="single" w:sz="4" w:space="0" w:color="000000"/>
            </w:tcBorders>
          </w:tcPr>
          <w:p w14:paraId="604172F6" w14:textId="77777777" w:rsidR="00FF1E38" w:rsidRPr="00FF1E38" w:rsidRDefault="00FF1E38" w:rsidP="00FF1E38">
            <w:pPr>
              <w:spacing w:after="0" w:line="240" w:lineRule="auto"/>
              <w:ind w:left="36" w:right="0" w:firstLine="0"/>
              <w:jc w:val="center"/>
              <w:rPr>
                <w:rFonts w:ascii="Cambria" w:eastAsia="Cambria" w:hAnsi="Cambria" w:cs="Cambria"/>
                <w:sz w:val="20"/>
                <w:szCs w:val="20"/>
              </w:rPr>
            </w:pPr>
            <w:r w:rsidRPr="00FF1E38">
              <w:rPr>
                <w:rFonts w:ascii="Cambria" w:eastAsia="Cambria" w:hAnsi="Cambria" w:cs="Cambria"/>
                <w:sz w:val="20"/>
                <w:szCs w:val="20"/>
              </w:rPr>
              <w:t xml:space="preserve">9186 </w:t>
            </w:r>
          </w:p>
        </w:tc>
      </w:tr>
    </w:tbl>
    <w:p w14:paraId="5347787B" w14:textId="77777777" w:rsidR="00FF1E38" w:rsidRPr="00FF1E38" w:rsidRDefault="00FF1E38" w:rsidP="008F11E3">
      <w:pPr>
        <w:spacing w:after="0" w:line="240" w:lineRule="auto"/>
        <w:ind w:left="0" w:right="0" w:firstLine="0"/>
        <w:jc w:val="center"/>
        <w:rPr>
          <w:rFonts w:ascii="Times New Roman" w:hAnsi="Times New Roman" w:cs="Times New Roman"/>
          <w:i/>
          <w:sz w:val="24"/>
        </w:rPr>
      </w:pPr>
      <w:r w:rsidRPr="00FF1E38">
        <w:rPr>
          <w:rFonts w:ascii="Times New Roman" w:hAnsi="Times New Roman" w:cs="Times New Roman"/>
          <w:i/>
          <w:sz w:val="20"/>
          <w:szCs w:val="20"/>
        </w:rPr>
        <w:lastRenderedPageBreak/>
        <w:t>Izvor: Aničić, D. i suradnici (2014) „Potresni rizik grada Zagreba - Infrastruktura, stanovništvo, građevine i kulturna dobra,“ Prijedlog projekta - verzija 3.0, Akademija tehničkih znanosti Hrvatske,</w:t>
      </w:r>
      <w:r w:rsidRPr="00FF1E38">
        <w:rPr>
          <w:rFonts w:ascii="Times New Roman" w:hAnsi="Times New Roman" w:cs="Times New Roman"/>
          <w:i/>
          <w:sz w:val="24"/>
        </w:rPr>
        <w:t xml:space="preserve"> </w:t>
      </w:r>
      <w:r w:rsidRPr="00FF1E38">
        <w:rPr>
          <w:rFonts w:ascii="Times New Roman" w:hAnsi="Times New Roman" w:cs="Times New Roman"/>
          <w:i/>
          <w:sz w:val="20"/>
          <w:szCs w:val="20"/>
        </w:rPr>
        <w:t>Građevinski fakultet sveučilišta u Zagrebu, Ured za upravljanje u hitnim situacijama Grada Zagreba</w:t>
      </w:r>
    </w:p>
    <w:p w14:paraId="77E5E923" w14:textId="77777777" w:rsidR="00FF1E38" w:rsidRPr="00FF1E38" w:rsidRDefault="00FF1E38" w:rsidP="00FF1E38">
      <w:pPr>
        <w:spacing w:after="0" w:line="240" w:lineRule="auto"/>
        <w:ind w:left="0" w:right="0" w:firstLine="709"/>
        <w:rPr>
          <w:rFonts w:ascii="Times New Roman" w:hAnsi="Times New Roman" w:cs="Times New Roman"/>
          <w:sz w:val="24"/>
        </w:rPr>
      </w:pPr>
    </w:p>
    <w:p w14:paraId="4A2DD77B" w14:textId="5AA092A3" w:rsidR="00FF1E38" w:rsidRPr="005D2821" w:rsidRDefault="00FF1E38" w:rsidP="00FF1E38">
      <w:pPr>
        <w:spacing w:after="0" w:line="240" w:lineRule="auto"/>
        <w:ind w:left="0" w:right="0" w:firstLine="709"/>
        <w:rPr>
          <w:rFonts w:ascii="Times New Roman" w:hAnsi="Times New Roman" w:cs="Times New Roman"/>
          <w:color w:val="auto"/>
          <w:sz w:val="24"/>
        </w:rPr>
      </w:pPr>
      <w:r w:rsidRPr="00FF1E38">
        <w:rPr>
          <w:rFonts w:ascii="Times New Roman" w:hAnsi="Times New Roman" w:cs="Times New Roman"/>
          <w:sz w:val="24"/>
        </w:rPr>
        <w:t xml:space="preserve">Procjene oštećenja su napravljene prema stupnjevima oštećenja EMS-98 ljestvice koristeći matrice oštetljivosti. Primijenjena metodologija uzima u obzir ukupan broj ekvivalentnih stanova, udio po stupnju oštećenja u ukupnom broju stanova pojedinog nosivog sustava i indeks oštetljivosti (damage index). Prema navedenoj metodologiji za svaki nosivi </w:t>
      </w:r>
      <w:r w:rsidRPr="005D2821">
        <w:rPr>
          <w:rFonts w:ascii="Times New Roman" w:hAnsi="Times New Roman" w:cs="Times New Roman"/>
          <w:color w:val="auto"/>
          <w:sz w:val="24"/>
        </w:rPr>
        <w:t>sustav su napravljene procjene oštećenja, a ovdje će se prikazati samo konačni rezultati (</w:t>
      </w:r>
      <w:r w:rsidR="005D2821" w:rsidRPr="005D2821">
        <w:rPr>
          <w:rFonts w:ascii="Times New Roman" w:hAnsi="Times New Roman" w:cs="Times New Roman"/>
          <w:color w:val="auto"/>
          <w:sz w:val="24"/>
        </w:rPr>
        <w:t>tablica 47</w:t>
      </w:r>
      <w:r w:rsidRPr="005D2821">
        <w:rPr>
          <w:rFonts w:ascii="Times New Roman" w:hAnsi="Times New Roman" w:cs="Times New Roman"/>
          <w:color w:val="auto"/>
          <w:sz w:val="24"/>
        </w:rPr>
        <w:t>.):</w:t>
      </w:r>
    </w:p>
    <w:p w14:paraId="5BB05596" w14:textId="276E9176" w:rsidR="00FF1E38" w:rsidRPr="00FF1E38" w:rsidRDefault="00FF1E38" w:rsidP="0014113B">
      <w:pPr>
        <w:numPr>
          <w:ilvl w:val="0"/>
          <w:numId w:val="3"/>
        </w:numPr>
        <w:spacing w:after="0" w:line="240" w:lineRule="auto"/>
        <w:ind w:right="0"/>
        <w:contextualSpacing/>
        <w:jc w:val="left"/>
        <w:rPr>
          <w:rFonts w:ascii="Times New Roman" w:hAnsi="Times New Roman" w:cs="Times New Roman"/>
          <w:sz w:val="24"/>
        </w:rPr>
      </w:pPr>
      <w:r w:rsidRPr="00FF1E38">
        <w:rPr>
          <w:rFonts w:ascii="Times New Roman" w:hAnsi="Times New Roman" w:cs="Times New Roman"/>
          <w:sz w:val="24"/>
        </w:rPr>
        <w:t>broj potpuno uništenih (nepopravljivih) stanova (stupnjevi oštećenja 4 i 5) je 63.743 što je 21 % stambenog fonda. Stoga bi za oko 168.000 osoba trebalo rješavati zbrinjavanje do izgradnje zamjenskih zgrada odnosno cijelih novih naselja</w:t>
      </w:r>
    </w:p>
    <w:p w14:paraId="16D03569" w14:textId="77777777" w:rsidR="00FF1E38" w:rsidRPr="00FF1E38" w:rsidRDefault="00FF1E38" w:rsidP="0014113B">
      <w:pPr>
        <w:numPr>
          <w:ilvl w:val="0"/>
          <w:numId w:val="3"/>
        </w:numPr>
        <w:spacing w:after="0" w:line="240" w:lineRule="auto"/>
        <w:ind w:right="0"/>
        <w:contextualSpacing/>
        <w:jc w:val="left"/>
        <w:rPr>
          <w:rFonts w:ascii="Times New Roman" w:hAnsi="Times New Roman" w:cs="Times New Roman"/>
          <w:sz w:val="24"/>
        </w:rPr>
      </w:pPr>
      <w:r w:rsidRPr="00FF1E38">
        <w:rPr>
          <w:rFonts w:ascii="Times New Roman" w:hAnsi="Times New Roman" w:cs="Times New Roman"/>
          <w:sz w:val="24"/>
        </w:rPr>
        <w:t>broj djelomično oštećenih ali popravljivih stanova (stupanj 3) kod kojih će se građani morati privremeno iseliti do njihova popravka je 39888 što je 13 % stambenog fonda. Stoga bi za daljnjih 103.000 osoba trebalo riješiti privremeni smještaj.</w:t>
      </w:r>
    </w:p>
    <w:p w14:paraId="4C9DAF6C" w14:textId="77777777" w:rsidR="00FF1E38" w:rsidRPr="00FF1E38" w:rsidRDefault="00FF1E38" w:rsidP="00FF1E38">
      <w:pPr>
        <w:spacing w:after="0" w:line="240" w:lineRule="auto"/>
        <w:ind w:left="0" w:right="0" w:firstLine="709"/>
        <w:rPr>
          <w:rFonts w:ascii="Times New Roman" w:hAnsi="Times New Roman" w:cs="Times New Roman"/>
          <w:b/>
          <w:sz w:val="24"/>
        </w:rPr>
      </w:pPr>
    </w:p>
    <w:p w14:paraId="505736FB" w14:textId="56F49EEA" w:rsidR="00571A98" w:rsidRPr="005D2821" w:rsidRDefault="005D2821" w:rsidP="00571A98">
      <w:pPr>
        <w:spacing w:line="267" w:lineRule="auto"/>
        <w:ind w:left="0" w:right="0"/>
        <w:jc w:val="center"/>
        <w:rPr>
          <w:rFonts w:ascii="Times New Roman" w:eastAsia="Cambria" w:hAnsi="Times New Roman" w:cs="Times New Roman"/>
          <w:color w:val="auto"/>
          <w:sz w:val="24"/>
          <w:szCs w:val="24"/>
        </w:rPr>
      </w:pPr>
      <w:r w:rsidRPr="005D2821">
        <w:rPr>
          <w:rFonts w:ascii="Times New Roman" w:eastAsia="Cambria" w:hAnsi="Times New Roman" w:cs="Times New Roman"/>
          <w:b/>
          <w:color w:val="auto"/>
          <w:sz w:val="24"/>
          <w:szCs w:val="24"/>
        </w:rPr>
        <w:t>Tablica 47</w:t>
      </w:r>
      <w:r w:rsidR="00FF1E38" w:rsidRPr="005D2821">
        <w:rPr>
          <w:rFonts w:ascii="Times New Roman" w:eastAsia="Cambria" w:hAnsi="Times New Roman" w:cs="Times New Roman"/>
          <w:b/>
          <w:color w:val="auto"/>
          <w:sz w:val="24"/>
          <w:szCs w:val="24"/>
        </w:rPr>
        <w:t>. Broj potpuno uništenih i djelomično oštećenih stanova</w:t>
      </w:r>
    </w:p>
    <w:tbl>
      <w:tblPr>
        <w:tblStyle w:val="TableGrid1"/>
        <w:tblW w:w="8864" w:type="dxa"/>
        <w:tblInd w:w="203" w:type="dxa"/>
        <w:tblCellMar>
          <w:top w:w="57" w:type="dxa"/>
          <w:left w:w="115" w:type="dxa"/>
          <w:right w:w="115" w:type="dxa"/>
        </w:tblCellMar>
        <w:tblLook w:val="04A0" w:firstRow="1" w:lastRow="0" w:firstColumn="1" w:lastColumn="0" w:noHBand="0" w:noVBand="1"/>
      </w:tblPr>
      <w:tblGrid>
        <w:gridCol w:w="1323"/>
        <w:gridCol w:w="1314"/>
        <w:gridCol w:w="1317"/>
        <w:gridCol w:w="1318"/>
        <w:gridCol w:w="1317"/>
        <w:gridCol w:w="1316"/>
        <w:gridCol w:w="959"/>
      </w:tblGrid>
      <w:tr w:rsidR="00FF1E38" w:rsidRPr="00FF1E38" w14:paraId="33F64FC3" w14:textId="77777777" w:rsidTr="00DE0C9A">
        <w:trPr>
          <w:trHeight w:val="406"/>
        </w:trPr>
        <w:tc>
          <w:tcPr>
            <w:tcW w:w="1325" w:type="dxa"/>
            <w:vMerge w:val="restart"/>
            <w:tcBorders>
              <w:top w:val="single" w:sz="4" w:space="0" w:color="000000"/>
              <w:left w:val="single" w:sz="4" w:space="0" w:color="000000"/>
              <w:bottom w:val="single" w:sz="4" w:space="0" w:color="000000"/>
              <w:right w:val="single" w:sz="4" w:space="0" w:color="000000"/>
            </w:tcBorders>
            <w:shd w:val="clear" w:color="auto" w:fill="FFC000"/>
            <w:vAlign w:val="center"/>
          </w:tcPr>
          <w:p w14:paraId="6643FE76" w14:textId="77777777" w:rsidR="00FF1E38" w:rsidRPr="00FF1E38" w:rsidRDefault="00FF1E38" w:rsidP="00FF1E38">
            <w:pPr>
              <w:spacing w:after="0" w:line="240" w:lineRule="auto"/>
              <w:ind w:right="0"/>
              <w:jc w:val="center"/>
              <w:rPr>
                <w:rFonts w:ascii="Cambria" w:eastAsia="Cambria" w:hAnsi="Cambria" w:cs="Cambria"/>
                <w:sz w:val="20"/>
                <w:szCs w:val="20"/>
              </w:rPr>
            </w:pPr>
            <w:r w:rsidRPr="00FF1E38">
              <w:rPr>
                <w:rFonts w:ascii="Cambria" w:eastAsia="Cambria" w:hAnsi="Cambria" w:cs="Cambria"/>
                <w:b/>
                <w:sz w:val="20"/>
                <w:szCs w:val="20"/>
              </w:rPr>
              <w:t xml:space="preserve">Broj potpuno uništenih stanova </w:t>
            </w:r>
          </w:p>
        </w:tc>
        <w:tc>
          <w:tcPr>
            <w:tcW w:w="132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985E376" w14:textId="77777777" w:rsidR="00FF1E38" w:rsidRPr="00FF1E38" w:rsidRDefault="00FF1E38" w:rsidP="00FF1E38">
            <w:pPr>
              <w:spacing w:after="0" w:line="240" w:lineRule="auto"/>
              <w:ind w:left="5" w:right="0" w:firstLine="0"/>
              <w:jc w:val="center"/>
              <w:rPr>
                <w:rFonts w:ascii="Cambria" w:eastAsia="Cambria" w:hAnsi="Cambria" w:cs="Cambria"/>
                <w:sz w:val="20"/>
                <w:szCs w:val="20"/>
              </w:rPr>
            </w:pPr>
            <w:r w:rsidRPr="00FF1E38">
              <w:rPr>
                <w:rFonts w:ascii="Cambria" w:eastAsia="Cambria" w:hAnsi="Cambria" w:cs="Cambria"/>
                <w:b/>
                <w:sz w:val="20"/>
                <w:szCs w:val="20"/>
              </w:rPr>
              <w:t xml:space="preserve">A </w:t>
            </w:r>
          </w:p>
        </w:tc>
        <w:tc>
          <w:tcPr>
            <w:tcW w:w="132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074039B" w14:textId="77777777" w:rsidR="00FF1E38" w:rsidRPr="00FF1E38" w:rsidRDefault="00FF1E38" w:rsidP="00FF1E38">
            <w:pPr>
              <w:spacing w:after="0" w:line="240" w:lineRule="auto"/>
              <w:ind w:left="2" w:right="0" w:firstLine="0"/>
              <w:jc w:val="center"/>
              <w:rPr>
                <w:rFonts w:ascii="Cambria" w:eastAsia="Cambria" w:hAnsi="Cambria" w:cs="Cambria"/>
                <w:sz w:val="20"/>
                <w:szCs w:val="20"/>
              </w:rPr>
            </w:pPr>
            <w:r w:rsidRPr="00FF1E38">
              <w:rPr>
                <w:rFonts w:ascii="Cambria" w:eastAsia="Cambria" w:hAnsi="Cambria" w:cs="Cambria"/>
                <w:b/>
                <w:sz w:val="20"/>
                <w:szCs w:val="20"/>
              </w:rPr>
              <w:t xml:space="preserve">B1 </w:t>
            </w:r>
          </w:p>
        </w:tc>
        <w:tc>
          <w:tcPr>
            <w:tcW w:w="132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DBB0DB3" w14:textId="77777777" w:rsidR="00FF1E38" w:rsidRPr="00FF1E38" w:rsidRDefault="00FF1E38" w:rsidP="00FF1E38">
            <w:pPr>
              <w:spacing w:after="0" w:line="240" w:lineRule="auto"/>
              <w:ind w:left="1" w:right="0" w:firstLine="0"/>
              <w:jc w:val="center"/>
              <w:rPr>
                <w:rFonts w:ascii="Cambria" w:eastAsia="Cambria" w:hAnsi="Cambria" w:cs="Cambria"/>
                <w:sz w:val="20"/>
                <w:szCs w:val="20"/>
              </w:rPr>
            </w:pPr>
            <w:r w:rsidRPr="00FF1E38">
              <w:rPr>
                <w:rFonts w:ascii="Cambria" w:eastAsia="Cambria" w:hAnsi="Cambria" w:cs="Cambria"/>
                <w:b/>
                <w:sz w:val="20"/>
                <w:szCs w:val="20"/>
              </w:rPr>
              <w:t xml:space="preserve">B2 </w:t>
            </w:r>
          </w:p>
        </w:tc>
        <w:tc>
          <w:tcPr>
            <w:tcW w:w="132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C09754E" w14:textId="77777777" w:rsidR="00FF1E38" w:rsidRPr="00FF1E38" w:rsidRDefault="00FF1E38" w:rsidP="00FF1E38">
            <w:pPr>
              <w:spacing w:after="0" w:line="240" w:lineRule="auto"/>
              <w:ind w:left="0" w:right="3" w:firstLine="0"/>
              <w:jc w:val="center"/>
              <w:rPr>
                <w:rFonts w:ascii="Cambria" w:eastAsia="Cambria" w:hAnsi="Cambria" w:cs="Cambria"/>
                <w:sz w:val="20"/>
                <w:szCs w:val="20"/>
              </w:rPr>
            </w:pPr>
            <w:r w:rsidRPr="00FF1E38">
              <w:rPr>
                <w:rFonts w:ascii="Cambria" w:eastAsia="Cambria" w:hAnsi="Cambria" w:cs="Cambria"/>
                <w:b/>
                <w:sz w:val="20"/>
                <w:szCs w:val="20"/>
              </w:rPr>
              <w:t xml:space="preserve">C1 </w:t>
            </w:r>
          </w:p>
        </w:tc>
        <w:tc>
          <w:tcPr>
            <w:tcW w:w="132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1E5F84B" w14:textId="77777777" w:rsidR="00FF1E38" w:rsidRPr="00FF1E38" w:rsidRDefault="00FF1E38" w:rsidP="00FF1E38">
            <w:pPr>
              <w:spacing w:after="0" w:line="240" w:lineRule="auto"/>
              <w:ind w:left="0" w:right="4" w:firstLine="0"/>
              <w:jc w:val="center"/>
              <w:rPr>
                <w:rFonts w:ascii="Cambria" w:eastAsia="Cambria" w:hAnsi="Cambria" w:cs="Cambria"/>
                <w:sz w:val="20"/>
                <w:szCs w:val="20"/>
              </w:rPr>
            </w:pPr>
            <w:r w:rsidRPr="00FF1E38">
              <w:rPr>
                <w:rFonts w:ascii="Cambria" w:eastAsia="Cambria" w:hAnsi="Cambria" w:cs="Cambria"/>
                <w:b/>
                <w:sz w:val="20"/>
                <w:szCs w:val="20"/>
              </w:rPr>
              <w:t xml:space="preserve">C2 </w:t>
            </w:r>
          </w:p>
        </w:tc>
        <w:tc>
          <w:tcPr>
            <w:tcW w:w="903"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E732F9C" w14:textId="77777777" w:rsidR="00FF1E38" w:rsidRPr="00FF1E38" w:rsidRDefault="00FF1E38" w:rsidP="00FF1E38">
            <w:pPr>
              <w:spacing w:after="0" w:line="240" w:lineRule="auto"/>
              <w:ind w:left="1" w:right="0" w:firstLine="0"/>
              <w:jc w:val="center"/>
              <w:rPr>
                <w:rFonts w:ascii="Cambria" w:eastAsia="Cambria" w:hAnsi="Cambria" w:cs="Cambria"/>
                <w:sz w:val="20"/>
                <w:szCs w:val="20"/>
              </w:rPr>
            </w:pPr>
            <w:r w:rsidRPr="00FF1E38">
              <w:rPr>
                <w:rFonts w:ascii="Cambria" w:eastAsia="Cambria" w:hAnsi="Cambria" w:cs="Cambria"/>
                <w:b/>
                <w:sz w:val="20"/>
                <w:szCs w:val="20"/>
              </w:rPr>
              <w:t xml:space="preserve">Ukupno </w:t>
            </w:r>
          </w:p>
        </w:tc>
      </w:tr>
      <w:tr w:rsidR="00FF1E38" w:rsidRPr="00FF1E38" w14:paraId="17C5F9E6" w14:textId="77777777" w:rsidTr="00DE0C9A">
        <w:trPr>
          <w:trHeight w:val="407"/>
        </w:trPr>
        <w:tc>
          <w:tcPr>
            <w:tcW w:w="0" w:type="auto"/>
            <w:vMerge/>
            <w:tcBorders>
              <w:top w:val="nil"/>
              <w:left w:val="single" w:sz="4" w:space="0" w:color="000000"/>
              <w:bottom w:val="single" w:sz="4" w:space="0" w:color="000000"/>
              <w:right w:val="single" w:sz="4" w:space="0" w:color="000000"/>
            </w:tcBorders>
          </w:tcPr>
          <w:p w14:paraId="0B5EA863" w14:textId="77777777" w:rsidR="00FF1E38" w:rsidRPr="00FF1E38" w:rsidRDefault="00FF1E38" w:rsidP="00FF1E38">
            <w:pPr>
              <w:spacing w:after="0" w:line="240" w:lineRule="auto"/>
              <w:ind w:left="0" w:right="0" w:firstLine="0"/>
              <w:jc w:val="left"/>
              <w:rPr>
                <w:rFonts w:ascii="Cambria" w:eastAsia="Cambria" w:hAnsi="Cambria" w:cs="Cambria"/>
                <w:sz w:val="20"/>
                <w:szCs w:val="20"/>
              </w:rPr>
            </w:pPr>
          </w:p>
        </w:tc>
        <w:tc>
          <w:tcPr>
            <w:tcW w:w="1326" w:type="dxa"/>
            <w:tcBorders>
              <w:top w:val="single" w:sz="4" w:space="0" w:color="000000"/>
              <w:left w:val="single" w:sz="4" w:space="0" w:color="000000"/>
              <w:bottom w:val="single" w:sz="4" w:space="0" w:color="000000"/>
              <w:right w:val="single" w:sz="4" w:space="0" w:color="000000"/>
            </w:tcBorders>
            <w:vAlign w:val="center"/>
          </w:tcPr>
          <w:p w14:paraId="496E8873" w14:textId="77777777" w:rsidR="00FF1E38" w:rsidRPr="00FF1E38" w:rsidRDefault="00FF1E38" w:rsidP="00FF1E38">
            <w:pPr>
              <w:spacing w:after="0" w:line="240" w:lineRule="auto"/>
              <w:ind w:left="1" w:right="0" w:firstLine="0"/>
              <w:jc w:val="center"/>
              <w:rPr>
                <w:rFonts w:ascii="Cambria" w:eastAsia="Cambria" w:hAnsi="Cambria" w:cs="Cambria"/>
                <w:sz w:val="20"/>
                <w:szCs w:val="20"/>
              </w:rPr>
            </w:pPr>
            <w:r w:rsidRPr="00FF1E38">
              <w:rPr>
                <w:rFonts w:ascii="Cambria" w:eastAsia="Cambria" w:hAnsi="Cambria" w:cs="Cambria"/>
                <w:sz w:val="20"/>
                <w:szCs w:val="20"/>
              </w:rPr>
              <w:t xml:space="preserve">6715 </w:t>
            </w:r>
          </w:p>
        </w:tc>
        <w:tc>
          <w:tcPr>
            <w:tcW w:w="1327" w:type="dxa"/>
            <w:tcBorders>
              <w:top w:val="single" w:sz="4" w:space="0" w:color="000000"/>
              <w:left w:val="single" w:sz="4" w:space="0" w:color="000000"/>
              <w:bottom w:val="single" w:sz="4" w:space="0" w:color="000000"/>
              <w:right w:val="single" w:sz="4" w:space="0" w:color="000000"/>
            </w:tcBorders>
            <w:vAlign w:val="center"/>
          </w:tcPr>
          <w:p w14:paraId="30757D3E" w14:textId="77777777" w:rsidR="00FF1E38" w:rsidRPr="00FF1E38" w:rsidRDefault="00FF1E38" w:rsidP="00FF1E38">
            <w:pPr>
              <w:spacing w:after="0" w:line="240" w:lineRule="auto"/>
              <w:ind w:left="0" w:right="2" w:firstLine="0"/>
              <w:jc w:val="center"/>
              <w:rPr>
                <w:rFonts w:ascii="Cambria" w:eastAsia="Cambria" w:hAnsi="Cambria" w:cs="Cambria"/>
                <w:sz w:val="20"/>
                <w:szCs w:val="20"/>
              </w:rPr>
            </w:pPr>
            <w:r w:rsidRPr="00FF1E38">
              <w:rPr>
                <w:rFonts w:ascii="Cambria" w:eastAsia="Cambria" w:hAnsi="Cambria" w:cs="Cambria"/>
                <w:sz w:val="20"/>
                <w:szCs w:val="20"/>
              </w:rPr>
              <w:t xml:space="preserve">7468 </w:t>
            </w:r>
          </w:p>
        </w:tc>
        <w:tc>
          <w:tcPr>
            <w:tcW w:w="1328" w:type="dxa"/>
            <w:tcBorders>
              <w:top w:val="single" w:sz="4" w:space="0" w:color="000000"/>
              <w:left w:val="single" w:sz="4" w:space="0" w:color="000000"/>
              <w:bottom w:val="single" w:sz="4" w:space="0" w:color="000000"/>
              <w:right w:val="single" w:sz="4" w:space="0" w:color="000000"/>
            </w:tcBorders>
            <w:vAlign w:val="center"/>
          </w:tcPr>
          <w:p w14:paraId="265288B8" w14:textId="77777777" w:rsidR="00FF1E38" w:rsidRPr="00FF1E38" w:rsidRDefault="00FF1E38" w:rsidP="00FF1E38">
            <w:pPr>
              <w:spacing w:after="0" w:line="240" w:lineRule="auto"/>
              <w:ind w:left="0" w:right="0" w:firstLine="0"/>
              <w:jc w:val="center"/>
              <w:rPr>
                <w:rFonts w:ascii="Cambria" w:eastAsia="Cambria" w:hAnsi="Cambria" w:cs="Cambria"/>
                <w:sz w:val="20"/>
                <w:szCs w:val="20"/>
              </w:rPr>
            </w:pPr>
            <w:r w:rsidRPr="00FF1E38">
              <w:rPr>
                <w:rFonts w:ascii="Cambria" w:eastAsia="Cambria" w:hAnsi="Cambria" w:cs="Cambria"/>
                <w:sz w:val="20"/>
                <w:szCs w:val="20"/>
              </w:rPr>
              <w:t xml:space="preserve">28485 </w:t>
            </w:r>
          </w:p>
        </w:tc>
        <w:tc>
          <w:tcPr>
            <w:tcW w:w="1327" w:type="dxa"/>
            <w:tcBorders>
              <w:top w:val="single" w:sz="4" w:space="0" w:color="000000"/>
              <w:left w:val="single" w:sz="4" w:space="0" w:color="000000"/>
              <w:bottom w:val="single" w:sz="4" w:space="0" w:color="000000"/>
              <w:right w:val="single" w:sz="4" w:space="0" w:color="000000"/>
            </w:tcBorders>
            <w:vAlign w:val="center"/>
          </w:tcPr>
          <w:p w14:paraId="4753C27A" w14:textId="77777777" w:rsidR="00FF1E38" w:rsidRPr="00FF1E38" w:rsidRDefault="00FF1E38" w:rsidP="00FF1E38">
            <w:pPr>
              <w:spacing w:after="0" w:line="240" w:lineRule="auto"/>
              <w:ind w:left="0" w:right="0" w:firstLine="0"/>
              <w:jc w:val="center"/>
              <w:rPr>
                <w:rFonts w:ascii="Cambria" w:eastAsia="Cambria" w:hAnsi="Cambria" w:cs="Cambria"/>
                <w:sz w:val="20"/>
                <w:szCs w:val="20"/>
              </w:rPr>
            </w:pPr>
            <w:r w:rsidRPr="00FF1E38">
              <w:rPr>
                <w:rFonts w:ascii="Cambria" w:eastAsia="Cambria" w:hAnsi="Cambria" w:cs="Cambria"/>
                <w:sz w:val="20"/>
                <w:szCs w:val="20"/>
              </w:rPr>
              <w:t xml:space="preserve">20421 </w:t>
            </w:r>
          </w:p>
        </w:tc>
        <w:tc>
          <w:tcPr>
            <w:tcW w:w="1328" w:type="dxa"/>
            <w:tcBorders>
              <w:top w:val="single" w:sz="4" w:space="0" w:color="000000"/>
              <w:left w:val="single" w:sz="4" w:space="0" w:color="000000"/>
              <w:bottom w:val="single" w:sz="4" w:space="0" w:color="000000"/>
              <w:right w:val="single" w:sz="4" w:space="0" w:color="000000"/>
            </w:tcBorders>
            <w:vAlign w:val="center"/>
          </w:tcPr>
          <w:p w14:paraId="73588EAB" w14:textId="77777777" w:rsidR="00FF1E38" w:rsidRPr="00FF1E38" w:rsidRDefault="00FF1E38" w:rsidP="00FF1E38">
            <w:pPr>
              <w:spacing w:after="0" w:line="240" w:lineRule="auto"/>
              <w:ind w:left="0" w:right="3" w:firstLine="0"/>
              <w:jc w:val="center"/>
              <w:rPr>
                <w:rFonts w:ascii="Cambria" w:eastAsia="Cambria" w:hAnsi="Cambria" w:cs="Cambria"/>
                <w:sz w:val="20"/>
                <w:szCs w:val="20"/>
              </w:rPr>
            </w:pPr>
            <w:r w:rsidRPr="00FF1E38">
              <w:rPr>
                <w:rFonts w:ascii="Cambria" w:eastAsia="Cambria" w:hAnsi="Cambria" w:cs="Cambria"/>
                <w:sz w:val="20"/>
                <w:szCs w:val="20"/>
              </w:rPr>
              <w:t xml:space="preserve">1654 </w:t>
            </w:r>
          </w:p>
        </w:tc>
        <w:tc>
          <w:tcPr>
            <w:tcW w:w="903" w:type="dxa"/>
            <w:tcBorders>
              <w:top w:val="single" w:sz="4" w:space="0" w:color="000000"/>
              <w:left w:val="single" w:sz="4" w:space="0" w:color="000000"/>
              <w:bottom w:val="single" w:sz="4" w:space="0" w:color="000000"/>
              <w:right w:val="single" w:sz="4" w:space="0" w:color="000000"/>
            </w:tcBorders>
            <w:vAlign w:val="center"/>
          </w:tcPr>
          <w:p w14:paraId="276639D9" w14:textId="77777777" w:rsidR="00FF1E38" w:rsidRPr="00FF1E38" w:rsidRDefault="00FF1E38" w:rsidP="00FF1E38">
            <w:pPr>
              <w:spacing w:after="0" w:line="240" w:lineRule="auto"/>
              <w:ind w:left="2" w:right="0" w:firstLine="0"/>
              <w:jc w:val="center"/>
              <w:rPr>
                <w:rFonts w:ascii="Cambria" w:eastAsia="Cambria" w:hAnsi="Cambria" w:cs="Cambria"/>
                <w:sz w:val="20"/>
                <w:szCs w:val="20"/>
              </w:rPr>
            </w:pPr>
            <w:r w:rsidRPr="00FF1E38">
              <w:rPr>
                <w:rFonts w:ascii="Cambria" w:eastAsia="Cambria" w:hAnsi="Cambria" w:cs="Cambria"/>
                <w:sz w:val="20"/>
                <w:szCs w:val="20"/>
              </w:rPr>
              <w:t xml:space="preserve">63743 </w:t>
            </w:r>
          </w:p>
        </w:tc>
      </w:tr>
      <w:tr w:rsidR="00FF1E38" w:rsidRPr="00FF1E38" w14:paraId="702D7924" w14:textId="77777777" w:rsidTr="00DE0C9A">
        <w:trPr>
          <w:trHeight w:val="407"/>
        </w:trPr>
        <w:tc>
          <w:tcPr>
            <w:tcW w:w="1325" w:type="dxa"/>
            <w:vMerge w:val="restart"/>
            <w:tcBorders>
              <w:top w:val="single" w:sz="4" w:space="0" w:color="000000"/>
              <w:left w:val="single" w:sz="4" w:space="0" w:color="000000"/>
              <w:bottom w:val="single" w:sz="4" w:space="0" w:color="000000"/>
              <w:right w:val="single" w:sz="4" w:space="0" w:color="000000"/>
            </w:tcBorders>
            <w:shd w:val="clear" w:color="auto" w:fill="FFC000"/>
          </w:tcPr>
          <w:p w14:paraId="2110ABA6" w14:textId="77777777" w:rsidR="00FF1E38" w:rsidRPr="00FF1E38" w:rsidRDefault="00FF1E38" w:rsidP="00FF1E38">
            <w:pPr>
              <w:spacing w:after="0" w:line="240" w:lineRule="auto"/>
              <w:ind w:left="0" w:right="0" w:firstLine="36"/>
              <w:jc w:val="center"/>
              <w:rPr>
                <w:rFonts w:ascii="Cambria" w:eastAsia="Cambria" w:hAnsi="Cambria" w:cs="Cambria"/>
                <w:sz w:val="20"/>
                <w:szCs w:val="20"/>
              </w:rPr>
            </w:pPr>
            <w:r w:rsidRPr="00FF1E38">
              <w:rPr>
                <w:rFonts w:ascii="Cambria" w:eastAsia="Cambria" w:hAnsi="Cambria" w:cs="Cambria"/>
                <w:b/>
                <w:sz w:val="20"/>
                <w:szCs w:val="20"/>
              </w:rPr>
              <w:t>Broj djelomično oštećenih stanova</w:t>
            </w:r>
            <w:r w:rsidRPr="00FF1E38">
              <w:rPr>
                <w:rFonts w:ascii="Cambria" w:eastAsia="Cambria" w:hAnsi="Cambria" w:cs="Cambria"/>
                <w:sz w:val="20"/>
                <w:szCs w:val="20"/>
              </w:rPr>
              <w:t xml:space="preserve"> </w:t>
            </w:r>
          </w:p>
        </w:tc>
        <w:tc>
          <w:tcPr>
            <w:tcW w:w="132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795B089" w14:textId="77777777" w:rsidR="00FF1E38" w:rsidRPr="00FF1E38" w:rsidRDefault="00FF1E38" w:rsidP="00FF1E38">
            <w:pPr>
              <w:spacing w:after="0" w:line="240" w:lineRule="auto"/>
              <w:ind w:left="5" w:right="0" w:firstLine="0"/>
              <w:jc w:val="center"/>
              <w:rPr>
                <w:rFonts w:ascii="Cambria" w:eastAsia="Cambria" w:hAnsi="Cambria" w:cs="Cambria"/>
                <w:sz w:val="20"/>
                <w:szCs w:val="20"/>
              </w:rPr>
            </w:pPr>
            <w:r w:rsidRPr="00FF1E38">
              <w:rPr>
                <w:rFonts w:ascii="Cambria" w:eastAsia="Cambria" w:hAnsi="Cambria" w:cs="Cambria"/>
                <w:b/>
                <w:sz w:val="20"/>
                <w:szCs w:val="20"/>
              </w:rPr>
              <w:t xml:space="preserve">A </w:t>
            </w:r>
          </w:p>
        </w:tc>
        <w:tc>
          <w:tcPr>
            <w:tcW w:w="132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4A23835" w14:textId="77777777" w:rsidR="00FF1E38" w:rsidRPr="00FF1E38" w:rsidRDefault="00FF1E38" w:rsidP="00FF1E38">
            <w:pPr>
              <w:spacing w:after="0" w:line="240" w:lineRule="auto"/>
              <w:ind w:left="2" w:right="0" w:firstLine="0"/>
              <w:jc w:val="center"/>
              <w:rPr>
                <w:rFonts w:ascii="Cambria" w:eastAsia="Cambria" w:hAnsi="Cambria" w:cs="Cambria"/>
                <w:sz w:val="20"/>
                <w:szCs w:val="20"/>
              </w:rPr>
            </w:pPr>
            <w:r w:rsidRPr="00FF1E38">
              <w:rPr>
                <w:rFonts w:ascii="Cambria" w:eastAsia="Cambria" w:hAnsi="Cambria" w:cs="Cambria"/>
                <w:b/>
                <w:sz w:val="20"/>
                <w:szCs w:val="20"/>
              </w:rPr>
              <w:t xml:space="preserve">B1 </w:t>
            </w:r>
          </w:p>
        </w:tc>
        <w:tc>
          <w:tcPr>
            <w:tcW w:w="132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E532B30" w14:textId="77777777" w:rsidR="00FF1E38" w:rsidRPr="00FF1E38" w:rsidRDefault="00FF1E38" w:rsidP="00FF1E38">
            <w:pPr>
              <w:spacing w:after="0" w:line="240" w:lineRule="auto"/>
              <w:ind w:left="1" w:right="0" w:firstLine="0"/>
              <w:jc w:val="center"/>
              <w:rPr>
                <w:rFonts w:ascii="Cambria" w:eastAsia="Cambria" w:hAnsi="Cambria" w:cs="Cambria"/>
                <w:sz w:val="20"/>
                <w:szCs w:val="20"/>
              </w:rPr>
            </w:pPr>
            <w:r w:rsidRPr="00FF1E38">
              <w:rPr>
                <w:rFonts w:ascii="Cambria" w:eastAsia="Cambria" w:hAnsi="Cambria" w:cs="Cambria"/>
                <w:b/>
                <w:sz w:val="20"/>
                <w:szCs w:val="20"/>
              </w:rPr>
              <w:t xml:space="preserve">B2 </w:t>
            </w:r>
          </w:p>
        </w:tc>
        <w:tc>
          <w:tcPr>
            <w:tcW w:w="132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7AC936D" w14:textId="77777777" w:rsidR="00FF1E38" w:rsidRPr="00FF1E38" w:rsidRDefault="00FF1E38" w:rsidP="00FF1E38">
            <w:pPr>
              <w:spacing w:after="0" w:line="240" w:lineRule="auto"/>
              <w:ind w:left="0" w:right="3" w:firstLine="0"/>
              <w:jc w:val="center"/>
              <w:rPr>
                <w:rFonts w:ascii="Cambria" w:eastAsia="Cambria" w:hAnsi="Cambria" w:cs="Cambria"/>
                <w:sz w:val="20"/>
                <w:szCs w:val="20"/>
              </w:rPr>
            </w:pPr>
            <w:r w:rsidRPr="00FF1E38">
              <w:rPr>
                <w:rFonts w:ascii="Cambria" w:eastAsia="Cambria" w:hAnsi="Cambria" w:cs="Cambria"/>
                <w:b/>
                <w:sz w:val="20"/>
                <w:szCs w:val="20"/>
              </w:rPr>
              <w:t xml:space="preserve">C1 </w:t>
            </w:r>
          </w:p>
        </w:tc>
        <w:tc>
          <w:tcPr>
            <w:tcW w:w="132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2A07EE9" w14:textId="77777777" w:rsidR="00FF1E38" w:rsidRPr="00FF1E38" w:rsidRDefault="00FF1E38" w:rsidP="00FF1E38">
            <w:pPr>
              <w:spacing w:after="0" w:line="240" w:lineRule="auto"/>
              <w:ind w:left="0" w:right="4" w:firstLine="0"/>
              <w:jc w:val="center"/>
              <w:rPr>
                <w:rFonts w:ascii="Cambria" w:eastAsia="Cambria" w:hAnsi="Cambria" w:cs="Cambria"/>
                <w:sz w:val="20"/>
                <w:szCs w:val="20"/>
              </w:rPr>
            </w:pPr>
            <w:r w:rsidRPr="00FF1E38">
              <w:rPr>
                <w:rFonts w:ascii="Cambria" w:eastAsia="Cambria" w:hAnsi="Cambria" w:cs="Cambria"/>
                <w:b/>
                <w:sz w:val="20"/>
                <w:szCs w:val="20"/>
              </w:rPr>
              <w:t xml:space="preserve">C2 </w:t>
            </w:r>
          </w:p>
        </w:tc>
        <w:tc>
          <w:tcPr>
            <w:tcW w:w="903"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23180F7" w14:textId="77777777" w:rsidR="00FF1E38" w:rsidRPr="00FF1E38" w:rsidRDefault="00FF1E38" w:rsidP="00FF1E38">
            <w:pPr>
              <w:spacing w:after="0" w:line="240" w:lineRule="auto"/>
              <w:ind w:left="1" w:right="0" w:firstLine="0"/>
              <w:jc w:val="center"/>
              <w:rPr>
                <w:rFonts w:ascii="Cambria" w:eastAsia="Cambria" w:hAnsi="Cambria" w:cs="Cambria"/>
                <w:sz w:val="20"/>
                <w:szCs w:val="20"/>
              </w:rPr>
            </w:pPr>
            <w:r w:rsidRPr="00FF1E38">
              <w:rPr>
                <w:rFonts w:ascii="Cambria" w:eastAsia="Cambria" w:hAnsi="Cambria" w:cs="Cambria"/>
                <w:b/>
                <w:sz w:val="20"/>
                <w:szCs w:val="20"/>
              </w:rPr>
              <w:t xml:space="preserve">Ukupno </w:t>
            </w:r>
          </w:p>
        </w:tc>
      </w:tr>
      <w:tr w:rsidR="00FF1E38" w:rsidRPr="00FF1E38" w14:paraId="42F68FEC" w14:textId="77777777" w:rsidTr="00DE0C9A">
        <w:trPr>
          <w:trHeight w:val="406"/>
        </w:trPr>
        <w:tc>
          <w:tcPr>
            <w:tcW w:w="0" w:type="auto"/>
            <w:vMerge/>
            <w:tcBorders>
              <w:top w:val="nil"/>
              <w:left w:val="single" w:sz="4" w:space="0" w:color="000000"/>
              <w:bottom w:val="single" w:sz="4" w:space="0" w:color="000000"/>
              <w:right w:val="single" w:sz="4" w:space="0" w:color="000000"/>
            </w:tcBorders>
          </w:tcPr>
          <w:p w14:paraId="1B8D4C32" w14:textId="77777777" w:rsidR="00FF1E38" w:rsidRPr="00FF1E38" w:rsidRDefault="00FF1E38" w:rsidP="00FF1E38">
            <w:pPr>
              <w:spacing w:after="0" w:line="240" w:lineRule="auto"/>
              <w:ind w:left="0" w:right="0" w:firstLine="0"/>
              <w:jc w:val="left"/>
              <w:rPr>
                <w:rFonts w:ascii="Cambria" w:eastAsia="Cambria" w:hAnsi="Cambria" w:cs="Cambria"/>
                <w:sz w:val="20"/>
                <w:szCs w:val="20"/>
              </w:rPr>
            </w:pPr>
          </w:p>
        </w:tc>
        <w:tc>
          <w:tcPr>
            <w:tcW w:w="1326" w:type="dxa"/>
            <w:tcBorders>
              <w:top w:val="single" w:sz="4" w:space="0" w:color="000000"/>
              <w:left w:val="single" w:sz="4" w:space="0" w:color="000000"/>
              <w:bottom w:val="single" w:sz="4" w:space="0" w:color="000000"/>
              <w:right w:val="single" w:sz="4" w:space="0" w:color="000000"/>
            </w:tcBorders>
            <w:vAlign w:val="center"/>
          </w:tcPr>
          <w:p w14:paraId="16B0E638" w14:textId="77777777" w:rsidR="00FF1E38" w:rsidRPr="00FF1E38" w:rsidRDefault="00FF1E38" w:rsidP="00FF1E38">
            <w:pPr>
              <w:spacing w:after="0" w:line="240" w:lineRule="auto"/>
              <w:ind w:left="1" w:right="0" w:firstLine="0"/>
              <w:jc w:val="center"/>
              <w:rPr>
                <w:rFonts w:ascii="Cambria" w:eastAsia="Cambria" w:hAnsi="Cambria" w:cs="Cambria"/>
                <w:sz w:val="20"/>
                <w:szCs w:val="20"/>
              </w:rPr>
            </w:pPr>
            <w:r w:rsidRPr="00FF1E38">
              <w:rPr>
                <w:rFonts w:ascii="Cambria" w:eastAsia="Cambria" w:hAnsi="Cambria" w:cs="Cambria"/>
                <w:sz w:val="20"/>
                <w:szCs w:val="20"/>
              </w:rPr>
              <w:t xml:space="preserve">1343 </w:t>
            </w:r>
          </w:p>
        </w:tc>
        <w:tc>
          <w:tcPr>
            <w:tcW w:w="1327" w:type="dxa"/>
            <w:tcBorders>
              <w:top w:val="single" w:sz="4" w:space="0" w:color="000000"/>
              <w:left w:val="single" w:sz="4" w:space="0" w:color="000000"/>
              <w:bottom w:val="single" w:sz="4" w:space="0" w:color="000000"/>
              <w:right w:val="single" w:sz="4" w:space="0" w:color="000000"/>
            </w:tcBorders>
            <w:vAlign w:val="center"/>
          </w:tcPr>
          <w:p w14:paraId="1B7CB3D5" w14:textId="77777777" w:rsidR="00FF1E38" w:rsidRPr="00FF1E38" w:rsidRDefault="00FF1E38" w:rsidP="00FF1E38">
            <w:pPr>
              <w:spacing w:after="0" w:line="240" w:lineRule="auto"/>
              <w:ind w:left="0" w:right="0" w:firstLine="0"/>
              <w:jc w:val="center"/>
              <w:rPr>
                <w:rFonts w:ascii="Cambria" w:eastAsia="Cambria" w:hAnsi="Cambria" w:cs="Cambria"/>
                <w:sz w:val="20"/>
                <w:szCs w:val="20"/>
              </w:rPr>
            </w:pPr>
            <w:r w:rsidRPr="00FF1E38">
              <w:rPr>
                <w:rFonts w:ascii="Cambria" w:eastAsia="Cambria" w:hAnsi="Cambria" w:cs="Cambria"/>
                <w:sz w:val="20"/>
                <w:szCs w:val="20"/>
              </w:rPr>
              <w:t xml:space="preserve">12447 </w:t>
            </w:r>
          </w:p>
        </w:tc>
        <w:tc>
          <w:tcPr>
            <w:tcW w:w="1328" w:type="dxa"/>
            <w:tcBorders>
              <w:top w:val="single" w:sz="4" w:space="0" w:color="000000"/>
              <w:left w:val="single" w:sz="4" w:space="0" w:color="000000"/>
              <w:bottom w:val="single" w:sz="4" w:space="0" w:color="000000"/>
              <w:right w:val="single" w:sz="4" w:space="0" w:color="000000"/>
            </w:tcBorders>
            <w:vAlign w:val="center"/>
          </w:tcPr>
          <w:p w14:paraId="1A0BC2C8" w14:textId="77777777" w:rsidR="00FF1E38" w:rsidRPr="00FF1E38" w:rsidRDefault="00FF1E38" w:rsidP="00FF1E38">
            <w:pPr>
              <w:spacing w:after="0" w:line="240" w:lineRule="auto"/>
              <w:ind w:left="0" w:right="0" w:firstLine="0"/>
              <w:jc w:val="center"/>
              <w:rPr>
                <w:rFonts w:ascii="Cambria" w:eastAsia="Cambria" w:hAnsi="Cambria" w:cs="Cambria"/>
                <w:sz w:val="20"/>
                <w:szCs w:val="20"/>
              </w:rPr>
            </w:pPr>
            <w:r w:rsidRPr="00FF1E38">
              <w:rPr>
                <w:rFonts w:ascii="Cambria" w:eastAsia="Cambria" w:hAnsi="Cambria" w:cs="Cambria"/>
                <w:sz w:val="20"/>
                <w:szCs w:val="20"/>
              </w:rPr>
              <w:t xml:space="preserve">18740 </w:t>
            </w:r>
          </w:p>
        </w:tc>
        <w:tc>
          <w:tcPr>
            <w:tcW w:w="1327" w:type="dxa"/>
            <w:tcBorders>
              <w:top w:val="single" w:sz="4" w:space="0" w:color="000000"/>
              <w:left w:val="single" w:sz="4" w:space="0" w:color="000000"/>
              <w:bottom w:val="single" w:sz="4" w:space="0" w:color="000000"/>
              <w:right w:val="single" w:sz="4" w:space="0" w:color="000000"/>
            </w:tcBorders>
            <w:vAlign w:val="center"/>
          </w:tcPr>
          <w:p w14:paraId="503C224F" w14:textId="77777777" w:rsidR="00FF1E38" w:rsidRPr="00FF1E38" w:rsidRDefault="00FF1E38" w:rsidP="00FF1E38">
            <w:pPr>
              <w:spacing w:after="0" w:line="240" w:lineRule="auto"/>
              <w:ind w:left="0" w:right="2" w:firstLine="0"/>
              <w:jc w:val="center"/>
              <w:rPr>
                <w:rFonts w:ascii="Cambria" w:eastAsia="Cambria" w:hAnsi="Cambria" w:cs="Cambria"/>
                <w:sz w:val="20"/>
                <w:szCs w:val="20"/>
              </w:rPr>
            </w:pPr>
            <w:r w:rsidRPr="00FF1E38">
              <w:rPr>
                <w:rFonts w:ascii="Cambria" w:eastAsia="Cambria" w:hAnsi="Cambria" w:cs="Cambria"/>
                <w:sz w:val="20"/>
                <w:szCs w:val="20"/>
              </w:rPr>
              <w:t xml:space="preserve">6807 </w:t>
            </w:r>
          </w:p>
        </w:tc>
        <w:tc>
          <w:tcPr>
            <w:tcW w:w="1328" w:type="dxa"/>
            <w:tcBorders>
              <w:top w:val="single" w:sz="4" w:space="0" w:color="000000"/>
              <w:left w:val="single" w:sz="4" w:space="0" w:color="000000"/>
              <w:bottom w:val="single" w:sz="4" w:space="0" w:color="000000"/>
              <w:right w:val="single" w:sz="4" w:space="0" w:color="000000"/>
            </w:tcBorders>
            <w:vAlign w:val="center"/>
          </w:tcPr>
          <w:p w14:paraId="2DFD1E9F" w14:textId="77777777" w:rsidR="00FF1E38" w:rsidRPr="00FF1E38" w:rsidRDefault="00FF1E38" w:rsidP="00FF1E38">
            <w:pPr>
              <w:spacing w:after="0" w:line="240" w:lineRule="auto"/>
              <w:ind w:left="0" w:right="0" w:firstLine="0"/>
              <w:jc w:val="center"/>
              <w:rPr>
                <w:rFonts w:ascii="Cambria" w:eastAsia="Cambria" w:hAnsi="Cambria" w:cs="Cambria"/>
                <w:sz w:val="20"/>
                <w:szCs w:val="20"/>
              </w:rPr>
            </w:pPr>
            <w:r w:rsidRPr="00FF1E38">
              <w:rPr>
                <w:rFonts w:ascii="Cambria" w:eastAsia="Cambria" w:hAnsi="Cambria" w:cs="Cambria"/>
                <w:sz w:val="20"/>
                <w:szCs w:val="20"/>
              </w:rPr>
              <w:t xml:space="preserve">551 </w:t>
            </w:r>
          </w:p>
        </w:tc>
        <w:tc>
          <w:tcPr>
            <w:tcW w:w="903" w:type="dxa"/>
            <w:tcBorders>
              <w:top w:val="single" w:sz="4" w:space="0" w:color="000000"/>
              <w:left w:val="single" w:sz="4" w:space="0" w:color="000000"/>
              <w:bottom w:val="single" w:sz="4" w:space="0" w:color="000000"/>
              <w:right w:val="single" w:sz="4" w:space="0" w:color="000000"/>
            </w:tcBorders>
            <w:vAlign w:val="center"/>
          </w:tcPr>
          <w:p w14:paraId="628C7F25" w14:textId="77777777" w:rsidR="00FF1E38" w:rsidRPr="00FF1E38" w:rsidRDefault="00FF1E38" w:rsidP="00FF1E38">
            <w:pPr>
              <w:spacing w:after="0" w:line="240" w:lineRule="auto"/>
              <w:ind w:left="2" w:right="0" w:firstLine="0"/>
              <w:jc w:val="center"/>
              <w:rPr>
                <w:rFonts w:ascii="Cambria" w:eastAsia="Cambria" w:hAnsi="Cambria" w:cs="Cambria"/>
                <w:sz w:val="20"/>
                <w:szCs w:val="20"/>
              </w:rPr>
            </w:pPr>
            <w:r w:rsidRPr="00FF1E38">
              <w:rPr>
                <w:rFonts w:ascii="Cambria" w:eastAsia="Cambria" w:hAnsi="Cambria" w:cs="Cambria"/>
                <w:sz w:val="20"/>
                <w:szCs w:val="20"/>
              </w:rPr>
              <w:t xml:space="preserve">39888 </w:t>
            </w:r>
          </w:p>
        </w:tc>
      </w:tr>
    </w:tbl>
    <w:p w14:paraId="07FC36A4" w14:textId="77777777" w:rsidR="00FF1E38" w:rsidRPr="00FF1E38" w:rsidRDefault="00FF1E38" w:rsidP="00FF1E38">
      <w:pPr>
        <w:spacing w:after="218" w:line="259" w:lineRule="auto"/>
        <w:ind w:left="142" w:right="0" w:firstLine="0"/>
        <w:jc w:val="center"/>
        <w:rPr>
          <w:rFonts w:ascii="Times New Roman" w:eastAsia="Cambria" w:hAnsi="Times New Roman" w:cs="Times New Roman"/>
          <w:i/>
          <w:sz w:val="20"/>
          <w:szCs w:val="20"/>
        </w:rPr>
      </w:pPr>
      <w:r w:rsidRPr="00FF1E38">
        <w:rPr>
          <w:rFonts w:ascii="Times New Roman" w:eastAsia="Calibri" w:hAnsi="Times New Roman" w:cs="Times New Roman"/>
          <w:i/>
          <w:sz w:val="20"/>
          <w:szCs w:val="20"/>
        </w:rPr>
        <w:t>Izvor: Aničić, D. i suradnici (2014) „Potresni rizik grada Zagreba - Infrastruktura, stanovništvo, građevine i kulturna dobra,“ Prijedlog projekta - verzija 3.0, Akademija tehničkih znanosti Hrvatske, Građevinski fakultet sveučilišta u Zagrebu, Ured za upravljanje u hitnim situacijama Grada Zagreba</w:t>
      </w:r>
    </w:p>
    <w:p w14:paraId="71C8E640"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Ukupno je 129.075 uništenih ekvivalentnih stanova što bi bilo oko 42% ukupnog broja stanova. Uz prosječnu površinu od 70 m</w:t>
      </w:r>
      <w:r w:rsidRPr="00FF1E38">
        <w:rPr>
          <w:rFonts w:ascii="Times New Roman" w:hAnsi="Times New Roman" w:cs="Times New Roman"/>
          <w:sz w:val="24"/>
          <w:vertAlign w:val="superscript"/>
        </w:rPr>
        <w:t>2</w:t>
      </w:r>
      <w:r w:rsidRPr="00FF1E38">
        <w:rPr>
          <w:rFonts w:ascii="Times New Roman" w:hAnsi="Times New Roman" w:cs="Times New Roman"/>
          <w:sz w:val="24"/>
        </w:rPr>
        <w:t>/stan i cijenu građenja od 1000 €/m</w:t>
      </w:r>
      <w:r w:rsidRPr="00FF1E38">
        <w:rPr>
          <w:rFonts w:ascii="Times New Roman" w:hAnsi="Times New Roman" w:cs="Times New Roman"/>
          <w:sz w:val="24"/>
          <w:vertAlign w:val="superscript"/>
        </w:rPr>
        <w:t>2</w:t>
      </w:r>
      <w:r w:rsidRPr="00FF1E38">
        <w:rPr>
          <w:rFonts w:ascii="Times New Roman" w:hAnsi="Times New Roman" w:cs="Times New Roman"/>
          <w:sz w:val="24"/>
        </w:rPr>
        <w:t xml:space="preserve"> šteta na stambenom fondu je procijenjena na iznos: 9.035.250.000 €</w:t>
      </w:r>
      <w:r w:rsidRPr="00FF1E38">
        <w:rPr>
          <w:rFonts w:ascii="Times New Roman" w:hAnsi="Times New Roman" w:cs="Times New Roman"/>
          <w:sz w:val="24"/>
          <w:vertAlign w:val="superscript"/>
        </w:rPr>
        <w:footnoteReference w:id="34"/>
      </w:r>
      <w:r w:rsidRPr="00FF1E38">
        <w:rPr>
          <w:rFonts w:ascii="Times New Roman" w:hAnsi="Times New Roman" w:cs="Times New Roman"/>
          <w:sz w:val="24"/>
        </w:rPr>
        <w:t xml:space="preserve">.  </w:t>
      </w:r>
    </w:p>
    <w:p w14:paraId="433619B0"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Za procjenu broja smrtno stradalih osoba korištena je metodologija koja uzima u obzir ukupan broj stanova određenog tipa nosivog sustava, udio u ukupnom broju stanova pojedinog tipa nosivog sustava, indeks oštetljivosti za odgovarajući stupanj oštećenja, procijenjeni broj poginulih (smrtno stradalih) osoba po stanu i prosječan broj osoba po stanu (2,58). Procijenjeni broj poginulih osoba prikazuje se s gornjom i donjom graničnom vrijednošću s obzirom da procjena ovisi o više faktora koji se ne mogu procijeniti s dovoljnom vjerojatnošću. U konačnici je kao najvjerojatnija prihvaćena srednja vrijednost za koju je dobiven ukupni broj poginulih 5626. Broj ranjenih i zatrpanih osoba je procijenjen po sličnoj metodologiji, a u konačnici je dobiveno 11539 ranjenih osoba i 10632 zatrpanih.  </w:t>
      </w:r>
    </w:p>
    <w:p w14:paraId="0D845945"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Općenito se može zaključiti da tek nakon realizacije jednog ovakvog projekta, koji će omogućiti detaljne podatke o konstrukciji, možemo govoriti o pouzdanim procjenama rizika od </w:t>
      </w:r>
      <w:r w:rsidRPr="00FF1E38">
        <w:rPr>
          <w:rFonts w:ascii="Times New Roman" w:hAnsi="Times New Roman" w:cs="Times New Roman"/>
          <w:sz w:val="24"/>
        </w:rPr>
        <w:lastRenderedPageBreak/>
        <w:t>potresa</w:t>
      </w:r>
      <w:r w:rsidRPr="00FF1E38">
        <w:rPr>
          <w:rFonts w:ascii="Times New Roman" w:hAnsi="Times New Roman" w:cs="Times New Roman"/>
          <w:sz w:val="24"/>
          <w:vertAlign w:val="superscript"/>
        </w:rPr>
        <w:footnoteReference w:id="35"/>
      </w:r>
      <w:r w:rsidRPr="00FF1E38">
        <w:rPr>
          <w:rFonts w:ascii="Times New Roman" w:hAnsi="Times New Roman" w:cs="Times New Roman"/>
          <w:sz w:val="24"/>
        </w:rPr>
        <w:t>. Prikazani rezultati preliminarnih analiza, koji su poslužili kao priprema projekta, uvelike ovise o pretpostavljenim vrijednostima oslanjajući se na inženjerske procjene i iskustvo. Ipak, provedene analize s raspodjelom građevina po tipologiji gradnje unutar gradske četvrti, definiranim hazardom koji uzima amplifikaciju zbog utjecaja tla, razmatranjem kritične infrastrukture, procjene broja oštećenih zgrada, troškova i stradalih osoba, daju vrlo korisne podatke.</w:t>
      </w:r>
    </w:p>
    <w:p w14:paraId="296167DC" w14:textId="77777777" w:rsidR="00FF1E38" w:rsidRPr="00FF1E38" w:rsidRDefault="00FF1E38" w:rsidP="00ED42D0">
      <w:pPr>
        <w:spacing w:after="0" w:line="240" w:lineRule="auto"/>
        <w:ind w:left="0" w:right="0" w:firstLine="709"/>
        <w:rPr>
          <w:rFonts w:ascii="Times New Roman" w:hAnsi="Times New Roman" w:cs="Times New Roman"/>
          <w:i/>
          <w:sz w:val="24"/>
          <w:u w:val="single"/>
        </w:rPr>
      </w:pPr>
      <w:r w:rsidRPr="00FF1E38">
        <w:rPr>
          <w:rFonts w:ascii="Times New Roman" w:hAnsi="Times New Roman" w:cs="Times New Roman"/>
          <w:i/>
          <w:sz w:val="24"/>
          <w:u w:val="single"/>
        </w:rPr>
        <w:t xml:space="preserve">Procjena rizika od katastrofa za Republiku Hrvatsku </w:t>
      </w:r>
      <w:r w:rsidRPr="00FF1E38">
        <w:rPr>
          <w:rFonts w:ascii="Times New Roman" w:hAnsi="Times New Roman" w:cs="Times New Roman"/>
          <w:sz w:val="24"/>
          <w:u w:val="single"/>
        </w:rPr>
        <w:t>(2015.)</w:t>
      </w:r>
    </w:p>
    <w:p w14:paraId="18DA3AD1" w14:textId="77777777" w:rsidR="00FF1E38" w:rsidRPr="00FF1E38" w:rsidRDefault="00FF1E38" w:rsidP="00FF1E38">
      <w:pPr>
        <w:spacing w:after="0" w:line="240" w:lineRule="auto"/>
        <w:ind w:left="0" w:right="0" w:firstLine="0"/>
        <w:rPr>
          <w:rFonts w:ascii="Times New Roman" w:hAnsi="Times New Roman" w:cs="Times New Roman"/>
          <w:b/>
          <w:sz w:val="24"/>
        </w:rPr>
      </w:pPr>
    </w:p>
    <w:p w14:paraId="070F19E1" w14:textId="7A56F192" w:rsidR="00FF1E38" w:rsidRPr="00531A49" w:rsidRDefault="00FF1E38" w:rsidP="00FF1E38">
      <w:pPr>
        <w:spacing w:after="0" w:line="240" w:lineRule="auto"/>
        <w:ind w:left="0" w:right="0" w:firstLine="709"/>
        <w:rPr>
          <w:rFonts w:ascii="Times New Roman" w:hAnsi="Times New Roman" w:cs="Times New Roman"/>
          <w:color w:val="auto"/>
          <w:sz w:val="24"/>
        </w:rPr>
      </w:pPr>
      <w:r w:rsidRPr="00FF1E38">
        <w:rPr>
          <w:rFonts w:ascii="Times New Roman" w:hAnsi="Times New Roman" w:cs="Times New Roman"/>
          <w:sz w:val="24"/>
        </w:rPr>
        <w:t xml:space="preserve">Procjena posljedica se u Procjeni rizika od katastrofa za Republiku Hrvatsku ponajprije temelji na procjeni stupnja oštećenja zgrada za definirano mjerodavno opterećenje. Stoga su procjene oštećenja zgrada prije svega napravljene na temelju dostupnih parametara koji su uglavnom sistematizirani u obrascima za procjenu očekivanog oštećenja karakterističnog tipa građevine pri djelovanju potresa na razini povratnih perioda usklađenih s propisima za </w:t>
      </w:r>
      <w:r w:rsidRPr="00531A49">
        <w:rPr>
          <w:rFonts w:ascii="Times New Roman" w:hAnsi="Times New Roman" w:cs="Times New Roman"/>
          <w:color w:val="auto"/>
          <w:sz w:val="24"/>
        </w:rPr>
        <w:t xml:space="preserve">projektiranje. Rezultati izračuna su vidljivi u Tablici </w:t>
      </w:r>
      <w:r w:rsidR="00531A49" w:rsidRPr="00531A49">
        <w:rPr>
          <w:rFonts w:ascii="Times New Roman" w:hAnsi="Times New Roman" w:cs="Times New Roman"/>
          <w:color w:val="auto"/>
          <w:sz w:val="24"/>
        </w:rPr>
        <w:t>48</w:t>
      </w:r>
      <w:r w:rsidRPr="00531A49">
        <w:rPr>
          <w:rFonts w:ascii="Times New Roman" w:hAnsi="Times New Roman" w:cs="Times New Roman"/>
          <w:color w:val="auto"/>
          <w:sz w:val="24"/>
        </w:rPr>
        <w:t>.</w:t>
      </w:r>
    </w:p>
    <w:p w14:paraId="696077D2" w14:textId="77777777" w:rsidR="00FF1E38" w:rsidRPr="00531A49" w:rsidRDefault="00FF1E38" w:rsidP="00FF1E38">
      <w:pPr>
        <w:spacing w:after="0" w:line="240" w:lineRule="auto"/>
        <w:ind w:left="0" w:right="0" w:firstLine="709"/>
        <w:rPr>
          <w:rFonts w:ascii="Times New Roman" w:hAnsi="Times New Roman" w:cs="Times New Roman"/>
          <w:color w:val="auto"/>
          <w:sz w:val="24"/>
        </w:rPr>
      </w:pPr>
      <w:r w:rsidRPr="00531A49">
        <w:rPr>
          <w:rFonts w:ascii="Times New Roman" w:hAnsi="Times New Roman" w:cs="Times New Roman"/>
          <w:color w:val="auto"/>
          <w:sz w:val="24"/>
        </w:rPr>
        <w:t>Obrasci obuhvaćaju analizu karakteristične tipologije gradnje po gradskim četvrtima, uz početnu procjenu oštećenja postavljenu prema EMS-98 klasifikaciji te su dopunjeni procjenama stručnjaka s obzirom na poznavanje specifičnih lokalnih uvjeta i iskustvo. Pri tome treba istaknuti da broj stambenih jedinica ne predstavlja građevine, s obzirom na to da službena statistika o broju građevina ne postoji, a izdvojeni postoci su prosjek odnosno granične vrijednosti procjena. Obrascima nisu obuhvaćene specifične građevine (primjerice mostovi, industrijske građevine itd.).</w:t>
      </w:r>
    </w:p>
    <w:p w14:paraId="34E19E23" w14:textId="77777777" w:rsidR="00FF1E38" w:rsidRPr="00531A49" w:rsidRDefault="00FF1E38" w:rsidP="00FF1E38">
      <w:pPr>
        <w:spacing w:after="0" w:line="240" w:lineRule="auto"/>
        <w:ind w:right="0"/>
        <w:rPr>
          <w:rFonts w:ascii="Times New Roman" w:hAnsi="Times New Roman" w:cs="Times New Roman"/>
          <w:color w:val="auto"/>
          <w:sz w:val="24"/>
        </w:rPr>
      </w:pPr>
    </w:p>
    <w:p w14:paraId="4E7C7F4D" w14:textId="43239B46" w:rsidR="00FF1E38" w:rsidRPr="00531A49" w:rsidRDefault="00FF1E38" w:rsidP="00571A98">
      <w:pPr>
        <w:spacing w:line="240" w:lineRule="auto"/>
        <w:ind w:left="0" w:right="0" w:firstLine="0"/>
        <w:jc w:val="center"/>
        <w:rPr>
          <w:rFonts w:ascii="Times New Roman" w:hAnsi="Times New Roman" w:cs="Times New Roman"/>
          <w:b/>
          <w:color w:val="auto"/>
          <w:sz w:val="24"/>
        </w:rPr>
      </w:pPr>
      <w:r w:rsidRPr="00531A49">
        <w:rPr>
          <w:rFonts w:ascii="Times New Roman" w:hAnsi="Times New Roman" w:cs="Times New Roman"/>
          <w:b/>
          <w:color w:val="auto"/>
          <w:sz w:val="24"/>
        </w:rPr>
        <w:t xml:space="preserve">Tablica </w:t>
      </w:r>
      <w:r w:rsidR="00531A49" w:rsidRPr="00531A49">
        <w:rPr>
          <w:rFonts w:ascii="Times New Roman" w:hAnsi="Times New Roman" w:cs="Times New Roman"/>
          <w:b/>
          <w:color w:val="auto"/>
          <w:sz w:val="24"/>
        </w:rPr>
        <w:t>48</w:t>
      </w:r>
      <w:r w:rsidRPr="00531A49">
        <w:rPr>
          <w:rFonts w:ascii="Times New Roman" w:hAnsi="Times New Roman" w:cs="Times New Roman"/>
          <w:b/>
          <w:color w:val="auto"/>
          <w:sz w:val="24"/>
        </w:rPr>
        <w:t xml:space="preserve">. Sistematizirani rezultati procjena oštećenja </w:t>
      </w:r>
    </w:p>
    <w:tbl>
      <w:tblPr>
        <w:tblStyle w:val="TableGrid1"/>
        <w:tblW w:w="9072" w:type="dxa"/>
        <w:tblInd w:w="0" w:type="dxa"/>
        <w:tblLayout w:type="fixed"/>
        <w:tblCellMar>
          <w:top w:w="5" w:type="dxa"/>
          <w:left w:w="57" w:type="dxa"/>
          <w:right w:w="57" w:type="dxa"/>
        </w:tblCellMar>
        <w:tblLook w:val="04A0" w:firstRow="1" w:lastRow="0" w:firstColumn="1" w:lastColumn="0" w:noHBand="0" w:noVBand="1"/>
      </w:tblPr>
      <w:tblGrid>
        <w:gridCol w:w="401"/>
        <w:gridCol w:w="2353"/>
        <w:gridCol w:w="1148"/>
        <w:gridCol w:w="1034"/>
        <w:gridCol w:w="1034"/>
        <w:gridCol w:w="1034"/>
        <w:gridCol w:w="1034"/>
        <w:gridCol w:w="1034"/>
      </w:tblGrid>
      <w:tr w:rsidR="00FF1E38" w:rsidRPr="00FF1E38" w14:paraId="336445A9" w14:textId="77777777" w:rsidTr="00DE0C9A">
        <w:trPr>
          <w:cantSplit/>
          <w:tblHeader/>
        </w:trPr>
        <w:tc>
          <w:tcPr>
            <w:tcW w:w="397" w:type="dxa"/>
            <w:vMerge w:val="restart"/>
            <w:tcBorders>
              <w:top w:val="single" w:sz="4" w:space="0" w:color="000000"/>
              <w:left w:val="single" w:sz="4" w:space="0" w:color="000000"/>
              <w:bottom w:val="single" w:sz="4" w:space="0" w:color="000000"/>
              <w:right w:val="single" w:sz="4" w:space="0" w:color="000000"/>
            </w:tcBorders>
            <w:shd w:val="clear" w:color="auto" w:fill="FFC000"/>
            <w:vAlign w:val="center"/>
          </w:tcPr>
          <w:p w14:paraId="192C9DF8"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325" w:type="dxa"/>
            <w:vMerge w:val="restart"/>
            <w:tcBorders>
              <w:top w:val="single" w:sz="4" w:space="0" w:color="000000"/>
              <w:left w:val="single" w:sz="4" w:space="0" w:color="000000"/>
              <w:bottom w:val="single" w:sz="4" w:space="0" w:color="000000"/>
              <w:right w:val="single" w:sz="4" w:space="0" w:color="000000"/>
            </w:tcBorders>
            <w:shd w:val="clear" w:color="auto" w:fill="FFC000"/>
            <w:vAlign w:val="center"/>
          </w:tcPr>
          <w:p w14:paraId="5FB4E34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Gradska četvrt</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FFC000"/>
            <w:vAlign w:val="center"/>
          </w:tcPr>
          <w:p w14:paraId="397FC667" w14:textId="77777777" w:rsidR="00FF1E38" w:rsidRPr="00FF1E38" w:rsidRDefault="00FF1E38" w:rsidP="00FF1E38">
            <w:pPr>
              <w:spacing w:after="0" w:line="240" w:lineRule="auto"/>
              <w:ind w:left="0" w:right="0" w:firstLine="0"/>
              <w:jc w:val="center"/>
              <w:rPr>
                <w:rFonts w:ascii="Times New Roman" w:hAnsi="Times New Roman" w:cs="Times New Roman"/>
                <w:b/>
              </w:rPr>
            </w:pPr>
            <w:r w:rsidRPr="00FF1E38">
              <w:rPr>
                <w:rFonts w:ascii="Times New Roman" w:hAnsi="Times New Roman" w:cs="Times New Roman"/>
                <w:b/>
              </w:rPr>
              <w:t>Stambene</w:t>
            </w:r>
          </w:p>
          <w:p w14:paraId="75EB2C5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jedinice</w:t>
            </w:r>
          </w:p>
        </w:tc>
        <w:tc>
          <w:tcPr>
            <w:tcW w:w="1021" w:type="dxa"/>
            <w:gridSpan w:val="5"/>
            <w:tcBorders>
              <w:top w:val="single" w:sz="4" w:space="0" w:color="000000"/>
              <w:left w:val="single" w:sz="4" w:space="0" w:color="000000"/>
              <w:bottom w:val="single" w:sz="4" w:space="0" w:color="000000"/>
              <w:right w:val="single" w:sz="4" w:space="0" w:color="000000"/>
            </w:tcBorders>
            <w:shd w:val="clear" w:color="auto" w:fill="FFC000"/>
            <w:vAlign w:val="center"/>
          </w:tcPr>
          <w:p w14:paraId="5A10038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Procjena stupnja oštećenja prema EMS-98 klasifikaciji</w:t>
            </w:r>
          </w:p>
        </w:tc>
      </w:tr>
      <w:tr w:rsidR="00FF1E38" w:rsidRPr="00FF1E38" w14:paraId="0FCE9CD1" w14:textId="77777777" w:rsidTr="00DE0C9A">
        <w:trPr>
          <w:cantSplit/>
          <w:tblHeader/>
        </w:trPr>
        <w:tc>
          <w:tcPr>
            <w:tcW w:w="397" w:type="dxa"/>
            <w:vMerge/>
            <w:tcBorders>
              <w:top w:val="nil"/>
              <w:left w:val="single" w:sz="4" w:space="0" w:color="000000"/>
              <w:bottom w:val="single" w:sz="4" w:space="0" w:color="000000"/>
              <w:right w:val="single" w:sz="4" w:space="0" w:color="000000"/>
            </w:tcBorders>
          </w:tcPr>
          <w:p w14:paraId="28D12249"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2325" w:type="dxa"/>
            <w:vMerge/>
            <w:tcBorders>
              <w:top w:val="nil"/>
              <w:left w:val="single" w:sz="4" w:space="0" w:color="000000"/>
              <w:bottom w:val="single" w:sz="4" w:space="0" w:color="000000"/>
              <w:right w:val="single" w:sz="4" w:space="0" w:color="000000"/>
            </w:tcBorders>
          </w:tcPr>
          <w:p w14:paraId="7A1D25B4"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1134" w:type="dxa"/>
            <w:vMerge/>
            <w:tcBorders>
              <w:top w:val="nil"/>
              <w:left w:val="single" w:sz="4" w:space="0" w:color="000000"/>
              <w:bottom w:val="single" w:sz="4" w:space="0" w:color="000000"/>
              <w:right w:val="single" w:sz="4" w:space="0" w:color="000000"/>
            </w:tcBorders>
          </w:tcPr>
          <w:p w14:paraId="4B3C6CC4"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1021"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68257723"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b/>
                <w:color w:val="FFFFFF"/>
              </w:rPr>
              <w:t>V.</w:t>
            </w:r>
          </w:p>
        </w:tc>
        <w:tc>
          <w:tcPr>
            <w:tcW w:w="1021"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0058750D"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b/>
                <w:color w:val="FFFFFF"/>
              </w:rPr>
              <w:t>IV.</w:t>
            </w:r>
          </w:p>
        </w:tc>
        <w:tc>
          <w:tcPr>
            <w:tcW w:w="102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C8F267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III.</w:t>
            </w:r>
          </w:p>
        </w:tc>
        <w:tc>
          <w:tcPr>
            <w:tcW w:w="102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AC2E27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II.</w:t>
            </w:r>
          </w:p>
        </w:tc>
        <w:tc>
          <w:tcPr>
            <w:tcW w:w="1021"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2177E66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color w:val="FFFFFF"/>
              </w:rPr>
              <w:t>I.</w:t>
            </w:r>
          </w:p>
        </w:tc>
      </w:tr>
      <w:tr w:rsidR="00FF1E38" w:rsidRPr="00FF1E38" w14:paraId="578F9D28"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0462B58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1.</w:t>
            </w:r>
          </w:p>
        </w:tc>
        <w:tc>
          <w:tcPr>
            <w:tcW w:w="2325" w:type="dxa"/>
            <w:tcBorders>
              <w:top w:val="single" w:sz="4" w:space="0" w:color="000000"/>
              <w:left w:val="single" w:sz="4" w:space="0" w:color="000000"/>
              <w:bottom w:val="single" w:sz="4" w:space="0" w:color="000000"/>
              <w:right w:val="single" w:sz="4" w:space="0" w:color="000000"/>
            </w:tcBorders>
          </w:tcPr>
          <w:p w14:paraId="59DAA6F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Brezovica</w:t>
            </w:r>
          </w:p>
        </w:tc>
        <w:tc>
          <w:tcPr>
            <w:tcW w:w="1134" w:type="dxa"/>
            <w:tcBorders>
              <w:top w:val="single" w:sz="4" w:space="0" w:color="000000"/>
              <w:left w:val="single" w:sz="4" w:space="0" w:color="000000"/>
              <w:bottom w:val="single" w:sz="4" w:space="0" w:color="000000"/>
              <w:right w:val="single" w:sz="4" w:space="0" w:color="000000"/>
            </w:tcBorders>
            <w:vAlign w:val="center"/>
          </w:tcPr>
          <w:p w14:paraId="3444A1B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4.706</w:t>
            </w:r>
          </w:p>
        </w:tc>
        <w:tc>
          <w:tcPr>
            <w:tcW w:w="1021" w:type="dxa"/>
            <w:tcBorders>
              <w:top w:val="single" w:sz="4" w:space="0" w:color="000000"/>
              <w:left w:val="single" w:sz="4" w:space="0" w:color="000000"/>
              <w:bottom w:val="single" w:sz="4" w:space="0" w:color="000000"/>
              <w:right w:val="single" w:sz="4" w:space="0" w:color="000000"/>
            </w:tcBorders>
            <w:vAlign w:val="center"/>
          </w:tcPr>
          <w:p w14:paraId="47FD65C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0-2 %</w:t>
            </w:r>
          </w:p>
        </w:tc>
        <w:tc>
          <w:tcPr>
            <w:tcW w:w="1021" w:type="dxa"/>
            <w:tcBorders>
              <w:top w:val="single" w:sz="4" w:space="0" w:color="000000"/>
              <w:left w:val="single" w:sz="4" w:space="0" w:color="000000"/>
              <w:bottom w:val="single" w:sz="4" w:space="0" w:color="000000"/>
              <w:right w:val="single" w:sz="4" w:space="0" w:color="000000"/>
            </w:tcBorders>
            <w:vAlign w:val="center"/>
          </w:tcPr>
          <w:p w14:paraId="5F35DA1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1-5 %</w:t>
            </w:r>
          </w:p>
        </w:tc>
        <w:tc>
          <w:tcPr>
            <w:tcW w:w="1021" w:type="dxa"/>
            <w:tcBorders>
              <w:top w:val="single" w:sz="4" w:space="0" w:color="000000"/>
              <w:left w:val="single" w:sz="4" w:space="0" w:color="000000"/>
              <w:bottom w:val="single" w:sz="4" w:space="0" w:color="000000"/>
              <w:right w:val="single" w:sz="4" w:space="0" w:color="000000"/>
            </w:tcBorders>
            <w:vAlign w:val="center"/>
          </w:tcPr>
          <w:p w14:paraId="2FFC353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5-20 %</w:t>
            </w:r>
          </w:p>
        </w:tc>
        <w:tc>
          <w:tcPr>
            <w:tcW w:w="1021" w:type="dxa"/>
            <w:tcBorders>
              <w:top w:val="single" w:sz="4" w:space="0" w:color="000000"/>
              <w:left w:val="single" w:sz="4" w:space="0" w:color="000000"/>
              <w:bottom w:val="single" w:sz="4" w:space="0" w:color="000000"/>
              <w:right w:val="single" w:sz="4" w:space="0" w:color="000000"/>
            </w:tcBorders>
            <w:vAlign w:val="center"/>
          </w:tcPr>
          <w:p w14:paraId="799253C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20-35 %</w:t>
            </w:r>
          </w:p>
        </w:tc>
        <w:tc>
          <w:tcPr>
            <w:tcW w:w="1021" w:type="dxa"/>
            <w:tcBorders>
              <w:top w:val="single" w:sz="4" w:space="0" w:color="000000"/>
              <w:left w:val="single" w:sz="4" w:space="0" w:color="000000"/>
              <w:bottom w:val="single" w:sz="4" w:space="0" w:color="000000"/>
              <w:right w:val="single" w:sz="4" w:space="0" w:color="000000"/>
            </w:tcBorders>
            <w:vAlign w:val="center"/>
          </w:tcPr>
          <w:p w14:paraId="7DA5AA9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30-50 %</w:t>
            </w:r>
          </w:p>
        </w:tc>
      </w:tr>
      <w:tr w:rsidR="00FF1E38" w:rsidRPr="00FF1E38" w14:paraId="24EBC9B8"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3B8CEA1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2.</w:t>
            </w:r>
          </w:p>
        </w:tc>
        <w:tc>
          <w:tcPr>
            <w:tcW w:w="2325" w:type="dxa"/>
            <w:tcBorders>
              <w:top w:val="single" w:sz="4" w:space="0" w:color="000000"/>
              <w:left w:val="single" w:sz="4" w:space="0" w:color="000000"/>
              <w:bottom w:val="single" w:sz="4" w:space="0" w:color="000000"/>
              <w:right w:val="single" w:sz="4" w:space="0" w:color="000000"/>
            </w:tcBorders>
          </w:tcPr>
          <w:p w14:paraId="27FC3C2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Črnomerec</w:t>
            </w:r>
          </w:p>
        </w:tc>
        <w:tc>
          <w:tcPr>
            <w:tcW w:w="1134" w:type="dxa"/>
            <w:tcBorders>
              <w:top w:val="single" w:sz="4" w:space="0" w:color="000000"/>
              <w:left w:val="single" w:sz="4" w:space="0" w:color="000000"/>
              <w:bottom w:val="single" w:sz="4" w:space="0" w:color="000000"/>
              <w:right w:val="single" w:sz="4" w:space="0" w:color="000000"/>
            </w:tcBorders>
            <w:vAlign w:val="center"/>
          </w:tcPr>
          <w:p w14:paraId="129D9EC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19.930</w:t>
            </w:r>
          </w:p>
        </w:tc>
        <w:tc>
          <w:tcPr>
            <w:tcW w:w="1021" w:type="dxa"/>
            <w:tcBorders>
              <w:top w:val="single" w:sz="4" w:space="0" w:color="000000"/>
              <w:left w:val="single" w:sz="4" w:space="0" w:color="000000"/>
              <w:bottom w:val="single" w:sz="4" w:space="0" w:color="000000"/>
              <w:right w:val="single" w:sz="4" w:space="0" w:color="000000"/>
            </w:tcBorders>
            <w:vAlign w:val="center"/>
          </w:tcPr>
          <w:p w14:paraId="43E131F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3-10 %</w:t>
            </w:r>
          </w:p>
        </w:tc>
        <w:tc>
          <w:tcPr>
            <w:tcW w:w="1021" w:type="dxa"/>
            <w:tcBorders>
              <w:top w:val="single" w:sz="4" w:space="0" w:color="000000"/>
              <w:left w:val="single" w:sz="4" w:space="0" w:color="000000"/>
              <w:bottom w:val="single" w:sz="4" w:space="0" w:color="000000"/>
              <w:right w:val="single" w:sz="4" w:space="0" w:color="000000"/>
            </w:tcBorders>
            <w:vAlign w:val="center"/>
          </w:tcPr>
          <w:p w14:paraId="31471D1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11-22 %</w:t>
            </w:r>
          </w:p>
        </w:tc>
        <w:tc>
          <w:tcPr>
            <w:tcW w:w="1021" w:type="dxa"/>
            <w:tcBorders>
              <w:top w:val="single" w:sz="4" w:space="0" w:color="000000"/>
              <w:left w:val="single" w:sz="4" w:space="0" w:color="000000"/>
              <w:bottom w:val="single" w:sz="4" w:space="0" w:color="000000"/>
              <w:right w:val="single" w:sz="4" w:space="0" w:color="000000"/>
            </w:tcBorders>
            <w:vAlign w:val="center"/>
          </w:tcPr>
          <w:p w14:paraId="1032AF1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15-50 %</w:t>
            </w:r>
          </w:p>
        </w:tc>
        <w:tc>
          <w:tcPr>
            <w:tcW w:w="1021" w:type="dxa"/>
            <w:tcBorders>
              <w:top w:val="single" w:sz="4" w:space="0" w:color="000000"/>
              <w:left w:val="single" w:sz="4" w:space="0" w:color="000000"/>
              <w:bottom w:val="single" w:sz="4" w:space="0" w:color="000000"/>
              <w:right w:val="single" w:sz="4" w:space="0" w:color="000000"/>
            </w:tcBorders>
            <w:vAlign w:val="center"/>
          </w:tcPr>
          <w:p w14:paraId="03744C7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22-35 %</w:t>
            </w:r>
          </w:p>
        </w:tc>
        <w:tc>
          <w:tcPr>
            <w:tcW w:w="1021" w:type="dxa"/>
            <w:tcBorders>
              <w:top w:val="single" w:sz="4" w:space="0" w:color="000000"/>
              <w:left w:val="single" w:sz="4" w:space="0" w:color="000000"/>
              <w:bottom w:val="single" w:sz="4" w:space="0" w:color="000000"/>
              <w:right w:val="single" w:sz="4" w:space="0" w:color="000000"/>
            </w:tcBorders>
            <w:vAlign w:val="center"/>
          </w:tcPr>
          <w:p w14:paraId="1FA5564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30-40 %</w:t>
            </w:r>
          </w:p>
        </w:tc>
      </w:tr>
      <w:tr w:rsidR="00FF1E38" w:rsidRPr="00FF1E38" w14:paraId="194FA984"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04A66F3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3.</w:t>
            </w:r>
          </w:p>
        </w:tc>
        <w:tc>
          <w:tcPr>
            <w:tcW w:w="2325" w:type="dxa"/>
            <w:tcBorders>
              <w:top w:val="single" w:sz="4" w:space="0" w:color="000000"/>
              <w:left w:val="single" w:sz="4" w:space="0" w:color="000000"/>
              <w:bottom w:val="single" w:sz="4" w:space="0" w:color="000000"/>
              <w:right w:val="single" w:sz="4" w:space="0" w:color="000000"/>
            </w:tcBorders>
          </w:tcPr>
          <w:p w14:paraId="00053C8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Donja Dubrava</w:t>
            </w:r>
          </w:p>
        </w:tc>
        <w:tc>
          <w:tcPr>
            <w:tcW w:w="1134" w:type="dxa"/>
            <w:tcBorders>
              <w:top w:val="single" w:sz="4" w:space="0" w:color="000000"/>
              <w:left w:val="single" w:sz="4" w:space="0" w:color="000000"/>
              <w:bottom w:val="single" w:sz="4" w:space="0" w:color="000000"/>
              <w:right w:val="single" w:sz="4" w:space="0" w:color="000000"/>
            </w:tcBorders>
            <w:vAlign w:val="center"/>
          </w:tcPr>
          <w:p w14:paraId="63EF5BE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14.778</w:t>
            </w:r>
          </w:p>
        </w:tc>
        <w:tc>
          <w:tcPr>
            <w:tcW w:w="1021" w:type="dxa"/>
            <w:tcBorders>
              <w:top w:val="single" w:sz="4" w:space="0" w:color="000000"/>
              <w:left w:val="single" w:sz="4" w:space="0" w:color="000000"/>
              <w:bottom w:val="single" w:sz="4" w:space="0" w:color="000000"/>
              <w:right w:val="single" w:sz="4" w:space="0" w:color="000000"/>
            </w:tcBorders>
            <w:vAlign w:val="center"/>
          </w:tcPr>
          <w:p w14:paraId="70A4D55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3-15 %</w:t>
            </w:r>
          </w:p>
        </w:tc>
        <w:tc>
          <w:tcPr>
            <w:tcW w:w="1021" w:type="dxa"/>
            <w:tcBorders>
              <w:top w:val="single" w:sz="4" w:space="0" w:color="000000"/>
              <w:left w:val="single" w:sz="4" w:space="0" w:color="000000"/>
              <w:bottom w:val="single" w:sz="4" w:space="0" w:color="000000"/>
              <w:right w:val="single" w:sz="4" w:space="0" w:color="000000"/>
            </w:tcBorders>
            <w:vAlign w:val="center"/>
          </w:tcPr>
          <w:p w14:paraId="7E98D24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15-25 %</w:t>
            </w:r>
          </w:p>
        </w:tc>
        <w:tc>
          <w:tcPr>
            <w:tcW w:w="1021" w:type="dxa"/>
            <w:tcBorders>
              <w:top w:val="single" w:sz="4" w:space="0" w:color="000000"/>
              <w:left w:val="single" w:sz="4" w:space="0" w:color="000000"/>
              <w:bottom w:val="single" w:sz="4" w:space="0" w:color="000000"/>
              <w:right w:val="single" w:sz="4" w:space="0" w:color="000000"/>
            </w:tcBorders>
            <w:vAlign w:val="center"/>
          </w:tcPr>
          <w:p w14:paraId="47C6E04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15-25 %</w:t>
            </w:r>
          </w:p>
        </w:tc>
        <w:tc>
          <w:tcPr>
            <w:tcW w:w="1021" w:type="dxa"/>
            <w:tcBorders>
              <w:top w:val="single" w:sz="4" w:space="0" w:color="000000"/>
              <w:left w:val="single" w:sz="4" w:space="0" w:color="000000"/>
              <w:bottom w:val="single" w:sz="4" w:space="0" w:color="000000"/>
              <w:right w:val="single" w:sz="4" w:space="0" w:color="000000"/>
            </w:tcBorders>
            <w:vAlign w:val="center"/>
          </w:tcPr>
          <w:p w14:paraId="3395F2F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20-30 %</w:t>
            </w:r>
          </w:p>
        </w:tc>
        <w:tc>
          <w:tcPr>
            <w:tcW w:w="1021" w:type="dxa"/>
            <w:tcBorders>
              <w:top w:val="single" w:sz="4" w:space="0" w:color="000000"/>
              <w:left w:val="single" w:sz="4" w:space="0" w:color="000000"/>
              <w:bottom w:val="single" w:sz="4" w:space="0" w:color="000000"/>
              <w:right w:val="single" w:sz="4" w:space="0" w:color="000000"/>
            </w:tcBorders>
            <w:vAlign w:val="center"/>
          </w:tcPr>
          <w:p w14:paraId="1A96769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30-45 %</w:t>
            </w:r>
          </w:p>
        </w:tc>
      </w:tr>
      <w:tr w:rsidR="00FF1E38" w:rsidRPr="00FF1E38" w14:paraId="3F68BB99"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2026E4B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4.</w:t>
            </w:r>
          </w:p>
        </w:tc>
        <w:tc>
          <w:tcPr>
            <w:tcW w:w="2325" w:type="dxa"/>
            <w:tcBorders>
              <w:top w:val="single" w:sz="4" w:space="0" w:color="000000"/>
              <w:left w:val="single" w:sz="4" w:space="0" w:color="000000"/>
              <w:bottom w:val="single" w:sz="4" w:space="0" w:color="000000"/>
              <w:right w:val="single" w:sz="4" w:space="0" w:color="000000"/>
            </w:tcBorders>
          </w:tcPr>
          <w:p w14:paraId="0F20864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Donji grad</w:t>
            </w:r>
          </w:p>
        </w:tc>
        <w:tc>
          <w:tcPr>
            <w:tcW w:w="1134" w:type="dxa"/>
            <w:tcBorders>
              <w:top w:val="single" w:sz="4" w:space="0" w:color="000000"/>
              <w:left w:val="single" w:sz="4" w:space="0" w:color="000000"/>
              <w:bottom w:val="single" w:sz="4" w:space="0" w:color="000000"/>
              <w:right w:val="single" w:sz="4" w:space="0" w:color="000000"/>
            </w:tcBorders>
            <w:vAlign w:val="center"/>
          </w:tcPr>
          <w:p w14:paraId="6DCB8D0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23.634</w:t>
            </w:r>
          </w:p>
        </w:tc>
        <w:tc>
          <w:tcPr>
            <w:tcW w:w="1021" w:type="dxa"/>
            <w:tcBorders>
              <w:top w:val="single" w:sz="4" w:space="0" w:color="000000"/>
              <w:left w:val="single" w:sz="4" w:space="0" w:color="000000"/>
              <w:bottom w:val="single" w:sz="4" w:space="0" w:color="000000"/>
              <w:right w:val="single" w:sz="4" w:space="0" w:color="000000"/>
            </w:tcBorders>
            <w:vAlign w:val="center"/>
          </w:tcPr>
          <w:p w14:paraId="34ED694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5-20 %</w:t>
            </w:r>
          </w:p>
        </w:tc>
        <w:tc>
          <w:tcPr>
            <w:tcW w:w="1021" w:type="dxa"/>
            <w:tcBorders>
              <w:top w:val="single" w:sz="4" w:space="0" w:color="000000"/>
              <w:left w:val="single" w:sz="4" w:space="0" w:color="000000"/>
              <w:bottom w:val="single" w:sz="4" w:space="0" w:color="000000"/>
              <w:right w:val="single" w:sz="4" w:space="0" w:color="000000"/>
            </w:tcBorders>
            <w:vAlign w:val="center"/>
          </w:tcPr>
          <w:p w14:paraId="12EDBE9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15-25 %</w:t>
            </w:r>
          </w:p>
        </w:tc>
        <w:tc>
          <w:tcPr>
            <w:tcW w:w="1021" w:type="dxa"/>
            <w:tcBorders>
              <w:top w:val="single" w:sz="4" w:space="0" w:color="000000"/>
              <w:left w:val="single" w:sz="4" w:space="0" w:color="000000"/>
              <w:bottom w:val="single" w:sz="4" w:space="0" w:color="000000"/>
              <w:right w:val="single" w:sz="4" w:space="0" w:color="000000"/>
            </w:tcBorders>
            <w:vAlign w:val="center"/>
          </w:tcPr>
          <w:p w14:paraId="45B6486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20-60 %</w:t>
            </w:r>
          </w:p>
        </w:tc>
        <w:tc>
          <w:tcPr>
            <w:tcW w:w="1021" w:type="dxa"/>
            <w:tcBorders>
              <w:top w:val="single" w:sz="4" w:space="0" w:color="000000"/>
              <w:left w:val="single" w:sz="4" w:space="0" w:color="000000"/>
              <w:bottom w:val="single" w:sz="4" w:space="0" w:color="000000"/>
              <w:right w:val="single" w:sz="4" w:space="0" w:color="000000"/>
            </w:tcBorders>
            <w:vAlign w:val="center"/>
          </w:tcPr>
          <w:p w14:paraId="7D0385A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15-30 %</w:t>
            </w:r>
          </w:p>
        </w:tc>
        <w:tc>
          <w:tcPr>
            <w:tcW w:w="1021" w:type="dxa"/>
            <w:tcBorders>
              <w:top w:val="single" w:sz="4" w:space="0" w:color="000000"/>
              <w:left w:val="single" w:sz="4" w:space="0" w:color="000000"/>
              <w:bottom w:val="single" w:sz="4" w:space="0" w:color="000000"/>
              <w:right w:val="single" w:sz="4" w:space="0" w:color="000000"/>
            </w:tcBorders>
            <w:vAlign w:val="center"/>
          </w:tcPr>
          <w:p w14:paraId="0B2C594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20-30 %</w:t>
            </w:r>
          </w:p>
        </w:tc>
      </w:tr>
      <w:tr w:rsidR="00FF1E38" w:rsidRPr="00FF1E38" w14:paraId="77919AA9"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2FF1C42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5.</w:t>
            </w:r>
          </w:p>
        </w:tc>
        <w:tc>
          <w:tcPr>
            <w:tcW w:w="2325" w:type="dxa"/>
            <w:tcBorders>
              <w:top w:val="single" w:sz="4" w:space="0" w:color="000000"/>
              <w:left w:val="single" w:sz="4" w:space="0" w:color="000000"/>
              <w:bottom w:val="single" w:sz="4" w:space="0" w:color="000000"/>
              <w:right w:val="single" w:sz="4" w:space="0" w:color="000000"/>
            </w:tcBorders>
          </w:tcPr>
          <w:p w14:paraId="68FE273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Gornja Dubrava</w:t>
            </w:r>
          </w:p>
        </w:tc>
        <w:tc>
          <w:tcPr>
            <w:tcW w:w="1134" w:type="dxa"/>
            <w:tcBorders>
              <w:top w:val="single" w:sz="4" w:space="0" w:color="000000"/>
              <w:left w:val="single" w:sz="4" w:space="0" w:color="000000"/>
              <w:bottom w:val="single" w:sz="4" w:space="0" w:color="000000"/>
              <w:right w:val="single" w:sz="4" w:space="0" w:color="000000"/>
            </w:tcBorders>
            <w:vAlign w:val="center"/>
          </w:tcPr>
          <w:p w14:paraId="793435A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26.190</w:t>
            </w:r>
          </w:p>
        </w:tc>
        <w:tc>
          <w:tcPr>
            <w:tcW w:w="1021" w:type="dxa"/>
            <w:tcBorders>
              <w:top w:val="single" w:sz="4" w:space="0" w:color="000000"/>
              <w:left w:val="single" w:sz="4" w:space="0" w:color="000000"/>
              <w:bottom w:val="single" w:sz="4" w:space="0" w:color="000000"/>
              <w:right w:val="single" w:sz="4" w:space="0" w:color="000000"/>
            </w:tcBorders>
            <w:vAlign w:val="center"/>
          </w:tcPr>
          <w:p w14:paraId="62FB80D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2-15 %</w:t>
            </w:r>
          </w:p>
        </w:tc>
        <w:tc>
          <w:tcPr>
            <w:tcW w:w="1021" w:type="dxa"/>
            <w:tcBorders>
              <w:top w:val="single" w:sz="4" w:space="0" w:color="000000"/>
              <w:left w:val="single" w:sz="4" w:space="0" w:color="000000"/>
              <w:bottom w:val="single" w:sz="4" w:space="0" w:color="000000"/>
              <w:right w:val="single" w:sz="4" w:space="0" w:color="000000"/>
            </w:tcBorders>
            <w:vAlign w:val="center"/>
          </w:tcPr>
          <w:p w14:paraId="6589A57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10-25 %</w:t>
            </w:r>
          </w:p>
        </w:tc>
        <w:tc>
          <w:tcPr>
            <w:tcW w:w="1021" w:type="dxa"/>
            <w:tcBorders>
              <w:top w:val="single" w:sz="4" w:space="0" w:color="000000"/>
              <w:left w:val="single" w:sz="4" w:space="0" w:color="000000"/>
              <w:bottom w:val="single" w:sz="4" w:space="0" w:color="000000"/>
              <w:right w:val="single" w:sz="4" w:space="0" w:color="000000"/>
            </w:tcBorders>
            <w:vAlign w:val="center"/>
          </w:tcPr>
          <w:p w14:paraId="6C9DDAB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15-20 %</w:t>
            </w:r>
          </w:p>
        </w:tc>
        <w:tc>
          <w:tcPr>
            <w:tcW w:w="1021" w:type="dxa"/>
            <w:tcBorders>
              <w:top w:val="single" w:sz="4" w:space="0" w:color="000000"/>
              <w:left w:val="single" w:sz="4" w:space="0" w:color="000000"/>
              <w:bottom w:val="single" w:sz="4" w:space="0" w:color="000000"/>
              <w:right w:val="single" w:sz="4" w:space="0" w:color="000000"/>
            </w:tcBorders>
            <w:vAlign w:val="center"/>
          </w:tcPr>
          <w:p w14:paraId="7EDD5EF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15-30 %</w:t>
            </w:r>
          </w:p>
        </w:tc>
        <w:tc>
          <w:tcPr>
            <w:tcW w:w="1021" w:type="dxa"/>
            <w:tcBorders>
              <w:top w:val="single" w:sz="4" w:space="0" w:color="000000"/>
              <w:left w:val="single" w:sz="4" w:space="0" w:color="000000"/>
              <w:bottom w:val="single" w:sz="4" w:space="0" w:color="000000"/>
              <w:right w:val="single" w:sz="4" w:space="0" w:color="000000"/>
            </w:tcBorders>
            <w:vAlign w:val="center"/>
          </w:tcPr>
          <w:p w14:paraId="0D90657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30-40 %</w:t>
            </w:r>
          </w:p>
        </w:tc>
      </w:tr>
      <w:tr w:rsidR="00FF1E38" w:rsidRPr="00FF1E38" w14:paraId="2BA20F0D"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27E73F1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6.</w:t>
            </w:r>
          </w:p>
        </w:tc>
        <w:tc>
          <w:tcPr>
            <w:tcW w:w="2325" w:type="dxa"/>
            <w:tcBorders>
              <w:top w:val="single" w:sz="4" w:space="0" w:color="000000"/>
              <w:left w:val="single" w:sz="4" w:space="0" w:color="000000"/>
              <w:bottom w:val="single" w:sz="4" w:space="0" w:color="000000"/>
              <w:right w:val="single" w:sz="4" w:space="0" w:color="000000"/>
            </w:tcBorders>
          </w:tcPr>
          <w:p w14:paraId="6D6BBB8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Gornji grad - Medveščak</w:t>
            </w:r>
          </w:p>
        </w:tc>
        <w:tc>
          <w:tcPr>
            <w:tcW w:w="1134" w:type="dxa"/>
            <w:tcBorders>
              <w:top w:val="single" w:sz="4" w:space="0" w:color="000000"/>
              <w:left w:val="single" w:sz="4" w:space="0" w:color="000000"/>
              <w:bottom w:val="single" w:sz="4" w:space="0" w:color="000000"/>
              <w:right w:val="single" w:sz="4" w:space="0" w:color="000000"/>
            </w:tcBorders>
            <w:vAlign w:val="center"/>
          </w:tcPr>
          <w:p w14:paraId="59052A8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17.445</w:t>
            </w:r>
          </w:p>
        </w:tc>
        <w:tc>
          <w:tcPr>
            <w:tcW w:w="1021" w:type="dxa"/>
            <w:tcBorders>
              <w:top w:val="single" w:sz="4" w:space="0" w:color="000000"/>
              <w:left w:val="single" w:sz="4" w:space="0" w:color="000000"/>
              <w:bottom w:val="single" w:sz="4" w:space="0" w:color="000000"/>
              <w:right w:val="single" w:sz="4" w:space="0" w:color="000000"/>
            </w:tcBorders>
            <w:vAlign w:val="center"/>
          </w:tcPr>
          <w:p w14:paraId="363CDE1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3-10 %</w:t>
            </w:r>
          </w:p>
        </w:tc>
        <w:tc>
          <w:tcPr>
            <w:tcW w:w="1021" w:type="dxa"/>
            <w:tcBorders>
              <w:top w:val="single" w:sz="4" w:space="0" w:color="000000"/>
              <w:left w:val="single" w:sz="4" w:space="0" w:color="000000"/>
              <w:bottom w:val="single" w:sz="4" w:space="0" w:color="000000"/>
              <w:right w:val="single" w:sz="4" w:space="0" w:color="000000"/>
            </w:tcBorders>
            <w:vAlign w:val="center"/>
          </w:tcPr>
          <w:p w14:paraId="58213E3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15-20 %</w:t>
            </w:r>
          </w:p>
        </w:tc>
        <w:tc>
          <w:tcPr>
            <w:tcW w:w="1021" w:type="dxa"/>
            <w:tcBorders>
              <w:top w:val="single" w:sz="4" w:space="0" w:color="000000"/>
              <w:left w:val="single" w:sz="4" w:space="0" w:color="000000"/>
              <w:bottom w:val="single" w:sz="4" w:space="0" w:color="000000"/>
              <w:right w:val="single" w:sz="4" w:space="0" w:color="000000"/>
            </w:tcBorders>
            <w:vAlign w:val="center"/>
          </w:tcPr>
          <w:p w14:paraId="0E5DD69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15-60 %</w:t>
            </w:r>
          </w:p>
        </w:tc>
        <w:tc>
          <w:tcPr>
            <w:tcW w:w="1021" w:type="dxa"/>
            <w:tcBorders>
              <w:top w:val="single" w:sz="4" w:space="0" w:color="000000"/>
              <w:left w:val="single" w:sz="4" w:space="0" w:color="000000"/>
              <w:bottom w:val="single" w:sz="4" w:space="0" w:color="000000"/>
              <w:right w:val="single" w:sz="4" w:space="0" w:color="000000"/>
            </w:tcBorders>
            <w:vAlign w:val="center"/>
          </w:tcPr>
          <w:p w14:paraId="40FD772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15-30 %</w:t>
            </w:r>
          </w:p>
        </w:tc>
        <w:tc>
          <w:tcPr>
            <w:tcW w:w="1021" w:type="dxa"/>
            <w:tcBorders>
              <w:top w:val="single" w:sz="4" w:space="0" w:color="000000"/>
              <w:left w:val="single" w:sz="4" w:space="0" w:color="000000"/>
              <w:bottom w:val="single" w:sz="4" w:space="0" w:color="000000"/>
              <w:right w:val="single" w:sz="4" w:space="0" w:color="000000"/>
            </w:tcBorders>
            <w:vAlign w:val="center"/>
          </w:tcPr>
          <w:p w14:paraId="56D1046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30-40 %</w:t>
            </w:r>
          </w:p>
        </w:tc>
      </w:tr>
      <w:tr w:rsidR="00FF1E38" w:rsidRPr="00FF1E38" w14:paraId="2F91C23E"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03282B5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7.</w:t>
            </w:r>
          </w:p>
        </w:tc>
        <w:tc>
          <w:tcPr>
            <w:tcW w:w="2325" w:type="dxa"/>
            <w:tcBorders>
              <w:top w:val="single" w:sz="4" w:space="0" w:color="000000"/>
              <w:left w:val="single" w:sz="4" w:space="0" w:color="000000"/>
              <w:bottom w:val="single" w:sz="4" w:space="0" w:color="000000"/>
              <w:right w:val="single" w:sz="4" w:space="0" w:color="000000"/>
            </w:tcBorders>
          </w:tcPr>
          <w:p w14:paraId="37132BE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Maksimir</w:t>
            </w:r>
          </w:p>
        </w:tc>
        <w:tc>
          <w:tcPr>
            <w:tcW w:w="1134" w:type="dxa"/>
            <w:tcBorders>
              <w:top w:val="single" w:sz="4" w:space="0" w:color="000000"/>
              <w:left w:val="single" w:sz="4" w:space="0" w:color="000000"/>
              <w:bottom w:val="single" w:sz="4" w:space="0" w:color="000000"/>
              <w:right w:val="single" w:sz="4" w:space="0" w:color="000000"/>
            </w:tcBorders>
            <w:vAlign w:val="center"/>
          </w:tcPr>
          <w:p w14:paraId="7588167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24.606</w:t>
            </w:r>
          </w:p>
        </w:tc>
        <w:tc>
          <w:tcPr>
            <w:tcW w:w="1021" w:type="dxa"/>
            <w:tcBorders>
              <w:top w:val="single" w:sz="4" w:space="0" w:color="000000"/>
              <w:left w:val="single" w:sz="4" w:space="0" w:color="000000"/>
              <w:bottom w:val="single" w:sz="4" w:space="0" w:color="000000"/>
              <w:right w:val="single" w:sz="4" w:space="0" w:color="000000"/>
            </w:tcBorders>
            <w:vAlign w:val="center"/>
          </w:tcPr>
          <w:p w14:paraId="00D279A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5-10 %</w:t>
            </w:r>
          </w:p>
        </w:tc>
        <w:tc>
          <w:tcPr>
            <w:tcW w:w="1021" w:type="dxa"/>
            <w:tcBorders>
              <w:top w:val="single" w:sz="4" w:space="0" w:color="000000"/>
              <w:left w:val="single" w:sz="4" w:space="0" w:color="000000"/>
              <w:bottom w:val="single" w:sz="4" w:space="0" w:color="000000"/>
              <w:right w:val="single" w:sz="4" w:space="0" w:color="000000"/>
            </w:tcBorders>
            <w:vAlign w:val="center"/>
          </w:tcPr>
          <w:p w14:paraId="2592760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10-20 %</w:t>
            </w:r>
          </w:p>
        </w:tc>
        <w:tc>
          <w:tcPr>
            <w:tcW w:w="1021" w:type="dxa"/>
            <w:tcBorders>
              <w:top w:val="single" w:sz="4" w:space="0" w:color="000000"/>
              <w:left w:val="single" w:sz="4" w:space="0" w:color="000000"/>
              <w:bottom w:val="single" w:sz="4" w:space="0" w:color="000000"/>
              <w:right w:val="single" w:sz="4" w:space="0" w:color="000000"/>
            </w:tcBorders>
            <w:vAlign w:val="center"/>
          </w:tcPr>
          <w:p w14:paraId="7EC5D8E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15-25 %</w:t>
            </w:r>
          </w:p>
        </w:tc>
        <w:tc>
          <w:tcPr>
            <w:tcW w:w="1021" w:type="dxa"/>
            <w:tcBorders>
              <w:top w:val="single" w:sz="4" w:space="0" w:color="000000"/>
              <w:left w:val="single" w:sz="4" w:space="0" w:color="000000"/>
              <w:bottom w:val="single" w:sz="4" w:space="0" w:color="000000"/>
              <w:right w:val="single" w:sz="4" w:space="0" w:color="000000"/>
            </w:tcBorders>
            <w:vAlign w:val="center"/>
          </w:tcPr>
          <w:p w14:paraId="071E374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20-30 %</w:t>
            </w:r>
          </w:p>
        </w:tc>
        <w:tc>
          <w:tcPr>
            <w:tcW w:w="1021" w:type="dxa"/>
            <w:tcBorders>
              <w:top w:val="single" w:sz="4" w:space="0" w:color="000000"/>
              <w:left w:val="single" w:sz="4" w:space="0" w:color="000000"/>
              <w:bottom w:val="single" w:sz="4" w:space="0" w:color="000000"/>
              <w:right w:val="single" w:sz="4" w:space="0" w:color="000000"/>
            </w:tcBorders>
            <w:vAlign w:val="center"/>
          </w:tcPr>
          <w:p w14:paraId="2D3A45B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30-50 %</w:t>
            </w:r>
          </w:p>
        </w:tc>
      </w:tr>
      <w:tr w:rsidR="00FF1E38" w:rsidRPr="00FF1E38" w14:paraId="5313E348"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05D59DE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8.</w:t>
            </w:r>
          </w:p>
        </w:tc>
        <w:tc>
          <w:tcPr>
            <w:tcW w:w="2325" w:type="dxa"/>
            <w:tcBorders>
              <w:top w:val="single" w:sz="4" w:space="0" w:color="000000"/>
              <w:left w:val="single" w:sz="4" w:space="0" w:color="000000"/>
              <w:bottom w:val="single" w:sz="4" w:space="0" w:color="000000"/>
              <w:right w:val="single" w:sz="4" w:space="0" w:color="000000"/>
            </w:tcBorders>
          </w:tcPr>
          <w:p w14:paraId="6F17E83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Novi Zagreb - istok</w:t>
            </w:r>
          </w:p>
        </w:tc>
        <w:tc>
          <w:tcPr>
            <w:tcW w:w="1134" w:type="dxa"/>
            <w:tcBorders>
              <w:top w:val="single" w:sz="4" w:space="0" w:color="000000"/>
              <w:left w:val="single" w:sz="4" w:space="0" w:color="000000"/>
              <w:bottom w:val="single" w:sz="4" w:space="0" w:color="000000"/>
              <w:right w:val="single" w:sz="4" w:space="0" w:color="000000"/>
            </w:tcBorders>
            <w:vAlign w:val="center"/>
          </w:tcPr>
          <w:p w14:paraId="0335118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29.068</w:t>
            </w:r>
          </w:p>
        </w:tc>
        <w:tc>
          <w:tcPr>
            <w:tcW w:w="1021" w:type="dxa"/>
            <w:tcBorders>
              <w:top w:val="single" w:sz="4" w:space="0" w:color="000000"/>
              <w:left w:val="single" w:sz="4" w:space="0" w:color="000000"/>
              <w:bottom w:val="single" w:sz="4" w:space="0" w:color="000000"/>
              <w:right w:val="single" w:sz="4" w:space="0" w:color="000000"/>
            </w:tcBorders>
            <w:vAlign w:val="center"/>
          </w:tcPr>
          <w:p w14:paraId="25EF1A4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3-5 %</w:t>
            </w:r>
          </w:p>
        </w:tc>
        <w:tc>
          <w:tcPr>
            <w:tcW w:w="1021" w:type="dxa"/>
            <w:tcBorders>
              <w:top w:val="single" w:sz="4" w:space="0" w:color="000000"/>
              <w:left w:val="single" w:sz="4" w:space="0" w:color="000000"/>
              <w:bottom w:val="single" w:sz="4" w:space="0" w:color="000000"/>
              <w:right w:val="single" w:sz="4" w:space="0" w:color="000000"/>
            </w:tcBorders>
            <w:vAlign w:val="center"/>
          </w:tcPr>
          <w:p w14:paraId="60CFD74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10-15 %</w:t>
            </w:r>
          </w:p>
        </w:tc>
        <w:tc>
          <w:tcPr>
            <w:tcW w:w="1021" w:type="dxa"/>
            <w:tcBorders>
              <w:top w:val="single" w:sz="4" w:space="0" w:color="000000"/>
              <w:left w:val="single" w:sz="4" w:space="0" w:color="000000"/>
              <w:bottom w:val="single" w:sz="4" w:space="0" w:color="000000"/>
              <w:right w:val="single" w:sz="4" w:space="0" w:color="000000"/>
            </w:tcBorders>
            <w:vAlign w:val="center"/>
          </w:tcPr>
          <w:p w14:paraId="2082CC8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10-15 %</w:t>
            </w:r>
          </w:p>
        </w:tc>
        <w:tc>
          <w:tcPr>
            <w:tcW w:w="1021" w:type="dxa"/>
            <w:tcBorders>
              <w:top w:val="single" w:sz="4" w:space="0" w:color="000000"/>
              <w:left w:val="single" w:sz="4" w:space="0" w:color="000000"/>
              <w:bottom w:val="single" w:sz="4" w:space="0" w:color="000000"/>
              <w:right w:val="single" w:sz="4" w:space="0" w:color="000000"/>
            </w:tcBorders>
            <w:vAlign w:val="center"/>
          </w:tcPr>
          <w:p w14:paraId="54EE56E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20-30 %</w:t>
            </w:r>
          </w:p>
        </w:tc>
        <w:tc>
          <w:tcPr>
            <w:tcW w:w="1021" w:type="dxa"/>
            <w:tcBorders>
              <w:top w:val="single" w:sz="4" w:space="0" w:color="000000"/>
              <w:left w:val="single" w:sz="4" w:space="0" w:color="000000"/>
              <w:bottom w:val="single" w:sz="4" w:space="0" w:color="000000"/>
              <w:right w:val="single" w:sz="4" w:space="0" w:color="000000"/>
            </w:tcBorders>
            <w:vAlign w:val="center"/>
          </w:tcPr>
          <w:p w14:paraId="5688A44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40-45 %</w:t>
            </w:r>
          </w:p>
        </w:tc>
      </w:tr>
      <w:tr w:rsidR="00FF1E38" w:rsidRPr="00FF1E38" w14:paraId="0AB0FAFB"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3D031BA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9.</w:t>
            </w:r>
          </w:p>
        </w:tc>
        <w:tc>
          <w:tcPr>
            <w:tcW w:w="2325" w:type="dxa"/>
            <w:tcBorders>
              <w:top w:val="single" w:sz="4" w:space="0" w:color="000000"/>
              <w:left w:val="single" w:sz="4" w:space="0" w:color="000000"/>
              <w:bottom w:val="single" w:sz="4" w:space="0" w:color="000000"/>
              <w:right w:val="single" w:sz="4" w:space="0" w:color="000000"/>
            </w:tcBorders>
          </w:tcPr>
          <w:p w14:paraId="3B49592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Novi Zagreb - zapad</w:t>
            </w:r>
          </w:p>
        </w:tc>
        <w:tc>
          <w:tcPr>
            <w:tcW w:w="1134" w:type="dxa"/>
            <w:tcBorders>
              <w:top w:val="single" w:sz="4" w:space="0" w:color="000000"/>
              <w:left w:val="single" w:sz="4" w:space="0" w:color="000000"/>
              <w:bottom w:val="single" w:sz="4" w:space="0" w:color="000000"/>
              <w:right w:val="single" w:sz="4" w:space="0" w:color="000000"/>
            </w:tcBorders>
            <w:vAlign w:val="center"/>
          </w:tcPr>
          <w:p w14:paraId="07EDBB1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27.580</w:t>
            </w:r>
          </w:p>
        </w:tc>
        <w:tc>
          <w:tcPr>
            <w:tcW w:w="1021" w:type="dxa"/>
            <w:tcBorders>
              <w:top w:val="single" w:sz="4" w:space="0" w:color="000000"/>
              <w:left w:val="single" w:sz="4" w:space="0" w:color="000000"/>
              <w:bottom w:val="single" w:sz="4" w:space="0" w:color="000000"/>
              <w:right w:val="single" w:sz="4" w:space="0" w:color="000000"/>
            </w:tcBorders>
            <w:vAlign w:val="center"/>
          </w:tcPr>
          <w:p w14:paraId="462FCC6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2-6 %</w:t>
            </w:r>
          </w:p>
        </w:tc>
        <w:tc>
          <w:tcPr>
            <w:tcW w:w="1021" w:type="dxa"/>
            <w:tcBorders>
              <w:top w:val="single" w:sz="4" w:space="0" w:color="000000"/>
              <w:left w:val="single" w:sz="4" w:space="0" w:color="000000"/>
              <w:bottom w:val="single" w:sz="4" w:space="0" w:color="000000"/>
              <w:right w:val="single" w:sz="4" w:space="0" w:color="000000"/>
            </w:tcBorders>
            <w:vAlign w:val="center"/>
          </w:tcPr>
          <w:p w14:paraId="32C1843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7-20 %</w:t>
            </w:r>
          </w:p>
        </w:tc>
        <w:tc>
          <w:tcPr>
            <w:tcW w:w="1021" w:type="dxa"/>
            <w:tcBorders>
              <w:top w:val="single" w:sz="4" w:space="0" w:color="000000"/>
              <w:left w:val="single" w:sz="4" w:space="0" w:color="000000"/>
              <w:bottom w:val="single" w:sz="4" w:space="0" w:color="000000"/>
              <w:right w:val="single" w:sz="4" w:space="0" w:color="000000"/>
            </w:tcBorders>
            <w:vAlign w:val="center"/>
          </w:tcPr>
          <w:p w14:paraId="44F9913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10-20 %</w:t>
            </w:r>
          </w:p>
        </w:tc>
        <w:tc>
          <w:tcPr>
            <w:tcW w:w="1021" w:type="dxa"/>
            <w:tcBorders>
              <w:top w:val="single" w:sz="4" w:space="0" w:color="000000"/>
              <w:left w:val="single" w:sz="4" w:space="0" w:color="000000"/>
              <w:bottom w:val="single" w:sz="4" w:space="0" w:color="000000"/>
              <w:right w:val="single" w:sz="4" w:space="0" w:color="000000"/>
            </w:tcBorders>
            <w:vAlign w:val="center"/>
          </w:tcPr>
          <w:p w14:paraId="35459C8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10-50 %</w:t>
            </w:r>
          </w:p>
        </w:tc>
        <w:tc>
          <w:tcPr>
            <w:tcW w:w="1021" w:type="dxa"/>
            <w:tcBorders>
              <w:top w:val="single" w:sz="4" w:space="0" w:color="000000"/>
              <w:left w:val="single" w:sz="4" w:space="0" w:color="000000"/>
              <w:bottom w:val="single" w:sz="4" w:space="0" w:color="000000"/>
              <w:right w:val="single" w:sz="4" w:space="0" w:color="000000"/>
            </w:tcBorders>
            <w:vAlign w:val="center"/>
          </w:tcPr>
          <w:p w14:paraId="4A9329A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50-60 %</w:t>
            </w:r>
          </w:p>
        </w:tc>
      </w:tr>
      <w:tr w:rsidR="00FF1E38" w:rsidRPr="00FF1E38" w14:paraId="6682FC1E"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42991B7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10.</w:t>
            </w:r>
          </w:p>
        </w:tc>
        <w:tc>
          <w:tcPr>
            <w:tcW w:w="2325" w:type="dxa"/>
            <w:tcBorders>
              <w:top w:val="single" w:sz="4" w:space="0" w:color="000000"/>
              <w:left w:val="single" w:sz="4" w:space="0" w:color="000000"/>
              <w:bottom w:val="single" w:sz="4" w:space="0" w:color="000000"/>
              <w:right w:val="single" w:sz="4" w:space="0" w:color="000000"/>
            </w:tcBorders>
          </w:tcPr>
          <w:p w14:paraId="06BF8B7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Peščenica - Žitnjak</w:t>
            </w:r>
          </w:p>
        </w:tc>
        <w:tc>
          <w:tcPr>
            <w:tcW w:w="1134" w:type="dxa"/>
            <w:tcBorders>
              <w:top w:val="single" w:sz="4" w:space="0" w:color="000000"/>
              <w:left w:val="single" w:sz="4" w:space="0" w:color="000000"/>
              <w:bottom w:val="single" w:sz="4" w:space="0" w:color="000000"/>
              <w:right w:val="single" w:sz="4" w:space="0" w:color="000000"/>
            </w:tcBorders>
            <w:vAlign w:val="center"/>
          </w:tcPr>
          <w:p w14:paraId="7D56D30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26.770</w:t>
            </w:r>
          </w:p>
        </w:tc>
        <w:tc>
          <w:tcPr>
            <w:tcW w:w="1021" w:type="dxa"/>
            <w:tcBorders>
              <w:top w:val="single" w:sz="4" w:space="0" w:color="000000"/>
              <w:left w:val="single" w:sz="4" w:space="0" w:color="000000"/>
              <w:bottom w:val="single" w:sz="4" w:space="0" w:color="000000"/>
              <w:right w:val="single" w:sz="4" w:space="0" w:color="000000"/>
            </w:tcBorders>
            <w:vAlign w:val="center"/>
          </w:tcPr>
          <w:p w14:paraId="06EBDD7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3-5 %</w:t>
            </w:r>
          </w:p>
        </w:tc>
        <w:tc>
          <w:tcPr>
            <w:tcW w:w="1021" w:type="dxa"/>
            <w:tcBorders>
              <w:top w:val="single" w:sz="4" w:space="0" w:color="000000"/>
              <w:left w:val="single" w:sz="4" w:space="0" w:color="000000"/>
              <w:bottom w:val="single" w:sz="4" w:space="0" w:color="000000"/>
              <w:right w:val="single" w:sz="4" w:space="0" w:color="000000"/>
            </w:tcBorders>
            <w:vAlign w:val="center"/>
          </w:tcPr>
          <w:p w14:paraId="219AD64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15-20 %</w:t>
            </w:r>
          </w:p>
        </w:tc>
        <w:tc>
          <w:tcPr>
            <w:tcW w:w="1021" w:type="dxa"/>
            <w:tcBorders>
              <w:top w:val="single" w:sz="4" w:space="0" w:color="000000"/>
              <w:left w:val="single" w:sz="4" w:space="0" w:color="000000"/>
              <w:bottom w:val="single" w:sz="4" w:space="0" w:color="000000"/>
              <w:right w:val="single" w:sz="4" w:space="0" w:color="000000"/>
            </w:tcBorders>
            <w:vAlign w:val="center"/>
          </w:tcPr>
          <w:p w14:paraId="4C1A107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10-25 %</w:t>
            </w:r>
          </w:p>
        </w:tc>
        <w:tc>
          <w:tcPr>
            <w:tcW w:w="1021" w:type="dxa"/>
            <w:tcBorders>
              <w:top w:val="single" w:sz="4" w:space="0" w:color="000000"/>
              <w:left w:val="single" w:sz="4" w:space="0" w:color="000000"/>
              <w:bottom w:val="single" w:sz="4" w:space="0" w:color="000000"/>
              <w:right w:val="single" w:sz="4" w:space="0" w:color="000000"/>
            </w:tcBorders>
            <w:vAlign w:val="center"/>
          </w:tcPr>
          <w:p w14:paraId="1EF5ABE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15-30 %</w:t>
            </w:r>
          </w:p>
        </w:tc>
        <w:tc>
          <w:tcPr>
            <w:tcW w:w="1021" w:type="dxa"/>
            <w:tcBorders>
              <w:top w:val="single" w:sz="4" w:space="0" w:color="000000"/>
              <w:left w:val="single" w:sz="4" w:space="0" w:color="000000"/>
              <w:bottom w:val="single" w:sz="4" w:space="0" w:color="000000"/>
              <w:right w:val="single" w:sz="4" w:space="0" w:color="000000"/>
            </w:tcBorders>
            <w:vAlign w:val="center"/>
          </w:tcPr>
          <w:p w14:paraId="51D153A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25-40 %</w:t>
            </w:r>
          </w:p>
        </w:tc>
      </w:tr>
      <w:tr w:rsidR="00FF1E38" w:rsidRPr="00FF1E38" w14:paraId="2ABB674C"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4A0EEB8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11.</w:t>
            </w:r>
          </w:p>
        </w:tc>
        <w:tc>
          <w:tcPr>
            <w:tcW w:w="2325" w:type="dxa"/>
            <w:tcBorders>
              <w:top w:val="single" w:sz="4" w:space="0" w:color="000000"/>
              <w:left w:val="single" w:sz="4" w:space="0" w:color="000000"/>
              <w:bottom w:val="single" w:sz="4" w:space="0" w:color="000000"/>
              <w:right w:val="single" w:sz="4" w:space="0" w:color="000000"/>
            </w:tcBorders>
          </w:tcPr>
          <w:p w14:paraId="396F8C9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Podsljeme</w:t>
            </w:r>
          </w:p>
        </w:tc>
        <w:tc>
          <w:tcPr>
            <w:tcW w:w="1134" w:type="dxa"/>
            <w:tcBorders>
              <w:top w:val="single" w:sz="4" w:space="0" w:color="000000"/>
              <w:left w:val="single" w:sz="4" w:space="0" w:color="000000"/>
              <w:bottom w:val="single" w:sz="4" w:space="0" w:color="000000"/>
              <w:right w:val="single" w:sz="4" w:space="0" w:color="000000"/>
            </w:tcBorders>
            <w:vAlign w:val="center"/>
          </w:tcPr>
          <w:p w14:paraId="0770525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8.834</w:t>
            </w:r>
          </w:p>
        </w:tc>
        <w:tc>
          <w:tcPr>
            <w:tcW w:w="1021" w:type="dxa"/>
            <w:tcBorders>
              <w:top w:val="single" w:sz="4" w:space="0" w:color="000000"/>
              <w:left w:val="single" w:sz="4" w:space="0" w:color="000000"/>
              <w:bottom w:val="single" w:sz="4" w:space="0" w:color="000000"/>
              <w:right w:val="single" w:sz="4" w:space="0" w:color="000000"/>
            </w:tcBorders>
            <w:vAlign w:val="center"/>
          </w:tcPr>
          <w:p w14:paraId="7B12DDB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2-10 %</w:t>
            </w:r>
          </w:p>
        </w:tc>
        <w:tc>
          <w:tcPr>
            <w:tcW w:w="1021" w:type="dxa"/>
            <w:tcBorders>
              <w:top w:val="single" w:sz="4" w:space="0" w:color="000000"/>
              <w:left w:val="single" w:sz="4" w:space="0" w:color="000000"/>
              <w:bottom w:val="single" w:sz="4" w:space="0" w:color="000000"/>
              <w:right w:val="single" w:sz="4" w:space="0" w:color="000000"/>
            </w:tcBorders>
            <w:vAlign w:val="center"/>
          </w:tcPr>
          <w:p w14:paraId="1DD1A69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10-20 %</w:t>
            </w:r>
          </w:p>
        </w:tc>
        <w:tc>
          <w:tcPr>
            <w:tcW w:w="1021" w:type="dxa"/>
            <w:tcBorders>
              <w:top w:val="single" w:sz="4" w:space="0" w:color="000000"/>
              <w:left w:val="single" w:sz="4" w:space="0" w:color="000000"/>
              <w:bottom w:val="single" w:sz="4" w:space="0" w:color="000000"/>
              <w:right w:val="single" w:sz="4" w:space="0" w:color="000000"/>
            </w:tcBorders>
            <w:vAlign w:val="center"/>
          </w:tcPr>
          <w:p w14:paraId="0EF04C9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15-20 %</w:t>
            </w:r>
          </w:p>
        </w:tc>
        <w:tc>
          <w:tcPr>
            <w:tcW w:w="1021" w:type="dxa"/>
            <w:tcBorders>
              <w:top w:val="single" w:sz="4" w:space="0" w:color="000000"/>
              <w:left w:val="single" w:sz="4" w:space="0" w:color="000000"/>
              <w:bottom w:val="single" w:sz="4" w:space="0" w:color="000000"/>
              <w:right w:val="single" w:sz="4" w:space="0" w:color="000000"/>
            </w:tcBorders>
            <w:vAlign w:val="center"/>
          </w:tcPr>
          <w:p w14:paraId="33B7FC8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25-30 %</w:t>
            </w:r>
          </w:p>
        </w:tc>
        <w:tc>
          <w:tcPr>
            <w:tcW w:w="1021" w:type="dxa"/>
            <w:tcBorders>
              <w:top w:val="single" w:sz="4" w:space="0" w:color="000000"/>
              <w:left w:val="single" w:sz="4" w:space="0" w:color="000000"/>
              <w:bottom w:val="single" w:sz="4" w:space="0" w:color="000000"/>
              <w:right w:val="single" w:sz="4" w:space="0" w:color="000000"/>
            </w:tcBorders>
            <w:vAlign w:val="center"/>
          </w:tcPr>
          <w:p w14:paraId="345E8FB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30-40 %</w:t>
            </w:r>
          </w:p>
        </w:tc>
      </w:tr>
      <w:tr w:rsidR="00FF1E38" w:rsidRPr="00FF1E38" w14:paraId="5A9EA999"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72769AF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12.</w:t>
            </w:r>
          </w:p>
        </w:tc>
        <w:tc>
          <w:tcPr>
            <w:tcW w:w="2325" w:type="dxa"/>
            <w:tcBorders>
              <w:top w:val="single" w:sz="4" w:space="0" w:color="000000"/>
              <w:left w:val="single" w:sz="4" w:space="0" w:color="000000"/>
              <w:bottom w:val="single" w:sz="4" w:space="0" w:color="000000"/>
              <w:right w:val="single" w:sz="4" w:space="0" w:color="000000"/>
            </w:tcBorders>
          </w:tcPr>
          <w:p w14:paraId="4B23ACB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Podsused - Vrapče</w:t>
            </w:r>
          </w:p>
        </w:tc>
        <w:tc>
          <w:tcPr>
            <w:tcW w:w="1134" w:type="dxa"/>
            <w:tcBorders>
              <w:top w:val="single" w:sz="4" w:space="0" w:color="000000"/>
              <w:left w:val="single" w:sz="4" w:space="0" w:color="000000"/>
              <w:bottom w:val="single" w:sz="4" w:space="0" w:color="000000"/>
              <w:right w:val="single" w:sz="4" w:space="0" w:color="000000"/>
            </w:tcBorders>
            <w:vAlign w:val="center"/>
          </w:tcPr>
          <w:p w14:paraId="32A6420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20.089</w:t>
            </w:r>
          </w:p>
        </w:tc>
        <w:tc>
          <w:tcPr>
            <w:tcW w:w="1021" w:type="dxa"/>
            <w:tcBorders>
              <w:top w:val="single" w:sz="4" w:space="0" w:color="000000"/>
              <w:left w:val="single" w:sz="4" w:space="0" w:color="000000"/>
              <w:bottom w:val="single" w:sz="4" w:space="0" w:color="000000"/>
              <w:right w:val="single" w:sz="4" w:space="0" w:color="000000"/>
            </w:tcBorders>
            <w:vAlign w:val="center"/>
          </w:tcPr>
          <w:p w14:paraId="2F3EB91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1-5 %</w:t>
            </w:r>
          </w:p>
        </w:tc>
        <w:tc>
          <w:tcPr>
            <w:tcW w:w="1021" w:type="dxa"/>
            <w:tcBorders>
              <w:top w:val="single" w:sz="4" w:space="0" w:color="000000"/>
              <w:left w:val="single" w:sz="4" w:space="0" w:color="000000"/>
              <w:bottom w:val="single" w:sz="4" w:space="0" w:color="000000"/>
              <w:right w:val="single" w:sz="4" w:space="0" w:color="000000"/>
            </w:tcBorders>
            <w:vAlign w:val="center"/>
          </w:tcPr>
          <w:p w14:paraId="144F7EF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10-15 %</w:t>
            </w:r>
          </w:p>
        </w:tc>
        <w:tc>
          <w:tcPr>
            <w:tcW w:w="1021" w:type="dxa"/>
            <w:tcBorders>
              <w:top w:val="single" w:sz="4" w:space="0" w:color="000000"/>
              <w:left w:val="single" w:sz="4" w:space="0" w:color="000000"/>
              <w:bottom w:val="single" w:sz="4" w:space="0" w:color="000000"/>
              <w:right w:val="single" w:sz="4" w:space="0" w:color="000000"/>
            </w:tcBorders>
            <w:vAlign w:val="center"/>
          </w:tcPr>
          <w:p w14:paraId="48C5F0B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10-25 %</w:t>
            </w:r>
          </w:p>
        </w:tc>
        <w:tc>
          <w:tcPr>
            <w:tcW w:w="1021" w:type="dxa"/>
            <w:tcBorders>
              <w:top w:val="single" w:sz="4" w:space="0" w:color="000000"/>
              <w:left w:val="single" w:sz="4" w:space="0" w:color="000000"/>
              <w:bottom w:val="single" w:sz="4" w:space="0" w:color="000000"/>
              <w:right w:val="single" w:sz="4" w:space="0" w:color="000000"/>
            </w:tcBorders>
            <w:vAlign w:val="center"/>
          </w:tcPr>
          <w:p w14:paraId="6CB07E6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20-40 %</w:t>
            </w:r>
          </w:p>
        </w:tc>
        <w:tc>
          <w:tcPr>
            <w:tcW w:w="1021" w:type="dxa"/>
            <w:tcBorders>
              <w:top w:val="single" w:sz="4" w:space="0" w:color="000000"/>
              <w:left w:val="single" w:sz="4" w:space="0" w:color="000000"/>
              <w:bottom w:val="single" w:sz="4" w:space="0" w:color="000000"/>
              <w:right w:val="single" w:sz="4" w:space="0" w:color="000000"/>
            </w:tcBorders>
            <w:vAlign w:val="center"/>
          </w:tcPr>
          <w:p w14:paraId="49EE6B7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30-50 %</w:t>
            </w:r>
          </w:p>
        </w:tc>
      </w:tr>
      <w:tr w:rsidR="00FF1E38" w:rsidRPr="00FF1E38" w14:paraId="33322A91"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13DD30D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13.</w:t>
            </w:r>
          </w:p>
        </w:tc>
        <w:tc>
          <w:tcPr>
            <w:tcW w:w="2325" w:type="dxa"/>
            <w:tcBorders>
              <w:top w:val="single" w:sz="4" w:space="0" w:color="000000"/>
              <w:left w:val="single" w:sz="4" w:space="0" w:color="000000"/>
              <w:bottom w:val="single" w:sz="4" w:space="0" w:color="000000"/>
              <w:right w:val="single" w:sz="4" w:space="0" w:color="000000"/>
            </w:tcBorders>
          </w:tcPr>
          <w:p w14:paraId="27A7954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Sesvete</w:t>
            </w:r>
          </w:p>
        </w:tc>
        <w:tc>
          <w:tcPr>
            <w:tcW w:w="1134" w:type="dxa"/>
            <w:tcBorders>
              <w:top w:val="single" w:sz="4" w:space="0" w:color="000000"/>
              <w:left w:val="single" w:sz="4" w:space="0" w:color="000000"/>
              <w:bottom w:val="single" w:sz="4" w:space="0" w:color="000000"/>
              <w:right w:val="single" w:sz="4" w:space="0" w:color="000000"/>
            </w:tcBorders>
            <w:vAlign w:val="center"/>
          </w:tcPr>
          <w:p w14:paraId="6316913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30.256</w:t>
            </w:r>
          </w:p>
        </w:tc>
        <w:tc>
          <w:tcPr>
            <w:tcW w:w="1021" w:type="dxa"/>
            <w:tcBorders>
              <w:top w:val="single" w:sz="4" w:space="0" w:color="000000"/>
              <w:left w:val="single" w:sz="4" w:space="0" w:color="000000"/>
              <w:bottom w:val="single" w:sz="4" w:space="0" w:color="000000"/>
              <w:right w:val="single" w:sz="4" w:space="0" w:color="000000"/>
            </w:tcBorders>
            <w:vAlign w:val="center"/>
          </w:tcPr>
          <w:p w14:paraId="73CDF5A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1-5 %</w:t>
            </w:r>
          </w:p>
        </w:tc>
        <w:tc>
          <w:tcPr>
            <w:tcW w:w="1021" w:type="dxa"/>
            <w:tcBorders>
              <w:top w:val="single" w:sz="4" w:space="0" w:color="000000"/>
              <w:left w:val="single" w:sz="4" w:space="0" w:color="000000"/>
              <w:bottom w:val="single" w:sz="4" w:space="0" w:color="000000"/>
              <w:right w:val="single" w:sz="4" w:space="0" w:color="000000"/>
            </w:tcBorders>
            <w:vAlign w:val="center"/>
          </w:tcPr>
          <w:p w14:paraId="3F56A9A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10-15 %</w:t>
            </w:r>
          </w:p>
        </w:tc>
        <w:tc>
          <w:tcPr>
            <w:tcW w:w="1021" w:type="dxa"/>
            <w:tcBorders>
              <w:top w:val="single" w:sz="4" w:space="0" w:color="000000"/>
              <w:left w:val="single" w:sz="4" w:space="0" w:color="000000"/>
              <w:bottom w:val="single" w:sz="4" w:space="0" w:color="000000"/>
              <w:right w:val="single" w:sz="4" w:space="0" w:color="000000"/>
            </w:tcBorders>
            <w:vAlign w:val="center"/>
          </w:tcPr>
          <w:p w14:paraId="7AB6D09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10-25 %</w:t>
            </w:r>
          </w:p>
        </w:tc>
        <w:tc>
          <w:tcPr>
            <w:tcW w:w="1021" w:type="dxa"/>
            <w:tcBorders>
              <w:top w:val="single" w:sz="4" w:space="0" w:color="000000"/>
              <w:left w:val="single" w:sz="4" w:space="0" w:color="000000"/>
              <w:bottom w:val="single" w:sz="4" w:space="0" w:color="000000"/>
              <w:right w:val="single" w:sz="4" w:space="0" w:color="000000"/>
            </w:tcBorders>
            <w:vAlign w:val="center"/>
          </w:tcPr>
          <w:p w14:paraId="526E27A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20-35 %</w:t>
            </w:r>
          </w:p>
        </w:tc>
        <w:tc>
          <w:tcPr>
            <w:tcW w:w="1021" w:type="dxa"/>
            <w:tcBorders>
              <w:top w:val="single" w:sz="4" w:space="0" w:color="000000"/>
              <w:left w:val="single" w:sz="4" w:space="0" w:color="000000"/>
              <w:bottom w:val="single" w:sz="4" w:space="0" w:color="000000"/>
              <w:right w:val="single" w:sz="4" w:space="0" w:color="000000"/>
            </w:tcBorders>
            <w:vAlign w:val="center"/>
          </w:tcPr>
          <w:p w14:paraId="66F3D4A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30-50 %</w:t>
            </w:r>
          </w:p>
        </w:tc>
      </w:tr>
      <w:tr w:rsidR="00FF1E38" w:rsidRPr="00FF1E38" w14:paraId="6A05E8A9"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2697C7F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14.</w:t>
            </w:r>
          </w:p>
        </w:tc>
        <w:tc>
          <w:tcPr>
            <w:tcW w:w="2325" w:type="dxa"/>
            <w:tcBorders>
              <w:top w:val="single" w:sz="4" w:space="0" w:color="000000"/>
              <w:left w:val="single" w:sz="4" w:space="0" w:color="000000"/>
              <w:bottom w:val="single" w:sz="4" w:space="0" w:color="000000"/>
              <w:right w:val="single" w:sz="4" w:space="0" w:color="000000"/>
            </w:tcBorders>
          </w:tcPr>
          <w:p w14:paraId="27DFB0B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Stenjevec</w:t>
            </w:r>
          </w:p>
        </w:tc>
        <w:tc>
          <w:tcPr>
            <w:tcW w:w="1134" w:type="dxa"/>
            <w:tcBorders>
              <w:top w:val="single" w:sz="4" w:space="0" w:color="000000"/>
              <w:left w:val="single" w:sz="4" w:space="0" w:color="000000"/>
              <w:bottom w:val="single" w:sz="4" w:space="0" w:color="000000"/>
              <w:right w:val="single" w:sz="4" w:space="0" w:color="000000"/>
            </w:tcBorders>
            <w:vAlign w:val="center"/>
          </w:tcPr>
          <w:p w14:paraId="4B8B2FB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23.469</w:t>
            </w:r>
          </w:p>
        </w:tc>
        <w:tc>
          <w:tcPr>
            <w:tcW w:w="1021" w:type="dxa"/>
            <w:tcBorders>
              <w:top w:val="single" w:sz="4" w:space="0" w:color="000000"/>
              <w:left w:val="single" w:sz="4" w:space="0" w:color="000000"/>
              <w:bottom w:val="single" w:sz="4" w:space="0" w:color="000000"/>
              <w:right w:val="single" w:sz="4" w:space="0" w:color="000000"/>
            </w:tcBorders>
            <w:vAlign w:val="center"/>
          </w:tcPr>
          <w:p w14:paraId="35B2C4D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1-2 %</w:t>
            </w:r>
          </w:p>
        </w:tc>
        <w:tc>
          <w:tcPr>
            <w:tcW w:w="1021" w:type="dxa"/>
            <w:tcBorders>
              <w:top w:val="single" w:sz="4" w:space="0" w:color="000000"/>
              <w:left w:val="single" w:sz="4" w:space="0" w:color="000000"/>
              <w:bottom w:val="single" w:sz="4" w:space="0" w:color="000000"/>
              <w:right w:val="single" w:sz="4" w:space="0" w:color="000000"/>
            </w:tcBorders>
            <w:vAlign w:val="center"/>
          </w:tcPr>
          <w:p w14:paraId="263656E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3-7 %</w:t>
            </w:r>
          </w:p>
        </w:tc>
        <w:tc>
          <w:tcPr>
            <w:tcW w:w="1021" w:type="dxa"/>
            <w:tcBorders>
              <w:top w:val="single" w:sz="4" w:space="0" w:color="000000"/>
              <w:left w:val="single" w:sz="4" w:space="0" w:color="000000"/>
              <w:bottom w:val="single" w:sz="4" w:space="0" w:color="000000"/>
              <w:right w:val="single" w:sz="4" w:space="0" w:color="000000"/>
            </w:tcBorders>
            <w:vAlign w:val="center"/>
          </w:tcPr>
          <w:p w14:paraId="0DAFC95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10-15 %</w:t>
            </w:r>
          </w:p>
        </w:tc>
        <w:tc>
          <w:tcPr>
            <w:tcW w:w="1021" w:type="dxa"/>
            <w:tcBorders>
              <w:top w:val="single" w:sz="4" w:space="0" w:color="000000"/>
              <w:left w:val="single" w:sz="4" w:space="0" w:color="000000"/>
              <w:bottom w:val="single" w:sz="4" w:space="0" w:color="000000"/>
              <w:right w:val="single" w:sz="4" w:space="0" w:color="000000"/>
            </w:tcBorders>
            <w:vAlign w:val="center"/>
          </w:tcPr>
          <w:p w14:paraId="2BCC9D2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30-40 %</w:t>
            </w:r>
          </w:p>
        </w:tc>
        <w:tc>
          <w:tcPr>
            <w:tcW w:w="1021" w:type="dxa"/>
            <w:tcBorders>
              <w:top w:val="single" w:sz="4" w:space="0" w:color="000000"/>
              <w:left w:val="single" w:sz="4" w:space="0" w:color="000000"/>
              <w:bottom w:val="single" w:sz="4" w:space="0" w:color="000000"/>
              <w:right w:val="single" w:sz="4" w:space="0" w:color="000000"/>
            </w:tcBorders>
            <w:vAlign w:val="center"/>
          </w:tcPr>
          <w:p w14:paraId="63B6772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40-50 %</w:t>
            </w:r>
          </w:p>
        </w:tc>
      </w:tr>
      <w:tr w:rsidR="00FF1E38" w:rsidRPr="00FF1E38" w14:paraId="359AAB3C"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7FBB7EE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15.</w:t>
            </w:r>
          </w:p>
        </w:tc>
        <w:tc>
          <w:tcPr>
            <w:tcW w:w="2325" w:type="dxa"/>
            <w:tcBorders>
              <w:top w:val="single" w:sz="4" w:space="0" w:color="000000"/>
              <w:left w:val="single" w:sz="4" w:space="0" w:color="000000"/>
              <w:bottom w:val="single" w:sz="4" w:space="0" w:color="000000"/>
              <w:right w:val="single" w:sz="4" w:space="0" w:color="000000"/>
            </w:tcBorders>
          </w:tcPr>
          <w:p w14:paraId="57001FC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Trešnjevka - jug</w:t>
            </w:r>
          </w:p>
        </w:tc>
        <w:tc>
          <w:tcPr>
            <w:tcW w:w="1134" w:type="dxa"/>
            <w:tcBorders>
              <w:top w:val="single" w:sz="4" w:space="0" w:color="000000"/>
              <w:left w:val="single" w:sz="4" w:space="0" w:color="000000"/>
              <w:bottom w:val="single" w:sz="4" w:space="0" w:color="000000"/>
              <w:right w:val="single" w:sz="4" w:space="0" w:color="000000"/>
            </w:tcBorders>
            <w:vAlign w:val="center"/>
          </w:tcPr>
          <w:p w14:paraId="3AD040F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34.359</w:t>
            </w:r>
          </w:p>
        </w:tc>
        <w:tc>
          <w:tcPr>
            <w:tcW w:w="1021" w:type="dxa"/>
            <w:tcBorders>
              <w:top w:val="single" w:sz="4" w:space="0" w:color="000000"/>
              <w:left w:val="single" w:sz="4" w:space="0" w:color="000000"/>
              <w:bottom w:val="single" w:sz="4" w:space="0" w:color="000000"/>
              <w:right w:val="single" w:sz="4" w:space="0" w:color="000000"/>
            </w:tcBorders>
            <w:vAlign w:val="center"/>
          </w:tcPr>
          <w:p w14:paraId="6258AFC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0-2 %</w:t>
            </w:r>
          </w:p>
        </w:tc>
        <w:tc>
          <w:tcPr>
            <w:tcW w:w="1021" w:type="dxa"/>
            <w:tcBorders>
              <w:top w:val="single" w:sz="4" w:space="0" w:color="000000"/>
              <w:left w:val="single" w:sz="4" w:space="0" w:color="000000"/>
              <w:bottom w:val="single" w:sz="4" w:space="0" w:color="000000"/>
              <w:right w:val="single" w:sz="4" w:space="0" w:color="000000"/>
            </w:tcBorders>
            <w:vAlign w:val="center"/>
          </w:tcPr>
          <w:p w14:paraId="7F5D192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1-8 %</w:t>
            </w:r>
          </w:p>
        </w:tc>
        <w:tc>
          <w:tcPr>
            <w:tcW w:w="1021" w:type="dxa"/>
            <w:tcBorders>
              <w:top w:val="single" w:sz="4" w:space="0" w:color="000000"/>
              <w:left w:val="single" w:sz="4" w:space="0" w:color="000000"/>
              <w:bottom w:val="single" w:sz="4" w:space="0" w:color="000000"/>
              <w:right w:val="single" w:sz="4" w:space="0" w:color="000000"/>
            </w:tcBorders>
            <w:vAlign w:val="center"/>
          </w:tcPr>
          <w:p w14:paraId="319B94B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5-15 %</w:t>
            </w:r>
          </w:p>
        </w:tc>
        <w:tc>
          <w:tcPr>
            <w:tcW w:w="1021" w:type="dxa"/>
            <w:tcBorders>
              <w:top w:val="single" w:sz="4" w:space="0" w:color="000000"/>
              <w:left w:val="single" w:sz="4" w:space="0" w:color="000000"/>
              <w:bottom w:val="single" w:sz="4" w:space="0" w:color="000000"/>
              <w:right w:val="single" w:sz="4" w:space="0" w:color="000000"/>
            </w:tcBorders>
            <w:vAlign w:val="center"/>
          </w:tcPr>
          <w:p w14:paraId="38A3E66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25-35 %</w:t>
            </w:r>
          </w:p>
        </w:tc>
        <w:tc>
          <w:tcPr>
            <w:tcW w:w="1021" w:type="dxa"/>
            <w:tcBorders>
              <w:top w:val="single" w:sz="4" w:space="0" w:color="000000"/>
              <w:left w:val="single" w:sz="4" w:space="0" w:color="000000"/>
              <w:bottom w:val="single" w:sz="4" w:space="0" w:color="000000"/>
              <w:right w:val="single" w:sz="4" w:space="0" w:color="000000"/>
            </w:tcBorders>
            <w:vAlign w:val="center"/>
          </w:tcPr>
          <w:p w14:paraId="02CAB55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40-50 %</w:t>
            </w:r>
          </w:p>
        </w:tc>
      </w:tr>
      <w:tr w:rsidR="00FF1E38" w:rsidRPr="00FF1E38" w14:paraId="2F4928E8"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09A7E93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16.</w:t>
            </w:r>
          </w:p>
        </w:tc>
        <w:tc>
          <w:tcPr>
            <w:tcW w:w="2325" w:type="dxa"/>
            <w:tcBorders>
              <w:top w:val="single" w:sz="4" w:space="0" w:color="000000"/>
              <w:left w:val="single" w:sz="4" w:space="0" w:color="000000"/>
              <w:bottom w:val="single" w:sz="4" w:space="0" w:color="000000"/>
              <w:right w:val="single" w:sz="4" w:space="0" w:color="000000"/>
            </w:tcBorders>
          </w:tcPr>
          <w:p w14:paraId="09AB2B0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Trešnjevka - sjever</w:t>
            </w:r>
          </w:p>
        </w:tc>
        <w:tc>
          <w:tcPr>
            <w:tcW w:w="1134" w:type="dxa"/>
            <w:tcBorders>
              <w:top w:val="single" w:sz="4" w:space="0" w:color="000000"/>
              <w:left w:val="single" w:sz="4" w:space="0" w:color="000000"/>
              <w:bottom w:val="single" w:sz="4" w:space="0" w:color="000000"/>
              <w:right w:val="single" w:sz="4" w:space="0" w:color="000000"/>
            </w:tcBorders>
            <w:vAlign w:val="center"/>
          </w:tcPr>
          <w:p w14:paraId="069EF7B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31.530</w:t>
            </w:r>
          </w:p>
        </w:tc>
        <w:tc>
          <w:tcPr>
            <w:tcW w:w="1021" w:type="dxa"/>
            <w:tcBorders>
              <w:top w:val="single" w:sz="4" w:space="0" w:color="000000"/>
              <w:left w:val="single" w:sz="4" w:space="0" w:color="000000"/>
              <w:bottom w:val="single" w:sz="4" w:space="0" w:color="000000"/>
              <w:right w:val="single" w:sz="4" w:space="0" w:color="000000"/>
            </w:tcBorders>
            <w:vAlign w:val="center"/>
          </w:tcPr>
          <w:p w14:paraId="1B924CE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3-5 %</w:t>
            </w:r>
          </w:p>
        </w:tc>
        <w:tc>
          <w:tcPr>
            <w:tcW w:w="1021" w:type="dxa"/>
            <w:tcBorders>
              <w:top w:val="single" w:sz="4" w:space="0" w:color="000000"/>
              <w:left w:val="single" w:sz="4" w:space="0" w:color="000000"/>
              <w:bottom w:val="single" w:sz="4" w:space="0" w:color="000000"/>
              <w:right w:val="single" w:sz="4" w:space="0" w:color="000000"/>
            </w:tcBorders>
            <w:vAlign w:val="center"/>
          </w:tcPr>
          <w:p w14:paraId="569DD5F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9-13 %</w:t>
            </w:r>
          </w:p>
        </w:tc>
        <w:tc>
          <w:tcPr>
            <w:tcW w:w="1021" w:type="dxa"/>
            <w:tcBorders>
              <w:top w:val="single" w:sz="4" w:space="0" w:color="000000"/>
              <w:left w:val="single" w:sz="4" w:space="0" w:color="000000"/>
              <w:bottom w:val="single" w:sz="4" w:space="0" w:color="000000"/>
              <w:right w:val="single" w:sz="4" w:space="0" w:color="000000"/>
            </w:tcBorders>
            <w:vAlign w:val="center"/>
          </w:tcPr>
          <w:p w14:paraId="00267BF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15-20 %</w:t>
            </w:r>
          </w:p>
        </w:tc>
        <w:tc>
          <w:tcPr>
            <w:tcW w:w="1021" w:type="dxa"/>
            <w:tcBorders>
              <w:top w:val="single" w:sz="4" w:space="0" w:color="000000"/>
              <w:left w:val="single" w:sz="4" w:space="0" w:color="000000"/>
              <w:bottom w:val="single" w:sz="4" w:space="0" w:color="000000"/>
              <w:right w:val="single" w:sz="4" w:space="0" w:color="000000"/>
            </w:tcBorders>
            <w:vAlign w:val="center"/>
          </w:tcPr>
          <w:p w14:paraId="5F6D6EC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25-30 %</w:t>
            </w:r>
          </w:p>
        </w:tc>
        <w:tc>
          <w:tcPr>
            <w:tcW w:w="1021" w:type="dxa"/>
            <w:tcBorders>
              <w:top w:val="single" w:sz="4" w:space="0" w:color="000000"/>
              <w:left w:val="single" w:sz="4" w:space="0" w:color="000000"/>
              <w:bottom w:val="single" w:sz="4" w:space="0" w:color="000000"/>
              <w:right w:val="single" w:sz="4" w:space="0" w:color="000000"/>
            </w:tcBorders>
            <w:vAlign w:val="center"/>
          </w:tcPr>
          <w:p w14:paraId="04403BF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35-40 %</w:t>
            </w:r>
          </w:p>
        </w:tc>
      </w:tr>
      <w:tr w:rsidR="00FF1E38" w:rsidRPr="00FF1E38" w14:paraId="4C54401D" w14:textId="77777777" w:rsidTr="00DE0C9A">
        <w:trPr>
          <w:cantSplit/>
        </w:trPr>
        <w:tc>
          <w:tcPr>
            <w:tcW w:w="397" w:type="dxa"/>
            <w:tcBorders>
              <w:top w:val="single" w:sz="4" w:space="0" w:color="000000"/>
              <w:left w:val="single" w:sz="4" w:space="0" w:color="000000"/>
              <w:bottom w:val="single" w:sz="4" w:space="0" w:color="000000"/>
              <w:right w:val="single" w:sz="4" w:space="0" w:color="000000"/>
            </w:tcBorders>
            <w:shd w:val="clear" w:color="auto" w:fill="FFC000"/>
          </w:tcPr>
          <w:p w14:paraId="24B30C4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17.</w:t>
            </w:r>
          </w:p>
        </w:tc>
        <w:tc>
          <w:tcPr>
            <w:tcW w:w="2325" w:type="dxa"/>
            <w:tcBorders>
              <w:top w:val="single" w:sz="4" w:space="0" w:color="000000"/>
              <w:left w:val="single" w:sz="4" w:space="0" w:color="000000"/>
              <w:bottom w:val="single" w:sz="4" w:space="0" w:color="000000"/>
              <w:right w:val="single" w:sz="4" w:space="0" w:color="000000"/>
            </w:tcBorders>
          </w:tcPr>
          <w:p w14:paraId="03EA918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Trnje</w:t>
            </w:r>
          </w:p>
        </w:tc>
        <w:tc>
          <w:tcPr>
            <w:tcW w:w="1134" w:type="dxa"/>
            <w:tcBorders>
              <w:top w:val="single" w:sz="4" w:space="0" w:color="000000"/>
              <w:left w:val="single" w:sz="4" w:space="0" w:color="000000"/>
              <w:bottom w:val="single" w:sz="4" w:space="0" w:color="000000"/>
              <w:right w:val="single" w:sz="4" w:space="0" w:color="000000"/>
            </w:tcBorders>
            <w:vAlign w:val="center"/>
          </w:tcPr>
          <w:p w14:paraId="58DEA9E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23.700</w:t>
            </w:r>
          </w:p>
        </w:tc>
        <w:tc>
          <w:tcPr>
            <w:tcW w:w="1021" w:type="dxa"/>
            <w:tcBorders>
              <w:top w:val="single" w:sz="4" w:space="0" w:color="000000"/>
              <w:left w:val="single" w:sz="4" w:space="0" w:color="000000"/>
              <w:bottom w:val="single" w:sz="4" w:space="0" w:color="000000"/>
              <w:right w:val="single" w:sz="4" w:space="0" w:color="000000"/>
            </w:tcBorders>
            <w:vAlign w:val="center"/>
          </w:tcPr>
          <w:p w14:paraId="712A1C4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2-15 %</w:t>
            </w:r>
          </w:p>
        </w:tc>
        <w:tc>
          <w:tcPr>
            <w:tcW w:w="1021" w:type="dxa"/>
            <w:tcBorders>
              <w:top w:val="single" w:sz="4" w:space="0" w:color="000000"/>
              <w:left w:val="single" w:sz="4" w:space="0" w:color="000000"/>
              <w:bottom w:val="single" w:sz="4" w:space="0" w:color="000000"/>
              <w:right w:val="single" w:sz="4" w:space="0" w:color="000000"/>
            </w:tcBorders>
            <w:vAlign w:val="center"/>
          </w:tcPr>
          <w:p w14:paraId="778AA8B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10-25 %</w:t>
            </w:r>
          </w:p>
        </w:tc>
        <w:tc>
          <w:tcPr>
            <w:tcW w:w="1021" w:type="dxa"/>
            <w:tcBorders>
              <w:top w:val="single" w:sz="4" w:space="0" w:color="000000"/>
              <w:left w:val="single" w:sz="4" w:space="0" w:color="000000"/>
              <w:bottom w:val="single" w:sz="4" w:space="0" w:color="000000"/>
              <w:right w:val="single" w:sz="4" w:space="0" w:color="000000"/>
            </w:tcBorders>
            <w:vAlign w:val="center"/>
          </w:tcPr>
          <w:p w14:paraId="1D76D92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18-35 %</w:t>
            </w:r>
          </w:p>
        </w:tc>
        <w:tc>
          <w:tcPr>
            <w:tcW w:w="1021" w:type="dxa"/>
            <w:tcBorders>
              <w:top w:val="single" w:sz="4" w:space="0" w:color="000000"/>
              <w:left w:val="single" w:sz="4" w:space="0" w:color="000000"/>
              <w:bottom w:val="single" w:sz="4" w:space="0" w:color="000000"/>
              <w:right w:val="single" w:sz="4" w:space="0" w:color="000000"/>
            </w:tcBorders>
            <w:vAlign w:val="center"/>
          </w:tcPr>
          <w:p w14:paraId="7374BBC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25-50 %</w:t>
            </w:r>
          </w:p>
        </w:tc>
        <w:tc>
          <w:tcPr>
            <w:tcW w:w="1021" w:type="dxa"/>
            <w:tcBorders>
              <w:top w:val="single" w:sz="4" w:space="0" w:color="000000"/>
              <w:left w:val="single" w:sz="4" w:space="0" w:color="000000"/>
              <w:bottom w:val="single" w:sz="4" w:space="0" w:color="000000"/>
              <w:right w:val="single" w:sz="4" w:space="0" w:color="000000"/>
            </w:tcBorders>
            <w:vAlign w:val="center"/>
          </w:tcPr>
          <w:p w14:paraId="6055882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10-40 %</w:t>
            </w:r>
          </w:p>
        </w:tc>
      </w:tr>
      <w:tr w:rsidR="00FF1E38" w:rsidRPr="00FF1E38" w14:paraId="46F17399" w14:textId="77777777" w:rsidTr="00DE0C9A">
        <w:trPr>
          <w:cantSplit/>
        </w:trPr>
        <w:tc>
          <w:tcPr>
            <w:tcW w:w="2325" w:type="dxa"/>
            <w:gridSpan w:val="2"/>
            <w:tcBorders>
              <w:top w:val="single" w:sz="4" w:space="0" w:color="000000"/>
              <w:left w:val="single" w:sz="4" w:space="0" w:color="000000"/>
              <w:bottom w:val="single" w:sz="4" w:space="0" w:color="000000"/>
              <w:right w:val="single" w:sz="4" w:space="0" w:color="000000"/>
            </w:tcBorders>
          </w:tcPr>
          <w:p w14:paraId="572C887A" w14:textId="77777777" w:rsidR="00FF1E38" w:rsidRPr="00FF1E38" w:rsidRDefault="00FF1E38" w:rsidP="00FF1E38">
            <w:pPr>
              <w:spacing w:after="0" w:line="240" w:lineRule="auto"/>
              <w:ind w:left="0" w:right="0" w:firstLine="0"/>
              <w:jc w:val="left"/>
              <w:rPr>
                <w:rFonts w:ascii="Times New Roman" w:hAnsi="Times New Roman" w:cs="Times New Roman"/>
              </w:rPr>
            </w:pPr>
            <w:r w:rsidRPr="00FF1E38">
              <w:rPr>
                <w:rFonts w:ascii="Times New Roman" w:hAnsi="Times New Roman" w:cs="Times New Roman"/>
                <w:b/>
              </w:rPr>
              <w:t xml:space="preserve"> GRAD ZAGREB </w:t>
            </w:r>
          </w:p>
        </w:tc>
        <w:tc>
          <w:tcPr>
            <w:tcW w:w="1134" w:type="dxa"/>
            <w:tcBorders>
              <w:top w:val="single" w:sz="4" w:space="0" w:color="000000"/>
              <w:left w:val="single" w:sz="4" w:space="0" w:color="000000"/>
              <w:bottom w:val="single" w:sz="4" w:space="0" w:color="000000"/>
              <w:right w:val="single" w:sz="4" w:space="0" w:color="000000"/>
            </w:tcBorders>
            <w:vAlign w:val="center"/>
          </w:tcPr>
          <w:p w14:paraId="627C986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386.944</w:t>
            </w:r>
          </w:p>
        </w:tc>
        <w:tc>
          <w:tcPr>
            <w:tcW w:w="1021" w:type="dxa"/>
            <w:tcBorders>
              <w:top w:val="single" w:sz="4" w:space="0" w:color="000000"/>
              <w:left w:val="single" w:sz="4" w:space="0" w:color="000000"/>
              <w:bottom w:val="single" w:sz="4" w:space="0" w:color="000000"/>
              <w:right w:val="single" w:sz="4" w:space="0" w:color="000000"/>
            </w:tcBorders>
            <w:vAlign w:val="center"/>
          </w:tcPr>
          <w:p w14:paraId="60EF3FFE"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021" w:type="dxa"/>
            <w:tcBorders>
              <w:top w:val="single" w:sz="4" w:space="0" w:color="000000"/>
              <w:left w:val="single" w:sz="4" w:space="0" w:color="000000"/>
              <w:bottom w:val="single" w:sz="4" w:space="0" w:color="000000"/>
              <w:right w:val="single" w:sz="4" w:space="0" w:color="000000"/>
            </w:tcBorders>
            <w:vAlign w:val="center"/>
          </w:tcPr>
          <w:p w14:paraId="5576E34A"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021" w:type="dxa"/>
            <w:tcBorders>
              <w:top w:val="single" w:sz="4" w:space="0" w:color="000000"/>
              <w:left w:val="single" w:sz="4" w:space="0" w:color="000000"/>
              <w:bottom w:val="single" w:sz="4" w:space="0" w:color="000000"/>
              <w:right w:val="single" w:sz="4" w:space="0" w:color="000000"/>
            </w:tcBorders>
            <w:vAlign w:val="center"/>
          </w:tcPr>
          <w:p w14:paraId="4CFA7CED"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021" w:type="dxa"/>
            <w:tcBorders>
              <w:top w:val="single" w:sz="4" w:space="0" w:color="000000"/>
              <w:left w:val="single" w:sz="4" w:space="0" w:color="000000"/>
              <w:bottom w:val="single" w:sz="4" w:space="0" w:color="000000"/>
              <w:right w:val="single" w:sz="4" w:space="0" w:color="000000"/>
            </w:tcBorders>
            <w:vAlign w:val="center"/>
          </w:tcPr>
          <w:p w14:paraId="40977148"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021" w:type="dxa"/>
            <w:tcBorders>
              <w:top w:val="single" w:sz="4" w:space="0" w:color="000000"/>
              <w:left w:val="single" w:sz="4" w:space="0" w:color="000000"/>
              <w:bottom w:val="single" w:sz="4" w:space="0" w:color="000000"/>
              <w:right w:val="single" w:sz="4" w:space="0" w:color="000000"/>
            </w:tcBorders>
            <w:vAlign w:val="center"/>
          </w:tcPr>
          <w:p w14:paraId="0CE1A130" w14:textId="77777777" w:rsidR="00FF1E38" w:rsidRPr="00FF1E38" w:rsidRDefault="00FF1E38" w:rsidP="00FF1E38">
            <w:pPr>
              <w:spacing w:after="0" w:line="240" w:lineRule="auto"/>
              <w:ind w:left="0" w:right="0" w:firstLine="0"/>
              <w:jc w:val="center"/>
              <w:rPr>
                <w:rFonts w:ascii="Times New Roman" w:hAnsi="Times New Roman" w:cs="Times New Roman"/>
              </w:rPr>
            </w:pPr>
          </w:p>
        </w:tc>
      </w:tr>
    </w:tbl>
    <w:p w14:paraId="37EC8129" w14:textId="5CC9581A" w:rsidR="00FF1E38" w:rsidRDefault="00FF1E38" w:rsidP="00FF1E38">
      <w:pPr>
        <w:spacing w:after="0" w:line="240" w:lineRule="auto"/>
        <w:ind w:left="0" w:right="0" w:firstLine="0"/>
        <w:jc w:val="center"/>
        <w:rPr>
          <w:rFonts w:ascii="Times New Roman" w:eastAsia="Calibri" w:hAnsi="Times New Roman" w:cs="Times New Roman"/>
          <w:i/>
          <w:sz w:val="20"/>
        </w:rPr>
      </w:pPr>
      <w:r w:rsidRPr="00FF1E38">
        <w:rPr>
          <w:rFonts w:ascii="Times New Roman" w:eastAsia="Calibri" w:hAnsi="Times New Roman" w:cs="Times New Roman"/>
          <w:i/>
          <w:sz w:val="20"/>
        </w:rPr>
        <w:t>Izvor: Procjena rizika od katastrofa za Republiku Hrvatsku</w:t>
      </w:r>
    </w:p>
    <w:p w14:paraId="3345B2CA" w14:textId="77777777" w:rsidR="008F11E3" w:rsidRPr="00FF1E38" w:rsidRDefault="008F11E3" w:rsidP="00FF1E38">
      <w:pPr>
        <w:spacing w:after="0" w:line="240" w:lineRule="auto"/>
        <w:ind w:left="0" w:right="0" w:firstLine="0"/>
        <w:jc w:val="center"/>
        <w:rPr>
          <w:rFonts w:ascii="Times New Roman" w:eastAsia="Calibri" w:hAnsi="Times New Roman" w:cs="Times New Roman"/>
          <w:i/>
          <w:sz w:val="20"/>
        </w:rPr>
      </w:pPr>
    </w:p>
    <w:p w14:paraId="0723CDC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Zaključak je da će najviše srušenih i teško oštećenih objekata (IV. i V. stupanj oštećenja) biti u gradskim četvrtima: Črnomerec, Donja Dubrava, Donji grad, Gornja Dubrava, Gornji </w:t>
      </w:r>
      <w:r w:rsidRPr="00FF1E38">
        <w:rPr>
          <w:rFonts w:ascii="Times New Roman" w:hAnsi="Times New Roman" w:cs="Times New Roman"/>
          <w:sz w:val="24"/>
        </w:rPr>
        <w:lastRenderedPageBreak/>
        <w:t>grad - Medveščak, Peščenica - Žitnjak, Podsljeme i Trnje a najmanje u Gradskoj četvrti Brezovica.</w:t>
      </w:r>
    </w:p>
    <w:p w14:paraId="039AE507"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Procjena očekivanih žrtava i šteta je napravljena i po Švicarskim propisima SIA, s tim da treba imati na umu da procjena ne obuhvaća specifične 'lokalne' uvjete već je napravljena prema procjenama očekivanih oštećenja po EMS-98 klasifikaciji.</w:t>
      </w:r>
    </w:p>
    <w:p w14:paraId="6850EFD1" w14:textId="77777777" w:rsidR="00FF1E38" w:rsidRPr="00FF1E38" w:rsidRDefault="00FF1E38" w:rsidP="00FF1E38">
      <w:pPr>
        <w:spacing w:after="0" w:line="240" w:lineRule="auto"/>
        <w:ind w:right="0"/>
        <w:rPr>
          <w:rFonts w:ascii="Times New Roman" w:hAnsi="Times New Roman" w:cs="Times New Roman"/>
          <w:sz w:val="24"/>
        </w:rPr>
      </w:pPr>
    </w:p>
    <w:p w14:paraId="040D2090" w14:textId="238C5E0E" w:rsidR="00FF1E38" w:rsidRPr="00273E64" w:rsidRDefault="00FF1E38" w:rsidP="008F11E3">
      <w:pPr>
        <w:spacing w:line="240" w:lineRule="auto"/>
        <w:ind w:left="0" w:right="0" w:firstLine="0"/>
        <w:jc w:val="center"/>
        <w:rPr>
          <w:rFonts w:ascii="Times New Roman" w:hAnsi="Times New Roman" w:cs="Times New Roman"/>
          <w:b/>
          <w:color w:val="auto"/>
          <w:sz w:val="24"/>
        </w:rPr>
      </w:pPr>
      <w:r w:rsidRPr="00273E64">
        <w:rPr>
          <w:rFonts w:ascii="Times New Roman" w:hAnsi="Times New Roman" w:cs="Times New Roman"/>
          <w:b/>
          <w:color w:val="auto"/>
          <w:sz w:val="24"/>
        </w:rPr>
        <w:t xml:space="preserve">Tablica </w:t>
      </w:r>
      <w:r w:rsidR="00273E64" w:rsidRPr="00273E64">
        <w:rPr>
          <w:rFonts w:ascii="Times New Roman" w:hAnsi="Times New Roman" w:cs="Times New Roman"/>
          <w:b/>
          <w:color w:val="auto"/>
          <w:sz w:val="24"/>
        </w:rPr>
        <w:t>49</w:t>
      </w:r>
      <w:r w:rsidRPr="00273E64">
        <w:rPr>
          <w:rFonts w:ascii="Times New Roman" w:hAnsi="Times New Roman" w:cs="Times New Roman"/>
          <w:b/>
          <w:color w:val="auto"/>
          <w:sz w:val="24"/>
        </w:rPr>
        <w:t>. Procjena očekivanih žrtava i šteta prema SIA</w:t>
      </w:r>
    </w:p>
    <w:tbl>
      <w:tblPr>
        <w:tblW w:w="9072" w:type="dxa"/>
        <w:tblLayout w:type="fixed"/>
        <w:tblCellMar>
          <w:left w:w="57" w:type="dxa"/>
          <w:right w:w="57" w:type="dxa"/>
        </w:tblCellMar>
        <w:tblLook w:val="01E0" w:firstRow="1" w:lastRow="1" w:firstColumn="1" w:lastColumn="1" w:noHBand="0" w:noVBand="0"/>
      </w:tblPr>
      <w:tblGrid>
        <w:gridCol w:w="468"/>
        <w:gridCol w:w="2503"/>
        <w:gridCol w:w="1418"/>
        <w:gridCol w:w="1417"/>
        <w:gridCol w:w="1276"/>
        <w:gridCol w:w="1990"/>
      </w:tblGrid>
      <w:tr w:rsidR="00FF1E38" w:rsidRPr="00FF1E38" w14:paraId="344013AD" w14:textId="77777777" w:rsidTr="00DE0C9A">
        <w:trPr>
          <w:cantSplit/>
          <w:tblHeader/>
        </w:trPr>
        <w:tc>
          <w:tcPr>
            <w:tcW w:w="468"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06A6DC8E" w14:textId="77777777" w:rsidR="00FF1E38" w:rsidRPr="00FF1E38" w:rsidRDefault="00FF1E38" w:rsidP="00FF1E38">
            <w:pPr>
              <w:spacing w:after="0" w:line="240" w:lineRule="auto"/>
              <w:ind w:left="0" w:right="0" w:firstLine="0"/>
              <w:jc w:val="center"/>
              <w:rPr>
                <w:rFonts w:ascii="Times New Roman" w:hAnsi="Times New Roman" w:cs="Times New Roman"/>
                <w:b/>
              </w:rPr>
            </w:pPr>
          </w:p>
        </w:tc>
        <w:tc>
          <w:tcPr>
            <w:tcW w:w="2503"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4A67D574"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b/>
                <w:color w:val="auto"/>
                <w:lang w:eastAsia="en-US"/>
              </w:rPr>
            </w:pPr>
            <w:r w:rsidRPr="00FF1E38">
              <w:rPr>
                <w:rFonts w:ascii="Times New Roman" w:eastAsia="Calibri" w:hAnsi="Times New Roman" w:cs="Times New Roman"/>
                <w:b/>
                <w:color w:val="auto"/>
                <w:lang w:eastAsia="en-US"/>
              </w:rPr>
              <w:t>Gradska četvrt</w:t>
            </w:r>
          </w:p>
        </w:tc>
        <w:tc>
          <w:tcPr>
            <w:tcW w:w="1418"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0C74A0E1"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b/>
                <w:color w:val="auto"/>
                <w:lang w:eastAsia="en-US"/>
              </w:rPr>
            </w:pPr>
            <w:r w:rsidRPr="00FF1E38">
              <w:rPr>
                <w:rFonts w:ascii="Times New Roman" w:eastAsia="Calibri" w:hAnsi="Times New Roman" w:cs="Times New Roman"/>
                <w:b/>
                <w:color w:val="auto"/>
                <w:lang w:eastAsia="en-US"/>
              </w:rPr>
              <w:t>Stanovnici</w:t>
            </w:r>
          </w:p>
        </w:tc>
        <w:tc>
          <w:tcPr>
            <w:tcW w:w="1417"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714C9421"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b/>
                <w:color w:val="auto"/>
                <w:lang w:eastAsia="en-US"/>
              </w:rPr>
            </w:pPr>
            <w:r w:rsidRPr="00FF1E38">
              <w:rPr>
                <w:rFonts w:ascii="Times New Roman" w:eastAsia="Calibri" w:hAnsi="Times New Roman" w:cs="Times New Roman"/>
                <w:b/>
                <w:color w:val="auto"/>
                <w:lang w:eastAsia="en-US"/>
              </w:rPr>
              <w:t>Stambene jedinice</w:t>
            </w:r>
          </w:p>
        </w:tc>
        <w:tc>
          <w:tcPr>
            <w:tcW w:w="1276"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21DB9F44"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b/>
                <w:color w:val="auto"/>
                <w:lang w:eastAsia="en-US"/>
              </w:rPr>
            </w:pPr>
            <w:r w:rsidRPr="00FF1E38">
              <w:rPr>
                <w:rFonts w:ascii="Times New Roman" w:eastAsia="Calibri" w:hAnsi="Times New Roman" w:cs="Times New Roman"/>
                <w:b/>
                <w:color w:val="auto"/>
                <w:lang w:eastAsia="en-US"/>
              </w:rPr>
              <w:t>Očekivane žrtve</w:t>
            </w:r>
          </w:p>
        </w:tc>
        <w:tc>
          <w:tcPr>
            <w:tcW w:w="1990"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0179AF20"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b/>
                <w:color w:val="auto"/>
                <w:lang w:eastAsia="en-US"/>
              </w:rPr>
            </w:pPr>
            <w:r w:rsidRPr="00FF1E38">
              <w:rPr>
                <w:rFonts w:ascii="Times New Roman" w:eastAsia="Calibri" w:hAnsi="Times New Roman" w:cs="Times New Roman"/>
                <w:b/>
                <w:color w:val="auto"/>
                <w:lang w:eastAsia="en-US"/>
              </w:rPr>
              <w:t>Očekivane štete [EUR]</w:t>
            </w:r>
          </w:p>
        </w:tc>
      </w:tr>
      <w:tr w:rsidR="00FF1E38" w:rsidRPr="00FF1E38" w14:paraId="730B0508" w14:textId="77777777" w:rsidTr="00DE0C9A">
        <w:trPr>
          <w:cantSplit/>
        </w:trPr>
        <w:tc>
          <w:tcPr>
            <w:tcW w:w="468" w:type="dxa"/>
            <w:tcBorders>
              <w:top w:val="single" w:sz="5" w:space="0" w:color="000000"/>
              <w:left w:val="single" w:sz="5" w:space="0" w:color="000000"/>
              <w:bottom w:val="single" w:sz="5" w:space="0" w:color="000000"/>
              <w:right w:val="single" w:sz="5" w:space="0" w:color="000000"/>
            </w:tcBorders>
            <w:shd w:val="clear" w:color="auto" w:fill="FFC000"/>
          </w:tcPr>
          <w:p w14:paraId="193F9E68"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w:t>
            </w:r>
          </w:p>
        </w:tc>
        <w:tc>
          <w:tcPr>
            <w:tcW w:w="2503" w:type="dxa"/>
            <w:tcBorders>
              <w:top w:val="single" w:sz="5" w:space="0" w:color="000000"/>
              <w:left w:val="single" w:sz="5" w:space="0" w:color="000000"/>
              <w:bottom w:val="single" w:sz="5" w:space="0" w:color="000000"/>
              <w:right w:val="single" w:sz="5" w:space="0" w:color="000000"/>
            </w:tcBorders>
          </w:tcPr>
          <w:p w14:paraId="38ACB07E"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Brezovica</w:t>
            </w:r>
          </w:p>
        </w:tc>
        <w:tc>
          <w:tcPr>
            <w:tcW w:w="1418" w:type="dxa"/>
            <w:tcBorders>
              <w:top w:val="single" w:sz="5" w:space="0" w:color="000000"/>
              <w:left w:val="single" w:sz="5" w:space="0" w:color="000000"/>
              <w:bottom w:val="single" w:sz="5" w:space="0" w:color="000000"/>
              <w:right w:val="single" w:sz="5" w:space="0" w:color="000000"/>
            </w:tcBorders>
          </w:tcPr>
          <w:p w14:paraId="53FBB683"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12.040</w:t>
            </w:r>
          </w:p>
        </w:tc>
        <w:tc>
          <w:tcPr>
            <w:tcW w:w="1417" w:type="dxa"/>
            <w:tcBorders>
              <w:top w:val="single" w:sz="5" w:space="0" w:color="000000"/>
              <w:left w:val="single" w:sz="5" w:space="0" w:color="000000"/>
              <w:bottom w:val="single" w:sz="5" w:space="0" w:color="000000"/>
              <w:right w:val="single" w:sz="5" w:space="0" w:color="000000"/>
            </w:tcBorders>
          </w:tcPr>
          <w:p w14:paraId="7A95B4ED"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4.706</w:t>
            </w:r>
          </w:p>
        </w:tc>
        <w:tc>
          <w:tcPr>
            <w:tcW w:w="1276" w:type="dxa"/>
            <w:tcBorders>
              <w:top w:val="single" w:sz="5" w:space="0" w:color="000000"/>
              <w:left w:val="single" w:sz="5" w:space="0" w:color="000000"/>
              <w:bottom w:val="single" w:sz="5" w:space="0" w:color="000000"/>
              <w:right w:val="single" w:sz="5" w:space="0" w:color="000000"/>
            </w:tcBorders>
          </w:tcPr>
          <w:p w14:paraId="5C4AD32B"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99</w:t>
            </w:r>
          </w:p>
        </w:tc>
        <w:tc>
          <w:tcPr>
            <w:tcW w:w="1990" w:type="dxa"/>
            <w:tcBorders>
              <w:top w:val="single" w:sz="5" w:space="0" w:color="000000"/>
              <w:left w:val="single" w:sz="5" w:space="0" w:color="000000"/>
              <w:bottom w:val="single" w:sz="5" w:space="0" w:color="000000"/>
              <w:right w:val="single" w:sz="5" w:space="0" w:color="000000"/>
            </w:tcBorders>
          </w:tcPr>
          <w:p w14:paraId="3D940831"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20.753.460,00</w:t>
            </w:r>
          </w:p>
        </w:tc>
      </w:tr>
      <w:tr w:rsidR="00FF1E38" w:rsidRPr="00FF1E38" w14:paraId="735264E9" w14:textId="77777777" w:rsidTr="00DE0C9A">
        <w:trPr>
          <w:cantSplit/>
        </w:trPr>
        <w:tc>
          <w:tcPr>
            <w:tcW w:w="468" w:type="dxa"/>
            <w:tcBorders>
              <w:top w:val="single" w:sz="5" w:space="0" w:color="000000"/>
              <w:left w:val="single" w:sz="5" w:space="0" w:color="000000"/>
              <w:bottom w:val="single" w:sz="5" w:space="0" w:color="000000"/>
              <w:right w:val="single" w:sz="5" w:space="0" w:color="000000"/>
            </w:tcBorders>
            <w:shd w:val="clear" w:color="auto" w:fill="FFC000"/>
          </w:tcPr>
          <w:p w14:paraId="08CCFDD1"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2.</w:t>
            </w:r>
          </w:p>
        </w:tc>
        <w:tc>
          <w:tcPr>
            <w:tcW w:w="2503" w:type="dxa"/>
            <w:tcBorders>
              <w:top w:val="single" w:sz="5" w:space="0" w:color="000000"/>
              <w:left w:val="single" w:sz="5" w:space="0" w:color="000000"/>
              <w:bottom w:val="single" w:sz="5" w:space="0" w:color="000000"/>
              <w:right w:val="single" w:sz="5" w:space="0" w:color="000000"/>
            </w:tcBorders>
          </w:tcPr>
          <w:p w14:paraId="3B3202C8"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Črnomerec</w:t>
            </w:r>
          </w:p>
        </w:tc>
        <w:tc>
          <w:tcPr>
            <w:tcW w:w="1418" w:type="dxa"/>
            <w:tcBorders>
              <w:top w:val="single" w:sz="5" w:space="0" w:color="000000"/>
              <w:left w:val="single" w:sz="5" w:space="0" w:color="000000"/>
              <w:bottom w:val="single" w:sz="5" w:space="0" w:color="000000"/>
              <w:right w:val="single" w:sz="5" w:space="0" w:color="000000"/>
            </w:tcBorders>
          </w:tcPr>
          <w:p w14:paraId="08A193EB"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39.040</w:t>
            </w:r>
          </w:p>
        </w:tc>
        <w:tc>
          <w:tcPr>
            <w:tcW w:w="1417" w:type="dxa"/>
            <w:tcBorders>
              <w:top w:val="single" w:sz="5" w:space="0" w:color="000000"/>
              <w:left w:val="single" w:sz="5" w:space="0" w:color="000000"/>
              <w:bottom w:val="single" w:sz="5" w:space="0" w:color="000000"/>
              <w:right w:val="single" w:sz="5" w:space="0" w:color="000000"/>
            </w:tcBorders>
          </w:tcPr>
          <w:p w14:paraId="39B44902"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19.930</w:t>
            </w:r>
          </w:p>
        </w:tc>
        <w:tc>
          <w:tcPr>
            <w:tcW w:w="1276" w:type="dxa"/>
            <w:tcBorders>
              <w:top w:val="single" w:sz="5" w:space="0" w:color="000000"/>
              <w:left w:val="single" w:sz="5" w:space="0" w:color="000000"/>
              <w:bottom w:val="single" w:sz="5" w:space="0" w:color="000000"/>
              <w:right w:val="single" w:sz="5" w:space="0" w:color="000000"/>
            </w:tcBorders>
          </w:tcPr>
          <w:p w14:paraId="546192C3"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239</w:t>
            </w:r>
          </w:p>
        </w:tc>
        <w:tc>
          <w:tcPr>
            <w:tcW w:w="1990" w:type="dxa"/>
            <w:tcBorders>
              <w:top w:val="single" w:sz="5" w:space="0" w:color="000000"/>
              <w:left w:val="single" w:sz="5" w:space="0" w:color="000000"/>
              <w:bottom w:val="single" w:sz="5" w:space="0" w:color="000000"/>
              <w:right w:val="single" w:sz="5" w:space="0" w:color="000000"/>
            </w:tcBorders>
          </w:tcPr>
          <w:p w14:paraId="3E483628"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50.223.600,00</w:t>
            </w:r>
          </w:p>
        </w:tc>
      </w:tr>
      <w:tr w:rsidR="00FF1E38" w:rsidRPr="00FF1E38" w14:paraId="1FDD1406" w14:textId="77777777" w:rsidTr="00DE0C9A">
        <w:trPr>
          <w:cantSplit/>
        </w:trPr>
        <w:tc>
          <w:tcPr>
            <w:tcW w:w="468" w:type="dxa"/>
            <w:tcBorders>
              <w:top w:val="single" w:sz="5" w:space="0" w:color="000000"/>
              <w:left w:val="single" w:sz="5" w:space="0" w:color="000000"/>
              <w:bottom w:val="single" w:sz="5" w:space="0" w:color="000000"/>
              <w:right w:val="single" w:sz="5" w:space="0" w:color="000000"/>
            </w:tcBorders>
            <w:shd w:val="clear" w:color="auto" w:fill="FFC000"/>
          </w:tcPr>
          <w:p w14:paraId="3AF62A51"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3.</w:t>
            </w:r>
          </w:p>
        </w:tc>
        <w:tc>
          <w:tcPr>
            <w:tcW w:w="2503" w:type="dxa"/>
            <w:tcBorders>
              <w:top w:val="single" w:sz="5" w:space="0" w:color="000000"/>
              <w:left w:val="single" w:sz="5" w:space="0" w:color="000000"/>
              <w:bottom w:val="single" w:sz="5" w:space="0" w:color="000000"/>
              <w:right w:val="single" w:sz="5" w:space="0" w:color="000000"/>
            </w:tcBorders>
          </w:tcPr>
          <w:p w14:paraId="10C24004"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Donja Dubrava</w:t>
            </w:r>
          </w:p>
        </w:tc>
        <w:tc>
          <w:tcPr>
            <w:tcW w:w="1418" w:type="dxa"/>
            <w:tcBorders>
              <w:top w:val="single" w:sz="5" w:space="0" w:color="000000"/>
              <w:left w:val="single" w:sz="5" w:space="0" w:color="000000"/>
              <w:bottom w:val="single" w:sz="5" w:space="0" w:color="000000"/>
              <w:right w:val="single" w:sz="5" w:space="0" w:color="000000"/>
            </w:tcBorders>
          </w:tcPr>
          <w:p w14:paraId="071EA416"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36.461</w:t>
            </w:r>
          </w:p>
        </w:tc>
        <w:tc>
          <w:tcPr>
            <w:tcW w:w="1417" w:type="dxa"/>
            <w:tcBorders>
              <w:top w:val="single" w:sz="5" w:space="0" w:color="000000"/>
              <w:left w:val="single" w:sz="5" w:space="0" w:color="000000"/>
              <w:bottom w:val="single" w:sz="5" w:space="0" w:color="000000"/>
              <w:right w:val="single" w:sz="5" w:space="0" w:color="000000"/>
            </w:tcBorders>
          </w:tcPr>
          <w:p w14:paraId="3D89902C"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14.778</w:t>
            </w:r>
          </w:p>
        </w:tc>
        <w:tc>
          <w:tcPr>
            <w:tcW w:w="1276" w:type="dxa"/>
            <w:tcBorders>
              <w:top w:val="single" w:sz="5" w:space="0" w:color="000000"/>
              <w:left w:val="single" w:sz="5" w:space="0" w:color="000000"/>
              <w:bottom w:val="single" w:sz="5" w:space="0" w:color="000000"/>
              <w:right w:val="single" w:sz="5" w:space="0" w:color="000000"/>
            </w:tcBorders>
          </w:tcPr>
          <w:p w14:paraId="616CB9F4"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310</w:t>
            </w:r>
          </w:p>
        </w:tc>
        <w:tc>
          <w:tcPr>
            <w:tcW w:w="1990" w:type="dxa"/>
            <w:tcBorders>
              <w:top w:val="single" w:sz="5" w:space="0" w:color="000000"/>
              <w:left w:val="single" w:sz="5" w:space="0" w:color="000000"/>
              <w:bottom w:val="single" w:sz="5" w:space="0" w:color="000000"/>
              <w:right w:val="single" w:sz="5" w:space="0" w:color="000000"/>
            </w:tcBorders>
          </w:tcPr>
          <w:p w14:paraId="2326BAE8"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65.170.980,00</w:t>
            </w:r>
          </w:p>
        </w:tc>
      </w:tr>
      <w:tr w:rsidR="00FF1E38" w:rsidRPr="00FF1E38" w14:paraId="58BA1186" w14:textId="77777777" w:rsidTr="00DE0C9A">
        <w:trPr>
          <w:cantSplit/>
        </w:trPr>
        <w:tc>
          <w:tcPr>
            <w:tcW w:w="468" w:type="dxa"/>
            <w:tcBorders>
              <w:top w:val="single" w:sz="5" w:space="0" w:color="000000"/>
              <w:left w:val="single" w:sz="5" w:space="0" w:color="000000"/>
              <w:bottom w:val="single" w:sz="5" w:space="0" w:color="000000"/>
              <w:right w:val="single" w:sz="5" w:space="0" w:color="000000"/>
            </w:tcBorders>
            <w:shd w:val="clear" w:color="auto" w:fill="FFC000"/>
          </w:tcPr>
          <w:p w14:paraId="7F55F76D"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4.</w:t>
            </w:r>
          </w:p>
        </w:tc>
        <w:tc>
          <w:tcPr>
            <w:tcW w:w="2503" w:type="dxa"/>
            <w:tcBorders>
              <w:top w:val="single" w:sz="5" w:space="0" w:color="000000"/>
              <w:left w:val="single" w:sz="5" w:space="0" w:color="000000"/>
              <w:bottom w:val="single" w:sz="5" w:space="0" w:color="000000"/>
              <w:right w:val="single" w:sz="5" w:space="0" w:color="000000"/>
            </w:tcBorders>
          </w:tcPr>
          <w:p w14:paraId="20021B38"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Donji grad</w:t>
            </w:r>
          </w:p>
        </w:tc>
        <w:tc>
          <w:tcPr>
            <w:tcW w:w="1418" w:type="dxa"/>
            <w:tcBorders>
              <w:top w:val="single" w:sz="5" w:space="0" w:color="000000"/>
              <w:left w:val="single" w:sz="5" w:space="0" w:color="000000"/>
              <w:bottom w:val="single" w:sz="5" w:space="0" w:color="000000"/>
              <w:right w:val="single" w:sz="5" w:space="0" w:color="000000"/>
            </w:tcBorders>
          </w:tcPr>
          <w:p w14:paraId="0BDAE852"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37.123</w:t>
            </w:r>
          </w:p>
        </w:tc>
        <w:tc>
          <w:tcPr>
            <w:tcW w:w="1417" w:type="dxa"/>
            <w:tcBorders>
              <w:top w:val="single" w:sz="5" w:space="0" w:color="000000"/>
              <w:left w:val="single" w:sz="5" w:space="0" w:color="000000"/>
              <w:bottom w:val="single" w:sz="5" w:space="0" w:color="000000"/>
              <w:right w:val="single" w:sz="5" w:space="0" w:color="000000"/>
            </w:tcBorders>
          </w:tcPr>
          <w:p w14:paraId="680F555F"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23.634</w:t>
            </w:r>
          </w:p>
        </w:tc>
        <w:tc>
          <w:tcPr>
            <w:tcW w:w="1276" w:type="dxa"/>
            <w:tcBorders>
              <w:top w:val="single" w:sz="5" w:space="0" w:color="000000"/>
              <w:left w:val="single" w:sz="5" w:space="0" w:color="000000"/>
              <w:bottom w:val="single" w:sz="5" w:space="0" w:color="000000"/>
              <w:right w:val="single" w:sz="5" w:space="0" w:color="000000"/>
            </w:tcBorders>
          </w:tcPr>
          <w:p w14:paraId="2F4B1792"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1.241</w:t>
            </w:r>
          </w:p>
        </w:tc>
        <w:tc>
          <w:tcPr>
            <w:tcW w:w="1990" w:type="dxa"/>
            <w:tcBorders>
              <w:top w:val="single" w:sz="5" w:space="0" w:color="000000"/>
              <w:left w:val="single" w:sz="5" w:space="0" w:color="000000"/>
              <w:bottom w:val="single" w:sz="5" w:space="0" w:color="000000"/>
              <w:right w:val="single" w:sz="5" w:space="0" w:color="000000"/>
            </w:tcBorders>
          </w:tcPr>
          <w:p w14:paraId="6ED411C1"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260.564.850,00</w:t>
            </w:r>
          </w:p>
        </w:tc>
      </w:tr>
      <w:tr w:rsidR="00FF1E38" w:rsidRPr="00FF1E38" w14:paraId="3A7C6EF1" w14:textId="77777777" w:rsidTr="00DE0C9A">
        <w:trPr>
          <w:cantSplit/>
        </w:trPr>
        <w:tc>
          <w:tcPr>
            <w:tcW w:w="468" w:type="dxa"/>
            <w:tcBorders>
              <w:top w:val="single" w:sz="5" w:space="0" w:color="000000"/>
              <w:left w:val="single" w:sz="5" w:space="0" w:color="000000"/>
              <w:bottom w:val="single" w:sz="5" w:space="0" w:color="000000"/>
              <w:right w:val="single" w:sz="5" w:space="0" w:color="000000"/>
            </w:tcBorders>
            <w:shd w:val="clear" w:color="auto" w:fill="FFC000"/>
          </w:tcPr>
          <w:p w14:paraId="753F179F"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5.</w:t>
            </w:r>
          </w:p>
        </w:tc>
        <w:tc>
          <w:tcPr>
            <w:tcW w:w="2503" w:type="dxa"/>
            <w:tcBorders>
              <w:top w:val="single" w:sz="5" w:space="0" w:color="000000"/>
              <w:left w:val="single" w:sz="5" w:space="0" w:color="000000"/>
              <w:bottom w:val="single" w:sz="5" w:space="0" w:color="000000"/>
              <w:right w:val="single" w:sz="5" w:space="0" w:color="000000"/>
            </w:tcBorders>
          </w:tcPr>
          <w:p w14:paraId="107A15B7"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Gornja Dubrava</w:t>
            </w:r>
          </w:p>
        </w:tc>
        <w:tc>
          <w:tcPr>
            <w:tcW w:w="1418" w:type="dxa"/>
            <w:tcBorders>
              <w:top w:val="single" w:sz="5" w:space="0" w:color="000000"/>
              <w:left w:val="single" w:sz="5" w:space="0" w:color="000000"/>
              <w:bottom w:val="single" w:sz="5" w:space="0" w:color="000000"/>
              <w:right w:val="single" w:sz="5" w:space="0" w:color="000000"/>
            </w:tcBorders>
          </w:tcPr>
          <w:p w14:paraId="369FD723"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62.221</w:t>
            </w:r>
          </w:p>
        </w:tc>
        <w:tc>
          <w:tcPr>
            <w:tcW w:w="1417" w:type="dxa"/>
            <w:tcBorders>
              <w:top w:val="single" w:sz="5" w:space="0" w:color="000000"/>
              <w:left w:val="single" w:sz="5" w:space="0" w:color="000000"/>
              <w:bottom w:val="single" w:sz="5" w:space="0" w:color="000000"/>
              <w:right w:val="single" w:sz="5" w:space="0" w:color="000000"/>
            </w:tcBorders>
          </w:tcPr>
          <w:p w14:paraId="2D0D2266"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26.190</w:t>
            </w:r>
          </w:p>
        </w:tc>
        <w:tc>
          <w:tcPr>
            <w:tcW w:w="1276" w:type="dxa"/>
            <w:tcBorders>
              <w:top w:val="single" w:sz="5" w:space="0" w:color="000000"/>
              <w:left w:val="single" w:sz="5" w:space="0" w:color="000000"/>
              <w:bottom w:val="single" w:sz="5" w:space="0" w:color="000000"/>
              <w:right w:val="single" w:sz="5" w:space="0" w:color="000000"/>
            </w:tcBorders>
          </w:tcPr>
          <w:p w14:paraId="6BED5DDF"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550</w:t>
            </w:r>
          </w:p>
        </w:tc>
        <w:tc>
          <w:tcPr>
            <w:tcW w:w="1990" w:type="dxa"/>
            <w:tcBorders>
              <w:top w:val="single" w:sz="5" w:space="0" w:color="000000"/>
              <w:left w:val="single" w:sz="5" w:space="0" w:color="000000"/>
              <w:bottom w:val="single" w:sz="5" w:space="0" w:color="000000"/>
              <w:right w:val="single" w:sz="5" w:space="0" w:color="000000"/>
            </w:tcBorders>
          </w:tcPr>
          <w:p w14:paraId="0C372468"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115.497.900,00</w:t>
            </w:r>
          </w:p>
        </w:tc>
      </w:tr>
      <w:tr w:rsidR="00FF1E38" w:rsidRPr="00FF1E38" w14:paraId="6C645B69" w14:textId="77777777" w:rsidTr="00DE0C9A">
        <w:trPr>
          <w:cantSplit/>
        </w:trPr>
        <w:tc>
          <w:tcPr>
            <w:tcW w:w="468" w:type="dxa"/>
            <w:tcBorders>
              <w:top w:val="single" w:sz="5" w:space="0" w:color="000000"/>
              <w:left w:val="single" w:sz="5" w:space="0" w:color="000000"/>
              <w:bottom w:val="single" w:sz="5" w:space="0" w:color="000000"/>
              <w:right w:val="single" w:sz="5" w:space="0" w:color="000000"/>
            </w:tcBorders>
            <w:shd w:val="clear" w:color="auto" w:fill="FFC000"/>
          </w:tcPr>
          <w:p w14:paraId="52B8E020"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6.</w:t>
            </w:r>
          </w:p>
        </w:tc>
        <w:tc>
          <w:tcPr>
            <w:tcW w:w="2503" w:type="dxa"/>
            <w:tcBorders>
              <w:top w:val="single" w:sz="5" w:space="0" w:color="000000"/>
              <w:left w:val="single" w:sz="5" w:space="0" w:color="000000"/>
              <w:bottom w:val="single" w:sz="5" w:space="0" w:color="000000"/>
              <w:right w:val="single" w:sz="5" w:space="0" w:color="000000"/>
            </w:tcBorders>
          </w:tcPr>
          <w:p w14:paraId="197B1DE5"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Gornji grad - Medveščak</w:t>
            </w:r>
          </w:p>
        </w:tc>
        <w:tc>
          <w:tcPr>
            <w:tcW w:w="1418" w:type="dxa"/>
            <w:tcBorders>
              <w:top w:val="single" w:sz="5" w:space="0" w:color="000000"/>
              <w:left w:val="single" w:sz="5" w:space="0" w:color="000000"/>
              <w:bottom w:val="single" w:sz="5" w:space="0" w:color="000000"/>
              <w:right w:val="single" w:sz="5" w:space="0" w:color="000000"/>
            </w:tcBorders>
          </w:tcPr>
          <w:p w14:paraId="23368DBF"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31.279</w:t>
            </w:r>
          </w:p>
        </w:tc>
        <w:tc>
          <w:tcPr>
            <w:tcW w:w="1417" w:type="dxa"/>
            <w:tcBorders>
              <w:top w:val="single" w:sz="5" w:space="0" w:color="000000"/>
              <w:left w:val="single" w:sz="5" w:space="0" w:color="000000"/>
              <w:bottom w:val="single" w:sz="5" w:space="0" w:color="000000"/>
              <w:right w:val="single" w:sz="5" w:space="0" w:color="000000"/>
            </w:tcBorders>
          </w:tcPr>
          <w:p w14:paraId="7EE88AA9"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17.445</w:t>
            </w:r>
          </w:p>
        </w:tc>
        <w:tc>
          <w:tcPr>
            <w:tcW w:w="1276" w:type="dxa"/>
            <w:tcBorders>
              <w:top w:val="single" w:sz="5" w:space="0" w:color="000000"/>
              <w:left w:val="single" w:sz="5" w:space="0" w:color="000000"/>
              <w:bottom w:val="single" w:sz="5" w:space="0" w:color="000000"/>
              <w:right w:val="single" w:sz="5" w:space="0" w:color="000000"/>
            </w:tcBorders>
          </w:tcPr>
          <w:p w14:paraId="3A1C7107"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916</w:t>
            </w:r>
          </w:p>
        </w:tc>
        <w:tc>
          <w:tcPr>
            <w:tcW w:w="1990" w:type="dxa"/>
            <w:tcBorders>
              <w:top w:val="single" w:sz="5" w:space="0" w:color="000000"/>
              <w:left w:val="single" w:sz="5" w:space="0" w:color="000000"/>
              <w:bottom w:val="single" w:sz="5" w:space="0" w:color="000000"/>
              <w:right w:val="single" w:sz="5" w:space="0" w:color="000000"/>
            </w:tcBorders>
          </w:tcPr>
          <w:p w14:paraId="7028E84A"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192.331.125,00</w:t>
            </w:r>
          </w:p>
        </w:tc>
      </w:tr>
      <w:tr w:rsidR="00FF1E38" w:rsidRPr="00FF1E38" w14:paraId="2ACCAA62" w14:textId="77777777" w:rsidTr="00DE0C9A">
        <w:trPr>
          <w:cantSplit/>
        </w:trPr>
        <w:tc>
          <w:tcPr>
            <w:tcW w:w="468" w:type="dxa"/>
            <w:tcBorders>
              <w:top w:val="single" w:sz="5" w:space="0" w:color="000000"/>
              <w:left w:val="single" w:sz="5" w:space="0" w:color="000000"/>
              <w:bottom w:val="single" w:sz="5" w:space="0" w:color="000000"/>
              <w:right w:val="single" w:sz="5" w:space="0" w:color="000000"/>
            </w:tcBorders>
            <w:shd w:val="clear" w:color="auto" w:fill="FFC000"/>
          </w:tcPr>
          <w:p w14:paraId="6113C726"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7.</w:t>
            </w:r>
          </w:p>
        </w:tc>
        <w:tc>
          <w:tcPr>
            <w:tcW w:w="2503" w:type="dxa"/>
            <w:tcBorders>
              <w:top w:val="single" w:sz="5" w:space="0" w:color="000000"/>
              <w:left w:val="single" w:sz="5" w:space="0" w:color="000000"/>
              <w:bottom w:val="single" w:sz="5" w:space="0" w:color="000000"/>
              <w:right w:val="single" w:sz="5" w:space="0" w:color="000000"/>
            </w:tcBorders>
          </w:tcPr>
          <w:p w14:paraId="4ECBEE52"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Maksimir</w:t>
            </w:r>
          </w:p>
        </w:tc>
        <w:tc>
          <w:tcPr>
            <w:tcW w:w="1418" w:type="dxa"/>
            <w:tcBorders>
              <w:top w:val="single" w:sz="5" w:space="0" w:color="000000"/>
              <w:left w:val="single" w:sz="5" w:space="0" w:color="000000"/>
              <w:bottom w:val="single" w:sz="5" w:space="0" w:color="000000"/>
              <w:right w:val="single" w:sz="5" w:space="0" w:color="000000"/>
            </w:tcBorders>
          </w:tcPr>
          <w:p w14:paraId="0082A0C0"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49.448</w:t>
            </w:r>
          </w:p>
        </w:tc>
        <w:tc>
          <w:tcPr>
            <w:tcW w:w="1417" w:type="dxa"/>
            <w:tcBorders>
              <w:top w:val="single" w:sz="5" w:space="0" w:color="000000"/>
              <w:left w:val="single" w:sz="5" w:space="0" w:color="000000"/>
              <w:bottom w:val="single" w:sz="5" w:space="0" w:color="000000"/>
              <w:right w:val="single" w:sz="5" w:space="0" w:color="000000"/>
            </w:tcBorders>
          </w:tcPr>
          <w:p w14:paraId="2E5D9AE0"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24.606</w:t>
            </w:r>
          </w:p>
        </w:tc>
        <w:tc>
          <w:tcPr>
            <w:tcW w:w="1276" w:type="dxa"/>
            <w:tcBorders>
              <w:top w:val="single" w:sz="5" w:space="0" w:color="000000"/>
              <w:left w:val="single" w:sz="5" w:space="0" w:color="000000"/>
              <w:bottom w:val="single" w:sz="5" w:space="0" w:color="000000"/>
              <w:right w:val="single" w:sz="5" w:space="0" w:color="000000"/>
            </w:tcBorders>
          </w:tcPr>
          <w:p w14:paraId="580B54E6"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517</w:t>
            </w:r>
          </w:p>
        </w:tc>
        <w:tc>
          <w:tcPr>
            <w:tcW w:w="1990" w:type="dxa"/>
            <w:tcBorders>
              <w:top w:val="single" w:sz="5" w:space="0" w:color="000000"/>
              <w:left w:val="single" w:sz="5" w:space="0" w:color="000000"/>
              <w:bottom w:val="single" w:sz="5" w:space="0" w:color="000000"/>
              <w:right w:val="single" w:sz="5" w:space="0" w:color="000000"/>
            </w:tcBorders>
          </w:tcPr>
          <w:p w14:paraId="45C4D282"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108.512.460,00</w:t>
            </w:r>
          </w:p>
        </w:tc>
      </w:tr>
      <w:tr w:rsidR="00FF1E38" w:rsidRPr="00FF1E38" w14:paraId="098E7831" w14:textId="77777777" w:rsidTr="00DE0C9A">
        <w:trPr>
          <w:cantSplit/>
        </w:trPr>
        <w:tc>
          <w:tcPr>
            <w:tcW w:w="468" w:type="dxa"/>
            <w:tcBorders>
              <w:top w:val="single" w:sz="5" w:space="0" w:color="000000"/>
              <w:left w:val="single" w:sz="5" w:space="0" w:color="000000"/>
              <w:bottom w:val="single" w:sz="5" w:space="0" w:color="000000"/>
              <w:right w:val="single" w:sz="5" w:space="0" w:color="000000"/>
            </w:tcBorders>
            <w:shd w:val="clear" w:color="auto" w:fill="FFC000"/>
          </w:tcPr>
          <w:p w14:paraId="08B12D53"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8.</w:t>
            </w:r>
          </w:p>
        </w:tc>
        <w:tc>
          <w:tcPr>
            <w:tcW w:w="2503" w:type="dxa"/>
            <w:tcBorders>
              <w:top w:val="single" w:sz="5" w:space="0" w:color="000000"/>
              <w:left w:val="single" w:sz="5" w:space="0" w:color="000000"/>
              <w:bottom w:val="single" w:sz="5" w:space="0" w:color="000000"/>
              <w:right w:val="single" w:sz="5" w:space="0" w:color="000000"/>
            </w:tcBorders>
          </w:tcPr>
          <w:p w14:paraId="102473B7"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Novi Zagreb - istok</w:t>
            </w:r>
          </w:p>
        </w:tc>
        <w:tc>
          <w:tcPr>
            <w:tcW w:w="1418" w:type="dxa"/>
            <w:tcBorders>
              <w:top w:val="single" w:sz="5" w:space="0" w:color="000000"/>
              <w:left w:val="single" w:sz="5" w:space="0" w:color="000000"/>
              <w:bottom w:val="single" w:sz="5" w:space="0" w:color="000000"/>
              <w:right w:val="single" w:sz="5" w:space="0" w:color="000000"/>
            </w:tcBorders>
          </w:tcPr>
          <w:p w14:paraId="6177ED8C"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59.227</w:t>
            </w:r>
          </w:p>
        </w:tc>
        <w:tc>
          <w:tcPr>
            <w:tcW w:w="1417" w:type="dxa"/>
            <w:tcBorders>
              <w:top w:val="single" w:sz="5" w:space="0" w:color="000000"/>
              <w:left w:val="single" w:sz="5" w:space="0" w:color="000000"/>
              <w:bottom w:val="single" w:sz="5" w:space="0" w:color="000000"/>
              <w:right w:val="single" w:sz="5" w:space="0" w:color="000000"/>
            </w:tcBorders>
          </w:tcPr>
          <w:p w14:paraId="50E10B4B"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29.068</w:t>
            </w:r>
          </w:p>
        </w:tc>
        <w:tc>
          <w:tcPr>
            <w:tcW w:w="1276" w:type="dxa"/>
            <w:tcBorders>
              <w:top w:val="single" w:sz="5" w:space="0" w:color="000000"/>
              <w:left w:val="single" w:sz="5" w:space="0" w:color="000000"/>
              <w:bottom w:val="single" w:sz="5" w:space="0" w:color="000000"/>
              <w:right w:val="single" w:sz="5" w:space="0" w:color="000000"/>
            </w:tcBorders>
          </w:tcPr>
          <w:p w14:paraId="647B2A9D"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610</w:t>
            </w:r>
          </w:p>
        </w:tc>
        <w:tc>
          <w:tcPr>
            <w:tcW w:w="1990" w:type="dxa"/>
            <w:tcBorders>
              <w:top w:val="single" w:sz="5" w:space="0" w:color="000000"/>
              <w:left w:val="single" w:sz="5" w:space="0" w:color="000000"/>
              <w:bottom w:val="single" w:sz="5" w:space="0" w:color="000000"/>
              <w:right w:val="single" w:sz="5" w:space="0" w:color="000000"/>
            </w:tcBorders>
          </w:tcPr>
          <w:p w14:paraId="641EB83A"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128.189.880,00</w:t>
            </w:r>
          </w:p>
        </w:tc>
      </w:tr>
      <w:tr w:rsidR="00FF1E38" w:rsidRPr="00FF1E38" w14:paraId="1E0807C2" w14:textId="77777777" w:rsidTr="00DE0C9A">
        <w:trPr>
          <w:cantSplit/>
        </w:trPr>
        <w:tc>
          <w:tcPr>
            <w:tcW w:w="468" w:type="dxa"/>
            <w:tcBorders>
              <w:top w:val="single" w:sz="5" w:space="0" w:color="000000"/>
              <w:left w:val="single" w:sz="5" w:space="0" w:color="000000"/>
              <w:bottom w:val="single" w:sz="5" w:space="0" w:color="000000"/>
              <w:right w:val="single" w:sz="5" w:space="0" w:color="000000"/>
            </w:tcBorders>
            <w:shd w:val="clear" w:color="auto" w:fill="FFC000"/>
          </w:tcPr>
          <w:p w14:paraId="39A5B197"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9.</w:t>
            </w:r>
          </w:p>
        </w:tc>
        <w:tc>
          <w:tcPr>
            <w:tcW w:w="2503" w:type="dxa"/>
            <w:tcBorders>
              <w:top w:val="single" w:sz="5" w:space="0" w:color="000000"/>
              <w:left w:val="single" w:sz="5" w:space="0" w:color="000000"/>
              <w:bottom w:val="single" w:sz="5" w:space="0" w:color="000000"/>
              <w:right w:val="single" w:sz="5" w:space="0" w:color="000000"/>
            </w:tcBorders>
          </w:tcPr>
          <w:p w14:paraId="249AB3C4"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Novi Zagreb - zapad</w:t>
            </w:r>
          </w:p>
        </w:tc>
        <w:tc>
          <w:tcPr>
            <w:tcW w:w="1418" w:type="dxa"/>
            <w:tcBorders>
              <w:top w:val="single" w:sz="5" w:space="0" w:color="000000"/>
              <w:left w:val="single" w:sz="5" w:space="0" w:color="000000"/>
              <w:bottom w:val="single" w:sz="5" w:space="0" w:color="000000"/>
              <w:right w:val="single" w:sz="5" w:space="0" w:color="000000"/>
            </w:tcBorders>
          </w:tcPr>
          <w:p w14:paraId="5DEF2BBC"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58.025</w:t>
            </w:r>
          </w:p>
        </w:tc>
        <w:tc>
          <w:tcPr>
            <w:tcW w:w="1417" w:type="dxa"/>
            <w:tcBorders>
              <w:top w:val="single" w:sz="5" w:space="0" w:color="000000"/>
              <w:left w:val="single" w:sz="5" w:space="0" w:color="000000"/>
              <w:bottom w:val="single" w:sz="5" w:space="0" w:color="000000"/>
              <w:right w:val="single" w:sz="5" w:space="0" w:color="000000"/>
            </w:tcBorders>
          </w:tcPr>
          <w:p w14:paraId="3B6DBAB7"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27.580</w:t>
            </w:r>
          </w:p>
        </w:tc>
        <w:tc>
          <w:tcPr>
            <w:tcW w:w="1276" w:type="dxa"/>
            <w:tcBorders>
              <w:top w:val="single" w:sz="5" w:space="0" w:color="000000"/>
              <w:left w:val="single" w:sz="5" w:space="0" w:color="000000"/>
              <w:bottom w:val="single" w:sz="5" w:space="0" w:color="000000"/>
              <w:right w:val="single" w:sz="5" w:space="0" w:color="000000"/>
            </w:tcBorders>
          </w:tcPr>
          <w:p w14:paraId="7BA0DC23"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83</w:t>
            </w:r>
          </w:p>
        </w:tc>
        <w:tc>
          <w:tcPr>
            <w:tcW w:w="1990" w:type="dxa"/>
            <w:tcBorders>
              <w:top w:val="single" w:sz="5" w:space="0" w:color="000000"/>
              <w:left w:val="single" w:sz="5" w:space="0" w:color="000000"/>
              <w:bottom w:val="single" w:sz="5" w:space="0" w:color="000000"/>
              <w:right w:val="single" w:sz="5" w:space="0" w:color="000000"/>
            </w:tcBorders>
          </w:tcPr>
          <w:p w14:paraId="652A2CDD"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17.375.400,00</w:t>
            </w:r>
          </w:p>
        </w:tc>
      </w:tr>
      <w:tr w:rsidR="00FF1E38" w:rsidRPr="00FF1E38" w14:paraId="46F80DE2" w14:textId="77777777" w:rsidTr="00DE0C9A">
        <w:trPr>
          <w:cantSplit/>
        </w:trPr>
        <w:tc>
          <w:tcPr>
            <w:tcW w:w="468" w:type="dxa"/>
            <w:tcBorders>
              <w:top w:val="single" w:sz="5" w:space="0" w:color="000000"/>
              <w:left w:val="single" w:sz="5" w:space="0" w:color="000000"/>
              <w:bottom w:val="single" w:sz="5" w:space="0" w:color="000000"/>
              <w:right w:val="single" w:sz="5" w:space="0" w:color="000000"/>
            </w:tcBorders>
            <w:shd w:val="clear" w:color="auto" w:fill="FFC000"/>
          </w:tcPr>
          <w:p w14:paraId="351E5F6A"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10.</w:t>
            </w:r>
          </w:p>
        </w:tc>
        <w:tc>
          <w:tcPr>
            <w:tcW w:w="2503" w:type="dxa"/>
            <w:tcBorders>
              <w:top w:val="single" w:sz="5" w:space="0" w:color="000000"/>
              <w:left w:val="single" w:sz="5" w:space="0" w:color="000000"/>
              <w:bottom w:val="single" w:sz="5" w:space="0" w:color="000000"/>
              <w:right w:val="single" w:sz="5" w:space="0" w:color="000000"/>
            </w:tcBorders>
          </w:tcPr>
          <w:p w14:paraId="693F395A"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mbria" w:hAnsi="Times New Roman" w:cs="Times New Roman"/>
                <w:color w:val="auto"/>
                <w:lang w:eastAsia="en-US"/>
              </w:rPr>
              <w:t>Peščenica - Žitnjak</w:t>
            </w:r>
          </w:p>
        </w:tc>
        <w:tc>
          <w:tcPr>
            <w:tcW w:w="1418" w:type="dxa"/>
            <w:tcBorders>
              <w:top w:val="single" w:sz="5" w:space="0" w:color="000000"/>
              <w:left w:val="single" w:sz="5" w:space="0" w:color="000000"/>
              <w:bottom w:val="single" w:sz="5" w:space="0" w:color="000000"/>
              <w:right w:val="single" w:sz="5" w:space="0" w:color="000000"/>
            </w:tcBorders>
          </w:tcPr>
          <w:p w14:paraId="3988155A"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56.446</w:t>
            </w:r>
          </w:p>
        </w:tc>
        <w:tc>
          <w:tcPr>
            <w:tcW w:w="1417" w:type="dxa"/>
            <w:tcBorders>
              <w:top w:val="single" w:sz="5" w:space="0" w:color="000000"/>
              <w:left w:val="single" w:sz="5" w:space="0" w:color="000000"/>
              <w:bottom w:val="single" w:sz="5" w:space="0" w:color="000000"/>
              <w:right w:val="single" w:sz="5" w:space="0" w:color="000000"/>
            </w:tcBorders>
          </w:tcPr>
          <w:p w14:paraId="34A7E780"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26.770</w:t>
            </w:r>
          </w:p>
        </w:tc>
        <w:tc>
          <w:tcPr>
            <w:tcW w:w="1276" w:type="dxa"/>
            <w:tcBorders>
              <w:top w:val="single" w:sz="5" w:space="0" w:color="000000"/>
              <w:left w:val="single" w:sz="5" w:space="0" w:color="000000"/>
              <w:bottom w:val="single" w:sz="5" w:space="0" w:color="000000"/>
              <w:right w:val="single" w:sz="5" w:space="0" w:color="000000"/>
            </w:tcBorders>
          </w:tcPr>
          <w:p w14:paraId="2868F01E"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562</w:t>
            </w:r>
          </w:p>
        </w:tc>
        <w:tc>
          <w:tcPr>
            <w:tcW w:w="1990" w:type="dxa"/>
            <w:tcBorders>
              <w:top w:val="single" w:sz="5" w:space="0" w:color="000000"/>
              <w:left w:val="single" w:sz="5" w:space="0" w:color="000000"/>
              <w:bottom w:val="single" w:sz="5" w:space="0" w:color="000000"/>
              <w:right w:val="single" w:sz="5" w:space="0" w:color="000000"/>
            </w:tcBorders>
          </w:tcPr>
          <w:p w14:paraId="5CD087D6"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118.055.700,00</w:t>
            </w:r>
          </w:p>
        </w:tc>
      </w:tr>
      <w:tr w:rsidR="00FF1E38" w:rsidRPr="00FF1E38" w14:paraId="0C3C85A9" w14:textId="77777777" w:rsidTr="00DE0C9A">
        <w:trPr>
          <w:cantSplit/>
        </w:trPr>
        <w:tc>
          <w:tcPr>
            <w:tcW w:w="468" w:type="dxa"/>
            <w:tcBorders>
              <w:top w:val="single" w:sz="5" w:space="0" w:color="000000"/>
              <w:left w:val="single" w:sz="5" w:space="0" w:color="000000"/>
              <w:bottom w:val="single" w:sz="5" w:space="0" w:color="000000"/>
              <w:right w:val="single" w:sz="5" w:space="0" w:color="000000"/>
            </w:tcBorders>
            <w:shd w:val="clear" w:color="auto" w:fill="FFC000"/>
          </w:tcPr>
          <w:p w14:paraId="35397B95"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11.</w:t>
            </w:r>
          </w:p>
        </w:tc>
        <w:tc>
          <w:tcPr>
            <w:tcW w:w="2503" w:type="dxa"/>
            <w:tcBorders>
              <w:top w:val="single" w:sz="5" w:space="0" w:color="000000"/>
              <w:left w:val="single" w:sz="5" w:space="0" w:color="000000"/>
              <w:bottom w:val="single" w:sz="5" w:space="0" w:color="000000"/>
              <w:right w:val="single" w:sz="5" w:space="0" w:color="000000"/>
            </w:tcBorders>
          </w:tcPr>
          <w:p w14:paraId="7946CCDB"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Podsljeme</w:t>
            </w:r>
          </w:p>
        </w:tc>
        <w:tc>
          <w:tcPr>
            <w:tcW w:w="1418" w:type="dxa"/>
            <w:tcBorders>
              <w:top w:val="single" w:sz="5" w:space="0" w:color="000000"/>
              <w:left w:val="single" w:sz="5" w:space="0" w:color="000000"/>
              <w:bottom w:val="single" w:sz="5" w:space="0" w:color="000000"/>
              <w:right w:val="single" w:sz="5" w:space="0" w:color="000000"/>
            </w:tcBorders>
          </w:tcPr>
          <w:p w14:paraId="2C2DE392"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19.249</w:t>
            </w:r>
          </w:p>
        </w:tc>
        <w:tc>
          <w:tcPr>
            <w:tcW w:w="1417" w:type="dxa"/>
            <w:tcBorders>
              <w:top w:val="single" w:sz="5" w:space="0" w:color="000000"/>
              <w:left w:val="single" w:sz="5" w:space="0" w:color="000000"/>
              <w:bottom w:val="single" w:sz="5" w:space="0" w:color="000000"/>
              <w:right w:val="single" w:sz="5" w:space="0" w:color="000000"/>
            </w:tcBorders>
          </w:tcPr>
          <w:p w14:paraId="7780352C"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8.834</w:t>
            </w:r>
          </w:p>
        </w:tc>
        <w:tc>
          <w:tcPr>
            <w:tcW w:w="1276" w:type="dxa"/>
            <w:tcBorders>
              <w:top w:val="single" w:sz="5" w:space="0" w:color="000000"/>
              <w:left w:val="single" w:sz="5" w:space="0" w:color="000000"/>
              <w:bottom w:val="single" w:sz="5" w:space="0" w:color="000000"/>
              <w:right w:val="single" w:sz="5" w:space="0" w:color="000000"/>
            </w:tcBorders>
          </w:tcPr>
          <w:p w14:paraId="0C84D0B9"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186</w:t>
            </w:r>
          </w:p>
        </w:tc>
        <w:tc>
          <w:tcPr>
            <w:tcW w:w="1990" w:type="dxa"/>
            <w:tcBorders>
              <w:top w:val="single" w:sz="5" w:space="0" w:color="000000"/>
              <w:left w:val="single" w:sz="5" w:space="0" w:color="000000"/>
              <w:bottom w:val="single" w:sz="5" w:space="0" w:color="000000"/>
              <w:right w:val="single" w:sz="5" w:space="0" w:color="000000"/>
            </w:tcBorders>
          </w:tcPr>
          <w:p w14:paraId="5E4806DF"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38.957.940,00</w:t>
            </w:r>
          </w:p>
        </w:tc>
      </w:tr>
      <w:tr w:rsidR="00FF1E38" w:rsidRPr="00FF1E38" w14:paraId="71B56AFC" w14:textId="77777777" w:rsidTr="00DE0C9A">
        <w:trPr>
          <w:cantSplit/>
        </w:trPr>
        <w:tc>
          <w:tcPr>
            <w:tcW w:w="468" w:type="dxa"/>
            <w:tcBorders>
              <w:top w:val="single" w:sz="5" w:space="0" w:color="000000"/>
              <w:left w:val="single" w:sz="5" w:space="0" w:color="000000"/>
              <w:bottom w:val="single" w:sz="5" w:space="0" w:color="000000"/>
              <w:right w:val="single" w:sz="5" w:space="0" w:color="000000"/>
            </w:tcBorders>
            <w:shd w:val="clear" w:color="auto" w:fill="FFC000"/>
          </w:tcPr>
          <w:p w14:paraId="08E06669"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12.</w:t>
            </w:r>
          </w:p>
        </w:tc>
        <w:tc>
          <w:tcPr>
            <w:tcW w:w="2503" w:type="dxa"/>
            <w:tcBorders>
              <w:top w:val="single" w:sz="5" w:space="0" w:color="000000"/>
              <w:left w:val="single" w:sz="5" w:space="0" w:color="000000"/>
              <w:bottom w:val="single" w:sz="5" w:space="0" w:color="000000"/>
              <w:right w:val="single" w:sz="5" w:space="0" w:color="000000"/>
            </w:tcBorders>
          </w:tcPr>
          <w:p w14:paraId="23C57E99"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Podsused - Vrapče</w:t>
            </w:r>
          </w:p>
        </w:tc>
        <w:tc>
          <w:tcPr>
            <w:tcW w:w="1418" w:type="dxa"/>
            <w:tcBorders>
              <w:top w:val="single" w:sz="5" w:space="0" w:color="000000"/>
              <w:left w:val="single" w:sz="5" w:space="0" w:color="000000"/>
              <w:bottom w:val="single" w:sz="5" w:space="0" w:color="000000"/>
              <w:right w:val="single" w:sz="5" w:space="0" w:color="000000"/>
            </w:tcBorders>
          </w:tcPr>
          <w:p w14:paraId="6A966CC0"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45.771</w:t>
            </w:r>
          </w:p>
        </w:tc>
        <w:tc>
          <w:tcPr>
            <w:tcW w:w="1417" w:type="dxa"/>
            <w:tcBorders>
              <w:top w:val="single" w:sz="5" w:space="0" w:color="000000"/>
              <w:left w:val="single" w:sz="5" w:space="0" w:color="000000"/>
              <w:bottom w:val="single" w:sz="5" w:space="0" w:color="000000"/>
              <w:right w:val="single" w:sz="5" w:space="0" w:color="000000"/>
            </w:tcBorders>
          </w:tcPr>
          <w:p w14:paraId="27D6F24B"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20.089</w:t>
            </w:r>
          </w:p>
        </w:tc>
        <w:tc>
          <w:tcPr>
            <w:tcW w:w="1276" w:type="dxa"/>
            <w:tcBorders>
              <w:top w:val="single" w:sz="5" w:space="0" w:color="000000"/>
              <w:left w:val="single" w:sz="5" w:space="0" w:color="000000"/>
              <w:bottom w:val="single" w:sz="5" w:space="0" w:color="000000"/>
              <w:right w:val="single" w:sz="5" w:space="0" w:color="000000"/>
            </w:tcBorders>
          </w:tcPr>
          <w:p w14:paraId="7C19FA57"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422</w:t>
            </w:r>
          </w:p>
        </w:tc>
        <w:tc>
          <w:tcPr>
            <w:tcW w:w="1990" w:type="dxa"/>
            <w:tcBorders>
              <w:top w:val="single" w:sz="5" w:space="0" w:color="000000"/>
              <w:left w:val="single" w:sz="5" w:space="0" w:color="000000"/>
              <w:bottom w:val="single" w:sz="5" w:space="0" w:color="000000"/>
              <w:right w:val="single" w:sz="5" w:space="0" w:color="000000"/>
            </w:tcBorders>
          </w:tcPr>
          <w:p w14:paraId="0BA5C64F"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88.592.490,00</w:t>
            </w:r>
          </w:p>
        </w:tc>
      </w:tr>
      <w:tr w:rsidR="00FF1E38" w:rsidRPr="00FF1E38" w14:paraId="6F6E8F71" w14:textId="77777777" w:rsidTr="00DE0C9A">
        <w:trPr>
          <w:cantSplit/>
        </w:trPr>
        <w:tc>
          <w:tcPr>
            <w:tcW w:w="468" w:type="dxa"/>
            <w:tcBorders>
              <w:top w:val="single" w:sz="5" w:space="0" w:color="000000"/>
              <w:left w:val="single" w:sz="5" w:space="0" w:color="000000"/>
              <w:bottom w:val="single" w:sz="5" w:space="0" w:color="000000"/>
              <w:right w:val="single" w:sz="5" w:space="0" w:color="000000"/>
            </w:tcBorders>
            <w:shd w:val="clear" w:color="auto" w:fill="FFC000"/>
          </w:tcPr>
          <w:p w14:paraId="57D63EC8"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13.</w:t>
            </w:r>
          </w:p>
        </w:tc>
        <w:tc>
          <w:tcPr>
            <w:tcW w:w="2503" w:type="dxa"/>
            <w:tcBorders>
              <w:top w:val="single" w:sz="5" w:space="0" w:color="000000"/>
              <w:left w:val="single" w:sz="5" w:space="0" w:color="000000"/>
              <w:bottom w:val="single" w:sz="5" w:space="0" w:color="000000"/>
              <w:right w:val="single" w:sz="5" w:space="0" w:color="000000"/>
            </w:tcBorders>
          </w:tcPr>
          <w:p w14:paraId="51335499"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Sesvete</w:t>
            </w:r>
          </w:p>
        </w:tc>
        <w:tc>
          <w:tcPr>
            <w:tcW w:w="1418" w:type="dxa"/>
            <w:tcBorders>
              <w:top w:val="single" w:sz="5" w:space="0" w:color="000000"/>
              <w:left w:val="single" w:sz="5" w:space="0" w:color="000000"/>
              <w:bottom w:val="single" w:sz="5" w:space="0" w:color="000000"/>
              <w:right w:val="single" w:sz="5" w:space="0" w:color="000000"/>
            </w:tcBorders>
          </w:tcPr>
          <w:p w14:paraId="39415889"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70.633</w:t>
            </w:r>
          </w:p>
        </w:tc>
        <w:tc>
          <w:tcPr>
            <w:tcW w:w="1417" w:type="dxa"/>
            <w:tcBorders>
              <w:top w:val="single" w:sz="5" w:space="0" w:color="000000"/>
              <w:left w:val="single" w:sz="5" w:space="0" w:color="000000"/>
              <w:bottom w:val="single" w:sz="5" w:space="0" w:color="000000"/>
              <w:right w:val="single" w:sz="5" w:space="0" w:color="000000"/>
            </w:tcBorders>
          </w:tcPr>
          <w:p w14:paraId="1AEE4947"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30.256</w:t>
            </w:r>
          </w:p>
        </w:tc>
        <w:tc>
          <w:tcPr>
            <w:tcW w:w="1276" w:type="dxa"/>
            <w:tcBorders>
              <w:top w:val="single" w:sz="5" w:space="0" w:color="000000"/>
              <w:left w:val="single" w:sz="5" w:space="0" w:color="000000"/>
              <w:bottom w:val="single" w:sz="5" w:space="0" w:color="000000"/>
              <w:right w:val="single" w:sz="5" w:space="0" w:color="000000"/>
            </w:tcBorders>
          </w:tcPr>
          <w:p w14:paraId="427DE389"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635</w:t>
            </w:r>
          </w:p>
        </w:tc>
        <w:tc>
          <w:tcPr>
            <w:tcW w:w="1990" w:type="dxa"/>
            <w:tcBorders>
              <w:top w:val="single" w:sz="5" w:space="0" w:color="000000"/>
              <w:left w:val="single" w:sz="5" w:space="0" w:color="000000"/>
              <w:bottom w:val="single" w:sz="5" w:space="0" w:color="000000"/>
              <w:right w:val="single" w:sz="5" w:space="0" w:color="000000"/>
            </w:tcBorders>
          </w:tcPr>
          <w:p w14:paraId="728EE831"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133.428.960,00</w:t>
            </w:r>
          </w:p>
        </w:tc>
      </w:tr>
      <w:tr w:rsidR="00FF1E38" w:rsidRPr="00FF1E38" w14:paraId="438ECEF0" w14:textId="77777777" w:rsidTr="00DE0C9A">
        <w:trPr>
          <w:cantSplit/>
        </w:trPr>
        <w:tc>
          <w:tcPr>
            <w:tcW w:w="468" w:type="dxa"/>
            <w:tcBorders>
              <w:top w:val="single" w:sz="5" w:space="0" w:color="000000"/>
              <w:left w:val="single" w:sz="5" w:space="0" w:color="000000"/>
              <w:bottom w:val="single" w:sz="5" w:space="0" w:color="000000"/>
              <w:right w:val="single" w:sz="5" w:space="0" w:color="000000"/>
            </w:tcBorders>
            <w:shd w:val="clear" w:color="auto" w:fill="FFC000"/>
          </w:tcPr>
          <w:p w14:paraId="7F81D4C3"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14.</w:t>
            </w:r>
          </w:p>
        </w:tc>
        <w:tc>
          <w:tcPr>
            <w:tcW w:w="2503" w:type="dxa"/>
            <w:tcBorders>
              <w:top w:val="single" w:sz="5" w:space="0" w:color="000000"/>
              <w:left w:val="single" w:sz="5" w:space="0" w:color="000000"/>
              <w:bottom w:val="single" w:sz="5" w:space="0" w:color="000000"/>
              <w:right w:val="single" w:sz="5" w:space="0" w:color="000000"/>
            </w:tcBorders>
          </w:tcPr>
          <w:p w14:paraId="32CC40A4"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Stenjevec</w:t>
            </w:r>
          </w:p>
        </w:tc>
        <w:tc>
          <w:tcPr>
            <w:tcW w:w="1418" w:type="dxa"/>
            <w:tcBorders>
              <w:top w:val="single" w:sz="5" w:space="0" w:color="000000"/>
              <w:left w:val="single" w:sz="5" w:space="0" w:color="000000"/>
              <w:bottom w:val="single" w:sz="5" w:space="0" w:color="000000"/>
              <w:right w:val="single" w:sz="5" w:space="0" w:color="000000"/>
            </w:tcBorders>
          </w:tcPr>
          <w:p w14:paraId="60D89A89"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51.849</w:t>
            </w:r>
          </w:p>
        </w:tc>
        <w:tc>
          <w:tcPr>
            <w:tcW w:w="1417" w:type="dxa"/>
            <w:tcBorders>
              <w:top w:val="single" w:sz="5" w:space="0" w:color="000000"/>
              <w:left w:val="single" w:sz="5" w:space="0" w:color="000000"/>
              <w:bottom w:val="single" w:sz="5" w:space="0" w:color="000000"/>
              <w:right w:val="single" w:sz="5" w:space="0" w:color="000000"/>
            </w:tcBorders>
          </w:tcPr>
          <w:p w14:paraId="70AD5421"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23.469</w:t>
            </w:r>
          </w:p>
        </w:tc>
        <w:tc>
          <w:tcPr>
            <w:tcW w:w="1276" w:type="dxa"/>
            <w:tcBorders>
              <w:top w:val="single" w:sz="5" w:space="0" w:color="000000"/>
              <w:left w:val="single" w:sz="5" w:space="0" w:color="000000"/>
              <w:bottom w:val="single" w:sz="5" w:space="0" w:color="000000"/>
              <w:right w:val="single" w:sz="5" w:space="0" w:color="000000"/>
            </w:tcBorders>
          </w:tcPr>
          <w:p w14:paraId="44817870"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493</w:t>
            </w:r>
          </w:p>
        </w:tc>
        <w:tc>
          <w:tcPr>
            <w:tcW w:w="1990" w:type="dxa"/>
            <w:tcBorders>
              <w:top w:val="single" w:sz="5" w:space="0" w:color="000000"/>
              <w:left w:val="single" w:sz="5" w:space="0" w:color="000000"/>
              <w:bottom w:val="single" w:sz="5" w:space="0" w:color="000000"/>
              <w:right w:val="single" w:sz="5" w:space="0" w:color="000000"/>
            </w:tcBorders>
          </w:tcPr>
          <w:p w14:paraId="35F643AB"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103.498.290,00</w:t>
            </w:r>
          </w:p>
        </w:tc>
      </w:tr>
      <w:tr w:rsidR="00FF1E38" w:rsidRPr="00FF1E38" w14:paraId="6D7BFEA9" w14:textId="77777777" w:rsidTr="00DE0C9A">
        <w:trPr>
          <w:cantSplit/>
        </w:trPr>
        <w:tc>
          <w:tcPr>
            <w:tcW w:w="468" w:type="dxa"/>
            <w:tcBorders>
              <w:top w:val="single" w:sz="5" w:space="0" w:color="000000"/>
              <w:left w:val="single" w:sz="5" w:space="0" w:color="000000"/>
              <w:bottom w:val="single" w:sz="5" w:space="0" w:color="000000"/>
              <w:right w:val="single" w:sz="5" w:space="0" w:color="000000"/>
            </w:tcBorders>
            <w:shd w:val="clear" w:color="auto" w:fill="FFC000"/>
          </w:tcPr>
          <w:p w14:paraId="58A5A288"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15.</w:t>
            </w:r>
          </w:p>
        </w:tc>
        <w:tc>
          <w:tcPr>
            <w:tcW w:w="2503" w:type="dxa"/>
            <w:tcBorders>
              <w:top w:val="single" w:sz="5" w:space="0" w:color="000000"/>
              <w:left w:val="single" w:sz="5" w:space="0" w:color="000000"/>
              <w:bottom w:val="single" w:sz="5" w:space="0" w:color="000000"/>
              <w:right w:val="single" w:sz="5" w:space="0" w:color="000000"/>
            </w:tcBorders>
          </w:tcPr>
          <w:p w14:paraId="655910F9"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Trešnjevka - jug</w:t>
            </w:r>
          </w:p>
        </w:tc>
        <w:tc>
          <w:tcPr>
            <w:tcW w:w="1418" w:type="dxa"/>
            <w:tcBorders>
              <w:top w:val="single" w:sz="5" w:space="0" w:color="000000"/>
              <w:left w:val="single" w:sz="5" w:space="0" w:color="000000"/>
              <w:bottom w:val="single" w:sz="5" w:space="0" w:color="000000"/>
              <w:right w:val="single" w:sz="5" w:space="0" w:color="000000"/>
            </w:tcBorders>
          </w:tcPr>
          <w:p w14:paraId="24ED0AEF"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66.595</w:t>
            </w:r>
          </w:p>
        </w:tc>
        <w:tc>
          <w:tcPr>
            <w:tcW w:w="1417" w:type="dxa"/>
            <w:tcBorders>
              <w:top w:val="single" w:sz="5" w:space="0" w:color="000000"/>
              <w:left w:val="single" w:sz="5" w:space="0" w:color="000000"/>
              <w:bottom w:val="single" w:sz="5" w:space="0" w:color="000000"/>
              <w:right w:val="single" w:sz="5" w:space="0" w:color="000000"/>
            </w:tcBorders>
          </w:tcPr>
          <w:p w14:paraId="34C92A92"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34.359</w:t>
            </w:r>
          </w:p>
        </w:tc>
        <w:tc>
          <w:tcPr>
            <w:tcW w:w="1276" w:type="dxa"/>
            <w:tcBorders>
              <w:top w:val="single" w:sz="5" w:space="0" w:color="000000"/>
              <w:left w:val="single" w:sz="5" w:space="0" w:color="000000"/>
              <w:bottom w:val="single" w:sz="5" w:space="0" w:color="000000"/>
              <w:right w:val="single" w:sz="5" w:space="0" w:color="000000"/>
            </w:tcBorders>
          </w:tcPr>
          <w:p w14:paraId="24730246"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103</w:t>
            </w:r>
          </w:p>
        </w:tc>
        <w:tc>
          <w:tcPr>
            <w:tcW w:w="1990" w:type="dxa"/>
            <w:tcBorders>
              <w:top w:val="single" w:sz="5" w:space="0" w:color="000000"/>
              <w:left w:val="single" w:sz="5" w:space="0" w:color="000000"/>
              <w:bottom w:val="single" w:sz="5" w:space="0" w:color="000000"/>
              <w:right w:val="single" w:sz="5" w:space="0" w:color="000000"/>
            </w:tcBorders>
          </w:tcPr>
          <w:p w14:paraId="6B2B0C19"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21.646.170,00</w:t>
            </w:r>
          </w:p>
        </w:tc>
      </w:tr>
      <w:tr w:rsidR="00FF1E38" w:rsidRPr="00FF1E38" w14:paraId="3920EBE8" w14:textId="77777777" w:rsidTr="00DE0C9A">
        <w:trPr>
          <w:cantSplit/>
        </w:trPr>
        <w:tc>
          <w:tcPr>
            <w:tcW w:w="468" w:type="dxa"/>
            <w:tcBorders>
              <w:top w:val="single" w:sz="5" w:space="0" w:color="000000"/>
              <w:left w:val="single" w:sz="5" w:space="0" w:color="000000"/>
              <w:bottom w:val="single" w:sz="5" w:space="0" w:color="000000"/>
              <w:right w:val="single" w:sz="5" w:space="0" w:color="000000"/>
            </w:tcBorders>
            <w:shd w:val="clear" w:color="auto" w:fill="FFC000"/>
          </w:tcPr>
          <w:p w14:paraId="48E582AB"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16.</w:t>
            </w:r>
          </w:p>
        </w:tc>
        <w:tc>
          <w:tcPr>
            <w:tcW w:w="2503" w:type="dxa"/>
            <w:tcBorders>
              <w:top w:val="single" w:sz="5" w:space="0" w:color="000000"/>
              <w:left w:val="single" w:sz="5" w:space="0" w:color="000000"/>
              <w:bottom w:val="single" w:sz="5" w:space="0" w:color="000000"/>
              <w:right w:val="single" w:sz="5" w:space="0" w:color="000000"/>
            </w:tcBorders>
          </w:tcPr>
          <w:p w14:paraId="27D2BBE8"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Trešnjevka - sjever</w:t>
            </w:r>
          </w:p>
        </w:tc>
        <w:tc>
          <w:tcPr>
            <w:tcW w:w="1418" w:type="dxa"/>
            <w:tcBorders>
              <w:top w:val="single" w:sz="5" w:space="0" w:color="000000"/>
              <w:left w:val="single" w:sz="5" w:space="0" w:color="000000"/>
              <w:bottom w:val="single" w:sz="5" w:space="0" w:color="000000"/>
              <w:right w:val="single" w:sz="5" w:space="0" w:color="000000"/>
            </w:tcBorders>
          </w:tcPr>
          <w:p w14:paraId="5A7F6854"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55.342</w:t>
            </w:r>
          </w:p>
        </w:tc>
        <w:tc>
          <w:tcPr>
            <w:tcW w:w="1417" w:type="dxa"/>
            <w:tcBorders>
              <w:top w:val="single" w:sz="5" w:space="0" w:color="000000"/>
              <w:left w:val="single" w:sz="5" w:space="0" w:color="000000"/>
              <w:bottom w:val="single" w:sz="5" w:space="0" w:color="000000"/>
              <w:right w:val="single" w:sz="5" w:space="0" w:color="000000"/>
            </w:tcBorders>
          </w:tcPr>
          <w:p w14:paraId="64D24F6E"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31.530</w:t>
            </w:r>
          </w:p>
        </w:tc>
        <w:tc>
          <w:tcPr>
            <w:tcW w:w="1276" w:type="dxa"/>
            <w:tcBorders>
              <w:top w:val="single" w:sz="5" w:space="0" w:color="000000"/>
              <w:left w:val="single" w:sz="5" w:space="0" w:color="000000"/>
              <w:bottom w:val="single" w:sz="5" w:space="0" w:color="000000"/>
              <w:right w:val="single" w:sz="5" w:space="0" w:color="000000"/>
            </w:tcBorders>
          </w:tcPr>
          <w:p w14:paraId="733E24E5"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662</w:t>
            </w:r>
          </w:p>
        </w:tc>
        <w:tc>
          <w:tcPr>
            <w:tcW w:w="1990" w:type="dxa"/>
            <w:tcBorders>
              <w:top w:val="single" w:sz="5" w:space="0" w:color="000000"/>
              <w:left w:val="single" w:sz="5" w:space="0" w:color="000000"/>
              <w:bottom w:val="single" w:sz="5" w:space="0" w:color="000000"/>
              <w:right w:val="single" w:sz="5" w:space="0" w:color="000000"/>
            </w:tcBorders>
          </w:tcPr>
          <w:p w14:paraId="321A61A6"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139.047.300,00</w:t>
            </w:r>
          </w:p>
        </w:tc>
      </w:tr>
      <w:tr w:rsidR="00FF1E38" w:rsidRPr="00FF1E38" w14:paraId="3A398BFA" w14:textId="77777777" w:rsidTr="00DE0C9A">
        <w:trPr>
          <w:cantSplit/>
        </w:trPr>
        <w:tc>
          <w:tcPr>
            <w:tcW w:w="468" w:type="dxa"/>
            <w:tcBorders>
              <w:top w:val="single" w:sz="5" w:space="0" w:color="000000"/>
              <w:left w:val="single" w:sz="5" w:space="0" w:color="000000"/>
              <w:bottom w:val="single" w:sz="5" w:space="0" w:color="000000"/>
              <w:right w:val="single" w:sz="5" w:space="0" w:color="000000"/>
            </w:tcBorders>
            <w:shd w:val="clear" w:color="auto" w:fill="FFC000"/>
          </w:tcPr>
          <w:p w14:paraId="3F06EB83"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17.</w:t>
            </w:r>
          </w:p>
        </w:tc>
        <w:tc>
          <w:tcPr>
            <w:tcW w:w="2503" w:type="dxa"/>
            <w:tcBorders>
              <w:top w:val="single" w:sz="5" w:space="0" w:color="000000"/>
              <w:left w:val="single" w:sz="5" w:space="0" w:color="000000"/>
              <w:bottom w:val="single" w:sz="5" w:space="0" w:color="000000"/>
              <w:right w:val="single" w:sz="5" w:space="0" w:color="000000"/>
            </w:tcBorders>
          </w:tcPr>
          <w:p w14:paraId="0785DE54"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Trnje</w:t>
            </w:r>
          </w:p>
        </w:tc>
        <w:tc>
          <w:tcPr>
            <w:tcW w:w="1418" w:type="dxa"/>
            <w:tcBorders>
              <w:top w:val="single" w:sz="5" w:space="0" w:color="000000"/>
              <w:left w:val="single" w:sz="5" w:space="0" w:color="000000"/>
              <w:bottom w:val="single" w:sz="5" w:space="0" w:color="000000"/>
              <w:right w:val="single" w:sz="5" w:space="0" w:color="000000"/>
            </w:tcBorders>
          </w:tcPr>
          <w:p w14:paraId="35AEF8E9"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42.126</w:t>
            </w:r>
          </w:p>
        </w:tc>
        <w:tc>
          <w:tcPr>
            <w:tcW w:w="1417" w:type="dxa"/>
            <w:tcBorders>
              <w:top w:val="single" w:sz="5" w:space="0" w:color="000000"/>
              <w:left w:val="single" w:sz="5" w:space="0" w:color="000000"/>
              <w:bottom w:val="single" w:sz="5" w:space="0" w:color="000000"/>
              <w:right w:val="single" w:sz="5" w:space="0" w:color="000000"/>
            </w:tcBorders>
          </w:tcPr>
          <w:p w14:paraId="148FC58F"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23.700</w:t>
            </w:r>
          </w:p>
        </w:tc>
        <w:tc>
          <w:tcPr>
            <w:tcW w:w="1276" w:type="dxa"/>
            <w:tcBorders>
              <w:top w:val="single" w:sz="5" w:space="0" w:color="000000"/>
              <w:left w:val="single" w:sz="5" w:space="0" w:color="000000"/>
              <w:bottom w:val="single" w:sz="5" w:space="0" w:color="000000"/>
              <w:right w:val="single" w:sz="5" w:space="0" w:color="000000"/>
            </w:tcBorders>
          </w:tcPr>
          <w:p w14:paraId="6A9ABA4A"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498</w:t>
            </w:r>
          </w:p>
        </w:tc>
        <w:tc>
          <w:tcPr>
            <w:tcW w:w="1990" w:type="dxa"/>
            <w:tcBorders>
              <w:top w:val="single" w:sz="5" w:space="0" w:color="000000"/>
              <w:left w:val="single" w:sz="5" w:space="0" w:color="000000"/>
              <w:bottom w:val="single" w:sz="5" w:space="0" w:color="000000"/>
              <w:right w:val="single" w:sz="5" w:space="0" w:color="000000"/>
            </w:tcBorders>
          </w:tcPr>
          <w:p w14:paraId="4CE9A3B1"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104.517.000,00</w:t>
            </w:r>
          </w:p>
        </w:tc>
      </w:tr>
      <w:tr w:rsidR="00FF1E38" w:rsidRPr="00FF1E38" w14:paraId="0C2E09D2" w14:textId="77777777" w:rsidTr="00DE0C9A">
        <w:trPr>
          <w:cantSplit/>
        </w:trPr>
        <w:tc>
          <w:tcPr>
            <w:tcW w:w="468" w:type="dxa"/>
            <w:tcBorders>
              <w:top w:val="single" w:sz="5" w:space="0" w:color="000000"/>
              <w:left w:val="single" w:sz="5" w:space="0" w:color="000000"/>
              <w:bottom w:val="single" w:sz="5" w:space="0" w:color="000000"/>
              <w:right w:val="single" w:sz="5" w:space="0" w:color="000000"/>
            </w:tcBorders>
          </w:tcPr>
          <w:p w14:paraId="4CBBC505" w14:textId="77777777" w:rsidR="00FF1E38" w:rsidRPr="00FF1E38" w:rsidRDefault="00FF1E38" w:rsidP="00FF1E38">
            <w:pPr>
              <w:spacing w:after="0" w:line="240" w:lineRule="auto"/>
              <w:ind w:left="0" w:right="0" w:firstLine="0"/>
              <w:rPr>
                <w:rFonts w:ascii="Times New Roman" w:hAnsi="Times New Roman" w:cs="Times New Roman"/>
              </w:rPr>
            </w:pPr>
          </w:p>
        </w:tc>
        <w:tc>
          <w:tcPr>
            <w:tcW w:w="2503" w:type="dxa"/>
            <w:tcBorders>
              <w:top w:val="single" w:sz="5" w:space="0" w:color="000000"/>
              <w:left w:val="single" w:sz="5" w:space="0" w:color="000000"/>
              <w:bottom w:val="single" w:sz="5" w:space="0" w:color="000000"/>
              <w:right w:val="single" w:sz="5" w:space="0" w:color="000000"/>
            </w:tcBorders>
          </w:tcPr>
          <w:p w14:paraId="5A822A6E" w14:textId="77777777" w:rsidR="00FF1E38" w:rsidRPr="00FF1E38" w:rsidRDefault="00FF1E38" w:rsidP="00FF1E38">
            <w:pPr>
              <w:spacing w:after="0" w:line="240" w:lineRule="auto"/>
              <w:ind w:left="0" w:right="0" w:firstLine="0"/>
              <w:rPr>
                <w:rFonts w:ascii="Times New Roman" w:hAnsi="Times New Roman" w:cs="Times New Roman"/>
              </w:rPr>
            </w:pPr>
          </w:p>
        </w:tc>
        <w:tc>
          <w:tcPr>
            <w:tcW w:w="1418" w:type="dxa"/>
            <w:tcBorders>
              <w:top w:val="single" w:sz="5" w:space="0" w:color="000000"/>
              <w:left w:val="single" w:sz="5" w:space="0" w:color="000000"/>
              <w:bottom w:val="single" w:sz="5" w:space="0" w:color="000000"/>
              <w:right w:val="single" w:sz="5" w:space="0" w:color="000000"/>
            </w:tcBorders>
          </w:tcPr>
          <w:p w14:paraId="4EA2A117"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792.875</w:t>
            </w:r>
          </w:p>
        </w:tc>
        <w:tc>
          <w:tcPr>
            <w:tcW w:w="1417" w:type="dxa"/>
            <w:tcBorders>
              <w:top w:val="single" w:sz="5" w:space="0" w:color="000000"/>
              <w:left w:val="single" w:sz="5" w:space="0" w:color="000000"/>
              <w:bottom w:val="single" w:sz="5" w:space="0" w:color="000000"/>
              <w:right w:val="single" w:sz="5" w:space="0" w:color="000000"/>
            </w:tcBorders>
          </w:tcPr>
          <w:p w14:paraId="500AD51C"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386.944</w:t>
            </w:r>
          </w:p>
        </w:tc>
        <w:tc>
          <w:tcPr>
            <w:tcW w:w="1276" w:type="dxa"/>
            <w:tcBorders>
              <w:top w:val="single" w:sz="5" w:space="0" w:color="000000"/>
              <w:left w:val="single" w:sz="5" w:space="0" w:color="000000"/>
              <w:bottom w:val="single" w:sz="5" w:space="0" w:color="000000"/>
              <w:right w:val="single" w:sz="5" w:space="0" w:color="000000"/>
            </w:tcBorders>
          </w:tcPr>
          <w:p w14:paraId="4A9E6046"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8.126</w:t>
            </w:r>
          </w:p>
        </w:tc>
        <w:tc>
          <w:tcPr>
            <w:tcW w:w="1990" w:type="dxa"/>
            <w:tcBorders>
              <w:top w:val="single" w:sz="5" w:space="0" w:color="000000"/>
              <w:left w:val="single" w:sz="5" w:space="0" w:color="000000"/>
              <w:bottom w:val="single" w:sz="5" w:space="0" w:color="000000"/>
              <w:right w:val="single" w:sz="5" w:space="0" w:color="000000"/>
            </w:tcBorders>
          </w:tcPr>
          <w:p w14:paraId="38E033BF"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1.706.363.505,00</w:t>
            </w:r>
          </w:p>
        </w:tc>
      </w:tr>
    </w:tbl>
    <w:p w14:paraId="5D3B7230" w14:textId="77777777" w:rsidR="00FF1E38" w:rsidRPr="00FF1E38" w:rsidRDefault="00FF1E38" w:rsidP="00FF1E38">
      <w:pPr>
        <w:spacing w:after="0" w:line="240" w:lineRule="auto"/>
        <w:ind w:left="0" w:right="0" w:firstLine="0"/>
        <w:jc w:val="center"/>
        <w:rPr>
          <w:rFonts w:ascii="Times New Roman" w:hAnsi="Times New Roman" w:cs="Times New Roman"/>
          <w:b/>
          <w:sz w:val="20"/>
        </w:rPr>
      </w:pPr>
      <w:r w:rsidRPr="00FF1E38">
        <w:rPr>
          <w:rFonts w:ascii="Times New Roman" w:eastAsia="Calibri" w:hAnsi="Times New Roman" w:cs="Times New Roman"/>
          <w:i/>
          <w:sz w:val="20"/>
        </w:rPr>
        <w:t>Izvor: Procjena rizika od katastrofa za Republiku Hrvatsku</w:t>
      </w:r>
    </w:p>
    <w:p w14:paraId="4C987E6B" w14:textId="77777777" w:rsidR="00FF1E38" w:rsidRPr="00FF1E38" w:rsidRDefault="00FF1E38" w:rsidP="00FF1E38">
      <w:pPr>
        <w:spacing w:after="0" w:line="240" w:lineRule="auto"/>
        <w:ind w:left="0" w:right="0" w:firstLine="0"/>
        <w:rPr>
          <w:rFonts w:ascii="Times New Roman" w:hAnsi="Times New Roman" w:cs="Times New Roman"/>
          <w:sz w:val="24"/>
        </w:rPr>
      </w:pPr>
    </w:p>
    <w:p w14:paraId="1136A6B1"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Procjena troškova je napravljena korištenjem procjene troškova od 300 EUR/m</w:t>
      </w:r>
      <w:r w:rsidRPr="00FF1E38">
        <w:rPr>
          <w:rFonts w:ascii="Times New Roman" w:hAnsi="Times New Roman" w:cs="Times New Roman"/>
          <w:sz w:val="24"/>
          <w:vertAlign w:val="superscript"/>
        </w:rPr>
        <w:t xml:space="preserve">2 </w:t>
      </w:r>
      <w:r w:rsidRPr="00FF1E38">
        <w:rPr>
          <w:rFonts w:ascii="Times New Roman" w:hAnsi="Times New Roman" w:cs="Times New Roman"/>
          <w:sz w:val="24"/>
        </w:rPr>
        <w:t>(obiteljske kuće) i 800 (poslovne zgrade) EUR/m</w:t>
      </w:r>
      <w:r w:rsidRPr="00FF1E38">
        <w:rPr>
          <w:rFonts w:ascii="Times New Roman" w:hAnsi="Times New Roman" w:cs="Times New Roman"/>
          <w:sz w:val="24"/>
          <w:vertAlign w:val="superscript"/>
        </w:rPr>
        <w:t>2</w:t>
      </w:r>
      <w:r w:rsidRPr="00FF1E38">
        <w:rPr>
          <w:rFonts w:ascii="Times New Roman" w:hAnsi="Times New Roman" w:cs="Times New Roman"/>
          <w:sz w:val="24"/>
        </w:rPr>
        <w:t xml:space="preserve"> prema Hanžek Z. (2005) „Jednostavni cjenik usluga za arhitekte i investitore,“ i oko 1.300 EUR/m</w:t>
      </w:r>
      <w:r w:rsidRPr="00FF1E38">
        <w:rPr>
          <w:rFonts w:ascii="Times New Roman" w:hAnsi="Times New Roman" w:cs="Times New Roman"/>
          <w:sz w:val="24"/>
          <w:vertAlign w:val="superscript"/>
        </w:rPr>
        <w:t>2</w:t>
      </w:r>
      <w:r w:rsidRPr="00FF1E38">
        <w:rPr>
          <w:rFonts w:ascii="Times New Roman" w:hAnsi="Times New Roman" w:cs="Times New Roman"/>
          <w:sz w:val="24"/>
        </w:rPr>
        <w:t xml:space="preserve"> prema Crowley H., Ozcebe S., Baker H., Foulser-Piggott R., Spence R. (2014) D7.2 State of the Knowledge of Building Inventory Data in Europe. Prema stupnjevima oštećenja stavke su pridodane na način da se za V. stupanj oštećenja (rušenje) pridodaje 100% troškovničke vrijednosti ove zgrade kojoj je potrebno dodati oko 20% njene vrijednosti za troškove uklanjanja i zbrinjavanja nastalog otpada. Sa druge strane za I. stupanj oštećenja štete su do 1% ukupne troškovničke vrijednosti zgrade. Između ovih krajnjih vrijednosti pretpostavljaju se za IV. stupanj oštećenja troškovi od 80–100% troškovničke vrijednosti zgrade (investiranje kako bi se zgrada dovela u uporabljivo stanje), za III. stupanj 40 – 80% troškovničke vrijednosti zgrade i za II. stupanj 1 – 40%.  Pretvoreno u kune, šteta bi iznosila 12.674.950.020,59 kuna. Bitno je napomenuti da je Proračun Grada Zagreba za 2022. iznosio 15.126.911.800 kuna.</w:t>
      </w:r>
    </w:p>
    <w:p w14:paraId="78A58347" w14:textId="77777777" w:rsidR="00FF1E38" w:rsidRPr="00FF1E38" w:rsidRDefault="00FF1E38" w:rsidP="00FF1E38">
      <w:pPr>
        <w:spacing w:after="0" w:line="240" w:lineRule="auto"/>
        <w:ind w:left="0" w:right="0" w:firstLine="709"/>
        <w:rPr>
          <w:rFonts w:ascii="Times New Roman" w:hAnsi="Times New Roman" w:cs="Times New Roman"/>
          <w:sz w:val="24"/>
        </w:rPr>
      </w:pPr>
    </w:p>
    <w:p w14:paraId="00AA36BB" w14:textId="77777777" w:rsidR="00FF1E38" w:rsidRP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sz w:val="24"/>
          <w:u w:val="single"/>
        </w:rPr>
        <w:t>Procjena na razini mjesnih odbora</w:t>
      </w:r>
      <w:r w:rsidRPr="00FF1E38">
        <w:rPr>
          <w:rFonts w:ascii="Times New Roman" w:hAnsi="Times New Roman" w:cs="Times New Roman"/>
          <w:sz w:val="24"/>
          <w:u w:val="single"/>
          <w:vertAlign w:val="superscript"/>
        </w:rPr>
        <w:footnoteReference w:id="36"/>
      </w:r>
    </w:p>
    <w:p w14:paraId="1D0241D5" w14:textId="77777777" w:rsidR="00FF1E38" w:rsidRPr="00FF1E38" w:rsidRDefault="00FF1E38" w:rsidP="00FF1E38">
      <w:pPr>
        <w:spacing w:after="0" w:line="240" w:lineRule="auto"/>
        <w:ind w:left="0" w:right="0" w:firstLine="709"/>
        <w:rPr>
          <w:rFonts w:ascii="Times New Roman" w:hAnsi="Times New Roman" w:cs="Times New Roman"/>
          <w:sz w:val="24"/>
          <w:u w:val="single"/>
        </w:rPr>
      </w:pPr>
    </w:p>
    <w:p w14:paraId="7AA44E0F"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Na području Grada Zagreba postoji 17 gradskih četvrti i 218 mjesnih odbora. Mjesni su odbori osnovani za pojedini dio gradske četvrti, pojedino naselje ili više međusobno povezanih manjih naselja, ili dio većeg naselja koji u odnosu na ostale dijelove čini zasebnu cjelinu. </w:t>
      </w:r>
      <w:r w:rsidRPr="00FF1E38">
        <w:rPr>
          <w:rFonts w:ascii="Times New Roman" w:hAnsi="Times New Roman" w:cs="Times New Roman"/>
          <w:sz w:val="24"/>
        </w:rPr>
        <w:lastRenderedPageBreak/>
        <w:t>Najviše mjesnih odbora (46) osnovano je u Gradskoj četvrti Sesvete, a najmanje (pet) u Gradskoj četvrti Podsljeme.</w:t>
      </w:r>
    </w:p>
    <w:p w14:paraId="0C539E4F"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Seizmički hazard je definiran u skladu s važećom Kartom seizmičkih područja u Republici Hrvatskoj pa je u skladu s tim za svaki mjesni odbor (njegovo težište) očitano vršno horizontalno ubrzanje za povratni period od 475 godina. Utjecaj tla (amplifikacija) nije uzeta u obzir (u dogovoru s Geofizičkim odsjekom PMF-a) jer je mikrozonacija grada još u tijeku pa ne postoje ujednačeni podaci za sve mjesne odbore. Posebni iskorak je napravljen prema najvećem izazovu za procjene rizika od potresa odnosno podacima o konstrukcijskom sustavu građevina. Definirani su najčešći tipovi konstrukcijskih sustava (njih 14) u gradu, a zatim je za svaki mjesni odbor određeno učešće svakog pojedinog tipa u ukupnom broju stambenih zgrada. Postupak je obuhvaćao odabir svake zgrade ili grupe zgrada i pridruživanje tipu nosivog sustava. Također, na razini mjesnog odbora je svakom tipu konstrukcijskog sustava pridružen broj stanovnika kako bi se u konačnici mogao procijeniti broj mogućih žrtava s obzirom na procjenu očekivanog broja teško oštećenih i srušenih zgrada. </w:t>
      </w:r>
    </w:p>
    <w:p w14:paraId="7EECFA83" w14:textId="55859A71" w:rsidR="00FF1E38" w:rsidRPr="00FF1E38" w:rsidRDefault="00FF1E38" w:rsidP="00FF1E38">
      <w:pPr>
        <w:spacing w:after="0" w:line="240" w:lineRule="auto"/>
        <w:ind w:left="0" w:right="0" w:firstLine="709"/>
        <w:rPr>
          <w:rFonts w:ascii="Times New Roman" w:hAnsi="Times New Roman" w:cs="Times New Roman"/>
          <w:sz w:val="24"/>
        </w:rPr>
      </w:pPr>
      <w:r w:rsidRPr="00A67E66">
        <w:rPr>
          <w:rFonts w:ascii="Times New Roman" w:hAnsi="Times New Roman" w:cs="Times New Roman"/>
          <w:color w:val="auto"/>
          <w:sz w:val="24"/>
        </w:rPr>
        <w:t xml:space="preserve">Na </w:t>
      </w:r>
      <w:r w:rsidR="00A67E66" w:rsidRPr="00A67E66">
        <w:rPr>
          <w:rFonts w:ascii="Times New Roman" w:hAnsi="Times New Roman" w:cs="Times New Roman"/>
          <w:color w:val="auto"/>
          <w:sz w:val="24"/>
        </w:rPr>
        <w:t>Slici 13</w:t>
      </w:r>
      <w:r w:rsidRPr="00A67E66">
        <w:rPr>
          <w:rFonts w:ascii="Times New Roman" w:hAnsi="Times New Roman" w:cs="Times New Roman"/>
          <w:color w:val="auto"/>
          <w:sz w:val="24"/>
        </w:rPr>
        <w:t xml:space="preserve">. mogu se vidjeti podaci o konstrukcijskim sustavima zgrada za neke mjesne </w:t>
      </w:r>
      <w:r w:rsidRPr="00FF1E38">
        <w:rPr>
          <w:rFonts w:ascii="Times New Roman" w:hAnsi="Times New Roman" w:cs="Times New Roman"/>
          <w:sz w:val="24"/>
        </w:rPr>
        <w:t>odbore, uneseni u GIS sustav, koristeći ortofoto kartu Grada iz 2018. godine kao podlogu. Oznake tipova konstrukcijskih sustava URM se odnose na zidane zgrade bez serklaža, RC2 na zgrade sa armiranobetonskim zidovima, RC4 na zgrade kojima je dominantan konstrukcijski sustav okvir s ispunom i omeđeno ziđe, RC5 na tipske armiranobetonske zgrade (tzv. limenke) i NEB na armiranobetonske tornjeve. U svim oznakama L, M i H se odnose na broj katova. Unatoč činjenici da se napravio veliki iskorak prema preciznijoj procjeni izloženosti građevina, nužno je istaknuti da realno postoji značajno više konstrukcijskih sustava i da su potrebna detaljna istraživanja za precizniju kategorizaciju.</w:t>
      </w:r>
    </w:p>
    <w:p w14:paraId="64536E2C" w14:textId="77777777" w:rsidR="00FF1E38" w:rsidRPr="00FF1E38" w:rsidRDefault="00FF1E38" w:rsidP="00FF1E38">
      <w:pPr>
        <w:spacing w:after="0" w:line="240" w:lineRule="auto"/>
        <w:ind w:left="0" w:right="0" w:firstLine="709"/>
        <w:rPr>
          <w:rFonts w:ascii="Times New Roman" w:hAnsi="Times New Roman" w:cs="Times New Roman"/>
          <w:sz w:val="24"/>
        </w:rPr>
      </w:pPr>
    </w:p>
    <w:p w14:paraId="6FB66E1D" w14:textId="6E5F142B" w:rsidR="00FF1E38" w:rsidRPr="00A67E66" w:rsidRDefault="00A67E66" w:rsidP="00FF1E38">
      <w:pPr>
        <w:spacing w:after="0" w:line="240" w:lineRule="auto"/>
        <w:ind w:left="0" w:right="0" w:firstLine="709"/>
        <w:jc w:val="center"/>
        <w:rPr>
          <w:rFonts w:ascii="Times New Roman" w:hAnsi="Times New Roman" w:cs="Times New Roman"/>
          <w:b/>
          <w:color w:val="auto"/>
          <w:sz w:val="24"/>
        </w:rPr>
      </w:pPr>
      <w:r w:rsidRPr="00A67E66">
        <w:rPr>
          <w:rFonts w:ascii="Times New Roman" w:hAnsi="Times New Roman" w:cs="Times New Roman"/>
          <w:b/>
          <w:color w:val="auto"/>
          <w:sz w:val="24"/>
        </w:rPr>
        <w:t>Slika 13</w:t>
      </w:r>
      <w:r w:rsidR="00FF1E38" w:rsidRPr="00A67E66">
        <w:rPr>
          <w:rFonts w:ascii="Times New Roman" w:hAnsi="Times New Roman" w:cs="Times New Roman"/>
          <w:b/>
          <w:color w:val="auto"/>
          <w:sz w:val="24"/>
        </w:rPr>
        <w:t>. Konstrukcijski sustavi zgrada za neke mjesne odbore</w:t>
      </w:r>
    </w:p>
    <w:p w14:paraId="44AB5076" w14:textId="77777777" w:rsidR="00FF1E38" w:rsidRPr="00FF1E38" w:rsidRDefault="00FF1E38" w:rsidP="00FF1E38">
      <w:pPr>
        <w:spacing w:after="0" w:line="240" w:lineRule="auto"/>
        <w:ind w:left="0" w:right="0" w:firstLine="709"/>
        <w:jc w:val="left"/>
        <w:rPr>
          <w:rFonts w:ascii="Times New Roman" w:hAnsi="Times New Roman" w:cs="Times New Roman"/>
          <w:sz w:val="24"/>
        </w:rPr>
      </w:pPr>
      <w:r w:rsidRPr="00FF1E38">
        <w:rPr>
          <w:rFonts w:ascii="Calibri" w:eastAsia="Calibri" w:hAnsi="Calibri" w:cs="Times New Roman"/>
          <w:noProof/>
          <w:color w:val="auto"/>
        </w:rPr>
        <w:drawing>
          <wp:inline distT="0" distB="0" distL="0" distR="0" wp14:anchorId="1028C199" wp14:editId="0697C75A">
            <wp:extent cx="4886325" cy="28575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r="15178" b="5323"/>
                    <a:stretch/>
                  </pic:blipFill>
                  <pic:spPr bwMode="auto">
                    <a:xfrm>
                      <a:off x="0" y="0"/>
                      <a:ext cx="4886325" cy="2857500"/>
                    </a:xfrm>
                    <a:prstGeom prst="rect">
                      <a:avLst/>
                    </a:prstGeom>
                    <a:noFill/>
                    <a:ln>
                      <a:noFill/>
                    </a:ln>
                    <a:extLst>
                      <a:ext uri="{53640926-AAD7-44D8-BBD7-CCE9431645EC}">
                        <a14:shadowObscured xmlns:a14="http://schemas.microsoft.com/office/drawing/2010/main"/>
                      </a:ext>
                    </a:extLst>
                  </pic:spPr>
                </pic:pic>
              </a:graphicData>
            </a:graphic>
          </wp:inline>
        </w:drawing>
      </w:r>
    </w:p>
    <w:p w14:paraId="7B3A9781" w14:textId="77777777" w:rsidR="00FF1E38" w:rsidRPr="00FF1E38" w:rsidRDefault="00FF1E38" w:rsidP="00FF1E38">
      <w:pPr>
        <w:spacing w:after="0" w:line="240" w:lineRule="auto"/>
        <w:ind w:left="0" w:right="0" w:firstLine="709"/>
        <w:jc w:val="left"/>
        <w:rPr>
          <w:rFonts w:ascii="Times New Roman" w:hAnsi="Times New Roman" w:cs="Times New Roman"/>
          <w:i/>
          <w:sz w:val="20"/>
          <w:szCs w:val="20"/>
        </w:rPr>
      </w:pPr>
      <w:r w:rsidRPr="00FF1E38">
        <w:rPr>
          <w:rFonts w:ascii="Times New Roman" w:hAnsi="Times New Roman" w:cs="Times New Roman"/>
          <w:i/>
          <w:sz w:val="20"/>
          <w:szCs w:val="20"/>
        </w:rPr>
        <w:t xml:space="preserve">                          </w:t>
      </w:r>
      <w:bookmarkStart w:id="73" w:name="_Hlk109129101"/>
      <w:r w:rsidRPr="00FF1E38">
        <w:rPr>
          <w:rFonts w:ascii="Times New Roman" w:hAnsi="Times New Roman" w:cs="Times New Roman"/>
          <w:i/>
          <w:sz w:val="20"/>
          <w:szCs w:val="20"/>
        </w:rPr>
        <w:t>Izvor: Procjena rizika od katastrofa za Republiku Hrvatsku</w:t>
      </w:r>
      <w:bookmarkEnd w:id="73"/>
    </w:p>
    <w:p w14:paraId="11D32B80" w14:textId="77777777" w:rsidR="00FF1E38" w:rsidRPr="00FF1E38" w:rsidRDefault="00FF1E38" w:rsidP="00FF1E38">
      <w:pPr>
        <w:spacing w:after="0" w:line="240" w:lineRule="auto"/>
        <w:ind w:left="0" w:right="0" w:firstLine="709"/>
        <w:rPr>
          <w:rFonts w:ascii="Times New Roman" w:hAnsi="Times New Roman" w:cs="Times New Roman"/>
          <w:sz w:val="24"/>
        </w:rPr>
      </w:pPr>
    </w:p>
    <w:p w14:paraId="6D3875E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Kako bi se provela analiza oštetljivosti stambenog fonda, korištene su krivulje vjerojatnosti oštećenja, često zvane i krivulje ranjivosti, (engl. fragility curve) i krivulje oštetljivosti (engl. vulnerability curve). Krivulje vjerojatnosti oštećenja daju ovisnost očekivanih oštećenja pojedinog tipa zgrade o mjeri intenziteta potresnog gibanja. Određeno je ukupno 14 takvih krivulja za najčešće tipove nosivih sustava zgrada u Zagrebu.</w:t>
      </w:r>
    </w:p>
    <w:p w14:paraId="2A0F5BA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U procjeni seizmičkog rizika nužno je povezati očekivana oštećenja zgrada s nastalom štetom, što se može izraziti relativnim financijskim gubicima zbog oštećenja u odnosu na </w:t>
      </w:r>
      <w:r w:rsidRPr="00FF1E38">
        <w:rPr>
          <w:rFonts w:ascii="Times New Roman" w:hAnsi="Times New Roman" w:cs="Times New Roman"/>
          <w:sz w:val="24"/>
        </w:rPr>
        <w:lastRenderedPageBreak/>
        <w:t>vrijednost građevine, izražene omjerom troškova potrebnih popravaka i troškova zamjene objekta. U postupku proračuna šteta korišteni su faktori štete (DF), iznosa u skladu s Yucemen, M.S. (2005). “Probabilistic assessment of earthquake insurance rates for Turkey,”, koji povezuju trošak popravka zgrade za svako stanje oštećenja s troškom zamjene zgrade. Za I. stupanj oštećenja štete su 5%, za II. stupanj 30 %, za III. stupanj 70%, a za IV. i V. stupanj su 100% vrijednosti zgrade. Vrijednosti su orijentacijske odnosno ne mogu predstavljati precizne vrijednosti troškova potrebnih za popravak zgrada jer isti odstupaju i ovise o mnoštvu parametara (starost građevine, vrsta materijala, lokaciji, itd.). Pridruživanjem faktora štete krivuljama vjerojatnosti oštećenja dobivene su funkcije oštetljivosti svakog konstrukcijskog tipa zgrada.</w:t>
      </w:r>
    </w:p>
    <w:p w14:paraId="2A3B2B7F" w14:textId="77777777" w:rsidR="00FF1E38" w:rsidRPr="00FF1E38" w:rsidRDefault="00FF1E38" w:rsidP="00FF1E38">
      <w:pPr>
        <w:spacing w:after="0" w:line="240" w:lineRule="auto"/>
        <w:ind w:left="0" w:right="0" w:firstLine="709"/>
        <w:rPr>
          <w:rFonts w:ascii="Times New Roman" w:hAnsi="Times New Roman" w:cs="Times New Roman"/>
          <w:sz w:val="24"/>
        </w:rPr>
      </w:pPr>
    </w:p>
    <w:p w14:paraId="3B007237"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Za svaki konstrukcijski sustav definirana je novčana vrijednost zgrade (jedinični trošak zamjene zgrade prema standardnoj kalkulaciji radova u visokogradnji). Važno je istaknuti da je vrijednost stambenog fonda zgrada procijenjen na 36,7 milijarde EUR. Zaključno treba istaknuti da opisana metodologija prati suvremene trendove, ali dok se ne provedu detaljna istraživanja karakteristika fonda građevina nije moguće u potpunosti iskoristiti sve mogućnosti (primjerice povezati krivulje oštetljivosti iz postojećih baza s fondom građevina) pa dobivene rezultate treba promatrati u svijetlu nepouzdanih ulaznih podataka.</w:t>
      </w:r>
    </w:p>
    <w:p w14:paraId="1B2A81F9"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Ukupni novčani gubitci uslijed zadanog scenarija djelovanja potresa, proračunati su za svaki mjesni odbor, po različitim konstrukcijskim sustavima zgrada. Procjena smrtno stradalih osoba također je napravljena za svaki mjesni odbor i određena je u ovisnosti o broju osoba u procjenom dobivenim jako oštećenim i srušenim zgradama u vrijeme djelovanja potresa. U nastavku su prikazani karakteristični rezultati koji jasno ističu posljedice.</w:t>
      </w:r>
    </w:p>
    <w:p w14:paraId="48C8E6B4" w14:textId="7407BB45" w:rsidR="00FF1E38" w:rsidRDefault="00FF1E38" w:rsidP="00FF1E38">
      <w:pPr>
        <w:spacing w:after="0" w:line="240" w:lineRule="auto"/>
        <w:ind w:left="0" w:right="0" w:firstLine="709"/>
        <w:rPr>
          <w:rFonts w:ascii="Times New Roman" w:hAnsi="Times New Roman" w:cs="Times New Roman"/>
          <w:sz w:val="24"/>
        </w:rPr>
      </w:pPr>
    </w:p>
    <w:p w14:paraId="67A84568" w14:textId="77777777" w:rsidR="00571A98" w:rsidRPr="00FF1E38" w:rsidRDefault="00571A98" w:rsidP="00FF1E38">
      <w:pPr>
        <w:spacing w:after="0" w:line="240" w:lineRule="auto"/>
        <w:ind w:left="0" w:right="0" w:firstLine="709"/>
        <w:rPr>
          <w:rFonts w:ascii="Times New Roman" w:hAnsi="Times New Roman" w:cs="Times New Roman"/>
          <w:sz w:val="24"/>
        </w:rPr>
      </w:pPr>
    </w:p>
    <w:p w14:paraId="5E475889" w14:textId="511F9334" w:rsidR="00FF1E38" w:rsidRPr="004C575D" w:rsidRDefault="004C575D" w:rsidP="00571A98">
      <w:pPr>
        <w:spacing w:line="240" w:lineRule="auto"/>
        <w:ind w:left="0" w:right="0" w:firstLine="0"/>
        <w:jc w:val="center"/>
        <w:rPr>
          <w:rFonts w:ascii="Times New Roman" w:eastAsia="Cambria" w:hAnsi="Times New Roman" w:cs="Times New Roman"/>
          <w:b/>
          <w:color w:val="auto"/>
          <w:sz w:val="24"/>
          <w:szCs w:val="24"/>
        </w:rPr>
      </w:pPr>
      <w:r w:rsidRPr="004C575D">
        <w:rPr>
          <w:rFonts w:ascii="Times New Roman" w:hAnsi="Times New Roman" w:cs="Times New Roman"/>
          <w:b/>
          <w:color w:val="auto"/>
          <w:sz w:val="24"/>
          <w:szCs w:val="24"/>
        </w:rPr>
        <w:t>Slika 14</w:t>
      </w:r>
      <w:r w:rsidR="00FF1E38" w:rsidRPr="004C575D">
        <w:rPr>
          <w:rFonts w:ascii="Times New Roman" w:hAnsi="Times New Roman" w:cs="Times New Roman"/>
          <w:b/>
          <w:color w:val="auto"/>
          <w:sz w:val="24"/>
          <w:szCs w:val="24"/>
        </w:rPr>
        <w:t xml:space="preserve">. </w:t>
      </w:r>
      <w:r w:rsidR="00FF1E38" w:rsidRPr="004C575D">
        <w:rPr>
          <w:rFonts w:ascii="Times New Roman" w:eastAsia="Cambria" w:hAnsi="Times New Roman" w:cs="Times New Roman"/>
          <w:b/>
          <w:color w:val="auto"/>
          <w:sz w:val="24"/>
          <w:szCs w:val="24"/>
        </w:rPr>
        <w:t>Broj srušenih zgrada po hektaru</w:t>
      </w:r>
    </w:p>
    <w:p w14:paraId="721C751B" w14:textId="77777777" w:rsidR="00FF1E38" w:rsidRPr="00FF1E38" w:rsidRDefault="00FF1E38" w:rsidP="00FF1E38">
      <w:pPr>
        <w:spacing w:after="0" w:line="240" w:lineRule="auto"/>
        <w:ind w:left="0" w:right="0" w:firstLine="0"/>
        <w:jc w:val="center"/>
        <w:rPr>
          <w:rFonts w:ascii="Times New Roman" w:eastAsia="Cambria" w:hAnsi="Times New Roman" w:cs="Times New Roman"/>
          <w:b/>
          <w:sz w:val="24"/>
          <w:szCs w:val="24"/>
        </w:rPr>
      </w:pPr>
      <w:r w:rsidRPr="00FF1E38">
        <w:rPr>
          <w:rFonts w:ascii="Times New Roman" w:eastAsia="Cambria" w:hAnsi="Times New Roman" w:cs="Times New Roman"/>
          <w:b/>
          <w:noProof/>
          <w:sz w:val="24"/>
          <w:szCs w:val="24"/>
        </w:rPr>
        <w:drawing>
          <wp:inline distT="0" distB="0" distL="0" distR="0" wp14:anchorId="07C78717" wp14:editId="5B96B9CC">
            <wp:extent cx="4191000" cy="40576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a:stretch/>
                  </pic:blipFill>
                  <pic:spPr bwMode="auto">
                    <a:xfrm>
                      <a:off x="0" y="0"/>
                      <a:ext cx="4222158" cy="4087817"/>
                    </a:xfrm>
                    <a:prstGeom prst="rect">
                      <a:avLst/>
                    </a:prstGeom>
                    <a:noFill/>
                    <a:ln>
                      <a:noFill/>
                    </a:ln>
                    <a:extLst>
                      <a:ext uri="{53640926-AAD7-44D8-BBD7-CCE9431645EC}">
                        <a14:shadowObscured xmlns:a14="http://schemas.microsoft.com/office/drawing/2010/main"/>
                      </a:ext>
                    </a:extLst>
                  </pic:spPr>
                </pic:pic>
              </a:graphicData>
            </a:graphic>
          </wp:inline>
        </w:drawing>
      </w:r>
    </w:p>
    <w:p w14:paraId="18951427" w14:textId="40629B7B" w:rsidR="00571A98" w:rsidRDefault="00FF1E38" w:rsidP="00502CC9">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i/>
          <w:sz w:val="20"/>
          <w:szCs w:val="20"/>
        </w:rPr>
        <w:t>Izvor: Procjena rizika od katastrofa za Republiku Hrvatsku (2019.)</w:t>
      </w:r>
    </w:p>
    <w:p w14:paraId="5439FF2C" w14:textId="77777777" w:rsidR="00502CC9" w:rsidRDefault="00502CC9" w:rsidP="008F11E3">
      <w:pPr>
        <w:spacing w:line="240" w:lineRule="auto"/>
        <w:ind w:left="0" w:right="0" w:firstLine="0"/>
        <w:jc w:val="center"/>
        <w:rPr>
          <w:rFonts w:ascii="Times New Roman" w:hAnsi="Times New Roman" w:cs="Times New Roman"/>
          <w:b/>
          <w:color w:val="auto"/>
          <w:sz w:val="24"/>
        </w:rPr>
      </w:pPr>
    </w:p>
    <w:p w14:paraId="772FB955" w14:textId="77777777" w:rsidR="00B230EE" w:rsidRDefault="00B230EE" w:rsidP="008F11E3">
      <w:pPr>
        <w:spacing w:line="240" w:lineRule="auto"/>
        <w:ind w:left="0" w:right="0" w:firstLine="0"/>
        <w:jc w:val="center"/>
        <w:rPr>
          <w:rFonts w:ascii="Times New Roman" w:hAnsi="Times New Roman" w:cs="Times New Roman"/>
          <w:b/>
          <w:color w:val="auto"/>
          <w:sz w:val="24"/>
        </w:rPr>
      </w:pPr>
    </w:p>
    <w:p w14:paraId="1D7096C6" w14:textId="77777777" w:rsidR="00B230EE" w:rsidRDefault="00B230EE" w:rsidP="008F11E3">
      <w:pPr>
        <w:spacing w:line="240" w:lineRule="auto"/>
        <w:ind w:left="0" w:right="0" w:firstLine="0"/>
        <w:jc w:val="center"/>
        <w:rPr>
          <w:rFonts w:ascii="Times New Roman" w:hAnsi="Times New Roman" w:cs="Times New Roman"/>
          <w:b/>
          <w:color w:val="auto"/>
          <w:sz w:val="24"/>
        </w:rPr>
      </w:pPr>
    </w:p>
    <w:p w14:paraId="6BD55865" w14:textId="77777777" w:rsidR="00B230EE" w:rsidRDefault="00B230EE" w:rsidP="008F11E3">
      <w:pPr>
        <w:spacing w:line="240" w:lineRule="auto"/>
        <w:ind w:left="0" w:right="0" w:firstLine="0"/>
        <w:jc w:val="center"/>
        <w:rPr>
          <w:rFonts w:ascii="Times New Roman" w:hAnsi="Times New Roman" w:cs="Times New Roman"/>
          <w:b/>
          <w:color w:val="auto"/>
          <w:sz w:val="24"/>
        </w:rPr>
      </w:pPr>
    </w:p>
    <w:p w14:paraId="1CBAB5EF" w14:textId="0354EB59" w:rsidR="00FF1E38" w:rsidRPr="004C575D" w:rsidRDefault="004C575D" w:rsidP="008F11E3">
      <w:pPr>
        <w:spacing w:line="240" w:lineRule="auto"/>
        <w:ind w:left="0" w:right="0" w:firstLine="0"/>
        <w:jc w:val="center"/>
        <w:rPr>
          <w:rFonts w:ascii="Times New Roman" w:hAnsi="Times New Roman" w:cs="Times New Roman"/>
          <w:b/>
          <w:color w:val="auto"/>
          <w:sz w:val="24"/>
        </w:rPr>
      </w:pPr>
      <w:r w:rsidRPr="004C575D">
        <w:rPr>
          <w:rFonts w:ascii="Times New Roman" w:hAnsi="Times New Roman" w:cs="Times New Roman"/>
          <w:b/>
          <w:color w:val="auto"/>
          <w:sz w:val="24"/>
        </w:rPr>
        <w:t>Slika 15</w:t>
      </w:r>
      <w:r w:rsidR="00FF1E38" w:rsidRPr="004C575D">
        <w:rPr>
          <w:rFonts w:ascii="Times New Roman" w:hAnsi="Times New Roman" w:cs="Times New Roman"/>
          <w:b/>
          <w:color w:val="auto"/>
          <w:sz w:val="24"/>
        </w:rPr>
        <w:t>. Troškovi u milijunima EUR i troškovi u milijunima EUR po hektaru</w:t>
      </w:r>
    </w:p>
    <w:p w14:paraId="41E2655F" w14:textId="77777777" w:rsidR="00FF1E38" w:rsidRPr="00FF1E38" w:rsidRDefault="00FF1E38" w:rsidP="00FF1E38">
      <w:pPr>
        <w:spacing w:after="0" w:line="240" w:lineRule="auto"/>
        <w:ind w:left="0" w:right="0" w:firstLine="0"/>
        <w:jc w:val="left"/>
        <w:rPr>
          <w:rFonts w:ascii="Times New Roman" w:hAnsi="Times New Roman" w:cs="Times New Roman"/>
          <w:b/>
          <w:sz w:val="24"/>
        </w:rPr>
      </w:pPr>
      <w:r w:rsidRPr="00FF1E38">
        <w:rPr>
          <w:rFonts w:ascii="Times New Roman" w:hAnsi="Times New Roman" w:cs="Times New Roman"/>
          <w:b/>
          <w:noProof/>
          <w:sz w:val="24"/>
        </w:rPr>
        <w:drawing>
          <wp:inline distT="0" distB="0" distL="0" distR="0" wp14:anchorId="76F38308" wp14:editId="07DB4CAE">
            <wp:extent cx="5742940" cy="25336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42940" cy="2533650"/>
                    </a:xfrm>
                    <a:prstGeom prst="rect">
                      <a:avLst/>
                    </a:prstGeom>
                    <a:noFill/>
                  </pic:spPr>
                </pic:pic>
              </a:graphicData>
            </a:graphic>
          </wp:inline>
        </w:drawing>
      </w:r>
    </w:p>
    <w:p w14:paraId="2557B54C" w14:textId="17CFB61C" w:rsidR="00FF1E38" w:rsidRDefault="00FF1E38" w:rsidP="00FF1E38">
      <w:pPr>
        <w:spacing w:after="0" w:line="240" w:lineRule="auto"/>
        <w:ind w:left="0" w:right="0" w:firstLine="0"/>
        <w:jc w:val="center"/>
        <w:rPr>
          <w:rFonts w:ascii="Times New Roman" w:hAnsi="Times New Roman" w:cs="Times New Roman"/>
          <w:i/>
          <w:sz w:val="20"/>
          <w:szCs w:val="20"/>
        </w:rPr>
      </w:pPr>
      <w:r w:rsidRPr="00FF1E38">
        <w:rPr>
          <w:rFonts w:ascii="Times New Roman" w:hAnsi="Times New Roman" w:cs="Times New Roman"/>
          <w:i/>
          <w:sz w:val="20"/>
          <w:szCs w:val="20"/>
        </w:rPr>
        <w:t>Izvor: Atalić, J. i suradnici (2019): Rizik od potresa za Hrvatsku: pregled istraživanja i postojećih procjena sa smjernicama za budućnost, Građevinar 10/2019</w:t>
      </w:r>
    </w:p>
    <w:p w14:paraId="168A170F" w14:textId="77777777" w:rsidR="00571A98" w:rsidRPr="00FF1E38" w:rsidRDefault="00571A98" w:rsidP="00FF1E38">
      <w:pPr>
        <w:spacing w:after="0" w:line="240" w:lineRule="auto"/>
        <w:ind w:left="0" w:right="0" w:firstLine="0"/>
        <w:jc w:val="center"/>
        <w:rPr>
          <w:rFonts w:ascii="Times New Roman" w:hAnsi="Times New Roman" w:cs="Times New Roman"/>
          <w:i/>
          <w:sz w:val="20"/>
          <w:szCs w:val="20"/>
        </w:rPr>
      </w:pPr>
    </w:p>
    <w:p w14:paraId="1808ECDD" w14:textId="77777777" w:rsidR="00502CC9" w:rsidRDefault="00502CC9" w:rsidP="008F11E3">
      <w:pPr>
        <w:spacing w:line="240" w:lineRule="auto"/>
        <w:ind w:left="0" w:right="0" w:firstLine="0"/>
        <w:jc w:val="center"/>
        <w:rPr>
          <w:rFonts w:ascii="Times New Roman" w:hAnsi="Times New Roman" w:cs="Times New Roman"/>
          <w:b/>
          <w:color w:val="auto"/>
          <w:sz w:val="24"/>
        </w:rPr>
      </w:pPr>
    </w:p>
    <w:p w14:paraId="30D2D889" w14:textId="464275F9" w:rsidR="00FF1E38" w:rsidRPr="00FF1E38" w:rsidRDefault="00A60DD3" w:rsidP="008F11E3">
      <w:pPr>
        <w:spacing w:line="240" w:lineRule="auto"/>
        <w:ind w:left="0" w:right="0" w:firstLine="0"/>
        <w:jc w:val="center"/>
        <w:rPr>
          <w:rFonts w:ascii="Times New Roman" w:hAnsi="Times New Roman" w:cs="Times New Roman"/>
          <w:i/>
          <w:color w:val="auto"/>
          <w:sz w:val="20"/>
          <w:szCs w:val="20"/>
        </w:rPr>
      </w:pPr>
      <w:r w:rsidRPr="00A60DD3">
        <w:rPr>
          <w:rFonts w:ascii="Times New Roman" w:hAnsi="Times New Roman" w:cs="Times New Roman"/>
          <w:b/>
          <w:color w:val="auto"/>
          <w:sz w:val="24"/>
        </w:rPr>
        <w:t>Slika 16</w:t>
      </w:r>
      <w:r w:rsidR="00FF1E38" w:rsidRPr="00A60DD3">
        <w:rPr>
          <w:rFonts w:ascii="Times New Roman" w:hAnsi="Times New Roman" w:cs="Times New Roman"/>
          <w:b/>
          <w:color w:val="auto"/>
          <w:sz w:val="24"/>
        </w:rPr>
        <w:t xml:space="preserve">. Postotak teško oštećenih </w:t>
      </w:r>
      <w:r w:rsidR="008F11E3">
        <w:rPr>
          <w:rFonts w:ascii="Times New Roman" w:hAnsi="Times New Roman" w:cs="Times New Roman"/>
          <w:b/>
          <w:color w:val="auto"/>
          <w:sz w:val="24"/>
        </w:rPr>
        <w:t>z</w:t>
      </w:r>
      <w:r w:rsidR="00FF1E38" w:rsidRPr="00A60DD3">
        <w:rPr>
          <w:rFonts w:ascii="Times New Roman" w:hAnsi="Times New Roman" w:cs="Times New Roman"/>
          <w:b/>
          <w:color w:val="auto"/>
          <w:sz w:val="24"/>
        </w:rPr>
        <w:t xml:space="preserve">grada u odnosu na ukupan broj zgrada u </w:t>
      </w:r>
      <w:r w:rsidR="00BB093D">
        <w:rPr>
          <w:rFonts w:ascii="Times New Roman" w:hAnsi="Times New Roman" w:cs="Times New Roman"/>
          <w:b/>
          <w:color w:val="auto"/>
          <w:sz w:val="24"/>
        </w:rPr>
        <w:t>gradskim četvrtima</w:t>
      </w:r>
    </w:p>
    <w:p w14:paraId="23C9D4E4" w14:textId="77777777" w:rsidR="00FF1E38" w:rsidRPr="00FF1E38" w:rsidRDefault="00FF1E38" w:rsidP="008F11E3">
      <w:pPr>
        <w:spacing w:after="0" w:line="240" w:lineRule="auto"/>
        <w:ind w:left="0" w:right="0" w:firstLine="0"/>
        <w:jc w:val="center"/>
        <w:rPr>
          <w:rFonts w:ascii="Times New Roman" w:hAnsi="Times New Roman" w:cs="Times New Roman"/>
          <w:b/>
          <w:strike/>
          <w:sz w:val="24"/>
        </w:rPr>
      </w:pPr>
      <w:r w:rsidRPr="00FF1E38">
        <w:rPr>
          <w:rFonts w:ascii="Calibri" w:eastAsia="Calibri" w:hAnsi="Calibri" w:cs="Times New Roman"/>
          <w:noProof/>
          <w:color w:val="auto"/>
        </w:rPr>
        <w:drawing>
          <wp:inline distT="0" distB="0" distL="0" distR="0" wp14:anchorId="7624555D" wp14:editId="6AEBBACE">
            <wp:extent cx="3448050" cy="3581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a:stretch/>
                  </pic:blipFill>
                  <pic:spPr bwMode="auto">
                    <a:xfrm>
                      <a:off x="0" y="0"/>
                      <a:ext cx="3448050" cy="3581400"/>
                    </a:xfrm>
                    <a:prstGeom prst="rect">
                      <a:avLst/>
                    </a:prstGeom>
                    <a:noFill/>
                    <a:ln>
                      <a:noFill/>
                    </a:ln>
                    <a:extLst>
                      <a:ext uri="{53640926-AAD7-44D8-BBD7-CCE9431645EC}">
                        <a14:shadowObscured xmlns:a14="http://schemas.microsoft.com/office/drawing/2010/main"/>
                      </a:ext>
                    </a:extLst>
                  </pic:spPr>
                </pic:pic>
              </a:graphicData>
            </a:graphic>
          </wp:inline>
        </w:drawing>
      </w:r>
    </w:p>
    <w:p w14:paraId="10F8EF7F" w14:textId="77777777" w:rsidR="00FF1E38" w:rsidRPr="00FF1E38" w:rsidRDefault="00FF1E38" w:rsidP="008F11E3">
      <w:pPr>
        <w:spacing w:after="0" w:line="240" w:lineRule="auto"/>
        <w:ind w:left="0" w:right="0" w:firstLine="0"/>
        <w:jc w:val="center"/>
        <w:rPr>
          <w:rFonts w:ascii="Times New Roman" w:hAnsi="Times New Roman" w:cs="Times New Roman"/>
          <w:b/>
          <w:i/>
          <w:strike/>
          <w:sz w:val="20"/>
          <w:szCs w:val="20"/>
        </w:rPr>
      </w:pPr>
      <w:r w:rsidRPr="00FF1E38">
        <w:rPr>
          <w:rFonts w:ascii="Times New Roman" w:hAnsi="Times New Roman" w:cs="Times New Roman"/>
          <w:i/>
          <w:sz w:val="20"/>
          <w:szCs w:val="20"/>
        </w:rPr>
        <w:t xml:space="preserve">Izvor: </w:t>
      </w:r>
      <w:bookmarkStart w:id="74" w:name="_Hlk113267441"/>
      <w:r w:rsidRPr="00FF1E38">
        <w:rPr>
          <w:rFonts w:ascii="Times New Roman" w:hAnsi="Times New Roman" w:cs="Times New Roman"/>
          <w:i/>
          <w:sz w:val="20"/>
          <w:szCs w:val="20"/>
        </w:rPr>
        <w:t>Procjena rizika od katastrofa za Republiku Hrvatsku</w:t>
      </w:r>
    </w:p>
    <w:bookmarkEnd w:id="74"/>
    <w:p w14:paraId="3908853F" w14:textId="278AF763" w:rsidR="00FF1E38" w:rsidRDefault="00FF1E38" w:rsidP="00FF1E38">
      <w:pPr>
        <w:spacing w:after="0" w:line="240" w:lineRule="auto"/>
        <w:ind w:left="0" w:right="0" w:firstLine="0"/>
        <w:jc w:val="left"/>
        <w:rPr>
          <w:rFonts w:ascii="Times New Roman" w:hAnsi="Times New Roman" w:cs="Times New Roman"/>
          <w:b/>
          <w:strike/>
          <w:sz w:val="24"/>
        </w:rPr>
      </w:pPr>
    </w:p>
    <w:p w14:paraId="194154B4" w14:textId="7A5B38A8" w:rsidR="00571A98" w:rsidRDefault="00571A98" w:rsidP="00FF1E38">
      <w:pPr>
        <w:spacing w:after="0" w:line="240" w:lineRule="auto"/>
        <w:ind w:left="0" w:right="0" w:firstLine="0"/>
        <w:jc w:val="left"/>
        <w:rPr>
          <w:rFonts w:ascii="Times New Roman" w:hAnsi="Times New Roman" w:cs="Times New Roman"/>
          <w:b/>
          <w:strike/>
          <w:sz w:val="24"/>
        </w:rPr>
      </w:pPr>
    </w:p>
    <w:p w14:paraId="189978E0" w14:textId="52BED5F5" w:rsidR="00571A98" w:rsidRDefault="00571A98" w:rsidP="00FF1E38">
      <w:pPr>
        <w:spacing w:after="0" w:line="240" w:lineRule="auto"/>
        <w:ind w:left="0" w:right="0" w:firstLine="0"/>
        <w:jc w:val="left"/>
        <w:rPr>
          <w:rFonts w:ascii="Times New Roman" w:hAnsi="Times New Roman" w:cs="Times New Roman"/>
          <w:b/>
          <w:strike/>
          <w:sz w:val="24"/>
        </w:rPr>
      </w:pPr>
    </w:p>
    <w:p w14:paraId="7E22F4C3" w14:textId="24CCEADC" w:rsidR="00571A98" w:rsidRDefault="00571A98" w:rsidP="00FF1E38">
      <w:pPr>
        <w:spacing w:after="0" w:line="240" w:lineRule="auto"/>
        <w:ind w:left="0" w:right="0" w:firstLine="0"/>
        <w:jc w:val="left"/>
        <w:rPr>
          <w:rFonts w:ascii="Times New Roman" w:hAnsi="Times New Roman" w:cs="Times New Roman"/>
          <w:b/>
          <w:strike/>
          <w:sz w:val="24"/>
        </w:rPr>
      </w:pPr>
    </w:p>
    <w:p w14:paraId="20B30948" w14:textId="72AD1B31" w:rsidR="00571A98" w:rsidRDefault="00571A98" w:rsidP="00FF1E38">
      <w:pPr>
        <w:spacing w:after="0" w:line="240" w:lineRule="auto"/>
        <w:ind w:left="0" w:right="0" w:firstLine="0"/>
        <w:jc w:val="left"/>
        <w:rPr>
          <w:rFonts w:ascii="Times New Roman" w:hAnsi="Times New Roman" w:cs="Times New Roman"/>
          <w:b/>
          <w:strike/>
          <w:sz w:val="24"/>
        </w:rPr>
      </w:pPr>
    </w:p>
    <w:p w14:paraId="75F92B59" w14:textId="77777777" w:rsidR="00B230EE" w:rsidRPr="00FF1E38" w:rsidRDefault="00B230EE" w:rsidP="00FF1E38">
      <w:pPr>
        <w:spacing w:after="0" w:line="240" w:lineRule="auto"/>
        <w:ind w:left="0" w:right="0" w:firstLine="0"/>
        <w:jc w:val="left"/>
        <w:rPr>
          <w:rFonts w:ascii="Times New Roman" w:hAnsi="Times New Roman" w:cs="Times New Roman"/>
          <w:b/>
          <w:strike/>
          <w:sz w:val="24"/>
        </w:rPr>
      </w:pPr>
    </w:p>
    <w:p w14:paraId="16EC9EE0" w14:textId="1743D89B" w:rsidR="00FF1E38" w:rsidRPr="00FF1E38" w:rsidRDefault="00A60DD3" w:rsidP="008F11E3">
      <w:pPr>
        <w:spacing w:line="240" w:lineRule="auto"/>
        <w:ind w:left="0" w:right="0" w:firstLine="0"/>
        <w:jc w:val="center"/>
        <w:rPr>
          <w:rFonts w:ascii="Times New Roman" w:hAnsi="Times New Roman" w:cs="Times New Roman"/>
          <w:b/>
          <w:sz w:val="24"/>
        </w:rPr>
      </w:pPr>
      <w:r w:rsidRPr="00A60DD3">
        <w:rPr>
          <w:rFonts w:ascii="Times New Roman" w:hAnsi="Times New Roman" w:cs="Times New Roman"/>
          <w:b/>
          <w:color w:val="auto"/>
          <w:sz w:val="24"/>
        </w:rPr>
        <w:t>Slika 17</w:t>
      </w:r>
      <w:r w:rsidR="00FF1E38" w:rsidRPr="00A60DD3">
        <w:rPr>
          <w:rFonts w:ascii="Times New Roman" w:hAnsi="Times New Roman" w:cs="Times New Roman"/>
          <w:b/>
          <w:color w:val="auto"/>
          <w:sz w:val="24"/>
        </w:rPr>
        <w:t xml:space="preserve">. Postotak žrtava u odnosu na ukupan broj stanovnika u gradskim </w:t>
      </w:r>
      <w:r w:rsidR="00FF1E38" w:rsidRPr="00FF1E38">
        <w:rPr>
          <w:rFonts w:ascii="Times New Roman" w:hAnsi="Times New Roman" w:cs="Times New Roman"/>
          <w:b/>
          <w:sz w:val="24"/>
        </w:rPr>
        <w:t>četvrtima</w:t>
      </w:r>
    </w:p>
    <w:p w14:paraId="0E97BAD0" w14:textId="77777777" w:rsidR="00FF1E38" w:rsidRPr="00FF1E38" w:rsidRDefault="00FF1E38" w:rsidP="008F11E3">
      <w:pPr>
        <w:spacing w:after="0" w:line="240" w:lineRule="auto"/>
        <w:ind w:left="0" w:right="0" w:firstLine="0"/>
        <w:jc w:val="center"/>
        <w:rPr>
          <w:rFonts w:ascii="Times New Roman" w:hAnsi="Times New Roman" w:cs="Times New Roman"/>
          <w:b/>
          <w:strike/>
          <w:sz w:val="24"/>
        </w:rPr>
      </w:pPr>
      <w:r w:rsidRPr="00FF1E38">
        <w:rPr>
          <w:rFonts w:ascii="Calibri" w:eastAsia="Calibri" w:hAnsi="Calibri" w:cs="Times New Roman"/>
          <w:noProof/>
          <w:color w:val="auto"/>
        </w:rPr>
        <w:drawing>
          <wp:inline distT="0" distB="0" distL="0" distR="0" wp14:anchorId="706A71EF" wp14:editId="3EA1DCD4">
            <wp:extent cx="3295650" cy="36290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a:stretch/>
                  </pic:blipFill>
                  <pic:spPr bwMode="auto">
                    <a:xfrm>
                      <a:off x="0" y="0"/>
                      <a:ext cx="3295650" cy="3629025"/>
                    </a:xfrm>
                    <a:prstGeom prst="rect">
                      <a:avLst/>
                    </a:prstGeom>
                    <a:noFill/>
                    <a:ln>
                      <a:noFill/>
                    </a:ln>
                    <a:extLst>
                      <a:ext uri="{53640926-AAD7-44D8-BBD7-CCE9431645EC}">
                        <a14:shadowObscured xmlns:a14="http://schemas.microsoft.com/office/drawing/2010/main"/>
                      </a:ext>
                    </a:extLst>
                  </pic:spPr>
                </pic:pic>
              </a:graphicData>
            </a:graphic>
          </wp:inline>
        </w:drawing>
      </w:r>
    </w:p>
    <w:p w14:paraId="6DE68351" w14:textId="77777777" w:rsidR="00FF1E38" w:rsidRPr="00FF1E38" w:rsidRDefault="00FF1E38" w:rsidP="008F11E3">
      <w:pPr>
        <w:spacing w:after="0" w:line="240" w:lineRule="auto"/>
        <w:ind w:left="0" w:right="0" w:firstLine="0"/>
        <w:jc w:val="center"/>
        <w:rPr>
          <w:rFonts w:ascii="Times New Roman" w:hAnsi="Times New Roman" w:cs="Times New Roman"/>
          <w:i/>
          <w:sz w:val="20"/>
          <w:szCs w:val="20"/>
        </w:rPr>
      </w:pPr>
      <w:r w:rsidRPr="00FF1E38">
        <w:rPr>
          <w:rFonts w:ascii="Times New Roman" w:hAnsi="Times New Roman" w:cs="Times New Roman"/>
          <w:i/>
          <w:sz w:val="20"/>
          <w:szCs w:val="20"/>
        </w:rPr>
        <w:t>Izvor: Procjena rizika od katastrofa za Republiku Hrvatsku</w:t>
      </w:r>
    </w:p>
    <w:p w14:paraId="3F48BEC0" w14:textId="77777777" w:rsidR="00FF1E38" w:rsidRPr="00FF1E38" w:rsidRDefault="00FF1E38" w:rsidP="00FF1E38">
      <w:pPr>
        <w:tabs>
          <w:tab w:val="left" w:pos="1155"/>
        </w:tabs>
        <w:spacing w:after="0" w:line="240" w:lineRule="auto"/>
        <w:ind w:left="0" w:right="0" w:firstLine="0"/>
        <w:jc w:val="left"/>
        <w:rPr>
          <w:rFonts w:ascii="Times New Roman" w:hAnsi="Times New Roman" w:cs="Times New Roman"/>
          <w:i/>
          <w:sz w:val="20"/>
          <w:szCs w:val="20"/>
        </w:rPr>
      </w:pPr>
    </w:p>
    <w:p w14:paraId="64CA9D32" w14:textId="38BD039F" w:rsidR="00FF1E38" w:rsidRPr="00A55260" w:rsidRDefault="00FF1E38" w:rsidP="000234C5">
      <w:pPr>
        <w:spacing w:line="240" w:lineRule="auto"/>
        <w:ind w:left="0" w:right="0" w:firstLine="0"/>
        <w:jc w:val="center"/>
        <w:rPr>
          <w:rFonts w:ascii="Times New Roman" w:hAnsi="Times New Roman" w:cs="Times New Roman"/>
          <w:b/>
          <w:color w:val="auto"/>
          <w:sz w:val="24"/>
        </w:rPr>
      </w:pPr>
      <w:r w:rsidRPr="00A55260">
        <w:rPr>
          <w:rFonts w:ascii="Times New Roman" w:hAnsi="Times New Roman" w:cs="Times New Roman"/>
          <w:b/>
          <w:color w:val="auto"/>
          <w:sz w:val="24"/>
        </w:rPr>
        <w:t xml:space="preserve">Tablica </w:t>
      </w:r>
      <w:r w:rsidR="00A55260" w:rsidRPr="00A55260">
        <w:rPr>
          <w:rFonts w:ascii="Times New Roman" w:hAnsi="Times New Roman" w:cs="Times New Roman"/>
          <w:b/>
          <w:color w:val="auto"/>
          <w:sz w:val="24"/>
        </w:rPr>
        <w:t>50</w:t>
      </w:r>
      <w:r w:rsidRPr="00A55260">
        <w:rPr>
          <w:rFonts w:ascii="Times New Roman" w:hAnsi="Times New Roman" w:cs="Times New Roman"/>
          <w:b/>
          <w:color w:val="auto"/>
          <w:sz w:val="24"/>
        </w:rPr>
        <w:t>. Sumarni rezultati</w:t>
      </w:r>
    </w:p>
    <w:tbl>
      <w:tblPr>
        <w:tblStyle w:val="TableGrid1"/>
        <w:tblW w:w="8664" w:type="dxa"/>
        <w:tblInd w:w="262" w:type="dxa"/>
        <w:tblCellMar>
          <w:top w:w="30" w:type="dxa"/>
          <w:left w:w="115" w:type="dxa"/>
          <w:right w:w="115" w:type="dxa"/>
        </w:tblCellMar>
        <w:tblLook w:val="04A0" w:firstRow="1" w:lastRow="0" w:firstColumn="1" w:lastColumn="0" w:noHBand="0" w:noVBand="1"/>
      </w:tblPr>
      <w:tblGrid>
        <w:gridCol w:w="1576"/>
        <w:gridCol w:w="1487"/>
        <w:gridCol w:w="1222"/>
        <w:gridCol w:w="1223"/>
        <w:gridCol w:w="1222"/>
        <w:gridCol w:w="1223"/>
        <w:gridCol w:w="711"/>
      </w:tblGrid>
      <w:tr w:rsidR="00FF1E38" w:rsidRPr="00FF1E38" w14:paraId="7F0EC707" w14:textId="77777777" w:rsidTr="00DE0C9A">
        <w:trPr>
          <w:trHeight w:val="425"/>
        </w:trPr>
        <w:tc>
          <w:tcPr>
            <w:tcW w:w="1576" w:type="dxa"/>
            <w:vMerge w:val="restart"/>
            <w:tcBorders>
              <w:top w:val="single" w:sz="4" w:space="0" w:color="000000"/>
              <w:left w:val="single" w:sz="4" w:space="0" w:color="000000"/>
              <w:bottom w:val="single" w:sz="4" w:space="0" w:color="000000"/>
              <w:right w:val="single" w:sz="4" w:space="0" w:color="000000"/>
            </w:tcBorders>
            <w:shd w:val="clear" w:color="auto" w:fill="FFC000"/>
          </w:tcPr>
          <w:p w14:paraId="4BFD7203" w14:textId="77777777" w:rsidR="00FF1E38" w:rsidRPr="00FF1E38" w:rsidRDefault="00FF1E38" w:rsidP="00FF1E38">
            <w:pPr>
              <w:spacing w:after="0" w:line="240" w:lineRule="auto"/>
              <w:ind w:left="2" w:right="0" w:firstLine="0"/>
              <w:jc w:val="center"/>
              <w:rPr>
                <w:rFonts w:ascii="Cambria" w:eastAsia="Cambria" w:hAnsi="Cambria" w:cs="Cambria"/>
              </w:rPr>
            </w:pPr>
            <w:r w:rsidRPr="00FF1E38">
              <w:rPr>
                <w:rFonts w:ascii="Cambria" w:eastAsia="Cambria" w:hAnsi="Cambria" w:cs="Cambria"/>
                <w:b/>
                <w:sz w:val="16"/>
              </w:rPr>
              <w:t xml:space="preserve">Šteta (mil. EUR) </w:t>
            </w:r>
          </w:p>
        </w:tc>
        <w:tc>
          <w:tcPr>
            <w:tcW w:w="1487" w:type="dxa"/>
            <w:tcBorders>
              <w:top w:val="single" w:sz="4" w:space="0" w:color="000000"/>
              <w:left w:val="single" w:sz="4" w:space="0" w:color="000000"/>
              <w:bottom w:val="single" w:sz="4" w:space="0" w:color="000000"/>
              <w:right w:val="nil"/>
            </w:tcBorders>
            <w:shd w:val="clear" w:color="auto" w:fill="FFC000"/>
          </w:tcPr>
          <w:p w14:paraId="550BB7AD" w14:textId="77777777" w:rsidR="00FF1E38" w:rsidRPr="00FF1E38" w:rsidRDefault="00FF1E38" w:rsidP="00FF1E38">
            <w:pPr>
              <w:spacing w:after="0" w:line="240" w:lineRule="auto"/>
              <w:ind w:left="0" w:right="0" w:firstLine="0"/>
              <w:jc w:val="left"/>
              <w:rPr>
                <w:rFonts w:ascii="Cambria" w:eastAsia="Cambria" w:hAnsi="Cambria" w:cs="Cambria"/>
              </w:rPr>
            </w:pPr>
          </w:p>
        </w:tc>
        <w:tc>
          <w:tcPr>
            <w:tcW w:w="1222" w:type="dxa"/>
            <w:tcBorders>
              <w:top w:val="single" w:sz="4" w:space="0" w:color="000000"/>
              <w:left w:val="nil"/>
              <w:bottom w:val="single" w:sz="4" w:space="0" w:color="000000"/>
              <w:right w:val="nil"/>
            </w:tcBorders>
            <w:shd w:val="clear" w:color="auto" w:fill="FFC000"/>
          </w:tcPr>
          <w:p w14:paraId="3D9258D7" w14:textId="77777777" w:rsidR="00FF1E38" w:rsidRPr="00FF1E38" w:rsidRDefault="00FF1E38" w:rsidP="00FF1E38">
            <w:pPr>
              <w:spacing w:after="0" w:line="240" w:lineRule="auto"/>
              <w:ind w:left="0" w:right="0" w:firstLine="0"/>
              <w:jc w:val="left"/>
              <w:rPr>
                <w:rFonts w:ascii="Cambria" w:eastAsia="Cambria" w:hAnsi="Cambria" w:cs="Cambria"/>
              </w:rPr>
            </w:pPr>
          </w:p>
        </w:tc>
        <w:tc>
          <w:tcPr>
            <w:tcW w:w="1223" w:type="dxa"/>
            <w:tcBorders>
              <w:top w:val="single" w:sz="4" w:space="0" w:color="000000"/>
              <w:left w:val="nil"/>
              <w:bottom w:val="single" w:sz="4" w:space="0" w:color="000000"/>
              <w:right w:val="nil"/>
            </w:tcBorders>
            <w:shd w:val="clear" w:color="auto" w:fill="FFC000"/>
          </w:tcPr>
          <w:p w14:paraId="326706A6" w14:textId="77777777" w:rsidR="00FF1E38" w:rsidRPr="00FF1E38" w:rsidRDefault="00FF1E38" w:rsidP="00FF1E38">
            <w:pPr>
              <w:spacing w:after="0" w:line="240" w:lineRule="auto"/>
              <w:ind w:left="81" w:right="0" w:firstLine="0"/>
              <w:jc w:val="center"/>
              <w:rPr>
                <w:rFonts w:ascii="Cambria" w:eastAsia="Cambria" w:hAnsi="Cambria" w:cs="Cambria"/>
              </w:rPr>
            </w:pPr>
            <w:r w:rsidRPr="00FF1E38">
              <w:rPr>
                <w:rFonts w:ascii="Cambria" w:eastAsia="Cambria" w:hAnsi="Cambria" w:cs="Cambria"/>
                <w:sz w:val="16"/>
              </w:rPr>
              <w:t xml:space="preserve">Broj zgrada </w:t>
            </w:r>
          </w:p>
        </w:tc>
        <w:tc>
          <w:tcPr>
            <w:tcW w:w="1222" w:type="dxa"/>
            <w:tcBorders>
              <w:top w:val="single" w:sz="4" w:space="0" w:color="000000"/>
              <w:left w:val="nil"/>
              <w:bottom w:val="single" w:sz="4" w:space="0" w:color="000000"/>
              <w:right w:val="nil"/>
            </w:tcBorders>
            <w:shd w:val="clear" w:color="auto" w:fill="FFC000"/>
          </w:tcPr>
          <w:p w14:paraId="3576E047" w14:textId="77777777" w:rsidR="00FF1E38" w:rsidRPr="00FF1E38" w:rsidRDefault="00FF1E38" w:rsidP="00FF1E38">
            <w:pPr>
              <w:spacing w:after="0" w:line="240" w:lineRule="auto"/>
              <w:ind w:left="0" w:right="0" w:firstLine="0"/>
              <w:jc w:val="left"/>
              <w:rPr>
                <w:rFonts w:ascii="Cambria" w:eastAsia="Cambria" w:hAnsi="Cambria" w:cs="Cambria"/>
              </w:rPr>
            </w:pPr>
          </w:p>
        </w:tc>
        <w:tc>
          <w:tcPr>
            <w:tcW w:w="1223" w:type="dxa"/>
            <w:tcBorders>
              <w:top w:val="single" w:sz="4" w:space="0" w:color="000000"/>
              <w:left w:val="nil"/>
              <w:bottom w:val="single" w:sz="4" w:space="0" w:color="000000"/>
              <w:right w:val="single" w:sz="4" w:space="0" w:color="000000"/>
            </w:tcBorders>
            <w:shd w:val="clear" w:color="auto" w:fill="FFC000"/>
          </w:tcPr>
          <w:p w14:paraId="2C86D2B2" w14:textId="77777777" w:rsidR="00FF1E38" w:rsidRPr="00FF1E38" w:rsidRDefault="00FF1E38" w:rsidP="00FF1E38">
            <w:pPr>
              <w:spacing w:after="0" w:line="240" w:lineRule="auto"/>
              <w:ind w:left="0" w:right="0" w:firstLine="0"/>
              <w:jc w:val="left"/>
              <w:rPr>
                <w:rFonts w:ascii="Cambria" w:eastAsia="Cambria" w:hAnsi="Cambria" w:cs="Cambria"/>
              </w:rPr>
            </w:pPr>
          </w:p>
        </w:tc>
        <w:tc>
          <w:tcPr>
            <w:tcW w:w="711" w:type="dxa"/>
            <w:vMerge w:val="restart"/>
            <w:tcBorders>
              <w:top w:val="single" w:sz="4" w:space="0" w:color="000000"/>
              <w:left w:val="single" w:sz="4" w:space="0" w:color="000000"/>
              <w:bottom w:val="single" w:sz="4" w:space="0" w:color="000000"/>
              <w:right w:val="single" w:sz="4" w:space="0" w:color="000000"/>
            </w:tcBorders>
            <w:shd w:val="clear" w:color="auto" w:fill="FFC000"/>
          </w:tcPr>
          <w:p w14:paraId="4B4DB468" w14:textId="77777777" w:rsidR="00FF1E38" w:rsidRPr="00FF1E38" w:rsidRDefault="00FF1E38" w:rsidP="00FF1E38">
            <w:pPr>
              <w:spacing w:after="0" w:line="240" w:lineRule="auto"/>
              <w:ind w:left="2" w:right="0" w:firstLine="0"/>
              <w:jc w:val="center"/>
              <w:rPr>
                <w:rFonts w:ascii="Cambria" w:eastAsia="Cambria" w:hAnsi="Cambria" w:cs="Cambria"/>
              </w:rPr>
            </w:pPr>
            <w:r w:rsidRPr="00FF1E38">
              <w:rPr>
                <w:rFonts w:ascii="Cambria" w:eastAsia="Cambria" w:hAnsi="Cambria" w:cs="Cambria"/>
                <w:sz w:val="16"/>
              </w:rPr>
              <w:t xml:space="preserve">Broj žrtava </w:t>
            </w:r>
          </w:p>
        </w:tc>
      </w:tr>
      <w:tr w:rsidR="00FF1E38" w:rsidRPr="00FF1E38" w14:paraId="6F8534BF" w14:textId="77777777" w:rsidTr="00DE0C9A">
        <w:trPr>
          <w:trHeight w:val="641"/>
        </w:trPr>
        <w:tc>
          <w:tcPr>
            <w:tcW w:w="1576" w:type="dxa"/>
            <w:vMerge/>
            <w:tcBorders>
              <w:top w:val="nil"/>
              <w:left w:val="single" w:sz="4" w:space="0" w:color="000000"/>
              <w:bottom w:val="single" w:sz="4" w:space="0" w:color="000000"/>
              <w:right w:val="single" w:sz="4" w:space="0" w:color="000000"/>
            </w:tcBorders>
          </w:tcPr>
          <w:p w14:paraId="74F66228" w14:textId="77777777" w:rsidR="00FF1E38" w:rsidRPr="00FF1E38" w:rsidRDefault="00FF1E38" w:rsidP="00FF1E38">
            <w:pPr>
              <w:spacing w:after="0" w:line="240" w:lineRule="auto"/>
              <w:ind w:left="0" w:right="0" w:firstLine="0"/>
              <w:jc w:val="left"/>
              <w:rPr>
                <w:rFonts w:ascii="Cambria" w:eastAsia="Cambria" w:hAnsi="Cambria" w:cs="Cambria"/>
              </w:rPr>
            </w:pPr>
          </w:p>
        </w:tc>
        <w:tc>
          <w:tcPr>
            <w:tcW w:w="1487" w:type="dxa"/>
            <w:tcBorders>
              <w:top w:val="single" w:sz="4" w:space="0" w:color="000000"/>
              <w:left w:val="single" w:sz="4" w:space="0" w:color="000000"/>
              <w:bottom w:val="single" w:sz="4" w:space="0" w:color="000000"/>
              <w:right w:val="single" w:sz="4" w:space="0" w:color="000000"/>
            </w:tcBorders>
          </w:tcPr>
          <w:p w14:paraId="2B209A3C" w14:textId="77777777" w:rsidR="00FF1E38" w:rsidRPr="00FF1E38" w:rsidRDefault="00FF1E38" w:rsidP="00FF1E38">
            <w:pPr>
              <w:spacing w:after="0" w:line="240" w:lineRule="auto"/>
              <w:ind w:left="0" w:right="0" w:firstLine="0"/>
              <w:jc w:val="center"/>
              <w:rPr>
                <w:rFonts w:ascii="Cambria" w:eastAsia="Cambria" w:hAnsi="Cambria" w:cs="Cambria"/>
              </w:rPr>
            </w:pPr>
            <w:r w:rsidRPr="00FF1E38">
              <w:rPr>
                <w:rFonts w:ascii="Cambria" w:eastAsia="Cambria" w:hAnsi="Cambria" w:cs="Cambria"/>
                <w:b/>
                <w:sz w:val="16"/>
              </w:rPr>
              <w:t xml:space="preserve">Bez oštećenja </w:t>
            </w:r>
          </w:p>
        </w:tc>
        <w:tc>
          <w:tcPr>
            <w:tcW w:w="1222" w:type="dxa"/>
            <w:tcBorders>
              <w:top w:val="single" w:sz="4" w:space="0" w:color="000000"/>
              <w:left w:val="single" w:sz="4" w:space="0" w:color="000000"/>
              <w:bottom w:val="single" w:sz="4" w:space="0" w:color="000000"/>
              <w:right w:val="single" w:sz="4" w:space="0" w:color="000000"/>
            </w:tcBorders>
            <w:shd w:val="clear" w:color="auto" w:fill="00B050"/>
          </w:tcPr>
          <w:p w14:paraId="1CC9B376" w14:textId="77777777" w:rsidR="00FF1E38" w:rsidRPr="00FF1E38" w:rsidRDefault="00FF1E38" w:rsidP="00FF1E38">
            <w:pPr>
              <w:spacing w:after="0" w:line="240" w:lineRule="auto"/>
              <w:ind w:left="0" w:right="0" w:firstLine="0"/>
              <w:jc w:val="center"/>
              <w:rPr>
                <w:rFonts w:ascii="Cambria" w:eastAsia="Cambria" w:hAnsi="Cambria" w:cs="Cambria"/>
              </w:rPr>
            </w:pPr>
            <w:r w:rsidRPr="00FF1E38">
              <w:rPr>
                <w:rFonts w:ascii="Cambria" w:eastAsia="Cambria" w:hAnsi="Cambria" w:cs="Cambria"/>
                <w:b/>
                <w:sz w:val="16"/>
              </w:rPr>
              <w:t xml:space="preserve">Umjereno oštećenje </w:t>
            </w:r>
          </w:p>
        </w:tc>
        <w:tc>
          <w:tcPr>
            <w:tcW w:w="1223" w:type="dxa"/>
            <w:tcBorders>
              <w:top w:val="single" w:sz="4" w:space="0" w:color="000000"/>
              <w:left w:val="single" w:sz="4" w:space="0" w:color="000000"/>
              <w:bottom w:val="single" w:sz="4" w:space="0" w:color="000000"/>
              <w:right w:val="single" w:sz="4" w:space="0" w:color="000000"/>
            </w:tcBorders>
            <w:shd w:val="clear" w:color="auto" w:fill="FFFF00"/>
          </w:tcPr>
          <w:p w14:paraId="00F66A2C" w14:textId="77777777" w:rsidR="00FF1E38" w:rsidRPr="00FF1E38" w:rsidRDefault="00FF1E38" w:rsidP="00FF1E38">
            <w:pPr>
              <w:spacing w:after="0" w:line="240" w:lineRule="auto"/>
              <w:ind w:left="0" w:right="0" w:firstLine="0"/>
              <w:jc w:val="center"/>
              <w:rPr>
                <w:rFonts w:ascii="Cambria" w:eastAsia="Cambria" w:hAnsi="Cambria" w:cs="Cambria"/>
              </w:rPr>
            </w:pPr>
            <w:r w:rsidRPr="00FF1E38">
              <w:rPr>
                <w:rFonts w:ascii="Cambria" w:eastAsia="Cambria" w:hAnsi="Cambria" w:cs="Cambria"/>
                <w:b/>
                <w:sz w:val="16"/>
              </w:rPr>
              <w:t xml:space="preserve">Značajno oštećenje </w:t>
            </w:r>
          </w:p>
        </w:tc>
        <w:tc>
          <w:tcPr>
            <w:tcW w:w="1222" w:type="dxa"/>
            <w:tcBorders>
              <w:top w:val="single" w:sz="4" w:space="0" w:color="000000"/>
              <w:left w:val="single" w:sz="4" w:space="0" w:color="000000"/>
              <w:bottom w:val="single" w:sz="4" w:space="0" w:color="000000"/>
              <w:right w:val="single" w:sz="4" w:space="0" w:color="000000"/>
            </w:tcBorders>
            <w:shd w:val="clear" w:color="auto" w:fill="FF0000"/>
          </w:tcPr>
          <w:p w14:paraId="0853C539" w14:textId="77777777" w:rsidR="00FF1E38" w:rsidRPr="00FF1E38" w:rsidRDefault="00FF1E38" w:rsidP="00FF1E38">
            <w:pPr>
              <w:spacing w:after="0" w:line="240" w:lineRule="auto"/>
              <w:ind w:left="0" w:right="0" w:firstLine="0"/>
              <w:jc w:val="center"/>
              <w:rPr>
                <w:rFonts w:ascii="Cambria" w:eastAsia="Cambria" w:hAnsi="Cambria" w:cs="Cambria"/>
              </w:rPr>
            </w:pPr>
            <w:r w:rsidRPr="00FF1E38">
              <w:rPr>
                <w:rFonts w:ascii="Cambria" w:eastAsia="Cambria" w:hAnsi="Cambria" w:cs="Cambria"/>
                <w:b/>
                <w:sz w:val="16"/>
              </w:rPr>
              <w:t xml:space="preserve">Vrlo teško oštećenje </w:t>
            </w:r>
          </w:p>
        </w:tc>
        <w:tc>
          <w:tcPr>
            <w:tcW w:w="1223" w:type="dxa"/>
            <w:tcBorders>
              <w:top w:val="single" w:sz="4" w:space="0" w:color="000000"/>
              <w:left w:val="single" w:sz="4" w:space="0" w:color="000000"/>
              <w:bottom w:val="single" w:sz="4" w:space="0" w:color="000000"/>
              <w:right w:val="single" w:sz="4" w:space="0" w:color="000000"/>
            </w:tcBorders>
            <w:shd w:val="clear" w:color="auto" w:fill="C00000"/>
          </w:tcPr>
          <w:p w14:paraId="10C1C7C5" w14:textId="77777777" w:rsidR="00FF1E38" w:rsidRPr="00FF1E38" w:rsidRDefault="00FF1E38" w:rsidP="00FF1E38">
            <w:pPr>
              <w:spacing w:after="0" w:line="240" w:lineRule="auto"/>
              <w:ind w:left="0" w:right="1" w:firstLine="0"/>
              <w:jc w:val="center"/>
              <w:rPr>
                <w:rFonts w:ascii="Cambria" w:eastAsia="Cambria" w:hAnsi="Cambria" w:cs="Cambria"/>
              </w:rPr>
            </w:pPr>
            <w:r w:rsidRPr="00FF1E38">
              <w:rPr>
                <w:rFonts w:ascii="Cambria" w:eastAsia="Cambria" w:hAnsi="Cambria" w:cs="Cambria"/>
                <w:b/>
                <w:sz w:val="16"/>
              </w:rPr>
              <w:t xml:space="preserve">Rušenje </w:t>
            </w:r>
          </w:p>
        </w:tc>
        <w:tc>
          <w:tcPr>
            <w:tcW w:w="711" w:type="dxa"/>
            <w:vMerge/>
            <w:tcBorders>
              <w:top w:val="nil"/>
              <w:left w:val="single" w:sz="4" w:space="0" w:color="000000"/>
              <w:bottom w:val="single" w:sz="4" w:space="0" w:color="000000"/>
              <w:right w:val="single" w:sz="4" w:space="0" w:color="000000"/>
            </w:tcBorders>
          </w:tcPr>
          <w:p w14:paraId="7519880C" w14:textId="77777777" w:rsidR="00FF1E38" w:rsidRPr="00FF1E38" w:rsidRDefault="00FF1E38" w:rsidP="00FF1E38">
            <w:pPr>
              <w:spacing w:after="0" w:line="240" w:lineRule="auto"/>
              <w:ind w:left="0" w:right="0" w:firstLine="0"/>
              <w:jc w:val="left"/>
              <w:rPr>
                <w:rFonts w:ascii="Cambria" w:eastAsia="Cambria" w:hAnsi="Cambria" w:cs="Cambria"/>
              </w:rPr>
            </w:pPr>
          </w:p>
        </w:tc>
      </w:tr>
      <w:tr w:rsidR="00FF1E38" w:rsidRPr="00FF1E38" w14:paraId="48C207F8" w14:textId="77777777" w:rsidTr="00DE0C9A">
        <w:trPr>
          <w:trHeight w:val="426"/>
        </w:trPr>
        <w:tc>
          <w:tcPr>
            <w:tcW w:w="1576" w:type="dxa"/>
            <w:tcBorders>
              <w:top w:val="single" w:sz="4" w:space="0" w:color="000000"/>
              <w:left w:val="single" w:sz="4" w:space="0" w:color="000000"/>
              <w:bottom w:val="single" w:sz="4" w:space="0" w:color="000000"/>
              <w:right w:val="single" w:sz="4" w:space="0" w:color="000000"/>
            </w:tcBorders>
          </w:tcPr>
          <w:p w14:paraId="644579B2" w14:textId="77777777" w:rsidR="00FF1E38" w:rsidRPr="00FF1E38" w:rsidRDefault="00FF1E38" w:rsidP="00FF1E38">
            <w:pPr>
              <w:spacing w:after="0" w:line="240" w:lineRule="auto"/>
              <w:ind w:left="2" w:right="0" w:firstLine="0"/>
              <w:jc w:val="center"/>
              <w:rPr>
                <w:rFonts w:ascii="Cambria" w:eastAsia="Cambria" w:hAnsi="Cambria" w:cs="Cambria"/>
              </w:rPr>
            </w:pPr>
            <w:r w:rsidRPr="00FF1E38">
              <w:rPr>
                <w:rFonts w:ascii="Cambria" w:eastAsia="Cambria" w:hAnsi="Cambria" w:cs="Cambria"/>
                <w:sz w:val="16"/>
              </w:rPr>
              <w:t xml:space="preserve">15,590.0 </w:t>
            </w:r>
          </w:p>
        </w:tc>
        <w:tc>
          <w:tcPr>
            <w:tcW w:w="1487" w:type="dxa"/>
            <w:tcBorders>
              <w:top w:val="single" w:sz="4" w:space="0" w:color="000000"/>
              <w:left w:val="single" w:sz="4" w:space="0" w:color="000000"/>
              <w:bottom w:val="single" w:sz="4" w:space="0" w:color="000000"/>
              <w:right w:val="single" w:sz="4" w:space="0" w:color="000000"/>
            </w:tcBorders>
          </w:tcPr>
          <w:p w14:paraId="585A9AAC" w14:textId="77777777" w:rsidR="00FF1E38" w:rsidRPr="00FF1E38" w:rsidRDefault="00FF1E38" w:rsidP="00FF1E38">
            <w:pPr>
              <w:spacing w:after="0" w:line="240" w:lineRule="auto"/>
              <w:ind w:left="2" w:right="0" w:firstLine="0"/>
              <w:jc w:val="center"/>
              <w:rPr>
                <w:rFonts w:ascii="Cambria" w:eastAsia="Cambria" w:hAnsi="Cambria" w:cs="Cambria"/>
              </w:rPr>
            </w:pPr>
            <w:r w:rsidRPr="00FF1E38">
              <w:rPr>
                <w:rFonts w:ascii="Cambria" w:eastAsia="Cambria" w:hAnsi="Cambria" w:cs="Cambria"/>
                <w:sz w:val="16"/>
              </w:rPr>
              <w:t xml:space="preserve">6618 </w:t>
            </w:r>
          </w:p>
        </w:tc>
        <w:tc>
          <w:tcPr>
            <w:tcW w:w="1222" w:type="dxa"/>
            <w:tcBorders>
              <w:top w:val="single" w:sz="4" w:space="0" w:color="000000"/>
              <w:left w:val="single" w:sz="4" w:space="0" w:color="000000"/>
              <w:bottom w:val="single" w:sz="4" w:space="0" w:color="000000"/>
              <w:right w:val="single" w:sz="4" w:space="0" w:color="000000"/>
            </w:tcBorders>
          </w:tcPr>
          <w:p w14:paraId="26EC9FBD" w14:textId="77777777" w:rsidR="00FF1E38" w:rsidRPr="00FF1E38" w:rsidRDefault="00FF1E38" w:rsidP="00FF1E38">
            <w:pPr>
              <w:spacing w:after="0" w:line="240" w:lineRule="auto"/>
              <w:ind w:left="5" w:right="0" w:firstLine="0"/>
              <w:jc w:val="center"/>
              <w:rPr>
                <w:rFonts w:ascii="Cambria" w:eastAsia="Cambria" w:hAnsi="Cambria" w:cs="Cambria"/>
              </w:rPr>
            </w:pPr>
            <w:r w:rsidRPr="00FF1E38">
              <w:rPr>
                <w:rFonts w:ascii="Cambria" w:eastAsia="Cambria" w:hAnsi="Cambria" w:cs="Cambria"/>
                <w:sz w:val="16"/>
              </w:rPr>
              <w:t xml:space="preserve">58433 </w:t>
            </w:r>
          </w:p>
        </w:tc>
        <w:tc>
          <w:tcPr>
            <w:tcW w:w="1223" w:type="dxa"/>
            <w:tcBorders>
              <w:top w:val="single" w:sz="4" w:space="0" w:color="000000"/>
              <w:left w:val="single" w:sz="4" w:space="0" w:color="000000"/>
              <w:bottom w:val="single" w:sz="4" w:space="0" w:color="000000"/>
              <w:right w:val="single" w:sz="4" w:space="0" w:color="000000"/>
            </w:tcBorders>
          </w:tcPr>
          <w:p w14:paraId="5EB8D4AC" w14:textId="77777777" w:rsidR="00FF1E38" w:rsidRPr="00FF1E38" w:rsidRDefault="00FF1E38" w:rsidP="00FF1E38">
            <w:pPr>
              <w:spacing w:after="0" w:line="240" w:lineRule="auto"/>
              <w:ind w:left="3" w:right="0" w:firstLine="0"/>
              <w:jc w:val="center"/>
              <w:rPr>
                <w:rFonts w:ascii="Cambria" w:eastAsia="Cambria" w:hAnsi="Cambria" w:cs="Cambria"/>
              </w:rPr>
            </w:pPr>
            <w:r w:rsidRPr="00FF1E38">
              <w:rPr>
                <w:rFonts w:ascii="Cambria" w:eastAsia="Cambria" w:hAnsi="Cambria" w:cs="Cambria"/>
                <w:sz w:val="16"/>
              </w:rPr>
              <w:t xml:space="preserve">33499 </w:t>
            </w:r>
          </w:p>
        </w:tc>
        <w:tc>
          <w:tcPr>
            <w:tcW w:w="1222" w:type="dxa"/>
            <w:tcBorders>
              <w:top w:val="single" w:sz="4" w:space="0" w:color="000000"/>
              <w:left w:val="single" w:sz="4" w:space="0" w:color="000000"/>
              <w:bottom w:val="single" w:sz="4" w:space="0" w:color="000000"/>
              <w:right w:val="single" w:sz="4" w:space="0" w:color="000000"/>
            </w:tcBorders>
          </w:tcPr>
          <w:p w14:paraId="73C3C178" w14:textId="77777777" w:rsidR="00FF1E38" w:rsidRPr="00FF1E38" w:rsidRDefault="00FF1E38" w:rsidP="00FF1E38">
            <w:pPr>
              <w:spacing w:after="0" w:line="240" w:lineRule="auto"/>
              <w:ind w:left="3" w:right="0" w:firstLine="0"/>
              <w:jc w:val="center"/>
              <w:rPr>
                <w:rFonts w:ascii="Cambria" w:eastAsia="Cambria" w:hAnsi="Cambria" w:cs="Cambria"/>
              </w:rPr>
            </w:pPr>
            <w:r w:rsidRPr="00FF1E38">
              <w:rPr>
                <w:rFonts w:ascii="Cambria" w:eastAsia="Cambria" w:hAnsi="Cambria" w:cs="Cambria"/>
                <w:sz w:val="16"/>
              </w:rPr>
              <w:t xml:space="preserve">21087 </w:t>
            </w:r>
          </w:p>
        </w:tc>
        <w:tc>
          <w:tcPr>
            <w:tcW w:w="1223" w:type="dxa"/>
            <w:tcBorders>
              <w:top w:val="single" w:sz="4" w:space="0" w:color="000000"/>
              <w:left w:val="single" w:sz="4" w:space="0" w:color="000000"/>
              <w:bottom w:val="single" w:sz="4" w:space="0" w:color="000000"/>
              <w:right w:val="single" w:sz="4" w:space="0" w:color="000000"/>
            </w:tcBorders>
          </w:tcPr>
          <w:p w14:paraId="37E20384" w14:textId="77777777" w:rsidR="00FF1E38" w:rsidRPr="00FF1E38" w:rsidRDefault="00FF1E38" w:rsidP="00FF1E38">
            <w:pPr>
              <w:spacing w:after="0" w:line="240" w:lineRule="auto"/>
              <w:ind w:left="0" w:right="1" w:firstLine="0"/>
              <w:jc w:val="center"/>
              <w:rPr>
                <w:rFonts w:ascii="Cambria" w:eastAsia="Cambria" w:hAnsi="Cambria" w:cs="Cambria"/>
              </w:rPr>
            </w:pPr>
            <w:r w:rsidRPr="00FF1E38">
              <w:rPr>
                <w:rFonts w:ascii="Cambria" w:eastAsia="Cambria" w:hAnsi="Cambria" w:cs="Cambria"/>
                <w:sz w:val="16"/>
              </w:rPr>
              <w:t xml:space="preserve">5984 </w:t>
            </w:r>
          </w:p>
        </w:tc>
        <w:tc>
          <w:tcPr>
            <w:tcW w:w="711" w:type="dxa"/>
            <w:tcBorders>
              <w:top w:val="single" w:sz="4" w:space="0" w:color="000000"/>
              <w:left w:val="single" w:sz="4" w:space="0" w:color="000000"/>
              <w:bottom w:val="single" w:sz="4" w:space="0" w:color="000000"/>
              <w:right w:val="single" w:sz="4" w:space="0" w:color="000000"/>
            </w:tcBorders>
          </w:tcPr>
          <w:p w14:paraId="74ADC095" w14:textId="77777777" w:rsidR="00FF1E38" w:rsidRPr="00FF1E38" w:rsidRDefault="00FF1E38" w:rsidP="00FF1E38">
            <w:pPr>
              <w:spacing w:after="0" w:line="240" w:lineRule="auto"/>
              <w:ind w:left="2" w:right="0" w:firstLine="0"/>
              <w:jc w:val="center"/>
              <w:rPr>
                <w:rFonts w:ascii="Cambria" w:eastAsia="Cambria" w:hAnsi="Cambria" w:cs="Cambria"/>
              </w:rPr>
            </w:pPr>
            <w:r w:rsidRPr="00FF1E38">
              <w:rPr>
                <w:rFonts w:ascii="Cambria" w:eastAsia="Cambria" w:hAnsi="Cambria" w:cs="Cambria"/>
                <w:sz w:val="16"/>
              </w:rPr>
              <w:t xml:space="preserve">2586 </w:t>
            </w:r>
          </w:p>
        </w:tc>
      </w:tr>
      <w:tr w:rsidR="00FF1E38" w:rsidRPr="00FF1E38" w14:paraId="2949AA05" w14:textId="77777777" w:rsidTr="00DE0C9A">
        <w:trPr>
          <w:trHeight w:val="427"/>
        </w:trPr>
        <w:tc>
          <w:tcPr>
            <w:tcW w:w="1576" w:type="dxa"/>
            <w:tcBorders>
              <w:top w:val="single" w:sz="4" w:space="0" w:color="000000"/>
              <w:left w:val="single" w:sz="4" w:space="0" w:color="000000"/>
              <w:bottom w:val="single" w:sz="4" w:space="0" w:color="000000"/>
              <w:right w:val="single" w:sz="4" w:space="0" w:color="000000"/>
            </w:tcBorders>
          </w:tcPr>
          <w:p w14:paraId="56B8880A" w14:textId="77777777" w:rsidR="00FF1E38" w:rsidRPr="00FF1E38" w:rsidRDefault="00FF1E38" w:rsidP="00FF1E38">
            <w:pPr>
              <w:spacing w:after="0" w:line="240" w:lineRule="auto"/>
              <w:ind w:left="4" w:right="0" w:firstLine="0"/>
              <w:jc w:val="center"/>
              <w:rPr>
                <w:rFonts w:ascii="Cambria" w:eastAsia="Cambria" w:hAnsi="Cambria" w:cs="Cambria"/>
              </w:rPr>
            </w:pPr>
            <w:r w:rsidRPr="00FF1E38">
              <w:rPr>
                <w:rFonts w:ascii="Cambria" w:eastAsia="Cambria" w:hAnsi="Cambria" w:cs="Cambria"/>
                <w:sz w:val="16"/>
              </w:rPr>
              <w:t xml:space="preserve">42.4% </w:t>
            </w:r>
          </w:p>
        </w:tc>
        <w:tc>
          <w:tcPr>
            <w:tcW w:w="1487" w:type="dxa"/>
            <w:tcBorders>
              <w:top w:val="single" w:sz="4" w:space="0" w:color="000000"/>
              <w:left w:val="single" w:sz="4" w:space="0" w:color="000000"/>
              <w:bottom w:val="single" w:sz="4" w:space="0" w:color="000000"/>
              <w:right w:val="single" w:sz="4" w:space="0" w:color="000000"/>
            </w:tcBorders>
          </w:tcPr>
          <w:p w14:paraId="0047C466" w14:textId="77777777" w:rsidR="00FF1E38" w:rsidRPr="00FF1E38" w:rsidRDefault="00FF1E38" w:rsidP="00FF1E38">
            <w:pPr>
              <w:spacing w:after="0" w:line="240" w:lineRule="auto"/>
              <w:ind w:left="6" w:right="0" w:firstLine="0"/>
              <w:jc w:val="center"/>
              <w:rPr>
                <w:rFonts w:ascii="Cambria" w:eastAsia="Cambria" w:hAnsi="Cambria" w:cs="Cambria"/>
              </w:rPr>
            </w:pPr>
            <w:r w:rsidRPr="00FF1E38">
              <w:rPr>
                <w:rFonts w:ascii="Cambria" w:eastAsia="Cambria" w:hAnsi="Cambria" w:cs="Cambria"/>
                <w:sz w:val="16"/>
              </w:rPr>
              <w:t xml:space="preserve">5.3% </w:t>
            </w:r>
          </w:p>
        </w:tc>
        <w:tc>
          <w:tcPr>
            <w:tcW w:w="1222" w:type="dxa"/>
            <w:tcBorders>
              <w:top w:val="single" w:sz="4" w:space="0" w:color="000000"/>
              <w:left w:val="single" w:sz="4" w:space="0" w:color="000000"/>
              <w:bottom w:val="single" w:sz="4" w:space="0" w:color="000000"/>
              <w:right w:val="single" w:sz="4" w:space="0" w:color="000000"/>
            </w:tcBorders>
          </w:tcPr>
          <w:p w14:paraId="5C462B95" w14:textId="77777777" w:rsidR="00FF1E38" w:rsidRPr="00FF1E38" w:rsidRDefault="00FF1E38" w:rsidP="00FF1E38">
            <w:pPr>
              <w:spacing w:after="0" w:line="240" w:lineRule="auto"/>
              <w:ind w:left="4" w:right="0" w:firstLine="0"/>
              <w:jc w:val="center"/>
              <w:rPr>
                <w:rFonts w:ascii="Cambria" w:eastAsia="Cambria" w:hAnsi="Cambria" w:cs="Cambria"/>
              </w:rPr>
            </w:pPr>
            <w:r w:rsidRPr="00FF1E38">
              <w:rPr>
                <w:rFonts w:ascii="Cambria" w:eastAsia="Cambria" w:hAnsi="Cambria" w:cs="Cambria"/>
                <w:sz w:val="16"/>
              </w:rPr>
              <w:t xml:space="preserve">46.5% </w:t>
            </w:r>
          </w:p>
        </w:tc>
        <w:tc>
          <w:tcPr>
            <w:tcW w:w="1223" w:type="dxa"/>
            <w:tcBorders>
              <w:top w:val="single" w:sz="4" w:space="0" w:color="000000"/>
              <w:left w:val="single" w:sz="4" w:space="0" w:color="000000"/>
              <w:bottom w:val="single" w:sz="4" w:space="0" w:color="000000"/>
              <w:right w:val="single" w:sz="4" w:space="0" w:color="000000"/>
            </w:tcBorders>
          </w:tcPr>
          <w:p w14:paraId="0B02EB9E" w14:textId="77777777" w:rsidR="00FF1E38" w:rsidRPr="00FF1E38" w:rsidRDefault="00FF1E38" w:rsidP="00FF1E38">
            <w:pPr>
              <w:spacing w:after="0" w:line="240" w:lineRule="auto"/>
              <w:ind w:left="2" w:right="0" w:firstLine="0"/>
              <w:jc w:val="center"/>
              <w:rPr>
                <w:rFonts w:ascii="Cambria" w:eastAsia="Cambria" w:hAnsi="Cambria" w:cs="Cambria"/>
              </w:rPr>
            </w:pPr>
            <w:r w:rsidRPr="00FF1E38">
              <w:rPr>
                <w:rFonts w:ascii="Cambria" w:eastAsia="Cambria" w:hAnsi="Cambria" w:cs="Cambria"/>
                <w:sz w:val="16"/>
              </w:rPr>
              <w:t xml:space="preserve">26.7% </w:t>
            </w:r>
          </w:p>
        </w:tc>
        <w:tc>
          <w:tcPr>
            <w:tcW w:w="1222" w:type="dxa"/>
            <w:tcBorders>
              <w:top w:val="single" w:sz="4" w:space="0" w:color="000000"/>
              <w:left w:val="single" w:sz="4" w:space="0" w:color="000000"/>
              <w:bottom w:val="single" w:sz="4" w:space="0" w:color="000000"/>
              <w:right w:val="single" w:sz="4" w:space="0" w:color="000000"/>
            </w:tcBorders>
          </w:tcPr>
          <w:p w14:paraId="0A15D143" w14:textId="77777777" w:rsidR="00FF1E38" w:rsidRPr="00FF1E38" w:rsidRDefault="00FF1E38" w:rsidP="00FF1E38">
            <w:pPr>
              <w:spacing w:after="0" w:line="240" w:lineRule="auto"/>
              <w:ind w:left="2" w:right="0" w:firstLine="0"/>
              <w:jc w:val="center"/>
              <w:rPr>
                <w:rFonts w:ascii="Cambria" w:eastAsia="Cambria" w:hAnsi="Cambria" w:cs="Cambria"/>
              </w:rPr>
            </w:pPr>
            <w:r w:rsidRPr="00FF1E38">
              <w:rPr>
                <w:rFonts w:ascii="Cambria" w:eastAsia="Cambria" w:hAnsi="Cambria" w:cs="Cambria"/>
                <w:sz w:val="16"/>
              </w:rPr>
              <w:t xml:space="preserve">16.8% </w:t>
            </w:r>
          </w:p>
        </w:tc>
        <w:tc>
          <w:tcPr>
            <w:tcW w:w="1223" w:type="dxa"/>
            <w:tcBorders>
              <w:top w:val="single" w:sz="4" w:space="0" w:color="000000"/>
              <w:left w:val="single" w:sz="4" w:space="0" w:color="000000"/>
              <w:bottom w:val="single" w:sz="4" w:space="0" w:color="000000"/>
              <w:right w:val="single" w:sz="4" w:space="0" w:color="000000"/>
            </w:tcBorders>
          </w:tcPr>
          <w:p w14:paraId="0209A80C" w14:textId="77777777" w:rsidR="00FF1E38" w:rsidRPr="00FF1E38" w:rsidRDefault="00FF1E38" w:rsidP="00FF1E38">
            <w:pPr>
              <w:spacing w:after="0" w:line="240" w:lineRule="auto"/>
              <w:ind w:left="2" w:right="0" w:firstLine="0"/>
              <w:jc w:val="center"/>
              <w:rPr>
                <w:rFonts w:ascii="Cambria" w:eastAsia="Cambria" w:hAnsi="Cambria" w:cs="Cambria"/>
              </w:rPr>
            </w:pPr>
            <w:r w:rsidRPr="00FF1E38">
              <w:rPr>
                <w:rFonts w:ascii="Cambria" w:eastAsia="Cambria" w:hAnsi="Cambria" w:cs="Cambria"/>
                <w:sz w:val="16"/>
              </w:rPr>
              <w:t xml:space="preserve">4.8% </w:t>
            </w:r>
          </w:p>
        </w:tc>
        <w:tc>
          <w:tcPr>
            <w:tcW w:w="711" w:type="dxa"/>
            <w:tcBorders>
              <w:top w:val="single" w:sz="4" w:space="0" w:color="000000"/>
              <w:left w:val="single" w:sz="4" w:space="0" w:color="000000"/>
              <w:bottom w:val="single" w:sz="4" w:space="0" w:color="000000"/>
              <w:right w:val="single" w:sz="4" w:space="0" w:color="000000"/>
            </w:tcBorders>
          </w:tcPr>
          <w:p w14:paraId="47808A62" w14:textId="77777777" w:rsidR="00FF1E38" w:rsidRPr="00FF1E38" w:rsidRDefault="00FF1E38" w:rsidP="00FF1E38">
            <w:pPr>
              <w:spacing w:after="0" w:line="240" w:lineRule="auto"/>
              <w:ind w:left="3" w:right="0" w:firstLine="0"/>
              <w:jc w:val="center"/>
              <w:rPr>
                <w:rFonts w:ascii="Cambria" w:eastAsia="Cambria" w:hAnsi="Cambria" w:cs="Cambria"/>
              </w:rPr>
            </w:pPr>
            <w:r w:rsidRPr="00FF1E38">
              <w:rPr>
                <w:rFonts w:ascii="Cambria" w:eastAsia="Cambria" w:hAnsi="Cambria" w:cs="Cambria"/>
                <w:sz w:val="16"/>
              </w:rPr>
              <w:t xml:space="preserve">0.3% </w:t>
            </w:r>
          </w:p>
        </w:tc>
      </w:tr>
    </w:tbl>
    <w:p w14:paraId="0A0C5930" w14:textId="77777777" w:rsidR="00FF1E38" w:rsidRPr="00FF1E38" w:rsidRDefault="00FF1E38" w:rsidP="00FF1E38">
      <w:pPr>
        <w:spacing w:after="0" w:line="240" w:lineRule="auto"/>
        <w:ind w:left="0" w:right="0" w:firstLine="709"/>
        <w:jc w:val="center"/>
        <w:rPr>
          <w:rFonts w:ascii="Times New Roman" w:hAnsi="Times New Roman" w:cs="Times New Roman"/>
          <w:i/>
          <w:sz w:val="20"/>
          <w:szCs w:val="20"/>
        </w:rPr>
      </w:pPr>
    </w:p>
    <w:p w14:paraId="16C631F9" w14:textId="77777777" w:rsidR="00FF1E38" w:rsidRPr="00FF1E38" w:rsidRDefault="00FF1E38" w:rsidP="00FF1E38">
      <w:pPr>
        <w:spacing w:after="0" w:line="240" w:lineRule="auto"/>
        <w:ind w:left="0" w:right="0" w:firstLine="709"/>
        <w:jc w:val="center"/>
        <w:rPr>
          <w:rFonts w:ascii="Times New Roman" w:hAnsi="Times New Roman" w:cs="Times New Roman"/>
          <w:i/>
          <w:sz w:val="20"/>
          <w:szCs w:val="20"/>
        </w:rPr>
      </w:pPr>
    </w:p>
    <w:p w14:paraId="4C77E563"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Općenito se može zaključiti da je prikazana metodologija veliki iskorak u odnosu na postojeće procjene jer je napravljen pomak prema identifikaciji broja građevina i njihovom razvrstavanju prema konstrukcijskom sistemu što je bio osnovni problem svih procjena rizika. Dobiveni rezultati, u odnosu na zadane kategorije posljedica, jasno ističu katastrofalne posljedice potresa (višestruko premašene) s tim da treba naglasiti da tek nakon detaljnijih istraživanja faktora seizmičkog rizika možemo govoriti o preciznim/pouzdanim procjenama.</w:t>
      </w:r>
    </w:p>
    <w:p w14:paraId="2EA7EF31" w14:textId="77777777" w:rsidR="00FF1E38" w:rsidRPr="00FF1E38" w:rsidRDefault="00FF1E38" w:rsidP="00FF1E38">
      <w:pPr>
        <w:spacing w:after="0" w:line="240" w:lineRule="auto"/>
        <w:ind w:left="0" w:right="0" w:firstLine="709"/>
        <w:rPr>
          <w:rFonts w:ascii="Times New Roman" w:hAnsi="Times New Roman" w:cs="Times New Roman"/>
          <w:sz w:val="24"/>
        </w:rPr>
      </w:pPr>
    </w:p>
    <w:p w14:paraId="7B8FF7AD" w14:textId="77777777" w:rsidR="00FF1E38" w:rsidRP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sz w:val="24"/>
          <w:u w:val="single"/>
        </w:rPr>
        <w:lastRenderedPageBreak/>
        <w:t>Procjena Svjetske banke</w:t>
      </w:r>
      <w:r w:rsidRPr="00FF1E38">
        <w:rPr>
          <w:rFonts w:ascii="Times New Roman" w:hAnsi="Times New Roman" w:cs="Times New Roman"/>
          <w:sz w:val="24"/>
          <w:u w:val="single"/>
          <w:vertAlign w:val="superscript"/>
        </w:rPr>
        <w:footnoteReference w:id="37"/>
      </w:r>
    </w:p>
    <w:p w14:paraId="5D1D8F9F"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U studiji </w:t>
      </w:r>
      <w:r w:rsidRPr="00FF1E38">
        <w:rPr>
          <w:rFonts w:ascii="Times New Roman" w:hAnsi="Times New Roman" w:cs="Times New Roman"/>
          <w:i/>
          <w:sz w:val="24"/>
        </w:rPr>
        <w:t>Rizik od potresa u višestambenim zgradama regija Europe i srednje Azije</w:t>
      </w:r>
      <w:r w:rsidRPr="00FF1E38">
        <w:rPr>
          <w:rFonts w:ascii="Times New Roman" w:hAnsi="Times New Roman" w:cs="Times New Roman"/>
          <w:sz w:val="24"/>
        </w:rPr>
        <w:t xml:space="preserve"> iz 2020. godine, izvršena je probabilistička analiza seizmičkog rizika višestambenog fonda zgrada na način da se procjenjivala strukturna karakteristika višestambenih zgrada, kvantificiralo stanovništvo koje živi u tim zgradama i istraživala učinkovitost zgrada kada su izložene opasnosti od potresa. Procjena je napravljena za gradove Zagreb i Rijeku. Rezultati procjene daju informacije o raspodjeli gubitaka (u eurima) koji proizlaze iz oštećenja višestambenih zgrada izazvanih potresom, gubitka života i raseljavanja stanovništva. </w:t>
      </w:r>
    </w:p>
    <w:p w14:paraId="521BB6A1"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Procijenjeni gubici temeljeni na događaju povratnog razdoblja od 475 godina na području Grada Zagreba iznose 5,2 milijardi eura odnosno 104% bruto nacionalnog dohotka po glavi stanovnika. Bit će oštećeno ukupno 47% višestambenih zgrada i poginut će 9500 ljudi</w:t>
      </w:r>
      <w:r w:rsidRPr="00FF1E38">
        <w:rPr>
          <w:rFonts w:ascii="Times New Roman" w:hAnsi="Times New Roman" w:cs="Times New Roman"/>
          <w:sz w:val="24"/>
          <w:vertAlign w:val="superscript"/>
        </w:rPr>
        <w:footnoteReference w:id="38"/>
      </w:r>
      <w:r w:rsidRPr="00FF1E38">
        <w:rPr>
          <w:rFonts w:ascii="Times New Roman" w:hAnsi="Times New Roman" w:cs="Times New Roman"/>
          <w:sz w:val="24"/>
        </w:rPr>
        <w:t>. Prema navedenoj studiji u zgradama visokog rizika živi cca 280 000 ljudi ili 35% od ukupnog stanovništva Zagreba.</w:t>
      </w:r>
    </w:p>
    <w:p w14:paraId="0C3A1F99" w14:textId="77777777" w:rsidR="00FF1E38" w:rsidRPr="00FF1E38" w:rsidRDefault="00FF1E38" w:rsidP="00FF1E38">
      <w:pPr>
        <w:spacing w:after="0" w:line="240" w:lineRule="auto"/>
        <w:ind w:left="0" w:right="0" w:firstLine="0"/>
        <w:rPr>
          <w:rFonts w:ascii="Times New Roman" w:hAnsi="Times New Roman" w:cs="Times New Roman"/>
          <w:sz w:val="24"/>
        </w:rPr>
      </w:pPr>
    </w:p>
    <w:p w14:paraId="2CDAF3A5" w14:textId="77777777" w:rsidR="00FF1E38" w:rsidRPr="00FF1E38" w:rsidRDefault="00FF1E38" w:rsidP="00FF1E38">
      <w:pPr>
        <w:spacing w:after="0" w:line="240" w:lineRule="auto"/>
        <w:ind w:left="0" w:right="0" w:firstLine="709"/>
        <w:rPr>
          <w:rFonts w:ascii="Times New Roman" w:hAnsi="Times New Roman" w:cs="Times New Roman"/>
          <w:b/>
          <w:sz w:val="24"/>
          <w:u w:val="single"/>
        </w:rPr>
      </w:pPr>
      <w:r w:rsidRPr="00FF1E38">
        <w:rPr>
          <w:rFonts w:ascii="Times New Roman" w:hAnsi="Times New Roman" w:cs="Times New Roman"/>
          <w:b/>
          <w:sz w:val="24"/>
          <w:u w:val="single"/>
        </w:rPr>
        <w:t>Zaključak</w:t>
      </w:r>
    </w:p>
    <w:p w14:paraId="66C1CA38"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Iako različite procjene zbog različitih ulaznih parametara i metodologija daju različite rezultate, činjenica je da bi razoran potres ostavio velike posljedice i na gospodarstvo ne samo Grada Zagreba već čitave Republike Hrvatske, prouzročio veliku materijalnu štetu i brojne ljudske žrtve, uništio brojne kulturne spomenike i vrijednosti te na duži rok paralizirao rad javnih institucija od značajnog interesa za čitavo područje Republike Hrvatske (financijske institucije, Vlada, Sabor, razna ministarstva itd.). Razoran potres prouzročio bi izvanrednu situaciju ne samo za područje Grada Zagreba već bi utjecao na područje čitave Republike Hrvatske.</w:t>
      </w:r>
    </w:p>
    <w:p w14:paraId="3377B8E9" w14:textId="77777777" w:rsidR="00FF1E38" w:rsidRPr="00FF1E38" w:rsidRDefault="00FF1E38" w:rsidP="00FF1E38">
      <w:pPr>
        <w:spacing w:after="0" w:line="240" w:lineRule="auto"/>
        <w:ind w:right="0"/>
        <w:rPr>
          <w:rFonts w:ascii="Times New Roman" w:hAnsi="Times New Roman" w:cs="Times New Roman"/>
          <w:sz w:val="24"/>
        </w:rPr>
      </w:pPr>
    </w:p>
    <w:p w14:paraId="12FD9212" w14:textId="77777777" w:rsidR="00FF1E38" w:rsidRPr="00FF1E38" w:rsidRDefault="00FF1E38" w:rsidP="00FF1E38">
      <w:pPr>
        <w:spacing w:after="0" w:line="240" w:lineRule="auto"/>
        <w:ind w:left="0" w:right="0" w:firstLine="709"/>
        <w:rPr>
          <w:rFonts w:ascii="Times New Roman" w:hAnsi="Times New Roman" w:cs="Times New Roman"/>
          <w:b/>
          <w:i/>
          <w:sz w:val="24"/>
        </w:rPr>
      </w:pPr>
      <w:r w:rsidRPr="00FF1E38">
        <w:rPr>
          <w:rFonts w:ascii="Times New Roman" w:hAnsi="Times New Roman" w:cs="Times New Roman"/>
          <w:b/>
          <w:i/>
          <w:sz w:val="24"/>
        </w:rPr>
        <w:t>6.1.5.1.1. Život i zdravlje ljudi</w:t>
      </w:r>
    </w:p>
    <w:p w14:paraId="24D984B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Posljedice na život i zdravlje ljudi se ponajprije promatraju u odnosu na poginule, ozlijeđene i trajno raseljene stanovnike, a potom i sve stanovnike trenutačno zahvaćene posljedicama djelovanja potresa (evakuirani, sklonjeni itd.). S obzirom na to da je procijenjen katastrofalan utjecaj razornog potresa na život i zdravlje ljudi očito je da potresno djelovanje utječe na čitavo stanovništvo Grada Zagreba i da će svi stanovnici na neki način osjećati posljedice ovoga događaja. Oni pojedinci koji sami ne budu ozlijeđeni, evakuirani ili zbrinuti, osjećat će posljedice zbog prekida rada kritične infrastrukture (prekid opskrbe električnom energijom, prekid telekomunikacijskih veza i sl.).</w:t>
      </w:r>
    </w:p>
    <w:p w14:paraId="47C4776E"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Bitno je istaknuti da se očekuje veći broj srušenih građevina, a s tim i veće stradavanje ljudi koje uključuje i poginule. Prema priloženim podacima očekuje se da će samo ozlijeđenih biti preko 8.000, a ako se uzme u obzir ukupan broj oštećenih stambenih jedinica odnosno broj evakuiranih i sklonjenih osoba, broj osoba će znatno premašiti kriterij za katastrofalne posljedice. Potrebno je istaknuti da bi izgradnja zamjenskih građevina i sanacija oštećenih građevina (koje su procijenjene da se mogu sanirati) bila dugotrajna te se očekuje iseljavanje znatnog broja stanovnika, posebice ako se podrhtavanja tla budu nastavila i osjetila duže vremensko razdoblje. Broj raspoloživih kreveta u bolnicama neće biti dostatan, a nepovoljan položaj bolnica što se tiče smještaja u starom gradskom dijelu (godina izgradnje, požari, uske ulice itd.) bit će još više istaknut, posebice što se tiče povezanosti s gradskim četvrtima smještenim preko rijeke Save.</w:t>
      </w:r>
    </w:p>
    <w:p w14:paraId="57269DD6" w14:textId="78D51DCF" w:rsidR="00FF1E38" w:rsidRPr="00FF1E38" w:rsidRDefault="00FF1E38" w:rsidP="00FF1E38">
      <w:pPr>
        <w:spacing w:after="0" w:line="240" w:lineRule="auto"/>
        <w:ind w:left="0" w:right="0" w:firstLine="709"/>
        <w:rPr>
          <w:rFonts w:ascii="Times New Roman" w:hAnsi="Times New Roman" w:cs="Times New Roman"/>
          <w:sz w:val="24"/>
        </w:rPr>
      </w:pPr>
      <w:r w:rsidRPr="00974918">
        <w:rPr>
          <w:rFonts w:ascii="Times New Roman" w:hAnsi="Times New Roman" w:cs="Times New Roman"/>
          <w:color w:val="auto"/>
          <w:sz w:val="24"/>
        </w:rPr>
        <w:t xml:space="preserve">U Tablici </w:t>
      </w:r>
      <w:r w:rsidR="00974918" w:rsidRPr="00974918">
        <w:rPr>
          <w:rFonts w:ascii="Times New Roman" w:hAnsi="Times New Roman" w:cs="Times New Roman"/>
          <w:color w:val="auto"/>
          <w:sz w:val="24"/>
        </w:rPr>
        <w:t>51</w:t>
      </w:r>
      <w:r w:rsidRPr="00974918">
        <w:rPr>
          <w:rFonts w:ascii="Times New Roman" w:hAnsi="Times New Roman" w:cs="Times New Roman"/>
          <w:color w:val="auto"/>
          <w:sz w:val="24"/>
        </w:rPr>
        <w:t xml:space="preserve">. vidljivi su usporedni rezultati procjena broja poginulih, ozlijeđenih i </w:t>
      </w:r>
      <w:r w:rsidRPr="00FF1E38">
        <w:rPr>
          <w:rFonts w:ascii="Times New Roman" w:hAnsi="Times New Roman" w:cs="Times New Roman"/>
          <w:sz w:val="24"/>
        </w:rPr>
        <w:t xml:space="preserve">raseljenih osoba iz više različitih izvora. Zbog nepostojanja potrebnih baza podataka, sve procjene su vrlo aproksimativne, ali sve predviđaju katastrofalne posljedice i velik broj mrtvih </w:t>
      </w:r>
      <w:r w:rsidRPr="00FF1E38">
        <w:rPr>
          <w:rFonts w:ascii="Times New Roman" w:hAnsi="Times New Roman" w:cs="Times New Roman"/>
          <w:sz w:val="24"/>
        </w:rPr>
        <w:lastRenderedPageBreak/>
        <w:t>i ozlijeđenih osoba. Sljedeći korak uz uspostavu detaljnije baze podataka odnosi se na nastavak suradnje Grada Zagreba zajedno s Građevinskim fakultetom Sveučilišta u Zagrebu u projektu "</w:t>
      </w:r>
      <w:r w:rsidRPr="00FF1E38">
        <w:rPr>
          <w:rFonts w:ascii="Times New Roman" w:hAnsi="Times New Roman" w:cs="Times New Roman"/>
          <w:i/>
          <w:sz w:val="24"/>
        </w:rPr>
        <w:t>Studija saniranja posljedica potresa</w:t>
      </w:r>
      <w:r w:rsidRPr="00FF1E38">
        <w:rPr>
          <w:rFonts w:ascii="Times New Roman" w:hAnsi="Times New Roman" w:cs="Times New Roman"/>
          <w:sz w:val="24"/>
        </w:rPr>
        <w:t>" s ciljem detaljnije provjere otpornosti zgrada koje predstavljaju: kritičnu infrastrukturu (zgrade ključnih državnih institucija, sjedišta hitnih službi i operativnih snaga), zatim bolnice, obrazovne ustanove, veće građevine (neboderi), tipske zgrade, zgrade u kojima se okuplja veća skupina ljudi i sl. Navedeni podaci omogućit će točnije procjene broja mrtvih i ozlijeđenih osoba ovisno o tome kada se potres dogodi (noć</w:t>
      </w:r>
      <w:r w:rsidRPr="00FF1E38">
        <w:rPr>
          <w:rFonts w:ascii="Times New Roman" w:hAnsi="Times New Roman" w:cs="Times New Roman"/>
          <w:sz w:val="24"/>
        </w:rPr>
        <w:noBreakHyphen/>
        <w:t xml:space="preserve">dan) te detektirati najugroženije specifične skupine u društvu (pacijenti, korisnici obrazovnih ustanova, građevina javne namjene i sl.). Osim navedenog, znanstvenim projektom </w:t>
      </w:r>
      <w:r w:rsidRPr="00FF1E38">
        <w:rPr>
          <w:rFonts w:ascii="Times New Roman" w:hAnsi="Times New Roman" w:cs="Times New Roman"/>
          <w:i/>
          <w:sz w:val="24"/>
        </w:rPr>
        <w:t>Potresni rizik</w:t>
      </w:r>
      <w:r w:rsidRPr="00FF1E38">
        <w:rPr>
          <w:rFonts w:ascii="Times New Roman" w:hAnsi="Times New Roman" w:cs="Times New Roman"/>
          <w:sz w:val="24"/>
        </w:rPr>
        <w:t xml:space="preserve"> koji je pokrenut krajem 2021. godine u razdoblju od 36 mjeseci:</w:t>
      </w:r>
    </w:p>
    <w:p w14:paraId="7F8203A3" w14:textId="77777777" w:rsidR="00FF1E38" w:rsidRPr="00FF1E38" w:rsidRDefault="00FF1E38" w:rsidP="0014113B">
      <w:pPr>
        <w:numPr>
          <w:ilvl w:val="0"/>
          <w:numId w:val="4"/>
        </w:numPr>
        <w:spacing w:after="0" w:line="240" w:lineRule="auto"/>
        <w:ind w:right="0"/>
        <w:contextualSpacing/>
        <w:jc w:val="left"/>
        <w:rPr>
          <w:rFonts w:ascii="Times New Roman" w:hAnsi="Times New Roman" w:cs="Times New Roman"/>
          <w:sz w:val="24"/>
        </w:rPr>
      </w:pPr>
      <w:r w:rsidRPr="00FF1E38">
        <w:rPr>
          <w:rFonts w:ascii="Times New Roman" w:hAnsi="Times New Roman" w:cs="Times New Roman"/>
          <w:sz w:val="24"/>
        </w:rPr>
        <w:t>definirat će se potresni hazard za Grad Zagreb</w:t>
      </w:r>
    </w:p>
    <w:p w14:paraId="39D28FCF" w14:textId="77777777" w:rsidR="00FF1E38" w:rsidRPr="00FF1E38" w:rsidRDefault="00FF1E38" w:rsidP="0014113B">
      <w:pPr>
        <w:numPr>
          <w:ilvl w:val="0"/>
          <w:numId w:val="4"/>
        </w:numPr>
        <w:spacing w:after="0" w:line="240" w:lineRule="auto"/>
        <w:ind w:right="0"/>
        <w:contextualSpacing/>
        <w:jc w:val="left"/>
        <w:rPr>
          <w:rFonts w:ascii="Times New Roman" w:hAnsi="Times New Roman" w:cs="Times New Roman"/>
          <w:sz w:val="24"/>
        </w:rPr>
      </w:pPr>
      <w:r w:rsidRPr="00FF1E38">
        <w:rPr>
          <w:rFonts w:ascii="Times New Roman" w:hAnsi="Times New Roman" w:cs="Times New Roman"/>
          <w:sz w:val="24"/>
        </w:rPr>
        <w:t>izradit će se metodologija za procjenu potresnog rizika za Grad Zagreb a koja je  primjenjiva na sve velike gradove u Hrvatskoj</w:t>
      </w:r>
    </w:p>
    <w:p w14:paraId="5DE3BAF5" w14:textId="77777777" w:rsidR="00FF1E38" w:rsidRPr="00FF1E38" w:rsidRDefault="00FF1E38" w:rsidP="0014113B">
      <w:pPr>
        <w:numPr>
          <w:ilvl w:val="0"/>
          <w:numId w:val="4"/>
        </w:numPr>
        <w:spacing w:after="0" w:line="240" w:lineRule="auto"/>
        <w:ind w:right="0"/>
        <w:contextualSpacing/>
        <w:jc w:val="left"/>
        <w:rPr>
          <w:rFonts w:ascii="Times New Roman" w:hAnsi="Times New Roman" w:cs="Times New Roman"/>
          <w:sz w:val="24"/>
        </w:rPr>
      </w:pPr>
      <w:r w:rsidRPr="00FF1E38">
        <w:rPr>
          <w:rFonts w:ascii="Times New Roman" w:hAnsi="Times New Roman" w:cs="Times New Roman"/>
          <w:sz w:val="24"/>
        </w:rPr>
        <w:t>izradit će se baza podataka o građevinama i stanovništvu</w:t>
      </w:r>
    </w:p>
    <w:p w14:paraId="04884324" w14:textId="77777777" w:rsidR="00FF1E38" w:rsidRPr="00FF1E38" w:rsidRDefault="00FF1E38" w:rsidP="0014113B">
      <w:pPr>
        <w:numPr>
          <w:ilvl w:val="0"/>
          <w:numId w:val="4"/>
        </w:numPr>
        <w:spacing w:after="0" w:line="240" w:lineRule="auto"/>
        <w:ind w:right="0"/>
        <w:contextualSpacing/>
        <w:jc w:val="left"/>
        <w:rPr>
          <w:rFonts w:ascii="Times New Roman" w:hAnsi="Times New Roman" w:cs="Times New Roman"/>
          <w:sz w:val="24"/>
        </w:rPr>
      </w:pPr>
      <w:r w:rsidRPr="00FF1E38">
        <w:rPr>
          <w:rFonts w:ascii="Times New Roman" w:hAnsi="Times New Roman" w:cs="Times New Roman"/>
          <w:sz w:val="24"/>
        </w:rPr>
        <w:t>izradit će se procjena potresnog rizika za Grad Zagreb.</w:t>
      </w:r>
    </w:p>
    <w:p w14:paraId="7A847266" w14:textId="77777777" w:rsidR="00FF1E38" w:rsidRPr="00FF1E38" w:rsidRDefault="00FF1E38" w:rsidP="00FF1E38">
      <w:pPr>
        <w:spacing w:after="0" w:line="240" w:lineRule="auto"/>
        <w:ind w:left="0" w:right="0" w:firstLine="0"/>
        <w:rPr>
          <w:rFonts w:ascii="Times New Roman" w:hAnsi="Times New Roman" w:cs="Times New Roman"/>
          <w:sz w:val="24"/>
        </w:rPr>
      </w:pPr>
    </w:p>
    <w:p w14:paraId="4625A758" w14:textId="681D7776" w:rsidR="00FF1E38" w:rsidRPr="00FF1E38" w:rsidRDefault="00FF1E38" w:rsidP="00FF1E38">
      <w:pPr>
        <w:spacing w:after="160" w:line="259" w:lineRule="auto"/>
        <w:ind w:left="0" w:right="0" w:firstLine="0"/>
        <w:jc w:val="center"/>
        <w:rPr>
          <w:rFonts w:ascii="Times New Roman" w:hAnsi="Times New Roman" w:cs="Times New Roman"/>
          <w:b/>
          <w:sz w:val="24"/>
        </w:rPr>
      </w:pPr>
      <w:r w:rsidRPr="00974918">
        <w:rPr>
          <w:rFonts w:ascii="Times New Roman" w:hAnsi="Times New Roman" w:cs="Times New Roman"/>
          <w:b/>
          <w:color w:val="auto"/>
          <w:sz w:val="24"/>
        </w:rPr>
        <w:t xml:space="preserve">Tablica </w:t>
      </w:r>
      <w:r w:rsidR="00974918" w:rsidRPr="00974918">
        <w:rPr>
          <w:rFonts w:ascii="Times New Roman" w:hAnsi="Times New Roman" w:cs="Times New Roman"/>
          <w:b/>
          <w:color w:val="auto"/>
          <w:sz w:val="24"/>
        </w:rPr>
        <w:t>51</w:t>
      </w:r>
      <w:r w:rsidRPr="00974918">
        <w:rPr>
          <w:rFonts w:ascii="Times New Roman" w:hAnsi="Times New Roman" w:cs="Times New Roman"/>
          <w:b/>
          <w:color w:val="auto"/>
          <w:sz w:val="24"/>
        </w:rPr>
        <w:t xml:space="preserve">. Usporedni prikaz rezultata nekoliko procjena posljedica u slučaju potresa </w:t>
      </w:r>
      <w:r w:rsidRPr="00FF1E38">
        <w:rPr>
          <w:rFonts w:ascii="Times New Roman" w:hAnsi="Times New Roman" w:cs="Times New Roman"/>
          <w:b/>
          <w:sz w:val="24"/>
        </w:rPr>
        <w:t>intenziteta IX</w:t>
      </w:r>
      <w:r w:rsidRPr="00FF1E38">
        <w:rPr>
          <w:rFonts w:ascii="Times New Roman" w:hAnsi="Times New Roman" w:cs="Times New Roman"/>
          <w:b/>
          <w:sz w:val="24"/>
          <w:vertAlign w:val="superscript"/>
        </w:rPr>
        <w:t>o</w:t>
      </w:r>
      <w:r w:rsidRPr="00FF1E38">
        <w:rPr>
          <w:rFonts w:ascii="Times New Roman" w:hAnsi="Times New Roman" w:cs="Times New Roman"/>
          <w:b/>
          <w:sz w:val="24"/>
        </w:rPr>
        <w:t xml:space="preserve"> MCS ljestvice</w:t>
      </w:r>
    </w:p>
    <w:tbl>
      <w:tblPr>
        <w:tblStyle w:val="TableGrid1"/>
        <w:tblW w:w="9072" w:type="dxa"/>
        <w:tblInd w:w="0" w:type="dxa"/>
        <w:tblLayout w:type="fixed"/>
        <w:tblCellMar>
          <w:left w:w="57" w:type="dxa"/>
          <w:right w:w="61" w:type="dxa"/>
        </w:tblCellMar>
        <w:tblLook w:val="04A0" w:firstRow="1" w:lastRow="0" w:firstColumn="1" w:lastColumn="0" w:noHBand="0" w:noVBand="1"/>
      </w:tblPr>
      <w:tblGrid>
        <w:gridCol w:w="2666"/>
        <w:gridCol w:w="1247"/>
        <w:gridCol w:w="1247"/>
        <w:gridCol w:w="1247"/>
        <w:gridCol w:w="1247"/>
        <w:gridCol w:w="1418"/>
      </w:tblGrid>
      <w:tr w:rsidR="00FF1E38" w:rsidRPr="00FF1E38" w14:paraId="519CD90C" w14:textId="77777777" w:rsidTr="00DE0C9A">
        <w:trPr>
          <w:cantSplit/>
          <w:tblHeader/>
        </w:trPr>
        <w:tc>
          <w:tcPr>
            <w:tcW w:w="266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D91B13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IZVOR</w:t>
            </w:r>
          </w:p>
        </w:tc>
        <w:tc>
          <w:tcPr>
            <w:tcW w:w="124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948411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Poginuli</w:t>
            </w:r>
          </w:p>
        </w:tc>
        <w:tc>
          <w:tcPr>
            <w:tcW w:w="124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3F57BA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Ozlijeđeni</w:t>
            </w:r>
          </w:p>
        </w:tc>
        <w:tc>
          <w:tcPr>
            <w:tcW w:w="124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B9571E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Zatrpani</w:t>
            </w:r>
          </w:p>
        </w:tc>
        <w:tc>
          <w:tcPr>
            <w:tcW w:w="124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F3FD2F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Raseljeni</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E8DD12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Zahvaćeni posljedicama</w:t>
            </w:r>
          </w:p>
        </w:tc>
      </w:tr>
      <w:tr w:rsidR="00FF1E38" w:rsidRPr="00FF1E38" w14:paraId="225B8BD2" w14:textId="77777777" w:rsidTr="00DE0C9A">
        <w:trPr>
          <w:cantSplit/>
        </w:trPr>
        <w:tc>
          <w:tcPr>
            <w:tcW w:w="266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93F772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Prognoza štete na stambenom fondu i broja žrtava mogućeg budućeg potresa u Zagrebu</w:t>
            </w:r>
          </w:p>
          <w:p w14:paraId="62CAEC2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(1992.)</w:t>
            </w:r>
          </w:p>
        </w:tc>
        <w:tc>
          <w:tcPr>
            <w:tcW w:w="1247" w:type="dxa"/>
            <w:tcBorders>
              <w:top w:val="single" w:sz="4" w:space="0" w:color="000000"/>
              <w:left w:val="single" w:sz="4" w:space="0" w:color="000000"/>
              <w:bottom w:val="single" w:sz="4" w:space="0" w:color="000000"/>
              <w:right w:val="single" w:sz="4" w:space="0" w:color="000000"/>
            </w:tcBorders>
            <w:vAlign w:val="center"/>
          </w:tcPr>
          <w:p w14:paraId="1DD398D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2 000</w:t>
            </w:r>
          </w:p>
        </w:tc>
        <w:tc>
          <w:tcPr>
            <w:tcW w:w="1247" w:type="dxa"/>
            <w:tcBorders>
              <w:top w:val="single" w:sz="4" w:space="0" w:color="000000"/>
              <w:left w:val="single" w:sz="4" w:space="0" w:color="000000"/>
              <w:bottom w:val="single" w:sz="4" w:space="0" w:color="000000"/>
              <w:right w:val="single" w:sz="4" w:space="0" w:color="000000"/>
            </w:tcBorders>
            <w:vAlign w:val="center"/>
          </w:tcPr>
          <w:p w14:paraId="599A90A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13 500</w:t>
            </w:r>
          </w:p>
        </w:tc>
        <w:tc>
          <w:tcPr>
            <w:tcW w:w="1247" w:type="dxa"/>
            <w:tcBorders>
              <w:top w:val="single" w:sz="4" w:space="0" w:color="000000"/>
              <w:left w:val="single" w:sz="4" w:space="0" w:color="000000"/>
              <w:bottom w:val="single" w:sz="4" w:space="0" w:color="000000"/>
              <w:right w:val="single" w:sz="4" w:space="0" w:color="000000"/>
            </w:tcBorders>
            <w:vAlign w:val="center"/>
          </w:tcPr>
          <w:p w14:paraId="19ABFA69"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47" w:type="dxa"/>
            <w:tcBorders>
              <w:top w:val="single" w:sz="4" w:space="0" w:color="000000"/>
              <w:left w:val="single" w:sz="4" w:space="0" w:color="000000"/>
              <w:bottom w:val="single" w:sz="4" w:space="0" w:color="000000"/>
              <w:right w:val="single" w:sz="4" w:space="0" w:color="000000"/>
            </w:tcBorders>
            <w:vAlign w:val="center"/>
          </w:tcPr>
          <w:p w14:paraId="75B25A4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700 000</w:t>
            </w:r>
          </w:p>
        </w:tc>
        <w:tc>
          <w:tcPr>
            <w:tcW w:w="1418" w:type="dxa"/>
            <w:vMerge w:val="restart"/>
            <w:tcBorders>
              <w:top w:val="single" w:sz="4" w:space="0" w:color="000000"/>
              <w:left w:val="single" w:sz="4" w:space="0" w:color="000000"/>
              <w:bottom w:val="single" w:sz="4" w:space="0" w:color="000000"/>
              <w:right w:val="single" w:sz="4" w:space="0" w:color="000000"/>
            </w:tcBorders>
            <w:vAlign w:val="center"/>
          </w:tcPr>
          <w:p w14:paraId="563DF7E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769 944</w:t>
            </w:r>
          </w:p>
        </w:tc>
      </w:tr>
      <w:tr w:rsidR="00FF1E38" w:rsidRPr="00FF1E38" w14:paraId="4A0C959E" w14:textId="77777777" w:rsidTr="00DE0C9A">
        <w:trPr>
          <w:cantSplit/>
        </w:trPr>
        <w:tc>
          <w:tcPr>
            <w:tcW w:w="266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D0FAE4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Procjena ugroženosti stanovništva, materijalnih i kulturnih dobara i okoliša od katastrofa i velikih nesreća za područje Grada Zagreba</w:t>
            </w:r>
          </w:p>
          <w:p w14:paraId="4D9E0CC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(2016.)</w:t>
            </w:r>
          </w:p>
        </w:tc>
        <w:tc>
          <w:tcPr>
            <w:tcW w:w="1247" w:type="dxa"/>
            <w:tcBorders>
              <w:top w:val="single" w:sz="4" w:space="0" w:color="000000"/>
              <w:left w:val="single" w:sz="4" w:space="0" w:color="000000"/>
              <w:bottom w:val="single" w:sz="4" w:space="0" w:color="000000"/>
              <w:right w:val="single" w:sz="4" w:space="0" w:color="000000"/>
            </w:tcBorders>
            <w:vAlign w:val="center"/>
          </w:tcPr>
          <w:p w14:paraId="435DC5A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9 840</w:t>
            </w:r>
          </w:p>
          <w:p w14:paraId="7F736AF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(gornja granica)</w:t>
            </w:r>
          </w:p>
          <w:p w14:paraId="09DB1F0F" w14:textId="77777777" w:rsidR="00FF1E38" w:rsidRPr="00FF1E38" w:rsidRDefault="00FF1E38" w:rsidP="00FF1E38">
            <w:pPr>
              <w:spacing w:after="0" w:line="240" w:lineRule="auto"/>
              <w:ind w:left="0" w:right="0" w:firstLine="0"/>
              <w:jc w:val="center"/>
              <w:rPr>
                <w:rFonts w:ascii="Times New Roman" w:hAnsi="Times New Roman" w:cs="Times New Roman"/>
              </w:rPr>
            </w:pPr>
          </w:p>
          <w:p w14:paraId="3643453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5 626</w:t>
            </w:r>
          </w:p>
          <w:p w14:paraId="4DC2FC6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(srednja vrijednost)</w:t>
            </w:r>
          </w:p>
        </w:tc>
        <w:tc>
          <w:tcPr>
            <w:tcW w:w="1247" w:type="dxa"/>
            <w:tcBorders>
              <w:top w:val="single" w:sz="4" w:space="0" w:color="000000"/>
              <w:left w:val="single" w:sz="4" w:space="0" w:color="000000"/>
              <w:bottom w:val="single" w:sz="4" w:space="0" w:color="000000"/>
              <w:right w:val="single" w:sz="4" w:space="0" w:color="000000"/>
            </w:tcBorders>
            <w:vAlign w:val="center"/>
          </w:tcPr>
          <w:p w14:paraId="4C593EA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21 504</w:t>
            </w:r>
          </w:p>
          <w:p w14:paraId="16C55A9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(gornja granica)</w:t>
            </w:r>
          </w:p>
          <w:p w14:paraId="2C314F76" w14:textId="77777777" w:rsidR="00FF1E38" w:rsidRPr="00FF1E38" w:rsidRDefault="00FF1E38" w:rsidP="00FF1E38">
            <w:pPr>
              <w:spacing w:after="0" w:line="240" w:lineRule="auto"/>
              <w:ind w:left="0" w:right="0" w:firstLine="0"/>
              <w:jc w:val="center"/>
              <w:rPr>
                <w:rFonts w:ascii="Times New Roman" w:hAnsi="Times New Roman" w:cs="Times New Roman"/>
              </w:rPr>
            </w:pPr>
          </w:p>
          <w:p w14:paraId="7AC23E5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11 539</w:t>
            </w:r>
          </w:p>
          <w:p w14:paraId="08DDFBE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(srednja vrijednost)</w:t>
            </w:r>
          </w:p>
        </w:tc>
        <w:tc>
          <w:tcPr>
            <w:tcW w:w="1247" w:type="dxa"/>
            <w:tcBorders>
              <w:top w:val="single" w:sz="4" w:space="0" w:color="000000"/>
              <w:left w:val="single" w:sz="4" w:space="0" w:color="000000"/>
              <w:bottom w:val="single" w:sz="4" w:space="0" w:color="000000"/>
              <w:right w:val="single" w:sz="4" w:space="0" w:color="000000"/>
            </w:tcBorders>
            <w:vAlign w:val="center"/>
          </w:tcPr>
          <w:p w14:paraId="4715893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12 148</w:t>
            </w:r>
          </w:p>
          <w:p w14:paraId="203EA51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(gornja granica)</w:t>
            </w:r>
          </w:p>
          <w:p w14:paraId="1E50BC46" w14:textId="77777777" w:rsidR="00FF1E38" w:rsidRPr="00FF1E38" w:rsidRDefault="00FF1E38" w:rsidP="00FF1E38">
            <w:pPr>
              <w:spacing w:after="0" w:line="240" w:lineRule="auto"/>
              <w:ind w:left="0" w:right="0" w:firstLine="0"/>
              <w:jc w:val="center"/>
              <w:rPr>
                <w:rFonts w:ascii="Times New Roman" w:hAnsi="Times New Roman" w:cs="Times New Roman"/>
              </w:rPr>
            </w:pPr>
          </w:p>
          <w:p w14:paraId="1A539D8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10 632</w:t>
            </w:r>
          </w:p>
          <w:p w14:paraId="14CE09B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(srednja vrijednost)</w:t>
            </w:r>
          </w:p>
        </w:tc>
        <w:tc>
          <w:tcPr>
            <w:tcW w:w="1247" w:type="dxa"/>
            <w:tcBorders>
              <w:top w:val="single" w:sz="4" w:space="0" w:color="000000"/>
              <w:left w:val="single" w:sz="4" w:space="0" w:color="000000"/>
              <w:bottom w:val="single" w:sz="4" w:space="0" w:color="000000"/>
              <w:right w:val="single" w:sz="4" w:space="0" w:color="000000"/>
            </w:tcBorders>
            <w:vAlign w:val="center"/>
          </w:tcPr>
          <w:p w14:paraId="3F56D57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130 000</w:t>
            </w:r>
          </w:p>
        </w:tc>
        <w:tc>
          <w:tcPr>
            <w:tcW w:w="1418" w:type="dxa"/>
            <w:vMerge/>
            <w:tcBorders>
              <w:top w:val="nil"/>
              <w:left w:val="single" w:sz="4" w:space="0" w:color="000000"/>
              <w:bottom w:val="nil"/>
              <w:right w:val="single" w:sz="4" w:space="0" w:color="000000"/>
            </w:tcBorders>
            <w:vAlign w:val="center"/>
          </w:tcPr>
          <w:p w14:paraId="01483457"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36609B79" w14:textId="77777777" w:rsidTr="00DE0C9A">
        <w:trPr>
          <w:cantSplit/>
        </w:trPr>
        <w:tc>
          <w:tcPr>
            <w:tcW w:w="2666" w:type="dxa"/>
            <w:tcBorders>
              <w:top w:val="single" w:sz="4" w:space="0" w:color="000000"/>
              <w:left w:val="single" w:sz="4" w:space="0" w:color="000000"/>
              <w:bottom w:val="single" w:sz="4" w:space="0" w:color="000000"/>
              <w:right w:val="single" w:sz="4" w:space="0" w:color="000000"/>
            </w:tcBorders>
            <w:shd w:val="clear" w:color="auto" w:fill="FFC000"/>
          </w:tcPr>
          <w:p w14:paraId="5FD4A81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Procjena rizika od katastrofa za Republiku Hrvatsku</w:t>
            </w:r>
          </w:p>
          <w:p w14:paraId="7C41498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(2019.)</w:t>
            </w:r>
          </w:p>
        </w:tc>
        <w:tc>
          <w:tcPr>
            <w:tcW w:w="1247" w:type="dxa"/>
            <w:tcBorders>
              <w:top w:val="single" w:sz="4" w:space="0" w:color="000000"/>
              <w:left w:val="single" w:sz="4" w:space="0" w:color="000000"/>
              <w:bottom w:val="single" w:sz="4" w:space="0" w:color="000000"/>
              <w:right w:val="single" w:sz="4" w:space="0" w:color="000000"/>
            </w:tcBorders>
            <w:vAlign w:val="center"/>
          </w:tcPr>
          <w:p w14:paraId="6FAFA63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2 586</w:t>
            </w:r>
          </w:p>
        </w:tc>
        <w:tc>
          <w:tcPr>
            <w:tcW w:w="1247" w:type="dxa"/>
            <w:tcBorders>
              <w:top w:val="single" w:sz="4" w:space="0" w:color="000000"/>
              <w:left w:val="single" w:sz="4" w:space="0" w:color="000000"/>
              <w:bottom w:val="single" w:sz="4" w:space="0" w:color="000000"/>
              <w:right w:val="single" w:sz="4" w:space="0" w:color="000000"/>
            </w:tcBorders>
            <w:vAlign w:val="center"/>
          </w:tcPr>
          <w:p w14:paraId="4087D5A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8 126</w:t>
            </w:r>
          </w:p>
        </w:tc>
        <w:tc>
          <w:tcPr>
            <w:tcW w:w="1247" w:type="dxa"/>
            <w:tcBorders>
              <w:top w:val="single" w:sz="4" w:space="0" w:color="000000"/>
              <w:left w:val="single" w:sz="4" w:space="0" w:color="000000"/>
              <w:bottom w:val="single" w:sz="4" w:space="0" w:color="000000"/>
              <w:right w:val="single" w:sz="4" w:space="0" w:color="000000"/>
            </w:tcBorders>
            <w:vAlign w:val="center"/>
          </w:tcPr>
          <w:p w14:paraId="361C73D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47" w:type="dxa"/>
            <w:tcBorders>
              <w:top w:val="single" w:sz="4" w:space="0" w:color="000000"/>
              <w:left w:val="single" w:sz="4" w:space="0" w:color="000000"/>
              <w:bottom w:val="single" w:sz="4" w:space="0" w:color="000000"/>
              <w:right w:val="single" w:sz="4" w:space="0" w:color="000000"/>
            </w:tcBorders>
            <w:vAlign w:val="center"/>
          </w:tcPr>
          <w:p w14:paraId="7C9592FD"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8" w:type="dxa"/>
            <w:vMerge/>
            <w:tcBorders>
              <w:top w:val="nil"/>
              <w:left w:val="single" w:sz="4" w:space="0" w:color="000000"/>
              <w:bottom w:val="nil"/>
              <w:right w:val="single" w:sz="4" w:space="0" w:color="000000"/>
            </w:tcBorders>
          </w:tcPr>
          <w:p w14:paraId="1134EC79" w14:textId="77777777" w:rsidR="00FF1E38" w:rsidRPr="00FF1E38" w:rsidRDefault="00FF1E38" w:rsidP="00FF1E38">
            <w:pPr>
              <w:spacing w:after="0" w:line="240" w:lineRule="auto"/>
              <w:ind w:left="0" w:right="0" w:firstLine="0"/>
              <w:jc w:val="left"/>
              <w:rPr>
                <w:rFonts w:ascii="Times New Roman" w:hAnsi="Times New Roman" w:cs="Times New Roman"/>
              </w:rPr>
            </w:pPr>
          </w:p>
        </w:tc>
      </w:tr>
      <w:tr w:rsidR="00FF1E38" w:rsidRPr="00FF1E38" w14:paraId="6571E035" w14:textId="77777777" w:rsidTr="00DE0C9A">
        <w:trPr>
          <w:cantSplit/>
        </w:trPr>
        <w:tc>
          <w:tcPr>
            <w:tcW w:w="2666" w:type="dxa"/>
            <w:tcBorders>
              <w:top w:val="single" w:sz="4" w:space="0" w:color="000000"/>
              <w:left w:val="single" w:sz="4" w:space="0" w:color="000000"/>
              <w:bottom w:val="single" w:sz="4" w:space="0" w:color="000000"/>
              <w:right w:val="single" w:sz="4" w:space="0" w:color="000000"/>
            </w:tcBorders>
            <w:shd w:val="clear" w:color="auto" w:fill="FFC000"/>
          </w:tcPr>
          <w:p w14:paraId="33394FA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Svjetska banka (2020.)</w:t>
            </w:r>
          </w:p>
        </w:tc>
        <w:tc>
          <w:tcPr>
            <w:tcW w:w="1247" w:type="dxa"/>
            <w:tcBorders>
              <w:top w:val="single" w:sz="4" w:space="0" w:color="000000"/>
              <w:left w:val="single" w:sz="4" w:space="0" w:color="000000"/>
              <w:bottom w:val="single" w:sz="4" w:space="0" w:color="000000"/>
              <w:right w:val="single" w:sz="4" w:space="0" w:color="000000"/>
            </w:tcBorders>
            <w:vAlign w:val="center"/>
          </w:tcPr>
          <w:p w14:paraId="38B21D6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9 500</w:t>
            </w:r>
          </w:p>
        </w:tc>
        <w:tc>
          <w:tcPr>
            <w:tcW w:w="1247" w:type="dxa"/>
            <w:tcBorders>
              <w:top w:val="single" w:sz="4" w:space="0" w:color="000000"/>
              <w:left w:val="single" w:sz="4" w:space="0" w:color="000000"/>
              <w:bottom w:val="single" w:sz="4" w:space="0" w:color="000000"/>
              <w:right w:val="single" w:sz="4" w:space="0" w:color="000000"/>
            </w:tcBorders>
            <w:vAlign w:val="center"/>
          </w:tcPr>
          <w:p w14:paraId="241DC5F1"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47" w:type="dxa"/>
            <w:tcBorders>
              <w:top w:val="single" w:sz="4" w:space="0" w:color="000000"/>
              <w:left w:val="single" w:sz="4" w:space="0" w:color="000000"/>
              <w:bottom w:val="single" w:sz="4" w:space="0" w:color="000000"/>
              <w:right w:val="single" w:sz="4" w:space="0" w:color="000000"/>
            </w:tcBorders>
            <w:vAlign w:val="center"/>
          </w:tcPr>
          <w:p w14:paraId="253F6EC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47" w:type="dxa"/>
            <w:tcBorders>
              <w:top w:val="single" w:sz="4" w:space="0" w:color="000000"/>
              <w:left w:val="single" w:sz="4" w:space="0" w:color="000000"/>
              <w:bottom w:val="single" w:sz="4" w:space="0" w:color="000000"/>
              <w:right w:val="single" w:sz="4" w:space="0" w:color="000000"/>
            </w:tcBorders>
            <w:vAlign w:val="center"/>
          </w:tcPr>
          <w:p w14:paraId="0D89223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8" w:type="dxa"/>
            <w:tcBorders>
              <w:top w:val="nil"/>
              <w:left w:val="single" w:sz="4" w:space="0" w:color="000000"/>
              <w:bottom w:val="single" w:sz="4" w:space="0" w:color="000000"/>
              <w:right w:val="single" w:sz="4" w:space="0" w:color="000000"/>
            </w:tcBorders>
          </w:tcPr>
          <w:p w14:paraId="60F300C8" w14:textId="77777777" w:rsidR="00FF1E38" w:rsidRPr="00FF1E38" w:rsidRDefault="00FF1E38" w:rsidP="00FF1E38">
            <w:pPr>
              <w:spacing w:after="0" w:line="240" w:lineRule="auto"/>
              <w:ind w:left="0" w:right="0" w:firstLine="0"/>
              <w:jc w:val="left"/>
              <w:rPr>
                <w:rFonts w:ascii="Times New Roman" w:hAnsi="Times New Roman" w:cs="Times New Roman"/>
              </w:rPr>
            </w:pPr>
          </w:p>
        </w:tc>
      </w:tr>
    </w:tbl>
    <w:p w14:paraId="5CB32C24" w14:textId="77777777" w:rsidR="00FF1E38" w:rsidRPr="00FF1E38" w:rsidRDefault="00FF1E38" w:rsidP="00FF1E38">
      <w:pPr>
        <w:spacing w:after="0" w:line="240" w:lineRule="auto"/>
        <w:ind w:left="0" w:right="0" w:firstLine="0"/>
        <w:rPr>
          <w:rFonts w:ascii="Times New Roman" w:hAnsi="Times New Roman" w:cs="Times New Roman"/>
          <w:b/>
          <w:sz w:val="24"/>
        </w:rPr>
      </w:pPr>
    </w:p>
    <w:p w14:paraId="60B14794" w14:textId="04225F8B" w:rsidR="00FF1E38" w:rsidRPr="00A60DD3" w:rsidRDefault="00FF1E38" w:rsidP="00FF1E38">
      <w:pPr>
        <w:tabs>
          <w:tab w:val="left" w:pos="240"/>
        </w:tabs>
        <w:spacing w:after="0" w:line="240" w:lineRule="auto"/>
        <w:ind w:left="0" w:right="0" w:firstLine="709"/>
        <w:rPr>
          <w:rFonts w:ascii="Times New Roman" w:hAnsi="Times New Roman" w:cs="Times New Roman"/>
          <w:color w:val="auto"/>
          <w:sz w:val="24"/>
        </w:rPr>
      </w:pPr>
      <w:r w:rsidRPr="00FF1E38">
        <w:rPr>
          <w:rFonts w:ascii="Times New Roman" w:hAnsi="Times New Roman" w:cs="Times New Roman"/>
          <w:sz w:val="24"/>
        </w:rPr>
        <w:t xml:space="preserve">Predviđeno je rušenje gotovo 6000 građevina (oko 4,8 %) uzimajući u obzir samo kategoriju oštećenja V što jasno ističe da su katastrofalne posljedice na život i zdravlje ljudi daleko premašene. Dodatno, za dobivanje cjelovitije slike može se istaknuti postotak srušenih zgrada u odnosu na ukupan broj zgrada u </w:t>
      </w:r>
      <w:r w:rsidR="004E522E">
        <w:rPr>
          <w:rFonts w:ascii="Times New Roman" w:hAnsi="Times New Roman" w:cs="Times New Roman"/>
          <w:sz w:val="24"/>
        </w:rPr>
        <w:t>gradskoj četvrti</w:t>
      </w:r>
      <w:r w:rsidRPr="00FF1E38">
        <w:rPr>
          <w:rFonts w:ascii="Times New Roman" w:hAnsi="Times New Roman" w:cs="Times New Roman"/>
          <w:sz w:val="24"/>
        </w:rPr>
        <w:t xml:space="preserve"> i broj srušenih zgrada po hektaru </w:t>
      </w:r>
      <w:r w:rsidRPr="00A60DD3">
        <w:rPr>
          <w:rFonts w:ascii="Times New Roman" w:hAnsi="Times New Roman" w:cs="Times New Roman"/>
          <w:color w:val="auto"/>
          <w:sz w:val="24"/>
        </w:rPr>
        <w:t>(</w:t>
      </w:r>
      <w:r w:rsidR="00A60DD3" w:rsidRPr="00A60DD3">
        <w:rPr>
          <w:rFonts w:ascii="Times New Roman" w:hAnsi="Times New Roman" w:cs="Times New Roman"/>
          <w:color w:val="auto"/>
          <w:sz w:val="24"/>
        </w:rPr>
        <w:t>Slika 14</w:t>
      </w:r>
      <w:r w:rsidRPr="00A60DD3">
        <w:rPr>
          <w:rFonts w:ascii="Times New Roman" w:hAnsi="Times New Roman" w:cs="Times New Roman"/>
          <w:color w:val="auto"/>
          <w:sz w:val="24"/>
        </w:rPr>
        <w:t xml:space="preserve">.) te postotak žrtava u odnosu na ukupan broj stanovnika u </w:t>
      </w:r>
      <w:r w:rsidR="004E522E">
        <w:rPr>
          <w:rFonts w:ascii="Times New Roman" w:hAnsi="Times New Roman" w:cs="Times New Roman"/>
          <w:color w:val="auto"/>
          <w:sz w:val="24"/>
        </w:rPr>
        <w:t>gradskoj četvrti</w:t>
      </w:r>
      <w:r w:rsidRPr="00A60DD3">
        <w:rPr>
          <w:rFonts w:ascii="Times New Roman" w:hAnsi="Times New Roman" w:cs="Times New Roman"/>
          <w:color w:val="auto"/>
          <w:sz w:val="24"/>
        </w:rPr>
        <w:t xml:space="preserve"> (Slika </w:t>
      </w:r>
      <w:r w:rsidR="00A60DD3" w:rsidRPr="00A60DD3">
        <w:rPr>
          <w:rFonts w:ascii="Times New Roman" w:hAnsi="Times New Roman" w:cs="Times New Roman"/>
          <w:color w:val="auto"/>
          <w:sz w:val="24"/>
        </w:rPr>
        <w:t>17</w:t>
      </w:r>
      <w:r w:rsidRPr="00A60DD3">
        <w:rPr>
          <w:rFonts w:ascii="Times New Roman" w:hAnsi="Times New Roman" w:cs="Times New Roman"/>
          <w:color w:val="auto"/>
          <w:sz w:val="24"/>
        </w:rPr>
        <w:t xml:space="preserve">). </w:t>
      </w:r>
    </w:p>
    <w:p w14:paraId="2369440E" w14:textId="734444B3" w:rsidR="000234C5" w:rsidRDefault="00FF1E38" w:rsidP="004E522E">
      <w:pPr>
        <w:tabs>
          <w:tab w:val="left" w:pos="240"/>
        </w:tabs>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Prema prijedlogu projekta Potresni rizik Grada Zagreba (koji je u fazi realizacije od kraja 2021. godine) procijenjeno je da bi za 168.000 osoba trebalo rješavati zbrinjavanje do izgradnje zamjenskih zgrada odnosno cijelih novih naselja, a za daljnjih 103.000 osoba trebalo riješiti privremeni smještaj. Uzimajući prosječan broj osoba u stanu od 2,58 i koristeći srednje vrijednosti dobivenih rezultata, procijenjeno je 5.626 poginulih, 11.539 ranjenih osoba i 10632 zatrpanih. U Studiji za saniranje posljedica potresa su napravljene detaljne analize oko 40 zgrada za koje je prema dobivenim rezultatima moguće grubo procijeniti i stradale osobe. Treba istaknuti da su odabrane zgrade vrlo karakteristične (bolnice, škole, tornjevi, starije zidane građevine i slično), a rezultati su pokazali da se za 40 odabranih zgrada očekuje stradanje oko </w:t>
      </w:r>
      <w:r w:rsidRPr="00FF1E38">
        <w:rPr>
          <w:rFonts w:ascii="Times New Roman" w:hAnsi="Times New Roman" w:cs="Times New Roman"/>
          <w:sz w:val="24"/>
        </w:rPr>
        <w:lastRenderedPageBreak/>
        <w:t>300 ljudi, a ekstrapolacijom rezultata na iste ili slične građevine dobiveno je više od 2000 zatrpanih pod ruševinama. Prema procjeni Svjetske banke poginut će 9500 ljudi.</w:t>
      </w:r>
    </w:p>
    <w:p w14:paraId="1D0C82D0" w14:textId="04031BBD" w:rsidR="004E522E" w:rsidRDefault="004E522E" w:rsidP="004E522E">
      <w:pPr>
        <w:tabs>
          <w:tab w:val="left" w:pos="240"/>
        </w:tabs>
        <w:spacing w:after="0" w:line="240" w:lineRule="auto"/>
        <w:ind w:left="0" w:right="0" w:firstLine="709"/>
        <w:rPr>
          <w:rFonts w:ascii="Times New Roman" w:hAnsi="Times New Roman" w:cs="Times New Roman"/>
          <w:sz w:val="24"/>
        </w:rPr>
      </w:pPr>
    </w:p>
    <w:p w14:paraId="064BE1A7" w14:textId="281C7BCB" w:rsidR="004E522E" w:rsidRDefault="004E522E" w:rsidP="004E522E">
      <w:pPr>
        <w:tabs>
          <w:tab w:val="left" w:pos="240"/>
        </w:tabs>
        <w:spacing w:after="0" w:line="240" w:lineRule="auto"/>
        <w:ind w:left="0" w:right="0" w:firstLine="709"/>
        <w:rPr>
          <w:rFonts w:ascii="Times New Roman" w:hAnsi="Times New Roman" w:cs="Times New Roman"/>
          <w:sz w:val="24"/>
        </w:rPr>
      </w:pPr>
    </w:p>
    <w:p w14:paraId="67C5D018" w14:textId="2ACD0F26" w:rsidR="004E522E" w:rsidRDefault="004E522E" w:rsidP="004E522E">
      <w:pPr>
        <w:tabs>
          <w:tab w:val="left" w:pos="240"/>
        </w:tabs>
        <w:spacing w:after="0" w:line="240" w:lineRule="auto"/>
        <w:ind w:left="0" w:right="0" w:firstLine="709"/>
        <w:rPr>
          <w:rFonts w:ascii="Times New Roman" w:hAnsi="Times New Roman" w:cs="Times New Roman"/>
          <w:sz w:val="24"/>
        </w:rPr>
      </w:pPr>
    </w:p>
    <w:p w14:paraId="17CAE3E6" w14:textId="77777777" w:rsidR="004E522E" w:rsidRPr="004E522E" w:rsidRDefault="004E522E" w:rsidP="004E522E">
      <w:pPr>
        <w:tabs>
          <w:tab w:val="left" w:pos="240"/>
        </w:tabs>
        <w:spacing w:after="0" w:line="240" w:lineRule="auto"/>
        <w:ind w:left="0" w:right="0" w:firstLine="709"/>
        <w:rPr>
          <w:rFonts w:ascii="Times New Roman" w:hAnsi="Times New Roman" w:cs="Times New Roman"/>
          <w:sz w:val="24"/>
        </w:rPr>
      </w:pPr>
    </w:p>
    <w:p w14:paraId="20D91DBC" w14:textId="77777777" w:rsidR="00571A98" w:rsidRPr="00FF1E38" w:rsidRDefault="00571A98" w:rsidP="00FF1E38">
      <w:pPr>
        <w:spacing w:after="0" w:line="240" w:lineRule="auto"/>
        <w:ind w:left="0" w:right="0" w:firstLine="0"/>
        <w:jc w:val="left"/>
        <w:rPr>
          <w:rFonts w:ascii="Times New Roman" w:hAnsi="Times New Roman" w:cs="Times New Roman"/>
          <w:b/>
          <w:sz w:val="24"/>
        </w:rPr>
      </w:pPr>
    </w:p>
    <w:p w14:paraId="70BCEC74" w14:textId="7B59B3AD" w:rsidR="00FF1E38" w:rsidRPr="00F659AD" w:rsidRDefault="00FF1E38" w:rsidP="00571A98">
      <w:pPr>
        <w:spacing w:line="240" w:lineRule="auto"/>
        <w:ind w:left="0" w:right="0" w:firstLine="0"/>
        <w:jc w:val="center"/>
        <w:rPr>
          <w:rFonts w:ascii="Times New Roman" w:hAnsi="Times New Roman" w:cs="Times New Roman"/>
          <w:b/>
          <w:color w:val="auto"/>
          <w:sz w:val="24"/>
        </w:rPr>
      </w:pPr>
      <w:r w:rsidRPr="00F659AD">
        <w:rPr>
          <w:rFonts w:ascii="Times New Roman" w:hAnsi="Times New Roman" w:cs="Times New Roman"/>
          <w:b/>
          <w:color w:val="auto"/>
          <w:sz w:val="24"/>
        </w:rPr>
        <w:t xml:space="preserve">Tablica </w:t>
      </w:r>
      <w:r w:rsidR="00F659AD" w:rsidRPr="00F659AD">
        <w:rPr>
          <w:rFonts w:ascii="Times New Roman" w:hAnsi="Times New Roman" w:cs="Times New Roman"/>
          <w:b/>
          <w:color w:val="auto"/>
          <w:sz w:val="24"/>
        </w:rPr>
        <w:t>52</w:t>
      </w:r>
      <w:r w:rsidRPr="00F659AD">
        <w:rPr>
          <w:rFonts w:ascii="Times New Roman" w:hAnsi="Times New Roman" w:cs="Times New Roman"/>
          <w:b/>
          <w:color w:val="auto"/>
          <w:sz w:val="24"/>
        </w:rPr>
        <w:t xml:space="preserve">. Vrijednost kriterija za posljedice na život i zdravlje ljudi po kategorijama </w:t>
      </w:r>
    </w:p>
    <w:tbl>
      <w:tblPr>
        <w:tblStyle w:val="TableGrid1"/>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00"/>
        <w:gridCol w:w="2835"/>
        <w:gridCol w:w="2836"/>
        <w:gridCol w:w="1701"/>
      </w:tblGrid>
      <w:tr w:rsidR="00FF1E38" w:rsidRPr="00FF1E38" w14:paraId="0AF31FB3" w14:textId="77777777" w:rsidTr="00DE0C9A">
        <w:trPr>
          <w:cantSplit/>
          <w:tblHeader/>
        </w:trPr>
        <w:tc>
          <w:tcPr>
            <w:tcW w:w="9072" w:type="dxa"/>
            <w:gridSpan w:val="4"/>
            <w:shd w:val="clear" w:color="auto" w:fill="FFC000"/>
            <w:vAlign w:val="center"/>
          </w:tcPr>
          <w:p w14:paraId="1AC822FE"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Život i zdravlje ljudi – potres</w:t>
            </w:r>
          </w:p>
        </w:tc>
      </w:tr>
      <w:tr w:rsidR="00FF1E38" w:rsidRPr="00FF1E38" w14:paraId="5D2A4B52" w14:textId="77777777" w:rsidTr="00DE0C9A">
        <w:trPr>
          <w:cantSplit/>
          <w:tblHeader/>
        </w:trPr>
        <w:tc>
          <w:tcPr>
            <w:tcW w:w="1700" w:type="dxa"/>
            <w:shd w:val="clear" w:color="auto" w:fill="FFC000"/>
            <w:vAlign w:val="center"/>
          </w:tcPr>
          <w:p w14:paraId="2C13DD10"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Kategorija</w:t>
            </w:r>
          </w:p>
        </w:tc>
        <w:tc>
          <w:tcPr>
            <w:tcW w:w="2835" w:type="dxa"/>
            <w:shd w:val="clear" w:color="auto" w:fill="FFC000"/>
            <w:vAlign w:val="center"/>
          </w:tcPr>
          <w:p w14:paraId="111469C9"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Posljedice</w:t>
            </w:r>
          </w:p>
        </w:tc>
        <w:tc>
          <w:tcPr>
            <w:tcW w:w="2836" w:type="dxa"/>
            <w:shd w:val="clear" w:color="auto" w:fill="FFC000"/>
            <w:vAlign w:val="center"/>
          </w:tcPr>
          <w:p w14:paraId="572AF59F"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Kriterij (br.st.)</w:t>
            </w:r>
          </w:p>
        </w:tc>
        <w:tc>
          <w:tcPr>
            <w:tcW w:w="1701" w:type="dxa"/>
            <w:shd w:val="clear" w:color="auto" w:fill="FFC000"/>
            <w:vAlign w:val="center"/>
          </w:tcPr>
          <w:p w14:paraId="261DB80B"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ODABRANO</w:t>
            </w:r>
          </w:p>
        </w:tc>
      </w:tr>
      <w:tr w:rsidR="00FF1E38" w:rsidRPr="00FF1E38" w14:paraId="04CEC8C1" w14:textId="77777777" w:rsidTr="00DE0C9A">
        <w:trPr>
          <w:cantSplit/>
        </w:trPr>
        <w:tc>
          <w:tcPr>
            <w:tcW w:w="1700" w:type="dxa"/>
            <w:vAlign w:val="center"/>
          </w:tcPr>
          <w:p w14:paraId="3A987403"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1.</w:t>
            </w:r>
          </w:p>
        </w:tc>
        <w:tc>
          <w:tcPr>
            <w:tcW w:w="2835" w:type="dxa"/>
            <w:vAlign w:val="center"/>
          </w:tcPr>
          <w:p w14:paraId="05A76E29"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Neznatne</w:t>
            </w:r>
          </w:p>
        </w:tc>
        <w:tc>
          <w:tcPr>
            <w:tcW w:w="2836" w:type="dxa"/>
            <w:vAlign w:val="center"/>
          </w:tcPr>
          <w:p w14:paraId="0339D0EC"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&lt;8</w:t>
            </w:r>
          </w:p>
        </w:tc>
        <w:tc>
          <w:tcPr>
            <w:tcW w:w="1701" w:type="dxa"/>
            <w:vAlign w:val="center"/>
          </w:tcPr>
          <w:p w14:paraId="5C109FC9"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45D4A9DE" w14:textId="77777777" w:rsidTr="00DE0C9A">
        <w:trPr>
          <w:cantSplit/>
        </w:trPr>
        <w:tc>
          <w:tcPr>
            <w:tcW w:w="1700" w:type="dxa"/>
            <w:shd w:val="clear" w:color="auto" w:fill="FFC000"/>
            <w:vAlign w:val="center"/>
          </w:tcPr>
          <w:p w14:paraId="0BF8395B"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2.</w:t>
            </w:r>
          </w:p>
        </w:tc>
        <w:tc>
          <w:tcPr>
            <w:tcW w:w="2835" w:type="dxa"/>
            <w:shd w:val="clear" w:color="auto" w:fill="FFC000"/>
            <w:vAlign w:val="center"/>
          </w:tcPr>
          <w:p w14:paraId="4CBD1619"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Malene</w:t>
            </w:r>
          </w:p>
        </w:tc>
        <w:tc>
          <w:tcPr>
            <w:tcW w:w="2836" w:type="dxa"/>
            <w:shd w:val="clear" w:color="auto" w:fill="FFC000"/>
            <w:vAlign w:val="center"/>
          </w:tcPr>
          <w:p w14:paraId="0D05A636"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8-35</w:t>
            </w:r>
          </w:p>
        </w:tc>
        <w:tc>
          <w:tcPr>
            <w:tcW w:w="1701" w:type="dxa"/>
            <w:shd w:val="clear" w:color="auto" w:fill="FFC000"/>
            <w:vAlign w:val="center"/>
          </w:tcPr>
          <w:p w14:paraId="2CC61306"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37762F14" w14:textId="77777777" w:rsidTr="00DE0C9A">
        <w:trPr>
          <w:cantSplit/>
        </w:trPr>
        <w:tc>
          <w:tcPr>
            <w:tcW w:w="1700" w:type="dxa"/>
            <w:vAlign w:val="center"/>
          </w:tcPr>
          <w:p w14:paraId="0A857794"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3.</w:t>
            </w:r>
          </w:p>
        </w:tc>
        <w:tc>
          <w:tcPr>
            <w:tcW w:w="2835" w:type="dxa"/>
            <w:vAlign w:val="center"/>
          </w:tcPr>
          <w:p w14:paraId="3D4918A5"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Umjerene</w:t>
            </w:r>
          </w:p>
        </w:tc>
        <w:tc>
          <w:tcPr>
            <w:tcW w:w="2836" w:type="dxa"/>
            <w:vAlign w:val="center"/>
          </w:tcPr>
          <w:p w14:paraId="38434E67"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35-85</w:t>
            </w:r>
          </w:p>
        </w:tc>
        <w:tc>
          <w:tcPr>
            <w:tcW w:w="1701" w:type="dxa"/>
            <w:vAlign w:val="center"/>
          </w:tcPr>
          <w:p w14:paraId="0923A4CE"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6AFCC11E" w14:textId="77777777" w:rsidTr="00DE0C9A">
        <w:trPr>
          <w:cantSplit/>
        </w:trPr>
        <w:tc>
          <w:tcPr>
            <w:tcW w:w="1700" w:type="dxa"/>
            <w:shd w:val="clear" w:color="auto" w:fill="FFC000"/>
            <w:vAlign w:val="center"/>
          </w:tcPr>
          <w:p w14:paraId="4BF8ED9A"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4.</w:t>
            </w:r>
          </w:p>
        </w:tc>
        <w:tc>
          <w:tcPr>
            <w:tcW w:w="2835" w:type="dxa"/>
            <w:shd w:val="clear" w:color="auto" w:fill="FFC000"/>
            <w:vAlign w:val="center"/>
          </w:tcPr>
          <w:p w14:paraId="27C016E5"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Znatne</w:t>
            </w:r>
          </w:p>
        </w:tc>
        <w:tc>
          <w:tcPr>
            <w:tcW w:w="2836" w:type="dxa"/>
            <w:shd w:val="clear" w:color="auto" w:fill="FFC000"/>
            <w:vAlign w:val="center"/>
          </w:tcPr>
          <w:p w14:paraId="0F3B22E4"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85-269</w:t>
            </w:r>
          </w:p>
        </w:tc>
        <w:tc>
          <w:tcPr>
            <w:tcW w:w="1701" w:type="dxa"/>
            <w:shd w:val="clear" w:color="auto" w:fill="FFC000"/>
            <w:vAlign w:val="center"/>
          </w:tcPr>
          <w:p w14:paraId="6AB6342E"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114DA9AB" w14:textId="77777777" w:rsidTr="00DE0C9A">
        <w:trPr>
          <w:cantSplit/>
        </w:trPr>
        <w:tc>
          <w:tcPr>
            <w:tcW w:w="1700" w:type="dxa"/>
            <w:vAlign w:val="center"/>
          </w:tcPr>
          <w:p w14:paraId="7D899820"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5.</w:t>
            </w:r>
          </w:p>
        </w:tc>
        <w:tc>
          <w:tcPr>
            <w:tcW w:w="2835" w:type="dxa"/>
            <w:vAlign w:val="center"/>
          </w:tcPr>
          <w:p w14:paraId="229E0A20"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Katastrofalne</w:t>
            </w:r>
          </w:p>
        </w:tc>
        <w:tc>
          <w:tcPr>
            <w:tcW w:w="2836" w:type="dxa"/>
            <w:vAlign w:val="center"/>
          </w:tcPr>
          <w:p w14:paraId="23F722E7"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&gt;269</w:t>
            </w:r>
          </w:p>
        </w:tc>
        <w:tc>
          <w:tcPr>
            <w:tcW w:w="1701" w:type="dxa"/>
            <w:vAlign w:val="center"/>
          </w:tcPr>
          <w:p w14:paraId="5B02B103"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x</w:t>
            </w:r>
          </w:p>
        </w:tc>
      </w:tr>
    </w:tbl>
    <w:p w14:paraId="6B72B5F9"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2ABBFBC8" w14:textId="77777777" w:rsidR="00FF1E38" w:rsidRP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sz w:val="24"/>
          <w:u w:val="single"/>
        </w:rPr>
        <w:t>Zaključak</w:t>
      </w:r>
    </w:p>
    <w:p w14:paraId="08B6F7E8"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Posljedice na život i zdravlje ljudi bit će katastrofalne. Potres intenziteta IX</w:t>
      </w:r>
      <w:r w:rsidRPr="00FF1E38">
        <w:rPr>
          <w:rFonts w:ascii="Times New Roman" w:hAnsi="Times New Roman" w:cs="Times New Roman"/>
          <w:sz w:val="24"/>
          <w:vertAlign w:val="superscript"/>
        </w:rPr>
        <w:t>o</w:t>
      </w:r>
      <w:r w:rsidRPr="00FF1E38">
        <w:rPr>
          <w:rFonts w:ascii="Times New Roman" w:hAnsi="Times New Roman" w:cs="Times New Roman"/>
          <w:sz w:val="24"/>
        </w:rPr>
        <w:t xml:space="preserve"> MCS ljestvice utjecat će na cjelokupno stanovništvo Grada Zagreba. Uz velik broj mrtvih i ozlijeđenih te trajno raseljenih osoba, ostatak stanovništva će se suočiti s degradacijom kvalitete života zbog prestanka rada kritične infrastrukture, lošijih higijenskih uvjeta, gubitka radnih mjesta. Negativne posljedice će se nakon razornog potresa osjećati duže razdoblje.</w:t>
      </w:r>
    </w:p>
    <w:p w14:paraId="6E51475C"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3F2B8A96" w14:textId="77777777" w:rsidR="00FF1E38" w:rsidRPr="00FF1E38" w:rsidRDefault="00FF1E38" w:rsidP="00FF1E38">
      <w:pPr>
        <w:spacing w:after="0" w:line="240" w:lineRule="auto"/>
        <w:ind w:left="0" w:right="0" w:firstLine="709"/>
        <w:rPr>
          <w:rFonts w:ascii="Times New Roman" w:hAnsi="Times New Roman" w:cs="Times New Roman"/>
          <w:b/>
          <w:i/>
          <w:sz w:val="24"/>
        </w:rPr>
      </w:pPr>
      <w:r w:rsidRPr="00FF1E38">
        <w:rPr>
          <w:rFonts w:ascii="Times New Roman" w:hAnsi="Times New Roman" w:cs="Times New Roman"/>
          <w:b/>
          <w:i/>
          <w:sz w:val="24"/>
        </w:rPr>
        <w:t>6.1.5.1.2. Gospodarstvo</w:t>
      </w:r>
    </w:p>
    <w:p w14:paraId="04706135"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Posljedice na gospodarstvo procijenit će se direktnim (izravnim) i indirektnim (neizravnim) gubicima. Direktni gubici su povezani s oštećenjima građevina (stambenih jedinica) kao što je trošak popravka građevine (dovođenje građevine u dostatnu razinu sigurnosti) ili trošak uklanjanja građevine (za građevine koje su procijenjene da nisu sigurne za uporabu) i izgradnjom novih (zamjenskih) građevina itd. Uobičajena je pretpostavka da će se vrlo teško oštećene građevine morati ukloniti i ponovo izgraditi jer će šteta premašiti 50 % vrijednosti građevine. Znatno do teško oštećenim građevinama ne bi izravno bila ugrožena nosivost konstrukcije pa je moguća sanacija (nakon procjene), a građevine s umjerenim oštećenjem će se uglavnom moći brzo i jeftino sanirati. Direktni gubici, koji su uglavnom povezani s oštećenjima stambenih jedinica (trošak popravaka, trošak uklanjanja građevine, trošak izgradnje zamjenskih građevina itd.), bit će katastrofalni s obzirom na postotke oštećenih stambenih jedinica. Slično potvrđuje i analiza napravljena prema SIA, s tim da ona ne uključuje lokalne specifičnosti.</w:t>
      </w:r>
    </w:p>
    <w:p w14:paraId="664DD105"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Indirektni (neizravni) gubici bi bili također katastrofalni s obzirom na to da se u Gradu Zagrebu nalaze brojne obrazovne, kulturne i zdravstvene institucije, industrijski pogoni, poslovni subjekti i kulturna baština neprocjenjive nacionalne vrijednosti te da je Grad Zagreb središte državne, regionalne i lokalne uprave te prometno središte države i sjecište europskih prometnih smjerova (istok-zapad i sjever-jug) te da je u Zagrebu trećina ukupnog gospodarstva Hrvatske. Troškovi se mogu promatrati kroz: prekid poslovanja, zaustavljene razne proizvodne aktivnosti (primjerice energija), prekid dostave resursa za održavanje poslovanja, gubitak opreme (industrijske, zdravstvene, računalne, itd.) u objektima, gubitak zarade, oštećenje transportnih putova, prekid komunikacijske mreže, oštećenje ključne komunalne infrastrukture (energija, voda itd.), gubitak radnih mjesta, gubitak radne snage, povećane potrebe za smještajnim kapacitetima, zagađenje okoliša, srušene trgovine, itd. Ostali potencijalni indirektni utjecaji mogu biti: požari, odroni tla, likvefakcija i otvaranje klizišta, poplave, </w:t>
      </w:r>
      <w:r w:rsidRPr="00FF1E38">
        <w:rPr>
          <w:rFonts w:ascii="Times New Roman" w:hAnsi="Times New Roman" w:cs="Times New Roman"/>
          <w:sz w:val="24"/>
        </w:rPr>
        <w:lastRenderedPageBreak/>
        <w:t>tehničko-tehnološke katastrofe slijedom stradavanja gospodarskih objekata, epidemiološke i sanitarne opasnosti slijedom nefunkcioniranja nadležnih institucija, prekidi proizvodnih i opskrbnih lanaca, nesreće na odlagalištima otpada itd.</w:t>
      </w:r>
    </w:p>
    <w:p w14:paraId="52589172" w14:textId="3CDCDA8D" w:rsidR="00FF1E38" w:rsidRPr="0043065E" w:rsidRDefault="00FF1E38" w:rsidP="00FF1E38">
      <w:pPr>
        <w:spacing w:after="0" w:line="240" w:lineRule="auto"/>
        <w:ind w:left="0" w:right="0" w:firstLine="709"/>
        <w:rPr>
          <w:rFonts w:ascii="Times New Roman" w:hAnsi="Times New Roman" w:cs="Times New Roman"/>
          <w:color w:val="auto"/>
          <w:sz w:val="24"/>
        </w:rPr>
      </w:pPr>
      <w:r w:rsidRPr="00FF1E38">
        <w:rPr>
          <w:rFonts w:ascii="Times New Roman" w:hAnsi="Times New Roman" w:cs="Times New Roman"/>
          <w:sz w:val="24"/>
        </w:rPr>
        <w:t xml:space="preserve">Prema Procjeni rizika od katastrofa za Republiku Hrvatsku procijenjena je izravna šteta od 15.590 milijuna EUR. Dodatno, za dobivanje cjelovitije slike može se istaknuti GIS prikaz postotka srušenih zgrada u odnosu na ukupan broj zgrada u mjesnom odboru i broj srušenih </w:t>
      </w:r>
      <w:r w:rsidRPr="0043065E">
        <w:rPr>
          <w:rFonts w:ascii="Times New Roman" w:hAnsi="Times New Roman" w:cs="Times New Roman"/>
          <w:color w:val="auto"/>
          <w:sz w:val="24"/>
        </w:rPr>
        <w:t xml:space="preserve">zgrada po hektaru  te troškovi u milijunima EUR i troškovi u milijunima EUR po hektaru (Slika </w:t>
      </w:r>
      <w:r w:rsidR="0043065E" w:rsidRPr="0043065E">
        <w:rPr>
          <w:rFonts w:ascii="Times New Roman" w:hAnsi="Times New Roman" w:cs="Times New Roman"/>
          <w:color w:val="auto"/>
          <w:sz w:val="24"/>
        </w:rPr>
        <w:t>15</w:t>
      </w:r>
      <w:r w:rsidRPr="0043065E">
        <w:rPr>
          <w:rFonts w:ascii="Times New Roman" w:hAnsi="Times New Roman" w:cs="Times New Roman"/>
          <w:color w:val="auto"/>
          <w:sz w:val="24"/>
        </w:rPr>
        <w:t xml:space="preserve">). Prikazani rezultati pokazuju da je kriterij katastrofalnih posljedica višestruko premašen. </w:t>
      </w:r>
    </w:p>
    <w:p w14:paraId="2AD09A15"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Za usporedbu rezultata su priloženi i rezultati ostalih procjena. Unatoč činjenici da korištene metodologije nisu u potpunosti iste dobiveni rezultati mogu poslužiti za grubu usporedbu, ali i kao dodatni dokaz da je kriterij katastrofalnih posljedica uvelike premašen. </w:t>
      </w:r>
    </w:p>
    <w:p w14:paraId="1FB3DF0A"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Po gruboj procjeni iz Procjene ugroženosti stanovništva, materijalnih i kulturnih dobara i okoliša od katastrofa i velikih nesreća za područje Grada Zagreba potpuno uništenih (nepopravljivih) stanova bit će 63 743 što je 21 % stambenog fonda. Stoga bi za oko 168 000 osoba trebalo rješavati zbrinjavanje do izgradnje zamjenskih zgrada odnosno cijelih novih naselja. Broj djelomično oštećenih ali popravljivih stanova iz kojih će se građani morati privremeno iseliti do njihova popravka je 39 888 što je 13 % stambenog fonda. Stoga bi za daljnjih 103 000 osoba trebalo riješiti privremeni smještaj. </w:t>
      </w:r>
    </w:p>
    <w:p w14:paraId="52803A14"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Prema Procjeni štete na stambenom fondu i broja žrtava mogućeg budućeg potresa u Zagrebu iz 1992. godine procijenjeno je da bi potpuno uništeno bilo oko 2.400 stambenih jedinica, teže oštećenih stambenih jedinica bilo bi oko 39.200, a lakše oštećenih stambenih jedinica oko 38.400. Sumarno se očekivalo uništenje oko 11% stambenog fonda. Tada je za prosječnu veličinu stana od 60m</w:t>
      </w:r>
      <w:r w:rsidRPr="00FF1E38">
        <w:rPr>
          <w:rFonts w:ascii="Times New Roman" w:hAnsi="Times New Roman" w:cs="Times New Roman"/>
          <w:sz w:val="24"/>
          <w:vertAlign w:val="superscript"/>
        </w:rPr>
        <w:t>2</w:t>
      </w:r>
      <w:r w:rsidRPr="00FF1E38">
        <w:rPr>
          <w:rFonts w:ascii="Times New Roman" w:hAnsi="Times New Roman" w:cs="Times New Roman"/>
          <w:sz w:val="24"/>
        </w:rPr>
        <w:t xml:space="preserve"> i cijenu izgradnje od 1.000 DEM/m</w:t>
      </w:r>
      <w:r w:rsidRPr="00FF1E38">
        <w:rPr>
          <w:rFonts w:ascii="Times New Roman" w:hAnsi="Times New Roman" w:cs="Times New Roman"/>
          <w:sz w:val="24"/>
          <w:vertAlign w:val="superscript"/>
        </w:rPr>
        <w:t xml:space="preserve">2 </w:t>
      </w:r>
      <w:r w:rsidRPr="00FF1E38">
        <w:rPr>
          <w:rFonts w:ascii="Times New Roman" w:hAnsi="Times New Roman" w:cs="Times New Roman"/>
          <w:sz w:val="24"/>
        </w:rPr>
        <w:t xml:space="preserve">procijenjena šteta na 1.440.000.000 DEM. U Studiji za saniranje posljedica potresa su napravljene detaljne analize oko 40 zgrada za koje je prema dobivenim rezultatima moguće grubo procijeniti i troškove. Treba istaknuto da su odabrane zgrade vrlo karakteristične (bolnice, škole, tornjevi, starije zidane zgrade i slično), a rezultati su pokazali da se samo za 40 odabranih zgrada očekuje trošak oko 40 milijuna EUR s tim da bi ekstrapolacijom rezultata na iste ili slične građevine trošak bio višestruko veći. Primjerice, samo za zgrade tipa Jugomont JU-60 (limenki) kojih u Zagrebu ima oko 150, procjena troška prelazi 120 milijuna EUR-a. </w:t>
      </w:r>
    </w:p>
    <w:p w14:paraId="1C40FAFE"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Prema prijedlogu projekta Potresni rizik Grada Zagreba (koji je u fazi realizacije od kraja 2021. godine) procijenjeno je da bi bilo uništeno 129.075 ekvivalentnih stanova što uz prosječnu površinu od 70 m</w:t>
      </w:r>
      <w:r w:rsidRPr="00FF1E38">
        <w:rPr>
          <w:rFonts w:ascii="Times New Roman" w:hAnsi="Times New Roman" w:cs="Times New Roman"/>
          <w:sz w:val="24"/>
          <w:vertAlign w:val="superscript"/>
        </w:rPr>
        <w:t>2</w:t>
      </w:r>
      <w:r w:rsidRPr="00FF1E38">
        <w:rPr>
          <w:rFonts w:ascii="Times New Roman" w:hAnsi="Times New Roman" w:cs="Times New Roman"/>
          <w:sz w:val="24"/>
        </w:rPr>
        <w:t>/stan i cijenu građenja od 1000 €/m</w:t>
      </w:r>
      <w:r w:rsidRPr="00FF1E38">
        <w:rPr>
          <w:rFonts w:ascii="Times New Roman" w:hAnsi="Times New Roman" w:cs="Times New Roman"/>
          <w:sz w:val="24"/>
          <w:vertAlign w:val="superscript"/>
        </w:rPr>
        <w:t>2</w:t>
      </w:r>
      <w:r w:rsidRPr="00FF1E38">
        <w:rPr>
          <w:rFonts w:ascii="Times New Roman" w:hAnsi="Times New Roman" w:cs="Times New Roman"/>
          <w:sz w:val="24"/>
        </w:rPr>
        <w:t xml:space="preserve"> daje štetu na stambenom fondu od 9.035.250.000 €. </w:t>
      </w:r>
    </w:p>
    <w:p w14:paraId="03E9A111"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Prema procjeni Svjetske banke gubici temeljeni na događaju povratnog razdoblja od 475 godina iznose 5,2 milijardi eura odnosno 104% bruto nacionalnog dohotka po glavi stanovnika. Bit će oštećeno ukupno 47% višestambenih zgrada i poginut će 9500 ljudi .</w:t>
      </w:r>
    </w:p>
    <w:p w14:paraId="34D4C4E5" w14:textId="77777777" w:rsidR="00FF1E38" w:rsidRPr="00FF1E38" w:rsidRDefault="00FF1E38" w:rsidP="00FF1E38">
      <w:pPr>
        <w:spacing w:after="0" w:line="240" w:lineRule="auto"/>
        <w:ind w:right="0"/>
        <w:rPr>
          <w:rFonts w:ascii="Times New Roman" w:hAnsi="Times New Roman" w:cs="Times New Roman"/>
          <w:sz w:val="24"/>
        </w:rPr>
      </w:pPr>
    </w:p>
    <w:p w14:paraId="6192561D" w14:textId="10758B53" w:rsidR="00FF1E38" w:rsidRPr="005F6A3D" w:rsidRDefault="00FF1E38" w:rsidP="00571A98">
      <w:pPr>
        <w:spacing w:line="240" w:lineRule="auto"/>
        <w:ind w:left="0" w:right="0" w:firstLine="0"/>
        <w:jc w:val="center"/>
        <w:rPr>
          <w:rFonts w:ascii="Times New Roman" w:hAnsi="Times New Roman" w:cs="Times New Roman"/>
          <w:b/>
          <w:color w:val="auto"/>
          <w:sz w:val="24"/>
        </w:rPr>
      </w:pPr>
      <w:r w:rsidRPr="005F6A3D">
        <w:rPr>
          <w:rFonts w:ascii="Times New Roman" w:hAnsi="Times New Roman" w:cs="Times New Roman"/>
          <w:b/>
          <w:color w:val="auto"/>
          <w:sz w:val="24"/>
        </w:rPr>
        <w:t xml:space="preserve">Tablica </w:t>
      </w:r>
      <w:r w:rsidR="005F6A3D" w:rsidRPr="005F6A3D">
        <w:rPr>
          <w:rFonts w:ascii="Times New Roman" w:hAnsi="Times New Roman" w:cs="Times New Roman"/>
          <w:b/>
          <w:color w:val="auto"/>
          <w:sz w:val="24"/>
        </w:rPr>
        <w:t>53</w:t>
      </w:r>
      <w:r w:rsidRPr="005F6A3D">
        <w:rPr>
          <w:rFonts w:ascii="Times New Roman" w:hAnsi="Times New Roman" w:cs="Times New Roman"/>
          <w:b/>
          <w:color w:val="auto"/>
          <w:sz w:val="24"/>
        </w:rPr>
        <w:t xml:space="preserve">. Vrijednost kriterija za posljedice na gospodarstvo po kategorijama </w:t>
      </w:r>
    </w:p>
    <w:tbl>
      <w:tblPr>
        <w:tblStyle w:val="TableGrid1"/>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01"/>
        <w:gridCol w:w="2835"/>
        <w:gridCol w:w="2835"/>
        <w:gridCol w:w="1701"/>
      </w:tblGrid>
      <w:tr w:rsidR="00FF1E38" w:rsidRPr="00FF1E38" w14:paraId="4E26D92A" w14:textId="77777777" w:rsidTr="00DE0C9A">
        <w:trPr>
          <w:cantSplit/>
        </w:trPr>
        <w:tc>
          <w:tcPr>
            <w:tcW w:w="9072" w:type="dxa"/>
            <w:gridSpan w:val="4"/>
            <w:shd w:val="clear" w:color="auto" w:fill="FFC000"/>
            <w:vAlign w:val="center"/>
          </w:tcPr>
          <w:p w14:paraId="45FE76F8"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Gospodarstvo – potres</w:t>
            </w:r>
          </w:p>
        </w:tc>
      </w:tr>
      <w:tr w:rsidR="00FF1E38" w:rsidRPr="00FF1E38" w14:paraId="6DFC0F36" w14:textId="77777777" w:rsidTr="00DE0C9A">
        <w:trPr>
          <w:cantSplit/>
        </w:trPr>
        <w:tc>
          <w:tcPr>
            <w:tcW w:w="1701" w:type="dxa"/>
            <w:shd w:val="clear" w:color="auto" w:fill="FFC000"/>
            <w:vAlign w:val="center"/>
          </w:tcPr>
          <w:p w14:paraId="43660EA1"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Kategorija</w:t>
            </w:r>
          </w:p>
        </w:tc>
        <w:tc>
          <w:tcPr>
            <w:tcW w:w="2835" w:type="dxa"/>
            <w:shd w:val="clear" w:color="auto" w:fill="FFC000"/>
            <w:vAlign w:val="center"/>
          </w:tcPr>
          <w:p w14:paraId="3D4BFF52"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Posljedice</w:t>
            </w:r>
          </w:p>
        </w:tc>
        <w:tc>
          <w:tcPr>
            <w:tcW w:w="2835" w:type="dxa"/>
            <w:shd w:val="clear" w:color="auto" w:fill="FFC000"/>
            <w:vAlign w:val="center"/>
          </w:tcPr>
          <w:p w14:paraId="278EB58C"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Kriteriji (kn)</w:t>
            </w:r>
          </w:p>
        </w:tc>
        <w:tc>
          <w:tcPr>
            <w:tcW w:w="1701" w:type="dxa"/>
            <w:shd w:val="clear" w:color="auto" w:fill="FFC000"/>
            <w:vAlign w:val="center"/>
          </w:tcPr>
          <w:p w14:paraId="28D77DA6"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ODABRANO</w:t>
            </w:r>
          </w:p>
        </w:tc>
      </w:tr>
      <w:tr w:rsidR="00FF1E38" w:rsidRPr="00FF1E38" w14:paraId="55C28F09" w14:textId="77777777" w:rsidTr="00DE0C9A">
        <w:trPr>
          <w:cantSplit/>
        </w:trPr>
        <w:tc>
          <w:tcPr>
            <w:tcW w:w="1701" w:type="dxa"/>
            <w:vAlign w:val="center"/>
          </w:tcPr>
          <w:p w14:paraId="79E07683"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1.</w:t>
            </w:r>
          </w:p>
        </w:tc>
        <w:tc>
          <w:tcPr>
            <w:tcW w:w="2835" w:type="dxa"/>
            <w:vAlign w:val="center"/>
          </w:tcPr>
          <w:p w14:paraId="332F6F02"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Neznatne</w:t>
            </w:r>
          </w:p>
        </w:tc>
        <w:tc>
          <w:tcPr>
            <w:tcW w:w="2835" w:type="dxa"/>
            <w:vAlign w:val="center"/>
          </w:tcPr>
          <w:p w14:paraId="3DC27D76"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75.634.600 - 151.269.100</w:t>
            </w:r>
          </w:p>
        </w:tc>
        <w:tc>
          <w:tcPr>
            <w:tcW w:w="1701" w:type="dxa"/>
            <w:vAlign w:val="center"/>
          </w:tcPr>
          <w:p w14:paraId="6953FA9F"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2F17054E" w14:textId="77777777" w:rsidTr="00DE0C9A">
        <w:trPr>
          <w:cantSplit/>
        </w:trPr>
        <w:tc>
          <w:tcPr>
            <w:tcW w:w="1701" w:type="dxa"/>
            <w:shd w:val="clear" w:color="auto" w:fill="FFC000"/>
            <w:vAlign w:val="center"/>
          </w:tcPr>
          <w:p w14:paraId="23F62DFA"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2.</w:t>
            </w:r>
          </w:p>
        </w:tc>
        <w:tc>
          <w:tcPr>
            <w:tcW w:w="2835" w:type="dxa"/>
            <w:shd w:val="clear" w:color="auto" w:fill="FFC000"/>
            <w:vAlign w:val="center"/>
          </w:tcPr>
          <w:p w14:paraId="364EA444"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Malene</w:t>
            </w:r>
          </w:p>
        </w:tc>
        <w:tc>
          <w:tcPr>
            <w:tcW w:w="2835" w:type="dxa"/>
            <w:shd w:val="clear" w:color="auto" w:fill="FFC000"/>
            <w:vAlign w:val="center"/>
          </w:tcPr>
          <w:p w14:paraId="02009362"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151.269.100 - 756.345.600</w:t>
            </w:r>
          </w:p>
        </w:tc>
        <w:tc>
          <w:tcPr>
            <w:tcW w:w="1701" w:type="dxa"/>
            <w:shd w:val="clear" w:color="auto" w:fill="FFC000"/>
            <w:vAlign w:val="center"/>
          </w:tcPr>
          <w:p w14:paraId="6B22BF6F"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06CD8BEC" w14:textId="77777777" w:rsidTr="00DE0C9A">
        <w:trPr>
          <w:cantSplit/>
        </w:trPr>
        <w:tc>
          <w:tcPr>
            <w:tcW w:w="1701" w:type="dxa"/>
            <w:vAlign w:val="center"/>
          </w:tcPr>
          <w:p w14:paraId="2133552F"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3.</w:t>
            </w:r>
          </w:p>
        </w:tc>
        <w:tc>
          <w:tcPr>
            <w:tcW w:w="2835" w:type="dxa"/>
            <w:vAlign w:val="center"/>
          </w:tcPr>
          <w:p w14:paraId="4957A95E"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Umjerene</w:t>
            </w:r>
          </w:p>
        </w:tc>
        <w:tc>
          <w:tcPr>
            <w:tcW w:w="2835" w:type="dxa"/>
            <w:vAlign w:val="center"/>
          </w:tcPr>
          <w:p w14:paraId="430944F4"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756.345.600 - 2.269.036.800</w:t>
            </w:r>
          </w:p>
        </w:tc>
        <w:tc>
          <w:tcPr>
            <w:tcW w:w="1701" w:type="dxa"/>
            <w:vAlign w:val="center"/>
          </w:tcPr>
          <w:p w14:paraId="55A71B42"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7F53AB9D" w14:textId="77777777" w:rsidTr="00DE0C9A">
        <w:trPr>
          <w:cantSplit/>
        </w:trPr>
        <w:tc>
          <w:tcPr>
            <w:tcW w:w="1701" w:type="dxa"/>
            <w:shd w:val="clear" w:color="auto" w:fill="FFC000"/>
            <w:vAlign w:val="center"/>
          </w:tcPr>
          <w:p w14:paraId="167D8127"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4.</w:t>
            </w:r>
          </w:p>
        </w:tc>
        <w:tc>
          <w:tcPr>
            <w:tcW w:w="2835" w:type="dxa"/>
            <w:shd w:val="clear" w:color="auto" w:fill="FFC000"/>
            <w:vAlign w:val="center"/>
          </w:tcPr>
          <w:p w14:paraId="67D07348"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Znatne</w:t>
            </w:r>
          </w:p>
        </w:tc>
        <w:tc>
          <w:tcPr>
            <w:tcW w:w="2835" w:type="dxa"/>
            <w:shd w:val="clear" w:color="auto" w:fill="FFC000"/>
            <w:vAlign w:val="center"/>
          </w:tcPr>
          <w:p w14:paraId="42E38140"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2.269.036.800 - 3.781.727.900</w:t>
            </w:r>
          </w:p>
        </w:tc>
        <w:tc>
          <w:tcPr>
            <w:tcW w:w="1701" w:type="dxa"/>
            <w:shd w:val="clear" w:color="auto" w:fill="FFC000"/>
            <w:vAlign w:val="center"/>
          </w:tcPr>
          <w:p w14:paraId="2CE243E6"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739893AF" w14:textId="77777777" w:rsidTr="00DE0C9A">
        <w:trPr>
          <w:cantSplit/>
        </w:trPr>
        <w:tc>
          <w:tcPr>
            <w:tcW w:w="1701" w:type="dxa"/>
            <w:vAlign w:val="center"/>
          </w:tcPr>
          <w:p w14:paraId="47EB96CD"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5.</w:t>
            </w:r>
          </w:p>
        </w:tc>
        <w:tc>
          <w:tcPr>
            <w:tcW w:w="2835" w:type="dxa"/>
            <w:vAlign w:val="center"/>
          </w:tcPr>
          <w:p w14:paraId="34051E8D"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Katastrofalne</w:t>
            </w:r>
          </w:p>
        </w:tc>
        <w:tc>
          <w:tcPr>
            <w:tcW w:w="2835" w:type="dxa"/>
            <w:vAlign w:val="center"/>
          </w:tcPr>
          <w:p w14:paraId="4371C62A"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&gt;3.781.727.900</w:t>
            </w:r>
          </w:p>
        </w:tc>
        <w:tc>
          <w:tcPr>
            <w:tcW w:w="1701" w:type="dxa"/>
            <w:vAlign w:val="center"/>
          </w:tcPr>
          <w:p w14:paraId="7ECC02E9"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x</w:t>
            </w:r>
          </w:p>
        </w:tc>
      </w:tr>
    </w:tbl>
    <w:p w14:paraId="3F66A845"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6052371B" w14:textId="77777777" w:rsidR="00FF1E38" w:rsidRP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sz w:val="24"/>
          <w:u w:val="single"/>
        </w:rPr>
        <w:lastRenderedPageBreak/>
        <w:t>Zaključak</w:t>
      </w:r>
    </w:p>
    <w:p w14:paraId="4D18F10E"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Gospodarska šteta promatrano kroz direktne i indirektne gubitke skoro bi se izjednačila sa ukupnim proračunom Grada Zagreba te utjecala na pad BDP-a Hrvatske zbog uništenja postrojenja, pogona i infrastrukture mnogih tvrtki pokretača hrvatskog gospodarstva.</w:t>
      </w:r>
    </w:p>
    <w:p w14:paraId="50E495A7" w14:textId="35B56F3D" w:rsidR="00FF1E38" w:rsidRDefault="00FF1E38" w:rsidP="00FF1E38">
      <w:pPr>
        <w:spacing w:after="0" w:line="240" w:lineRule="auto"/>
        <w:ind w:left="0" w:right="0" w:firstLine="709"/>
        <w:rPr>
          <w:rFonts w:ascii="Times New Roman" w:hAnsi="Times New Roman" w:cs="Times New Roman"/>
          <w:sz w:val="24"/>
        </w:rPr>
      </w:pPr>
    </w:p>
    <w:p w14:paraId="0C79392D" w14:textId="77777777" w:rsidR="00571A98" w:rsidRPr="00FF1E38" w:rsidRDefault="00571A98" w:rsidP="00FF1E38">
      <w:pPr>
        <w:spacing w:after="0" w:line="240" w:lineRule="auto"/>
        <w:ind w:left="0" w:right="0" w:firstLine="709"/>
        <w:rPr>
          <w:rFonts w:ascii="Times New Roman" w:hAnsi="Times New Roman" w:cs="Times New Roman"/>
          <w:sz w:val="24"/>
        </w:rPr>
      </w:pPr>
    </w:p>
    <w:p w14:paraId="6C4E1343" w14:textId="77777777" w:rsidR="00FF1E38" w:rsidRPr="00FF1E38" w:rsidRDefault="00FF1E38" w:rsidP="00FF1E38">
      <w:pPr>
        <w:spacing w:after="0" w:line="240" w:lineRule="auto"/>
        <w:ind w:left="0" w:right="0" w:firstLine="709"/>
        <w:rPr>
          <w:rFonts w:ascii="Times New Roman" w:hAnsi="Times New Roman" w:cs="Times New Roman"/>
          <w:b/>
          <w:i/>
          <w:sz w:val="24"/>
        </w:rPr>
      </w:pPr>
      <w:r w:rsidRPr="00FF1E38">
        <w:rPr>
          <w:rFonts w:ascii="Times New Roman" w:hAnsi="Times New Roman" w:cs="Times New Roman"/>
          <w:b/>
          <w:i/>
          <w:sz w:val="24"/>
        </w:rPr>
        <w:t>6.1.5.1.3. Društvena stabilnost i politika</w:t>
      </w:r>
    </w:p>
    <w:p w14:paraId="0A45EB40"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Posljedice za društvenu stabilnost i politiku iskazuju se u materijalnoj šteti, i to za štetu na kritičnoj infrastrukturi i šteti na ustanovama/građevinama od javnog društvenog značaja. S obzirom na to da posljedice na ustanovama/građevinama od javnog i društvenog značaja mogu biti znatne, vrlo je bitno nakon potresa uspostaviti neometano funkcioniranje administracije te odgovornih institucija. Budući da se zgrade Sabora i Vlade RH nalaze u potresno neotpornim zgradama, vrlo je izgledno da će se srušiti nakon razornog potresa. Ako se on dogodi tijekom sjednica, moguća je i kriza vlasti. Sva kritična infrastruktura i sve ustanove/građevine izravno su ugrožene od potresa.</w:t>
      </w:r>
    </w:p>
    <w:p w14:paraId="375EBE1B" w14:textId="77777777" w:rsidR="00FF1E38" w:rsidRPr="00FF1E38" w:rsidRDefault="00FF1E38" w:rsidP="00FF1E38">
      <w:pPr>
        <w:spacing w:after="0" w:line="240" w:lineRule="auto"/>
        <w:ind w:left="0" w:right="0" w:firstLine="709"/>
        <w:rPr>
          <w:rFonts w:ascii="Times New Roman" w:hAnsi="Times New Roman" w:cs="Times New Roman"/>
          <w:sz w:val="24"/>
        </w:rPr>
      </w:pPr>
    </w:p>
    <w:p w14:paraId="48AFF311" w14:textId="77777777" w:rsidR="00FF1E38" w:rsidRPr="00FF1E38" w:rsidRDefault="00FF1E38" w:rsidP="00FF1E38">
      <w:pPr>
        <w:spacing w:after="0" w:line="240" w:lineRule="auto"/>
        <w:ind w:left="0" w:right="0" w:firstLine="709"/>
        <w:jc w:val="left"/>
        <w:rPr>
          <w:rFonts w:ascii="Times New Roman" w:hAnsi="Times New Roman" w:cs="Times New Roman"/>
          <w:i/>
          <w:sz w:val="24"/>
        </w:rPr>
      </w:pPr>
      <w:r w:rsidRPr="00FF1E38">
        <w:rPr>
          <w:rFonts w:ascii="Times New Roman" w:hAnsi="Times New Roman" w:cs="Times New Roman"/>
          <w:i/>
          <w:sz w:val="24"/>
          <w:u w:val="single" w:color="000000"/>
        </w:rPr>
        <w:t>Posljedice po proizvodnju i distribuciju električne energije</w:t>
      </w:r>
    </w:p>
    <w:p w14:paraId="210CA42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slučaju potresa od IXº po MCS ljestvici, objekti (transformatorske stanice, dalekovodi) pretrpjeli bi oštećenja. Prekid opskrbe električnom energijom na području Grada Zagreba može biti uzrokovan rušenjem transformatorskih stanica Tumbri i Žerjavinec, ili oštećenja dalekovoda i objekata proizvodne infrastrukture od najvećeg značenja za normalno funkcioniranje elektroenergetskog sustava - termoelektrana TE-TO i EL-TO. U slučaju pucanja transformatora može doći do istjecanja transformatorskog ulja u sabirne posude koje se nalaze ispod transformatora. Ukopane su u zemlju te je opasnost od pucanja tankvana i sabirnih posuda minimalna, a samim time i od istjecanja transformatorskog ulja i zagađenja okoliša.</w:t>
      </w:r>
    </w:p>
    <w:p w14:paraId="7D031362" w14:textId="77777777" w:rsidR="00FF1E38" w:rsidRPr="00FF1E38" w:rsidRDefault="00FF1E38" w:rsidP="00FF1E38">
      <w:pPr>
        <w:spacing w:after="0" w:line="240" w:lineRule="auto"/>
        <w:ind w:left="0" w:right="0" w:firstLine="709"/>
        <w:jc w:val="left"/>
        <w:rPr>
          <w:rFonts w:ascii="Times New Roman" w:hAnsi="Times New Roman" w:cs="Times New Roman"/>
          <w:i/>
          <w:sz w:val="24"/>
        </w:rPr>
      </w:pPr>
      <w:r w:rsidRPr="00FF1E38">
        <w:rPr>
          <w:rFonts w:ascii="Times New Roman" w:hAnsi="Times New Roman" w:cs="Times New Roman"/>
          <w:i/>
          <w:sz w:val="24"/>
          <w:u w:val="single" w:color="000000"/>
        </w:rPr>
        <w:t>Posljedice po plinoopskrbni sustav</w:t>
      </w:r>
    </w:p>
    <w:p w14:paraId="7A0B89EA"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Moguće je oštećenje magistralnih plinovoda na području Grada što bi moglo uzrokovati eksplozije i požare, posebno u Gradskoj četvrti Donji grad gdje se očekuju znatnija oštećenja na zgradama.</w:t>
      </w:r>
    </w:p>
    <w:p w14:paraId="27B6C4D4" w14:textId="77777777" w:rsidR="00FF1E38" w:rsidRPr="00FF1E38" w:rsidRDefault="00FF1E38" w:rsidP="00FF1E38">
      <w:pPr>
        <w:spacing w:after="0" w:line="240" w:lineRule="auto"/>
        <w:ind w:left="0" w:right="0" w:firstLine="709"/>
        <w:jc w:val="left"/>
        <w:rPr>
          <w:rFonts w:ascii="Times New Roman" w:hAnsi="Times New Roman" w:cs="Times New Roman"/>
          <w:i/>
          <w:sz w:val="24"/>
        </w:rPr>
      </w:pPr>
      <w:r w:rsidRPr="00FF1E38">
        <w:rPr>
          <w:rFonts w:ascii="Times New Roman" w:hAnsi="Times New Roman" w:cs="Times New Roman"/>
          <w:i/>
          <w:sz w:val="24"/>
          <w:u w:val="single" w:color="000000"/>
        </w:rPr>
        <w:t>Posljedice po opskrbu vodom i odvodnju</w:t>
      </w:r>
    </w:p>
    <w:p w14:paraId="29A9C55F"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slučaju razornog potresa došlo bi do pucanja cjevovoda i vodosprema što bi uzrokovalo prekid opskrbe pitkom vodom na cijelom području Grada. Postoji mogućnost stvaranja novih bazena s vodom. Postoji mogućnost oštećenja ili rušenja vodosprema. Snažni potres mogao bi prouzročiti i oštećenje sustava odvodnje. Očekivane posljedice su prekid redovitog funkcioniranja te poremećaji u funkcioniranju, moguće izlijevanje otpadnih voda te potapanje podruma. Krajnja posljedica može biti ugrožavanje zdravlja stanovništva. Procjenjuje se da bi potres nanio znatna oštećenja na vodovodnoj mreži i kanalizacijskom sustavu u starim gradskim dijelovima (Gornji grad - Medveščak, Črnomerec, Podsused - Vrapče i Donji grad). Uz 5 vodocrpilišta, 8 vodosprema, dvije precrpne stanice, izrazito su ugroženi magistralni cjevovodi koji prolaze ispod zagrebačkih mostova koji mogu biti srušeni ili oštećeni u razornom potresu. Pucanje cjevovoda, prekidi vodovodne infrastrukture mogu znatno i na više dana ugroziti opskrbu pitkom vodom, a u hladnom zimskom razdoblju sa snijegom i osjetno produžiti vrijeme za popravak.</w:t>
      </w:r>
    </w:p>
    <w:p w14:paraId="71058482" w14:textId="77777777" w:rsidR="00FF1E38" w:rsidRPr="00FF1E38" w:rsidRDefault="00FF1E38" w:rsidP="00FF1E38">
      <w:pPr>
        <w:spacing w:after="0" w:line="240" w:lineRule="auto"/>
        <w:ind w:left="0" w:right="0" w:firstLine="709"/>
        <w:jc w:val="left"/>
        <w:rPr>
          <w:rFonts w:ascii="Times New Roman" w:hAnsi="Times New Roman" w:cs="Times New Roman"/>
          <w:sz w:val="24"/>
        </w:rPr>
      </w:pPr>
      <w:r w:rsidRPr="00FF1E38">
        <w:rPr>
          <w:rFonts w:ascii="Times New Roman" w:hAnsi="Times New Roman" w:cs="Times New Roman"/>
          <w:i/>
          <w:sz w:val="24"/>
          <w:u w:val="single" w:color="000000"/>
        </w:rPr>
        <w:t>Posljedice po objekte javnog zdravstva</w:t>
      </w:r>
    </w:p>
    <w:p w14:paraId="7BB95580"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Potres na području Grada Zagreba imao bi velike posljedice i zahtjeve prema sustavu javnog zdravstva, kako u pogledu primarnih (zbrinjavanje ranjenih, traumatiziranih) tako i sekundarnih potreba (sprječavanje zaraza i epidemija). Ako bi došlo do urušavanja ambulanti i bolnica, bilo bi prijeko potrebno njihovo premještanje s ljudstvom i sredstvima na nove lokacije (planiranje poljskih bolnica). S obzirom na lošu prometnu povezanost i starost zgrada u kojima su smještene bolnice (visok rizik od urušavanja), pružanje zdravstvenih usluga stanovništvu bit </w:t>
      </w:r>
      <w:r w:rsidRPr="00FF1E38">
        <w:rPr>
          <w:rFonts w:ascii="Times New Roman" w:hAnsi="Times New Roman" w:cs="Times New Roman"/>
          <w:sz w:val="24"/>
        </w:rPr>
        <w:lastRenderedPageBreak/>
        <w:t>će otežano ili potpuno prekinuto bez vanjske pomoći. Znatna pomoć bila bi potrebna iz okolnih urbanih centara ili ako su i oni obuhvaćeni potresom, iz udaljenijih dijelova države.</w:t>
      </w:r>
    </w:p>
    <w:p w14:paraId="10120D75" w14:textId="77777777" w:rsidR="00FF1E38" w:rsidRPr="00FF1E38" w:rsidRDefault="00FF1E38" w:rsidP="00FF1E38">
      <w:pPr>
        <w:spacing w:after="0" w:line="240" w:lineRule="auto"/>
        <w:ind w:left="0" w:right="0" w:firstLine="709"/>
        <w:rPr>
          <w:rFonts w:ascii="Times New Roman" w:hAnsi="Times New Roman" w:cs="Times New Roman"/>
          <w:i/>
          <w:sz w:val="24"/>
        </w:rPr>
      </w:pPr>
      <w:r w:rsidRPr="00FF1E38">
        <w:rPr>
          <w:rFonts w:ascii="Times New Roman" w:hAnsi="Times New Roman" w:cs="Times New Roman"/>
          <w:i/>
          <w:sz w:val="24"/>
          <w:u w:val="single" w:color="000000"/>
        </w:rPr>
        <w:t>Posljedice po proizvodnju, skladištenje, preradu, rukovanje, prijevoz, skupljanje i druge</w:t>
      </w:r>
      <w:r w:rsidRPr="00FF1E38">
        <w:rPr>
          <w:rFonts w:ascii="Times New Roman" w:hAnsi="Times New Roman" w:cs="Times New Roman"/>
          <w:i/>
          <w:sz w:val="24"/>
        </w:rPr>
        <w:t xml:space="preserve"> </w:t>
      </w:r>
      <w:r w:rsidRPr="00FF1E38">
        <w:rPr>
          <w:rFonts w:ascii="Times New Roman" w:hAnsi="Times New Roman" w:cs="Times New Roman"/>
          <w:i/>
          <w:sz w:val="24"/>
          <w:u w:val="single" w:color="000000"/>
        </w:rPr>
        <w:t>radnje s opasnim tvarima</w:t>
      </w:r>
    </w:p>
    <w:p w14:paraId="1F9B0205"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Zbog potresa od IXº po MCS ljestvici može doći do nekontroliranog ispuštanja opasnih tvari u zrak, vodu i zemlju. Posebno je ugrožen istočni dio Grada Zagreba odnosno područje Gradske četvrti Peščenica - Žitnjak jer se u njoj nalazi nekoliko velikih industrijskih objekata u kojima se skladište i prerađuju opasne tvari. Malo je izgledno rušenje tih objekata zbog protupotresne gradnje, ali iznenadne situacije/akcidenti nisu isključeni. Spremišta opasnih tvari trebala bi biti projektirana za predmetnu seizmičku zonu te time otporna na potrese tako da ne postoje štetne posljedice.</w:t>
      </w:r>
    </w:p>
    <w:p w14:paraId="18A93C5B" w14:textId="77777777" w:rsidR="00FF1E38" w:rsidRPr="00FF1E38" w:rsidRDefault="00FF1E38" w:rsidP="00FF1E38">
      <w:pPr>
        <w:spacing w:after="0" w:line="240" w:lineRule="auto"/>
        <w:ind w:left="0" w:right="0" w:firstLine="709"/>
        <w:rPr>
          <w:rFonts w:ascii="Times New Roman" w:hAnsi="Times New Roman" w:cs="Times New Roman"/>
          <w:i/>
          <w:sz w:val="24"/>
        </w:rPr>
      </w:pPr>
      <w:r w:rsidRPr="00FF1E38">
        <w:rPr>
          <w:rFonts w:ascii="Times New Roman" w:hAnsi="Times New Roman" w:cs="Times New Roman"/>
          <w:i/>
          <w:sz w:val="24"/>
          <w:u w:val="single" w:color="000000"/>
        </w:rPr>
        <w:t>Posljedice po prehrambeni sektor</w:t>
      </w:r>
    </w:p>
    <w:p w14:paraId="2F7D2DE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slučaju potresa može doći do oštećenja ili urušavanja objekata u kojima se nalaze trgovine prehrambenim namirnicama. Moguće su brojne sekundarne posljedice u proizvodnji (nedostatak potrebne radne snage za proizvodnju, skladištenje, obradu, preradu i distribuciju, apatija i nemotiviranost stanovništva zbog gubitaka bližnjih, materijalnih šteta i neizvjesne budućnosti i slično). Bit će potrebno aktivirati državne robne zalihe.</w:t>
      </w:r>
    </w:p>
    <w:p w14:paraId="70579FC8" w14:textId="77777777" w:rsidR="00FF1E38" w:rsidRPr="00FF1E38" w:rsidRDefault="00FF1E38" w:rsidP="00FF1E38">
      <w:pPr>
        <w:spacing w:after="0" w:line="240" w:lineRule="auto"/>
        <w:ind w:left="0" w:right="0" w:firstLine="709"/>
        <w:rPr>
          <w:rFonts w:ascii="Times New Roman" w:hAnsi="Times New Roman" w:cs="Times New Roman"/>
          <w:i/>
          <w:sz w:val="24"/>
        </w:rPr>
      </w:pPr>
      <w:r w:rsidRPr="00FF1E38">
        <w:rPr>
          <w:rFonts w:ascii="Times New Roman" w:hAnsi="Times New Roman" w:cs="Times New Roman"/>
          <w:i/>
          <w:sz w:val="24"/>
          <w:u w:val="single" w:color="000000"/>
        </w:rPr>
        <w:t>Posljedice po telekomunikacijski sustav</w:t>
      </w:r>
    </w:p>
    <w:p w14:paraId="6C99AED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Štetne posljedice mogu nastupiti u slučaju potresa u kojem bi došlo do rušenja centrala, baznih stanica, repetitora i poštanskih objekata. Štetne posljedice manifestirale bi se kao određena materijalna šteta i prekid komunikacije na području Grada. Na baznim stanicama mobilnih operatera koje su izgrađene na krovovima objekata mogu se očekivati znatnija oštećenja koja će ovisiti o načinu gradnje objekata na kojima se one nalaze i kvaliteti građevnog materijala. Zbog potresa može prestati rad fiksne telefonske mreže (rušenje infrastrukture i preopterećenost pozivima), TV odašiljača i nestanak TV i radio signala. Rušenjem poštanskih ureda dolazi do prestanka distribucije poštanskih pošiljki te prestanka rada centrale.</w:t>
      </w:r>
    </w:p>
    <w:p w14:paraId="5ED48F2B" w14:textId="77777777" w:rsidR="00FF1E38" w:rsidRPr="00FF1E38" w:rsidRDefault="00FF1E38" w:rsidP="00FF1E38">
      <w:pPr>
        <w:spacing w:after="0" w:line="240" w:lineRule="auto"/>
        <w:ind w:left="0" w:right="0" w:firstLine="709"/>
        <w:jc w:val="left"/>
        <w:rPr>
          <w:rFonts w:ascii="Times New Roman" w:hAnsi="Times New Roman" w:cs="Times New Roman"/>
          <w:i/>
          <w:sz w:val="24"/>
        </w:rPr>
      </w:pPr>
      <w:r w:rsidRPr="00FF1E38">
        <w:rPr>
          <w:rFonts w:ascii="Times New Roman" w:hAnsi="Times New Roman" w:cs="Times New Roman"/>
          <w:i/>
          <w:sz w:val="24"/>
          <w:u w:val="single" w:color="000000"/>
        </w:rPr>
        <w:t>Posljedice po prometni sustav</w:t>
      </w:r>
    </w:p>
    <w:p w14:paraId="1B855F95"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slučaju potresa od IXº po MCS ljestvici moglo bi doći do mjestimičnih pukotina u cestama što bi u konačnici moglo ugroziti prohodnost određenih cestovnih pravaca. Potres očekivanog intenziteta uzrokuje i veće dilatacije tla te lomove potporne infrastrukture ceste. Moguće je aktiviranje i klizišta u podsljemenskoj zoni pa je moguć prekid prometovanja na važnim prometnicama poput Aleje grada Bologne zbog odrona. Predviđeni intenzitet potresa će oštetiti mostove (a neke i srušiti) pa je za sigurno korištenje potrebno utvrditi njihovo stanje i pronaći alternativne načine povezivanja dviju obala rijeke Save u gradskom području (pontonski mostovi). Ugroženi su i nadvožnjaci i podvožnjaci na važnim gradskim čvorištima. Posebno rizično je u strogom centru grada (Gornji grad) zbog uskih ulica koje će biti zakrčene srušenim objektima. Posljedice su izolacija područja centra grada, prekid u distribuciji hrane i lijekova, otežan dolazak snaga zaštite i spašavanja zbog zakrčenih ulica. Očekuje se oštećenje i željezničke infrastrukture.</w:t>
      </w:r>
    </w:p>
    <w:p w14:paraId="66B08D60" w14:textId="77777777" w:rsidR="00FF1E38" w:rsidRPr="00FF1E38" w:rsidRDefault="00FF1E38" w:rsidP="00FF1E38">
      <w:pPr>
        <w:spacing w:after="0" w:line="240" w:lineRule="auto"/>
        <w:ind w:left="0" w:right="0" w:firstLine="709"/>
        <w:jc w:val="left"/>
        <w:rPr>
          <w:rFonts w:ascii="Times New Roman" w:hAnsi="Times New Roman" w:cs="Times New Roman"/>
          <w:i/>
          <w:sz w:val="24"/>
        </w:rPr>
      </w:pPr>
      <w:r w:rsidRPr="00FF1E38">
        <w:rPr>
          <w:rFonts w:ascii="Times New Roman" w:hAnsi="Times New Roman" w:cs="Times New Roman"/>
          <w:i/>
          <w:sz w:val="24"/>
          <w:u w:val="single" w:color="000000"/>
        </w:rPr>
        <w:t>Posljedice po financijsku infrastrukturu</w:t>
      </w:r>
    </w:p>
    <w:p w14:paraId="1E2C8933"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Dio poslovnog prostora banaka i Hrvatske pošte mogao bi biti oštećen za redovno poslovanje, a mogući prekidi modemskih veza bankomata ili oštećenja prometnica (onemogućena nadopuna bankomata) reducirali bi financijske usluge. Očekuje se oštećenje dijela zgrada banaka te Hrvatske narodne banke što može prouzročiti prekid rada određenih institucija.</w:t>
      </w:r>
    </w:p>
    <w:p w14:paraId="2D981D87" w14:textId="77777777" w:rsidR="00FF1E38" w:rsidRPr="00FF1E38" w:rsidRDefault="00FF1E38" w:rsidP="00FF1E38">
      <w:pPr>
        <w:spacing w:after="0" w:line="240" w:lineRule="auto"/>
        <w:ind w:left="0" w:right="0" w:firstLine="709"/>
        <w:jc w:val="left"/>
        <w:rPr>
          <w:rFonts w:ascii="Times New Roman" w:hAnsi="Times New Roman" w:cs="Times New Roman"/>
          <w:i/>
          <w:sz w:val="24"/>
        </w:rPr>
      </w:pPr>
      <w:r w:rsidRPr="00FF1E38">
        <w:rPr>
          <w:rFonts w:ascii="Times New Roman" w:hAnsi="Times New Roman" w:cs="Times New Roman"/>
          <w:i/>
          <w:sz w:val="24"/>
          <w:u w:val="single" w:color="000000"/>
        </w:rPr>
        <w:t>Posljedice po kulturna dobra, nacionalne spomenike i vrijednosti</w:t>
      </w:r>
    </w:p>
    <w:p w14:paraId="3FB1A021"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U slučaju potresa od IXº po MSC pojedini objekti kao što su sakralni objekti, kurije, povijesne građevine i tradicionalne kuće pretrpjeli bi određena oštećenja - rušenje, pucanje prozorskih stakala, oštećenja krovišta. Budući da su zaštićeni objekti obično gradnjom </w:t>
      </w:r>
      <w:r w:rsidRPr="00FF1E38">
        <w:rPr>
          <w:rFonts w:ascii="Times New Roman" w:hAnsi="Times New Roman" w:cs="Times New Roman"/>
          <w:sz w:val="24"/>
        </w:rPr>
        <w:lastRenderedPageBreak/>
        <w:t>najstariji, izgledno je rušenje glavnine zaštićenih spomenika i vrijednosti (neki od njih imaju i izrazito funkcionalno značenje poput zgrada Sabora i Vlade RH).</w:t>
      </w:r>
    </w:p>
    <w:p w14:paraId="1C58F4E5"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Očito je da se glavnina zgrada državnih institucija nalazi u staroj gradskoj jezgri, odnosno najugroženijem dijelu grada. Prema dobivenom postotku oštećenih zgrada, unutar tog dijela grada, može se zaključiti da će većina zgrada biti vrlo teško oštećena što će na duže vrijeme ugroziti funkcioniranje države. Procjenjuje se da će potresno djelovanje u Gradu Zagrebu imati katastrofalne posljedice za Grad, ali i Republiku Hrvatsku. Nakon potresa posebno važno je neprekinuto funkcioniranje administracije, spremnost odgovornih institucija i sustava informiranja što će s obzirom na procijenjene posljedice biti teško ostvarivo.  </w:t>
      </w:r>
    </w:p>
    <w:p w14:paraId="1BB7C60B"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Analize pojedinačnih elemenata kritične infrastrukture su napravljene u Studiji za saniranje posljedica potresa pri čemu su analizirane zgrade poput zgrade javne vatrogasne postrojbe, Hrvatskog narodnog kazališta, gradske uprave, Most Slobode, bolnica Sv. Duh i KBC-a Sestre Milosrdnice i slično. Analize navedenih zgrada su pokazale da se za većinu očekuje značajno oštećenje, a može se istaknuti da samo šteta na bolnicama (uključujući opremu) i školama može premašiti zadane kriterije.  </w:t>
      </w:r>
    </w:p>
    <w:p w14:paraId="74354718" w14:textId="77777777" w:rsidR="00FF1E38" w:rsidRPr="00FF1E38" w:rsidRDefault="00FF1E38" w:rsidP="00FF1E38">
      <w:pPr>
        <w:spacing w:after="0" w:line="240" w:lineRule="auto"/>
        <w:ind w:left="0" w:right="0" w:firstLine="709"/>
        <w:rPr>
          <w:rFonts w:ascii="Times New Roman" w:hAnsi="Times New Roman" w:cs="Times New Roman"/>
          <w:sz w:val="24"/>
        </w:rPr>
      </w:pPr>
    </w:p>
    <w:p w14:paraId="3AF55F47" w14:textId="6E0CACD3" w:rsidR="00FF1E38" w:rsidRPr="00FF1E38" w:rsidRDefault="00FF1E38" w:rsidP="00571A98">
      <w:pPr>
        <w:spacing w:line="240" w:lineRule="auto"/>
        <w:ind w:left="0" w:right="0" w:firstLine="0"/>
        <w:jc w:val="center"/>
        <w:rPr>
          <w:rFonts w:ascii="Times New Roman" w:hAnsi="Times New Roman" w:cs="Times New Roman"/>
          <w:b/>
          <w:sz w:val="24"/>
        </w:rPr>
      </w:pPr>
      <w:r w:rsidRPr="005F6A3D">
        <w:rPr>
          <w:rFonts w:ascii="Times New Roman" w:hAnsi="Times New Roman" w:cs="Times New Roman"/>
          <w:b/>
          <w:color w:val="auto"/>
          <w:sz w:val="24"/>
        </w:rPr>
        <w:t xml:space="preserve">Tablica </w:t>
      </w:r>
      <w:r w:rsidR="005F6A3D" w:rsidRPr="005F6A3D">
        <w:rPr>
          <w:rFonts w:ascii="Times New Roman" w:hAnsi="Times New Roman" w:cs="Times New Roman"/>
          <w:b/>
          <w:color w:val="auto"/>
          <w:sz w:val="24"/>
        </w:rPr>
        <w:t>54</w:t>
      </w:r>
      <w:r w:rsidRPr="005F6A3D">
        <w:rPr>
          <w:rFonts w:ascii="Times New Roman" w:hAnsi="Times New Roman" w:cs="Times New Roman"/>
          <w:b/>
          <w:color w:val="auto"/>
          <w:sz w:val="24"/>
        </w:rPr>
        <w:t xml:space="preserve">. Vrijednost kriterija za posljedice na društvenu stabilnost i politiku - </w:t>
      </w:r>
      <w:r w:rsidRPr="00FF1E38">
        <w:rPr>
          <w:rFonts w:ascii="Times New Roman" w:hAnsi="Times New Roman" w:cs="Times New Roman"/>
          <w:b/>
          <w:sz w:val="24"/>
        </w:rPr>
        <w:t>oštećena kritična infrastruktura</w:t>
      </w:r>
    </w:p>
    <w:tbl>
      <w:tblPr>
        <w:tblStyle w:val="TableGrid1"/>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60" w:type="dxa"/>
        </w:tblCellMar>
        <w:tblLook w:val="04A0" w:firstRow="1" w:lastRow="0" w:firstColumn="1" w:lastColumn="0" w:noHBand="0" w:noVBand="1"/>
      </w:tblPr>
      <w:tblGrid>
        <w:gridCol w:w="1700"/>
        <w:gridCol w:w="2690"/>
        <w:gridCol w:w="3118"/>
        <w:gridCol w:w="1564"/>
      </w:tblGrid>
      <w:tr w:rsidR="00FF1E38" w:rsidRPr="00FF1E38" w14:paraId="3F4E77D2" w14:textId="77777777" w:rsidTr="00DE0C9A">
        <w:trPr>
          <w:cantSplit/>
          <w:tblHeader/>
        </w:trPr>
        <w:tc>
          <w:tcPr>
            <w:tcW w:w="9072" w:type="dxa"/>
            <w:gridSpan w:val="4"/>
            <w:shd w:val="clear" w:color="auto" w:fill="FFC000"/>
            <w:vAlign w:val="center"/>
          </w:tcPr>
          <w:p w14:paraId="7254EE7F"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Oštećena kritična infrastruktura – potres</w:t>
            </w:r>
          </w:p>
        </w:tc>
      </w:tr>
      <w:tr w:rsidR="00FF1E38" w:rsidRPr="00FF1E38" w14:paraId="7932F2A1" w14:textId="77777777" w:rsidTr="00DE0C9A">
        <w:trPr>
          <w:cantSplit/>
          <w:tblHeader/>
        </w:trPr>
        <w:tc>
          <w:tcPr>
            <w:tcW w:w="1700" w:type="dxa"/>
            <w:shd w:val="clear" w:color="auto" w:fill="FFC000"/>
            <w:vAlign w:val="center"/>
          </w:tcPr>
          <w:p w14:paraId="40578C87"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Kategorija</w:t>
            </w:r>
          </w:p>
        </w:tc>
        <w:tc>
          <w:tcPr>
            <w:tcW w:w="2690" w:type="dxa"/>
            <w:shd w:val="clear" w:color="auto" w:fill="FFC000"/>
            <w:vAlign w:val="center"/>
          </w:tcPr>
          <w:p w14:paraId="79B6FDB1"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Posljedice</w:t>
            </w:r>
          </w:p>
        </w:tc>
        <w:tc>
          <w:tcPr>
            <w:tcW w:w="3118" w:type="dxa"/>
            <w:shd w:val="clear" w:color="auto" w:fill="FFC000"/>
            <w:vAlign w:val="center"/>
          </w:tcPr>
          <w:p w14:paraId="7C2F69A8"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Kriteriji (kn)</w:t>
            </w:r>
          </w:p>
        </w:tc>
        <w:tc>
          <w:tcPr>
            <w:tcW w:w="1564" w:type="dxa"/>
            <w:shd w:val="clear" w:color="auto" w:fill="FFC000"/>
            <w:vAlign w:val="center"/>
          </w:tcPr>
          <w:p w14:paraId="41F543B3"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ODABRANO</w:t>
            </w:r>
          </w:p>
        </w:tc>
      </w:tr>
      <w:tr w:rsidR="00FF1E38" w:rsidRPr="00FF1E38" w14:paraId="7B71750B" w14:textId="77777777" w:rsidTr="00DE0C9A">
        <w:trPr>
          <w:cantSplit/>
        </w:trPr>
        <w:tc>
          <w:tcPr>
            <w:tcW w:w="1700" w:type="dxa"/>
            <w:vAlign w:val="center"/>
          </w:tcPr>
          <w:p w14:paraId="32930B11"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1.</w:t>
            </w:r>
          </w:p>
        </w:tc>
        <w:tc>
          <w:tcPr>
            <w:tcW w:w="2690" w:type="dxa"/>
            <w:vAlign w:val="center"/>
          </w:tcPr>
          <w:p w14:paraId="4E1C5953"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Neznatne</w:t>
            </w:r>
          </w:p>
        </w:tc>
        <w:tc>
          <w:tcPr>
            <w:tcW w:w="3118" w:type="dxa"/>
            <w:vAlign w:val="center"/>
          </w:tcPr>
          <w:p w14:paraId="309BB04D"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75.634.600 - 151.269.100</w:t>
            </w:r>
          </w:p>
        </w:tc>
        <w:tc>
          <w:tcPr>
            <w:tcW w:w="1564" w:type="dxa"/>
            <w:vAlign w:val="center"/>
          </w:tcPr>
          <w:p w14:paraId="5FC74A12"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4835F3AE" w14:textId="77777777" w:rsidTr="00DE0C9A">
        <w:trPr>
          <w:cantSplit/>
        </w:trPr>
        <w:tc>
          <w:tcPr>
            <w:tcW w:w="1700" w:type="dxa"/>
            <w:shd w:val="clear" w:color="auto" w:fill="FFC000"/>
            <w:vAlign w:val="center"/>
          </w:tcPr>
          <w:p w14:paraId="4AA42566"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2.</w:t>
            </w:r>
          </w:p>
        </w:tc>
        <w:tc>
          <w:tcPr>
            <w:tcW w:w="2690" w:type="dxa"/>
            <w:shd w:val="clear" w:color="auto" w:fill="FFC000"/>
            <w:vAlign w:val="center"/>
          </w:tcPr>
          <w:p w14:paraId="163BA461"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Malene</w:t>
            </w:r>
          </w:p>
        </w:tc>
        <w:tc>
          <w:tcPr>
            <w:tcW w:w="3118" w:type="dxa"/>
            <w:shd w:val="clear" w:color="auto" w:fill="FFC000"/>
            <w:vAlign w:val="center"/>
          </w:tcPr>
          <w:p w14:paraId="091DED6A"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151.269.100 - 756.345.600</w:t>
            </w:r>
          </w:p>
        </w:tc>
        <w:tc>
          <w:tcPr>
            <w:tcW w:w="1564" w:type="dxa"/>
            <w:shd w:val="clear" w:color="auto" w:fill="FFC000"/>
            <w:vAlign w:val="center"/>
          </w:tcPr>
          <w:p w14:paraId="5C29BC9E"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43BE7AF7" w14:textId="77777777" w:rsidTr="00DE0C9A">
        <w:trPr>
          <w:cantSplit/>
        </w:trPr>
        <w:tc>
          <w:tcPr>
            <w:tcW w:w="1700" w:type="dxa"/>
            <w:vAlign w:val="center"/>
          </w:tcPr>
          <w:p w14:paraId="58D244D5"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3.</w:t>
            </w:r>
          </w:p>
        </w:tc>
        <w:tc>
          <w:tcPr>
            <w:tcW w:w="2690" w:type="dxa"/>
            <w:vAlign w:val="center"/>
          </w:tcPr>
          <w:p w14:paraId="15A78B6E"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Umjerene</w:t>
            </w:r>
          </w:p>
        </w:tc>
        <w:tc>
          <w:tcPr>
            <w:tcW w:w="3118" w:type="dxa"/>
            <w:vAlign w:val="center"/>
          </w:tcPr>
          <w:p w14:paraId="579CAB97"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756.345.600 - 2.269.036.800</w:t>
            </w:r>
          </w:p>
        </w:tc>
        <w:tc>
          <w:tcPr>
            <w:tcW w:w="1564" w:type="dxa"/>
            <w:vAlign w:val="center"/>
          </w:tcPr>
          <w:p w14:paraId="306F9546"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5591CB68" w14:textId="77777777" w:rsidTr="00DE0C9A">
        <w:trPr>
          <w:cantSplit/>
        </w:trPr>
        <w:tc>
          <w:tcPr>
            <w:tcW w:w="1700" w:type="dxa"/>
            <w:shd w:val="clear" w:color="auto" w:fill="FFC000"/>
            <w:vAlign w:val="center"/>
          </w:tcPr>
          <w:p w14:paraId="7D803C14"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4.</w:t>
            </w:r>
          </w:p>
        </w:tc>
        <w:tc>
          <w:tcPr>
            <w:tcW w:w="2690" w:type="dxa"/>
            <w:shd w:val="clear" w:color="auto" w:fill="FFC000"/>
            <w:vAlign w:val="center"/>
          </w:tcPr>
          <w:p w14:paraId="3B8DD01D"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Znatne</w:t>
            </w:r>
          </w:p>
        </w:tc>
        <w:tc>
          <w:tcPr>
            <w:tcW w:w="3118" w:type="dxa"/>
            <w:shd w:val="clear" w:color="auto" w:fill="FFC000"/>
            <w:vAlign w:val="center"/>
          </w:tcPr>
          <w:p w14:paraId="4A75C452"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2.269.036.800 - 3.781.727.900</w:t>
            </w:r>
          </w:p>
        </w:tc>
        <w:tc>
          <w:tcPr>
            <w:tcW w:w="1564" w:type="dxa"/>
            <w:shd w:val="clear" w:color="auto" w:fill="FFC000"/>
            <w:vAlign w:val="center"/>
          </w:tcPr>
          <w:p w14:paraId="22F96B30"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7C2C4F47" w14:textId="77777777" w:rsidTr="00DE0C9A">
        <w:trPr>
          <w:cantSplit/>
        </w:trPr>
        <w:tc>
          <w:tcPr>
            <w:tcW w:w="1700" w:type="dxa"/>
            <w:vAlign w:val="center"/>
          </w:tcPr>
          <w:p w14:paraId="55352CBF"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5.</w:t>
            </w:r>
          </w:p>
        </w:tc>
        <w:tc>
          <w:tcPr>
            <w:tcW w:w="2690" w:type="dxa"/>
            <w:vAlign w:val="center"/>
          </w:tcPr>
          <w:p w14:paraId="74027EAA"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Katastrofalne</w:t>
            </w:r>
          </w:p>
        </w:tc>
        <w:tc>
          <w:tcPr>
            <w:tcW w:w="3118" w:type="dxa"/>
            <w:vAlign w:val="center"/>
          </w:tcPr>
          <w:p w14:paraId="1EC23373"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&gt;3.781.727.900</w:t>
            </w:r>
          </w:p>
        </w:tc>
        <w:tc>
          <w:tcPr>
            <w:tcW w:w="1564" w:type="dxa"/>
            <w:vAlign w:val="center"/>
          </w:tcPr>
          <w:p w14:paraId="1B3C87A4"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x</w:t>
            </w:r>
          </w:p>
        </w:tc>
      </w:tr>
    </w:tbl>
    <w:p w14:paraId="4AEA598B"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1B7A01FD" w14:textId="5FE6793E" w:rsidR="00FF1E38" w:rsidRPr="00FF1E38" w:rsidRDefault="00FF1E38" w:rsidP="00571A98">
      <w:pPr>
        <w:spacing w:line="240" w:lineRule="auto"/>
        <w:ind w:left="0" w:right="0" w:firstLine="0"/>
        <w:jc w:val="center"/>
        <w:rPr>
          <w:rFonts w:ascii="Times New Roman" w:hAnsi="Times New Roman" w:cs="Times New Roman"/>
          <w:b/>
          <w:sz w:val="24"/>
        </w:rPr>
      </w:pPr>
      <w:r w:rsidRPr="005F6A3D">
        <w:rPr>
          <w:rFonts w:ascii="Times New Roman" w:hAnsi="Times New Roman" w:cs="Times New Roman"/>
          <w:b/>
          <w:color w:val="auto"/>
          <w:sz w:val="24"/>
        </w:rPr>
        <w:t xml:space="preserve">Tablica </w:t>
      </w:r>
      <w:r w:rsidR="005F6A3D" w:rsidRPr="005F6A3D">
        <w:rPr>
          <w:rFonts w:ascii="Times New Roman" w:hAnsi="Times New Roman" w:cs="Times New Roman"/>
          <w:b/>
          <w:color w:val="auto"/>
          <w:sz w:val="24"/>
        </w:rPr>
        <w:t>55</w:t>
      </w:r>
      <w:r w:rsidRPr="005F6A3D">
        <w:rPr>
          <w:rFonts w:ascii="Times New Roman" w:hAnsi="Times New Roman" w:cs="Times New Roman"/>
          <w:b/>
          <w:color w:val="auto"/>
          <w:sz w:val="24"/>
        </w:rPr>
        <w:t xml:space="preserve">. Vrijednost kriterija za posljedice na društvenu stabilnost i politiku - </w:t>
      </w:r>
      <w:r w:rsidRPr="00FF1E38">
        <w:rPr>
          <w:rFonts w:ascii="Times New Roman" w:hAnsi="Times New Roman" w:cs="Times New Roman"/>
          <w:b/>
          <w:sz w:val="24"/>
        </w:rPr>
        <w:t xml:space="preserve">štete/gubitci na ustanovama/građevinama javnog društvenog značaja </w:t>
      </w:r>
    </w:p>
    <w:tbl>
      <w:tblPr>
        <w:tblStyle w:val="TableGrid1"/>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60" w:type="dxa"/>
        </w:tblCellMar>
        <w:tblLook w:val="04A0" w:firstRow="1" w:lastRow="0" w:firstColumn="1" w:lastColumn="0" w:noHBand="0" w:noVBand="1"/>
      </w:tblPr>
      <w:tblGrid>
        <w:gridCol w:w="1700"/>
        <w:gridCol w:w="2690"/>
        <w:gridCol w:w="3118"/>
        <w:gridCol w:w="1564"/>
      </w:tblGrid>
      <w:tr w:rsidR="00FF1E38" w:rsidRPr="00FF1E38" w14:paraId="674E375D" w14:textId="77777777" w:rsidTr="00DE0C9A">
        <w:trPr>
          <w:cantSplit/>
          <w:tblHeader/>
        </w:trPr>
        <w:tc>
          <w:tcPr>
            <w:tcW w:w="9072" w:type="dxa"/>
            <w:gridSpan w:val="4"/>
            <w:shd w:val="clear" w:color="auto" w:fill="FFC000"/>
            <w:vAlign w:val="center"/>
          </w:tcPr>
          <w:p w14:paraId="32AB0E3E"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Štete/gubitci na građevinama od javnog društvenog značaja – potres</w:t>
            </w:r>
          </w:p>
        </w:tc>
      </w:tr>
      <w:tr w:rsidR="00FF1E38" w:rsidRPr="00FF1E38" w14:paraId="6BDFD4EB" w14:textId="77777777" w:rsidTr="00DE0C9A">
        <w:trPr>
          <w:cantSplit/>
          <w:tblHeader/>
        </w:trPr>
        <w:tc>
          <w:tcPr>
            <w:tcW w:w="1700" w:type="dxa"/>
            <w:shd w:val="clear" w:color="auto" w:fill="FFC000"/>
            <w:vAlign w:val="center"/>
          </w:tcPr>
          <w:p w14:paraId="3EAED8A1"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Kategorija</w:t>
            </w:r>
          </w:p>
        </w:tc>
        <w:tc>
          <w:tcPr>
            <w:tcW w:w="2690" w:type="dxa"/>
            <w:shd w:val="clear" w:color="auto" w:fill="FFC000"/>
            <w:vAlign w:val="center"/>
          </w:tcPr>
          <w:p w14:paraId="54B97D44"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Posljedice</w:t>
            </w:r>
          </w:p>
        </w:tc>
        <w:tc>
          <w:tcPr>
            <w:tcW w:w="3118" w:type="dxa"/>
            <w:shd w:val="clear" w:color="auto" w:fill="FFC000"/>
            <w:vAlign w:val="center"/>
          </w:tcPr>
          <w:p w14:paraId="6B077F4E"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Kriteriji (kn)</w:t>
            </w:r>
          </w:p>
        </w:tc>
        <w:tc>
          <w:tcPr>
            <w:tcW w:w="1564" w:type="dxa"/>
            <w:shd w:val="clear" w:color="auto" w:fill="FFC000"/>
            <w:vAlign w:val="center"/>
          </w:tcPr>
          <w:p w14:paraId="19ABB8DE"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ODABRANO</w:t>
            </w:r>
          </w:p>
        </w:tc>
      </w:tr>
      <w:tr w:rsidR="00FF1E38" w:rsidRPr="00FF1E38" w14:paraId="4E507D0C" w14:textId="77777777" w:rsidTr="00DE0C9A">
        <w:trPr>
          <w:cantSplit/>
        </w:trPr>
        <w:tc>
          <w:tcPr>
            <w:tcW w:w="1700" w:type="dxa"/>
            <w:vAlign w:val="center"/>
          </w:tcPr>
          <w:p w14:paraId="04F82506"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1.</w:t>
            </w:r>
          </w:p>
        </w:tc>
        <w:tc>
          <w:tcPr>
            <w:tcW w:w="2690" w:type="dxa"/>
            <w:vAlign w:val="center"/>
          </w:tcPr>
          <w:p w14:paraId="3EB10F27"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Neznatne</w:t>
            </w:r>
          </w:p>
        </w:tc>
        <w:tc>
          <w:tcPr>
            <w:tcW w:w="3118" w:type="dxa"/>
            <w:vAlign w:val="center"/>
          </w:tcPr>
          <w:p w14:paraId="299F18F2"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75.634.600 - 151.269.100</w:t>
            </w:r>
          </w:p>
        </w:tc>
        <w:tc>
          <w:tcPr>
            <w:tcW w:w="1564" w:type="dxa"/>
            <w:vAlign w:val="center"/>
          </w:tcPr>
          <w:p w14:paraId="578CC438"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0045E02B" w14:textId="77777777" w:rsidTr="00DE0C9A">
        <w:trPr>
          <w:cantSplit/>
        </w:trPr>
        <w:tc>
          <w:tcPr>
            <w:tcW w:w="1700" w:type="dxa"/>
            <w:shd w:val="clear" w:color="auto" w:fill="FFC000"/>
            <w:vAlign w:val="center"/>
          </w:tcPr>
          <w:p w14:paraId="00DA13FF"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2.</w:t>
            </w:r>
          </w:p>
        </w:tc>
        <w:tc>
          <w:tcPr>
            <w:tcW w:w="2690" w:type="dxa"/>
            <w:shd w:val="clear" w:color="auto" w:fill="FFC000"/>
            <w:vAlign w:val="center"/>
          </w:tcPr>
          <w:p w14:paraId="493DE0EC"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Malene</w:t>
            </w:r>
          </w:p>
        </w:tc>
        <w:tc>
          <w:tcPr>
            <w:tcW w:w="3118" w:type="dxa"/>
            <w:shd w:val="clear" w:color="auto" w:fill="FFC000"/>
            <w:vAlign w:val="center"/>
          </w:tcPr>
          <w:p w14:paraId="65EA9BEB"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151.269.100 - 756.345.600</w:t>
            </w:r>
          </w:p>
        </w:tc>
        <w:tc>
          <w:tcPr>
            <w:tcW w:w="1564" w:type="dxa"/>
            <w:shd w:val="clear" w:color="auto" w:fill="FFC000"/>
            <w:vAlign w:val="center"/>
          </w:tcPr>
          <w:p w14:paraId="746C7809"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19A78724" w14:textId="77777777" w:rsidTr="00DE0C9A">
        <w:trPr>
          <w:cantSplit/>
        </w:trPr>
        <w:tc>
          <w:tcPr>
            <w:tcW w:w="1700" w:type="dxa"/>
            <w:vAlign w:val="center"/>
          </w:tcPr>
          <w:p w14:paraId="13B57E82"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3.</w:t>
            </w:r>
          </w:p>
        </w:tc>
        <w:tc>
          <w:tcPr>
            <w:tcW w:w="2690" w:type="dxa"/>
            <w:vAlign w:val="center"/>
          </w:tcPr>
          <w:p w14:paraId="34C2ED23"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Umjerene</w:t>
            </w:r>
          </w:p>
        </w:tc>
        <w:tc>
          <w:tcPr>
            <w:tcW w:w="3118" w:type="dxa"/>
            <w:vAlign w:val="center"/>
          </w:tcPr>
          <w:p w14:paraId="35102A7E"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756.345.600 - 2.269.036.800</w:t>
            </w:r>
          </w:p>
        </w:tc>
        <w:tc>
          <w:tcPr>
            <w:tcW w:w="1564" w:type="dxa"/>
            <w:vAlign w:val="center"/>
          </w:tcPr>
          <w:p w14:paraId="483AFA77"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54CED617" w14:textId="77777777" w:rsidTr="00DE0C9A">
        <w:trPr>
          <w:cantSplit/>
        </w:trPr>
        <w:tc>
          <w:tcPr>
            <w:tcW w:w="1700" w:type="dxa"/>
            <w:shd w:val="clear" w:color="auto" w:fill="FFC000"/>
            <w:vAlign w:val="center"/>
          </w:tcPr>
          <w:p w14:paraId="4AF836BC"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4.</w:t>
            </w:r>
          </w:p>
        </w:tc>
        <w:tc>
          <w:tcPr>
            <w:tcW w:w="2690" w:type="dxa"/>
            <w:shd w:val="clear" w:color="auto" w:fill="FFC000"/>
            <w:vAlign w:val="center"/>
          </w:tcPr>
          <w:p w14:paraId="2F58AF27"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Znatne</w:t>
            </w:r>
          </w:p>
        </w:tc>
        <w:tc>
          <w:tcPr>
            <w:tcW w:w="3118" w:type="dxa"/>
            <w:shd w:val="clear" w:color="auto" w:fill="FFC000"/>
            <w:vAlign w:val="center"/>
          </w:tcPr>
          <w:p w14:paraId="7844315F"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2.269.036.800 - 3.781.727.900</w:t>
            </w:r>
          </w:p>
        </w:tc>
        <w:tc>
          <w:tcPr>
            <w:tcW w:w="1564" w:type="dxa"/>
            <w:shd w:val="clear" w:color="auto" w:fill="FFC000"/>
            <w:vAlign w:val="center"/>
          </w:tcPr>
          <w:p w14:paraId="6B271148"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506B5216" w14:textId="77777777" w:rsidTr="00DE0C9A">
        <w:trPr>
          <w:cantSplit/>
        </w:trPr>
        <w:tc>
          <w:tcPr>
            <w:tcW w:w="1700" w:type="dxa"/>
            <w:vAlign w:val="center"/>
          </w:tcPr>
          <w:p w14:paraId="1DF80F97"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5.</w:t>
            </w:r>
          </w:p>
        </w:tc>
        <w:tc>
          <w:tcPr>
            <w:tcW w:w="2690" w:type="dxa"/>
            <w:vAlign w:val="center"/>
          </w:tcPr>
          <w:p w14:paraId="507AE886"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Katastrofalne</w:t>
            </w:r>
          </w:p>
        </w:tc>
        <w:tc>
          <w:tcPr>
            <w:tcW w:w="3118" w:type="dxa"/>
            <w:vAlign w:val="center"/>
          </w:tcPr>
          <w:p w14:paraId="16374043"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&gt;3.781.727.900</w:t>
            </w:r>
          </w:p>
        </w:tc>
        <w:tc>
          <w:tcPr>
            <w:tcW w:w="1564" w:type="dxa"/>
            <w:vAlign w:val="center"/>
          </w:tcPr>
          <w:p w14:paraId="60A90D2D"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x</w:t>
            </w:r>
          </w:p>
        </w:tc>
      </w:tr>
    </w:tbl>
    <w:p w14:paraId="4038EE8F"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6324B23F" w14:textId="4D6890C1" w:rsidR="00FF1E38" w:rsidRPr="005F6A3D" w:rsidRDefault="00FF1E38" w:rsidP="00571A98">
      <w:pPr>
        <w:spacing w:line="240" w:lineRule="auto"/>
        <w:ind w:left="0" w:right="0" w:firstLine="0"/>
        <w:jc w:val="center"/>
        <w:rPr>
          <w:rFonts w:ascii="Times New Roman" w:hAnsi="Times New Roman" w:cs="Times New Roman"/>
          <w:b/>
          <w:color w:val="auto"/>
          <w:sz w:val="24"/>
        </w:rPr>
      </w:pPr>
      <w:r w:rsidRPr="005F6A3D">
        <w:rPr>
          <w:rFonts w:ascii="Times New Roman" w:hAnsi="Times New Roman" w:cs="Times New Roman"/>
          <w:b/>
          <w:color w:val="auto"/>
          <w:sz w:val="24"/>
        </w:rPr>
        <w:t xml:space="preserve">Tablica </w:t>
      </w:r>
      <w:r w:rsidR="005F6A3D" w:rsidRPr="005F6A3D">
        <w:rPr>
          <w:rFonts w:ascii="Times New Roman" w:hAnsi="Times New Roman" w:cs="Times New Roman"/>
          <w:b/>
          <w:color w:val="auto"/>
          <w:sz w:val="24"/>
        </w:rPr>
        <w:t>56</w:t>
      </w:r>
      <w:r w:rsidRPr="005F6A3D">
        <w:rPr>
          <w:rFonts w:ascii="Times New Roman" w:hAnsi="Times New Roman" w:cs="Times New Roman"/>
          <w:b/>
          <w:color w:val="auto"/>
          <w:sz w:val="24"/>
        </w:rPr>
        <w:t xml:space="preserve">. Vrijednost kriterija za društvenu stabilnost i politiku - zbirno </w:t>
      </w:r>
    </w:p>
    <w:tbl>
      <w:tblPr>
        <w:tblStyle w:val="TableGrid1"/>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01"/>
        <w:gridCol w:w="2835"/>
        <w:gridCol w:w="2835"/>
        <w:gridCol w:w="1701"/>
      </w:tblGrid>
      <w:tr w:rsidR="00FF1E38" w:rsidRPr="00FF1E38" w14:paraId="3F86918F" w14:textId="77777777" w:rsidTr="00DE0C9A">
        <w:trPr>
          <w:cantSplit/>
          <w:tblHeader/>
        </w:trPr>
        <w:tc>
          <w:tcPr>
            <w:tcW w:w="1701" w:type="dxa"/>
            <w:shd w:val="clear" w:color="auto" w:fill="FFC000"/>
            <w:vAlign w:val="center"/>
          </w:tcPr>
          <w:p w14:paraId="11D713F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POSLJEDICE</w:t>
            </w:r>
          </w:p>
        </w:tc>
        <w:tc>
          <w:tcPr>
            <w:tcW w:w="2835" w:type="dxa"/>
            <w:shd w:val="clear" w:color="auto" w:fill="FFC000"/>
            <w:vAlign w:val="center"/>
          </w:tcPr>
          <w:p w14:paraId="0325FF5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KRITIČNA INFRASTRUKTURA</w:t>
            </w:r>
          </w:p>
        </w:tc>
        <w:tc>
          <w:tcPr>
            <w:tcW w:w="2835" w:type="dxa"/>
            <w:shd w:val="clear" w:color="auto" w:fill="FFC000"/>
            <w:vAlign w:val="center"/>
          </w:tcPr>
          <w:p w14:paraId="63C08151" w14:textId="77777777" w:rsidR="00FF1E38" w:rsidRPr="00FF1E38" w:rsidRDefault="00FF1E38" w:rsidP="00FF1E38">
            <w:pPr>
              <w:spacing w:after="0" w:line="240" w:lineRule="auto"/>
              <w:ind w:left="0" w:right="0" w:firstLine="0"/>
              <w:jc w:val="center"/>
              <w:rPr>
                <w:rFonts w:ascii="Times New Roman" w:hAnsi="Times New Roman" w:cs="Times New Roman"/>
                <w:b/>
              </w:rPr>
            </w:pPr>
            <w:r w:rsidRPr="00FF1E38">
              <w:rPr>
                <w:rFonts w:ascii="Times New Roman" w:hAnsi="Times New Roman" w:cs="Times New Roman"/>
                <w:b/>
              </w:rPr>
              <w:t>USTANOVE/GRAĐEVINE</w:t>
            </w:r>
          </w:p>
          <w:p w14:paraId="6B2DF7C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JAVNOG DRUŠTVENOG ZNAČAJA</w:t>
            </w:r>
          </w:p>
        </w:tc>
        <w:tc>
          <w:tcPr>
            <w:tcW w:w="1701" w:type="dxa"/>
            <w:shd w:val="clear" w:color="auto" w:fill="FFC000"/>
            <w:vAlign w:val="center"/>
          </w:tcPr>
          <w:p w14:paraId="5D87D86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ODABRANO</w:t>
            </w:r>
          </w:p>
        </w:tc>
      </w:tr>
      <w:tr w:rsidR="00FF1E38" w:rsidRPr="00FF1E38" w14:paraId="3976E703" w14:textId="77777777" w:rsidTr="00DE0C9A">
        <w:trPr>
          <w:cantSplit/>
        </w:trPr>
        <w:tc>
          <w:tcPr>
            <w:tcW w:w="1701" w:type="dxa"/>
            <w:vAlign w:val="center"/>
          </w:tcPr>
          <w:p w14:paraId="288AEB2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Neznatne</w:t>
            </w:r>
          </w:p>
        </w:tc>
        <w:tc>
          <w:tcPr>
            <w:tcW w:w="2835" w:type="dxa"/>
            <w:vAlign w:val="center"/>
          </w:tcPr>
          <w:p w14:paraId="746AEBB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835" w:type="dxa"/>
            <w:vAlign w:val="center"/>
          </w:tcPr>
          <w:p w14:paraId="44E2859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01" w:type="dxa"/>
            <w:vAlign w:val="center"/>
          </w:tcPr>
          <w:p w14:paraId="412B6964"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7FBBC221" w14:textId="77777777" w:rsidTr="00DE0C9A">
        <w:trPr>
          <w:cantSplit/>
        </w:trPr>
        <w:tc>
          <w:tcPr>
            <w:tcW w:w="1701" w:type="dxa"/>
            <w:shd w:val="clear" w:color="auto" w:fill="FFC000"/>
            <w:vAlign w:val="center"/>
          </w:tcPr>
          <w:p w14:paraId="2189351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Malene</w:t>
            </w:r>
          </w:p>
        </w:tc>
        <w:tc>
          <w:tcPr>
            <w:tcW w:w="2835" w:type="dxa"/>
            <w:shd w:val="clear" w:color="auto" w:fill="FFC000"/>
            <w:vAlign w:val="center"/>
          </w:tcPr>
          <w:p w14:paraId="27C63C0D"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835" w:type="dxa"/>
            <w:shd w:val="clear" w:color="auto" w:fill="FFC000"/>
            <w:vAlign w:val="center"/>
          </w:tcPr>
          <w:p w14:paraId="7AFA74E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01" w:type="dxa"/>
            <w:shd w:val="clear" w:color="auto" w:fill="FFC000"/>
            <w:vAlign w:val="center"/>
          </w:tcPr>
          <w:p w14:paraId="75635B8A"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27274735" w14:textId="77777777" w:rsidTr="00DE0C9A">
        <w:trPr>
          <w:cantSplit/>
        </w:trPr>
        <w:tc>
          <w:tcPr>
            <w:tcW w:w="1701" w:type="dxa"/>
            <w:vAlign w:val="center"/>
          </w:tcPr>
          <w:p w14:paraId="611355B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Umjerene</w:t>
            </w:r>
          </w:p>
        </w:tc>
        <w:tc>
          <w:tcPr>
            <w:tcW w:w="2835" w:type="dxa"/>
            <w:vAlign w:val="center"/>
          </w:tcPr>
          <w:p w14:paraId="3DCC0C59"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835" w:type="dxa"/>
            <w:vAlign w:val="center"/>
          </w:tcPr>
          <w:p w14:paraId="5802750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01" w:type="dxa"/>
            <w:vAlign w:val="center"/>
          </w:tcPr>
          <w:p w14:paraId="71500D9D"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637B87C6" w14:textId="77777777" w:rsidTr="00DE0C9A">
        <w:trPr>
          <w:cantSplit/>
        </w:trPr>
        <w:tc>
          <w:tcPr>
            <w:tcW w:w="1701" w:type="dxa"/>
            <w:shd w:val="clear" w:color="auto" w:fill="FFC000"/>
            <w:vAlign w:val="center"/>
          </w:tcPr>
          <w:p w14:paraId="28E389C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Znatne</w:t>
            </w:r>
          </w:p>
        </w:tc>
        <w:tc>
          <w:tcPr>
            <w:tcW w:w="2835" w:type="dxa"/>
            <w:shd w:val="clear" w:color="auto" w:fill="FFC000"/>
            <w:vAlign w:val="center"/>
          </w:tcPr>
          <w:p w14:paraId="3C2A7D9A"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835" w:type="dxa"/>
            <w:shd w:val="clear" w:color="auto" w:fill="FFC000"/>
            <w:vAlign w:val="center"/>
          </w:tcPr>
          <w:p w14:paraId="452147A6"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01" w:type="dxa"/>
            <w:shd w:val="clear" w:color="auto" w:fill="FFC000"/>
            <w:vAlign w:val="center"/>
          </w:tcPr>
          <w:p w14:paraId="28C688D1"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2A95E06E" w14:textId="77777777" w:rsidTr="00DE0C9A">
        <w:trPr>
          <w:cantSplit/>
        </w:trPr>
        <w:tc>
          <w:tcPr>
            <w:tcW w:w="1701" w:type="dxa"/>
            <w:vAlign w:val="center"/>
          </w:tcPr>
          <w:p w14:paraId="1514AC9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Katastrofalne</w:t>
            </w:r>
          </w:p>
        </w:tc>
        <w:tc>
          <w:tcPr>
            <w:tcW w:w="2835" w:type="dxa"/>
            <w:vAlign w:val="center"/>
          </w:tcPr>
          <w:p w14:paraId="552D174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c>
          <w:tcPr>
            <w:tcW w:w="2835" w:type="dxa"/>
            <w:vAlign w:val="center"/>
          </w:tcPr>
          <w:p w14:paraId="3DE21DF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c>
          <w:tcPr>
            <w:tcW w:w="1701" w:type="dxa"/>
            <w:vAlign w:val="center"/>
          </w:tcPr>
          <w:p w14:paraId="26A532A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r>
    </w:tbl>
    <w:p w14:paraId="52CF9DAC"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2484730A" w14:textId="77777777" w:rsidR="00FF1E38" w:rsidRP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sz w:val="24"/>
          <w:u w:val="single"/>
        </w:rPr>
        <w:t>Zaključak</w:t>
      </w:r>
    </w:p>
    <w:p w14:paraId="083E0F5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lastRenderedPageBreak/>
        <w:t>Unatoč nedostatku podataka i gruboj procjeni svi pokazatelji govore o velikoj ugroženosti velikog dijela postojećeg fonda građevina. Očekuje se velik utjecaj razornog potresa na društvenu stabilnost i politiku jer je Grad Zagreb politički centar Republike Hrvatske, a ugrožene su mnoge građevine sjedišta političkih institucija od interesa za čitavo područje Republike Hrvatske (Vlada, Sabor, ministarstva i sl.).</w:t>
      </w:r>
    </w:p>
    <w:p w14:paraId="4FDE683F"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Jednako tako, posljedice po kritičnu infrastrukturu su izrazito izražene jer razoran potres dovodi do oštećenja ili potpunog uništenja kako objekata kritične infrastrukture, tako i pripadajućih vodova i postrojenja. Izgledan je nestanak električne energije, ispad telekomunikacija, istjecanje plina i posljedično nastanak eksplozija i požara na mnogim lokacijama u gradu, otežana vodoopskrba, nefunkcioniranje ili djelomično funkcioniranje hitnih službi u gradu, kolaps sustava javnog zdravstva i prekid prometa odnosno nastanak prometne izoliranosti mnogih gradskih područja.</w:t>
      </w:r>
    </w:p>
    <w:p w14:paraId="22522037" w14:textId="77777777" w:rsidR="00FF1E38" w:rsidRPr="00FF1E38" w:rsidRDefault="00FF1E38" w:rsidP="00FF1E38">
      <w:pPr>
        <w:spacing w:after="0" w:line="240" w:lineRule="auto"/>
        <w:ind w:left="0" w:right="0" w:firstLine="709"/>
        <w:rPr>
          <w:rFonts w:ascii="Times New Roman" w:hAnsi="Times New Roman" w:cs="Times New Roman"/>
          <w:sz w:val="24"/>
        </w:rPr>
      </w:pPr>
    </w:p>
    <w:p w14:paraId="43AAA3F7" w14:textId="77777777" w:rsidR="00FF1E38" w:rsidRPr="00FF1E38" w:rsidRDefault="00FF1E38" w:rsidP="00E87BEB">
      <w:pPr>
        <w:spacing w:after="160" w:line="259" w:lineRule="auto"/>
        <w:ind w:left="0" w:right="0" w:firstLine="709"/>
        <w:jc w:val="left"/>
        <w:rPr>
          <w:rFonts w:ascii="Times New Roman" w:hAnsi="Times New Roman" w:cs="Times New Roman"/>
          <w:i/>
          <w:sz w:val="24"/>
          <w:u w:val="single" w:color="000000"/>
        </w:rPr>
      </w:pPr>
      <w:r w:rsidRPr="00FF1E38">
        <w:rPr>
          <w:rFonts w:ascii="Times New Roman" w:hAnsi="Times New Roman" w:cs="Times New Roman"/>
          <w:i/>
          <w:sz w:val="24"/>
          <w:u w:val="single" w:color="000000"/>
        </w:rPr>
        <w:t>Vjerojatnost događaja</w:t>
      </w:r>
    </w:p>
    <w:p w14:paraId="0461073C"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Za mogućnost potresa na području Grada Zagreba s obzirom na dosadašnje pokazatelje može se procijeniti vjerojatnost: kategorija 1 iznimno mala.</w:t>
      </w:r>
    </w:p>
    <w:p w14:paraId="195F4DBC" w14:textId="77777777" w:rsidR="00FF1E38" w:rsidRPr="00FF1E38" w:rsidRDefault="00FF1E38" w:rsidP="00FF1E38">
      <w:pPr>
        <w:spacing w:after="0" w:line="240" w:lineRule="auto"/>
        <w:ind w:right="0"/>
        <w:rPr>
          <w:rFonts w:ascii="Times New Roman" w:hAnsi="Times New Roman" w:cs="Times New Roman"/>
          <w:sz w:val="24"/>
        </w:rPr>
      </w:pPr>
    </w:p>
    <w:p w14:paraId="7835DCF7" w14:textId="4F5E04B4" w:rsidR="00FF1E38" w:rsidRPr="005F6A3D" w:rsidRDefault="00FF1E38" w:rsidP="00571A98">
      <w:pPr>
        <w:spacing w:line="240" w:lineRule="auto"/>
        <w:ind w:left="0" w:right="0" w:firstLine="0"/>
        <w:jc w:val="center"/>
        <w:rPr>
          <w:rFonts w:ascii="Times New Roman" w:hAnsi="Times New Roman" w:cs="Times New Roman"/>
          <w:b/>
          <w:color w:val="auto"/>
          <w:sz w:val="24"/>
        </w:rPr>
      </w:pPr>
      <w:r w:rsidRPr="005F6A3D">
        <w:rPr>
          <w:rFonts w:ascii="Times New Roman" w:hAnsi="Times New Roman" w:cs="Times New Roman"/>
          <w:b/>
          <w:color w:val="auto"/>
          <w:sz w:val="24"/>
        </w:rPr>
        <w:t xml:space="preserve">Tablica </w:t>
      </w:r>
      <w:r w:rsidR="005F6A3D" w:rsidRPr="005F6A3D">
        <w:rPr>
          <w:rFonts w:ascii="Times New Roman" w:hAnsi="Times New Roman" w:cs="Times New Roman"/>
          <w:b/>
          <w:color w:val="auto"/>
          <w:sz w:val="24"/>
        </w:rPr>
        <w:t>57</w:t>
      </w:r>
      <w:r w:rsidRPr="005F6A3D">
        <w:rPr>
          <w:rFonts w:ascii="Times New Roman" w:hAnsi="Times New Roman" w:cs="Times New Roman"/>
          <w:b/>
          <w:color w:val="auto"/>
          <w:sz w:val="24"/>
        </w:rPr>
        <w:t>. Vjerojatnost/frekvencija</w:t>
      </w:r>
    </w:p>
    <w:tbl>
      <w:tblPr>
        <w:tblStyle w:val="TableGrid1"/>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271"/>
        <w:gridCol w:w="1524"/>
        <w:gridCol w:w="1344"/>
        <w:gridCol w:w="3471"/>
        <w:gridCol w:w="1462"/>
      </w:tblGrid>
      <w:tr w:rsidR="00FF1E38" w:rsidRPr="00FF1E38" w14:paraId="2BF24F8D" w14:textId="77777777" w:rsidTr="00DE0C9A">
        <w:trPr>
          <w:cantSplit/>
        </w:trPr>
        <w:tc>
          <w:tcPr>
            <w:tcW w:w="1271" w:type="dxa"/>
            <w:vMerge w:val="restart"/>
            <w:shd w:val="clear" w:color="auto" w:fill="FFC000"/>
            <w:vAlign w:val="center"/>
          </w:tcPr>
          <w:p w14:paraId="456AEE5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Kategorija</w:t>
            </w:r>
          </w:p>
        </w:tc>
        <w:tc>
          <w:tcPr>
            <w:tcW w:w="1524" w:type="dxa"/>
            <w:tcBorders>
              <w:right w:val="nil"/>
            </w:tcBorders>
            <w:shd w:val="clear" w:color="auto" w:fill="FFC000"/>
            <w:vAlign w:val="center"/>
          </w:tcPr>
          <w:p w14:paraId="3247185D"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4815" w:type="dxa"/>
            <w:gridSpan w:val="2"/>
            <w:tcBorders>
              <w:left w:val="nil"/>
              <w:right w:val="nil"/>
            </w:tcBorders>
            <w:shd w:val="clear" w:color="auto" w:fill="FFC000"/>
            <w:vAlign w:val="center"/>
          </w:tcPr>
          <w:p w14:paraId="6C7E729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VJEROJATNOST/FREKVENCIJA</w:t>
            </w:r>
          </w:p>
        </w:tc>
        <w:tc>
          <w:tcPr>
            <w:tcW w:w="1462" w:type="dxa"/>
            <w:tcBorders>
              <w:left w:val="nil"/>
            </w:tcBorders>
            <w:shd w:val="clear" w:color="auto" w:fill="FFC000"/>
            <w:vAlign w:val="center"/>
          </w:tcPr>
          <w:p w14:paraId="49FDE2CB"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31BD9CD7" w14:textId="77777777" w:rsidTr="00DE0C9A">
        <w:trPr>
          <w:cantSplit/>
        </w:trPr>
        <w:tc>
          <w:tcPr>
            <w:tcW w:w="1271" w:type="dxa"/>
            <w:vMerge/>
            <w:vAlign w:val="center"/>
          </w:tcPr>
          <w:p w14:paraId="09E2AAD8"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524" w:type="dxa"/>
            <w:shd w:val="clear" w:color="auto" w:fill="FFC000"/>
            <w:vAlign w:val="center"/>
          </w:tcPr>
          <w:p w14:paraId="57C0D30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Kvalitativno</w:t>
            </w:r>
          </w:p>
        </w:tc>
        <w:tc>
          <w:tcPr>
            <w:tcW w:w="1344" w:type="dxa"/>
            <w:shd w:val="clear" w:color="auto" w:fill="FFC000"/>
            <w:vAlign w:val="center"/>
          </w:tcPr>
          <w:p w14:paraId="1B6D3E2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Vjerojatnost</w:t>
            </w:r>
          </w:p>
        </w:tc>
        <w:tc>
          <w:tcPr>
            <w:tcW w:w="3471" w:type="dxa"/>
            <w:shd w:val="clear" w:color="auto" w:fill="FFC000"/>
            <w:vAlign w:val="center"/>
          </w:tcPr>
          <w:p w14:paraId="48F5A93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Frekvencija</w:t>
            </w:r>
          </w:p>
        </w:tc>
        <w:tc>
          <w:tcPr>
            <w:tcW w:w="1462" w:type="dxa"/>
            <w:shd w:val="clear" w:color="auto" w:fill="FFC000"/>
            <w:vAlign w:val="center"/>
          </w:tcPr>
          <w:p w14:paraId="1368ACE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ODABRANO</w:t>
            </w:r>
          </w:p>
        </w:tc>
      </w:tr>
      <w:tr w:rsidR="00FF1E38" w:rsidRPr="00FF1E38" w14:paraId="6330C305" w14:textId="77777777" w:rsidTr="00DE0C9A">
        <w:trPr>
          <w:cantSplit/>
        </w:trPr>
        <w:tc>
          <w:tcPr>
            <w:tcW w:w="1271" w:type="dxa"/>
            <w:vAlign w:val="center"/>
          </w:tcPr>
          <w:p w14:paraId="5236C12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w:t>
            </w:r>
          </w:p>
        </w:tc>
        <w:tc>
          <w:tcPr>
            <w:tcW w:w="1524" w:type="dxa"/>
            <w:vAlign w:val="center"/>
          </w:tcPr>
          <w:p w14:paraId="199D590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Iznimno mala</w:t>
            </w:r>
          </w:p>
        </w:tc>
        <w:tc>
          <w:tcPr>
            <w:tcW w:w="1344" w:type="dxa"/>
            <w:vAlign w:val="center"/>
          </w:tcPr>
          <w:p w14:paraId="446D232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&lt;1 %</w:t>
            </w:r>
          </w:p>
        </w:tc>
        <w:tc>
          <w:tcPr>
            <w:tcW w:w="3471" w:type="dxa"/>
            <w:vAlign w:val="center"/>
          </w:tcPr>
          <w:p w14:paraId="29EB7A0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u 100 godina i rjeđe</w:t>
            </w:r>
          </w:p>
        </w:tc>
        <w:tc>
          <w:tcPr>
            <w:tcW w:w="1462" w:type="dxa"/>
            <w:vAlign w:val="center"/>
          </w:tcPr>
          <w:p w14:paraId="49B5EC2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r>
      <w:tr w:rsidR="00FF1E38" w:rsidRPr="00FF1E38" w14:paraId="1D1985F9" w14:textId="77777777" w:rsidTr="00DE0C9A">
        <w:trPr>
          <w:cantSplit/>
        </w:trPr>
        <w:tc>
          <w:tcPr>
            <w:tcW w:w="1271" w:type="dxa"/>
            <w:shd w:val="clear" w:color="auto" w:fill="FFC000"/>
            <w:vAlign w:val="center"/>
          </w:tcPr>
          <w:p w14:paraId="60B67B8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w:t>
            </w:r>
          </w:p>
        </w:tc>
        <w:tc>
          <w:tcPr>
            <w:tcW w:w="1524" w:type="dxa"/>
            <w:shd w:val="clear" w:color="auto" w:fill="FFC000"/>
            <w:vAlign w:val="center"/>
          </w:tcPr>
          <w:p w14:paraId="53AD7BF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Mala</w:t>
            </w:r>
          </w:p>
        </w:tc>
        <w:tc>
          <w:tcPr>
            <w:tcW w:w="1344" w:type="dxa"/>
            <w:shd w:val="clear" w:color="auto" w:fill="FFC000"/>
            <w:vAlign w:val="center"/>
          </w:tcPr>
          <w:p w14:paraId="417902E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1 - 5 %</w:t>
            </w:r>
          </w:p>
        </w:tc>
        <w:tc>
          <w:tcPr>
            <w:tcW w:w="3471" w:type="dxa"/>
            <w:shd w:val="clear" w:color="auto" w:fill="FFC000"/>
            <w:vAlign w:val="center"/>
          </w:tcPr>
          <w:p w14:paraId="5A721C4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u razdoblju 20 - 100 godina</w:t>
            </w:r>
          </w:p>
        </w:tc>
        <w:tc>
          <w:tcPr>
            <w:tcW w:w="1462" w:type="dxa"/>
            <w:shd w:val="clear" w:color="auto" w:fill="FFC000"/>
            <w:vAlign w:val="center"/>
          </w:tcPr>
          <w:p w14:paraId="66B3DC5B"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7EC6B2D6" w14:textId="77777777" w:rsidTr="00DE0C9A">
        <w:trPr>
          <w:cantSplit/>
        </w:trPr>
        <w:tc>
          <w:tcPr>
            <w:tcW w:w="1271" w:type="dxa"/>
            <w:vAlign w:val="center"/>
          </w:tcPr>
          <w:p w14:paraId="77355F0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w:t>
            </w:r>
          </w:p>
        </w:tc>
        <w:tc>
          <w:tcPr>
            <w:tcW w:w="1524" w:type="dxa"/>
            <w:vAlign w:val="center"/>
          </w:tcPr>
          <w:p w14:paraId="558C350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Umjerena</w:t>
            </w:r>
          </w:p>
        </w:tc>
        <w:tc>
          <w:tcPr>
            <w:tcW w:w="1344" w:type="dxa"/>
            <w:vAlign w:val="center"/>
          </w:tcPr>
          <w:p w14:paraId="7EDB86D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5 - 50 %</w:t>
            </w:r>
          </w:p>
        </w:tc>
        <w:tc>
          <w:tcPr>
            <w:tcW w:w="3471" w:type="dxa"/>
            <w:vAlign w:val="center"/>
          </w:tcPr>
          <w:p w14:paraId="46D0C78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u razdoblju 2 - 20 godina</w:t>
            </w:r>
          </w:p>
        </w:tc>
        <w:tc>
          <w:tcPr>
            <w:tcW w:w="1462" w:type="dxa"/>
            <w:vAlign w:val="center"/>
          </w:tcPr>
          <w:p w14:paraId="5282CB86"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45B12C92" w14:textId="77777777" w:rsidTr="00DE0C9A">
        <w:trPr>
          <w:cantSplit/>
        </w:trPr>
        <w:tc>
          <w:tcPr>
            <w:tcW w:w="1271" w:type="dxa"/>
            <w:shd w:val="clear" w:color="auto" w:fill="FFC000"/>
            <w:vAlign w:val="center"/>
          </w:tcPr>
          <w:p w14:paraId="27C7AFC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w:t>
            </w:r>
          </w:p>
        </w:tc>
        <w:tc>
          <w:tcPr>
            <w:tcW w:w="1524" w:type="dxa"/>
            <w:shd w:val="clear" w:color="auto" w:fill="FFC000"/>
            <w:vAlign w:val="center"/>
          </w:tcPr>
          <w:p w14:paraId="32B0599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Velika</w:t>
            </w:r>
          </w:p>
        </w:tc>
        <w:tc>
          <w:tcPr>
            <w:tcW w:w="1344" w:type="dxa"/>
            <w:shd w:val="clear" w:color="auto" w:fill="FFC000"/>
            <w:vAlign w:val="center"/>
          </w:tcPr>
          <w:p w14:paraId="326AA57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51 - 98 %</w:t>
            </w:r>
          </w:p>
        </w:tc>
        <w:tc>
          <w:tcPr>
            <w:tcW w:w="3471" w:type="dxa"/>
            <w:shd w:val="clear" w:color="auto" w:fill="FFC000"/>
            <w:vAlign w:val="center"/>
          </w:tcPr>
          <w:p w14:paraId="405AA05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u razdoblju 1 - 2 godine</w:t>
            </w:r>
          </w:p>
        </w:tc>
        <w:tc>
          <w:tcPr>
            <w:tcW w:w="1462" w:type="dxa"/>
            <w:shd w:val="clear" w:color="auto" w:fill="FFC000"/>
            <w:vAlign w:val="center"/>
          </w:tcPr>
          <w:p w14:paraId="6FC723B1"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4A7DC39A" w14:textId="77777777" w:rsidTr="00DE0C9A">
        <w:trPr>
          <w:cantSplit/>
        </w:trPr>
        <w:tc>
          <w:tcPr>
            <w:tcW w:w="1271" w:type="dxa"/>
            <w:vAlign w:val="center"/>
          </w:tcPr>
          <w:p w14:paraId="3907ACD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w:t>
            </w:r>
          </w:p>
        </w:tc>
        <w:tc>
          <w:tcPr>
            <w:tcW w:w="1524" w:type="dxa"/>
            <w:vAlign w:val="center"/>
          </w:tcPr>
          <w:p w14:paraId="767E78B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Iznimno velika</w:t>
            </w:r>
          </w:p>
        </w:tc>
        <w:tc>
          <w:tcPr>
            <w:tcW w:w="1344" w:type="dxa"/>
            <w:vAlign w:val="center"/>
          </w:tcPr>
          <w:p w14:paraId="6CEAD32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&gt; 98 %</w:t>
            </w:r>
          </w:p>
        </w:tc>
        <w:tc>
          <w:tcPr>
            <w:tcW w:w="3471" w:type="dxa"/>
            <w:vAlign w:val="center"/>
          </w:tcPr>
          <w:p w14:paraId="07B49AE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godišnje ili češće</w:t>
            </w:r>
          </w:p>
        </w:tc>
        <w:tc>
          <w:tcPr>
            <w:tcW w:w="1462" w:type="dxa"/>
            <w:vAlign w:val="center"/>
          </w:tcPr>
          <w:p w14:paraId="36A747E4" w14:textId="77777777" w:rsidR="00FF1E38" w:rsidRPr="00FF1E38" w:rsidRDefault="00FF1E38" w:rsidP="00FF1E38">
            <w:pPr>
              <w:spacing w:after="0" w:line="240" w:lineRule="auto"/>
              <w:ind w:left="0" w:right="0" w:firstLine="0"/>
              <w:jc w:val="center"/>
              <w:rPr>
                <w:rFonts w:ascii="Times New Roman" w:hAnsi="Times New Roman" w:cs="Times New Roman"/>
              </w:rPr>
            </w:pPr>
          </w:p>
        </w:tc>
      </w:tr>
    </w:tbl>
    <w:p w14:paraId="55C5D99D"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223A40BE"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t>6.1.5.2. Podaci, izvori i metode izračuna</w:t>
      </w:r>
    </w:p>
    <w:p w14:paraId="2FD2714C"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Svaka od korištenih metodologija ima svoje prednosti i mane, ali zajednički problem svih metodologija su nepouzdani/manjkavi ulazni podaci. Od faktora seizmičkog rizika jedino seizmički hazard (opasnost) možemo smatrati relativno dobro definiranim (u odnosu na ostale faktore). Ipak karte također treba nadopunjavati na temelju novih spoznaja o seizmičnosti. Ono što je nužno predvidjeti u budućnosti su potpuna mikrozonacijska mjerenja kojima bi preciznije definirali utjecaj tla (od osnovne stijene do površine) i dobili preciznije podatke o vršnom ubrzanju tla na razini temelja. U konačnici daljnja istraživanja će omogućiti razvijanje preciznijih pojedinačnih scenarija prilagođenih za procjene rizika postojećeg fonda građevina.</w:t>
      </w:r>
    </w:p>
    <w:p w14:paraId="375133E5"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Podaci o izloženosti fonda građevina odnosno nedostatak baza s karakteristikama postojećeg fonda građevina je istaknuta kao ključna prepreka na putu prema pouzdanoj ocjeni seizmičkog rizika unatoč činjenici da se ažuriranom procjenom rizika napravio veliki napredak u odnosu na postojeće procjene. Ključni problemi su:</w:t>
      </w:r>
    </w:p>
    <w:p w14:paraId="4140B660" w14:textId="77777777" w:rsidR="00FF1E38" w:rsidRPr="00FF1E38" w:rsidRDefault="00FF1E38" w:rsidP="0014113B">
      <w:pPr>
        <w:numPr>
          <w:ilvl w:val="0"/>
          <w:numId w:val="5"/>
        </w:numPr>
        <w:spacing w:after="0" w:line="240" w:lineRule="auto"/>
        <w:ind w:right="0"/>
        <w:contextualSpacing/>
        <w:jc w:val="left"/>
        <w:rPr>
          <w:rFonts w:ascii="Times New Roman" w:hAnsi="Times New Roman" w:cs="Times New Roman"/>
          <w:sz w:val="24"/>
        </w:rPr>
      </w:pPr>
      <w:r w:rsidRPr="00FF1E38">
        <w:rPr>
          <w:rFonts w:ascii="Times New Roman" w:hAnsi="Times New Roman" w:cs="Times New Roman"/>
          <w:sz w:val="24"/>
        </w:rPr>
        <w:t xml:space="preserve">ne postoje sistematizirane baze podataka o tipologiji gradnje, a postoji niz specifičnih tipova građevina kao što su montažne građevine tipa Jugomont JU-60, zgrade izgrađene tunelskom oplatom, stambeni blokovi u Donjem gradu, tornjevi i slično. </w:t>
      </w:r>
    </w:p>
    <w:p w14:paraId="6AA16713" w14:textId="77777777" w:rsidR="00FF1E38" w:rsidRPr="00FF1E38" w:rsidRDefault="00FF1E38" w:rsidP="0014113B">
      <w:pPr>
        <w:numPr>
          <w:ilvl w:val="0"/>
          <w:numId w:val="5"/>
        </w:numPr>
        <w:spacing w:after="0" w:line="240" w:lineRule="auto"/>
        <w:ind w:right="0"/>
        <w:contextualSpacing/>
        <w:jc w:val="left"/>
        <w:rPr>
          <w:rFonts w:ascii="Times New Roman" w:hAnsi="Times New Roman" w:cs="Times New Roman"/>
          <w:sz w:val="24"/>
        </w:rPr>
      </w:pPr>
      <w:r w:rsidRPr="00FF1E38">
        <w:rPr>
          <w:rFonts w:ascii="Times New Roman" w:hAnsi="Times New Roman" w:cs="Times New Roman"/>
          <w:sz w:val="24"/>
        </w:rPr>
        <w:t>brojne rekonstrukcije koje se vrlo slabo dokumentiraju, a značajno utječu na ponašanje konstrukcije pri djelovanju potresa (primjerice uklanjanje zidova prizemlja u prodajnim prostorima u staroj gradskoj jezgri),</w:t>
      </w:r>
    </w:p>
    <w:p w14:paraId="4CFC3AD0" w14:textId="77777777" w:rsidR="00FF1E38" w:rsidRPr="00FF1E38" w:rsidRDefault="00FF1E38" w:rsidP="0014113B">
      <w:pPr>
        <w:numPr>
          <w:ilvl w:val="0"/>
          <w:numId w:val="5"/>
        </w:numPr>
        <w:spacing w:after="0" w:line="240" w:lineRule="auto"/>
        <w:ind w:right="0"/>
        <w:contextualSpacing/>
        <w:jc w:val="left"/>
        <w:rPr>
          <w:rFonts w:ascii="Times New Roman" w:hAnsi="Times New Roman" w:cs="Times New Roman"/>
          <w:sz w:val="24"/>
        </w:rPr>
      </w:pPr>
      <w:r w:rsidRPr="00FF1E38">
        <w:rPr>
          <w:rFonts w:ascii="Times New Roman" w:hAnsi="Times New Roman" w:cs="Times New Roman"/>
          <w:sz w:val="24"/>
        </w:rPr>
        <w:t xml:space="preserve">veliki broj nezakonito izvedenih građevina (bez valjane dokumentacije) koje uključuju i nepovoljne intervencije u nosivu konstrukciju odnosno promjenu </w:t>
      </w:r>
      <w:r w:rsidRPr="00FF1E38">
        <w:rPr>
          <w:rFonts w:ascii="Times New Roman" w:hAnsi="Times New Roman" w:cs="Times New Roman"/>
          <w:sz w:val="24"/>
        </w:rPr>
        <w:lastRenderedPageBreak/>
        <w:t>bitnih zahtjeva za građevinu (u Zagrebu je zaprimljeno preko 90.000 zahtjeva za legalizaciju)</w:t>
      </w:r>
    </w:p>
    <w:p w14:paraId="03692185" w14:textId="77777777" w:rsidR="00FF1E38" w:rsidRPr="00FF1E38" w:rsidRDefault="00FF1E38" w:rsidP="0014113B">
      <w:pPr>
        <w:numPr>
          <w:ilvl w:val="0"/>
          <w:numId w:val="5"/>
        </w:numPr>
        <w:spacing w:after="0" w:line="240" w:lineRule="auto"/>
        <w:ind w:right="0"/>
        <w:contextualSpacing/>
        <w:jc w:val="left"/>
        <w:rPr>
          <w:rFonts w:ascii="Times New Roman" w:hAnsi="Times New Roman" w:cs="Times New Roman"/>
          <w:sz w:val="24"/>
        </w:rPr>
      </w:pPr>
      <w:r w:rsidRPr="00FF1E38">
        <w:rPr>
          <w:rFonts w:ascii="Times New Roman" w:hAnsi="Times New Roman" w:cs="Times New Roman"/>
          <w:sz w:val="24"/>
        </w:rPr>
        <w:t xml:space="preserve">nesigurnost u procjeni oštetljivosti pojedinih građevina zbog razlike u znanju o starim građevinama u odnosu na građevine projektirane sukladno suvremenim propisima, </w:t>
      </w:r>
    </w:p>
    <w:p w14:paraId="7337AAA1" w14:textId="77777777" w:rsidR="00FF1E38" w:rsidRPr="00FF1E38" w:rsidRDefault="00FF1E38" w:rsidP="0014113B">
      <w:pPr>
        <w:numPr>
          <w:ilvl w:val="0"/>
          <w:numId w:val="5"/>
        </w:numPr>
        <w:spacing w:after="0" w:line="240" w:lineRule="auto"/>
        <w:ind w:right="0"/>
        <w:contextualSpacing/>
        <w:jc w:val="left"/>
        <w:rPr>
          <w:rFonts w:ascii="Times New Roman" w:hAnsi="Times New Roman" w:cs="Times New Roman"/>
          <w:sz w:val="24"/>
        </w:rPr>
      </w:pPr>
      <w:r w:rsidRPr="00FF1E38">
        <w:rPr>
          <w:rFonts w:ascii="Times New Roman" w:hAnsi="Times New Roman" w:cs="Times New Roman"/>
          <w:sz w:val="24"/>
        </w:rPr>
        <w:t>ne postoje podaci o izvedbi građevina, korištenim materijalima, mogućim pogreškama u gradnji, naknadnim sanacijama</w:t>
      </w:r>
    </w:p>
    <w:p w14:paraId="3999CEFC" w14:textId="77777777" w:rsidR="00FF1E38" w:rsidRPr="00FF1E38" w:rsidRDefault="00FF1E38" w:rsidP="0014113B">
      <w:pPr>
        <w:numPr>
          <w:ilvl w:val="0"/>
          <w:numId w:val="5"/>
        </w:numPr>
        <w:spacing w:after="0" w:line="240" w:lineRule="auto"/>
        <w:ind w:right="0"/>
        <w:contextualSpacing/>
        <w:jc w:val="left"/>
        <w:rPr>
          <w:rFonts w:ascii="Times New Roman" w:hAnsi="Times New Roman" w:cs="Times New Roman"/>
          <w:sz w:val="24"/>
        </w:rPr>
      </w:pPr>
      <w:r w:rsidRPr="00FF1E38">
        <w:rPr>
          <w:rFonts w:ascii="Times New Roman" w:hAnsi="Times New Roman" w:cs="Times New Roman"/>
          <w:sz w:val="24"/>
        </w:rPr>
        <w:t xml:space="preserve">ne postoje podaci o djelovanju potresa na građevine (kvartove) kroz povijest i eventualnim posljedicama </w:t>
      </w:r>
    </w:p>
    <w:p w14:paraId="5CA673FC" w14:textId="77777777" w:rsidR="00FF1E38" w:rsidRPr="00FF1E38" w:rsidRDefault="00FF1E38" w:rsidP="0014113B">
      <w:pPr>
        <w:numPr>
          <w:ilvl w:val="0"/>
          <w:numId w:val="5"/>
        </w:numPr>
        <w:spacing w:after="0" w:line="240" w:lineRule="auto"/>
        <w:ind w:right="0"/>
        <w:contextualSpacing/>
        <w:jc w:val="left"/>
        <w:rPr>
          <w:rFonts w:ascii="Times New Roman" w:hAnsi="Times New Roman" w:cs="Times New Roman"/>
          <w:sz w:val="24"/>
        </w:rPr>
      </w:pPr>
      <w:r w:rsidRPr="00FF1E38">
        <w:rPr>
          <w:rFonts w:ascii="Times New Roman" w:hAnsi="Times New Roman" w:cs="Times New Roman"/>
          <w:sz w:val="24"/>
        </w:rPr>
        <w:t xml:space="preserve">građevine su obično projektirane na vijek trajanja od 50 godina što je premašeno kod većeg dijela postojećeg stambenog fonda. </w:t>
      </w:r>
    </w:p>
    <w:p w14:paraId="78BC6D99" w14:textId="77777777" w:rsidR="00FF1E38" w:rsidRPr="00FF1E38" w:rsidRDefault="00FF1E38" w:rsidP="00FF1E38">
      <w:pPr>
        <w:spacing w:after="0" w:line="240" w:lineRule="auto"/>
        <w:ind w:left="0" w:right="0" w:firstLine="0"/>
        <w:rPr>
          <w:rFonts w:ascii="Times New Roman" w:hAnsi="Times New Roman" w:cs="Times New Roman"/>
          <w:sz w:val="24"/>
        </w:rPr>
      </w:pPr>
    </w:p>
    <w:p w14:paraId="6FC58BBA"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Problemi procjene oštetljivosti postojećeg fonda građevina izravno se naslanjaju na probleme (izazove) izloženosti. S nepouzdanim podacima o konstrukcijskim sustavima vrlo je teško procijeniti očekivano ponašanje građevine pri djelovanju potresa odnosno odrediti razinu oštećenja s obzirom na nepovoljni utjecaj gibanja tla na nosivost konstrukcijskog sustava građevine.</w:t>
      </w:r>
    </w:p>
    <w:p w14:paraId="088E563C"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Procjena gubitaka je krajnji podatak koji je osnova za donošenje strategija, ali oslanja se na prethodno istaknute manjkavosti odnosno bitno je imati u vidu sve nepreciznosti na temelju kojih se donose zaključci. Za odabrani scenarij preciznost procjene nije presudna jer djelovanje potresa u svakom slučaju uzrokuje katastrofalne posljedice. Procjene posljedica na život i zdravlje ljudi su najviše vezane za stupanj oštećenja građevina odnosno bez detaljnih istraživanja nije moguće ni precizno procijeniti broj stradalih. Procjena posljedica na gospodarstvo se vezala na direktne (izravne) i indirektne (neizravne) gubitke. Direktne posljedice su također vezane na oštećenja građevina odnosno nesigurnosti u procjeni su vezane za nesigurnosti u procjeni oštećenih zgrada. Navedene troškovničke stavke oporavka građevina su napravljene koristeći procjene troškova po m</w:t>
      </w:r>
      <w:r w:rsidRPr="00FF1E38">
        <w:rPr>
          <w:rFonts w:ascii="Times New Roman" w:hAnsi="Times New Roman" w:cs="Times New Roman"/>
          <w:sz w:val="24"/>
          <w:vertAlign w:val="superscript"/>
        </w:rPr>
        <w:t>2</w:t>
      </w:r>
      <w:r w:rsidRPr="00FF1E38">
        <w:rPr>
          <w:rFonts w:ascii="Times New Roman" w:hAnsi="Times New Roman" w:cs="Times New Roman"/>
          <w:sz w:val="24"/>
        </w:rPr>
        <w:t xml:space="preserve"> koji su se razlikovali. Procjena posljedica na društvenu stabilnost i politiku se također veže uz oštećenja zgrada u kojima su smještene ključne institucije i oštećenje kritične infrastrukture. Bitno je istaknuti podatak da je većina građevina kritične infrastrukture izgrađena prije 1964. godine odnosno prije prvih propisa koji značajnije uzimaju u obzir potresno djelovanje (značajnije su ugrožene). S obzirom na veliku koncentraciju elemenata kritične infrastrukture u staroj gradskoj jezgri, očite su katastrofalne posljedice. Bitno je istaknuti da elementi kritične infrastrukture zahtijevaju detaljne pojedinačne analize koje bi rezultirale ojačanjima konstrukcije za predviđena opterećenja potresom. Za preciznije procjene rizika od potresa (s vrlo niskom nepouzdanosti) je ključno predvidjeti izradu baze podataka o građevinama.  </w:t>
      </w:r>
    </w:p>
    <w:p w14:paraId="578EF26B"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Prilikom izračuna procjene rizika korišteni su podaci iz:</w:t>
      </w:r>
    </w:p>
    <w:p w14:paraId="21F6DCAC" w14:textId="64CB913C"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eastAsia="Calibri" w:hAnsi="Times New Roman" w:cs="Times New Roman"/>
          <w:sz w:val="24"/>
          <w:u w:color="000000"/>
        </w:rPr>
        <w:t>-</w:t>
      </w:r>
      <w:r w:rsidRPr="00FF1E38">
        <w:rPr>
          <w:rFonts w:ascii="Times New Roman" w:eastAsia="Calibri" w:hAnsi="Times New Roman" w:cs="Times New Roman"/>
          <w:sz w:val="24"/>
          <w:u w:color="000000"/>
        </w:rPr>
        <w:tab/>
      </w:r>
      <w:r w:rsidRPr="00FF1E38">
        <w:rPr>
          <w:rFonts w:ascii="Times New Roman" w:hAnsi="Times New Roman" w:cs="Times New Roman"/>
          <w:sz w:val="24"/>
        </w:rPr>
        <w:t>Procjene ugroženosti stanovništva, materijalnih i kulturnih dobara te okoliša od katastrofa i velikih nesreća za Grad Zagreb, 2016.</w:t>
      </w:r>
    </w:p>
    <w:p w14:paraId="167C783F" w14:textId="708F909F"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eastAsia="Calibri" w:hAnsi="Times New Roman" w:cs="Times New Roman"/>
          <w:sz w:val="24"/>
          <w:u w:color="000000"/>
        </w:rPr>
        <w:t>-</w:t>
      </w:r>
      <w:r w:rsidRPr="00FF1E38">
        <w:rPr>
          <w:rFonts w:ascii="Times New Roman" w:eastAsia="Calibri" w:hAnsi="Times New Roman" w:cs="Times New Roman"/>
          <w:sz w:val="24"/>
          <w:u w:color="000000"/>
        </w:rPr>
        <w:tab/>
      </w:r>
      <w:r w:rsidRPr="00FF1E38">
        <w:rPr>
          <w:rFonts w:ascii="Times New Roman" w:hAnsi="Times New Roman" w:cs="Times New Roman"/>
          <w:sz w:val="24"/>
        </w:rPr>
        <w:t>Procjene rizika od katastrofa za Republiku Hrvatsku</w:t>
      </w:r>
    </w:p>
    <w:p w14:paraId="401DC07C" w14:textId="4EAC1E32"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eastAsia="Calibri" w:hAnsi="Times New Roman" w:cs="Times New Roman"/>
          <w:sz w:val="24"/>
          <w:u w:color="000000"/>
        </w:rPr>
        <w:t>-</w:t>
      </w:r>
      <w:r w:rsidRPr="00FF1E38">
        <w:rPr>
          <w:rFonts w:ascii="Times New Roman" w:eastAsia="Calibri" w:hAnsi="Times New Roman" w:cs="Times New Roman"/>
          <w:sz w:val="24"/>
          <w:u w:color="000000"/>
        </w:rPr>
        <w:tab/>
      </w:r>
      <w:r w:rsidRPr="00FF1E38">
        <w:rPr>
          <w:rFonts w:ascii="Times New Roman" w:hAnsi="Times New Roman" w:cs="Times New Roman"/>
          <w:sz w:val="24"/>
        </w:rPr>
        <w:t>Plana djelovanja civilne zaštite za područje Grada Zagreba</w:t>
      </w:r>
    </w:p>
    <w:p w14:paraId="506E2658" w14:textId="3C0F3683"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eastAsia="Calibri" w:hAnsi="Times New Roman" w:cs="Times New Roman"/>
          <w:sz w:val="24"/>
          <w:u w:color="000000"/>
        </w:rPr>
        <w:t>-</w:t>
      </w:r>
      <w:r w:rsidRPr="00FF1E38">
        <w:rPr>
          <w:rFonts w:ascii="Times New Roman" w:eastAsia="Calibri" w:hAnsi="Times New Roman" w:cs="Times New Roman"/>
          <w:sz w:val="24"/>
          <w:u w:color="000000"/>
        </w:rPr>
        <w:tab/>
      </w:r>
      <w:r w:rsidRPr="00FF1E38">
        <w:rPr>
          <w:rFonts w:ascii="Times New Roman" w:hAnsi="Times New Roman" w:cs="Times New Roman"/>
          <w:sz w:val="24"/>
        </w:rPr>
        <w:t>Statističkog ljetopisa Grada Zagreba, 2021.</w:t>
      </w:r>
    </w:p>
    <w:p w14:paraId="2CC1DAE2" w14:textId="2EAB0AF8"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eastAsia="Calibri" w:hAnsi="Times New Roman" w:cs="Times New Roman"/>
          <w:sz w:val="24"/>
          <w:u w:color="000000"/>
        </w:rPr>
        <w:t>-</w:t>
      </w:r>
      <w:r w:rsidRPr="00FF1E38">
        <w:rPr>
          <w:rFonts w:ascii="Times New Roman" w:eastAsia="Calibri" w:hAnsi="Times New Roman" w:cs="Times New Roman"/>
          <w:sz w:val="24"/>
          <w:u w:color="000000"/>
        </w:rPr>
        <w:tab/>
      </w:r>
      <w:r w:rsidRPr="00FF1E38">
        <w:rPr>
          <w:rFonts w:ascii="Times New Roman" w:hAnsi="Times New Roman" w:cs="Times New Roman"/>
          <w:sz w:val="24"/>
        </w:rPr>
        <w:t>Izvješća o stanju u prostoru Grada Zagreba, 2018.</w:t>
      </w:r>
    </w:p>
    <w:p w14:paraId="23F6CC92" w14:textId="72D09B9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eastAsia="Calibri" w:hAnsi="Times New Roman" w:cs="Times New Roman"/>
          <w:sz w:val="24"/>
          <w:u w:color="000000"/>
        </w:rPr>
        <w:t>-</w:t>
      </w:r>
      <w:r w:rsidRPr="00FF1E38">
        <w:rPr>
          <w:rFonts w:ascii="Times New Roman" w:eastAsia="Calibri" w:hAnsi="Times New Roman" w:cs="Times New Roman"/>
          <w:sz w:val="24"/>
          <w:u w:color="000000"/>
        </w:rPr>
        <w:tab/>
      </w:r>
      <w:r w:rsidRPr="00FF1E38">
        <w:rPr>
          <w:rFonts w:ascii="Times New Roman" w:hAnsi="Times New Roman" w:cs="Times New Roman"/>
          <w:sz w:val="24"/>
        </w:rPr>
        <w:t>Procjene rizika pravnih osoba</w:t>
      </w:r>
    </w:p>
    <w:p w14:paraId="4E12C6EB" w14:textId="47EDE558"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eastAsia="Calibri" w:hAnsi="Times New Roman" w:cs="Times New Roman"/>
          <w:sz w:val="24"/>
          <w:u w:color="000000"/>
        </w:rPr>
        <w:t>-</w:t>
      </w:r>
      <w:r w:rsidRPr="00FF1E38">
        <w:rPr>
          <w:rFonts w:ascii="Times New Roman" w:eastAsia="Calibri" w:hAnsi="Times New Roman" w:cs="Times New Roman"/>
          <w:sz w:val="24"/>
          <w:u w:color="000000"/>
        </w:rPr>
        <w:tab/>
      </w:r>
      <w:r w:rsidRPr="00FF1E38">
        <w:rPr>
          <w:rFonts w:ascii="Times New Roman" w:hAnsi="Times New Roman" w:cs="Times New Roman"/>
          <w:sz w:val="24"/>
        </w:rPr>
        <w:t>Državnog zavoda za statistiku</w:t>
      </w:r>
    </w:p>
    <w:p w14:paraId="416602F5" w14:textId="0C84339E"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eastAsia="Calibri" w:hAnsi="Times New Roman" w:cs="Times New Roman"/>
          <w:sz w:val="24"/>
          <w:u w:color="000000"/>
        </w:rPr>
        <w:t>-</w:t>
      </w:r>
      <w:r w:rsidRPr="00FF1E38">
        <w:rPr>
          <w:rFonts w:ascii="Times New Roman" w:eastAsia="Calibri" w:hAnsi="Times New Roman" w:cs="Times New Roman"/>
          <w:sz w:val="24"/>
          <w:u w:color="000000"/>
        </w:rPr>
        <w:tab/>
      </w:r>
      <w:r w:rsidRPr="00FF1E38">
        <w:rPr>
          <w:rFonts w:ascii="Times New Roman" w:hAnsi="Times New Roman" w:cs="Times New Roman"/>
          <w:sz w:val="24"/>
        </w:rPr>
        <w:t>Studije za saniranje posljedica potresa koju je izradio Građevinski fakultet Sveučilišta u Zagrebu</w:t>
      </w:r>
    </w:p>
    <w:p w14:paraId="018C45D4"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eastAsia="Calibri" w:hAnsi="Times New Roman" w:cs="Times New Roman"/>
          <w:sz w:val="24"/>
          <w:u w:color="000000"/>
        </w:rPr>
        <w:t>-</w:t>
      </w:r>
      <w:r w:rsidRPr="00FF1E38">
        <w:rPr>
          <w:rFonts w:ascii="Times New Roman" w:eastAsia="Calibri" w:hAnsi="Times New Roman" w:cs="Times New Roman"/>
          <w:sz w:val="24"/>
          <w:u w:color="000000"/>
        </w:rPr>
        <w:tab/>
      </w:r>
      <w:r w:rsidRPr="00FF1E38">
        <w:rPr>
          <w:rFonts w:ascii="Times New Roman" w:hAnsi="Times New Roman" w:cs="Times New Roman"/>
          <w:sz w:val="24"/>
        </w:rPr>
        <w:t>Karte potresnih područja Republike Hrvatske.</w:t>
      </w:r>
    </w:p>
    <w:p w14:paraId="7D5F7ACD"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52F711CB"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Korišteni su podaci iz sljedećih publikacija:</w:t>
      </w:r>
    </w:p>
    <w:p w14:paraId="6B727FC5"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lastRenderedPageBreak/>
        <w:t xml:space="preserve">HRN EN 1998-1:2011 (2011) Eurocode 8: Projektiranje potresne otpornosti konstrukcija - 1. dio: Opća pravila, potresna djelovanja i pravila za zgrade, Hrvatski zavod za norme, Zagreb. </w:t>
      </w:r>
    </w:p>
    <w:p w14:paraId="229C9F68" w14:textId="77777777" w:rsidR="00FF1E38" w:rsidRPr="00FF1E38" w:rsidRDefault="00FF1E38" w:rsidP="00FF1E38">
      <w:pPr>
        <w:spacing w:after="0" w:line="240" w:lineRule="auto"/>
        <w:ind w:left="0" w:right="0" w:firstLine="0"/>
        <w:rPr>
          <w:rFonts w:ascii="Times New Roman" w:hAnsi="Times New Roman" w:cs="Times New Roman"/>
          <w:sz w:val="24"/>
        </w:rPr>
      </w:pPr>
    </w:p>
    <w:p w14:paraId="6D9C0F8D" w14:textId="77777777" w:rsidR="00FF1E38" w:rsidRPr="00EE5808" w:rsidRDefault="00FF1E38" w:rsidP="00FF1E38">
      <w:pPr>
        <w:spacing w:after="0" w:line="240" w:lineRule="auto"/>
        <w:ind w:left="0" w:right="0" w:firstLine="0"/>
        <w:rPr>
          <w:rFonts w:ascii="Times New Roman" w:hAnsi="Times New Roman" w:cs="Times New Roman"/>
          <w:color w:val="auto"/>
          <w:sz w:val="24"/>
        </w:rPr>
      </w:pPr>
      <w:r w:rsidRPr="00FF1E38">
        <w:rPr>
          <w:rFonts w:ascii="Times New Roman" w:hAnsi="Times New Roman" w:cs="Times New Roman"/>
          <w:sz w:val="24"/>
        </w:rPr>
        <w:t xml:space="preserve">Herak, M i suradnici (2011) Republika Hrvatska, Karta potresnih područja, </w:t>
      </w:r>
      <w:hyperlink r:id="rId120" w:history="1">
        <w:r w:rsidRPr="00EE5808">
          <w:rPr>
            <w:rFonts w:ascii="Times New Roman" w:hAnsi="Times New Roman" w:cs="Times New Roman"/>
            <w:color w:val="auto"/>
            <w:sz w:val="24"/>
            <w:u w:val="single"/>
          </w:rPr>
          <w:t>http://seizkarta.gfz.hr</w:t>
        </w:r>
      </w:hyperlink>
    </w:p>
    <w:p w14:paraId="170D8BF6" w14:textId="77777777" w:rsidR="00FF1E38" w:rsidRPr="00FF1E38" w:rsidRDefault="00FF1E38" w:rsidP="00FF1E38">
      <w:pPr>
        <w:spacing w:after="0" w:line="240" w:lineRule="auto"/>
        <w:ind w:left="0" w:right="0" w:firstLine="0"/>
        <w:rPr>
          <w:rFonts w:ascii="Times New Roman" w:hAnsi="Times New Roman" w:cs="Times New Roman"/>
          <w:sz w:val="24"/>
        </w:rPr>
      </w:pPr>
    </w:p>
    <w:p w14:paraId="7DBF1A08"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Aničić, D. i suradnici (2014) „Potresni rizik grada Zagreba - Infrastruktura, stanovništvo, građevine i kulturna dobra,“ Prijedlog projekta - verzija 3.0, Akademija tehničkih znanosti Hrvatske, Građevinski fakultet sveučilišta u Zagrebu, Ured za upravljanje u hitnim situacijama Grada Zagreba</w:t>
      </w:r>
    </w:p>
    <w:p w14:paraId="2756918E" w14:textId="77777777" w:rsidR="00FF1E38" w:rsidRPr="00FF1E38" w:rsidRDefault="00FF1E38" w:rsidP="00FF1E38">
      <w:pPr>
        <w:spacing w:after="0" w:line="240" w:lineRule="auto"/>
        <w:ind w:left="0" w:right="0" w:firstLine="0"/>
        <w:rPr>
          <w:rFonts w:ascii="Times New Roman" w:hAnsi="Times New Roman" w:cs="Times New Roman"/>
          <w:sz w:val="24"/>
        </w:rPr>
      </w:pPr>
    </w:p>
    <w:p w14:paraId="3F1AB6BF"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Hanžek Z. (2005) „Jednostavni cjenik usluga za arhitekte i investitore“</w:t>
      </w:r>
    </w:p>
    <w:p w14:paraId="7EE1A622" w14:textId="77777777" w:rsidR="00FF1E38" w:rsidRPr="00FF1E38" w:rsidRDefault="00FF1E38" w:rsidP="00FF1E38">
      <w:pPr>
        <w:spacing w:after="0" w:line="240" w:lineRule="auto"/>
        <w:ind w:left="0" w:right="0" w:firstLine="0"/>
        <w:rPr>
          <w:rFonts w:ascii="Times New Roman" w:hAnsi="Times New Roman" w:cs="Times New Roman"/>
          <w:sz w:val="24"/>
        </w:rPr>
      </w:pPr>
    </w:p>
    <w:p w14:paraId="31AF6402"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Crowley H., Ozcebe S., Baker H., Foulser-Piggott R., Spence R. (2014) D7.2 State of the Knowledge of Building Inventory Data in Europe</w:t>
      </w:r>
    </w:p>
    <w:p w14:paraId="309C6BBB" w14:textId="77777777" w:rsidR="00FF1E38" w:rsidRPr="00FF1E38" w:rsidRDefault="00FF1E38" w:rsidP="00FF1E38">
      <w:pPr>
        <w:spacing w:after="0" w:line="240" w:lineRule="auto"/>
        <w:ind w:left="0" w:right="0" w:firstLine="0"/>
        <w:rPr>
          <w:rFonts w:ascii="Times New Roman" w:hAnsi="Times New Roman" w:cs="Times New Roman"/>
          <w:sz w:val="24"/>
        </w:rPr>
      </w:pPr>
    </w:p>
    <w:p w14:paraId="7BDDB7F3"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 xml:space="preserve">Crnobrnja N. (2005) „Zagrebački savski mostovi,“ Građevinar, Vol. 57, No. 12, pp. 977-985. </w:t>
      </w:r>
    </w:p>
    <w:p w14:paraId="03E6EF60" w14:textId="77777777" w:rsidR="00FF1E38" w:rsidRPr="00FF1E38" w:rsidRDefault="00FF1E38" w:rsidP="00FF1E38">
      <w:pPr>
        <w:spacing w:after="0" w:line="240" w:lineRule="auto"/>
        <w:ind w:left="0" w:right="0" w:firstLine="0"/>
        <w:rPr>
          <w:rFonts w:ascii="Times New Roman" w:hAnsi="Times New Roman" w:cs="Times New Roman"/>
          <w:sz w:val="24"/>
        </w:rPr>
      </w:pPr>
    </w:p>
    <w:p w14:paraId="4D79E05C"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 xml:space="preserve">Atalić, J. i suradnici (2017) Studija za saniranje posljedica potresa, 1-9. Faza, Građevinski fakultet Sveučilišta u Zagrebu. </w:t>
      </w:r>
    </w:p>
    <w:p w14:paraId="57A102E3" w14:textId="77777777" w:rsidR="00FF1E38" w:rsidRPr="00FF1E38" w:rsidRDefault="00FF1E38" w:rsidP="00FF1E38">
      <w:pPr>
        <w:spacing w:after="0" w:line="240" w:lineRule="auto"/>
        <w:ind w:left="0" w:right="0" w:firstLine="0"/>
        <w:rPr>
          <w:rFonts w:ascii="Times New Roman" w:hAnsi="Times New Roman" w:cs="Times New Roman"/>
          <w:sz w:val="24"/>
        </w:rPr>
      </w:pPr>
    </w:p>
    <w:p w14:paraId="56F893A8"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 xml:space="preserve">Atalić, J., Šavor Novak, M., Uroš, M. Hak, S. (2018) Problemi u procjeni seizmičkog rizika u Hrvatskoj, 7. Konferencija Hrvatske platforme za smanjenje rizika od katastrofa, Zagreb, Hrvatska </w:t>
      </w:r>
    </w:p>
    <w:p w14:paraId="19458207" w14:textId="77777777" w:rsidR="00FF1E38" w:rsidRPr="00FF1E38" w:rsidRDefault="00FF1E38" w:rsidP="00FF1E38">
      <w:pPr>
        <w:spacing w:after="0" w:line="240" w:lineRule="auto"/>
        <w:ind w:left="0" w:right="0" w:firstLine="0"/>
        <w:rPr>
          <w:rFonts w:ascii="Times New Roman" w:hAnsi="Times New Roman" w:cs="Times New Roman"/>
          <w:sz w:val="24"/>
        </w:rPr>
      </w:pPr>
    </w:p>
    <w:p w14:paraId="1A9A12E6"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 xml:space="preserve">Bal I.E., Crowley H., Pinho R. (2010.) Displacement-Based Earthquake Loss Assessment: Method Development and Application to Turkish Building Stock, Research Report Rose 2010/02, IUSS Press, Pavia, Italy. </w:t>
      </w:r>
    </w:p>
    <w:p w14:paraId="23D3B88E" w14:textId="77777777" w:rsidR="00FF1E38" w:rsidRPr="00FF1E38" w:rsidRDefault="00FF1E38" w:rsidP="00FF1E38">
      <w:pPr>
        <w:spacing w:after="0" w:line="240" w:lineRule="auto"/>
        <w:ind w:left="0" w:right="0" w:firstLine="0"/>
        <w:rPr>
          <w:rFonts w:ascii="Times New Roman" w:hAnsi="Times New Roman" w:cs="Times New Roman"/>
          <w:sz w:val="24"/>
        </w:rPr>
      </w:pPr>
    </w:p>
    <w:p w14:paraId="0C5BDF81"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 xml:space="preserve">Aničić, Dražen (1992) Prognoza štete na stambenom fondu i broja žrtava mogućeg budućeg potresa u Zagrebu, Civilna zaštita Zagreb, pp. 135-143. </w:t>
      </w:r>
    </w:p>
    <w:p w14:paraId="3B9A0904" w14:textId="77777777" w:rsidR="00FF1E38" w:rsidRPr="00FF1E38" w:rsidRDefault="00FF1E38" w:rsidP="00FF1E38">
      <w:pPr>
        <w:spacing w:after="0" w:line="240" w:lineRule="auto"/>
        <w:ind w:left="0" w:right="0" w:firstLine="0"/>
        <w:rPr>
          <w:rFonts w:ascii="Times New Roman" w:hAnsi="Times New Roman" w:cs="Times New Roman"/>
          <w:sz w:val="24"/>
        </w:rPr>
      </w:pPr>
    </w:p>
    <w:p w14:paraId="1F58BE4A"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Projekt 11.(2011) Izrada studije za saniranje posljedica potresa. Zagreb: Ured za upravljanje u hitnim situacijama</w:t>
      </w:r>
    </w:p>
    <w:p w14:paraId="2A88DC93" w14:textId="77777777" w:rsidR="00FF1E38" w:rsidRPr="00FF1E38" w:rsidRDefault="00FF1E38" w:rsidP="00FF1E38">
      <w:pPr>
        <w:spacing w:after="0" w:line="240" w:lineRule="auto"/>
        <w:ind w:left="0" w:right="0" w:firstLine="0"/>
        <w:rPr>
          <w:rFonts w:ascii="Times New Roman" w:hAnsi="Times New Roman" w:cs="Times New Roman"/>
          <w:sz w:val="24"/>
        </w:rPr>
      </w:pPr>
    </w:p>
    <w:p w14:paraId="5F82B603"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 xml:space="preserve">Šavor Novak M., Atalić J., Domagoj Damjanović D., Uroš M. i ostali (2018): Studija za saniranje posljedica potresa u Gradu Zagrebu, 7. Konferencija Hrvatske platforme za smanjenje rizika od katastrofa, Zagreb, Hrvatska </w:t>
      </w:r>
    </w:p>
    <w:p w14:paraId="348D7D4A" w14:textId="77777777" w:rsidR="00FF1E38" w:rsidRPr="00FF1E38" w:rsidRDefault="00FF1E38" w:rsidP="00FF1E38">
      <w:pPr>
        <w:spacing w:after="0" w:line="240" w:lineRule="auto"/>
        <w:ind w:left="0" w:right="0" w:firstLine="0"/>
        <w:rPr>
          <w:rFonts w:ascii="Times New Roman" w:hAnsi="Times New Roman" w:cs="Times New Roman"/>
          <w:sz w:val="24"/>
        </w:rPr>
      </w:pPr>
    </w:p>
    <w:p w14:paraId="330C3E73"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Atalić, J., Šavor Novak, M., Uroš, M., Hak, S., Damjanović, D., Sigmund, Z.(2018) Measures for the earthquake risk reduction in the city of Zagreb, Croatia, 16th European Conference on Earthquake Engineering, Thessaloniki, Greece</w:t>
      </w:r>
    </w:p>
    <w:p w14:paraId="77C48EF3" w14:textId="77777777" w:rsidR="00FF1E38" w:rsidRPr="00FF1E38" w:rsidRDefault="00FF1E38" w:rsidP="00FF1E38">
      <w:pPr>
        <w:spacing w:after="0" w:line="240" w:lineRule="auto"/>
        <w:ind w:left="0" w:right="0" w:firstLine="0"/>
        <w:rPr>
          <w:rFonts w:ascii="Times New Roman" w:hAnsi="Times New Roman" w:cs="Times New Roman"/>
          <w:sz w:val="24"/>
        </w:rPr>
      </w:pPr>
    </w:p>
    <w:p w14:paraId="4AAD03ED"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Yucemen, M.S. (2005). “Probabilistic assessment of earthquake insurance rates for Turkey</w:t>
      </w:r>
    </w:p>
    <w:p w14:paraId="6A7C7A7B" w14:textId="77777777" w:rsidR="00FF1E38" w:rsidRPr="00FF1E38" w:rsidRDefault="00FF1E38" w:rsidP="00FF1E38">
      <w:pPr>
        <w:spacing w:after="0" w:line="240" w:lineRule="auto"/>
        <w:ind w:left="0" w:right="0" w:firstLine="0"/>
        <w:rPr>
          <w:rFonts w:ascii="Times New Roman" w:hAnsi="Times New Roman" w:cs="Times New Roman"/>
          <w:sz w:val="24"/>
        </w:rPr>
      </w:pPr>
    </w:p>
    <w:p w14:paraId="4473A34A"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Uroš M., Šavor Novak M., Atalić J. i ostali (2018): Procjena ponašanja postojećih zgrada pri djelovanju potresa, 7. Konferencija Hrvatske platforme za smanjenje rizika od katastrofa, Zagreb, Hrvatska</w:t>
      </w:r>
    </w:p>
    <w:p w14:paraId="234C2939" w14:textId="77777777" w:rsidR="00FF1E38" w:rsidRPr="00FF1E38" w:rsidRDefault="00FF1E38" w:rsidP="00FF1E38">
      <w:pPr>
        <w:spacing w:after="0" w:line="240" w:lineRule="auto"/>
        <w:ind w:left="0" w:right="0" w:firstLine="0"/>
        <w:rPr>
          <w:rFonts w:ascii="Times New Roman" w:hAnsi="Times New Roman" w:cs="Times New Roman"/>
          <w:sz w:val="24"/>
        </w:rPr>
      </w:pPr>
    </w:p>
    <w:p w14:paraId="3BD6334B"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lastRenderedPageBreak/>
        <w:t>Kuk V., Prelogović E., Sović I. Kuk K., Šariri K. (2000.) "Seizmološke i seizmotektonske značajke šireg zagrebačkog područja", Građevinar, Vol. 52, No. 11, pp. 647-653</w:t>
      </w:r>
    </w:p>
    <w:p w14:paraId="237A97F1" w14:textId="77777777" w:rsidR="00FF1E38" w:rsidRPr="00FF1E38" w:rsidRDefault="00FF1E38" w:rsidP="00FF1E38">
      <w:pPr>
        <w:spacing w:after="0" w:line="240" w:lineRule="auto"/>
        <w:ind w:left="0" w:right="0" w:firstLine="709"/>
        <w:rPr>
          <w:rFonts w:ascii="Times New Roman" w:hAnsi="Times New Roman" w:cs="Times New Roman"/>
          <w:sz w:val="24"/>
        </w:rPr>
      </w:pPr>
    </w:p>
    <w:p w14:paraId="3123CE45"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Seizmičko i geološko mikrozoniranje prema Eurokodu 8 za zapadni dio podsljemenske urbanizirane zone, knjiga 1: Seizmološka istraživanja i rezultati studije, Sveučilište u Zagrebu, PMF, Geofizički odsjek, Zagreb, ožujak 2013.</w:t>
      </w:r>
    </w:p>
    <w:p w14:paraId="45ACFF1D" w14:textId="77777777" w:rsidR="00FF1E38" w:rsidRPr="00FF1E38" w:rsidRDefault="00FF1E38" w:rsidP="00FF1E38">
      <w:pPr>
        <w:spacing w:after="0" w:line="240" w:lineRule="auto"/>
        <w:ind w:left="0" w:right="0" w:firstLine="0"/>
        <w:rPr>
          <w:rFonts w:ascii="Times New Roman" w:hAnsi="Times New Roman" w:cs="Times New Roman"/>
          <w:sz w:val="24"/>
        </w:rPr>
      </w:pPr>
    </w:p>
    <w:p w14:paraId="18C3D168" w14:textId="77777777" w:rsidR="00FF1E38" w:rsidRPr="00EE5808" w:rsidRDefault="00FF1E38" w:rsidP="00FF1E38">
      <w:pPr>
        <w:spacing w:after="0" w:line="240" w:lineRule="auto"/>
        <w:ind w:left="0" w:right="0" w:firstLine="0"/>
        <w:rPr>
          <w:rFonts w:ascii="Times New Roman" w:hAnsi="Times New Roman" w:cs="Times New Roman"/>
          <w:color w:val="auto"/>
          <w:sz w:val="24"/>
        </w:rPr>
      </w:pPr>
      <w:r w:rsidRPr="00FF1E38">
        <w:rPr>
          <w:rFonts w:ascii="Times New Roman" w:hAnsi="Times New Roman" w:cs="Times New Roman"/>
          <w:sz w:val="24"/>
        </w:rPr>
        <w:t xml:space="preserve">Earthquake Risk in Multifamily Residential Buildings Europe and Central Asia Region. </w:t>
      </w:r>
      <w:r w:rsidRPr="00EE5808">
        <w:rPr>
          <w:rFonts w:ascii="Times New Roman" w:hAnsi="Times New Roman" w:cs="Times New Roman"/>
          <w:color w:val="auto"/>
          <w:sz w:val="24"/>
        </w:rPr>
        <w:t xml:space="preserve">Dostupno na: </w:t>
      </w:r>
      <w:hyperlink r:id="rId121" w:history="1">
        <w:r w:rsidRPr="00EE5808">
          <w:rPr>
            <w:rFonts w:ascii="Times New Roman" w:hAnsi="Times New Roman" w:cs="Times New Roman"/>
            <w:color w:val="auto"/>
            <w:sz w:val="24"/>
            <w:u w:val="single"/>
          </w:rPr>
          <w:t>https://openknowledge.worldbank.org/handle/10986/34439</w:t>
        </w:r>
      </w:hyperlink>
    </w:p>
    <w:p w14:paraId="2B453C67" w14:textId="77777777" w:rsidR="00FF1E38" w:rsidRPr="00FF1E38" w:rsidRDefault="00FF1E38" w:rsidP="00FF1E38">
      <w:pPr>
        <w:spacing w:after="0" w:line="240" w:lineRule="auto"/>
        <w:ind w:left="0" w:right="0" w:firstLine="0"/>
        <w:rPr>
          <w:rFonts w:ascii="Times New Roman" w:hAnsi="Times New Roman" w:cs="Times New Roman"/>
          <w:sz w:val="24"/>
        </w:rPr>
      </w:pPr>
    </w:p>
    <w:p w14:paraId="1A2B090C"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Izvješća Gradskog ureda za gospodarstvo, ekološku održivost i strategijsko planiranje</w:t>
      </w:r>
    </w:p>
    <w:p w14:paraId="0006CBBC" w14:textId="77777777" w:rsidR="00FF1E38" w:rsidRPr="00FF1E38" w:rsidRDefault="00FF1E38" w:rsidP="00FF1E38">
      <w:pPr>
        <w:spacing w:after="0" w:line="240" w:lineRule="auto"/>
        <w:ind w:left="0" w:right="0" w:firstLine="0"/>
        <w:rPr>
          <w:rFonts w:ascii="Times New Roman" w:hAnsi="Times New Roman" w:cs="Times New Roman"/>
          <w:sz w:val="24"/>
        </w:rPr>
      </w:pPr>
    </w:p>
    <w:p w14:paraId="1FC28B85"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Croatia Earthquake 2020 - Rapid Damage and Needs Assesment</w:t>
      </w:r>
    </w:p>
    <w:p w14:paraId="056F24D8" w14:textId="77777777" w:rsidR="00FF1E38" w:rsidRPr="00FF1E38" w:rsidRDefault="00FF1E38" w:rsidP="00FF1E38">
      <w:pPr>
        <w:spacing w:after="0" w:line="240" w:lineRule="auto"/>
        <w:ind w:left="0" w:right="0" w:firstLine="0"/>
        <w:rPr>
          <w:rFonts w:ascii="Times New Roman" w:hAnsi="Times New Roman" w:cs="Times New Roman"/>
          <w:sz w:val="24"/>
        </w:rPr>
      </w:pPr>
    </w:p>
    <w:p w14:paraId="13E52413"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The Washington Post: Cellphone service falls short after earthquake https://www.washingtonpost.com/business/economy/cellphone-service-falls-short-afterearthquake/2011/08/23/gIQAnl52ZJ_story.html?noredirect=on&amp;utm_term=.31df9d4936b1</w:t>
      </w:r>
    </w:p>
    <w:p w14:paraId="58A5A9D1" w14:textId="77777777" w:rsidR="00FF1E38" w:rsidRPr="00FF1E38" w:rsidRDefault="00FF1E38" w:rsidP="00FF1E38">
      <w:pPr>
        <w:spacing w:after="0" w:line="240" w:lineRule="auto"/>
        <w:ind w:left="0" w:right="0" w:firstLine="0"/>
        <w:rPr>
          <w:rFonts w:ascii="Times New Roman" w:hAnsi="Times New Roman" w:cs="Times New Roman"/>
          <w:sz w:val="24"/>
        </w:rPr>
      </w:pPr>
    </w:p>
    <w:p w14:paraId="6670AA9D"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Korlaet, Luka. Karta grada Zagreba s tipovima građevina i godinama gradnje. s.l.: Sveučilište u Zagrebu, Arhitektonski fakultet., 2014.</w:t>
      </w:r>
      <w:bookmarkStart w:id="75" w:name="_Toc2938591"/>
    </w:p>
    <w:p w14:paraId="0B4E3443" w14:textId="77777777" w:rsidR="00FF1E38" w:rsidRPr="00FF1E38" w:rsidRDefault="00FF1E38" w:rsidP="00FF1E38">
      <w:pPr>
        <w:spacing w:after="0" w:line="240" w:lineRule="auto"/>
        <w:ind w:left="0" w:right="0" w:firstLine="0"/>
        <w:rPr>
          <w:rFonts w:ascii="Times New Roman" w:hAnsi="Times New Roman" w:cs="Times New Roman"/>
          <w:sz w:val="24"/>
        </w:rPr>
      </w:pPr>
    </w:p>
    <w:p w14:paraId="52379F0B"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Šavor Novak M. i suradnici (2020) „Potres u Zagrebu 22. ožujka 2020. - preliminarni izvještaj o seizmološkim istraživanjima i oštećenjima zgrada“, Građevinar 10/2020</w:t>
      </w:r>
    </w:p>
    <w:p w14:paraId="3ADD4562" w14:textId="77777777" w:rsidR="00FF1E38" w:rsidRPr="00FF1E38" w:rsidRDefault="00FF1E38" w:rsidP="00FF1E38">
      <w:pPr>
        <w:spacing w:after="0" w:line="240" w:lineRule="auto"/>
        <w:ind w:left="0" w:right="0" w:firstLine="0"/>
        <w:rPr>
          <w:rFonts w:ascii="Times New Roman" w:hAnsi="Times New Roman" w:cs="Times New Roman"/>
          <w:sz w:val="24"/>
        </w:rPr>
      </w:pPr>
    </w:p>
    <w:p w14:paraId="55BB9904"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Atalić, J. i suradnici (2021) „The Mw5.4 Zagreb (Croatia) earthquake of March 22, 2020: impacts and response“, Bulletin of Earthquake Engineering (2021) 19:3461–3489</w:t>
      </w:r>
    </w:p>
    <w:p w14:paraId="18EA152F" w14:textId="77777777" w:rsidR="00FF1E38" w:rsidRPr="00FF1E38" w:rsidRDefault="00FF1E38" w:rsidP="00FF1E38">
      <w:pPr>
        <w:spacing w:after="0" w:line="240" w:lineRule="auto"/>
        <w:ind w:left="0" w:right="0" w:firstLine="0"/>
        <w:rPr>
          <w:rFonts w:ascii="Times New Roman" w:hAnsi="Times New Roman" w:cs="Times New Roman"/>
          <w:sz w:val="24"/>
        </w:rPr>
      </w:pPr>
    </w:p>
    <w:p w14:paraId="673B60AC" w14:textId="07F6A926" w:rsid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Atalić, J. i suradnici (2019): Rizik od potresa za Hrvatsku: pregled istraživanja i postojećih procjena sa smjernicama za budućnost, Građevinar 10/2019</w:t>
      </w:r>
    </w:p>
    <w:p w14:paraId="1CC3C03E" w14:textId="4CD0A4DF" w:rsidR="00C924A9" w:rsidRDefault="00C924A9" w:rsidP="00FF1E38">
      <w:pPr>
        <w:spacing w:after="0" w:line="240" w:lineRule="auto"/>
        <w:ind w:left="0" w:right="0" w:firstLine="0"/>
        <w:rPr>
          <w:rFonts w:ascii="Times New Roman" w:hAnsi="Times New Roman" w:cs="Times New Roman"/>
          <w:sz w:val="24"/>
        </w:rPr>
      </w:pPr>
    </w:p>
    <w:p w14:paraId="7B51EA28" w14:textId="3845FBFB" w:rsidR="00C924A9" w:rsidRDefault="00C924A9" w:rsidP="00FF1E38">
      <w:pPr>
        <w:spacing w:after="0" w:line="240" w:lineRule="auto"/>
        <w:ind w:left="0" w:right="0" w:firstLine="0"/>
        <w:rPr>
          <w:rFonts w:ascii="Times New Roman" w:hAnsi="Times New Roman" w:cs="Times New Roman"/>
          <w:sz w:val="24"/>
        </w:rPr>
      </w:pPr>
    </w:p>
    <w:p w14:paraId="6959B7A3" w14:textId="77777777" w:rsidR="00C924A9" w:rsidRPr="00C924A9" w:rsidRDefault="00C924A9" w:rsidP="00C924A9">
      <w:pPr>
        <w:spacing w:after="0" w:line="240" w:lineRule="auto"/>
        <w:ind w:left="0" w:right="0" w:firstLine="709"/>
        <w:rPr>
          <w:rFonts w:ascii="Times New Roman" w:hAnsi="Times New Roman" w:cs="Times New Roman"/>
          <w:sz w:val="24"/>
        </w:rPr>
      </w:pPr>
      <w:r w:rsidRPr="00C924A9">
        <w:rPr>
          <w:rFonts w:ascii="Times New Roman" w:hAnsi="Times New Roman" w:cs="Times New Roman"/>
          <w:b/>
          <w:sz w:val="24"/>
        </w:rPr>
        <w:t>6.1.6. Matrice rizika</w:t>
      </w:r>
    </w:p>
    <w:p w14:paraId="31E6DCCE" w14:textId="77777777" w:rsidR="00C924A9" w:rsidRPr="00C924A9" w:rsidRDefault="00C924A9" w:rsidP="00C924A9">
      <w:pPr>
        <w:spacing w:after="0" w:line="240" w:lineRule="auto"/>
        <w:ind w:left="0" w:right="0" w:firstLine="709"/>
        <w:rPr>
          <w:rFonts w:ascii="Times New Roman" w:hAnsi="Times New Roman" w:cs="Times New Roman"/>
          <w:sz w:val="24"/>
        </w:rPr>
      </w:pPr>
      <w:r w:rsidRPr="00C924A9">
        <w:rPr>
          <w:rFonts w:ascii="Times New Roman" w:hAnsi="Times New Roman" w:cs="Times New Roman"/>
          <w:sz w:val="24"/>
          <w:u w:val="single" w:color="000000"/>
        </w:rPr>
        <w:t>RIZIK:</w:t>
      </w:r>
      <w:r w:rsidRPr="00C924A9">
        <w:rPr>
          <w:rFonts w:ascii="Times New Roman" w:hAnsi="Times New Roman" w:cs="Times New Roman"/>
          <w:sz w:val="24"/>
        </w:rPr>
        <w:t xml:space="preserve"> Potres</w:t>
      </w:r>
    </w:p>
    <w:p w14:paraId="00B19698" w14:textId="77777777" w:rsidR="00C924A9" w:rsidRPr="00C924A9" w:rsidRDefault="00C924A9" w:rsidP="00C924A9">
      <w:pPr>
        <w:spacing w:after="0" w:line="240" w:lineRule="auto"/>
        <w:ind w:left="0" w:right="0" w:firstLine="709"/>
        <w:rPr>
          <w:rFonts w:ascii="Times New Roman" w:hAnsi="Times New Roman" w:cs="Times New Roman"/>
          <w:sz w:val="24"/>
        </w:rPr>
      </w:pPr>
      <w:r w:rsidRPr="00C924A9">
        <w:rPr>
          <w:rFonts w:ascii="Times New Roman" w:hAnsi="Times New Roman" w:cs="Times New Roman"/>
          <w:sz w:val="24"/>
          <w:u w:val="single" w:color="000000"/>
        </w:rPr>
        <w:t>NAZIV SCENARIJA</w:t>
      </w:r>
      <w:r w:rsidRPr="00C924A9">
        <w:rPr>
          <w:rFonts w:ascii="Times New Roman" w:hAnsi="Times New Roman" w:cs="Times New Roman"/>
          <w:sz w:val="24"/>
        </w:rPr>
        <w:t>: Podrhtavanje tla uzrokovano potresom jačine IX</w:t>
      </w:r>
      <w:r w:rsidRPr="00C924A9">
        <w:rPr>
          <w:rFonts w:ascii="Times New Roman" w:hAnsi="Times New Roman" w:cs="Times New Roman"/>
          <w:sz w:val="24"/>
          <w:vertAlign w:val="superscript"/>
        </w:rPr>
        <w:t>o</w:t>
      </w:r>
      <w:r w:rsidRPr="00C924A9">
        <w:rPr>
          <w:rFonts w:ascii="Times New Roman" w:hAnsi="Times New Roman" w:cs="Times New Roman"/>
          <w:sz w:val="24"/>
        </w:rPr>
        <w:t xml:space="preserve"> MCS ljestvice</w:t>
      </w:r>
    </w:p>
    <w:p w14:paraId="37EAEAD5" w14:textId="77777777" w:rsidR="00C924A9" w:rsidRPr="00C924A9" w:rsidRDefault="00C924A9" w:rsidP="00C924A9">
      <w:pPr>
        <w:spacing w:after="0" w:line="240" w:lineRule="auto"/>
        <w:ind w:left="0" w:right="0" w:firstLine="0"/>
        <w:rPr>
          <w:rFonts w:ascii="Times New Roman" w:hAnsi="Times New Roman" w:cs="Times New Roman"/>
          <w:sz w:val="24"/>
        </w:rPr>
      </w:pPr>
      <w:r w:rsidRPr="00C924A9">
        <w:rPr>
          <w:rFonts w:ascii="Times New Roman" w:hAnsi="Times New Roman" w:cs="Times New Roman"/>
          <w:sz w:val="24"/>
        </w:rPr>
        <w:t xml:space="preserve">Na temelju kombinacije dobivenih vrijednosti posljedica za sve tri kategorije (život i zdravlje ljudi, gospodarstvo i društvena stabilnost i politika) i vjerojatnosti izrađene su matrice rizika za prijetnju </w:t>
      </w:r>
      <w:r w:rsidRPr="00C924A9">
        <w:rPr>
          <w:rFonts w:ascii="Times New Roman" w:hAnsi="Times New Roman" w:cs="Times New Roman"/>
          <w:i/>
          <w:sz w:val="24"/>
        </w:rPr>
        <w:t>potres</w:t>
      </w:r>
      <w:r w:rsidRPr="00C924A9">
        <w:rPr>
          <w:rFonts w:ascii="Times New Roman" w:hAnsi="Times New Roman" w:cs="Times New Roman"/>
          <w:sz w:val="24"/>
        </w:rPr>
        <w:t>.</w:t>
      </w:r>
    </w:p>
    <w:p w14:paraId="4A3FCE43" w14:textId="77777777" w:rsidR="00C924A9" w:rsidRPr="00C924A9" w:rsidRDefault="00C924A9" w:rsidP="00C924A9">
      <w:pPr>
        <w:spacing w:after="0" w:line="240" w:lineRule="auto"/>
        <w:ind w:left="0" w:right="0" w:firstLine="0"/>
        <w:rPr>
          <w:rFonts w:ascii="Times New Roman" w:hAnsi="Times New Roman" w:cs="Times New Roman"/>
          <w:sz w:val="24"/>
        </w:rPr>
      </w:pPr>
    </w:p>
    <w:p w14:paraId="0CD8C054" w14:textId="442CE45A" w:rsidR="00C924A9" w:rsidRPr="00C924A9" w:rsidRDefault="00C924A9" w:rsidP="00C924A9">
      <w:pPr>
        <w:spacing w:after="0" w:line="240" w:lineRule="auto"/>
        <w:ind w:left="0" w:right="0" w:firstLine="0"/>
        <w:jc w:val="center"/>
        <w:rPr>
          <w:rFonts w:ascii="Times New Roman" w:hAnsi="Times New Roman" w:cs="Times New Roman"/>
          <w:b/>
          <w:sz w:val="24"/>
        </w:rPr>
      </w:pPr>
      <w:r w:rsidRPr="00C924A9">
        <w:rPr>
          <w:rFonts w:ascii="Times New Roman" w:hAnsi="Times New Roman" w:cs="Times New Roman"/>
          <w:b/>
          <w:sz w:val="24"/>
        </w:rPr>
        <w:t>Uku</w:t>
      </w:r>
      <w:r w:rsidR="00372E22">
        <w:rPr>
          <w:rFonts w:ascii="Times New Roman" w:hAnsi="Times New Roman" w:cs="Times New Roman"/>
          <w:b/>
          <w:sz w:val="24"/>
        </w:rPr>
        <w:t>pni</w:t>
      </w:r>
      <w:r w:rsidRPr="00C924A9">
        <w:rPr>
          <w:rFonts w:ascii="Times New Roman" w:hAnsi="Times New Roman" w:cs="Times New Roman"/>
          <w:b/>
          <w:sz w:val="24"/>
        </w:rPr>
        <w:t xml:space="preserve"> rizik za POTRES - umjeren rizik</w:t>
      </w:r>
    </w:p>
    <w:p w14:paraId="7256FDC6" w14:textId="77777777" w:rsidR="00C924A9" w:rsidRPr="00C924A9" w:rsidRDefault="00C924A9" w:rsidP="00C924A9">
      <w:pPr>
        <w:spacing w:after="0" w:line="240" w:lineRule="auto"/>
        <w:ind w:left="0" w:right="0" w:firstLine="0"/>
        <w:jc w:val="center"/>
        <w:rPr>
          <w:rFonts w:ascii="Times New Roman" w:hAnsi="Times New Roman" w:cs="Times New Roman"/>
          <w:sz w:val="24"/>
        </w:rPr>
      </w:pPr>
      <w:r w:rsidRPr="00C924A9">
        <w:rPr>
          <w:rFonts w:ascii="Times New Roman" w:hAnsi="Times New Roman" w:cs="Times New Roman"/>
          <w:noProof/>
          <w:sz w:val="24"/>
        </w:rPr>
        <w:lastRenderedPageBreak/>
        <w:drawing>
          <wp:inline distT="0" distB="0" distL="0" distR="0" wp14:anchorId="349184D3" wp14:editId="4DA15976">
            <wp:extent cx="3401695" cy="2533650"/>
            <wp:effectExtent l="0" t="0" r="8255" b="0"/>
            <wp:docPr id="72929" name="Picture 7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01695" cy="2533650"/>
                    </a:xfrm>
                    <a:prstGeom prst="rect">
                      <a:avLst/>
                    </a:prstGeom>
                    <a:noFill/>
                  </pic:spPr>
                </pic:pic>
              </a:graphicData>
            </a:graphic>
          </wp:inline>
        </w:drawing>
      </w:r>
    </w:p>
    <w:p w14:paraId="0E529C07" w14:textId="77777777" w:rsidR="00C924A9" w:rsidRPr="00C924A9" w:rsidRDefault="00C924A9" w:rsidP="00C924A9">
      <w:pPr>
        <w:spacing w:after="0" w:line="240" w:lineRule="auto"/>
        <w:ind w:left="0" w:right="0" w:firstLine="0"/>
        <w:rPr>
          <w:rFonts w:ascii="Times New Roman" w:hAnsi="Times New Roman" w:cs="Times New Roman"/>
          <w:sz w:val="24"/>
        </w:rPr>
      </w:pPr>
    </w:p>
    <w:p w14:paraId="12387F34" w14:textId="54739BDD" w:rsidR="00C924A9" w:rsidRDefault="00C924A9" w:rsidP="00C924A9">
      <w:pPr>
        <w:spacing w:after="0" w:line="240" w:lineRule="auto"/>
        <w:ind w:left="0" w:right="0" w:firstLine="0"/>
        <w:rPr>
          <w:rFonts w:ascii="Times New Roman" w:hAnsi="Times New Roman" w:cs="Times New Roman"/>
          <w:sz w:val="24"/>
        </w:rPr>
      </w:pPr>
    </w:p>
    <w:p w14:paraId="722F5D86" w14:textId="1E23E1A1" w:rsidR="002C28F4" w:rsidRDefault="002C28F4" w:rsidP="00C924A9">
      <w:pPr>
        <w:spacing w:after="0" w:line="240" w:lineRule="auto"/>
        <w:ind w:left="0" w:right="0" w:firstLine="0"/>
        <w:rPr>
          <w:rFonts w:ascii="Times New Roman" w:hAnsi="Times New Roman" w:cs="Times New Roman"/>
          <w:sz w:val="24"/>
        </w:rPr>
      </w:pPr>
    </w:p>
    <w:p w14:paraId="6193B261" w14:textId="7A2F2BB8" w:rsidR="002C28F4" w:rsidRDefault="002C28F4" w:rsidP="00C924A9">
      <w:pPr>
        <w:spacing w:after="0" w:line="240" w:lineRule="auto"/>
        <w:ind w:left="0" w:right="0" w:firstLine="0"/>
        <w:rPr>
          <w:rFonts w:ascii="Times New Roman" w:hAnsi="Times New Roman" w:cs="Times New Roman"/>
          <w:sz w:val="24"/>
        </w:rPr>
      </w:pPr>
    </w:p>
    <w:p w14:paraId="7EAD350A" w14:textId="77777777" w:rsidR="002C28F4" w:rsidRPr="00C924A9" w:rsidRDefault="002C28F4" w:rsidP="00C924A9">
      <w:pPr>
        <w:spacing w:after="0" w:line="240" w:lineRule="auto"/>
        <w:ind w:left="0" w:right="0" w:firstLine="0"/>
        <w:rPr>
          <w:rFonts w:ascii="Times New Roman" w:hAnsi="Times New Roman" w:cs="Times New Roman"/>
          <w:sz w:val="24"/>
        </w:rPr>
      </w:pPr>
    </w:p>
    <w:tbl>
      <w:tblPr>
        <w:tblStyle w:val="TableGrid70"/>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0" w:type="dxa"/>
        </w:tblCellMar>
        <w:tblLook w:val="04A0" w:firstRow="1" w:lastRow="0" w:firstColumn="1" w:lastColumn="0" w:noHBand="0" w:noVBand="1"/>
      </w:tblPr>
      <w:tblGrid>
        <w:gridCol w:w="3175"/>
        <w:gridCol w:w="2892"/>
        <w:gridCol w:w="3005"/>
      </w:tblGrid>
      <w:tr w:rsidR="00C924A9" w:rsidRPr="00C924A9" w14:paraId="4FD1E03E" w14:textId="77777777" w:rsidTr="00250CDF">
        <w:trPr>
          <w:cantSplit/>
        </w:trPr>
        <w:tc>
          <w:tcPr>
            <w:tcW w:w="3175" w:type="dxa"/>
          </w:tcPr>
          <w:p w14:paraId="1C74AC62" w14:textId="77777777" w:rsidR="00C924A9" w:rsidRPr="00C924A9" w:rsidRDefault="00C924A9" w:rsidP="00C924A9">
            <w:pPr>
              <w:spacing w:after="0" w:line="240" w:lineRule="auto"/>
              <w:ind w:left="0" w:right="0" w:firstLine="0"/>
              <w:jc w:val="center"/>
              <w:rPr>
                <w:rFonts w:ascii="Times New Roman" w:hAnsi="Times New Roman" w:cs="Times New Roman"/>
                <w:b/>
              </w:rPr>
            </w:pPr>
            <w:r w:rsidRPr="00C924A9">
              <w:rPr>
                <w:rFonts w:ascii="Times New Roman" w:hAnsi="Times New Roman" w:cs="Times New Roman"/>
                <w:b/>
              </w:rPr>
              <w:t>Život i zdravlje ljudi</w:t>
            </w:r>
          </w:p>
        </w:tc>
        <w:tc>
          <w:tcPr>
            <w:tcW w:w="2892" w:type="dxa"/>
          </w:tcPr>
          <w:p w14:paraId="4305F1CF" w14:textId="77777777" w:rsidR="00C924A9" w:rsidRPr="00C924A9" w:rsidRDefault="00C924A9" w:rsidP="00C924A9">
            <w:pPr>
              <w:spacing w:after="0" w:line="240" w:lineRule="auto"/>
              <w:ind w:left="0" w:right="0" w:firstLine="0"/>
              <w:jc w:val="center"/>
              <w:rPr>
                <w:rFonts w:ascii="Times New Roman" w:hAnsi="Times New Roman" w:cs="Times New Roman"/>
                <w:b/>
              </w:rPr>
            </w:pPr>
            <w:r w:rsidRPr="00C924A9">
              <w:rPr>
                <w:rFonts w:ascii="Times New Roman" w:hAnsi="Times New Roman" w:cs="Times New Roman"/>
                <w:b/>
              </w:rPr>
              <w:t xml:space="preserve">Gospodarstvo </w:t>
            </w:r>
          </w:p>
        </w:tc>
        <w:tc>
          <w:tcPr>
            <w:tcW w:w="3005" w:type="dxa"/>
          </w:tcPr>
          <w:p w14:paraId="561A739B" w14:textId="77777777" w:rsidR="00C924A9" w:rsidRPr="00C924A9" w:rsidRDefault="00C924A9" w:rsidP="00C924A9">
            <w:pPr>
              <w:spacing w:after="0" w:line="240" w:lineRule="auto"/>
              <w:ind w:left="0" w:right="0" w:firstLine="0"/>
              <w:jc w:val="center"/>
              <w:rPr>
                <w:rFonts w:ascii="Times New Roman" w:hAnsi="Times New Roman" w:cs="Times New Roman"/>
                <w:b/>
              </w:rPr>
            </w:pPr>
            <w:r w:rsidRPr="00C924A9">
              <w:rPr>
                <w:rFonts w:ascii="Times New Roman" w:hAnsi="Times New Roman" w:cs="Times New Roman"/>
                <w:b/>
              </w:rPr>
              <w:t>Društvena stabilnost i politika</w:t>
            </w:r>
          </w:p>
        </w:tc>
      </w:tr>
      <w:tr w:rsidR="00C924A9" w:rsidRPr="00C924A9" w14:paraId="044DB7D1" w14:textId="77777777" w:rsidTr="00250CDF">
        <w:trPr>
          <w:cantSplit/>
        </w:trPr>
        <w:tc>
          <w:tcPr>
            <w:tcW w:w="3175" w:type="dxa"/>
          </w:tcPr>
          <w:p w14:paraId="419489AF" w14:textId="77777777" w:rsidR="00C924A9" w:rsidRPr="00C924A9" w:rsidRDefault="00C924A9" w:rsidP="00C924A9">
            <w:pPr>
              <w:spacing w:after="0" w:line="240" w:lineRule="auto"/>
              <w:ind w:left="0" w:right="0" w:firstLine="0"/>
              <w:jc w:val="center"/>
              <w:rPr>
                <w:rFonts w:ascii="Times New Roman" w:hAnsi="Times New Roman" w:cs="Times New Roman"/>
                <w:b/>
              </w:rPr>
            </w:pPr>
            <w:r w:rsidRPr="00C924A9">
              <w:rPr>
                <w:rFonts w:ascii="Times New Roman" w:hAnsi="Times New Roman" w:cs="Times New Roman"/>
                <w:b/>
                <w:noProof/>
              </w:rPr>
              <w:drawing>
                <wp:inline distT="0" distB="0" distL="0" distR="0" wp14:anchorId="41F1D04B" wp14:editId="74D0B192">
                  <wp:extent cx="1774190" cy="1450975"/>
                  <wp:effectExtent l="0" t="0" r="0" b="0"/>
                  <wp:docPr id="72930" name="Picture 7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774190" cy="1450975"/>
                          </a:xfrm>
                          <a:prstGeom prst="rect">
                            <a:avLst/>
                          </a:prstGeom>
                          <a:noFill/>
                        </pic:spPr>
                      </pic:pic>
                    </a:graphicData>
                  </a:graphic>
                </wp:inline>
              </w:drawing>
            </w:r>
          </w:p>
        </w:tc>
        <w:tc>
          <w:tcPr>
            <w:tcW w:w="2892" w:type="dxa"/>
          </w:tcPr>
          <w:p w14:paraId="7A72CC46" w14:textId="77777777" w:rsidR="00C924A9" w:rsidRPr="00C924A9" w:rsidRDefault="00C924A9" w:rsidP="00C924A9">
            <w:pPr>
              <w:spacing w:after="0" w:line="240" w:lineRule="auto"/>
              <w:ind w:left="0" w:right="0" w:firstLine="0"/>
              <w:jc w:val="center"/>
              <w:rPr>
                <w:rFonts w:ascii="Times New Roman" w:hAnsi="Times New Roman" w:cs="Times New Roman"/>
                <w:b/>
              </w:rPr>
            </w:pPr>
            <w:r w:rsidRPr="00C924A9">
              <w:rPr>
                <w:rFonts w:ascii="Times New Roman" w:hAnsi="Times New Roman" w:cs="Times New Roman"/>
                <w:b/>
                <w:noProof/>
              </w:rPr>
              <w:drawing>
                <wp:inline distT="0" distB="0" distL="0" distR="0" wp14:anchorId="05393690" wp14:editId="7EEEE3FD">
                  <wp:extent cx="1774190" cy="1450975"/>
                  <wp:effectExtent l="0" t="0" r="0" b="0"/>
                  <wp:docPr id="72931" name="Picture 7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774190" cy="1450975"/>
                          </a:xfrm>
                          <a:prstGeom prst="rect">
                            <a:avLst/>
                          </a:prstGeom>
                          <a:noFill/>
                        </pic:spPr>
                      </pic:pic>
                    </a:graphicData>
                  </a:graphic>
                </wp:inline>
              </w:drawing>
            </w:r>
          </w:p>
        </w:tc>
        <w:tc>
          <w:tcPr>
            <w:tcW w:w="3005" w:type="dxa"/>
          </w:tcPr>
          <w:p w14:paraId="21138122" w14:textId="77777777" w:rsidR="00C924A9" w:rsidRPr="00C924A9" w:rsidRDefault="00C924A9" w:rsidP="00C924A9">
            <w:pPr>
              <w:spacing w:after="0" w:line="240" w:lineRule="auto"/>
              <w:ind w:left="0" w:right="0" w:firstLine="0"/>
              <w:jc w:val="center"/>
              <w:rPr>
                <w:rFonts w:ascii="Times New Roman" w:hAnsi="Times New Roman" w:cs="Times New Roman"/>
                <w:b/>
              </w:rPr>
            </w:pPr>
            <w:r w:rsidRPr="00C924A9">
              <w:rPr>
                <w:rFonts w:ascii="Times New Roman" w:hAnsi="Times New Roman" w:cs="Times New Roman"/>
                <w:b/>
                <w:noProof/>
              </w:rPr>
              <w:drawing>
                <wp:inline distT="0" distB="0" distL="0" distR="0" wp14:anchorId="2DAD4B29" wp14:editId="6C292D3F">
                  <wp:extent cx="1774190" cy="1450975"/>
                  <wp:effectExtent l="0" t="0" r="0" b="0"/>
                  <wp:docPr id="72932" name="Picture 7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774190" cy="1450975"/>
                          </a:xfrm>
                          <a:prstGeom prst="rect">
                            <a:avLst/>
                          </a:prstGeom>
                          <a:noFill/>
                        </pic:spPr>
                      </pic:pic>
                    </a:graphicData>
                  </a:graphic>
                </wp:inline>
              </w:drawing>
            </w:r>
          </w:p>
        </w:tc>
      </w:tr>
    </w:tbl>
    <w:p w14:paraId="6FE0A7F8" w14:textId="3CB96147" w:rsidR="00C924A9" w:rsidRDefault="00C924A9" w:rsidP="00FF1E38">
      <w:pPr>
        <w:spacing w:after="0" w:line="240" w:lineRule="auto"/>
        <w:ind w:left="0" w:right="0" w:firstLine="0"/>
        <w:rPr>
          <w:rFonts w:ascii="Times New Roman" w:hAnsi="Times New Roman" w:cs="Times New Roman"/>
          <w:sz w:val="24"/>
        </w:rPr>
      </w:pPr>
    </w:p>
    <w:p w14:paraId="2ED5A67A" w14:textId="069FE0F5" w:rsidR="00C924A9" w:rsidRDefault="00C924A9" w:rsidP="00FF1E38">
      <w:pPr>
        <w:spacing w:after="0" w:line="240" w:lineRule="auto"/>
        <w:ind w:left="0" w:right="0" w:firstLine="0"/>
        <w:rPr>
          <w:rFonts w:ascii="Times New Roman" w:hAnsi="Times New Roman" w:cs="Times New Roman"/>
          <w:sz w:val="24"/>
        </w:rPr>
      </w:pPr>
    </w:p>
    <w:p w14:paraId="4BABF465" w14:textId="77777777" w:rsidR="00FF1E38" w:rsidRPr="00FF1E38" w:rsidRDefault="00FF1E38" w:rsidP="00FF1E38">
      <w:pPr>
        <w:spacing w:after="0" w:line="240" w:lineRule="auto"/>
        <w:ind w:left="0" w:right="0" w:firstLine="0"/>
        <w:rPr>
          <w:rFonts w:ascii="Times New Roman" w:hAnsi="Times New Roman" w:cs="Times New Roman"/>
          <w:b/>
          <w:sz w:val="24"/>
        </w:rPr>
      </w:pPr>
      <w:bookmarkStart w:id="76" w:name="_Toc2938592"/>
      <w:bookmarkEnd w:id="75"/>
      <w:r w:rsidRPr="00FF1E38">
        <w:rPr>
          <w:rFonts w:ascii="Times New Roman" w:hAnsi="Times New Roman" w:cs="Times New Roman"/>
          <w:b/>
          <w:sz w:val="24"/>
        </w:rPr>
        <w:t>6.1.7. Karte rizika</w:t>
      </w:r>
      <w:bookmarkEnd w:id="76"/>
      <w:r w:rsidRPr="00FF1E38">
        <w:rPr>
          <w:rFonts w:ascii="Times New Roman" w:hAnsi="Times New Roman" w:cs="Times New Roman"/>
          <w:b/>
          <w:sz w:val="24"/>
          <w:vertAlign w:val="superscript"/>
        </w:rPr>
        <w:footnoteReference w:id="39"/>
      </w:r>
    </w:p>
    <w:p w14:paraId="1ECBAA59" w14:textId="77777777" w:rsidR="00FF1E38" w:rsidRPr="00FF1E38" w:rsidRDefault="00FF1E38" w:rsidP="00FF1E38">
      <w:pPr>
        <w:spacing w:after="0" w:line="240" w:lineRule="auto"/>
        <w:ind w:left="0" w:right="0" w:firstLine="0"/>
        <w:rPr>
          <w:rFonts w:ascii="Times New Roman" w:hAnsi="Times New Roman" w:cs="Times New Roman"/>
          <w:sz w:val="24"/>
        </w:rPr>
      </w:pPr>
    </w:p>
    <w:p w14:paraId="0652E224"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Rizik od potresa najčešće se definira kao kombinacija samih posljedica događaja i odgovarajuće vjerojatnosti njihove pojave. Procjena seizmičkog rizika najčešće polazi od očekivanog oštećenja postojećeg fonda građevina temeljem kojeg se proračunavaju moguće opasnosti za ljudsko zdravlje i život te odgovarajući financijski gubici zbog nastale štete. Zato je kad se uspostavlja model seizmičkog rizika iznimno važno obuhvatiti, osim seizmičke opasnosti/hazarda (primjerice vjerojatnost premašivanja određene razine podrhtavanja tla uslijed mogućih potresa u budućnosti), izloženost izgrađenog okoliša (primjerice popis imovine izložene hazardu) te pridružiti odgovarajuću razinu fizičke oštetljivosti pojedinim tipovima građevina (vjerojatnost oštećenja ili gubitaka uslijed određene razine seizmičkog intenziteta). </w:t>
      </w:r>
      <w:r w:rsidRPr="00FF1E38">
        <w:rPr>
          <w:rFonts w:ascii="Times New Roman" w:hAnsi="Times New Roman" w:cs="Times New Roman"/>
          <w:sz w:val="24"/>
        </w:rPr>
        <w:lastRenderedPageBreak/>
        <w:t>Znači, seizmički rizik se može kvantitativno izraziti u obliku konvolucije individualnih faktora: seizmičkog hazarda, izloženosti i oštetljivosti</w:t>
      </w:r>
      <w:r w:rsidRPr="00FF1E38">
        <w:rPr>
          <w:rFonts w:ascii="Times New Roman" w:hAnsi="Times New Roman" w:cs="Times New Roman"/>
          <w:sz w:val="24"/>
          <w:vertAlign w:val="superscript"/>
        </w:rPr>
        <w:footnoteReference w:id="40"/>
      </w:r>
      <w:r w:rsidRPr="00FF1E38">
        <w:rPr>
          <w:rFonts w:ascii="Times New Roman" w:hAnsi="Times New Roman" w:cs="Times New Roman"/>
          <w:sz w:val="24"/>
        </w:rPr>
        <w:t>.</w:t>
      </w:r>
    </w:p>
    <w:p w14:paraId="34BA2F55"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ažuriranoj Procjeni rizika od katastrofa za Republiku Hrvatsku (2019. godina) procjena seizmičkog hazarda je izvršena na razinama mjesnih odbora očitavanjem vršnog horizontalnog ubrzanja za povratne periode od 475 i 95 godina, izloženost fonda građevina je utvrđena tako da su definirani najčešći tipovi konstrukcijskih sustava u gradu, a zatim je za svaki mjesni odbor određen udio svakog pojedinog tipa u ukupnom broju stambenih zgrada.</w:t>
      </w:r>
      <w:r w:rsidRPr="00FF1E38">
        <w:rPr>
          <w:rFonts w:ascii="Calibri" w:eastAsia="Calibri" w:hAnsi="Calibri" w:cs="Times New Roman"/>
          <w:color w:val="auto"/>
          <w:lang w:eastAsia="en-US"/>
        </w:rPr>
        <w:t xml:space="preserve"> </w:t>
      </w:r>
      <w:r w:rsidRPr="00FF1E38">
        <w:rPr>
          <w:rFonts w:ascii="Times New Roman" w:hAnsi="Times New Roman" w:cs="Times New Roman"/>
          <w:sz w:val="24"/>
        </w:rPr>
        <w:t>Također, na razini mjesnog odbora je svakom tipu konstrukcijskog sustava pridružen broj stanovnika kako bi se u konačnici mogao procijeniti broj mogućih žrtava s obzirom na procjenu očekivanog broja teško oštećenih i srušenih zgrada. Analiza oštetljivosti izloženih građevina i troška provedena je na osnovi krivulja vjerojatnosti oštećenja (krivulje ranjivosti) i krivulja oštetljivosti. Ovaj vrijedan rad stručnjaka s Građevinskog fakulteta Sveučilišta u Zagrebu rezultirao je konkretnim znanstvenim podacima o postotku srušenih zgrada u odnosu na ukupan broj zgrada i postotku žrtava u odnosu na ukupan broj stanovnika na razinama mjesnih odbora Grada Zagreba.</w:t>
      </w:r>
    </w:p>
    <w:p w14:paraId="65B6A8D1"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Sukladno Smjernicama za izradu procjene rizika scenarij treba opisivati okolnosti u kojima neželjeni događaji/prijetnje nastaju te stupanj ranjivosti i otpornosti stanovništva, građevina i drugih sadržaja u prostoru ili društva u razmjerima relevantnim za razmatranje implikacija. U scenariju se uz ostalo mora uzeti u obzir stanje društva i ekonomije te uzeti u obzir stanje spremnosti kapaciteta sustava civilne zaštite. Dakle, prilikom procjene u obzir se moraju uzeti i nepovoljne okolnosti tijekom aktivacije sustava civilne zaštite kao i društvene okolnosti koje mogu povećati negativne posljedice događaja na određenom području. Smjernice propisuju da će se scenarijem opisati prijetnja te njen nastanak i posljedice kako bi se po tom primjeru mogle planirati preventivne mjere, educirati stanovništvo odnosno pripremati eventualni odgovor na veliku nesreću. Zbog navedenog uvedeni su neki subjektivni kriteriji u nedostatku boljih znanstvenih rješenja prilikom procjene rizika po gradskim četvrtima. Uslijed nedovoljno potrebnih podataka, nekada se mora pristupiti aproksimaciji kako bi se dobila potpunija slika situacije nakon razornog potresa. Npr. bilo bi idealno da uz pomoć satelita (automatsko očitavanje podataka o površini i visini zgrada, širini ulica), podataka o konstrukciji i starosti zgrada i uz pomoć formule za izračunavanje zone ruševina dobijemo prikaz (simulaciju) potencijalne zone zakrčenja prometnica. Ali unatoč tome što trenutno nemamo takav alat na raspolaganju, pri procjeni rizika korisno je približno ukazati na taj problem jer on izrazito utječe na posljedice događaja i otežava spašavanje.</w:t>
      </w:r>
    </w:p>
    <w:p w14:paraId="2B774B1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Stoga je unutar svake gradske četvrti rizik procijenjen na </w:t>
      </w:r>
      <w:r w:rsidRPr="00FF1E38">
        <w:rPr>
          <w:rFonts w:ascii="Times New Roman" w:hAnsi="Times New Roman" w:cs="Times New Roman"/>
          <w:color w:val="auto"/>
          <w:sz w:val="24"/>
        </w:rPr>
        <w:t xml:space="preserve">osnovu četiri parametra </w:t>
      </w:r>
      <w:r w:rsidRPr="00FF1E38">
        <w:rPr>
          <w:rFonts w:ascii="Times New Roman" w:hAnsi="Times New Roman" w:cs="Times New Roman"/>
          <w:sz w:val="24"/>
        </w:rPr>
        <w:t xml:space="preserve">(kriterija): rušenje </w:t>
      </w:r>
      <w:r w:rsidRPr="00FF1E38">
        <w:rPr>
          <w:rFonts w:ascii="Times New Roman" w:hAnsi="Times New Roman" w:cs="Times New Roman"/>
          <w:color w:val="auto"/>
          <w:sz w:val="24"/>
        </w:rPr>
        <w:t xml:space="preserve">građevina, postotak žrtava, ranjivost </w:t>
      </w:r>
      <w:r w:rsidRPr="00FF1E38">
        <w:rPr>
          <w:rFonts w:ascii="Times New Roman" w:hAnsi="Times New Roman" w:cs="Times New Roman"/>
          <w:sz w:val="24"/>
        </w:rPr>
        <w:t>stanovništva i brzina reakcije snaga civilne zaštite/redovnih hitnih službi. Što je veći ukupni rizik, teže su posljedice događaja unutar gradske četvrti. Pod posljedicama ne smatramo samo izravne rezultate događaja (smrt stanovništva zbog rušenja kuća/zgrada) već i posljedice koje nastanu zbog nepovoljnih okolnosti tijekom procesa zaštite i spašavanja (npr. ranjivost stanovništva, potreba da se zone ruševina raskrče teškom mehanizacijom kako bi se došlo do unesrećenih što produžava vrijeme do trenutka izvlačenja iz ruševina a samim time smanjuje vjerojatnost preživljavanja). Kod odabira parametara (kriterija) vodilo se računa o tome da to budu znanstveni podaci (oštećenje građevina), statistički podaci (udio starije populacije u pojedinoj gradskoj četvrti) ali i iskustvene procjene (brzina reakcije snaga CZ).</w:t>
      </w:r>
    </w:p>
    <w:p w14:paraId="1A87AFA8"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Procjena rizika na razinama gradskih četvrti pomaže da se detektiraju kritične točke u prostoru na koje je u slučaju pojave neželjenog događaja potrebno obratiti posebnu pozornost ili područja na kojima je potrebno planirati dodatne preventivne mjere kako bi se smanjio rizik.</w:t>
      </w:r>
    </w:p>
    <w:p w14:paraId="626A89C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lastRenderedPageBreak/>
        <w:t>Svaki parametar (kriterij) ima četiri vrijednosti: nizak rizik (zelena boja), umjeren rizik (žuta boja), visok rizik (narančasta boja) i vrlo visok rizik (crvena boja).</w:t>
      </w:r>
    </w:p>
    <w:p w14:paraId="2C33CD7D" w14:textId="77777777" w:rsidR="00FF1E38" w:rsidRPr="00FF1E38" w:rsidRDefault="00FF1E38" w:rsidP="00FF1E38">
      <w:pPr>
        <w:spacing w:after="0" w:line="240" w:lineRule="auto"/>
        <w:ind w:left="0" w:right="0" w:firstLine="709"/>
        <w:rPr>
          <w:rFonts w:ascii="Times New Roman" w:hAnsi="Times New Roman" w:cs="Times New Roman"/>
          <w:color w:val="auto"/>
          <w:sz w:val="24"/>
        </w:rPr>
      </w:pPr>
      <w:r w:rsidRPr="00FF1E38">
        <w:rPr>
          <w:rFonts w:ascii="Times New Roman" w:hAnsi="Times New Roman" w:cs="Times New Roman"/>
          <w:color w:val="auto"/>
          <w:sz w:val="24"/>
        </w:rPr>
        <w:t>Parametar</w:t>
      </w:r>
      <w:r w:rsidRPr="00FF1E38">
        <w:rPr>
          <w:rFonts w:ascii="Times New Roman" w:hAnsi="Times New Roman" w:cs="Times New Roman"/>
          <w:i/>
          <w:color w:val="auto"/>
          <w:sz w:val="24"/>
        </w:rPr>
        <w:t xml:space="preserve"> rušenje građevina</w:t>
      </w:r>
      <w:r w:rsidRPr="00FF1E38">
        <w:rPr>
          <w:rFonts w:ascii="Times New Roman" w:hAnsi="Times New Roman" w:cs="Times New Roman"/>
          <w:color w:val="auto"/>
          <w:sz w:val="24"/>
        </w:rPr>
        <w:t xml:space="preserve"> se određuje uzimajući u obzir sistematizirane rezultate procjena izloženosti fonda građevina</w:t>
      </w:r>
      <w:r w:rsidRPr="00FF1E38">
        <w:rPr>
          <w:rFonts w:ascii="Times New Roman" w:hAnsi="Times New Roman" w:cs="Times New Roman"/>
          <w:color w:val="auto"/>
          <w:sz w:val="24"/>
          <w:vertAlign w:val="superscript"/>
        </w:rPr>
        <w:footnoteReference w:id="41"/>
      </w:r>
      <w:r w:rsidRPr="00FF1E38">
        <w:rPr>
          <w:rFonts w:ascii="Times New Roman" w:hAnsi="Times New Roman" w:cs="Times New Roman"/>
          <w:color w:val="auto"/>
          <w:sz w:val="24"/>
        </w:rPr>
        <w:t xml:space="preserve"> odnosno sukladno postotku srušenih zgrada u odnosu na ukupan broj zgrada u pojedinoj gradskoj četvrti. U gradskim četvrtima u kojima se procjenjuje da će postotak srušenih zgrada iznositi do 19% rizik je procijenjen niskim (zelena boja), u gradskim četvrtima u kojima taj postotak iznosi od 19 do 23% rizik je procijenjen umjerenim (žuta boja), u gradskim četvrtima u kojima taj postotak iznosi između 23 i 32% rizik je procijenjen visokim (narančasta boja), a u gradskim četvrtima u kojima taj postotak iznosi između 32 i 41% rizik je procijenjen vrlo visokim (crvena boja).</w:t>
      </w:r>
    </w:p>
    <w:p w14:paraId="5A5F1178" w14:textId="77777777" w:rsidR="00FF1E38" w:rsidRPr="00FF1E38" w:rsidRDefault="00FF1E38" w:rsidP="00FF1E38">
      <w:pPr>
        <w:spacing w:after="0" w:line="240" w:lineRule="auto"/>
        <w:ind w:left="0" w:right="0" w:firstLine="709"/>
        <w:rPr>
          <w:rFonts w:ascii="Times New Roman" w:hAnsi="Times New Roman" w:cs="Times New Roman"/>
          <w:color w:val="auto"/>
          <w:sz w:val="24"/>
        </w:rPr>
      </w:pPr>
      <w:r w:rsidRPr="00FF1E38">
        <w:rPr>
          <w:rFonts w:ascii="Times New Roman" w:hAnsi="Times New Roman" w:cs="Times New Roman"/>
          <w:color w:val="auto"/>
          <w:sz w:val="24"/>
        </w:rPr>
        <w:t xml:space="preserve">Parametar </w:t>
      </w:r>
      <w:r w:rsidRPr="00FF1E38">
        <w:rPr>
          <w:rFonts w:ascii="Times New Roman" w:hAnsi="Times New Roman" w:cs="Times New Roman"/>
          <w:i/>
          <w:color w:val="auto"/>
          <w:sz w:val="24"/>
        </w:rPr>
        <w:t>postotak žrtava</w:t>
      </w:r>
      <w:r w:rsidRPr="00FF1E38">
        <w:rPr>
          <w:rFonts w:ascii="Times New Roman" w:hAnsi="Times New Roman" w:cs="Times New Roman"/>
          <w:color w:val="auto"/>
          <w:sz w:val="24"/>
        </w:rPr>
        <w:t xml:space="preserve"> se određuje u ovisnosti o broju osoba u procjenom</w:t>
      </w:r>
      <w:r w:rsidRPr="00FF1E38">
        <w:rPr>
          <w:rFonts w:ascii="Times New Roman" w:hAnsi="Times New Roman" w:cs="Times New Roman"/>
          <w:color w:val="auto"/>
          <w:sz w:val="24"/>
          <w:vertAlign w:val="superscript"/>
        </w:rPr>
        <w:footnoteReference w:id="42"/>
      </w:r>
      <w:r w:rsidRPr="00FF1E38">
        <w:rPr>
          <w:rFonts w:ascii="Times New Roman" w:hAnsi="Times New Roman" w:cs="Times New Roman"/>
          <w:color w:val="auto"/>
          <w:sz w:val="24"/>
        </w:rPr>
        <w:t xml:space="preserve"> dobivenim jako oštećenim i srušenim zgradama u vrijeme djelovanja potresa. U gradskim četvrtima u kojima se procjenjuje da će postotak žrtava u odnosu na ukupan broj stanovnika u gradskoj četvrti iznositi do 0.17%</w:t>
      </w:r>
      <w:r w:rsidRPr="00FF1E38">
        <w:rPr>
          <w:rFonts w:ascii="Calibri" w:eastAsia="Calibri" w:hAnsi="Calibri" w:cs="Times New Roman"/>
          <w:color w:val="auto"/>
          <w:lang w:eastAsia="en-US"/>
        </w:rPr>
        <w:t xml:space="preserve"> </w:t>
      </w:r>
      <w:r w:rsidRPr="00FF1E38">
        <w:rPr>
          <w:rFonts w:ascii="Times New Roman" w:hAnsi="Times New Roman" w:cs="Times New Roman"/>
          <w:color w:val="auto"/>
          <w:sz w:val="24"/>
        </w:rPr>
        <w:t xml:space="preserve">rizik je procijenjen niskim (zelena boja), u gradskim četvrtima u kojima taj postotak iznosi od 0.17 do 0.22% rizik je procijenjen umjerenim (žuta boja), u gradskim četvrtima u kojima taj postotak iznosi od 0.22 do 0.35% rizik je procijenjen visokim (narančasta boja), a u gradskim četvrtima u kojima taj postotak iznosi od 0.35 do 0.69 % rizik je procijenjen vrlo visokim (crvena boja). </w:t>
      </w:r>
    </w:p>
    <w:p w14:paraId="0C2E195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i/>
          <w:sz w:val="24"/>
        </w:rPr>
        <w:t>Stupanj ranjivosti stanovništva</w:t>
      </w:r>
      <w:r w:rsidRPr="00FF1E38">
        <w:rPr>
          <w:rFonts w:ascii="Times New Roman" w:hAnsi="Times New Roman" w:cs="Times New Roman"/>
          <w:sz w:val="24"/>
        </w:rPr>
        <w:t xml:space="preserve"> procjenjuje se na osnovu podataka o prosječnoj starosti stanovništva unutar svake od gradskih četvrti. Stoga će navedeni parametar (kriterij) biti određen na osnovu koeficijenta starosti</w:t>
      </w:r>
      <w:r w:rsidRPr="00FF1E38">
        <w:rPr>
          <w:rFonts w:ascii="Times New Roman" w:hAnsi="Times New Roman" w:cs="Times New Roman"/>
          <w:sz w:val="24"/>
          <w:vertAlign w:val="superscript"/>
        </w:rPr>
        <w:footnoteReference w:id="43"/>
      </w:r>
      <w:r w:rsidRPr="00FF1E38">
        <w:rPr>
          <w:rFonts w:ascii="Times New Roman" w:hAnsi="Times New Roman" w:cs="Times New Roman"/>
          <w:sz w:val="24"/>
        </w:rPr>
        <w:t xml:space="preserve"> u gradskim četvrtima. U gradskim četvrtima u kojima koeficijent starosti iznosi ispod 20% rizik je procijenjen niskim (zelena boja), u gradskim četvrtima u kojima koeficijent starosti iznosi između 20 i 24% rizik je procijenjen umjerenim (žuta boja), u gradskim četvrtima u kojima koeficijent starosti iznosi između 24 i 26% rizik je procijenjen visokim (narančasta boja), a u gradskim četvrtima u kojima taj postotak iznosi preko 26% rizik je procijenjen vrlo visokim (crvena boja). </w:t>
      </w:r>
    </w:p>
    <w:p w14:paraId="5F8FC66C"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Pri procjeni uzimaju se u obzir pretpostavke da se unutar gradske četvrti u kojoj je prosječno mlađe stanovništvo u slučaju većeg broja osoba s invaliditetom o tim osobama ima tko brinuti i pomagati im prilikom evakuacije, dok je veća otežavajuća okolnost visok prosjek godina u pojedinim gradskim četvrtima jer se podrazumijeva da dosta ljudi u tim naseljima živi samo i nema pomoć mlađih stanovnika niti te osobe mogu računati na pomoć mlađih nakon nastanka neželjenih događaja poput razornog potresa.</w:t>
      </w:r>
    </w:p>
    <w:p w14:paraId="29BBFB9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i/>
          <w:sz w:val="24"/>
        </w:rPr>
        <w:t>Brzina reakcije snaga civilne zaštite</w:t>
      </w:r>
      <w:r w:rsidRPr="00FF1E38">
        <w:rPr>
          <w:rFonts w:ascii="Times New Roman" w:hAnsi="Times New Roman" w:cs="Times New Roman"/>
          <w:sz w:val="24"/>
        </w:rPr>
        <w:t xml:space="preserve"> ponajprije ovisi o pokazateljima poput: izoliranosti gradske četvrti nakon događaja razornog potresa zbog zarušavanja ulica, prekida prometne infrastrukture i starosti odnosno brojnosti zgrada za koje se pretpostavlja da neće izdržati potres bez teških strukturnih oštećenja. Brzina reakcije ovisi o pristupačnosti lokacija za djelovanje tijekom procesa zaštite i spašavanja. Što je više prepreka i što se pogođena zona nalazi dublje u jezgri totalnog razaranja te što je odnos ruševina i slobodnog prolaza zbog urbanističkih rješenja nepovoljniji, odziv (vrijeme reakcije) snaga civilne zaštite je sporiji i time se rizik za stanovništvo povećava. To znači da će pod vrlo visokim rizikom biti područja u gradskom centru i dio stare gradske jezgre, a najmanji rizik što se tiče dostupnosti i brzine reakcije snaga civilne zaštite bit će u rubnim gradskim područjima koja će i nakon razornog potresa biti dobro povezana s okolicom. </w:t>
      </w:r>
    </w:p>
    <w:p w14:paraId="2BAEDDD1"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Rangiranje rizika se vrši tako da su određeni različiti faktori utjecaja na ukupan rizik. Najveći faktor utjecaja imaju kriteriji „oštećenje građevina“ i „postotak žrtava“ a zatim kriterij </w:t>
      </w:r>
      <w:r w:rsidRPr="00FF1E38">
        <w:rPr>
          <w:rFonts w:ascii="Times New Roman" w:hAnsi="Times New Roman" w:cs="Times New Roman"/>
          <w:sz w:val="24"/>
        </w:rPr>
        <w:lastRenderedPageBreak/>
        <w:t xml:space="preserve">„brzina reakcije snaga CZ-a“ budući da nepovoljan omjer tih kriterija najviše negativno utječe na vjerojatnost preživljavanja stanovništva, dok kriterij „ranjivost stanovništva“ ima najviše utjecaja na sam proces evakuacije i potrebnu razinu organizacije evakuacije na područjima gradskih četvrti. </w:t>
      </w:r>
    </w:p>
    <w:p w14:paraId="6E80633B"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Cilj procjene rizika na razini gradskih četvrti je dobiti uvid u ishod/omjer mrtvih i preživjelih odnosno spašenih stanovnika, tj. onih koji će biti suočeni s manjim posljedicama događaja. </w:t>
      </w:r>
    </w:p>
    <w:p w14:paraId="4E6BB323"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14C4245A" w14:textId="5E16A35D" w:rsidR="00FF1E38" w:rsidRPr="00CC129C" w:rsidRDefault="00FF1E38" w:rsidP="00571A98">
      <w:pPr>
        <w:spacing w:line="240" w:lineRule="auto"/>
        <w:ind w:left="0" w:right="0" w:firstLine="0"/>
        <w:jc w:val="center"/>
        <w:rPr>
          <w:rFonts w:ascii="Times New Roman" w:hAnsi="Times New Roman" w:cs="Times New Roman"/>
          <w:b/>
          <w:color w:val="auto"/>
          <w:sz w:val="24"/>
        </w:rPr>
      </w:pPr>
      <w:r w:rsidRPr="00CC129C">
        <w:rPr>
          <w:rFonts w:ascii="Times New Roman" w:hAnsi="Times New Roman" w:cs="Times New Roman"/>
          <w:b/>
          <w:color w:val="auto"/>
          <w:sz w:val="24"/>
        </w:rPr>
        <w:t xml:space="preserve">Tablica </w:t>
      </w:r>
      <w:r w:rsidR="00CC129C" w:rsidRPr="00CC129C">
        <w:rPr>
          <w:rFonts w:ascii="Times New Roman" w:hAnsi="Times New Roman" w:cs="Times New Roman"/>
          <w:b/>
          <w:color w:val="auto"/>
          <w:sz w:val="24"/>
        </w:rPr>
        <w:t>58</w:t>
      </w:r>
      <w:r w:rsidRPr="00CC129C">
        <w:rPr>
          <w:rFonts w:ascii="Times New Roman" w:hAnsi="Times New Roman" w:cs="Times New Roman"/>
          <w:b/>
          <w:color w:val="auto"/>
          <w:sz w:val="24"/>
        </w:rPr>
        <w:t xml:space="preserve">. Procjena rizika na razini gradskih četvrti </w:t>
      </w:r>
    </w:p>
    <w:tbl>
      <w:tblPr>
        <w:tblStyle w:val="TableGrid1"/>
        <w:tblW w:w="9294" w:type="dxa"/>
        <w:jc w:val="center"/>
        <w:tblInd w:w="0" w:type="dxa"/>
        <w:tblLayout w:type="fixed"/>
        <w:tblCellMar>
          <w:left w:w="57" w:type="dxa"/>
          <w:right w:w="56" w:type="dxa"/>
        </w:tblCellMar>
        <w:tblLook w:val="04A0" w:firstRow="1" w:lastRow="0" w:firstColumn="1" w:lastColumn="0" w:noHBand="0" w:noVBand="1"/>
      </w:tblPr>
      <w:tblGrid>
        <w:gridCol w:w="613"/>
        <w:gridCol w:w="1934"/>
        <w:gridCol w:w="1417"/>
        <w:gridCol w:w="1418"/>
        <w:gridCol w:w="1417"/>
        <w:gridCol w:w="1276"/>
        <w:gridCol w:w="1219"/>
      </w:tblGrid>
      <w:tr w:rsidR="00FF1E38" w:rsidRPr="00FF1E38" w14:paraId="65CC02CE" w14:textId="77777777" w:rsidTr="00DE0C9A">
        <w:trPr>
          <w:cantSplit/>
          <w:trHeight w:val="838"/>
          <w:tblHeader/>
          <w:jc w:val="center"/>
        </w:trPr>
        <w:tc>
          <w:tcPr>
            <w:tcW w:w="613"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43B353FB"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R.br.</w:t>
            </w:r>
          </w:p>
        </w:tc>
        <w:tc>
          <w:tcPr>
            <w:tcW w:w="1934"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1A9A25E"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Gradska četvrt</w:t>
            </w:r>
          </w:p>
        </w:tc>
        <w:tc>
          <w:tcPr>
            <w:tcW w:w="141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3C6D659"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Rušenje građevina</w:t>
            </w:r>
          </w:p>
        </w:tc>
        <w:tc>
          <w:tcPr>
            <w:tcW w:w="1418" w:type="dxa"/>
            <w:tcBorders>
              <w:top w:val="single" w:sz="4" w:space="0" w:color="000000"/>
              <w:left w:val="single" w:sz="4" w:space="0" w:color="000000"/>
              <w:bottom w:val="single" w:sz="4" w:space="0" w:color="000000"/>
              <w:right w:val="single" w:sz="4" w:space="0" w:color="000000"/>
            </w:tcBorders>
            <w:shd w:val="clear" w:color="auto" w:fill="00B0F0"/>
          </w:tcPr>
          <w:p w14:paraId="2E1A0B3F"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p>
          <w:p w14:paraId="382E2D8E"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Postotak žrtava</w:t>
            </w:r>
          </w:p>
        </w:tc>
        <w:tc>
          <w:tcPr>
            <w:tcW w:w="141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E9666DE"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Ranjivost stanovništva</w:t>
            </w:r>
          </w:p>
        </w:tc>
        <w:tc>
          <w:tcPr>
            <w:tcW w:w="1276"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4AF53B06"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Brzina reakcije snaga CZ-a</w:t>
            </w:r>
          </w:p>
        </w:tc>
        <w:tc>
          <w:tcPr>
            <w:tcW w:w="121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3CE62FFE"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UKUPNO</w:t>
            </w:r>
          </w:p>
        </w:tc>
      </w:tr>
      <w:tr w:rsidR="00FF1E38" w:rsidRPr="00FF1E38" w14:paraId="4E8EA44C" w14:textId="77777777" w:rsidTr="00DE0C9A">
        <w:trPr>
          <w:cantSplit/>
          <w:trHeight w:val="680"/>
          <w:jc w:val="center"/>
        </w:trPr>
        <w:tc>
          <w:tcPr>
            <w:tcW w:w="613"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E948960"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w:t>
            </w:r>
          </w:p>
        </w:tc>
        <w:tc>
          <w:tcPr>
            <w:tcW w:w="1934" w:type="dxa"/>
            <w:tcBorders>
              <w:top w:val="single" w:sz="4" w:space="0" w:color="000000"/>
              <w:left w:val="single" w:sz="4" w:space="0" w:color="000000"/>
              <w:bottom w:val="single" w:sz="4" w:space="0" w:color="000000"/>
              <w:right w:val="single" w:sz="4" w:space="0" w:color="000000"/>
            </w:tcBorders>
            <w:vAlign w:val="center"/>
          </w:tcPr>
          <w:p w14:paraId="0367215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Brezovica</w:t>
            </w:r>
          </w:p>
        </w:tc>
        <w:tc>
          <w:tcPr>
            <w:tcW w:w="1417"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676A49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92D050"/>
          </w:tcPr>
          <w:p w14:paraId="30948E6B" w14:textId="77777777" w:rsidR="00FF1E38" w:rsidRPr="00FF1E38" w:rsidRDefault="00FF1E38" w:rsidP="00FF1E38">
            <w:pPr>
              <w:spacing w:after="0" w:line="240" w:lineRule="auto"/>
              <w:ind w:left="0" w:right="0" w:firstLine="0"/>
              <w:jc w:val="center"/>
              <w:rPr>
                <w:rFonts w:ascii="Times New Roman" w:hAnsi="Times New Roman" w:cs="Times New Roman"/>
                <w:color w:val="FFFF00"/>
              </w:rPr>
            </w:pPr>
          </w:p>
        </w:tc>
        <w:tc>
          <w:tcPr>
            <w:tcW w:w="1417"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E2871BE" w14:textId="77777777" w:rsidR="00FF1E38" w:rsidRPr="00FF1E38" w:rsidRDefault="00FF1E38" w:rsidP="00FF1E38">
            <w:pPr>
              <w:spacing w:after="0" w:line="240" w:lineRule="auto"/>
              <w:ind w:left="0" w:right="0" w:firstLine="0"/>
              <w:jc w:val="center"/>
              <w:rPr>
                <w:rFonts w:ascii="Times New Roman" w:hAnsi="Times New Roman" w:cs="Times New Roman"/>
                <w:color w:val="FFFF00"/>
              </w:rPr>
            </w:pPr>
          </w:p>
        </w:tc>
        <w:tc>
          <w:tcPr>
            <w:tcW w:w="1276"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00A05BD2"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19"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2EF39F1"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6D6ED6A8" w14:textId="77777777" w:rsidTr="00DE0C9A">
        <w:trPr>
          <w:cantSplit/>
          <w:trHeight w:val="680"/>
          <w:jc w:val="center"/>
        </w:trPr>
        <w:tc>
          <w:tcPr>
            <w:tcW w:w="613"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141E378"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2.</w:t>
            </w:r>
          </w:p>
        </w:tc>
        <w:tc>
          <w:tcPr>
            <w:tcW w:w="1934" w:type="dxa"/>
            <w:tcBorders>
              <w:top w:val="single" w:sz="4" w:space="0" w:color="000000"/>
              <w:left w:val="single" w:sz="4" w:space="0" w:color="000000"/>
              <w:bottom w:val="single" w:sz="4" w:space="0" w:color="000000"/>
              <w:right w:val="single" w:sz="4" w:space="0" w:color="000000"/>
            </w:tcBorders>
            <w:vAlign w:val="center"/>
          </w:tcPr>
          <w:p w14:paraId="67C04B4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Črnomerec</w:t>
            </w:r>
          </w:p>
        </w:tc>
        <w:tc>
          <w:tcPr>
            <w:tcW w:w="141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715F1EF"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C000"/>
          </w:tcPr>
          <w:p w14:paraId="7FEF4EAA"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AA9BEBB"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7D06BFDB"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6FB300B"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22D0EE1F" w14:textId="77777777" w:rsidTr="00DE0C9A">
        <w:trPr>
          <w:cantSplit/>
          <w:trHeight w:val="680"/>
          <w:jc w:val="center"/>
        </w:trPr>
        <w:tc>
          <w:tcPr>
            <w:tcW w:w="613"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02DE1DE"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3.</w:t>
            </w:r>
          </w:p>
        </w:tc>
        <w:tc>
          <w:tcPr>
            <w:tcW w:w="1934" w:type="dxa"/>
            <w:tcBorders>
              <w:top w:val="single" w:sz="4" w:space="0" w:color="000000"/>
              <w:left w:val="single" w:sz="4" w:space="0" w:color="000000"/>
              <w:bottom w:val="single" w:sz="4" w:space="0" w:color="000000"/>
              <w:right w:val="single" w:sz="4" w:space="0" w:color="000000"/>
            </w:tcBorders>
            <w:vAlign w:val="center"/>
          </w:tcPr>
          <w:p w14:paraId="0B3EDEC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Donja Dubrava</w:t>
            </w:r>
          </w:p>
        </w:tc>
        <w:tc>
          <w:tcPr>
            <w:tcW w:w="1417"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05F5966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C000"/>
          </w:tcPr>
          <w:p w14:paraId="39975E3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7F05F5F6"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22B9CEFD"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D4673AF"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57F7A5EB" w14:textId="77777777" w:rsidTr="00DE0C9A">
        <w:trPr>
          <w:cantSplit/>
          <w:trHeight w:val="680"/>
          <w:jc w:val="center"/>
        </w:trPr>
        <w:tc>
          <w:tcPr>
            <w:tcW w:w="613"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444BE42B"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4.</w:t>
            </w:r>
          </w:p>
        </w:tc>
        <w:tc>
          <w:tcPr>
            <w:tcW w:w="1934" w:type="dxa"/>
            <w:tcBorders>
              <w:top w:val="single" w:sz="4" w:space="0" w:color="000000"/>
              <w:left w:val="single" w:sz="4" w:space="0" w:color="000000"/>
              <w:bottom w:val="single" w:sz="4" w:space="0" w:color="000000"/>
              <w:right w:val="single" w:sz="4" w:space="0" w:color="000000"/>
            </w:tcBorders>
            <w:vAlign w:val="center"/>
          </w:tcPr>
          <w:p w14:paraId="2E7D155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Donji grad</w:t>
            </w:r>
          </w:p>
        </w:tc>
        <w:tc>
          <w:tcPr>
            <w:tcW w:w="1417"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0FA8B500"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0000"/>
          </w:tcPr>
          <w:p w14:paraId="56348748"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3836BD88"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2711E539"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19"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749374E0"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00C4949B" w14:textId="77777777" w:rsidTr="00DE0C9A">
        <w:trPr>
          <w:cantSplit/>
          <w:trHeight w:val="680"/>
          <w:jc w:val="center"/>
        </w:trPr>
        <w:tc>
          <w:tcPr>
            <w:tcW w:w="613"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2A4FB9E"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5.</w:t>
            </w:r>
          </w:p>
        </w:tc>
        <w:tc>
          <w:tcPr>
            <w:tcW w:w="1934" w:type="dxa"/>
            <w:tcBorders>
              <w:top w:val="single" w:sz="4" w:space="0" w:color="000000"/>
              <w:left w:val="single" w:sz="4" w:space="0" w:color="000000"/>
              <w:bottom w:val="single" w:sz="4" w:space="0" w:color="000000"/>
              <w:right w:val="single" w:sz="4" w:space="0" w:color="000000"/>
            </w:tcBorders>
            <w:vAlign w:val="center"/>
          </w:tcPr>
          <w:p w14:paraId="1E55AEA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Gornja Dubrava</w:t>
            </w:r>
          </w:p>
        </w:tc>
        <w:tc>
          <w:tcPr>
            <w:tcW w:w="1417"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81AC0E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0000"/>
          </w:tcPr>
          <w:p w14:paraId="1566E4D0"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764CE50"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14BA93A"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19"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2EA811EE"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5662D279" w14:textId="77777777" w:rsidTr="00DE0C9A">
        <w:trPr>
          <w:cantSplit/>
          <w:trHeight w:val="680"/>
          <w:jc w:val="center"/>
        </w:trPr>
        <w:tc>
          <w:tcPr>
            <w:tcW w:w="613"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085BA2E"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6.</w:t>
            </w:r>
          </w:p>
        </w:tc>
        <w:tc>
          <w:tcPr>
            <w:tcW w:w="1934" w:type="dxa"/>
            <w:tcBorders>
              <w:top w:val="single" w:sz="4" w:space="0" w:color="000000"/>
              <w:left w:val="single" w:sz="4" w:space="0" w:color="000000"/>
              <w:bottom w:val="single" w:sz="4" w:space="0" w:color="000000"/>
              <w:right w:val="single" w:sz="4" w:space="0" w:color="000000"/>
            </w:tcBorders>
            <w:vAlign w:val="center"/>
          </w:tcPr>
          <w:p w14:paraId="75442F3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Gornji grad - Medveščak</w:t>
            </w:r>
          </w:p>
        </w:tc>
        <w:tc>
          <w:tcPr>
            <w:tcW w:w="1417"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53D3E7F2"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0000"/>
          </w:tcPr>
          <w:p w14:paraId="03760F80"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633D5A2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43B82392"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19"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0A39619F"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48E6143F" w14:textId="77777777" w:rsidTr="00DE0C9A">
        <w:trPr>
          <w:cantSplit/>
          <w:trHeight w:val="680"/>
          <w:jc w:val="center"/>
        </w:trPr>
        <w:tc>
          <w:tcPr>
            <w:tcW w:w="613"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28315143"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7.</w:t>
            </w:r>
          </w:p>
        </w:tc>
        <w:tc>
          <w:tcPr>
            <w:tcW w:w="1934" w:type="dxa"/>
            <w:tcBorders>
              <w:top w:val="single" w:sz="4" w:space="0" w:color="000000"/>
              <w:left w:val="single" w:sz="4" w:space="0" w:color="000000"/>
              <w:bottom w:val="single" w:sz="4" w:space="0" w:color="000000"/>
              <w:right w:val="single" w:sz="4" w:space="0" w:color="000000"/>
            </w:tcBorders>
            <w:vAlign w:val="center"/>
          </w:tcPr>
          <w:p w14:paraId="0707410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Maksimir</w:t>
            </w:r>
          </w:p>
        </w:tc>
        <w:tc>
          <w:tcPr>
            <w:tcW w:w="141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C553F51"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0000"/>
          </w:tcPr>
          <w:p w14:paraId="2D6AE79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794415B3"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44015F8D"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19"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03BB70E1"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21611895" w14:textId="77777777" w:rsidTr="00DE0C9A">
        <w:trPr>
          <w:cantSplit/>
          <w:trHeight w:val="680"/>
          <w:jc w:val="center"/>
        </w:trPr>
        <w:tc>
          <w:tcPr>
            <w:tcW w:w="613"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3DA38AAE"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8.</w:t>
            </w:r>
          </w:p>
        </w:tc>
        <w:tc>
          <w:tcPr>
            <w:tcW w:w="1934" w:type="dxa"/>
            <w:tcBorders>
              <w:top w:val="single" w:sz="4" w:space="0" w:color="000000"/>
              <w:left w:val="single" w:sz="4" w:space="0" w:color="000000"/>
              <w:bottom w:val="single" w:sz="4" w:space="0" w:color="000000"/>
              <w:right w:val="single" w:sz="4" w:space="0" w:color="000000"/>
            </w:tcBorders>
            <w:vAlign w:val="center"/>
          </w:tcPr>
          <w:p w14:paraId="460C0E3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Novi Zagreb - istok</w:t>
            </w:r>
          </w:p>
        </w:tc>
        <w:tc>
          <w:tcPr>
            <w:tcW w:w="14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578A98D1"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0000"/>
          </w:tcPr>
          <w:p w14:paraId="7B156A48"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7F9B3C9F"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0171925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D077003"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51730F3B" w14:textId="77777777" w:rsidTr="00DE0C9A">
        <w:trPr>
          <w:cantSplit/>
          <w:trHeight w:val="680"/>
          <w:jc w:val="center"/>
        </w:trPr>
        <w:tc>
          <w:tcPr>
            <w:tcW w:w="613"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24F8C3F4"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9.</w:t>
            </w:r>
          </w:p>
        </w:tc>
        <w:tc>
          <w:tcPr>
            <w:tcW w:w="1934" w:type="dxa"/>
            <w:tcBorders>
              <w:top w:val="single" w:sz="4" w:space="0" w:color="000000"/>
              <w:left w:val="single" w:sz="4" w:space="0" w:color="000000"/>
              <w:bottom w:val="single" w:sz="4" w:space="0" w:color="000000"/>
              <w:right w:val="single" w:sz="4" w:space="0" w:color="000000"/>
            </w:tcBorders>
            <w:vAlign w:val="center"/>
          </w:tcPr>
          <w:p w14:paraId="7682277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Novi Zagreb - zapad</w:t>
            </w:r>
          </w:p>
        </w:tc>
        <w:tc>
          <w:tcPr>
            <w:tcW w:w="14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7A316A3A" w14:textId="77777777" w:rsidR="00FF1E38" w:rsidRPr="00FF1E38" w:rsidRDefault="00FF1E38" w:rsidP="00FF1E38">
            <w:pPr>
              <w:spacing w:after="0" w:line="240" w:lineRule="auto"/>
              <w:ind w:left="0" w:right="0" w:firstLine="0"/>
              <w:jc w:val="center"/>
              <w:rPr>
                <w:rFonts w:ascii="Times New Roman" w:hAnsi="Times New Roman" w:cs="Times New Roman"/>
                <w:color w:val="FFFF00"/>
              </w:rPr>
            </w:pPr>
          </w:p>
        </w:tc>
        <w:tc>
          <w:tcPr>
            <w:tcW w:w="1418" w:type="dxa"/>
            <w:tcBorders>
              <w:top w:val="single" w:sz="4" w:space="0" w:color="000000"/>
              <w:left w:val="single" w:sz="4" w:space="0" w:color="000000"/>
              <w:bottom w:val="single" w:sz="4" w:space="0" w:color="000000"/>
              <w:right w:val="single" w:sz="4" w:space="0" w:color="000000"/>
            </w:tcBorders>
            <w:shd w:val="clear" w:color="auto" w:fill="92D050"/>
          </w:tcPr>
          <w:p w14:paraId="54C53D76"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DD3C497"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30299DD6"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19"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4798F16F"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321DAD77" w14:textId="77777777" w:rsidTr="00DE0C9A">
        <w:trPr>
          <w:cantSplit/>
          <w:trHeight w:val="680"/>
          <w:jc w:val="center"/>
        </w:trPr>
        <w:tc>
          <w:tcPr>
            <w:tcW w:w="613"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461C3774"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10.</w:t>
            </w:r>
          </w:p>
        </w:tc>
        <w:tc>
          <w:tcPr>
            <w:tcW w:w="1934" w:type="dxa"/>
            <w:tcBorders>
              <w:top w:val="single" w:sz="4" w:space="0" w:color="000000"/>
              <w:left w:val="single" w:sz="4" w:space="0" w:color="000000"/>
              <w:bottom w:val="single" w:sz="4" w:space="0" w:color="000000"/>
              <w:right w:val="single" w:sz="4" w:space="0" w:color="000000"/>
            </w:tcBorders>
            <w:vAlign w:val="center"/>
          </w:tcPr>
          <w:p w14:paraId="438841F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Peščenica - Žitnjak</w:t>
            </w:r>
          </w:p>
        </w:tc>
        <w:tc>
          <w:tcPr>
            <w:tcW w:w="1417"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D5899D8" w14:textId="77777777" w:rsidR="00FF1E38" w:rsidRPr="00FF1E38" w:rsidRDefault="00FF1E38" w:rsidP="00FF1E38">
            <w:pPr>
              <w:spacing w:after="0" w:line="240" w:lineRule="auto"/>
              <w:ind w:left="0" w:right="0" w:firstLine="0"/>
              <w:jc w:val="center"/>
              <w:rPr>
                <w:rFonts w:ascii="Times New Roman" w:hAnsi="Times New Roman" w:cs="Times New Roman"/>
                <w:color w:val="FFFF00"/>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00"/>
          </w:tcPr>
          <w:p w14:paraId="2B12D4E1"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0C7D7450"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43E3D9D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19"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17299AA0"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1D488EC4" w14:textId="77777777" w:rsidTr="00DE0C9A">
        <w:trPr>
          <w:cantSplit/>
          <w:trHeight w:val="680"/>
          <w:jc w:val="center"/>
        </w:trPr>
        <w:tc>
          <w:tcPr>
            <w:tcW w:w="613"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379470B1"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11.</w:t>
            </w:r>
          </w:p>
        </w:tc>
        <w:tc>
          <w:tcPr>
            <w:tcW w:w="1934" w:type="dxa"/>
            <w:tcBorders>
              <w:top w:val="single" w:sz="4" w:space="0" w:color="000000"/>
              <w:left w:val="single" w:sz="4" w:space="0" w:color="000000"/>
              <w:bottom w:val="single" w:sz="4" w:space="0" w:color="000000"/>
              <w:right w:val="single" w:sz="4" w:space="0" w:color="000000"/>
            </w:tcBorders>
            <w:vAlign w:val="center"/>
          </w:tcPr>
          <w:p w14:paraId="54B4148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Podsljeme</w:t>
            </w:r>
          </w:p>
        </w:tc>
        <w:tc>
          <w:tcPr>
            <w:tcW w:w="1417"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1B859F1F"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C000"/>
          </w:tcPr>
          <w:p w14:paraId="703634B0"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6A90284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37659AEF"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19"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4FF5A1AF"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0565478A" w14:textId="77777777" w:rsidTr="00DE0C9A">
        <w:trPr>
          <w:cantSplit/>
          <w:trHeight w:val="680"/>
          <w:jc w:val="center"/>
        </w:trPr>
        <w:tc>
          <w:tcPr>
            <w:tcW w:w="613"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0399C707"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12.</w:t>
            </w:r>
          </w:p>
        </w:tc>
        <w:tc>
          <w:tcPr>
            <w:tcW w:w="1934" w:type="dxa"/>
            <w:tcBorders>
              <w:top w:val="single" w:sz="4" w:space="0" w:color="000000"/>
              <w:left w:val="single" w:sz="4" w:space="0" w:color="000000"/>
              <w:bottom w:val="single" w:sz="4" w:space="0" w:color="000000"/>
              <w:right w:val="single" w:sz="4" w:space="0" w:color="000000"/>
            </w:tcBorders>
            <w:vAlign w:val="center"/>
          </w:tcPr>
          <w:p w14:paraId="3D75188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Podsused - Vrapče</w:t>
            </w:r>
          </w:p>
        </w:tc>
        <w:tc>
          <w:tcPr>
            <w:tcW w:w="1417"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039F93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92D050"/>
          </w:tcPr>
          <w:p w14:paraId="5B1A591E"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1CD9BF33"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6888BF32"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11BDFCB"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590D6997" w14:textId="77777777" w:rsidTr="00DE0C9A">
        <w:trPr>
          <w:cantSplit/>
          <w:trHeight w:val="680"/>
          <w:jc w:val="center"/>
        </w:trPr>
        <w:tc>
          <w:tcPr>
            <w:tcW w:w="613"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97635FA"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13.</w:t>
            </w:r>
          </w:p>
        </w:tc>
        <w:tc>
          <w:tcPr>
            <w:tcW w:w="1934" w:type="dxa"/>
            <w:tcBorders>
              <w:top w:val="single" w:sz="4" w:space="0" w:color="000000"/>
              <w:left w:val="single" w:sz="4" w:space="0" w:color="000000"/>
              <w:bottom w:val="single" w:sz="4" w:space="0" w:color="000000"/>
              <w:right w:val="single" w:sz="4" w:space="0" w:color="000000"/>
            </w:tcBorders>
            <w:vAlign w:val="center"/>
          </w:tcPr>
          <w:p w14:paraId="67017E2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Sesvete</w:t>
            </w:r>
          </w:p>
        </w:tc>
        <w:tc>
          <w:tcPr>
            <w:tcW w:w="14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3F5273B1" w14:textId="77777777" w:rsidR="00FF1E38" w:rsidRPr="00FF1E38" w:rsidRDefault="00FF1E38" w:rsidP="00FF1E38">
            <w:pPr>
              <w:spacing w:after="0" w:line="240" w:lineRule="auto"/>
              <w:ind w:left="0" w:right="0" w:firstLine="0"/>
              <w:jc w:val="center"/>
              <w:rPr>
                <w:rFonts w:ascii="Times New Roman" w:hAnsi="Times New Roman" w:cs="Times New Roman"/>
                <w:color w:val="FFFF00"/>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00"/>
          </w:tcPr>
          <w:p w14:paraId="592D23FE"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33CAA72F"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007C7CB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19"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2C9F6CA"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2E4AC77A" w14:textId="77777777" w:rsidTr="00DE0C9A">
        <w:trPr>
          <w:cantSplit/>
          <w:trHeight w:val="680"/>
          <w:jc w:val="center"/>
        </w:trPr>
        <w:tc>
          <w:tcPr>
            <w:tcW w:w="613"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298B2B9"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14.</w:t>
            </w:r>
          </w:p>
        </w:tc>
        <w:tc>
          <w:tcPr>
            <w:tcW w:w="1934" w:type="dxa"/>
            <w:tcBorders>
              <w:top w:val="single" w:sz="4" w:space="0" w:color="000000"/>
              <w:left w:val="single" w:sz="4" w:space="0" w:color="000000"/>
              <w:bottom w:val="single" w:sz="4" w:space="0" w:color="000000"/>
              <w:right w:val="single" w:sz="4" w:space="0" w:color="000000"/>
            </w:tcBorders>
            <w:vAlign w:val="center"/>
          </w:tcPr>
          <w:p w14:paraId="670D607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Stenjevec</w:t>
            </w:r>
          </w:p>
        </w:tc>
        <w:tc>
          <w:tcPr>
            <w:tcW w:w="14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073B69DD" w14:textId="77777777" w:rsidR="00FF1E38" w:rsidRPr="00FF1E38" w:rsidRDefault="00FF1E38" w:rsidP="00FF1E38">
            <w:pPr>
              <w:spacing w:after="0" w:line="240" w:lineRule="auto"/>
              <w:ind w:left="0" w:right="0" w:firstLine="0"/>
              <w:jc w:val="center"/>
              <w:rPr>
                <w:rFonts w:ascii="Times New Roman" w:hAnsi="Times New Roman" w:cs="Times New Roman"/>
                <w:color w:val="FFFF00"/>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00"/>
          </w:tcPr>
          <w:p w14:paraId="0D58FD9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2A04FCBF"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1C60E708"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19"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C8BE7DC"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6145CA0A" w14:textId="77777777" w:rsidTr="00DE0C9A">
        <w:trPr>
          <w:cantSplit/>
          <w:trHeight w:val="680"/>
          <w:jc w:val="center"/>
        </w:trPr>
        <w:tc>
          <w:tcPr>
            <w:tcW w:w="613"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05D36406"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15.</w:t>
            </w:r>
          </w:p>
        </w:tc>
        <w:tc>
          <w:tcPr>
            <w:tcW w:w="1934" w:type="dxa"/>
            <w:tcBorders>
              <w:top w:val="single" w:sz="4" w:space="0" w:color="000000"/>
              <w:left w:val="single" w:sz="4" w:space="0" w:color="000000"/>
              <w:bottom w:val="single" w:sz="4" w:space="0" w:color="000000"/>
              <w:right w:val="single" w:sz="4" w:space="0" w:color="000000"/>
            </w:tcBorders>
            <w:vAlign w:val="center"/>
          </w:tcPr>
          <w:p w14:paraId="19B0DF5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Trešnjevka - jug</w:t>
            </w:r>
          </w:p>
        </w:tc>
        <w:tc>
          <w:tcPr>
            <w:tcW w:w="14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31751068"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C000"/>
          </w:tcPr>
          <w:p w14:paraId="73032CA9"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BD54927"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0643D7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0964E47"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0867870F" w14:textId="77777777" w:rsidTr="00DE0C9A">
        <w:trPr>
          <w:cantSplit/>
          <w:trHeight w:val="680"/>
          <w:jc w:val="center"/>
        </w:trPr>
        <w:tc>
          <w:tcPr>
            <w:tcW w:w="613"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4D64D014"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lastRenderedPageBreak/>
              <w:t>16.</w:t>
            </w:r>
          </w:p>
        </w:tc>
        <w:tc>
          <w:tcPr>
            <w:tcW w:w="1934" w:type="dxa"/>
            <w:tcBorders>
              <w:top w:val="single" w:sz="4" w:space="0" w:color="000000"/>
              <w:left w:val="single" w:sz="4" w:space="0" w:color="000000"/>
              <w:bottom w:val="single" w:sz="4" w:space="0" w:color="000000"/>
              <w:right w:val="single" w:sz="4" w:space="0" w:color="000000"/>
            </w:tcBorders>
            <w:vAlign w:val="center"/>
          </w:tcPr>
          <w:p w14:paraId="2F8F5F1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Trešnjevka - sjever</w:t>
            </w:r>
          </w:p>
        </w:tc>
        <w:tc>
          <w:tcPr>
            <w:tcW w:w="141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A3ED3D0" w14:textId="77777777" w:rsidR="00FF1E38" w:rsidRPr="00FF1E38" w:rsidRDefault="00FF1E38" w:rsidP="00FF1E38">
            <w:pPr>
              <w:spacing w:after="0" w:line="240" w:lineRule="auto"/>
              <w:ind w:left="0" w:right="0" w:firstLine="0"/>
              <w:jc w:val="center"/>
              <w:rPr>
                <w:rFonts w:ascii="Times New Roman" w:hAnsi="Times New Roman" w:cs="Times New Roman"/>
                <w:color w:val="FFFF00"/>
              </w:rPr>
            </w:pPr>
          </w:p>
        </w:tc>
        <w:tc>
          <w:tcPr>
            <w:tcW w:w="1418" w:type="dxa"/>
            <w:tcBorders>
              <w:top w:val="single" w:sz="4" w:space="0" w:color="000000"/>
              <w:left w:val="single" w:sz="4" w:space="0" w:color="000000"/>
              <w:bottom w:val="single" w:sz="4" w:space="0" w:color="000000"/>
              <w:right w:val="single" w:sz="4" w:space="0" w:color="000000"/>
            </w:tcBorders>
            <w:shd w:val="clear" w:color="auto" w:fill="FFC000"/>
          </w:tcPr>
          <w:p w14:paraId="475094B9"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796665F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68623F4B"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1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C23119D"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4F00B896" w14:textId="77777777" w:rsidTr="00DE0C9A">
        <w:trPr>
          <w:cantSplit/>
          <w:trHeight w:val="680"/>
          <w:jc w:val="center"/>
        </w:trPr>
        <w:tc>
          <w:tcPr>
            <w:tcW w:w="613"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06B507D2"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17.</w:t>
            </w:r>
          </w:p>
        </w:tc>
        <w:tc>
          <w:tcPr>
            <w:tcW w:w="1934" w:type="dxa"/>
            <w:tcBorders>
              <w:top w:val="single" w:sz="4" w:space="0" w:color="000000"/>
              <w:left w:val="single" w:sz="4" w:space="0" w:color="000000"/>
              <w:bottom w:val="single" w:sz="4" w:space="0" w:color="000000"/>
              <w:right w:val="single" w:sz="4" w:space="0" w:color="000000"/>
            </w:tcBorders>
            <w:vAlign w:val="center"/>
          </w:tcPr>
          <w:p w14:paraId="69F9ADB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Trnje</w:t>
            </w:r>
          </w:p>
        </w:tc>
        <w:tc>
          <w:tcPr>
            <w:tcW w:w="1417"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2A897E86"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0000"/>
          </w:tcPr>
          <w:p w14:paraId="77C7B3FE"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17"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435104E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1635952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19"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20A758A7" w14:textId="77777777" w:rsidR="00FF1E38" w:rsidRPr="00FF1E38" w:rsidRDefault="00FF1E38" w:rsidP="00FF1E38">
            <w:pPr>
              <w:spacing w:after="0" w:line="240" w:lineRule="auto"/>
              <w:ind w:left="0" w:right="0" w:firstLine="0"/>
              <w:jc w:val="center"/>
              <w:rPr>
                <w:rFonts w:ascii="Times New Roman" w:hAnsi="Times New Roman" w:cs="Times New Roman"/>
              </w:rPr>
            </w:pPr>
          </w:p>
        </w:tc>
      </w:tr>
    </w:tbl>
    <w:p w14:paraId="69B63BFD"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0F284F86"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Uz prikaz rizika dostupan je i prikaz posljedica. Uzimaju se rezultati procjene iz kategorija definiranih Smjernicama. U slučaju ostvarivanja scenarija posljedice na području čitavog Grada Zagreba bit će katastrofalne osim na području Gradske četvrti Brezovica gdje će biti znatne. Pod posljedicama se podrazumijeva bilo kakva vrsta negativnog utjecaja događaja na stanovništvo, dakle ne samo najgore posljedice (smrt, ozljeđivanje i rušenje objekata) već i otkazivanje kritične infrastrukture te narušavanje kvalitete života. </w:t>
      </w:r>
    </w:p>
    <w:p w14:paraId="187F8FC3" w14:textId="77777777" w:rsidR="00FF1E38" w:rsidRPr="00FF1E38" w:rsidRDefault="00FF1E38" w:rsidP="00FF1E38">
      <w:pPr>
        <w:spacing w:after="0" w:line="240" w:lineRule="auto"/>
        <w:ind w:left="0" w:right="0" w:firstLine="0"/>
        <w:jc w:val="center"/>
        <w:rPr>
          <w:rFonts w:ascii="Times New Roman" w:hAnsi="Times New Roman" w:cs="Times New Roman"/>
          <w:b/>
          <w:sz w:val="24"/>
        </w:rPr>
      </w:pPr>
    </w:p>
    <w:p w14:paraId="55D40B24" w14:textId="77777777" w:rsidR="00FF1E38" w:rsidRPr="00FF1E38" w:rsidRDefault="00FF1E38" w:rsidP="00FF1E38">
      <w:pPr>
        <w:spacing w:after="0" w:line="240" w:lineRule="auto"/>
        <w:ind w:left="0" w:right="0" w:firstLine="0"/>
        <w:rPr>
          <w:rFonts w:ascii="Times New Roman" w:hAnsi="Times New Roman" w:cs="Times New Roman"/>
          <w:sz w:val="24"/>
        </w:rPr>
      </w:pPr>
    </w:p>
    <w:p w14:paraId="42BC4CD4"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Calibri" w:eastAsia="Calibri" w:hAnsi="Calibri" w:cs="Times New Roman"/>
          <w:noProof/>
          <w:color w:val="auto"/>
        </w:rPr>
        <w:drawing>
          <wp:inline distT="0" distB="0" distL="0" distR="0" wp14:anchorId="62A1865B" wp14:editId="25B0D4F7">
            <wp:extent cx="4257675" cy="381531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a:stretch/>
                  </pic:blipFill>
                  <pic:spPr bwMode="auto">
                    <a:xfrm>
                      <a:off x="0" y="0"/>
                      <a:ext cx="4279108" cy="3834525"/>
                    </a:xfrm>
                    <a:prstGeom prst="rect">
                      <a:avLst/>
                    </a:prstGeom>
                    <a:noFill/>
                    <a:ln>
                      <a:noFill/>
                    </a:ln>
                    <a:extLst>
                      <a:ext uri="{53640926-AAD7-44D8-BBD7-CCE9431645EC}">
                        <a14:shadowObscured xmlns:a14="http://schemas.microsoft.com/office/drawing/2010/main"/>
                      </a:ext>
                    </a:extLst>
                  </pic:spPr>
                </pic:pic>
              </a:graphicData>
            </a:graphic>
          </wp:inline>
        </w:drawing>
      </w:r>
    </w:p>
    <w:p w14:paraId="4CDC384E" w14:textId="77777777" w:rsidR="00FF1E38" w:rsidRPr="00FF1E38" w:rsidRDefault="00FF1E38" w:rsidP="00FF1E38">
      <w:pPr>
        <w:spacing w:after="0" w:line="240" w:lineRule="auto"/>
        <w:ind w:left="0" w:right="0" w:firstLine="0"/>
        <w:rPr>
          <w:rFonts w:ascii="Times New Roman" w:hAnsi="Times New Roman" w:cs="Times New Roman"/>
          <w:sz w:val="24"/>
        </w:rPr>
      </w:pPr>
    </w:p>
    <w:p w14:paraId="3768F9A1" w14:textId="77777777" w:rsidR="00FF1E38" w:rsidRPr="00FF1E38" w:rsidRDefault="00FF1E38" w:rsidP="00FF1E38">
      <w:pPr>
        <w:spacing w:after="0" w:line="240" w:lineRule="auto"/>
        <w:ind w:left="0" w:right="0" w:firstLine="0"/>
        <w:rPr>
          <w:rFonts w:ascii="Times New Roman" w:hAnsi="Times New Roman" w:cs="Times New Roman"/>
          <w:sz w:val="24"/>
        </w:rPr>
      </w:pPr>
    </w:p>
    <w:p w14:paraId="39CD3678" w14:textId="77777777" w:rsidR="00280B08" w:rsidRDefault="00280B08" w:rsidP="00FF1E38">
      <w:pPr>
        <w:spacing w:after="0" w:line="240" w:lineRule="auto"/>
        <w:ind w:left="0" w:right="0" w:firstLine="0"/>
        <w:jc w:val="center"/>
        <w:rPr>
          <w:rFonts w:ascii="Times New Roman" w:hAnsi="Times New Roman" w:cs="Times New Roman"/>
          <w:b/>
          <w:sz w:val="24"/>
        </w:rPr>
      </w:pPr>
    </w:p>
    <w:p w14:paraId="513D618A" w14:textId="5C7619EB" w:rsidR="00FF1E38" w:rsidRPr="00FF1E38" w:rsidRDefault="00FF1E38" w:rsidP="00FF1E38">
      <w:pPr>
        <w:spacing w:after="0" w:line="240" w:lineRule="auto"/>
        <w:ind w:left="0" w:right="0" w:firstLine="0"/>
        <w:jc w:val="center"/>
        <w:rPr>
          <w:rFonts w:ascii="Times New Roman" w:hAnsi="Times New Roman" w:cs="Times New Roman"/>
          <w:b/>
          <w:sz w:val="24"/>
        </w:rPr>
      </w:pPr>
      <w:r w:rsidRPr="00FF1E38">
        <w:rPr>
          <w:rFonts w:ascii="Times New Roman" w:hAnsi="Times New Roman" w:cs="Times New Roman"/>
          <w:b/>
          <w:sz w:val="24"/>
        </w:rPr>
        <w:t>Prikaz ukupnih posljedica</w:t>
      </w:r>
    </w:p>
    <w:p w14:paraId="6D9C0273" w14:textId="77777777" w:rsidR="00C924A9" w:rsidRDefault="00C924A9" w:rsidP="00FF1E38">
      <w:pPr>
        <w:spacing w:after="0" w:line="240" w:lineRule="auto"/>
        <w:ind w:left="0" w:right="0" w:firstLine="0"/>
        <w:jc w:val="center"/>
        <w:rPr>
          <w:rFonts w:ascii="Times New Roman" w:hAnsi="Times New Roman" w:cs="Times New Roman"/>
          <w:sz w:val="24"/>
        </w:rPr>
      </w:pPr>
    </w:p>
    <w:p w14:paraId="0D9508C6" w14:textId="77777777" w:rsidR="00C924A9" w:rsidRDefault="00C924A9" w:rsidP="00FF1E38">
      <w:pPr>
        <w:spacing w:after="0" w:line="240" w:lineRule="auto"/>
        <w:ind w:left="0" w:right="0" w:firstLine="0"/>
        <w:jc w:val="center"/>
        <w:rPr>
          <w:rFonts w:ascii="Times New Roman" w:hAnsi="Times New Roman" w:cs="Times New Roman"/>
          <w:sz w:val="24"/>
        </w:rPr>
      </w:pPr>
    </w:p>
    <w:p w14:paraId="6B51DDF1" w14:textId="3BA03EC6"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noProof/>
          <w:sz w:val="24"/>
        </w:rPr>
        <w:lastRenderedPageBreak/>
        <w:drawing>
          <wp:inline distT="0" distB="0" distL="0" distR="0" wp14:anchorId="12127063" wp14:editId="1C598CF3">
            <wp:extent cx="3278505" cy="3181350"/>
            <wp:effectExtent l="0" t="0" r="0" b="0"/>
            <wp:docPr id="38961" name="Picture 38961"/>
            <wp:cNvGraphicFramePr/>
            <a:graphic xmlns:a="http://schemas.openxmlformats.org/drawingml/2006/main">
              <a:graphicData uri="http://schemas.openxmlformats.org/drawingml/2006/picture">
                <pic:pic xmlns:pic="http://schemas.openxmlformats.org/drawingml/2006/picture">
                  <pic:nvPicPr>
                    <pic:cNvPr id="38961" name="Picture 38961"/>
                    <pic:cNvPicPr/>
                  </pic:nvPicPr>
                  <pic:blipFill>
                    <a:blip r:embed="rId125"/>
                    <a:stretch>
                      <a:fillRect/>
                    </a:stretch>
                  </pic:blipFill>
                  <pic:spPr>
                    <a:xfrm>
                      <a:off x="0" y="0"/>
                      <a:ext cx="3278505" cy="3181350"/>
                    </a:xfrm>
                    <a:prstGeom prst="rect">
                      <a:avLst/>
                    </a:prstGeom>
                  </pic:spPr>
                </pic:pic>
              </a:graphicData>
            </a:graphic>
          </wp:inline>
        </w:drawing>
      </w:r>
    </w:p>
    <w:p w14:paraId="2D5AFE01" w14:textId="77777777" w:rsidR="005A2798" w:rsidRDefault="005A2798" w:rsidP="00E87BEB">
      <w:pPr>
        <w:spacing w:after="0" w:line="240" w:lineRule="auto"/>
        <w:ind w:right="0" w:firstLine="699"/>
        <w:rPr>
          <w:rFonts w:ascii="Times New Roman" w:hAnsi="Times New Roman" w:cs="Times New Roman"/>
          <w:b/>
          <w:sz w:val="24"/>
        </w:rPr>
      </w:pPr>
    </w:p>
    <w:p w14:paraId="25EDCB49" w14:textId="10AF7B3B" w:rsidR="005A2798" w:rsidRDefault="005A2798" w:rsidP="00E87BEB">
      <w:pPr>
        <w:spacing w:after="0" w:line="240" w:lineRule="auto"/>
        <w:ind w:right="0" w:firstLine="699"/>
        <w:rPr>
          <w:rFonts w:ascii="Times New Roman" w:hAnsi="Times New Roman" w:cs="Times New Roman"/>
          <w:b/>
          <w:sz w:val="24"/>
        </w:rPr>
      </w:pPr>
    </w:p>
    <w:p w14:paraId="37172D8C" w14:textId="77777777" w:rsidR="00280B08" w:rsidRDefault="00280B08" w:rsidP="00E87BEB">
      <w:pPr>
        <w:spacing w:after="0" w:line="240" w:lineRule="auto"/>
        <w:ind w:right="0" w:firstLine="699"/>
        <w:rPr>
          <w:rFonts w:ascii="Times New Roman" w:hAnsi="Times New Roman" w:cs="Times New Roman"/>
          <w:b/>
          <w:sz w:val="24"/>
        </w:rPr>
      </w:pPr>
    </w:p>
    <w:p w14:paraId="4182F751" w14:textId="77777777" w:rsidR="005A2798" w:rsidRDefault="005A2798" w:rsidP="00E87BEB">
      <w:pPr>
        <w:spacing w:after="0" w:line="240" w:lineRule="auto"/>
        <w:ind w:right="0" w:firstLine="699"/>
        <w:rPr>
          <w:rFonts w:ascii="Times New Roman" w:hAnsi="Times New Roman" w:cs="Times New Roman"/>
          <w:b/>
          <w:sz w:val="24"/>
        </w:rPr>
      </w:pPr>
    </w:p>
    <w:p w14:paraId="2A557182" w14:textId="2E9C695E" w:rsidR="00FF1E38" w:rsidRPr="00FF1E38" w:rsidRDefault="00FF1E38" w:rsidP="00E87BEB">
      <w:pPr>
        <w:spacing w:after="0" w:line="240" w:lineRule="auto"/>
        <w:ind w:right="0" w:firstLine="699"/>
        <w:rPr>
          <w:rFonts w:ascii="Times New Roman" w:hAnsi="Times New Roman" w:cs="Times New Roman"/>
          <w:b/>
          <w:sz w:val="24"/>
        </w:rPr>
      </w:pPr>
      <w:r w:rsidRPr="00FF1E38">
        <w:rPr>
          <w:rFonts w:ascii="Times New Roman" w:hAnsi="Times New Roman" w:cs="Times New Roman"/>
          <w:b/>
          <w:sz w:val="24"/>
        </w:rPr>
        <w:t>6.2. Poplava - opis scenarija</w:t>
      </w:r>
    </w:p>
    <w:p w14:paraId="2AF04B4A" w14:textId="77777777" w:rsidR="00FF1E38" w:rsidRPr="00FF1E38" w:rsidRDefault="00FF1E38" w:rsidP="00FF1E38">
      <w:pPr>
        <w:spacing w:after="0" w:line="240" w:lineRule="auto"/>
        <w:ind w:left="0" w:right="0" w:firstLine="0"/>
        <w:rPr>
          <w:rFonts w:ascii="Times New Roman" w:hAnsi="Times New Roman" w:cs="Times New Roman"/>
          <w:sz w:val="24"/>
        </w:rPr>
      </w:pPr>
      <w:bookmarkStart w:id="77" w:name="_Toc2938594"/>
    </w:p>
    <w:p w14:paraId="5F851F29" w14:textId="51B143DE" w:rsid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t>6.2.1. Naziv scenarija, rizik</w:t>
      </w:r>
      <w:bookmarkEnd w:id="77"/>
    </w:p>
    <w:p w14:paraId="18857498" w14:textId="77777777" w:rsidR="006C02EC" w:rsidRPr="00FF1E38" w:rsidRDefault="006C02EC" w:rsidP="00FF1E38">
      <w:pPr>
        <w:spacing w:after="0" w:line="240" w:lineRule="auto"/>
        <w:ind w:left="0" w:right="0" w:firstLine="709"/>
        <w:rPr>
          <w:rFonts w:ascii="Times New Roman" w:hAnsi="Times New Roman" w:cs="Times New Roman"/>
          <w:b/>
          <w:sz w:val="24"/>
        </w:rPr>
      </w:pPr>
    </w:p>
    <w:tbl>
      <w:tblPr>
        <w:tblStyle w:val="TableGrid"/>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2" w:type="dxa"/>
        </w:tblCellMar>
        <w:tblLook w:val="04A0" w:firstRow="1" w:lastRow="0" w:firstColumn="1" w:lastColumn="0" w:noHBand="0" w:noVBand="1"/>
      </w:tblPr>
      <w:tblGrid>
        <w:gridCol w:w="9072"/>
      </w:tblGrid>
      <w:tr w:rsidR="00FF1E38" w:rsidRPr="00FF1E38" w14:paraId="2EE0304B" w14:textId="77777777" w:rsidTr="00DE0C9A">
        <w:trPr>
          <w:cantSplit/>
        </w:trPr>
        <w:tc>
          <w:tcPr>
            <w:tcW w:w="9059" w:type="dxa"/>
            <w:shd w:val="clear" w:color="auto" w:fill="FFC000"/>
          </w:tcPr>
          <w:p w14:paraId="11095A77"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b/>
                <w:sz w:val="24"/>
              </w:rPr>
              <w:t xml:space="preserve">Naziv scenarija </w:t>
            </w:r>
          </w:p>
        </w:tc>
      </w:tr>
      <w:tr w:rsidR="00FF1E38" w:rsidRPr="00FF1E38" w14:paraId="2509C730" w14:textId="77777777" w:rsidTr="00DE0C9A">
        <w:trPr>
          <w:cantSplit/>
        </w:trPr>
        <w:tc>
          <w:tcPr>
            <w:tcW w:w="9059" w:type="dxa"/>
          </w:tcPr>
          <w:p w14:paraId="69A97566"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 xml:space="preserve">Poplava izazvana pucanjem Savskog nasipa </w:t>
            </w:r>
          </w:p>
        </w:tc>
      </w:tr>
      <w:tr w:rsidR="00FF1E38" w:rsidRPr="00FF1E38" w14:paraId="2CCE1F2E" w14:textId="77777777" w:rsidTr="00DE0C9A">
        <w:trPr>
          <w:cantSplit/>
        </w:trPr>
        <w:tc>
          <w:tcPr>
            <w:tcW w:w="9059" w:type="dxa"/>
            <w:shd w:val="clear" w:color="auto" w:fill="FFC000"/>
          </w:tcPr>
          <w:p w14:paraId="032B3CF4"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b/>
                <w:sz w:val="24"/>
              </w:rPr>
              <w:t xml:space="preserve">Grupa rizika </w:t>
            </w:r>
          </w:p>
        </w:tc>
      </w:tr>
      <w:tr w:rsidR="00FF1E38" w:rsidRPr="00FF1E38" w14:paraId="57309574" w14:textId="77777777" w:rsidTr="00DE0C9A">
        <w:trPr>
          <w:cantSplit/>
        </w:trPr>
        <w:tc>
          <w:tcPr>
            <w:tcW w:w="9059" w:type="dxa"/>
          </w:tcPr>
          <w:p w14:paraId="7A8EE693"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 xml:space="preserve">Poplave </w:t>
            </w:r>
          </w:p>
        </w:tc>
      </w:tr>
      <w:tr w:rsidR="00FF1E38" w:rsidRPr="00FF1E38" w14:paraId="72887EA9" w14:textId="77777777" w:rsidTr="00DE0C9A">
        <w:trPr>
          <w:cantSplit/>
        </w:trPr>
        <w:tc>
          <w:tcPr>
            <w:tcW w:w="9059" w:type="dxa"/>
            <w:shd w:val="clear" w:color="auto" w:fill="FFC000"/>
          </w:tcPr>
          <w:p w14:paraId="7DE26D50"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b/>
                <w:sz w:val="24"/>
              </w:rPr>
              <w:t xml:space="preserve">Rizik </w:t>
            </w:r>
          </w:p>
        </w:tc>
      </w:tr>
      <w:tr w:rsidR="00FF1E38" w:rsidRPr="00FF1E38" w14:paraId="5A1A70C7" w14:textId="77777777" w:rsidTr="00DE0C9A">
        <w:trPr>
          <w:cantSplit/>
        </w:trPr>
        <w:tc>
          <w:tcPr>
            <w:tcW w:w="9059" w:type="dxa"/>
          </w:tcPr>
          <w:p w14:paraId="7970091C"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 xml:space="preserve">Poplave izazvane izlijevanjem kopnenih vodenih tijela </w:t>
            </w:r>
          </w:p>
        </w:tc>
      </w:tr>
      <w:tr w:rsidR="00FF1E38" w:rsidRPr="00FF1E38" w14:paraId="272CA0BE" w14:textId="77777777" w:rsidTr="00DE0C9A">
        <w:trPr>
          <w:cantSplit/>
        </w:trPr>
        <w:tc>
          <w:tcPr>
            <w:tcW w:w="9059" w:type="dxa"/>
            <w:shd w:val="clear" w:color="auto" w:fill="FFC000"/>
          </w:tcPr>
          <w:p w14:paraId="43657B01"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b/>
                <w:sz w:val="24"/>
              </w:rPr>
              <w:t xml:space="preserve">Radna skupina </w:t>
            </w:r>
          </w:p>
        </w:tc>
      </w:tr>
      <w:tr w:rsidR="00FF1E38" w:rsidRPr="00FF1E38" w14:paraId="5E40D07B" w14:textId="77777777" w:rsidTr="00DE0C9A">
        <w:trPr>
          <w:cantSplit/>
        </w:trPr>
        <w:tc>
          <w:tcPr>
            <w:tcW w:w="9059" w:type="dxa"/>
          </w:tcPr>
          <w:p w14:paraId="761F6885"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Gradski ured za mjesnu samoupravu, civilnu zaštitu i sigurnost</w:t>
            </w:r>
          </w:p>
          <w:p w14:paraId="2DF9ABCE"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Gradski ured za obnovu, izgradnju, prostorno uređenje, graditeljstvo, komunalne poslove i promet</w:t>
            </w:r>
          </w:p>
        </w:tc>
      </w:tr>
      <w:tr w:rsidR="00FF1E38" w:rsidRPr="00FF1E38" w14:paraId="26A3E734" w14:textId="77777777" w:rsidTr="00DE0C9A">
        <w:trPr>
          <w:cantSplit/>
        </w:trPr>
        <w:tc>
          <w:tcPr>
            <w:tcW w:w="9059" w:type="dxa"/>
            <w:shd w:val="clear" w:color="auto" w:fill="FFC000"/>
          </w:tcPr>
          <w:p w14:paraId="778AE5EF"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b/>
                <w:sz w:val="24"/>
              </w:rPr>
              <w:t xml:space="preserve">Opis scenarija: </w:t>
            </w:r>
          </w:p>
        </w:tc>
      </w:tr>
      <w:tr w:rsidR="00FF1E38" w:rsidRPr="00FF1E38" w14:paraId="0A49FF0A" w14:textId="77777777" w:rsidTr="00DE0C9A">
        <w:trPr>
          <w:cantSplit/>
        </w:trPr>
        <w:tc>
          <w:tcPr>
            <w:tcW w:w="9059" w:type="dxa"/>
          </w:tcPr>
          <w:p w14:paraId="78E98696"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Scenarijem će se opisati situacija koja može nastati nakon pucanja Savskog nasipa na području Grada Zagreba tijekom visokog vodostaja. Takvim slijedom događaja uz određen broj mrtvih i ozlijeđenih osoba, nastala bi znatna materijalna šteta u zoni poplavljivanja a bili bi ugroženi i mnogi objekti kritične infrastrukture, škole i vrtići. Posebna opasnost odnosi se na mogućnost pucanja Savskog nasipa u noćnim satima. U tom slučaju posljedice su još gore jer velik iznenadan prodor vode u gradska naselja najbliža rijeci Savi može srušiti niske objekte (kuće prizemnice) dok se u njima nalaze stanari, prije poduzimanja bilo kakvih mjera evakuacije i spašavanja.</w:t>
            </w:r>
          </w:p>
          <w:p w14:paraId="31DD1A62"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 xml:space="preserve">U obzir će se uzeti najgori mogući scenarij male vjerojatnosti, ali najvećih posljedica. Smisao je da se opisom najgore moguće situacije postavi temelj preventivnog planiranja i operativnog osnaživanja snaga civilne zaštite na području Grada Zagreba, a što je u konačnici proces smanjenja rizika. </w:t>
            </w:r>
          </w:p>
        </w:tc>
      </w:tr>
    </w:tbl>
    <w:p w14:paraId="53C9E984" w14:textId="77777777" w:rsidR="00FF1E38" w:rsidRPr="00FF1E38" w:rsidRDefault="00FF1E38" w:rsidP="00FF1E38">
      <w:pPr>
        <w:spacing w:after="0" w:line="240" w:lineRule="auto"/>
        <w:ind w:right="0"/>
        <w:rPr>
          <w:rFonts w:ascii="Times New Roman" w:hAnsi="Times New Roman" w:cs="Times New Roman"/>
          <w:sz w:val="24"/>
        </w:rPr>
      </w:pPr>
      <w:bookmarkStart w:id="78" w:name="_Toc2938595"/>
    </w:p>
    <w:p w14:paraId="0410405A"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lastRenderedPageBreak/>
        <w:t>6.2.2. Prikaz utjecaja na kritičnu infrastrukturu</w:t>
      </w:r>
      <w:bookmarkEnd w:id="78"/>
    </w:p>
    <w:p w14:paraId="7E817689"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Poplava može ozbiljno ugroziti objekte kritične infrastrukture na području Grada Zagreba samo zbog pucanja Savskog nasipa. S obzirom na sve učestalije vremenske nepogode, posebno grmljavinske pljuskove koji uključuju vrlo veliku količinu padalina, pojedini objekti kritične infrastrukture mogu biti poplavljeni zbog nedovoljne propusnosti kanalizacije koja ne može prikupiti dovoljnu količinu vode, ali takvi događaji mogu samo privremeno ometati rad te se ne očekuju veće štete. Na gradskim područjima smještenim uz sjevernu i južnu obalu Save problem su i podzemne vode koje poplavljuju podrume zgrada tijekom visokog vodostaja, ali takvi događaji ne mogu ozbiljno ugroziti objekte kritične infrastrukture, već eventualno otežati rad. Budući da sva naselja u Gradu Zagrebu nisu priključena na glavni vodoopskrbni sustav, u slučaju poplava moguće je zamućenje lokalnih vodoopskrbnih mreža tijekom i nakon poplava a zagađenje izvora vode može dovesti do epidemioloških i sanitarnih opasnosti. Poplava negativno utječe na kritičnu infrastrukturu na dva načina - izravnim i neizravnim (preko posrednika) djelovanjem. Izravan utjecaj odnosi se na uništenje infrastrukturnih objekata koji su izravno ugroženi poplavnim valom koji može srušiti slabije građene objekte, uništiti pripadajuću opremu u objektima od važnosti, dovesti do uništenja vodova kritične infrastrukture te prouzročiti odrone na prometnoj infrastrukturi i sl. Neizravan utjecaj odnosi se na otkazivanje rada zbog nestanka električne energije, povećanog broja poziva građana što dovodi do preopterećenja telekomunikacijske mreže i sl.</w:t>
      </w:r>
    </w:p>
    <w:p w14:paraId="47AD6EAA" w14:textId="536AB73E" w:rsidR="00FF1E38" w:rsidRPr="00FF1E38" w:rsidRDefault="00FF1E38" w:rsidP="00FF1E38">
      <w:pPr>
        <w:spacing w:after="0" w:line="240" w:lineRule="auto"/>
        <w:ind w:left="0" w:right="0" w:firstLine="709"/>
        <w:rPr>
          <w:rFonts w:ascii="Times New Roman" w:hAnsi="Times New Roman" w:cs="Times New Roman"/>
          <w:sz w:val="24"/>
        </w:rPr>
      </w:pPr>
      <w:r w:rsidRPr="00CC129C">
        <w:rPr>
          <w:rFonts w:ascii="Times New Roman" w:hAnsi="Times New Roman" w:cs="Times New Roman"/>
          <w:color w:val="auto"/>
          <w:sz w:val="24"/>
        </w:rPr>
        <w:t xml:space="preserve">U Tablici </w:t>
      </w:r>
      <w:r w:rsidR="00CC129C" w:rsidRPr="00CC129C">
        <w:rPr>
          <w:rFonts w:ascii="Times New Roman" w:hAnsi="Times New Roman" w:cs="Times New Roman"/>
          <w:color w:val="auto"/>
          <w:sz w:val="24"/>
        </w:rPr>
        <w:t>59</w:t>
      </w:r>
      <w:r w:rsidRPr="00CC129C">
        <w:rPr>
          <w:rFonts w:ascii="Times New Roman" w:hAnsi="Times New Roman" w:cs="Times New Roman"/>
          <w:color w:val="auto"/>
          <w:sz w:val="24"/>
        </w:rPr>
        <w:t xml:space="preserve">. navedeni su mogući utjecaji poplave na određene sektore kritične </w:t>
      </w:r>
      <w:r w:rsidRPr="00FF1E38">
        <w:rPr>
          <w:rFonts w:ascii="Times New Roman" w:hAnsi="Times New Roman" w:cs="Times New Roman"/>
          <w:sz w:val="24"/>
        </w:rPr>
        <w:t>infrastrukture.</w:t>
      </w:r>
    </w:p>
    <w:p w14:paraId="637B4433" w14:textId="77777777" w:rsidR="00FF1E38" w:rsidRPr="00FF1E38" w:rsidRDefault="00FF1E38" w:rsidP="00FF1E38">
      <w:pPr>
        <w:spacing w:after="0" w:line="240" w:lineRule="auto"/>
        <w:ind w:right="0"/>
        <w:rPr>
          <w:rFonts w:ascii="Times New Roman" w:hAnsi="Times New Roman" w:cs="Times New Roman"/>
          <w:sz w:val="24"/>
        </w:rPr>
      </w:pPr>
    </w:p>
    <w:p w14:paraId="595082E0" w14:textId="63E66884" w:rsidR="00FF1E38" w:rsidRPr="00CC129C" w:rsidRDefault="00FF1E38" w:rsidP="00571A98">
      <w:pPr>
        <w:spacing w:line="240" w:lineRule="auto"/>
        <w:ind w:left="0" w:right="0" w:firstLine="0"/>
        <w:jc w:val="center"/>
        <w:rPr>
          <w:rFonts w:ascii="Times New Roman" w:hAnsi="Times New Roman" w:cs="Times New Roman"/>
          <w:b/>
          <w:color w:val="auto"/>
          <w:sz w:val="24"/>
        </w:rPr>
      </w:pPr>
      <w:r w:rsidRPr="00CC129C">
        <w:rPr>
          <w:rFonts w:ascii="Times New Roman" w:hAnsi="Times New Roman" w:cs="Times New Roman"/>
          <w:b/>
          <w:color w:val="auto"/>
          <w:sz w:val="24"/>
        </w:rPr>
        <w:t xml:space="preserve">Tablica </w:t>
      </w:r>
      <w:r w:rsidR="00CC129C" w:rsidRPr="00CC129C">
        <w:rPr>
          <w:rFonts w:ascii="Times New Roman" w:hAnsi="Times New Roman" w:cs="Times New Roman"/>
          <w:b/>
          <w:color w:val="auto"/>
          <w:sz w:val="24"/>
        </w:rPr>
        <w:t>59</w:t>
      </w:r>
      <w:r w:rsidRPr="00CC129C">
        <w:rPr>
          <w:rFonts w:ascii="Times New Roman" w:hAnsi="Times New Roman" w:cs="Times New Roman"/>
          <w:b/>
          <w:color w:val="auto"/>
          <w:sz w:val="24"/>
        </w:rPr>
        <w:t>. Mogući utjecaji poplave na određene sektore kritične infrastrukture</w:t>
      </w:r>
    </w:p>
    <w:tbl>
      <w:tblPr>
        <w:tblStyle w:val="TableGrid"/>
        <w:tblW w:w="9072" w:type="dxa"/>
        <w:tblInd w:w="0" w:type="dxa"/>
        <w:tblLayout w:type="fixed"/>
        <w:tblCellMar>
          <w:top w:w="5" w:type="dxa"/>
          <w:left w:w="57" w:type="dxa"/>
          <w:right w:w="57" w:type="dxa"/>
        </w:tblCellMar>
        <w:tblLook w:val="04A0" w:firstRow="1" w:lastRow="0" w:firstColumn="1" w:lastColumn="0" w:noHBand="0" w:noVBand="1"/>
      </w:tblPr>
      <w:tblGrid>
        <w:gridCol w:w="1701"/>
        <w:gridCol w:w="2665"/>
        <w:gridCol w:w="2438"/>
        <w:gridCol w:w="2268"/>
      </w:tblGrid>
      <w:tr w:rsidR="00FF1E38" w:rsidRPr="00FF1E38" w14:paraId="1E194E5F" w14:textId="77777777" w:rsidTr="00DE0C9A">
        <w:trPr>
          <w:cantSplit/>
          <w:tblHeader/>
        </w:trPr>
        <w:tc>
          <w:tcPr>
            <w:tcW w:w="170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CFB610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sektor kritične infrastrukture</w:t>
            </w:r>
          </w:p>
        </w:tc>
        <w:tc>
          <w:tcPr>
            <w:tcW w:w="2665"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2C6A26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učinak</w:t>
            </w:r>
          </w:p>
        </w:tc>
        <w:tc>
          <w:tcPr>
            <w:tcW w:w="243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950889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posljedice po obavljanje djelatnosti</w:t>
            </w:r>
          </w:p>
        </w:tc>
        <w:tc>
          <w:tcPr>
            <w:tcW w:w="226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195779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posljedice po korisnike</w:t>
            </w:r>
          </w:p>
        </w:tc>
      </w:tr>
      <w:tr w:rsidR="00FF1E38" w:rsidRPr="00FF1E38" w14:paraId="4EBC5AAF" w14:textId="77777777" w:rsidTr="00DE0C9A">
        <w:trPr>
          <w:cantSplit/>
        </w:trPr>
        <w:tc>
          <w:tcPr>
            <w:tcW w:w="1701" w:type="dxa"/>
            <w:vMerge w:val="restart"/>
            <w:tcBorders>
              <w:top w:val="single" w:sz="4" w:space="0" w:color="000000"/>
              <w:left w:val="single" w:sz="4" w:space="0" w:color="000000"/>
              <w:bottom w:val="single" w:sz="4" w:space="0" w:color="000000"/>
              <w:right w:val="single" w:sz="4" w:space="0" w:color="000000"/>
            </w:tcBorders>
            <w:vAlign w:val="center"/>
          </w:tcPr>
          <w:p w14:paraId="4BE051A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opskrba vodom i odvodnja</w:t>
            </w:r>
          </w:p>
        </w:tc>
        <w:tc>
          <w:tcPr>
            <w:tcW w:w="2665" w:type="dxa"/>
            <w:tcBorders>
              <w:top w:val="single" w:sz="4" w:space="0" w:color="000000"/>
              <w:left w:val="single" w:sz="4" w:space="0" w:color="000000"/>
              <w:bottom w:val="single" w:sz="4" w:space="0" w:color="000000"/>
              <w:right w:val="single" w:sz="4" w:space="0" w:color="000000"/>
            </w:tcBorders>
            <w:vAlign w:val="center"/>
          </w:tcPr>
          <w:p w14:paraId="77AA386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zamućenje izvora</w:t>
            </w:r>
          </w:p>
        </w:tc>
        <w:tc>
          <w:tcPr>
            <w:tcW w:w="2438" w:type="dxa"/>
            <w:tcBorders>
              <w:top w:val="single" w:sz="4" w:space="0" w:color="000000"/>
              <w:left w:val="single" w:sz="4" w:space="0" w:color="000000"/>
              <w:bottom w:val="single" w:sz="4" w:space="0" w:color="000000"/>
              <w:right w:val="single" w:sz="4" w:space="0" w:color="000000"/>
            </w:tcBorders>
            <w:vAlign w:val="center"/>
          </w:tcPr>
          <w:p w14:paraId="5842D07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poremećaj u funkcioniranju</w:t>
            </w:r>
          </w:p>
        </w:tc>
        <w:tc>
          <w:tcPr>
            <w:tcW w:w="2268" w:type="dxa"/>
            <w:tcBorders>
              <w:top w:val="single" w:sz="4" w:space="0" w:color="000000"/>
              <w:left w:val="single" w:sz="4" w:space="0" w:color="000000"/>
              <w:bottom w:val="single" w:sz="4" w:space="0" w:color="000000"/>
              <w:right w:val="single" w:sz="4" w:space="0" w:color="000000"/>
            </w:tcBorders>
            <w:vAlign w:val="center"/>
          </w:tcPr>
          <w:p w14:paraId="1644214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nedostatna opskrba vodom</w:t>
            </w:r>
          </w:p>
        </w:tc>
      </w:tr>
      <w:tr w:rsidR="00FF1E38" w:rsidRPr="00FF1E38" w14:paraId="0DD31388" w14:textId="77777777" w:rsidTr="00DE0C9A">
        <w:trPr>
          <w:cantSplit/>
        </w:trPr>
        <w:tc>
          <w:tcPr>
            <w:tcW w:w="1701" w:type="dxa"/>
            <w:vMerge/>
            <w:tcBorders>
              <w:top w:val="nil"/>
              <w:left w:val="single" w:sz="4" w:space="0" w:color="000000"/>
              <w:bottom w:val="single" w:sz="4" w:space="0" w:color="000000"/>
              <w:right w:val="single" w:sz="4" w:space="0" w:color="000000"/>
            </w:tcBorders>
            <w:vAlign w:val="center"/>
          </w:tcPr>
          <w:p w14:paraId="2AEFBB86"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665" w:type="dxa"/>
            <w:tcBorders>
              <w:top w:val="single" w:sz="4" w:space="0" w:color="000000"/>
              <w:left w:val="single" w:sz="4" w:space="0" w:color="000000"/>
              <w:bottom w:val="single" w:sz="4" w:space="0" w:color="000000"/>
              <w:right w:val="single" w:sz="4" w:space="0" w:color="000000"/>
            </w:tcBorders>
            <w:vAlign w:val="center"/>
          </w:tcPr>
          <w:p w14:paraId="49F9D64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oštećenje kanalizacijskog sustava</w:t>
            </w:r>
          </w:p>
        </w:tc>
        <w:tc>
          <w:tcPr>
            <w:tcW w:w="2438" w:type="dxa"/>
            <w:tcBorders>
              <w:top w:val="single" w:sz="4" w:space="0" w:color="000000"/>
              <w:left w:val="single" w:sz="4" w:space="0" w:color="000000"/>
              <w:bottom w:val="single" w:sz="4" w:space="0" w:color="000000"/>
              <w:right w:val="single" w:sz="4" w:space="0" w:color="000000"/>
            </w:tcBorders>
            <w:vAlign w:val="center"/>
          </w:tcPr>
          <w:p w14:paraId="109D358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poremećaj u funkcioniranju, izlijevanje otpadnih voda, potapanje podruma, zagađenja izvora vode</w:t>
            </w:r>
          </w:p>
        </w:tc>
        <w:tc>
          <w:tcPr>
            <w:tcW w:w="2268" w:type="dxa"/>
            <w:tcBorders>
              <w:top w:val="single" w:sz="4" w:space="0" w:color="000000"/>
              <w:left w:val="single" w:sz="4" w:space="0" w:color="000000"/>
              <w:bottom w:val="single" w:sz="4" w:space="0" w:color="000000"/>
              <w:right w:val="single" w:sz="4" w:space="0" w:color="000000"/>
            </w:tcBorders>
            <w:vAlign w:val="center"/>
          </w:tcPr>
          <w:p w14:paraId="7A1B8BE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ugrožavanje zdravlja stanovništva</w:t>
            </w:r>
          </w:p>
        </w:tc>
      </w:tr>
      <w:tr w:rsidR="00FF1E38" w:rsidRPr="00FF1E38" w14:paraId="0D4EE5D5" w14:textId="77777777" w:rsidTr="00DE0C9A">
        <w:trPr>
          <w:cantSplit/>
        </w:trPr>
        <w:tc>
          <w:tcPr>
            <w:tcW w:w="1701" w:type="dxa"/>
            <w:tcBorders>
              <w:top w:val="single" w:sz="4" w:space="0" w:color="000000"/>
              <w:left w:val="single" w:sz="4" w:space="0" w:color="000000"/>
              <w:bottom w:val="single" w:sz="4" w:space="0" w:color="000000"/>
              <w:right w:val="single" w:sz="4" w:space="0" w:color="000000"/>
            </w:tcBorders>
            <w:vAlign w:val="center"/>
          </w:tcPr>
          <w:p w14:paraId="75A1108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promet</w:t>
            </w:r>
          </w:p>
        </w:tc>
        <w:tc>
          <w:tcPr>
            <w:tcW w:w="2665" w:type="dxa"/>
            <w:tcBorders>
              <w:top w:val="single" w:sz="4" w:space="0" w:color="000000"/>
              <w:left w:val="single" w:sz="4" w:space="0" w:color="000000"/>
              <w:bottom w:val="single" w:sz="4" w:space="0" w:color="000000"/>
              <w:right w:val="single" w:sz="4" w:space="0" w:color="000000"/>
            </w:tcBorders>
            <w:vAlign w:val="center"/>
          </w:tcPr>
          <w:p w14:paraId="3F053B1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oštećenja prometnica i mostova, poplavljivanje podvožnjaka</w:t>
            </w:r>
          </w:p>
        </w:tc>
        <w:tc>
          <w:tcPr>
            <w:tcW w:w="2438" w:type="dxa"/>
            <w:tcBorders>
              <w:top w:val="single" w:sz="4" w:space="0" w:color="000000"/>
              <w:left w:val="single" w:sz="4" w:space="0" w:color="000000"/>
              <w:bottom w:val="single" w:sz="4" w:space="0" w:color="000000"/>
              <w:right w:val="single" w:sz="4" w:space="0" w:color="000000"/>
            </w:tcBorders>
            <w:vAlign w:val="center"/>
          </w:tcPr>
          <w:p w14:paraId="46B8554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prekidi i otežano obavljanje djelatnosti do otklanjanja posljedica, otežana evakuacija stanovništva</w:t>
            </w:r>
          </w:p>
        </w:tc>
        <w:tc>
          <w:tcPr>
            <w:tcW w:w="2268" w:type="dxa"/>
            <w:tcBorders>
              <w:top w:val="single" w:sz="4" w:space="0" w:color="000000"/>
              <w:left w:val="single" w:sz="4" w:space="0" w:color="000000"/>
              <w:bottom w:val="single" w:sz="4" w:space="0" w:color="000000"/>
              <w:right w:val="single" w:sz="4" w:space="0" w:color="000000"/>
            </w:tcBorders>
            <w:vAlign w:val="center"/>
          </w:tcPr>
          <w:p w14:paraId="28ACEEB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nemogućnost korištenja prometnica, kašnjenje u cestovnom prometu, otežana evakuacija i djelovanje snaga civilne zaštite, prekid željezničkog prometa</w:t>
            </w:r>
          </w:p>
        </w:tc>
      </w:tr>
      <w:tr w:rsidR="00FF1E38" w:rsidRPr="00FF1E38" w14:paraId="00954F17" w14:textId="77777777" w:rsidTr="00DE0C9A">
        <w:trPr>
          <w:cantSplit/>
        </w:trPr>
        <w:tc>
          <w:tcPr>
            <w:tcW w:w="1701" w:type="dxa"/>
            <w:tcBorders>
              <w:top w:val="single" w:sz="4" w:space="0" w:color="000000"/>
              <w:left w:val="single" w:sz="4" w:space="0" w:color="000000"/>
              <w:bottom w:val="single" w:sz="4" w:space="0" w:color="000000"/>
              <w:right w:val="single" w:sz="4" w:space="0" w:color="000000"/>
            </w:tcBorders>
            <w:vAlign w:val="center"/>
          </w:tcPr>
          <w:p w14:paraId="26D3DFD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komunikacijska i informacijska tehnologija</w:t>
            </w:r>
          </w:p>
        </w:tc>
        <w:tc>
          <w:tcPr>
            <w:tcW w:w="2665" w:type="dxa"/>
            <w:tcBorders>
              <w:top w:val="single" w:sz="4" w:space="0" w:color="000000"/>
              <w:left w:val="single" w:sz="4" w:space="0" w:color="000000"/>
              <w:bottom w:val="single" w:sz="4" w:space="0" w:color="000000"/>
              <w:right w:val="single" w:sz="4" w:space="0" w:color="000000"/>
            </w:tcBorders>
            <w:vAlign w:val="center"/>
          </w:tcPr>
          <w:p w14:paraId="293E1AB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prodor vode u SRCE, HRT, oštećenja optičke i TK mreže/vodova</w:t>
            </w:r>
          </w:p>
        </w:tc>
        <w:tc>
          <w:tcPr>
            <w:tcW w:w="2438" w:type="dxa"/>
            <w:tcBorders>
              <w:top w:val="single" w:sz="4" w:space="0" w:color="000000"/>
              <w:left w:val="single" w:sz="4" w:space="0" w:color="000000"/>
              <w:bottom w:val="single" w:sz="4" w:space="0" w:color="000000"/>
              <w:right w:val="single" w:sz="4" w:space="0" w:color="000000"/>
            </w:tcBorders>
            <w:vAlign w:val="center"/>
          </w:tcPr>
          <w:p w14:paraId="4E92898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prestanak emitiranja TV i radijskog programa, prekid interneta i telefonskih/GSM mreža u gradskim dijelovima</w:t>
            </w:r>
          </w:p>
        </w:tc>
        <w:tc>
          <w:tcPr>
            <w:tcW w:w="2268" w:type="dxa"/>
            <w:tcBorders>
              <w:top w:val="single" w:sz="4" w:space="0" w:color="000000"/>
              <w:left w:val="single" w:sz="4" w:space="0" w:color="000000"/>
              <w:bottom w:val="single" w:sz="4" w:space="0" w:color="000000"/>
              <w:right w:val="single" w:sz="4" w:space="0" w:color="000000"/>
            </w:tcBorders>
            <w:vAlign w:val="center"/>
          </w:tcPr>
          <w:p w14:paraId="66B31E1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otežano informiranje stanovništva i međusobna komunikacija</w:t>
            </w:r>
          </w:p>
        </w:tc>
      </w:tr>
      <w:tr w:rsidR="00FF1E38" w:rsidRPr="00FF1E38" w14:paraId="28DD8EE8" w14:textId="77777777" w:rsidTr="00DE0C9A">
        <w:trPr>
          <w:cantSplit/>
        </w:trPr>
        <w:tc>
          <w:tcPr>
            <w:tcW w:w="1701" w:type="dxa"/>
            <w:tcBorders>
              <w:top w:val="single" w:sz="4" w:space="0" w:color="000000"/>
              <w:left w:val="single" w:sz="4" w:space="0" w:color="000000"/>
              <w:bottom w:val="single" w:sz="4" w:space="0" w:color="000000"/>
              <w:right w:val="single" w:sz="4" w:space="0" w:color="000000"/>
            </w:tcBorders>
            <w:vAlign w:val="center"/>
          </w:tcPr>
          <w:p w14:paraId="7B07E1D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proizvodnja i distribucija električne energije</w:t>
            </w:r>
          </w:p>
        </w:tc>
        <w:tc>
          <w:tcPr>
            <w:tcW w:w="2665" w:type="dxa"/>
            <w:tcBorders>
              <w:top w:val="single" w:sz="4" w:space="0" w:color="000000"/>
              <w:left w:val="single" w:sz="4" w:space="0" w:color="000000"/>
              <w:bottom w:val="single" w:sz="4" w:space="0" w:color="000000"/>
              <w:right w:val="single" w:sz="4" w:space="0" w:color="000000"/>
            </w:tcBorders>
            <w:vAlign w:val="center"/>
          </w:tcPr>
          <w:p w14:paraId="786F258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oštećenja na trafostanicama i naponskoj mreži, prestanak rada TE-TO zbog poplavljivanja objekta</w:t>
            </w:r>
          </w:p>
        </w:tc>
        <w:tc>
          <w:tcPr>
            <w:tcW w:w="2438" w:type="dxa"/>
            <w:tcBorders>
              <w:top w:val="single" w:sz="4" w:space="0" w:color="000000"/>
              <w:left w:val="single" w:sz="4" w:space="0" w:color="000000"/>
              <w:bottom w:val="single" w:sz="4" w:space="0" w:color="000000"/>
              <w:right w:val="single" w:sz="4" w:space="0" w:color="000000"/>
            </w:tcBorders>
            <w:vAlign w:val="center"/>
          </w:tcPr>
          <w:p w14:paraId="5AFFBB8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duži prekidi napajanja el. energijom</w:t>
            </w:r>
          </w:p>
        </w:tc>
        <w:tc>
          <w:tcPr>
            <w:tcW w:w="2268" w:type="dxa"/>
            <w:tcBorders>
              <w:top w:val="single" w:sz="4" w:space="0" w:color="000000"/>
              <w:left w:val="single" w:sz="4" w:space="0" w:color="000000"/>
              <w:bottom w:val="single" w:sz="4" w:space="0" w:color="000000"/>
              <w:right w:val="single" w:sz="4" w:space="0" w:color="000000"/>
            </w:tcBorders>
            <w:vAlign w:val="center"/>
          </w:tcPr>
          <w:p w14:paraId="1FCA244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nestanak el. energije, otežano redovito funkcioniranje tvrtki i kućanstava</w:t>
            </w:r>
          </w:p>
        </w:tc>
      </w:tr>
      <w:tr w:rsidR="00FF1E38" w:rsidRPr="00FF1E38" w14:paraId="39234C0B" w14:textId="77777777" w:rsidTr="00DE0C9A">
        <w:trPr>
          <w:cantSplit/>
        </w:trPr>
        <w:tc>
          <w:tcPr>
            <w:tcW w:w="1701" w:type="dxa"/>
            <w:tcBorders>
              <w:top w:val="single" w:sz="4" w:space="0" w:color="000000"/>
              <w:left w:val="single" w:sz="4" w:space="0" w:color="000000"/>
              <w:bottom w:val="single" w:sz="4" w:space="0" w:color="000000"/>
              <w:right w:val="single" w:sz="4" w:space="0" w:color="000000"/>
            </w:tcBorders>
            <w:vAlign w:val="center"/>
          </w:tcPr>
          <w:p w14:paraId="56C0241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zdravstvo</w:t>
            </w:r>
          </w:p>
        </w:tc>
        <w:tc>
          <w:tcPr>
            <w:tcW w:w="2665" w:type="dxa"/>
            <w:tcBorders>
              <w:top w:val="single" w:sz="4" w:space="0" w:color="000000"/>
              <w:left w:val="single" w:sz="4" w:space="0" w:color="000000"/>
              <w:bottom w:val="single" w:sz="4" w:space="0" w:color="000000"/>
              <w:right w:val="single" w:sz="4" w:space="0" w:color="000000"/>
            </w:tcBorders>
            <w:vAlign w:val="center"/>
          </w:tcPr>
          <w:p w14:paraId="2435369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povećana potreba zdravstvene skrbi (pothlađenost, ozljede i sl.)</w:t>
            </w:r>
          </w:p>
        </w:tc>
        <w:tc>
          <w:tcPr>
            <w:tcW w:w="2438" w:type="dxa"/>
            <w:tcBorders>
              <w:top w:val="single" w:sz="4" w:space="0" w:color="000000"/>
              <w:left w:val="single" w:sz="4" w:space="0" w:color="000000"/>
              <w:bottom w:val="single" w:sz="4" w:space="0" w:color="000000"/>
              <w:right w:val="single" w:sz="4" w:space="0" w:color="000000"/>
            </w:tcBorders>
            <w:vAlign w:val="center"/>
          </w:tcPr>
          <w:p w14:paraId="287CD79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preopterećenost postojećih kapaciteta zbrinjavanja</w:t>
            </w:r>
          </w:p>
        </w:tc>
        <w:tc>
          <w:tcPr>
            <w:tcW w:w="2268" w:type="dxa"/>
            <w:tcBorders>
              <w:top w:val="single" w:sz="4" w:space="0" w:color="000000"/>
              <w:left w:val="single" w:sz="4" w:space="0" w:color="000000"/>
              <w:bottom w:val="single" w:sz="4" w:space="0" w:color="000000"/>
              <w:right w:val="single" w:sz="4" w:space="0" w:color="000000"/>
            </w:tcBorders>
            <w:vAlign w:val="center"/>
          </w:tcPr>
          <w:p w14:paraId="58686CD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duže čekanje usluga zbog manjka liječnika i medicinskog osoblja</w:t>
            </w:r>
          </w:p>
        </w:tc>
      </w:tr>
      <w:tr w:rsidR="00FF1E38" w:rsidRPr="00FF1E38" w14:paraId="6AC24213" w14:textId="77777777" w:rsidTr="00DE0C9A">
        <w:trPr>
          <w:cantSplit/>
        </w:trPr>
        <w:tc>
          <w:tcPr>
            <w:tcW w:w="1701" w:type="dxa"/>
            <w:tcBorders>
              <w:top w:val="single" w:sz="4" w:space="0" w:color="000000"/>
              <w:left w:val="single" w:sz="4" w:space="0" w:color="000000"/>
              <w:bottom w:val="single" w:sz="4" w:space="0" w:color="000000"/>
              <w:right w:val="single" w:sz="4" w:space="0" w:color="000000"/>
            </w:tcBorders>
            <w:vAlign w:val="center"/>
          </w:tcPr>
          <w:p w14:paraId="1A290BB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lastRenderedPageBreak/>
              <w:t>hrana</w:t>
            </w:r>
          </w:p>
        </w:tc>
        <w:tc>
          <w:tcPr>
            <w:tcW w:w="2665" w:type="dxa"/>
            <w:tcBorders>
              <w:top w:val="single" w:sz="4" w:space="0" w:color="000000"/>
              <w:left w:val="single" w:sz="4" w:space="0" w:color="000000"/>
              <w:bottom w:val="single" w:sz="4" w:space="0" w:color="000000"/>
              <w:right w:val="single" w:sz="4" w:space="0" w:color="000000"/>
            </w:tcBorders>
            <w:vAlign w:val="center"/>
          </w:tcPr>
          <w:p w14:paraId="33B3AE3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uništenje pojedinih proizvodnih kapaciteta i skladišta te trgovina i supermarketa, povećane potrebe za namirnicama iz Robnih zaliha</w:t>
            </w:r>
          </w:p>
        </w:tc>
        <w:tc>
          <w:tcPr>
            <w:tcW w:w="2438" w:type="dxa"/>
            <w:tcBorders>
              <w:top w:val="single" w:sz="4" w:space="0" w:color="000000"/>
              <w:left w:val="single" w:sz="4" w:space="0" w:color="000000"/>
              <w:bottom w:val="single" w:sz="4" w:space="0" w:color="000000"/>
              <w:right w:val="single" w:sz="4" w:space="0" w:color="000000"/>
            </w:tcBorders>
            <w:vAlign w:val="center"/>
          </w:tcPr>
          <w:p w14:paraId="0F2F776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prestanak proizvodnje, povećane potrebe</w:t>
            </w:r>
          </w:p>
        </w:tc>
        <w:tc>
          <w:tcPr>
            <w:tcW w:w="2268" w:type="dxa"/>
            <w:tcBorders>
              <w:top w:val="single" w:sz="4" w:space="0" w:color="000000"/>
              <w:left w:val="single" w:sz="4" w:space="0" w:color="000000"/>
              <w:bottom w:val="single" w:sz="4" w:space="0" w:color="000000"/>
              <w:right w:val="single" w:sz="4" w:space="0" w:color="000000"/>
            </w:tcBorders>
            <w:vAlign w:val="center"/>
          </w:tcPr>
          <w:p w14:paraId="2B049B3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manja ponuda, ispražnjene prodavaonice</w:t>
            </w:r>
          </w:p>
        </w:tc>
      </w:tr>
      <w:tr w:rsidR="00FF1E38" w:rsidRPr="00FF1E38" w14:paraId="77D141F4" w14:textId="77777777" w:rsidTr="00DE0C9A">
        <w:trPr>
          <w:cantSplit/>
        </w:trPr>
        <w:tc>
          <w:tcPr>
            <w:tcW w:w="1701" w:type="dxa"/>
            <w:tcBorders>
              <w:top w:val="single" w:sz="4" w:space="0" w:color="000000"/>
              <w:left w:val="single" w:sz="4" w:space="0" w:color="000000"/>
              <w:bottom w:val="single" w:sz="4" w:space="0" w:color="000000"/>
              <w:right w:val="single" w:sz="4" w:space="0" w:color="000000"/>
            </w:tcBorders>
            <w:vAlign w:val="center"/>
          </w:tcPr>
          <w:p w14:paraId="396DB13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financije</w:t>
            </w:r>
          </w:p>
        </w:tc>
        <w:tc>
          <w:tcPr>
            <w:tcW w:w="2665" w:type="dxa"/>
            <w:tcBorders>
              <w:top w:val="single" w:sz="4" w:space="0" w:color="000000"/>
              <w:left w:val="single" w:sz="4" w:space="0" w:color="000000"/>
              <w:bottom w:val="single" w:sz="4" w:space="0" w:color="000000"/>
              <w:right w:val="single" w:sz="4" w:space="0" w:color="000000"/>
            </w:tcBorders>
            <w:vAlign w:val="center"/>
          </w:tcPr>
          <w:p w14:paraId="40353EF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povećane potrebe za naknadom štete, poplavljeni pojedini objekti financijskih institucija (poslovnice banaka), prestanak rada bankomata zbog nestanka el. energije</w:t>
            </w:r>
          </w:p>
        </w:tc>
        <w:tc>
          <w:tcPr>
            <w:tcW w:w="2438" w:type="dxa"/>
            <w:tcBorders>
              <w:top w:val="single" w:sz="4" w:space="0" w:color="000000"/>
              <w:left w:val="single" w:sz="4" w:space="0" w:color="000000"/>
              <w:bottom w:val="single" w:sz="4" w:space="0" w:color="000000"/>
              <w:right w:val="single" w:sz="4" w:space="0" w:color="000000"/>
            </w:tcBorders>
            <w:vAlign w:val="center"/>
          </w:tcPr>
          <w:p w14:paraId="55BC457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prekid rada pojedinih poslovnica</w:t>
            </w:r>
          </w:p>
        </w:tc>
        <w:tc>
          <w:tcPr>
            <w:tcW w:w="2268" w:type="dxa"/>
            <w:tcBorders>
              <w:top w:val="single" w:sz="4" w:space="0" w:color="000000"/>
              <w:left w:val="single" w:sz="4" w:space="0" w:color="000000"/>
              <w:bottom w:val="single" w:sz="4" w:space="0" w:color="000000"/>
              <w:right w:val="single" w:sz="4" w:space="0" w:color="000000"/>
            </w:tcBorders>
            <w:vAlign w:val="center"/>
          </w:tcPr>
          <w:p w14:paraId="32C2D77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teškoće u obavljanju platnog prometa</w:t>
            </w:r>
          </w:p>
        </w:tc>
      </w:tr>
      <w:tr w:rsidR="00FF1E38" w:rsidRPr="00FF1E38" w14:paraId="0E030A62" w14:textId="77777777" w:rsidTr="00DE0C9A">
        <w:trPr>
          <w:cantSplit/>
        </w:trPr>
        <w:tc>
          <w:tcPr>
            <w:tcW w:w="1701" w:type="dxa"/>
            <w:tcBorders>
              <w:top w:val="single" w:sz="4" w:space="0" w:color="000000"/>
              <w:left w:val="single" w:sz="4" w:space="0" w:color="000000"/>
              <w:bottom w:val="single" w:sz="4" w:space="0" w:color="000000"/>
              <w:right w:val="single" w:sz="4" w:space="0" w:color="000000"/>
            </w:tcBorders>
            <w:vAlign w:val="center"/>
          </w:tcPr>
          <w:p w14:paraId="31DC174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proizvodnja, skladištenje i prijevoz opasnih tvari</w:t>
            </w:r>
          </w:p>
        </w:tc>
        <w:tc>
          <w:tcPr>
            <w:tcW w:w="2665" w:type="dxa"/>
            <w:tcBorders>
              <w:top w:val="single" w:sz="4" w:space="0" w:color="000000"/>
              <w:left w:val="single" w:sz="4" w:space="0" w:color="000000"/>
              <w:bottom w:val="single" w:sz="4" w:space="0" w:color="000000"/>
              <w:right w:val="single" w:sz="4" w:space="0" w:color="000000"/>
            </w:tcBorders>
            <w:vAlign w:val="center"/>
          </w:tcPr>
          <w:p w14:paraId="6376503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poplavljivanje skladišta opasnih tvari i postrojenja u kojima se barata opasnim tvarima</w:t>
            </w:r>
          </w:p>
        </w:tc>
        <w:tc>
          <w:tcPr>
            <w:tcW w:w="2438" w:type="dxa"/>
            <w:tcBorders>
              <w:top w:val="single" w:sz="4" w:space="0" w:color="000000"/>
              <w:left w:val="single" w:sz="4" w:space="0" w:color="000000"/>
              <w:bottom w:val="single" w:sz="4" w:space="0" w:color="000000"/>
              <w:right w:val="single" w:sz="4" w:space="0" w:color="000000"/>
            </w:tcBorders>
            <w:vAlign w:val="center"/>
          </w:tcPr>
          <w:p w14:paraId="4CF0421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prestanak proizvodnje, mogućnost nastanka eksplozije ili istjecanje štetnih tvari, onečišćenje okoliša</w:t>
            </w:r>
          </w:p>
        </w:tc>
        <w:tc>
          <w:tcPr>
            <w:tcW w:w="2268" w:type="dxa"/>
            <w:tcBorders>
              <w:top w:val="single" w:sz="4" w:space="0" w:color="000000"/>
              <w:left w:val="single" w:sz="4" w:space="0" w:color="000000"/>
              <w:bottom w:val="single" w:sz="4" w:space="0" w:color="000000"/>
              <w:right w:val="single" w:sz="4" w:space="0" w:color="000000"/>
            </w:tcBorders>
            <w:vAlign w:val="center"/>
          </w:tcPr>
          <w:p w14:paraId="3825679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ugrožavanje zdravlja stanovništva, mogućnost ozljeđivanja zbog nastanka eksplozija</w:t>
            </w:r>
          </w:p>
        </w:tc>
      </w:tr>
      <w:tr w:rsidR="00FF1E38" w:rsidRPr="00FF1E38" w14:paraId="3B6B57A4" w14:textId="77777777" w:rsidTr="00DE0C9A">
        <w:trPr>
          <w:cantSplit/>
        </w:trPr>
        <w:tc>
          <w:tcPr>
            <w:tcW w:w="1701" w:type="dxa"/>
            <w:tcBorders>
              <w:top w:val="single" w:sz="4" w:space="0" w:color="000000"/>
              <w:left w:val="single" w:sz="4" w:space="0" w:color="000000"/>
              <w:bottom w:val="single" w:sz="4" w:space="0" w:color="000000"/>
              <w:right w:val="single" w:sz="4" w:space="0" w:color="000000"/>
            </w:tcBorders>
            <w:vAlign w:val="center"/>
          </w:tcPr>
          <w:p w14:paraId="25B209E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javne službe</w:t>
            </w:r>
          </w:p>
        </w:tc>
        <w:tc>
          <w:tcPr>
            <w:tcW w:w="2665" w:type="dxa"/>
            <w:tcBorders>
              <w:top w:val="single" w:sz="4" w:space="0" w:color="000000"/>
              <w:left w:val="single" w:sz="4" w:space="0" w:color="000000"/>
              <w:bottom w:val="single" w:sz="4" w:space="0" w:color="000000"/>
              <w:right w:val="single" w:sz="4" w:space="0" w:color="000000"/>
            </w:tcBorders>
            <w:vAlign w:val="center"/>
          </w:tcPr>
          <w:p w14:paraId="3A3199A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povećane potrebe za djelovanjem hitnih službi</w:t>
            </w:r>
          </w:p>
        </w:tc>
        <w:tc>
          <w:tcPr>
            <w:tcW w:w="2438" w:type="dxa"/>
            <w:tcBorders>
              <w:top w:val="single" w:sz="4" w:space="0" w:color="000000"/>
              <w:left w:val="single" w:sz="4" w:space="0" w:color="000000"/>
              <w:bottom w:val="single" w:sz="4" w:space="0" w:color="000000"/>
              <w:right w:val="single" w:sz="4" w:space="0" w:color="000000"/>
            </w:tcBorders>
            <w:vAlign w:val="center"/>
          </w:tcPr>
          <w:p w14:paraId="1BE0C69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nedostatan broj ljudstva i opreme</w:t>
            </w:r>
          </w:p>
        </w:tc>
        <w:tc>
          <w:tcPr>
            <w:tcW w:w="2268" w:type="dxa"/>
            <w:tcBorders>
              <w:top w:val="single" w:sz="4" w:space="0" w:color="000000"/>
              <w:left w:val="single" w:sz="4" w:space="0" w:color="000000"/>
              <w:bottom w:val="single" w:sz="4" w:space="0" w:color="000000"/>
              <w:right w:val="single" w:sz="4" w:space="0" w:color="000000"/>
            </w:tcBorders>
            <w:vAlign w:val="center"/>
          </w:tcPr>
          <w:p w14:paraId="192F01F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duže vrijeme čekanja na pružanje pomoći</w:t>
            </w:r>
          </w:p>
        </w:tc>
      </w:tr>
      <w:tr w:rsidR="00FF1E38" w:rsidRPr="00FF1E38" w14:paraId="3ADDCDDE" w14:textId="77777777" w:rsidTr="00DE0C9A">
        <w:trPr>
          <w:cantSplit/>
        </w:trPr>
        <w:tc>
          <w:tcPr>
            <w:tcW w:w="1701" w:type="dxa"/>
            <w:tcBorders>
              <w:top w:val="single" w:sz="4" w:space="0" w:color="000000"/>
              <w:left w:val="single" w:sz="4" w:space="0" w:color="000000"/>
              <w:bottom w:val="single" w:sz="4" w:space="0" w:color="000000"/>
              <w:right w:val="single" w:sz="4" w:space="0" w:color="000000"/>
            </w:tcBorders>
            <w:vAlign w:val="center"/>
          </w:tcPr>
          <w:p w14:paraId="200E128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nacionalni spomenici i vrijednosti</w:t>
            </w:r>
          </w:p>
        </w:tc>
        <w:tc>
          <w:tcPr>
            <w:tcW w:w="2665" w:type="dxa"/>
            <w:tcBorders>
              <w:top w:val="single" w:sz="4" w:space="0" w:color="000000"/>
              <w:left w:val="single" w:sz="4" w:space="0" w:color="000000"/>
              <w:bottom w:val="single" w:sz="4" w:space="0" w:color="000000"/>
              <w:right w:val="single" w:sz="4" w:space="0" w:color="000000"/>
            </w:tcBorders>
            <w:vAlign w:val="center"/>
          </w:tcPr>
          <w:p w14:paraId="56E9D11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nema utjecaja zbog udaljenosti kulturnih vrijednosti od rijeke Save</w:t>
            </w:r>
          </w:p>
        </w:tc>
        <w:tc>
          <w:tcPr>
            <w:tcW w:w="2438" w:type="dxa"/>
            <w:tcBorders>
              <w:top w:val="single" w:sz="4" w:space="0" w:color="000000"/>
              <w:left w:val="single" w:sz="4" w:space="0" w:color="000000"/>
              <w:bottom w:val="single" w:sz="4" w:space="0" w:color="000000"/>
              <w:right w:val="single" w:sz="4" w:space="0" w:color="000000"/>
            </w:tcBorders>
            <w:vAlign w:val="center"/>
          </w:tcPr>
          <w:p w14:paraId="6306FF2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w:t>
            </w:r>
          </w:p>
        </w:tc>
        <w:tc>
          <w:tcPr>
            <w:tcW w:w="2268" w:type="dxa"/>
            <w:tcBorders>
              <w:top w:val="single" w:sz="4" w:space="0" w:color="000000"/>
              <w:left w:val="single" w:sz="4" w:space="0" w:color="000000"/>
              <w:bottom w:val="single" w:sz="4" w:space="0" w:color="000000"/>
              <w:right w:val="single" w:sz="4" w:space="0" w:color="000000"/>
            </w:tcBorders>
            <w:vAlign w:val="center"/>
          </w:tcPr>
          <w:p w14:paraId="1E76491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w:t>
            </w:r>
          </w:p>
        </w:tc>
      </w:tr>
    </w:tbl>
    <w:p w14:paraId="6A2F9C6E"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3F911F8C" w14:textId="77777777" w:rsidR="00FF1E38" w:rsidRP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sz w:val="24"/>
          <w:u w:val="single"/>
        </w:rPr>
        <w:t>Zaključak</w:t>
      </w:r>
    </w:p>
    <w:p w14:paraId="3D7413C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Poplava može negativno utjecati na sve sektore kritične infrastrukture. Ugroženost ovisi o smještaju infrastrukture u prostoru odnosno udaljenosti objekata od rijeke Save. Posebno je ugrožen elektroenergetski i prometni sektor, a velika su prijetnja i postrojenja na području Gradske četvrti Peščenica - Žitnjak koja mogu biti poplavljena i tako prouzročiti neželjene lančane reakcije ili dovesti do zagađenja okoliša.</w:t>
      </w:r>
    </w:p>
    <w:p w14:paraId="2928866D" w14:textId="77777777" w:rsidR="00FF1E38" w:rsidRPr="00FF1E38" w:rsidRDefault="00FF1E38" w:rsidP="00FF1E38">
      <w:pPr>
        <w:spacing w:after="0" w:line="240" w:lineRule="auto"/>
        <w:ind w:right="0"/>
        <w:rPr>
          <w:rFonts w:ascii="Times New Roman" w:hAnsi="Times New Roman" w:cs="Times New Roman"/>
          <w:sz w:val="24"/>
        </w:rPr>
      </w:pPr>
    </w:p>
    <w:p w14:paraId="12B9CD1B" w14:textId="2B4B8459" w:rsidR="00FF1E38" w:rsidRPr="00CC129C" w:rsidRDefault="00FF1E38" w:rsidP="00571A98">
      <w:pPr>
        <w:spacing w:line="240" w:lineRule="auto"/>
        <w:ind w:left="0" w:right="0" w:firstLine="0"/>
        <w:jc w:val="center"/>
        <w:rPr>
          <w:rFonts w:ascii="Times New Roman" w:hAnsi="Times New Roman" w:cs="Times New Roman"/>
          <w:b/>
          <w:color w:val="auto"/>
          <w:sz w:val="24"/>
        </w:rPr>
      </w:pPr>
      <w:r w:rsidRPr="00CC129C">
        <w:rPr>
          <w:rFonts w:ascii="Times New Roman" w:hAnsi="Times New Roman" w:cs="Times New Roman"/>
          <w:b/>
          <w:color w:val="auto"/>
          <w:sz w:val="24"/>
        </w:rPr>
        <w:t xml:space="preserve">Tablica </w:t>
      </w:r>
      <w:r w:rsidR="00CC129C" w:rsidRPr="00CC129C">
        <w:rPr>
          <w:rFonts w:ascii="Times New Roman" w:hAnsi="Times New Roman" w:cs="Times New Roman"/>
          <w:b/>
          <w:color w:val="auto"/>
          <w:sz w:val="24"/>
        </w:rPr>
        <w:t>60</w:t>
      </w:r>
      <w:r w:rsidRPr="00CC129C">
        <w:rPr>
          <w:rFonts w:ascii="Times New Roman" w:hAnsi="Times New Roman" w:cs="Times New Roman"/>
          <w:b/>
          <w:color w:val="auto"/>
          <w:sz w:val="24"/>
        </w:rPr>
        <w:t xml:space="preserve">. Utjecaj poplave na sektore kritične infrastrukture </w:t>
      </w:r>
    </w:p>
    <w:tbl>
      <w:tblPr>
        <w:tblStyle w:val="TableGrid"/>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3" w:type="dxa"/>
        </w:tblCellMar>
        <w:tblLook w:val="04A0" w:firstRow="1" w:lastRow="0" w:firstColumn="1" w:lastColumn="0" w:noHBand="0" w:noVBand="1"/>
      </w:tblPr>
      <w:tblGrid>
        <w:gridCol w:w="1418"/>
        <w:gridCol w:w="7654"/>
      </w:tblGrid>
      <w:tr w:rsidR="00FF1E38" w:rsidRPr="00FF1E38" w14:paraId="7335A090" w14:textId="77777777" w:rsidTr="00571A98">
        <w:trPr>
          <w:cantSplit/>
          <w:tblHeader/>
        </w:trPr>
        <w:tc>
          <w:tcPr>
            <w:tcW w:w="1418" w:type="dxa"/>
            <w:shd w:val="clear" w:color="auto" w:fill="FFC000"/>
            <w:vAlign w:val="center"/>
          </w:tcPr>
          <w:p w14:paraId="40D8EDA6"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b/>
                <w:sz w:val="24"/>
              </w:rPr>
              <w:t>UTJECAJ</w:t>
            </w:r>
          </w:p>
        </w:tc>
        <w:tc>
          <w:tcPr>
            <w:tcW w:w="7654" w:type="dxa"/>
            <w:shd w:val="clear" w:color="auto" w:fill="FFC000"/>
            <w:vAlign w:val="center"/>
          </w:tcPr>
          <w:p w14:paraId="5D21C2A8"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b/>
                <w:sz w:val="24"/>
              </w:rPr>
              <w:t>SEKTOR</w:t>
            </w:r>
          </w:p>
        </w:tc>
      </w:tr>
      <w:tr w:rsidR="00FF1E38" w:rsidRPr="00FF1E38" w14:paraId="01CF5DAD" w14:textId="77777777" w:rsidTr="00571A98">
        <w:trPr>
          <w:cantSplit/>
        </w:trPr>
        <w:tc>
          <w:tcPr>
            <w:tcW w:w="1418" w:type="dxa"/>
            <w:vAlign w:val="center"/>
          </w:tcPr>
          <w:p w14:paraId="6B5DA5FA"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x</w:t>
            </w:r>
          </w:p>
        </w:tc>
        <w:tc>
          <w:tcPr>
            <w:tcW w:w="7654" w:type="dxa"/>
            <w:vAlign w:val="center"/>
          </w:tcPr>
          <w:p w14:paraId="02B556CB"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 xml:space="preserve">Energetika (proizvodnja, uključivo akumulacije i brane, prijenos, skladištenje, transport energenata i energije, sustavi za distribuciju) </w:t>
            </w:r>
          </w:p>
        </w:tc>
      </w:tr>
      <w:tr w:rsidR="00FF1E38" w:rsidRPr="00FF1E38" w14:paraId="7945C13D" w14:textId="77777777" w:rsidTr="00571A98">
        <w:trPr>
          <w:cantSplit/>
        </w:trPr>
        <w:tc>
          <w:tcPr>
            <w:tcW w:w="1418" w:type="dxa"/>
            <w:shd w:val="clear" w:color="auto" w:fill="FFC000"/>
            <w:vAlign w:val="center"/>
          </w:tcPr>
          <w:p w14:paraId="0B49649C"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x</w:t>
            </w:r>
          </w:p>
        </w:tc>
        <w:tc>
          <w:tcPr>
            <w:tcW w:w="7654" w:type="dxa"/>
            <w:shd w:val="clear" w:color="auto" w:fill="FFC000"/>
            <w:vAlign w:val="center"/>
          </w:tcPr>
          <w:p w14:paraId="19A565F9"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 xml:space="preserve">Komunikacijska i informacijska tehnologija (elektroničke komunikacije, prijenos podataka, informacijski sustavi, pružanje audio i audiovizualnih medijskih usluga) </w:t>
            </w:r>
          </w:p>
        </w:tc>
      </w:tr>
      <w:tr w:rsidR="00FF1E38" w:rsidRPr="00FF1E38" w14:paraId="3C9CF959" w14:textId="77777777" w:rsidTr="00571A98">
        <w:trPr>
          <w:cantSplit/>
        </w:trPr>
        <w:tc>
          <w:tcPr>
            <w:tcW w:w="1418" w:type="dxa"/>
          </w:tcPr>
          <w:p w14:paraId="04132942"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x</w:t>
            </w:r>
          </w:p>
        </w:tc>
        <w:tc>
          <w:tcPr>
            <w:tcW w:w="7654" w:type="dxa"/>
            <w:vAlign w:val="center"/>
          </w:tcPr>
          <w:p w14:paraId="6E228032"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 xml:space="preserve">Promet (cestovni, željeznički, zračni, pomorski i promet unutarnjim plovnim putevima) </w:t>
            </w:r>
          </w:p>
        </w:tc>
      </w:tr>
      <w:tr w:rsidR="00FF1E38" w:rsidRPr="00FF1E38" w14:paraId="5E78A600" w14:textId="77777777" w:rsidTr="00571A98">
        <w:trPr>
          <w:cantSplit/>
        </w:trPr>
        <w:tc>
          <w:tcPr>
            <w:tcW w:w="1418" w:type="dxa"/>
            <w:shd w:val="clear" w:color="auto" w:fill="FFC000"/>
          </w:tcPr>
          <w:p w14:paraId="6D16967C"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x</w:t>
            </w:r>
          </w:p>
        </w:tc>
        <w:tc>
          <w:tcPr>
            <w:tcW w:w="7654" w:type="dxa"/>
            <w:shd w:val="clear" w:color="auto" w:fill="FFC000"/>
            <w:vAlign w:val="center"/>
          </w:tcPr>
          <w:p w14:paraId="1697F402"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 xml:space="preserve">Zdravstvo (zdravstvena zaštita, proizvodnja, promet i nadzor nad lijekovima) </w:t>
            </w:r>
          </w:p>
        </w:tc>
      </w:tr>
      <w:tr w:rsidR="00FF1E38" w:rsidRPr="00FF1E38" w14:paraId="04D4957C" w14:textId="77777777" w:rsidTr="00571A98">
        <w:trPr>
          <w:cantSplit/>
        </w:trPr>
        <w:tc>
          <w:tcPr>
            <w:tcW w:w="1418" w:type="dxa"/>
            <w:vAlign w:val="center"/>
          </w:tcPr>
          <w:p w14:paraId="55852D75"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x</w:t>
            </w:r>
          </w:p>
        </w:tc>
        <w:tc>
          <w:tcPr>
            <w:tcW w:w="7654" w:type="dxa"/>
            <w:vAlign w:val="center"/>
          </w:tcPr>
          <w:p w14:paraId="712DCB13"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 xml:space="preserve">Vodno gospodarstvo (regulacijske i zaštitne vodne građevine i komunalne vodne građevine) </w:t>
            </w:r>
          </w:p>
        </w:tc>
      </w:tr>
      <w:tr w:rsidR="00FF1E38" w:rsidRPr="00FF1E38" w14:paraId="33FB5508" w14:textId="77777777" w:rsidTr="00571A98">
        <w:trPr>
          <w:cantSplit/>
        </w:trPr>
        <w:tc>
          <w:tcPr>
            <w:tcW w:w="1418" w:type="dxa"/>
            <w:shd w:val="clear" w:color="auto" w:fill="FFC000"/>
          </w:tcPr>
          <w:p w14:paraId="6A777A01"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x</w:t>
            </w:r>
          </w:p>
        </w:tc>
        <w:tc>
          <w:tcPr>
            <w:tcW w:w="7654" w:type="dxa"/>
            <w:shd w:val="clear" w:color="auto" w:fill="FFC000"/>
            <w:vAlign w:val="center"/>
          </w:tcPr>
          <w:p w14:paraId="04906EE7"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 xml:space="preserve">Hrana (proizvodnja i opskrba hranom i sustav sigurnosti hrane, robne zalihe) </w:t>
            </w:r>
          </w:p>
        </w:tc>
      </w:tr>
      <w:tr w:rsidR="00FF1E38" w:rsidRPr="00FF1E38" w14:paraId="165C8D7B" w14:textId="77777777" w:rsidTr="00571A98">
        <w:trPr>
          <w:cantSplit/>
        </w:trPr>
        <w:tc>
          <w:tcPr>
            <w:tcW w:w="1418" w:type="dxa"/>
          </w:tcPr>
          <w:p w14:paraId="4BF9E7D3"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x</w:t>
            </w:r>
          </w:p>
        </w:tc>
        <w:tc>
          <w:tcPr>
            <w:tcW w:w="7654" w:type="dxa"/>
            <w:vAlign w:val="center"/>
          </w:tcPr>
          <w:p w14:paraId="4D3F7446"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 xml:space="preserve">Financije (bankarstvo, burze, investicije, sustavi osiguranja i plaćanja) </w:t>
            </w:r>
          </w:p>
        </w:tc>
      </w:tr>
      <w:tr w:rsidR="00FF1E38" w:rsidRPr="00FF1E38" w14:paraId="7D98AD37" w14:textId="77777777" w:rsidTr="00571A98">
        <w:trPr>
          <w:cantSplit/>
        </w:trPr>
        <w:tc>
          <w:tcPr>
            <w:tcW w:w="1418" w:type="dxa"/>
            <w:shd w:val="clear" w:color="auto" w:fill="FFC000"/>
            <w:vAlign w:val="center"/>
          </w:tcPr>
          <w:p w14:paraId="77AC584F"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x</w:t>
            </w:r>
          </w:p>
        </w:tc>
        <w:tc>
          <w:tcPr>
            <w:tcW w:w="7654" w:type="dxa"/>
            <w:shd w:val="clear" w:color="auto" w:fill="FFC000"/>
            <w:vAlign w:val="center"/>
          </w:tcPr>
          <w:p w14:paraId="29C4CA7C"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Proizvodnja, skladištenje i prijevoz opasnih tvari (kemijski, biološki, radiološki i nuklearni materijal)</w:t>
            </w:r>
          </w:p>
        </w:tc>
      </w:tr>
      <w:tr w:rsidR="00FF1E38" w:rsidRPr="00FF1E38" w14:paraId="5A944742" w14:textId="77777777" w:rsidTr="00571A98">
        <w:trPr>
          <w:cantSplit/>
        </w:trPr>
        <w:tc>
          <w:tcPr>
            <w:tcW w:w="1418" w:type="dxa"/>
            <w:vAlign w:val="center"/>
          </w:tcPr>
          <w:p w14:paraId="653A23B2"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x</w:t>
            </w:r>
          </w:p>
        </w:tc>
        <w:tc>
          <w:tcPr>
            <w:tcW w:w="7654" w:type="dxa"/>
            <w:vAlign w:val="center"/>
          </w:tcPr>
          <w:p w14:paraId="0278424D"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 xml:space="preserve">Javne službe (osiguranje javnog reda i mira, zaštita i spašavanje, hitna medicinska pomoć) </w:t>
            </w:r>
          </w:p>
        </w:tc>
      </w:tr>
      <w:tr w:rsidR="00FF1E38" w:rsidRPr="00FF1E38" w14:paraId="3985BBED" w14:textId="77777777" w:rsidTr="00571A98">
        <w:trPr>
          <w:cantSplit/>
        </w:trPr>
        <w:tc>
          <w:tcPr>
            <w:tcW w:w="1418" w:type="dxa"/>
            <w:shd w:val="clear" w:color="auto" w:fill="FFC000"/>
          </w:tcPr>
          <w:p w14:paraId="057E8D2B" w14:textId="77777777" w:rsidR="00FF1E38" w:rsidRPr="00FF1E38" w:rsidRDefault="00FF1E38" w:rsidP="00FF1E38">
            <w:pPr>
              <w:spacing w:after="0" w:line="240" w:lineRule="auto"/>
              <w:ind w:left="0" w:right="0" w:firstLine="0"/>
              <w:jc w:val="center"/>
              <w:rPr>
                <w:rFonts w:ascii="Times New Roman" w:hAnsi="Times New Roman" w:cs="Times New Roman"/>
                <w:sz w:val="24"/>
              </w:rPr>
            </w:pPr>
          </w:p>
        </w:tc>
        <w:tc>
          <w:tcPr>
            <w:tcW w:w="7654" w:type="dxa"/>
            <w:shd w:val="clear" w:color="auto" w:fill="FFC000"/>
            <w:vAlign w:val="center"/>
          </w:tcPr>
          <w:p w14:paraId="62FA5B19"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 xml:space="preserve">Nacionalni spomenici i vrijednosti </w:t>
            </w:r>
          </w:p>
        </w:tc>
      </w:tr>
    </w:tbl>
    <w:p w14:paraId="5A8757E0"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154311FB" w14:textId="77777777" w:rsidR="00FF1E38" w:rsidRPr="00FF1E38" w:rsidRDefault="00FF1E38" w:rsidP="00FF1E38">
      <w:pPr>
        <w:spacing w:after="0" w:line="240" w:lineRule="auto"/>
        <w:ind w:left="0" w:right="0" w:firstLine="709"/>
        <w:rPr>
          <w:rFonts w:ascii="Times New Roman" w:hAnsi="Times New Roman" w:cs="Times New Roman"/>
          <w:b/>
          <w:sz w:val="24"/>
        </w:rPr>
      </w:pPr>
      <w:bookmarkStart w:id="79" w:name="_Toc2938596"/>
      <w:r w:rsidRPr="00FF1E38">
        <w:rPr>
          <w:rFonts w:ascii="Times New Roman" w:hAnsi="Times New Roman" w:cs="Times New Roman"/>
          <w:b/>
          <w:sz w:val="24"/>
        </w:rPr>
        <w:t>6.2.3. Kontekst</w:t>
      </w:r>
      <w:bookmarkEnd w:id="79"/>
    </w:p>
    <w:p w14:paraId="49158959" w14:textId="544BA3CD"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Grad Zagreb, osim što je glavni grad Republike Hrvatske, vodeće je gospodarsko, obrazovno i kulturno središte te je ujedno s 769 944 stanovnika i najveće gradsko središte u Hrvatskoj. Osim toga, pažnju treba obratiti na Zagreb kao i veliko regionalno središte odnosno gravitacijski centar kojem teže svi gradovi Zagrebačke županije te mjesta okolnih županija. Na površini od 641,24 km</w:t>
      </w:r>
      <w:r w:rsidRPr="00FF1E38">
        <w:rPr>
          <w:rFonts w:ascii="Times New Roman" w:hAnsi="Times New Roman" w:cs="Times New Roman"/>
          <w:sz w:val="24"/>
          <w:vertAlign w:val="superscript"/>
        </w:rPr>
        <w:t>2</w:t>
      </w:r>
      <w:r w:rsidRPr="00FF1E38">
        <w:rPr>
          <w:rFonts w:ascii="Times New Roman" w:hAnsi="Times New Roman" w:cs="Times New Roman"/>
          <w:sz w:val="24"/>
        </w:rPr>
        <w:t xml:space="preserve"> živi 19,8 % ukupnog stanovništva RH od čega 114.483 osobe s raznim poteškoćama, 39.059 stanovnika od 0 do 4 godina te 158 703 stanovnika starijih od 65 godina što je velik izazov spasilačkim snagama u slučaju katastrofa. Grad se dijeli na 17 gradskih četvrti i 218 mjesnih odbora s 300 650 kućanstava i 393 433 stanova. Grad Zagreb je i najznačajnije gospodarsko središte Hrvatske. Grad Zagreb nalazi se na trasi Paneuropskog cestovnog i željezničkog koridora X te je sa Zračnom lukom Zagreb s 2,5 milijuna putnika i 9.206 tona tereta jedno od značajnih prometnih čvorišta. U Gradu Zagrebu nalaze se sjedišta Vlade Republike Hrvatske, Hrvatskog sabora, Predsjednika Republike Hrvatske, Ustavnog suda, svih ministarstava te velikog broja ostalih državnih institucija. S dvadeset i jednom bolnicom i kapacitetom od 6.</w:t>
      </w:r>
      <w:r w:rsidR="00CD7DB9">
        <w:rPr>
          <w:rFonts w:ascii="Times New Roman" w:hAnsi="Times New Roman" w:cs="Times New Roman"/>
          <w:sz w:val="24"/>
        </w:rPr>
        <w:t>780</w:t>
      </w:r>
      <w:r w:rsidRPr="00FF1E38">
        <w:rPr>
          <w:rFonts w:ascii="Times New Roman" w:hAnsi="Times New Roman" w:cs="Times New Roman"/>
          <w:sz w:val="24"/>
        </w:rPr>
        <w:t xml:space="preserve"> postelja Zagreb ima važnu zdravstvenu ulogu.</w:t>
      </w:r>
    </w:p>
    <w:p w14:paraId="5A42F9E4" w14:textId="77777777" w:rsidR="00FF1E38" w:rsidRPr="00FF1E38" w:rsidRDefault="00FF1E38" w:rsidP="00FF1E38">
      <w:pPr>
        <w:spacing w:after="0" w:line="240" w:lineRule="auto"/>
        <w:ind w:right="0"/>
        <w:rPr>
          <w:rFonts w:ascii="Times New Roman" w:hAnsi="Times New Roman" w:cs="Times New Roman"/>
          <w:sz w:val="24"/>
        </w:rPr>
      </w:pPr>
    </w:p>
    <w:p w14:paraId="56798282" w14:textId="77777777" w:rsidR="00FF1E38" w:rsidRP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sz w:val="24"/>
          <w:u w:val="single"/>
        </w:rPr>
        <w:t>Hidrološki pokazatelji</w:t>
      </w:r>
    </w:p>
    <w:p w14:paraId="0E909789"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Područje Grada Zagreba u cijelosti pripada vodnom području rijeke Dunav, odnosno području s kojeg sve vode otječu, površinskim ili podzemnim putem u rijeku Dunav. Vodno područje rijeke Dunav podijeljeno je na područje podsliva rijeke Save, Drave i Dunava. Grad Zagreb smješten je na području podsliva rijeke Save te u cijelosti pripada području malog sliva "Zagrebačko Prisavlje".</w:t>
      </w:r>
      <w:r w:rsidRPr="00FF1E38">
        <w:rPr>
          <w:rFonts w:ascii="Times New Roman" w:eastAsia="Calibri" w:hAnsi="Times New Roman" w:cs="Times New Roman"/>
          <w:sz w:val="24"/>
        </w:rPr>
        <w:t xml:space="preserve"> </w:t>
      </w:r>
      <w:r w:rsidRPr="00FF1E38">
        <w:rPr>
          <w:rFonts w:ascii="Times New Roman" w:hAnsi="Times New Roman" w:cs="Times New Roman"/>
          <w:sz w:val="24"/>
        </w:rPr>
        <w:t>U hidrološkom smislu prostor Zagrebačke županije karakterizira vodni sliv rijeke Save i njezinih pritoka te rijeka Krapina koja jednom svojom obalom dotiče granice Grada Zagreba. Uz navedene rijeke potencijalna opasnost od poplava su i potoci s obronaka Medvednice i Vukomeričkih gorica.</w:t>
      </w:r>
    </w:p>
    <w:p w14:paraId="5C12223B" w14:textId="3F8389A7" w:rsidR="00FF1E38" w:rsidRPr="00541311" w:rsidRDefault="00FF1E38" w:rsidP="00FF1E38">
      <w:pPr>
        <w:spacing w:after="0" w:line="240" w:lineRule="auto"/>
        <w:ind w:left="0" w:right="0" w:firstLine="709"/>
        <w:rPr>
          <w:rFonts w:ascii="Times New Roman" w:hAnsi="Times New Roman" w:cs="Times New Roman"/>
          <w:color w:val="auto"/>
          <w:sz w:val="24"/>
        </w:rPr>
      </w:pPr>
      <w:r w:rsidRPr="00FF1E38">
        <w:rPr>
          <w:rFonts w:ascii="Times New Roman" w:hAnsi="Times New Roman" w:cs="Times New Roman"/>
          <w:sz w:val="24"/>
        </w:rPr>
        <w:t xml:space="preserve">Uže gradsko područje Grada Zagreba obiluje mnogobrojnim potocima koji se s Medvednice slijevaju k urbanim gradskim dijelovima. Osam potoka sa sjeverozapadnih obronaka Medvednice utječe u rijeku Krapinu, dok u rijeku Savu s južnih i jugoistočnih </w:t>
      </w:r>
      <w:r w:rsidRPr="00541311">
        <w:rPr>
          <w:rFonts w:ascii="Times New Roman" w:hAnsi="Times New Roman" w:cs="Times New Roman"/>
          <w:color w:val="auto"/>
          <w:sz w:val="24"/>
        </w:rPr>
        <w:t xml:space="preserve">obronaka Medvednice utječe 42 potoka, kako je prikazano u Tablici </w:t>
      </w:r>
      <w:r w:rsidR="00541311" w:rsidRPr="00541311">
        <w:rPr>
          <w:rFonts w:ascii="Times New Roman" w:hAnsi="Times New Roman" w:cs="Times New Roman"/>
          <w:color w:val="auto"/>
          <w:sz w:val="24"/>
        </w:rPr>
        <w:t>61</w:t>
      </w:r>
      <w:r w:rsidRPr="00541311">
        <w:rPr>
          <w:rFonts w:ascii="Times New Roman" w:hAnsi="Times New Roman" w:cs="Times New Roman"/>
          <w:color w:val="auto"/>
          <w:sz w:val="24"/>
        </w:rPr>
        <w:t>.</w:t>
      </w:r>
    </w:p>
    <w:p w14:paraId="3EB82BDE" w14:textId="77777777" w:rsidR="00FF1E38" w:rsidRPr="00FF1E38" w:rsidRDefault="00FF1E38" w:rsidP="00FF1E38">
      <w:pPr>
        <w:spacing w:after="0" w:line="240" w:lineRule="auto"/>
        <w:ind w:right="0"/>
        <w:rPr>
          <w:rFonts w:ascii="Times New Roman" w:hAnsi="Times New Roman" w:cs="Times New Roman"/>
          <w:sz w:val="24"/>
        </w:rPr>
      </w:pPr>
    </w:p>
    <w:p w14:paraId="3A77B5D8" w14:textId="22138224" w:rsidR="00FF1E38" w:rsidRPr="00541311" w:rsidRDefault="00FF1E38" w:rsidP="00571A98">
      <w:pPr>
        <w:spacing w:line="240" w:lineRule="auto"/>
        <w:ind w:left="0" w:right="0" w:firstLine="0"/>
        <w:jc w:val="center"/>
        <w:rPr>
          <w:rFonts w:ascii="Times New Roman" w:hAnsi="Times New Roman" w:cs="Times New Roman"/>
          <w:b/>
          <w:color w:val="auto"/>
          <w:sz w:val="24"/>
        </w:rPr>
      </w:pPr>
      <w:r w:rsidRPr="00541311">
        <w:rPr>
          <w:rFonts w:ascii="Times New Roman" w:hAnsi="Times New Roman" w:cs="Times New Roman"/>
          <w:b/>
          <w:color w:val="auto"/>
          <w:sz w:val="24"/>
        </w:rPr>
        <w:t xml:space="preserve">Tablica </w:t>
      </w:r>
      <w:r w:rsidR="00541311" w:rsidRPr="00541311">
        <w:rPr>
          <w:rFonts w:ascii="Times New Roman" w:hAnsi="Times New Roman" w:cs="Times New Roman"/>
          <w:b/>
          <w:color w:val="auto"/>
          <w:sz w:val="24"/>
        </w:rPr>
        <w:t>61</w:t>
      </w:r>
      <w:r w:rsidRPr="00541311">
        <w:rPr>
          <w:rFonts w:ascii="Times New Roman" w:hAnsi="Times New Roman" w:cs="Times New Roman"/>
          <w:b/>
          <w:color w:val="auto"/>
          <w:sz w:val="24"/>
        </w:rPr>
        <w:t xml:space="preserve">. Vodotoci na području Grada Zagreba </w:t>
      </w:r>
    </w:p>
    <w:tbl>
      <w:tblPr>
        <w:tblStyle w:val="TableGrid"/>
        <w:tblW w:w="9072" w:type="dxa"/>
        <w:tblInd w:w="0" w:type="dxa"/>
        <w:tblLayout w:type="fixed"/>
        <w:tblCellMar>
          <w:left w:w="57" w:type="dxa"/>
          <w:right w:w="57" w:type="dxa"/>
        </w:tblCellMar>
        <w:tblLook w:val="04A0" w:firstRow="1" w:lastRow="0" w:firstColumn="1" w:lastColumn="0" w:noHBand="0" w:noVBand="1"/>
      </w:tblPr>
      <w:tblGrid>
        <w:gridCol w:w="567"/>
        <w:gridCol w:w="4536"/>
        <w:gridCol w:w="2211"/>
        <w:gridCol w:w="1758"/>
      </w:tblGrid>
      <w:tr w:rsidR="00FF1E38" w:rsidRPr="00FF1E38" w14:paraId="2F2689B3" w14:textId="77777777" w:rsidTr="00DE0C9A">
        <w:trPr>
          <w:cantSplit/>
          <w:tblHeader/>
        </w:trPr>
        <w:tc>
          <w:tcPr>
            <w:tcW w:w="56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5F26C2D"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b/>
                <w:sz w:val="24"/>
              </w:rPr>
              <w:t>RB</w:t>
            </w:r>
          </w:p>
        </w:tc>
        <w:tc>
          <w:tcPr>
            <w:tcW w:w="453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02CA25C"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b/>
                <w:sz w:val="24"/>
              </w:rPr>
              <w:t>Naziv vodotoka</w:t>
            </w:r>
          </w:p>
        </w:tc>
        <w:tc>
          <w:tcPr>
            <w:tcW w:w="221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B5D7D1D"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b/>
                <w:sz w:val="24"/>
              </w:rPr>
              <w:t>dužina - km</w:t>
            </w:r>
          </w:p>
        </w:tc>
        <w:tc>
          <w:tcPr>
            <w:tcW w:w="175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C958546"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b/>
                <w:sz w:val="24"/>
              </w:rPr>
              <w:t>održavano - km</w:t>
            </w:r>
          </w:p>
        </w:tc>
      </w:tr>
      <w:tr w:rsidR="00FF1E38" w:rsidRPr="00FF1E38" w14:paraId="56EA30F2"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747D6580"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1.</w:t>
            </w:r>
          </w:p>
        </w:tc>
        <w:tc>
          <w:tcPr>
            <w:tcW w:w="4536" w:type="dxa"/>
            <w:tcBorders>
              <w:top w:val="single" w:sz="4" w:space="0" w:color="000000"/>
              <w:left w:val="single" w:sz="4" w:space="0" w:color="000000"/>
              <w:bottom w:val="single" w:sz="4" w:space="0" w:color="000000"/>
              <w:right w:val="single" w:sz="4" w:space="0" w:color="000000"/>
            </w:tcBorders>
          </w:tcPr>
          <w:p w14:paraId="09ABD8AA"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Podsusedsko Dolje </w:t>
            </w:r>
          </w:p>
        </w:tc>
        <w:tc>
          <w:tcPr>
            <w:tcW w:w="2211" w:type="dxa"/>
            <w:tcBorders>
              <w:top w:val="single" w:sz="4" w:space="0" w:color="000000"/>
              <w:left w:val="single" w:sz="4" w:space="0" w:color="000000"/>
              <w:bottom w:val="single" w:sz="4" w:space="0" w:color="000000"/>
              <w:right w:val="single" w:sz="4" w:space="0" w:color="000000"/>
            </w:tcBorders>
            <w:vAlign w:val="center"/>
          </w:tcPr>
          <w:p w14:paraId="20A39A4C"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4,10</w:t>
            </w:r>
          </w:p>
        </w:tc>
        <w:tc>
          <w:tcPr>
            <w:tcW w:w="1758" w:type="dxa"/>
            <w:tcBorders>
              <w:top w:val="single" w:sz="4" w:space="0" w:color="000000"/>
              <w:left w:val="single" w:sz="4" w:space="0" w:color="000000"/>
              <w:bottom w:val="single" w:sz="4" w:space="0" w:color="000000"/>
              <w:right w:val="single" w:sz="4" w:space="0" w:color="000000"/>
            </w:tcBorders>
          </w:tcPr>
          <w:p w14:paraId="3F63135A"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3,50 </w:t>
            </w:r>
          </w:p>
        </w:tc>
      </w:tr>
      <w:tr w:rsidR="00FF1E38" w:rsidRPr="00FF1E38" w14:paraId="60B00A72"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7164982A"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2.</w:t>
            </w:r>
          </w:p>
        </w:tc>
        <w:tc>
          <w:tcPr>
            <w:tcW w:w="4536" w:type="dxa"/>
            <w:tcBorders>
              <w:top w:val="single" w:sz="4" w:space="0" w:color="000000"/>
              <w:left w:val="single" w:sz="4" w:space="0" w:color="000000"/>
              <w:bottom w:val="single" w:sz="4" w:space="0" w:color="000000"/>
              <w:right w:val="single" w:sz="4" w:space="0" w:color="000000"/>
            </w:tcBorders>
          </w:tcPr>
          <w:p w14:paraId="3B2E84CF"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Dubravica </w:t>
            </w:r>
          </w:p>
        </w:tc>
        <w:tc>
          <w:tcPr>
            <w:tcW w:w="2211" w:type="dxa"/>
            <w:tcBorders>
              <w:top w:val="single" w:sz="4" w:space="0" w:color="000000"/>
              <w:left w:val="single" w:sz="4" w:space="0" w:color="000000"/>
              <w:bottom w:val="single" w:sz="4" w:space="0" w:color="000000"/>
              <w:right w:val="single" w:sz="4" w:space="0" w:color="000000"/>
            </w:tcBorders>
            <w:vAlign w:val="center"/>
          </w:tcPr>
          <w:p w14:paraId="02A9D54A"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6,50</w:t>
            </w:r>
          </w:p>
        </w:tc>
        <w:tc>
          <w:tcPr>
            <w:tcW w:w="1758" w:type="dxa"/>
            <w:tcBorders>
              <w:top w:val="single" w:sz="4" w:space="0" w:color="000000"/>
              <w:left w:val="single" w:sz="4" w:space="0" w:color="000000"/>
              <w:bottom w:val="single" w:sz="4" w:space="0" w:color="000000"/>
              <w:right w:val="single" w:sz="4" w:space="0" w:color="000000"/>
            </w:tcBorders>
          </w:tcPr>
          <w:p w14:paraId="4868346D"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4,50 </w:t>
            </w:r>
          </w:p>
        </w:tc>
      </w:tr>
      <w:tr w:rsidR="00FF1E38" w:rsidRPr="00FF1E38" w14:paraId="57B71D33"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5C8DA7E1"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3.</w:t>
            </w:r>
          </w:p>
        </w:tc>
        <w:tc>
          <w:tcPr>
            <w:tcW w:w="4536" w:type="dxa"/>
            <w:tcBorders>
              <w:top w:val="single" w:sz="4" w:space="0" w:color="000000"/>
              <w:left w:val="single" w:sz="4" w:space="0" w:color="000000"/>
              <w:bottom w:val="single" w:sz="4" w:space="0" w:color="000000"/>
              <w:right w:val="single" w:sz="4" w:space="0" w:color="000000"/>
            </w:tcBorders>
          </w:tcPr>
          <w:p w14:paraId="416E553B"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Medpotoki </w:t>
            </w:r>
          </w:p>
        </w:tc>
        <w:tc>
          <w:tcPr>
            <w:tcW w:w="2211" w:type="dxa"/>
            <w:tcBorders>
              <w:top w:val="single" w:sz="4" w:space="0" w:color="000000"/>
              <w:left w:val="single" w:sz="4" w:space="0" w:color="000000"/>
              <w:bottom w:val="single" w:sz="4" w:space="0" w:color="000000"/>
              <w:right w:val="single" w:sz="4" w:space="0" w:color="000000"/>
            </w:tcBorders>
            <w:vAlign w:val="center"/>
          </w:tcPr>
          <w:p w14:paraId="40C880E4"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2,70</w:t>
            </w:r>
          </w:p>
        </w:tc>
        <w:tc>
          <w:tcPr>
            <w:tcW w:w="1758" w:type="dxa"/>
            <w:tcBorders>
              <w:top w:val="single" w:sz="4" w:space="0" w:color="000000"/>
              <w:left w:val="single" w:sz="4" w:space="0" w:color="000000"/>
              <w:bottom w:val="single" w:sz="4" w:space="0" w:color="000000"/>
              <w:right w:val="single" w:sz="4" w:space="0" w:color="000000"/>
            </w:tcBorders>
          </w:tcPr>
          <w:p w14:paraId="6705771A"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1,00 </w:t>
            </w:r>
          </w:p>
        </w:tc>
      </w:tr>
      <w:tr w:rsidR="00FF1E38" w:rsidRPr="00FF1E38" w14:paraId="625310FC"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26E817ED"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4.</w:t>
            </w:r>
          </w:p>
        </w:tc>
        <w:tc>
          <w:tcPr>
            <w:tcW w:w="4536" w:type="dxa"/>
            <w:tcBorders>
              <w:top w:val="single" w:sz="4" w:space="0" w:color="000000"/>
              <w:left w:val="single" w:sz="4" w:space="0" w:color="000000"/>
              <w:bottom w:val="single" w:sz="4" w:space="0" w:color="000000"/>
              <w:right w:val="single" w:sz="4" w:space="0" w:color="000000"/>
            </w:tcBorders>
          </w:tcPr>
          <w:p w14:paraId="30EAB63E"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Vrapčak </w:t>
            </w:r>
          </w:p>
        </w:tc>
        <w:tc>
          <w:tcPr>
            <w:tcW w:w="2211" w:type="dxa"/>
            <w:tcBorders>
              <w:top w:val="single" w:sz="4" w:space="0" w:color="000000"/>
              <w:left w:val="single" w:sz="4" w:space="0" w:color="000000"/>
              <w:bottom w:val="single" w:sz="4" w:space="0" w:color="000000"/>
              <w:right w:val="single" w:sz="4" w:space="0" w:color="000000"/>
            </w:tcBorders>
            <w:vAlign w:val="center"/>
          </w:tcPr>
          <w:p w14:paraId="375E2584"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14,60</w:t>
            </w:r>
          </w:p>
        </w:tc>
        <w:tc>
          <w:tcPr>
            <w:tcW w:w="1758" w:type="dxa"/>
            <w:tcBorders>
              <w:top w:val="single" w:sz="4" w:space="0" w:color="000000"/>
              <w:left w:val="single" w:sz="4" w:space="0" w:color="000000"/>
              <w:bottom w:val="single" w:sz="4" w:space="0" w:color="000000"/>
              <w:right w:val="single" w:sz="4" w:space="0" w:color="000000"/>
            </w:tcBorders>
          </w:tcPr>
          <w:p w14:paraId="31D20D40"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10,50 </w:t>
            </w:r>
          </w:p>
        </w:tc>
      </w:tr>
      <w:tr w:rsidR="00FF1E38" w:rsidRPr="00FF1E38" w14:paraId="2C162283"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27BF915A"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5.</w:t>
            </w:r>
          </w:p>
        </w:tc>
        <w:tc>
          <w:tcPr>
            <w:tcW w:w="4536" w:type="dxa"/>
            <w:tcBorders>
              <w:top w:val="single" w:sz="4" w:space="0" w:color="000000"/>
              <w:left w:val="single" w:sz="4" w:space="0" w:color="000000"/>
              <w:bottom w:val="single" w:sz="4" w:space="0" w:color="000000"/>
              <w:right w:val="single" w:sz="4" w:space="0" w:color="000000"/>
            </w:tcBorders>
          </w:tcPr>
          <w:p w14:paraId="7B38028F"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Črnomerec </w:t>
            </w:r>
          </w:p>
        </w:tc>
        <w:tc>
          <w:tcPr>
            <w:tcW w:w="2211" w:type="dxa"/>
            <w:tcBorders>
              <w:top w:val="single" w:sz="4" w:space="0" w:color="000000"/>
              <w:left w:val="single" w:sz="4" w:space="0" w:color="000000"/>
              <w:bottom w:val="single" w:sz="4" w:space="0" w:color="000000"/>
              <w:right w:val="single" w:sz="4" w:space="0" w:color="000000"/>
            </w:tcBorders>
            <w:vAlign w:val="center"/>
          </w:tcPr>
          <w:p w14:paraId="2EC71220"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10,00</w:t>
            </w:r>
          </w:p>
        </w:tc>
        <w:tc>
          <w:tcPr>
            <w:tcW w:w="1758" w:type="dxa"/>
            <w:tcBorders>
              <w:top w:val="single" w:sz="4" w:space="0" w:color="000000"/>
              <w:left w:val="single" w:sz="4" w:space="0" w:color="000000"/>
              <w:bottom w:val="single" w:sz="4" w:space="0" w:color="000000"/>
              <w:right w:val="single" w:sz="4" w:space="0" w:color="000000"/>
            </w:tcBorders>
          </w:tcPr>
          <w:p w14:paraId="260F17F0"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7,50 </w:t>
            </w:r>
          </w:p>
        </w:tc>
      </w:tr>
      <w:tr w:rsidR="00FF1E38" w:rsidRPr="00FF1E38" w14:paraId="3F3EAA5E"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6836CAA3"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6.</w:t>
            </w:r>
          </w:p>
        </w:tc>
        <w:tc>
          <w:tcPr>
            <w:tcW w:w="4536" w:type="dxa"/>
            <w:tcBorders>
              <w:top w:val="single" w:sz="4" w:space="0" w:color="000000"/>
              <w:left w:val="single" w:sz="4" w:space="0" w:color="000000"/>
              <w:bottom w:val="single" w:sz="4" w:space="0" w:color="000000"/>
              <w:right w:val="single" w:sz="4" w:space="0" w:color="000000"/>
            </w:tcBorders>
          </w:tcPr>
          <w:p w14:paraId="1908C142"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Kustošak </w:t>
            </w:r>
          </w:p>
        </w:tc>
        <w:tc>
          <w:tcPr>
            <w:tcW w:w="2211" w:type="dxa"/>
            <w:tcBorders>
              <w:top w:val="single" w:sz="4" w:space="0" w:color="000000"/>
              <w:left w:val="single" w:sz="4" w:space="0" w:color="000000"/>
              <w:bottom w:val="single" w:sz="4" w:space="0" w:color="000000"/>
              <w:right w:val="single" w:sz="4" w:space="0" w:color="000000"/>
            </w:tcBorders>
            <w:vAlign w:val="center"/>
          </w:tcPr>
          <w:p w14:paraId="7FEAC5FB"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8,50</w:t>
            </w:r>
          </w:p>
        </w:tc>
        <w:tc>
          <w:tcPr>
            <w:tcW w:w="1758" w:type="dxa"/>
            <w:tcBorders>
              <w:top w:val="single" w:sz="4" w:space="0" w:color="000000"/>
              <w:left w:val="single" w:sz="4" w:space="0" w:color="000000"/>
              <w:bottom w:val="single" w:sz="4" w:space="0" w:color="000000"/>
              <w:right w:val="single" w:sz="4" w:space="0" w:color="000000"/>
            </w:tcBorders>
          </w:tcPr>
          <w:p w14:paraId="6CBA398C"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7,50 </w:t>
            </w:r>
          </w:p>
        </w:tc>
      </w:tr>
      <w:tr w:rsidR="00FF1E38" w:rsidRPr="00FF1E38" w14:paraId="36D5AE4C"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621AB163"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7.</w:t>
            </w:r>
          </w:p>
        </w:tc>
        <w:tc>
          <w:tcPr>
            <w:tcW w:w="4536" w:type="dxa"/>
            <w:tcBorders>
              <w:top w:val="single" w:sz="4" w:space="0" w:color="000000"/>
              <w:left w:val="single" w:sz="4" w:space="0" w:color="000000"/>
              <w:bottom w:val="single" w:sz="4" w:space="0" w:color="000000"/>
              <w:right w:val="single" w:sz="4" w:space="0" w:color="000000"/>
            </w:tcBorders>
          </w:tcPr>
          <w:p w14:paraId="3514099E"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Kuniščak </w:t>
            </w:r>
          </w:p>
        </w:tc>
        <w:tc>
          <w:tcPr>
            <w:tcW w:w="2211" w:type="dxa"/>
            <w:tcBorders>
              <w:top w:val="single" w:sz="4" w:space="0" w:color="000000"/>
              <w:left w:val="single" w:sz="4" w:space="0" w:color="000000"/>
              <w:bottom w:val="single" w:sz="4" w:space="0" w:color="000000"/>
              <w:right w:val="single" w:sz="4" w:space="0" w:color="000000"/>
            </w:tcBorders>
            <w:vAlign w:val="center"/>
          </w:tcPr>
          <w:p w14:paraId="5CC1C664"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3,90</w:t>
            </w:r>
          </w:p>
        </w:tc>
        <w:tc>
          <w:tcPr>
            <w:tcW w:w="1758" w:type="dxa"/>
            <w:tcBorders>
              <w:top w:val="single" w:sz="4" w:space="0" w:color="000000"/>
              <w:left w:val="single" w:sz="4" w:space="0" w:color="000000"/>
              <w:bottom w:val="single" w:sz="4" w:space="0" w:color="000000"/>
              <w:right w:val="single" w:sz="4" w:space="0" w:color="000000"/>
            </w:tcBorders>
          </w:tcPr>
          <w:p w14:paraId="10E4DBEC"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1,50 </w:t>
            </w:r>
          </w:p>
        </w:tc>
      </w:tr>
      <w:tr w:rsidR="00FF1E38" w:rsidRPr="00FF1E38" w14:paraId="48961168"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3E8C70FA"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8.</w:t>
            </w:r>
          </w:p>
        </w:tc>
        <w:tc>
          <w:tcPr>
            <w:tcW w:w="4536" w:type="dxa"/>
            <w:tcBorders>
              <w:top w:val="single" w:sz="4" w:space="0" w:color="000000"/>
              <w:left w:val="single" w:sz="4" w:space="0" w:color="000000"/>
              <w:bottom w:val="single" w:sz="4" w:space="0" w:color="000000"/>
              <w:right w:val="single" w:sz="4" w:space="0" w:color="000000"/>
            </w:tcBorders>
          </w:tcPr>
          <w:p w14:paraId="2CD6F8B8"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Jelenovac I., II.</w:t>
            </w:r>
          </w:p>
        </w:tc>
        <w:tc>
          <w:tcPr>
            <w:tcW w:w="2211" w:type="dxa"/>
            <w:tcBorders>
              <w:top w:val="single" w:sz="4" w:space="0" w:color="000000"/>
              <w:left w:val="single" w:sz="4" w:space="0" w:color="000000"/>
              <w:bottom w:val="single" w:sz="4" w:space="0" w:color="000000"/>
              <w:right w:val="single" w:sz="4" w:space="0" w:color="000000"/>
            </w:tcBorders>
            <w:vAlign w:val="center"/>
          </w:tcPr>
          <w:p w14:paraId="4E1072C6"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4,20</w:t>
            </w:r>
          </w:p>
        </w:tc>
        <w:tc>
          <w:tcPr>
            <w:tcW w:w="1758" w:type="dxa"/>
            <w:tcBorders>
              <w:top w:val="single" w:sz="4" w:space="0" w:color="000000"/>
              <w:left w:val="single" w:sz="4" w:space="0" w:color="000000"/>
              <w:bottom w:val="single" w:sz="4" w:space="0" w:color="000000"/>
              <w:right w:val="single" w:sz="4" w:space="0" w:color="000000"/>
            </w:tcBorders>
          </w:tcPr>
          <w:p w14:paraId="680FFE27"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1,20 </w:t>
            </w:r>
          </w:p>
        </w:tc>
      </w:tr>
      <w:tr w:rsidR="00FF1E38" w:rsidRPr="00FF1E38" w14:paraId="251AA024"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4026AA8F"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9.</w:t>
            </w:r>
          </w:p>
        </w:tc>
        <w:tc>
          <w:tcPr>
            <w:tcW w:w="4536" w:type="dxa"/>
            <w:tcBorders>
              <w:top w:val="single" w:sz="4" w:space="0" w:color="000000"/>
              <w:left w:val="single" w:sz="4" w:space="0" w:color="000000"/>
              <w:bottom w:val="single" w:sz="4" w:space="0" w:color="000000"/>
              <w:right w:val="single" w:sz="4" w:space="0" w:color="000000"/>
            </w:tcBorders>
          </w:tcPr>
          <w:p w14:paraId="2669F961"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Zelengaj </w:t>
            </w:r>
          </w:p>
        </w:tc>
        <w:tc>
          <w:tcPr>
            <w:tcW w:w="2211" w:type="dxa"/>
            <w:tcBorders>
              <w:top w:val="single" w:sz="4" w:space="0" w:color="000000"/>
              <w:left w:val="single" w:sz="4" w:space="0" w:color="000000"/>
              <w:bottom w:val="single" w:sz="4" w:space="0" w:color="000000"/>
              <w:right w:val="single" w:sz="4" w:space="0" w:color="000000"/>
            </w:tcBorders>
            <w:vAlign w:val="center"/>
          </w:tcPr>
          <w:p w14:paraId="4A90D860"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1,80</w:t>
            </w:r>
          </w:p>
        </w:tc>
        <w:tc>
          <w:tcPr>
            <w:tcW w:w="1758" w:type="dxa"/>
            <w:tcBorders>
              <w:top w:val="single" w:sz="4" w:space="0" w:color="000000"/>
              <w:left w:val="single" w:sz="4" w:space="0" w:color="000000"/>
              <w:bottom w:val="single" w:sz="4" w:space="0" w:color="000000"/>
              <w:right w:val="single" w:sz="4" w:space="0" w:color="000000"/>
            </w:tcBorders>
          </w:tcPr>
          <w:p w14:paraId="31C9C86C"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0,50 </w:t>
            </w:r>
          </w:p>
        </w:tc>
      </w:tr>
      <w:tr w:rsidR="00FF1E38" w:rsidRPr="00FF1E38" w14:paraId="14BEC6BE"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097E54CE"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10.</w:t>
            </w:r>
          </w:p>
        </w:tc>
        <w:tc>
          <w:tcPr>
            <w:tcW w:w="4536" w:type="dxa"/>
            <w:tcBorders>
              <w:top w:val="single" w:sz="4" w:space="0" w:color="000000"/>
              <w:left w:val="single" w:sz="4" w:space="0" w:color="000000"/>
              <w:bottom w:val="single" w:sz="4" w:space="0" w:color="000000"/>
              <w:right w:val="single" w:sz="4" w:space="0" w:color="000000"/>
            </w:tcBorders>
          </w:tcPr>
          <w:p w14:paraId="4E882080"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Kraljevec I., II.</w:t>
            </w:r>
          </w:p>
        </w:tc>
        <w:tc>
          <w:tcPr>
            <w:tcW w:w="2211" w:type="dxa"/>
            <w:tcBorders>
              <w:top w:val="single" w:sz="4" w:space="0" w:color="000000"/>
              <w:left w:val="single" w:sz="4" w:space="0" w:color="000000"/>
              <w:bottom w:val="single" w:sz="4" w:space="0" w:color="000000"/>
              <w:right w:val="single" w:sz="4" w:space="0" w:color="000000"/>
            </w:tcBorders>
            <w:vAlign w:val="center"/>
          </w:tcPr>
          <w:p w14:paraId="5753BB25"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2,71</w:t>
            </w:r>
          </w:p>
        </w:tc>
        <w:tc>
          <w:tcPr>
            <w:tcW w:w="1758" w:type="dxa"/>
            <w:tcBorders>
              <w:top w:val="single" w:sz="4" w:space="0" w:color="000000"/>
              <w:left w:val="single" w:sz="4" w:space="0" w:color="000000"/>
              <w:bottom w:val="single" w:sz="4" w:space="0" w:color="000000"/>
              <w:right w:val="single" w:sz="4" w:space="0" w:color="000000"/>
            </w:tcBorders>
          </w:tcPr>
          <w:p w14:paraId="423F62D1"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1,80 </w:t>
            </w:r>
          </w:p>
        </w:tc>
      </w:tr>
      <w:tr w:rsidR="00FF1E38" w:rsidRPr="00FF1E38" w14:paraId="642E14E4"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75DB2031"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11.</w:t>
            </w:r>
          </w:p>
        </w:tc>
        <w:tc>
          <w:tcPr>
            <w:tcW w:w="4536" w:type="dxa"/>
            <w:tcBorders>
              <w:top w:val="single" w:sz="4" w:space="0" w:color="000000"/>
              <w:left w:val="single" w:sz="4" w:space="0" w:color="000000"/>
              <w:bottom w:val="single" w:sz="4" w:space="0" w:color="000000"/>
              <w:right w:val="single" w:sz="4" w:space="0" w:color="000000"/>
            </w:tcBorders>
          </w:tcPr>
          <w:p w14:paraId="726EE857"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Kraljevečki potok </w:t>
            </w:r>
          </w:p>
        </w:tc>
        <w:tc>
          <w:tcPr>
            <w:tcW w:w="2211" w:type="dxa"/>
            <w:tcBorders>
              <w:top w:val="single" w:sz="4" w:space="0" w:color="000000"/>
              <w:left w:val="single" w:sz="4" w:space="0" w:color="000000"/>
              <w:bottom w:val="single" w:sz="4" w:space="0" w:color="000000"/>
              <w:right w:val="single" w:sz="4" w:space="0" w:color="000000"/>
            </w:tcBorders>
            <w:vAlign w:val="center"/>
          </w:tcPr>
          <w:p w14:paraId="23D44B37"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3,90</w:t>
            </w:r>
          </w:p>
        </w:tc>
        <w:tc>
          <w:tcPr>
            <w:tcW w:w="1758" w:type="dxa"/>
            <w:tcBorders>
              <w:top w:val="single" w:sz="4" w:space="0" w:color="000000"/>
              <w:left w:val="single" w:sz="4" w:space="0" w:color="000000"/>
              <w:bottom w:val="single" w:sz="4" w:space="0" w:color="000000"/>
              <w:right w:val="single" w:sz="4" w:space="0" w:color="000000"/>
            </w:tcBorders>
          </w:tcPr>
          <w:p w14:paraId="22564F54"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0,50 </w:t>
            </w:r>
          </w:p>
        </w:tc>
      </w:tr>
      <w:tr w:rsidR="00FF1E38" w:rsidRPr="00FF1E38" w14:paraId="0BCB1350"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56E464B0"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12.</w:t>
            </w:r>
          </w:p>
        </w:tc>
        <w:tc>
          <w:tcPr>
            <w:tcW w:w="4536" w:type="dxa"/>
            <w:tcBorders>
              <w:top w:val="single" w:sz="4" w:space="0" w:color="000000"/>
              <w:left w:val="single" w:sz="4" w:space="0" w:color="000000"/>
              <w:bottom w:val="single" w:sz="4" w:space="0" w:color="000000"/>
              <w:right w:val="single" w:sz="4" w:space="0" w:color="000000"/>
            </w:tcBorders>
          </w:tcPr>
          <w:p w14:paraId="12F7A96E"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Gračanski potok </w:t>
            </w:r>
          </w:p>
        </w:tc>
        <w:tc>
          <w:tcPr>
            <w:tcW w:w="2211" w:type="dxa"/>
            <w:tcBorders>
              <w:top w:val="single" w:sz="4" w:space="0" w:color="000000"/>
              <w:left w:val="single" w:sz="4" w:space="0" w:color="000000"/>
              <w:bottom w:val="single" w:sz="4" w:space="0" w:color="000000"/>
              <w:right w:val="single" w:sz="4" w:space="0" w:color="000000"/>
            </w:tcBorders>
            <w:vAlign w:val="center"/>
          </w:tcPr>
          <w:p w14:paraId="422B8D3E"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2,90</w:t>
            </w:r>
          </w:p>
        </w:tc>
        <w:tc>
          <w:tcPr>
            <w:tcW w:w="1758" w:type="dxa"/>
            <w:tcBorders>
              <w:top w:val="single" w:sz="4" w:space="0" w:color="000000"/>
              <w:left w:val="single" w:sz="4" w:space="0" w:color="000000"/>
              <w:bottom w:val="single" w:sz="4" w:space="0" w:color="000000"/>
              <w:right w:val="single" w:sz="4" w:space="0" w:color="000000"/>
            </w:tcBorders>
          </w:tcPr>
          <w:p w14:paraId="1BD66AC7"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2,50 </w:t>
            </w:r>
          </w:p>
        </w:tc>
      </w:tr>
      <w:tr w:rsidR="00FF1E38" w:rsidRPr="00FF1E38" w14:paraId="3C76D1B8"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08B08E53"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13.</w:t>
            </w:r>
          </w:p>
        </w:tc>
        <w:tc>
          <w:tcPr>
            <w:tcW w:w="4536" w:type="dxa"/>
            <w:tcBorders>
              <w:top w:val="single" w:sz="4" w:space="0" w:color="000000"/>
              <w:left w:val="single" w:sz="4" w:space="0" w:color="000000"/>
              <w:bottom w:val="single" w:sz="4" w:space="0" w:color="000000"/>
              <w:right w:val="single" w:sz="4" w:space="0" w:color="000000"/>
            </w:tcBorders>
          </w:tcPr>
          <w:p w14:paraId="7850CAB5"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Pustodol </w:t>
            </w:r>
          </w:p>
        </w:tc>
        <w:tc>
          <w:tcPr>
            <w:tcW w:w="2211" w:type="dxa"/>
            <w:tcBorders>
              <w:top w:val="single" w:sz="4" w:space="0" w:color="000000"/>
              <w:left w:val="single" w:sz="4" w:space="0" w:color="000000"/>
              <w:bottom w:val="single" w:sz="4" w:space="0" w:color="000000"/>
              <w:right w:val="single" w:sz="4" w:space="0" w:color="000000"/>
            </w:tcBorders>
            <w:vAlign w:val="center"/>
          </w:tcPr>
          <w:p w14:paraId="4E7D89AC"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2,60</w:t>
            </w:r>
          </w:p>
        </w:tc>
        <w:tc>
          <w:tcPr>
            <w:tcW w:w="1758" w:type="dxa"/>
            <w:tcBorders>
              <w:top w:val="single" w:sz="4" w:space="0" w:color="000000"/>
              <w:left w:val="single" w:sz="4" w:space="0" w:color="000000"/>
              <w:bottom w:val="single" w:sz="4" w:space="0" w:color="000000"/>
              <w:right w:val="single" w:sz="4" w:space="0" w:color="000000"/>
            </w:tcBorders>
          </w:tcPr>
          <w:p w14:paraId="41177881"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1,50 </w:t>
            </w:r>
          </w:p>
        </w:tc>
      </w:tr>
      <w:tr w:rsidR="00FF1E38" w:rsidRPr="00FF1E38" w14:paraId="664E850A"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3558460D"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14.</w:t>
            </w:r>
          </w:p>
        </w:tc>
        <w:tc>
          <w:tcPr>
            <w:tcW w:w="4536" w:type="dxa"/>
            <w:tcBorders>
              <w:top w:val="single" w:sz="4" w:space="0" w:color="000000"/>
              <w:left w:val="single" w:sz="4" w:space="0" w:color="000000"/>
              <w:bottom w:val="single" w:sz="4" w:space="0" w:color="000000"/>
              <w:right w:val="single" w:sz="4" w:space="0" w:color="000000"/>
            </w:tcBorders>
          </w:tcPr>
          <w:p w14:paraId="16844222"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Ribnjak </w:t>
            </w:r>
          </w:p>
        </w:tc>
        <w:tc>
          <w:tcPr>
            <w:tcW w:w="2211" w:type="dxa"/>
            <w:tcBorders>
              <w:top w:val="single" w:sz="4" w:space="0" w:color="000000"/>
              <w:left w:val="single" w:sz="4" w:space="0" w:color="000000"/>
              <w:bottom w:val="single" w:sz="4" w:space="0" w:color="000000"/>
              <w:right w:val="single" w:sz="4" w:space="0" w:color="000000"/>
            </w:tcBorders>
            <w:vAlign w:val="center"/>
          </w:tcPr>
          <w:p w14:paraId="6AE9CAEC"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1,50</w:t>
            </w:r>
          </w:p>
        </w:tc>
        <w:tc>
          <w:tcPr>
            <w:tcW w:w="1758" w:type="dxa"/>
            <w:tcBorders>
              <w:top w:val="single" w:sz="4" w:space="0" w:color="000000"/>
              <w:left w:val="single" w:sz="4" w:space="0" w:color="000000"/>
              <w:bottom w:val="single" w:sz="4" w:space="0" w:color="000000"/>
              <w:right w:val="single" w:sz="4" w:space="0" w:color="000000"/>
            </w:tcBorders>
          </w:tcPr>
          <w:p w14:paraId="261A9EE5"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1,00 </w:t>
            </w:r>
          </w:p>
        </w:tc>
      </w:tr>
      <w:tr w:rsidR="00FF1E38" w:rsidRPr="00FF1E38" w14:paraId="1066B246"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6D52C645"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lastRenderedPageBreak/>
              <w:t>15.</w:t>
            </w:r>
          </w:p>
        </w:tc>
        <w:tc>
          <w:tcPr>
            <w:tcW w:w="4536" w:type="dxa"/>
            <w:tcBorders>
              <w:top w:val="single" w:sz="4" w:space="0" w:color="000000"/>
              <w:left w:val="single" w:sz="4" w:space="0" w:color="000000"/>
              <w:bottom w:val="single" w:sz="4" w:space="0" w:color="000000"/>
              <w:right w:val="single" w:sz="4" w:space="0" w:color="000000"/>
            </w:tcBorders>
          </w:tcPr>
          <w:p w14:paraId="1B8D25A7"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Črna voda </w:t>
            </w:r>
          </w:p>
        </w:tc>
        <w:tc>
          <w:tcPr>
            <w:tcW w:w="2211" w:type="dxa"/>
            <w:tcBorders>
              <w:top w:val="single" w:sz="4" w:space="0" w:color="000000"/>
              <w:left w:val="single" w:sz="4" w:space="0" w:color="000000"/>
              <w:bottom w:val="single" w:sz="4" w:space="0" w:color="000000"/>
              <w:right w:val="single" w:sz="4" w:space="0" w:color="000000"/>
            </w:tcBorders>
            <w:vAlign w:val="center"/>
          </w:tcPr>
          <w:p w14:paraId="10EA3064"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4,80</w:t>
            </w:r>
          </w:p>
        </w:tc>
        <w:tc>
          <w:tcPr>
            <w:tcW w:w="1758" w:type="dxa"/>
            <w:tcBorders>
              <w:top w:val="single" w:sz="4" w:space="0" w:color="000000"/>
              <w:left w:val="single" w:sz="4" w:space="0" w:color="000000"/>
              <w:bottom w:val="single" w:sz="4" w:space="0" w:color="000000"/>
              <w:right w:val="single" w:sz="4" w:space="0" w:color="000000"/>
            </w:tcBorders>
          </w:tcPr>
          <w:p w14:paraId="034F3311"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2,80 </w:t>
            </w:r>
          </w:p>
        </w:tc>
      </w:tr>
      <w:tr w:rsidR="00FF1E38" w:rsidRPr="00FF1E38" w14:paraId="7AC3994E"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4ED1E985"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16.</w:t>
            </w:r>
          </w:p>
        </w:tc>
        <w:tc>
          <w:tcPr>
            <w:tcW w:w="4536" w:type="dxa"/>
            <w:tcBorders>
              <w:top w:val="single" w:sz="4" w:space="0" w:color="000000"/>
              <w:left w:val="single" w:sz="4" w:space="0" w:color="000000"/>
              <w:bottom w:val="single" w:sz="4" w:space="0" w:color="000000"/>
              <w:right w:val="single" w:sz="4" w:space="0" w:color="000000"/>
            </w:tcBorders>
          </w:tcPr>
          <w:p w14:paraId="65F865BC"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Dotrščina </w:t>
            </w:r>
          </w:p>
        </w:tc>
        <w:tc>
          <w:tcPr>
            <w:tcW w:w="2211" w:type="dxa"/>
            <w:tcBorders>
              <w:top w:val="single" w:sz="4" w:space="0" w:color="000000"/>
              <w:left w:val="single" w:sz="4" w:space="0" w:color="000000"/>
              <w:bottom w:val="single" w:sz="4" w:space="0" w:color="000000"/>
              <w:right w:val="single" w:sz="4" w:space="0" w:color="000000"/>
            </w:tcBorders>
            <w:vAlign w:val="center"/>
          </w:tcPr>
          <w:p w14:paraId="0563D603"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2,20</w:t>
            </w:r>
          </w:p>
        </w:tc>
        <w:tc>
          <w:tcPr>
            <w:tcW w:w="1758" w:type="dxa"/>
            <w:tcBorders>
              <w:top w:val="single" w:sz="4" w:space="0" w:color="000000"/>
              <w:left w:val="single" w:sz="4" w:space="0" w:color="000000"/>
              <w:bottom w:val="single" w:sz="4" w:space="0" w:color="000000"/>
              <w:right w:val="single" w:sz="4" w:space="0" w:color="000000"/>
            </w:tcBorders>
          </w:tcPr>
          <w:p w14:paraId="6215D61A"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0,50 </w:t>
            </w:r>
          </w:p>
        </w:tc>
      </w:tr>
      <w:tr w:rsidR="00FF1E38" w:rsidRPr="00FF1E38" w14:paraId="0A5C4CAD"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3CDD3AD3"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17.</w:t>
            </w:r>
          </w:p>
        </w:tc>
        <w:tc>
          <w:tcPr>
            <w:tcW w:w="4536" w:type="dxa"/>
            <w:tcBorders>
              <w:top w:val="single" w:sz="4" w:space="0" w:color="000000"/>
              <w:left w:val="single" w:sz="4" w:space="0" w:color="000000"/>
              <w:bottom w:val="single" w:sz="4" w:space="0" w:color="000000"/>
              <w:right w:val="single" w:sz="4" w:space="0" w:color="000000"/>
            </w:tcBorders>
          </w:tcPr>
          <w:p w14:paraId="0E26834D"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Bliznec </w:t>
            </w:r>
          </w:p>
        </w:tc>
        <w:tc>
          <w:tcPr>
            <w:tcW w:w="2211" w:type="dxa"/>
            <w:tcBorders>
              <w:top w:val="single" w:sz="4" w:space="0" w:color="000000"/>
              <w:left w:val="single" w:sz="4" w:space="0" w:color="000000"/>
              <w:bottom w:val="single" w:sz="4" w:space="0" w:color="000000"/>
              <w:right w:val="single" w:sz="4" w:space="0" w:color="000000"/>
            </w:tcBorders>
            <w:vAlign w:val="center"/>
          </w:tcPr>
          <w:p w14:paraId="7687E1DC"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16,60</w:t>
            </w:r>
          </w:p>
        </w:tc>
        <w:tc>
          <w:tcPr>
            <w:tcW w:w="1758" w:type="dxa"/>
            <w:tcBorders>
              <w:top w:val="single" w:sz="4" w:space="0" w:color="000000"/>
              <w:left w:val="single" w:sz="4" w:space="0" w:color="000000"/>
              <w:bottom w:val="single" w:sz="4" w:space="0" w:color="000000"/>
              <w:right w:val="single" w:sz="4" w:space="0" w:color="000000"/>
            </w:tcBorders>
          </w:tcPr>
          <w:p w14:paraId="55F09A4D"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8,60 </w:t>
            </w:r>
          </w:p>
        </w:tc>
      </w:tr>
      <w:tr w:rsidR="00FF1E38" w:rsidRPr="00FF1E38" w14:paraId="668043FB"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11F62E04"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18.</w:t>
            </w:r>
          </w:p>
        </w:tc>
        <w:tc>
          <w:tcPr>
            <w:tcW w:w="4536" w:type="dxa"/>
            <w:tcBorders>
              <w:top w:val="single" w:sz="4" w:space="0" w:color="000000"/>
              <w:left w:val="single" w:sz="4" w:space="0" w:color="000000"/>
              <w:bottom w:val="single" w:sz="4" w:space="0" w:color="000000"/>
              <w:right w:val="single" w:sz="4" w:space="0" w:color="000000"/>
            </w:tcBorders>
          </w:tcPr>
          <w:p w14:paraId="2C500687"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Štefanovec </w:t>
            </w:r>
          </w:p>
        </w:tc>
        <w:tc>
          <w:tcPr>
            <w:tcW w:w="2211" w:type="dxa"/>
            <w:tcBorders>
              <w:top w:val="single" w:sz="4" w:space="0" w:color="000000"/>
              <w:left w:val="single" w:sz="4" w:space="0" w:color="000000"/>
              <w:bottom w:val="single" w:sz="4" w:space="0" w:color="000000"/>
              <w:right w:val="single" w:sz="4" w:space="0" w:color="000000"/>
            </w:tcBorders>
            <w:vAlign w:val="center"/>
          </w:tcPr>
          <w:p w14:paraId="15172FEE"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11,60</w:t>
            </w:r>
          </w:p>
        </w:tc>
        <w:tc>
          <w:tcPr>
            <w:tcW w:w="1758" w:type="dxa"/>
            <w:tcBorders>
              <w:top w:val="single" w:sz="4" w:space="0" w:color="000000"/>
              <w:left w:val="single" w:sz="4" w:space="0" w:color="000000"/>
              <w:bottom w:val="single" w:sz="4" w:space="0" w:color="000000"/>
              <w:right w:val="single" w:sz="4" w:space="0" w:color="000000"/>
            </w:tcBorders>
          </w:tcPr>
          <w:p w14:paraId="35966A7E"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8,50 </w:t>
            </w:r>
          </w:p>
        </w:tc>
      </w:tr>
      <w:tr w:rsidR="00FF1E38" w:rsidRPr="00FF1E38" w14:paraId="36FE8267"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61BCD6B6"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19.</w:t>
            </w:r>
          </w:p>
        </w:tc>
        <w:tc>
          <w:tcPr>
            <w:tcW w:w="4536" w:type="dxa"/>
            <w:tcBorders>
              <w:top w:val="single" w:sz="4" w:space="0" w:color="000000"/>
              <w:left w:val="single" w:sz="4" w:space="0" w:color="000000"/>
              <w:bottom w:val="single" w:sz="4" w:space="0" w:color="000000"/>
              <w:right w:val="single" w:sz="4" w:space="0" w:color="000000"/>
            </w:tcBorders>
          </w:tcPr>
          <w:p w14:paraId="2485FEDA"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Deščevec </w:t>
            </w:r>
          </w:p>
        </w:tc>
        <w:tc>
          <w:tcPr>
            <w:tcW w:w="2211" w:type="dxa"/>
            <w:tcBorders>
              <w:top w:val="single" w:sz="4" w:space="0" w:color="000000"/>
              <w:left w:val="single" w:sz="4" w:space="0" w:color="000000"/>
              <w:bottom w:val="single" w:sz="4" w:space="0" w:color="000000"/>
              <w:right w:val="single" w:sz="4" w:space="0" w:color="000000"/>
            </w:tcBorders>
            <w:vAlign w:val="center"/>
          </w:tcPr>
          <w:p w14:paraId="438EB8E7"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2,00</w:t>
            </w:r>
          </w:p>
        </w:tc>
        <w:tc>
          <w:tcPr>
            <w:tcW w:w="1758" w:type="dxa"/>
            <w:tcBorders>
              <w:top w:val="single" w:sz="4" w:space="0" w:color="000000"/>
              <w:left w:val="single" w:sz="4" w:space="0" w:color="000000"/>
              <w:bottom w:val="single" w:sz="4" w:space="0" w:color="000000"/>
              <w:right w:val="single" w:sz="4" w:space="0" w:color="000000"/>
            </w:tcBorders>
          </w:tcPr>
          <w:p w14:paraId="5558493D"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1,00 </w:t>
            </w:r>
          </w:p>
        </w:tc>
      </w:tr>
      <w:tr w:rsidR="00FF1E38" w:rsidRPr="00FF1E38" w14:paraId="75FD24C0"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5CDD69B4"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20.</w:t>
            </w:r>
          </w:p>
        </w:tc>
        <w:tc>
          <w:tcPr>
            <w:tcW w:w="4536" w:type="dxa"/>
            <w:tcBorders>
              <w:top w:val="single" w:sz="4" w:space="0" w:color="000000"/>
              <w:left w:val="single" w:sz="4" w:space="0" w:color="000000"/>
              <w:bottom w:val="single" w:sz="4" w:space="0" w:color="000000"/>
              <w:right w:val="single" w:sz="4" w:space="0" w:color="000000"/>
            </w:tcBorders>
          </w:tcPr>
          <w:p w14:paraId="352D18C0"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Trnava </w:t>
            </w:r>
          </w:p>
        </w:tc>
        <w:tc>
          <w:tcPr>
            <w:tcW w:w="2211" w:type="dxa"/>
            <w:tcBorders>
              <w:top w:val="single" w:sz="4" w:space="0" w:color="000000"/>
              <w:left w:val="single" w:sz="4" w:space="0" w:color="000000"/>
              <w:bottom w:val="single" w:sz="4" w:space="0" w:color="000000"/>
              <w:right w:val="single" w:sz="4" w:space="0" w:color="000000"/>
            </w:tcBorders>
            <w:vAlign w:val="center"/>
          </w:tcPr>
          <w:p w14:paraId="1E1B48FB"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17,00</w:t>
            </w:r>
          </w:p>
        </w:tc>
        <w:tc>
          <w:tcPr>
            <w:tcW w:w="1758" w:type="dxa"/>
            <w:tcBorders>
              <w:top w:val="single" w:sz="4" w:space="0" w:color="000000"/>
              <w:left w:val="single" w:sz="4" w:space="0" w:color="000000"/>
              <w:bottom w:val="single" w:sz="4" w:space="0" w:color="000000"/>
              <w:right w:val="single" w:sz="4" w:space="0" w:color="000000"/>
            </w:tcBorders>
          </w:tcPr>
          <w:p w14:paraId="17CB86C0"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11,00 </w:t>
            </w:r>
          </w:p>
        </w:tc>
      </w:tr>
      <w:tr w:rsidR="00FF1E38" w:rsidRPr="00FF1E38" w14:paraId="13118DFE"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0B77D203"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21.</w:t>
            </w:r>
          </w:p>
        </w:tc>
        <w:tc>
          <w:tcPr>
            <w:tcW w:w="4536" w:type="dxa"/>
            <w:tcBorders>
              <w:top w:val="single" w:sz="4" w:space="0" w:color="000000"/>
              <w:left w:val="single" w:sz="4" w:space="0" w:color="000000"/>
              <w:bottom w:val="single" w:sz="4" w:space="0" w:color="000000"/>
              <w:right w:val="single" w:sz="4" w:space="0" w:color="000000"/>
            </w:tcBorders>
          </w:tcPr>
          <w:p w14:paraId="0EC08519"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Bidrovec </w:t>
            </w:r>
          </w:p>
        </w:tc>
        <w:tc>
          <w:tcPr>
            <w:tcW w:w="2211" w:type="dxa"/>
            <w:tcBorders>
              <w:top w:val="single" w:sz="4" w:space="0" w:color="000000"/>
              <w:left w:val="single" w:sz="4" w:space="0" w:color="000000"/>
              <w:bottom w:val="single" w:sz="4" w:space="0" w:color="000000"/>
              <w:right w:val="single" w:sz="4" w:space="0" w:color="000000"/>
            </w:tcBorders>
            <w:vAlign w:val="center"/>
          </w:tcPr>
          <w:p w14:paraId="0ABED8EA"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4,80</w:t>
            </w:r>
          </w:p>
        </w:tc>
        <w:tc>
          <w:tcPr>
            <w:tcW w:w="1758" w:type="dxa"/>
            <w:tcBorders>
              <w:top w:val="single" w:sz="4" w:space="0" w:color="000000"/>
              <w:left w:val="single" w:sz="4" w:space="0" w:color="000000"/>
              <w:bottom w:val="single" w:sz="4" w:space="0" w:color="000000"/>
              <w:right w:val="single" w:sz="4" w:space="0" w:color="000000"/>
            </w:tcBorders>
          </w:tcPr>
          <w:p w14:paraId="569451C3"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1,80 </w:t>
            </w:r>
          </w:p>
        </w:tc>
      </w:tr>
      <w:tr w:rsidR="00FF1E38" w:rsidRPr="00FF1E38" w14:paraId="58E2DC38"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23810F2F"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22.</w:t>
            </w:r>
          </w:p>
        </w:tc>
        <w:tc>
          <w:tcPr>
            <w:tcW w:w="4536" w:type="dxa"/>
            <w:tcBorders>
              <w:top w:val="single" w:sz="4" w:space="0" w:color="000000"/>
              <w:left w:val="single" w:sz="4" w:space="0" w:color="000000"/>
              <w:bottom w:val="single" w:sz="4" w:space="0" w:color="000000"/>
              <w:right w:val="single" w:sz="4" w:space="0" w:color="000000"/>
            </w:tcBorders>
          </w:tcPr>
          <w:p w14:paraId="2930439C"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Vidovec </w:t>
            </w:r>
          </w:p>
        </w:tc>
        <w:tc>
          <w:tcPr>
            <w:tcW w:w="2211" w:type="dxa"/>
            <w:tcBorders>
              <w:top w:val="single" w:sz="4" w:space="0" w:color="000000"/>
              <w:left w:val="single" w:sz="4" w:space="0" w:color="000000"/>
              <w:bottom w:val="single" w:sz="4" w:space="0" w:color="000000"/>
              <w:right w:val="single" w:sz="4" w:space="0" w:color="000000"/>
            </w:tcBorders>
            <w:vAlign w:val="center"/>
          </w:tcPr>
          <w:p w14:paraId="3B9E80BA"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6,50</w:t>
            </w:r>
          </w:p>
        </w:tc>
        <w:tc>
          <w:tcPr>
            <w:tcW w:w="1758" w:type="dxa"/>
            <w:tcBorders>
              <w:top w:val="single" w:sz="4" w:space="0" w:color="000000"/>
              <w:left w:val="single" w:sz="4" w:space="0" w:color="000000"/>
              <w:bottom w:val="single" w:sz="4" w:space="0" w:color="000000"/>
              <w:right w:val="single" w:sz="4" w:space="0" w:color="000000"/>
            </w:tcBorders>
          </w:tcPr>
          <w:p w14:paraId="4ABD3D3B"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2,50 </w:t>
            </w:r>
          </w:p>
        </w:tc>
      </w:tr>
      <w:tr w:rsidR="00FF1E38" w:rsidRPr="00FF1E38" w14:paraId="3BA23B61"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12273DBE"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23.</w:t>
            </w:r>
          </w:p>
        </w:tc>
        <w:tc>
          <w:tcPr>
            <w:tcW w:w="4536" w:type="dxa"/>
            <w:tcBorders>
              <w:top w:val="single" w:sz="4" w:space="0" w:color="000000"/>
              <w:left w:val="single" w:sz="4" w:space="0" w:color="000000"/>
              <w:bottom w:val="single" w:sz="4" w:space="0" w:color="000000"/>
              <w:right w:val="single" w:sz="4" w:space="0" w:color="000000"/>
            </w:tcBorders>
          </w:tcPr>
          <w:p w14:paraId="06785CFF"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Kašina s pritocima </w:t>
            </w:r>
          </w:p>
        </w:tc>
        <w:tc>
          <w:tcPr>
            <w:tcW w:w="2211" w:type="dxa"/>
            <w:tcBorders>
              <w:top w:val="single" w:sz="4" w:space="0" w:color="000000"/>
              <w:left w:val="single" w:sz="4" w:space="0" w:color="000000"/>
              <w:bottom w:val="single" w:sz="4" w:space="0" w:color="000000"/>
              <w:right w:val="single" w:sz="4" w:space="0" w:color="000000"/>
            </w:tcBorders>
            <w:vAlign w:val="center"/>
          </w:tcPr>
          <w:p w14:paraId="5294543D"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55,50</w:t>
            </w:r>
          </w:p>
        </w:tc>
        <w:tc>
          <w:tcPr>
            <w:tcW w:w="1758" w:type="dxa"/>
            <w:tcBorders>
              <w:top w:val="single" w:sz="4" w:space="0" w:color="000000"/>
              <w:left w:val="single" w:sz="4" w:space="0" w:color="000000"/>
              <w:bottom w:val="single" w:sz="4" w:space="0" w:color="000000"/>
              <w:right w:val="single" w:sz="4" w:space="0" w:color="000000"/>
            </w:tcBorders>
          </w:tcPr>
          <w:p w14:paraId="1F708B71"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22,20 </w:t>
            </w:r>
          </w:p>
        </w:tc>
      </w:tr>
      <w:tr w:rsidR="00FF1E38" w:rsidRPr="00FF1E38" w14:paraId="45A64DB5"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59CCBD19"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24.</w:t>
            </w:r>
          </w:p>
        </w:tc>
        <w:tc>
          <w:tcPr>
            <w:tcW w:w="4536" w:type="dxa"/>
            <w:tcBorders>
              <w:top w:val="single" w:sz="4" w:space="0" w:color="000000"/>
              <w:left w:val="single" w:sz="4" w:space="0" w:color="000000"/>
              <w:bottom w:val="single" w:sz="4" w:space="0" w:color="000000"/>
              <w:right w:val="single" w:sz="4" w:space="0" w:color="000000"/>
            </w:tcBorders>
          </w:tcPr>
          <w:p w14:paraId="1E7F3F27"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Čučerska reka s pritocima </w:t>
            </w:r>
          </w:p>
        </w:tc>
        <w:tc>
          <w:tcPr>
            <w:tcW w:w="2211" w:type="dxa"/>
            <w:tcBorders>
              <w:top w:val="single" w:sz="4" w:space="0" w:color="000000"/>
              <w:left w:val="single" w:sz="4" w:space="0" w:color="000000"/>
              <w:bottom w:val="single" w:sz="4" w:space="0" w:color="000000"/>
              <w:right w:val="single" w:sz="4" w:space="0" w:color="000000"/>
            </w:tcBorders>
            <w:vAlign w:val="center"/>
          </w:tcPr>
          <w:p w14:paraId="12A67132"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25,80</w:t>
            </w:r>
          </w:p>
        </w:tc>
        <w:tc>
          <w:tcPr>
            <w:tcW w:w="1758" w:type="dxa"/>
            <w:tcBorders>
              <w:top w:val="single" w:sz="4" w:space="0" w:color="000000"/>
              <w:left w:val="single" w:sz="4" w:space="0" w:color="000000"/>
              <w:bottom w:val="single" w:sz="4" w:space="0" w:color="000000"/>
              <w:right w:val="single" w:sz="4" w:space="0" w:color="000000"/>
            </w:tcBorders>
          </w:tcPr>
          <w:p w14:paraId="16513D38"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13,50 </w:t>
            </w:r>
          </w:p>
        </w:tc>
      </w:tr>
      <w:tr w:rsidR="00FF1E38" w:rsidRPr="00FF1E38" w14:paraId="75512353"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17FFF3B8"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25.</w:t>
            </w:r>
          </w:p>
        </w:tc>
        <w:tc>
          <w:tcPr>
            <w:tcW w:w="4536" w:type="dxa"/>
            <w:tcBorders>
              <w:top w:val="single" w:sz="4" w:space="0" w:color="000000"/>
              <w:left w:val="single" w:sz="4" w:space="0" w:color="000000"/>
              <w:bottom w:val="single" w:sz="4" w:space="0" w:color="000000"/>
              <w:right w:val="single" w:sz="4" w:space="0" w:color="000000"/>
            </w:tcBorders>
          </w:tcPr>
          <w:p w14:paraId="5135A0F3"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Vuger s pritocima </w:t>
            </w:r>
          </w:p>
        </w:tc>
        <w:tc>
          <w:tcPr>
            <w:tcW w:w="2211" w:type="dxa"/>
            <w:tcBorders>
              <w:top w:val="single" w:sz="4" w:space="0" w:color="000000"/>
              <w:left w:val="single" w:sz="4" w:space="0" w:color="000000"/>
              <w:bottom w:val="single" w:sz="4" w:space="0" w:color="000000"/>
              <w:right w:val="single" w:sz="4" w:space="0" w:color="000000"/>
            </w:tcBorders>
            <w:vAlign w:val="center"/>
          </w:tcPr>
          <w:p w14:paraId="116C7295"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42,20</w:t>
            </w:r>
          </w:p>
        </w:tc>
        <w:tc>
          <w:tcPr>
            <w:tcW w:w="1758" w:type="dxa"/>
            <w:tcBorders>
              <w:top w:val="single" w:sz="4" w:space="0" w:color="000000"/>
              <w:left w:val="single" w:sz="4" w:space="0" w:color="000000"/>
              <w:bottom w:val="single" w:sz="4" w:space="0" w:color="000000"/>
              <w:right w:val="single" w:sz="4" w:space="0" w:color="000000"/>
            </w:tcBorders>
          </w:tcPr>
          <w:p w14:paraId="08746B9D"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17,00 </w:t>
            </w:r>
          </w:p>
        </w:tc>
      </w:tr>
      <w:tr w:rsidR="00FF1E38" w:rsidRPr="00FF1E38" w14:paraId="31D7543B"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44C51752"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26.</w:t>
            </w:r>
          </w:p>
        </w:tc>
        <w:tc>
          <w:tcPr>
            <w:tcW w:w="4536" w:type="dxa"/>
            <w:tcBorders>
              <w:top w:val="single" w:sz="4" w:space="0" w:color="000000"/>
              <w:left w:val="single" w:sz="4" w:space="0" w:color="000000"/>
              <w:bottom w:val="single" w:sz="4" w:space="0" w:color="000000"/>
              <w:right w:val="single" w:sz="4" w:space="0" w:color="000000"/>
            </w:tcBorders>
          </w:tcPr>
          <w:p w14:paraId="581C7B7B"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Lomnica </w:t>
            </w:r>
          </w:p>
        </w:tc>
        <w:tc>
          <w:tcPr>
            <w:tcW w:w="2211" w:type="dxa"/>
            <w:tcBorders>
              <w:top w:val="single" w:sz="4" w:space="0" w:color="000000"/>
              <w:left w:val="single" w:sz="4" w:space="0" w:color="000000"/>
              <w:bottom w:val="single" w:sz="4" w:space="0" w:color="000000"/>
              <w:right w:val="single" w:sz="4" w:space="0" w:color="000000"/>
            </w:tcBorders>
            <w:vAlign w:val="center"/>
          </w:tcPr>
          <w:p w14:paraId="57B9FD97"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8,50</w:t>
            </w:r>
          </w:p>
        </w:tc>
        <w:tc>
          <w:tcPr>
            <w:tcW w:w="1758" w:type="dxa"/>
            <w:tcBorders>
              <w:top w:val="single" w:sz="4" w:space="0" w:color="000000"/>
              <w:left w:val="single" w:sz="4" w:space="0" w:color="000000"/>
              <w:bottom w:val="single" w:sz="4" w:space="0" w:color="000000"/>
              <w:right w:val="single" w:sz="4" w:space="0" w:color="000000"/>
            </w:tcBorders>
          </w:tcPr>
          <w:p w14:paraId="154276E1"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8,50 </w:t>
            </w:r>
          </w:p>
        </w:tc>
      </w:tr>
      <w:tr w:rsidR="00FF1E38" w:rsidRPr="00FF1E38" w14:paraId="688C6C0A"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2CC721A5"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27.</w:t>
            </w:r>
          </w:p>
        </w:tc>
        <w:tc>
          <w:tcPr>
            <w:tcW w:w="4536" w:type="dxa"/>
            <w:tcBorders>
              <w:top w:val="single" w:sz="4" w:space="0" w:color="000000"/>
              <w:left w:val="single" w:sz="4" w:space="0" w:color="000000"/>
              <w:bottom w:val="single" w:sz="4" w:space="0" w:color="000000"/>
              <w:right w:val="single" w:sz="4" w:space="0" w:color="000000"/>
            </w:tcBorders>
          </w:tcPr>
          <w:p w14:paraId="6E6271FB"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Lipnica </w:t>
            </w:r>
          </w:p>
        </w:tc>
        <w:tc>
          <w:tcPr>
            <w:tcW w:w="2211" w:type="dxa"/>
            <w:tcBorders>
              <w:top w:val="single" w:sz="4" w:space="0" w:color="000000"/>
              <w:left w:val="single" w:sz="4" w:space="0" w:color="000000"/>
              <w:bottom w:val="single" w:sz="4" w:space="0" w:color="000000"/>
              <w:right w:val="single" w:sz="4" w:space="0" w:color="000000"/>
            </w:tcBorders>
            <w:vAlign w:val="center"/>
          </w:tcPr>
          <w:p w14:paraId="51BBAF7B"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16,70</w:t>
            </w:r>
          </w:p>
        </w:tc>
        <w:tc>
          <w:tcPr>
            <w:tcW w:w="1758" w:type="dxa"/>
            <w:tcBorders>
              <w:top w:val="single" w:sz="4" w:space="0" w:color="000000"/>
              <w:left w:val="single" w:sz="4" w:space="0" w:color="000000"/>
              <w:bottom w:val="single" w:sz="4" w:space="0" w:color="000000"/>
              <w:right w:val="single" w:sz="4" w:space="0" w:color="000000"/>
            </w:tcBorders>
          </w:tcPr>
          <w:p w14:paraId="2847E0EB"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6,10 </w:t>
            </w:r>
          </w:p>
        </w:tc>
      </w:tr>
      <w:tr w:rsidR="00FF1E38" w:rsidRPr="00FF1E38" w14:paraId="6FA86373"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6E199F36"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28.</w:t>
            </w:r>
          </w:p>
        </w:tc>
        <w:tc>
          <w:tcPr>
            <w:tcW w:w="4536" w:type="dxa"/>
            <w:tcBorders>
              <w:top w:val="single" w:sz="4" w:space="0" w:color="000000"/>
              <w:left w:val="single" w:sz="4" w:space="0" w:color="000000"/>
              <w:bottom w:val="single" w:sz="4" w:space="0" w:color="000000"/>
              <w:right w:val="single" w:sz="4" w:space="0" w:color="000000"/>
            </w:tcBorders>
          </w:tcPr>
          <w:p w14:paraId="67FDC3D0"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Ograja </w:t>
            </w:r>
          </w:p>
        </w:tc>
        <w:tc>
          <w:tcPr>
            <w:tcW w:w="2211" w:type="dxa"/>
            <w:tcBorders>
              <w:top w:val="single" w:sz="4" w:space="0" w:color="000000"/>
              <w:left w:val="single" w:sz="4" w:space="0" w:color="000000"/>
              <w:bottom w:val="single" w:sz="4" w:space="0" w:color="000000"/>
              <w:right w:val="single" w:sz="4" w:space="0" w:color="000000"/>
            </w:tcBorders>
            <w:vAlign w:val="center"/>
          </w:tcPr>
          <w:p w14:paraId="0D4E03AB"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4,00</w:t>
            </w:r>
          </w:p>
        </w:tc>
        <w:tc>
          <w:tcPr>
            <w:tcW w:w="1758" w:type="dxa"/>
            <w:tcBorders>
              <w:top w:val="single" w:sz="4" w:space="0" w:color="000000"/>
              <w:left w:val="single" w:sz="4" w:space="0" w:color="000000"/>
              <w:bottom w:val="single" w:sz="4" w:space="0" w:color="000000"/>
              <w:right w:val="single" w:sz="4" w:space="0" w:color="000000"/>
            </w:tcBorders>
          </w:tcPr>
          <w:p w14:paraId="04EF6954"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4,00 </w:t>
            </w:r>
          </w:p>
        </w:tc>
      </w:tr>
      <w:tr w:rsidR="00FF1E38" w:rsidRPr="00FF1E38" w14:paraId="4EECFE90"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29FC2BDD"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29.</w:t>
            </w:r>
          </w:p>
        </w:tc>
        <w:tc>
          <w:tcPr>
            <w:tcW w:w="4536" w:type="dxa"/>
            <w:tcBorders>
              <w:top w:val="single" w:sz="4" w:space="0" w:color="000000"/>
              <w:left w:val="single" w:sz="4" w:space="0" w:color="000000"/>
              <w:bottom w:val="single" w:sz="4" w:space="0" w:color="000000"/>
              <w:right w:val="single" w:sz="4" w:space="0" w:color="000000"/>
            </w:tcBorders>
          </w:tcPr>
          <w:p w14:paraId="4A2B8524"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Gustelin </w:t>
            </w:r>
          </w:p>
        </w:tc>
        <w:tc>
          <w:tcPr>
            <w:tcW w:w="2211" w:type="dxa"/>
            <w:tcBorders>
              <w:top w:val="single" w:sz="4" w:space="0" w:color="000000"/>
              <w:left w:val="single" w:sz="4" w:space="0" w:color="000000"/>
              <w:bottom w:val="single" w:sz="4" w:space="0" w:color="000000"/>
              <w:right w:val="single" w:sz="4" w:space="0" w:color="000000"/>
            </w:tcBorders>
            <w:vAlign w:val="center"/>
          </w:tcPr>
          <w:p w14:paraId="029F9757"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3,60</w:t>
            </w:r>
          </w:p>
        </w:tc>
        <w:tc>
          <w:tcPr>
            <w:tcW w:w="1758" w:type="dxa"/>
            <w:tcBorders>
              <w:top w:val="single" w:sz="4" w:space="0" w:color="000000"/>
              <w:left w:val="single" w:sz="4" w:space="0" w:color="000000"/>
              <w:bottom w:val="single" w:sz="4" w:space="0" w:color="000000"/>
              <w:right w:val="single" w:sz="4" w:space="0" w:color="000000"/>
            </w:tcBorders>
          </w:tcPr>
          <w:p w14:paraId="3F7D8F3D"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3,60 </w:t>
            </w:r>
          </w:p>
        </w:tc>
      </w:tr>
      <w:tr w:rsidR="00FF1E38" w:rsidRPr="00FF1E38" w14:paraId="4F29103E"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74EEBE44"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30.</w:t>
            </w:r>
          </w:p>
        </w:tc>
        <w:tc>
          <w:tcPr>
            <w:tcW w:w="4536" w:type="dxa"/>
            <w:tcBorders>
              <w:top w:val="single" w:sz="4" w:space="0" w:color="000000"/>
              <w:left w:val="single" w:sz="4" w:space="0" w:color="000000"/>
              <w:bottom w:val="single" w:sz="4" w:space="0" w:color="000000"/>
              <w:right w:val="single" w:sz="4" w:space="0" w:color="000000"/>
            </w:tcBorders>
          </w:tcPr>
          <w:p w14:paraId="06061C62"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Močirad </w:t>
            </w:r>
          </w:p>
        </w:tc>
        <w:tc>
          <w:tcPr>
            <w:tcW w:w="2211" w:type="dxa"/>
            <w:tcBorders>
              <w:top w:val="single" w:sz="4" w:space="0" w:color="000000"/>
              <w:left w:val="single" w:sz="4" w:space="0" w:color="000000"/>
              <w:bottom w:val="single" w:sz="4" w:space="0" w:color="000000"/>
              <w:right w:val="single" w:sz="4" w:space="0" w:color="000000"/>
            </w:tcBorders>
            <w:vAlign w:val="center"/>
          </w:tcPr>
          <w:p w14:paraId="337BA1CF"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3,75</w:t>
            </w:r>
          </w:p>
        </w:tc>
        <w:tc>
          <w:tcPr>
            <w:tcW w:w="1758" w:type="dxa"/>
            <w:tcBorders>
              <w:top w:val="single" w:sz="4" w:space="0" w:color="000000"/>
              <w:left w:val="single" w:sz="4" w:space="0" w:color="000000"/>
              <w:bottom w:val="single" w:sz="4" w:space="0" w:color="000000"/>
              <w:right w:val="single" w:sz="4" w:space="0" w:color="000000"/>
            </w:tcBorders>
          </w:tcPr>
          <w:p w14:paraId="28FB639C"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3,75 </w:t>
            </w:r>
          </w:p>
        </w:tc>
      </w:tr>
      <w:tr w:rsidR="00FF1E38" w:rsidRPr="00FF1E38" w14:paraId="2DCF5EB7"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7560F9AE"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31.</w:t>
            </w:r>
          </w:p>
        </w:tc>
        <w:tc>
          <w:tcPr>
            <w:tcW w:w="4536" w:type="dxa"/>
            <w:tcBorders>
              <w:top w:val="single" w:sz="4" w:space="0" w:color="000000"/>
              <w:left w:val="single" w:sz="4" w:space="0" w:color="000000"/>
              <w:bottom w:val="single" w:sz="4" w:space="0" w:color="000000"/>
              <w:right w:val="single" w:sz="4" w:space="0" w:color="000000"/>
            </w:tcBorders>
          </w:tcPr>
          <w:p w14:paraId="24577C47"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Skupni Čreti </w:t>
            </w:r>
          </w:p>
        </w:tc>
        <w:tc>
          <w:tcPr>
            <w:tcW w:w="2211" w:type="dxa"/>
            <w:tcBorders>
              <w:top w:val="single" w:sz="4" w:space="0" w:color="000000"/>
              <w:left w:val="single" w:sz="4" w:space="0" w:color="000000"/>
              <w:bottom w:val="single" w:sz="4" w:space="0" w:color="000000"/>
              <w:right w:val="single" w:sz="4" w:space="0" w:color="000000"/>
            </w:tcBorders>
            <w:vAlign w:val="center"/>
          </w:tcPr>
          <w:p w14:paraId="4B477134"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4,76</w:t>
            </w:r>
          </w:p>
        </w:tc>
        <w:tc>
          <w:tcPr>
            <w:tcW w:w="1758" w:type="dxa"/>
            <w:tcBorders>
              <w:top w:val="single" w:sz="4" w:space="0" w:color="000000"/>
              <w:left w:val="single" w:sz="4" w:space="0" w:color="000000"/>
              <w:bottom w:val="single" w:sz="4" w:space="0" w:color="000000"/>
              <w:right w:val="single" w:sz="4" w:space="0" w:color="000000"/>
            </w:tcBorders>
          </w:tcPr>
          <w:p w14:paraId="0ECEC7B0"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4,76 </w:t>
            </w:r>
          </w:p>
        </w:tc>
      </w:tr>
      <w:tr w:rsidR="00FF1E38" w:rsidRPr="00FF1E38" w14:paraId="475140C3"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077159AB"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32.</w:t>
            </w:r>
          </w:p>
        </w:tc>
        <w:tc>
          <w:tcPr>
            <w:tcW w:w="4536" w:type="dxa"/>
            <w:tcBorders>
              <w:top w:val="single" w:sz="4" w:space="0" w:color="000000"/>
              <w:left w:val="single" w:sz="4" w:space="0" w:color="000000"/>
              <w:bottom w:val="single" w:sz="4" w:space="0" w:color="000000"/>
              <w:right w:val="single" w:sz="4" w:space="0" w:color="000000"/>
            </w:tcBorders>
          </w:tcPr>
          <w:p w14:paraId="228997AA"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Bukovica </w:t>
            </w:r>
          </w:p>
        </w:tc>
        <w:tc>
          <w:tcPr>
            <w:tcW w:w="2211" w:type="dxa"/>
            <w:tcBorders>
              <w:top w:val="single" w:sz="4" w:space="0" w:color="000000"/>
              <w:left w:val="single" w:sz="4" w:space="0" w:color="000000"/>
              <w:bottom w:val="single" w:sz="4" w:space="0" w:color="000000"/>
              <w:right w:val="single" w:sz="4" w:space="0" w:color="000000"/>
            </w:tcBorders>
            <w:vAlign w:val="center"/>
          </w:tcPr>
          <w:p w14:paraId="138C247C"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6,00</w:t>
            </w:r>
          </w:p>
        </w:tc>
        <w:tc>
          <w:tcPr>
            <w:tcW w:w="1758" w:type="dxa"/>
            <w:tcBorders>
              <w:top w:val="single" w:sz="4" w:space="0" w:color="000000"/>
              <w:left w:val="single" w:sz="4" w:space="0" w:color="000000"/>
              <w:bottom w:val="single" w:sz="4" w:space="0" w:color="000000"/>
              <w:right w:val="single" w:sz="4" w:space="0" w:color="000000"/>
            </w:tcBorders>
          </w:tcPr>
          <w:p w14:paraId="026066B8"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6,00 </w:t>
            </w:r>
          </w:p>
        </w:tc>
      </w:tr>
      <w:tr w:rsidR="00FF1E38" w:rsidRPr="00FF1E38" w14:paraId="6396F454"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132E6138"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33.</w:t>
            </w:r>
          </w:p>
        </w:tc>
        <w:tc>
          <w:tcPr>
            <w:tcW w:w="4536" w:type="dxa"/>
            <w:tcBorders>
              <w:top w:val="single" w:sz="4" w:space="0" w:color="000000"/>
              <w:left w:val="single" w:sz="4" w:space="0" w:color="000000"/>
              <w:bottom w:val="single" w:sz="4" w:space="0" w:color="000000"/>
              <w:right w:val="single" w:sz="4" w:space="0" w:color="000000"/>
            </w:tcBorders>
          </w:tcPr>
          <w:p w14:paraId="75546CCB"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Kukeljnjak </w:t>
            </w:r>
          </w:p>
        </w:tc>
        <w:tc>
          <w:tcPr>
            <w:tcW w:w="2211" w:type="dxa"/>
            <w:tcBorders>
              <w:top w:val="single" w:sz="4" w:space="0" w:color="000000"/>
              <w:left w:val="single" w:sz="4" w:space="0" w:color="000000"/>
              <w:bottom w:val="single" w:sz="4" w:space="0" w:color="000000"/>
              <w:right w:val="single" w:sz="4" w:space="0" w:color="000000"/>
            </w:tcBorders>
            <w:vAlign w:val="center"/>
          </w:tcPr>
          <w:p w14:paraId="42DEA494"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3,20</w:t>
            </w:r>
          </w:p>
        </w:tc>
        <w:tc>
          <w:tcPr>
            <w:tcW w:w="1758" w:type="dxa"/>
            <w:tcBorders>
              <w:top w:val="single" w:sz="4" w:space="0" w:color="000000"/>
              <w:left w:val="single" w:sz="4" w:space="0" w:color="000000"/>
              <w:bottom w:val="single" w:sz="4" w:space="0" w:color="000000"/>
              <w:right w:val="single" w:sz="4" w:space="0" w:color="000000"/>
            </w:tcBorders>
          </w:tcPr>
          <w:p w14:paraId="725C8CEA"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3,20 </w:t>
            </w:r>
          </w:p>
        </w:tc>
      </w:tr>
      <w:tr w:rsidR="00FF1E38" w:rsidRPr="00FF1E38" w14:paraId="4231BAD9"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31281627"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34.</w:t>
            </w:r>
          </w:p>
        </w:tc>
        <w:tc>
          <w:tcPr>
            <w:tcW w:w="4536" w:type="dxa"/>
            <w:tcBorders>
              <w:top w:val="single" w:sz="4" w:space="0" w:color="000000"/>
              <w:left w:val="single" w:sz="4" w:space="0" w:color="000000"/>
              <w:bottom w:val="single" w:sz="4" w:space="0" w:color="000000"/>
              <w:right w:val="single" w:sz="4" w:space="0" w:color="000000"/>
            </w:tcBorders>
          </w:tcPr>
          <w:p w14:paraId="69E6B5A0"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Maličevac </w:t>
            </w:r>
          </w:p>
        </w:tc>
        <w:tc>
          <w:tcPr>
            <w:tcW w:w="2211" w:type="dxa"/>
            <w:tcBorders>
              <w:top w:val="single" w:sz="4" w:space="0" w:color="000000"/>
              <w:left w:val="single" w:sz="4" w:space="0" w:color="000000"/>
              <w:bottom w:val="single" w:sz="4" w:space="0" w:color="000000"/>
              <w:right w:val="single" w:sz="4" w:space="0" w:color="000000"/>
            </w:tcBorders>
            <w:vAlign w:val="center"/>
          </w:tcPr>
          <w:p w14:paraId="52D2A4B3"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2,50</w:t>
            </w:r>
          </w:p>
        </w:tc>
        <w:tc>
          <w:tcPr>
            <w:tcW w:w="1758" w:type="dxa"/>
            <w:tcBorders>
              <w:top w:val="single" w:sz="4" w:space="0" w:color="000000"/>
              <w:left w:val="single" w:sz="4" w:space="0" w:color="000000"/>
              <w:bottom w:val="single" w:sz="4" w:space="0" w:color="000000"/>
              <w:right w:val="single" w:sz="4" w:space="0" w:color="000000"/>
            </w:tcBorders>
          </w:tcPr>
          <w:p w14:paraId="76053E3E"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2,50 </w:t>
            </w:r>
          </w:p>
        </w:tc>
      </w:tr>
      <w:tr w:rsidR="00FF1E38" w:rsidRPr="00FF1E38" w14:paraId="452B4FE3"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08D9E715"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35.</w:t>
            </w:r>
          </w:p>
        </w:tc>
        <w:tc>
          <w:tcPr>
            <w:tcW w:w="4536" w:type="dxa"/>
            <w:tcBorders>
              <w:top w:val="single" w:sz="4" w:space="0" w:color="000000"/>
              <w:left w:val="single" w:sz="4" w:space="0" w:color="000000"/>
              <w:bottom w:val="single" w:sz="4" w:space="0" w:color="000000"/>
              <w:right w:val="single" w:sz="4" w:space="0" w:color="000000"/>
            </w:tcBorders>
          </w:tcPr>
          <w:p w14:paraId="2A82D8B6"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Črnec s pritocima </w:t>
            </w:r>
          </w:p>
        </w:tc>
        <w:tc>
          <w:tcPr>
            <w:tcW w:w="2211" w:type="dxa"/>
            <w:tcBorders>
              <w:top w:val="single" w:sz="4" w:space="0" w:color="000000"/>
              <w:left w:val="single" w:sz="4" w:space="0" w:color="000000"/>
              <w:bottom w:val="single" w:sz="4" w:space="0" w:color="000000"/>
              <w:right w:val="single" w:sz="4" w:space="0" w:color="000000"/>
            </w:tcBorders>
            <w:vAlign w:val="center"/>
          </w:tcPr>
          <w:p w14:paraId="78C08DEA"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36,30</w:t>
            </w:r>
          </w:p>
        </w:tc>
        <w:tc>
          <w:tcPr>
            <w:tcW w:w="1758" w:type="dxa"/>
            <w:tcBorders>
              <w:top w:val="single" w:sz="4" w:space="0" w:color="000000"/>
              <w:left w:val="single" w:sz="4" w:space="0" w:color="000000"/>
              <w:bottom w:val="single" w:sz="4" w:space="0" w:color="000000"/>
              <w:right w:val="single" w:sz="4" w:space="0" w:color="000000"/>
            </w:tcBorders>
          </w:tcPr>
          <w:p w14:paraId="0E113502"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14,50 </w:t>
            </w:r>
          </w:p>
        </w:tc>
      </w:tr>
      <w:tr w:rsidR="00FF1E38" w:rsidRPr="00FF1E38" w14:paraId="1DECBBCF"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29A4A037"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36.</w:t>
            </w:r>
          </w:p>
        </w:tc>
        <w:tc>
          <w:tcPr>
            <w:tcW w:w="4536" w:type="dxa"/>
            <w:tcBorders>
              <w:top w:val="single" w:sz="4" w:space="0" w:color="000000"/>
              <w:left w:val="single" w:sz="4" w:space="0" w:color="000000"/>
              <w:bottom w:val="single" w:sz="4" w:space="0" w:color="000000"/>
              <w:right w:val="single" w:sz="4" w:space="0" w:color="000000"/>
            </w:tcBorders>
          </w:tcPr>
          <w:p w14:paraId="2BA33546"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Starča </w:t>
            </w:r>
          </w:p>
        </w:tc>
        <w:tc>
          <w:tcPr>
            <w:tcW w:w="2211" w:type="dxa"/>
            <w:tcBorders>
              <w:top w:val="single" w:sz="4" w:space="0" w:color="000000"/>
              <w:left w:val="single" w:sz="4" w:space="0" w:color="000000"/>
              <w:bottom w:val="single" w:sz="4" w:space="0" w:color="000000"/>
              <w:right w:val="single" w:sz="4" w:space="0" w:color="000000"/>
            </w:tcBorders>
            <w:vAlign w:val="center"/>
          </w:tcPr>
          <w:p w14:paraId="2F3F895C"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2,00</w:t>
            </w:r>
          </w:p>
        </w:tc>
        <w:tc>
          <w:tcPr>
            <w:tcW w:w="1758" w:type="dxa"/>
            <w:tcBorders>
              <w:top w:val="single" w:sz="4" w:space="0" w:color="000000"/>
              <w:left w:val="single" w:sz="4" w:space="0" w:color="000000"/>
              <w:bottom w:val="single" w:sz="4" w:space="0" w:color="000000"/>
              <w:right w:val="single" w:sz="4" w:space="0" w:color="000000"/>
            </w:tcBorders>
          </w:tcPr>
          <w:p w14:paraId="33855A7A"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2,00 </w:t>
            </w:r>
          </w:p>
        </w:tc>
      </w:tr>
      <w:tr w:rsidR="00FF1E38" w:rsidRPr="00FF1E38" w14:paraId="30758A5F"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1DEDC49A"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37.</w:t>
            </w:r>
          </w:p>
        </w:tc>
        <w:tc>
          <w:tcPr>
            <w:tcW w:w="4536" w:type="dxa"/>
            <w:tcBorders>
              <w:top w:val="single" w:sz="4" w:space="0" w:color="000000"/>
              <w:left w:val="single" w:sz="4" w:space="0" w:color="000000"/>
              <w:bottom w:val="single" w:sz="4" w:space="0" w:color="000000"/>
              <w:right w:val="single" w:sz="4" w:space="0" w:color="000000"/>
            </w:tcBorders>
          </w:tcPr>
          <w:p w14:paraId="459BF79A"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Goštiraj </w:t>
            </w:r>
          </w:p>
        </w:tc>
        <w:tc>
          <w:tcPr>
            <w:tcW w:w="2211" w:type="dxa"/>
            <w:tcBorders>
              <w:top w:val="single" w:sz="4" w:space="0" w:color="000000"/>
              <w:left w:val="single" w:sz="4" w:space="0" w:color="000000"/>
              <w:bottom w:val="single" w:sz="4" w:space="0" w:color="000000"/>
              <w:right w:val="single" w:sz="4" w:space="0" w:color="000000"/>
            </w:tcBorders>
            <w:vAlign w:val="center"/>
          </w:tcPr>
          <w:p w14:paraId="0B769681"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5,50</w:t>
            </w:r>
          </w:p>
        </w:tc>
        <w:tc>
          <w:tcPr>
            <w:tcW w:w="1758" w:type="dxa"/>
            <w:tcBorders>
              <w:top w:val="single" w:sz="4" w:space="0" w:color="000000"/>
              <w:left w:val="single" w:sz="4" w:space="0" w:color="000000"/>
              <w:bottom w:val="single" w:sz="4" w:space="0" w:color="000000"/>
              <w:right w:val="single" w:sz="4" w:space="0" w:color="000000"/>
            </w:tcBorders>
          </w:tcPr>
          <w:p w14:paraId="5F78983F"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3,00 </w:t>
            </w:r>
          </w:p>
        </w:tc>
      </w:tr>
      <w:tr w:rsidR="00FF1E38" w:rsidRPr="00FF1E38" w14:paraId="73513BA7"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284A1E0D"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38.</w:t>
            </w:r>
          </w:p>
        </w:tc>
        <w:tc>
          <w:tcPr>
            <w:tcW w:w="4536" w:type="dxa"/>
            <w:tcBorders>
              <w:top w:val="single" w:sz="4" w:space="0" w:color="000000"/>
              <w:left w:val="single" w:sz="4" w:space="0" w:color="000000"/>
              <w:bottom w:val="single" w:sz="4" w:space="0" w:color="000000"/>
              <w:right w:val="single" w:sz="4" w:space="0" w:color="000000"/>
            </w:tcBorders>
          </w:tcPr>
          <w:p w14:paraId="3E6FB3C3"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Glavničica s pritocima </w:t>
            </w:r>
          </w:p>
        </w:tc>
        <w:tc>
          <w:tcPr>
            <w:tcW w:w="2211" w:type="dxa"/>
            <w:tcBorders>
              <w:top w:val="single" w:sz="4" w:space="0" w:color="000000"/>
              <w:left w:val="single" w:sz="4" w:space="0" w:color="000000"/>
              <w:bottom w:val="single" w:sz="4" w:space="0" w:color="000000"/>
              <w:right w:val="single" w:sz="4" w:space="0" w:color="000000"/>
            </w:tcBorders>
            <w:vAlign w:val="center"/>
          </w:tcPr>
          <w:p w14:paraId="5E500DEA"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35,80</w:t>
            </w:r>
          </w:p>
        </w:tc>
        <w:tc>
          <w:tcPr>
            <w:tcW w:w="1758" w:type="dxa"/>
            <w:tcBorders>
              <w:top w:val="single" w:sz="4" w:space="0" w:color="000000"/>
              <w:left w:val="single" w:sz="4" w:space="0" w:color="000000"/>
              <w:bottom w:val="single" w:sz="4" w:space="0" w:color="000000"/>
              <w:right w:val="single" w:sz="4" w:space="0" w:color="000000"/>
            </w:tcBorders>
          </w:tcPr>
          <w:p w14:paraId="4032AE30"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14,50 </w:t>
            </w:r>
          </w:p>
        </w:tc>
      </w:tr>
      <w:tr w:rsidR="00FF1E38" w:rsidRPr="00FF1E38" w14:paraId="7E1E3DF4"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0E6A7C2B"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39.</w:t>
            </w:r>
          </w:p>
        </w:tc>
        <w:tc>
          <w:tcPr>
            <w:tcW w:w="4536" w:type="dxa"/>
            <w:tcBorders>
              <w:top w:val="single" w:sz="4" w:space="0" w:color="000000"/>
              <w:left w:val="single" w:sz="4" w:space="0" w:color="000000"/>
              <w:bottom w:val="single" w:sz="4" w:space="0" w:color="000000"/>
              <w:right w:val="single" w:sz="4" w:space="0" w:color="000000"/>
            </w:tcBorders>
          </w:tcPr>
          <w:p w14:paraId="262A32E6"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Branovec </w:t>
            </w:r>
          </w:p>
        </w:tc>
        <w:tc>
          <w:tcPr>
            <w:tcW w:w="2211" w:type="dxa"/>
            <w:tcBorders>
              <w:top w:val="single" w:sz="4" w:space="0" w:color="000000"/>
              <w:left w:val="single" w:sz="4" w:space="0" w:color="000000"/>
              <w:bottom w:val="single" w:sz="4" w:space="0" w:color="000000"/>
              <w:right w:val="single" w:sz="4" w:space="0" w:color="000000"/>
            </w:tcBorders>
            <w:vAlign w:val="center"/>
          </w:tcPr>
          <w:p w14:paraId="3BEF5AA7"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7,00</w:t>
            </w:r>
          </w:p>
        </w:tc>
        <w:tc>
          <w:tcPr>
            <w:tcW w:w="1758" w:type="dxa"/>
            <w:tcBorders>
              <w:top w:val="single" w:sz="4" w:space="0" w:color="000000"/>
              <w:left w:val="single" w:sz="4" w:space="0" w:color="000000"/>
              <w:bottom w:val="single" w:sz="4" w:space="0" w:color="000000"/>
              <w:right w:val="single" w:sz="4" w:space="0" w:color="000000"/>
            </w:tcBorders>
          </w:tcPr>
          <w:p w14:paraId="68757BE0"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2,50 </w:t>
            </w:r>
          </w:p>
        </w:tc>
      </w:tr>
      <w:tr w:rsidR="00FF1E38" w:rsidRPr="00FF1E38" w14:paraId="6CB3987F"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693BA3F6"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40.</w:t>
            </w:r>
          </w:p>
        </w:tc>
        <w:tc>
          <w:tcPr>
            <w:tcW w:w="4536" w:type="dxa"/>
            <w:tcBorders>
              <w:top w:val="single" w:sz="4" w:space="0" w:color="000000"/>
              <w:left w:val="single" w:sz="4" w:space="0" w:color="000000"/>
              <w:bottom w:val="single" w:sz="4" w:space="0" w:color="000000"/>
              <w:right w:val="single" w:sz="4" w:space="0" w:color="000000"/>
            </w:tcBorders>
          </w:tcPr>
          <w:p w14:paraId="300E0AFB"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Moravščak </w:t>
            </w:r>
          </w:p>
        </w:tc>
        <w:tc>
          <w:tcPr>
            <w:tcW w:w="2211" w:type="dxa"/>
            <w:tcBorders>
              <w:top w:val="single" w:sz="4" w:space="0" w:color="000000"/>
              <w:left w:val="single" w:sz="4" w:space="0" w:color="000000"/>
              <w:bottom w:val="single" w:sz="4" w:space="0" w:color="000000"/>
              <w:right w:val="single" w:sz="4" w:space="0" w:color="000000"/>
            </w:tcBorders>
            <w:vAlign w:val="center"/>
          </w:tcPr>
          <w:p w14:paraId="25C80744"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7,00</w:t>
            </w:r>
          </w:p>
        </w:tc>
        <w:tc>
          <w:tcPr>
            <w:tcW w:w="1758" w:type="dxa"/>
            <w:tcBorders>
              <w:top w:val="single" w:sz="4" w:space="0" w:color="000000"/>
              <w:left w:val="single" w:sz="4" w:space="0" w:color="000000"/>
              <w:bottom w:val="single" w:sz="4" w:space="0" w:color="000000"/>
              <w:right w:val="single" w:sz="4" w:space="0" w:color="000000"/>
            </w:tcBorders>
          </w:tcPr>
          <w:p w14:paraId="05CB8B81"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4,50 </w:t>
            </w:r>
          </w:p>
        </w:tc>
      </w:tr>
      <w:tr w:rsidR="00FF1E38" w:rsidRPr="00FF1E38" w14:paraId="31DC4E54"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40EE28A9"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41.</w:t>
            </w:r>
          </w:p>
        </w:tc>
        <w:tc>
          <w:tcPr>
            <w:tcW w:w="4536" w:type="dxa"/>
            <w:tcBorders>
              <w:top w:val="single" w:sz="4" w:space="0" w:color="000000"/>
              <w:left w:val="single" w:sz="4" w:space="0" w:color="000000"/>
              <w:bottom w:val="single" w:sz="4" w:space="0" w:color="000000"/>
              <w:right w:val="single" w:sz="4" w:space="0" w:color="000000"/>
            </w:tcBorders>
          </w:tcPr>
          <w:p w14:paraId="0B9AC439"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Goranec </w:t>
            </w:r>
          </w:p>
        </w:tc>
        <w:tc>
          <w:tcPr>
            <w:tcW w:w="2211" w:type="dxa"/>
            <w:tcBorders>
              <w:top w:val="single" w:sz="4" w:space="0" w:color="000000"/>
              <w:left w:val="single" w:sz="4" w:space="0" w:color="000000"/>
              <w:bottom w:val="single" w:sz="4" w:space="0" w:color="000000"/>
              <w:right w:val="single" w:sz="4" w:space="0" w:color="000000"/>
            </w:tcBorders>
            <w:vAlign w:val="center"/>
          </w:tcPr>
          <w:p w14:paraId="4B66769A"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8,50</w:t>
            </w:r>
          </w:p>
        </w:tc>
        <w:tc>
          <w:tcPr>
            <w:tcW w:w="1758" w:type="dxa"/>
            <w:tcBorders>
              <w:top w:val="single" w:sz="4" w:space="0" w:color="000000"/>
              <w:left w:val="single" w:sz="4" w:space="0" w:color="000000"/>
              <w:bottom w:val="single" w:sz="4" w:space="0" w:color="000000"/>
              <w:right w:val="single" w:sz="4" w:space="0" w:color="000000"/>
            </w:tcBorders>
          </w:tcPr>
          <w:p w14:paraId="34E0DF1E"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4,00 </w:t>
            </w:r>
          </w:p>
        </w:tc>
      </w:tr>
      <w:tr w:rsidR="00FF1E38" w:rsidRPr="00FF1E38" w14:paraId="6E3DBA81"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6BB5AA7B"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42.</w:t>
            </w:r>
          </w:p>
        </w:tc>
        <w:tc>
          <w:tcPr>
            <w:tcW w:w="4536" w:type="dxa"/>
            <w:tcBorders>
              <w:top w:val="single" w:sz="4" w:space="0" w:color="000000"/>
              <w:left w:val="single" w:sz="4" w:space="0" w:color="000000"/>
              <w:bottom w:val="single" w:sz="4" w:space="0" w:color="000000"/>
              <w:right w:val="single" w:sz="4" w:space="0" w:color="000000"/>
            </w:tcBorders>
          </w:tcPr>
          <w:p w14:paraId="335A12D7"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Blaguša </w:t>
            </w:r>
          </w:p>
        </w:tc>
        <w:tc>
          <w:tcPr>
            <w:tcW w:w="2211" w:type="dxa"/>
            <w:tcBorders>
              <w:top w:val="single" w:sz="4" w:space="0" w:color="000000"/>
              <w:left w:val="single" w:sz="4" w:space="0" w:color="000000"/>
              <w:bottom w:val="single" w:sz="4" w:space="0" w:color="000000"/>
              <w:right w:val="single" w:sz="4" w:space="0" w:color="000000"/>
            </w:tcBorders>
            <w:vAlign w:val="center"/>
          </w:tcPr>
          <w:p w14:paraId="21919A26"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8,00</w:t>
            </w:r>
          </w:p>
        </w:tc>
        <w:tc>
          <w:tcPr>
            <w:tcW w:w="1758" w:type="dxa"/>
            <w:tcBorders>
              <w:top w:val="single" w:sz="4" w:space="0" w:color="000000"/>
              <w:left w:val="single" w:sz="4" w:space="0" w:color="000000"/>
              <w:bottom w:val="single" w:sz="4" w:space="0" w:color="000000"/>
              <w:right w:val="single" w:sz="4" w:space="0" w:color="000000"/>
            </w:tcBorders>
          </w:tcPr>
          <w:p w14:paraId="69D367B0"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5,00 </w:t>
            </w:r>
          </w:p>
        </w:tc>
      </w:tr>
      <w:tr w:rsidR="00FF1E38" w:rsidRPr="00FF1E38" w14:paraId="3B89701A" w14:textId="77777777" w:rsidTr="00DE0C9A">
        <w:trPr>
          <w:cantSplit/>
        </w:trPr>
        <w:tc>
          <w:tcPr>
            <w:tcW w:w="567" w:type="dxa"/>
            <w:tcBorders>
              <w:top w:val="single" w:sz="4" w:space="0" w:color="000000"/>
              <w:left w:val="single" w:sz="4" w:space="0" w:color="000000"/>
              <w:bottom w:val="single" w:sz="4" w:space="0" w:color="000000"/>
              <w:right w:val="single" w:sz="4" w:space="0" w:color="000000"/>
            </w:tcBorders>
          </w:tcPr>
          <w:p w14:paraId="5128D276"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43.</w:t>
            </w:r>
          </w:p>
        </w:tc>
        <w:tc>
          <w:tcPr>
            <w:tcW w:w="4536" w:type="dxa"/>
            <w:tcBorders>
              <w:top w:val="single" w:sz="4" w:space="0" w:color="000000"/>
              <w:left w:val="single" w:sz="4" w:space="0" w:color="000000"/>
              <w:bottom w:val="single" w:sz="4" w:space="0" w:color="000000"/>
              <w:right w:val="single" w:sz="4" w:space="0" w:color="000000"/>
            </w:tcBorders>
          </w:tcPr>
          <w:p w14:paraId="261ECC6A"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eastAsia="Calibri" w:hAnsi="Times New Roman" w:cs="Times New Roman"/>
                <w:sz w:val="24"/>
              </w:rPr>
              <w:t xml:space="preserve">Rijeka Sava </w:t>
            </w:r>
          </w:p>
        </w:tc>
        <w:tc>
          <w:tcPr>
            <w:tcW w:w="2211" w:type="dxa"/>
            <w:tcBorders>
              <w:top w:val="single" w:sz="4" w:space="0" w:color="000000"/>
              <w:left w:val="single" w:sz="4" w:space="0" w:color="000000"/>
              <w:bottom w:val="single" w:sz="4" w:space="0" w:color="000000"/>
              <w:right w:val="single" w:sz="4" w:space="0" w:color="000000"/>
            </w:tcBorders>
            <w:vAlign w:val="center"/>
          </w:tcPr>
          <w:p w14:paraId="0694C64B"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74,20</w:t>
            </w:r>
          </w:p>
        </w:tc>
        <w:tc>
          <w:tcPr>
            <w:tcW w:w="1758" w:type="dxa"/>
            <w:tcBorders>
              <w:top w:val="single" w:sz="4" w:space="0" w:color="000000"/>
              <w:left w:val="single" w:sz="4" w:space="0" w:color="000000"/>
              <w:bottom w:val="single" w:sz="4" w:space="0" w:color="000000"/>
              <w:right w:val="single" w:sz="4" w:space="0" w:color="000000"/>
            </w:tcBorders>
          </w:tcPr>
          <w:p w14:paraId="1487DF2D"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sz w:val="24"/>
              </w:rPr>
              <w:t xml:space="preserve">74,20 </w:t>
            </w:r>
          </w:p>
        </w:tc>
      </w:tr>
      <w:tr w:rsidR="00FF1E38" w:rsidRPr="00FF1E38" w14:paraId="33D893B7" w14:textId="77777777" w:rsidTr="00571A98">
        <w:trPr>
          <w:cantSplit/>
        </w:trPr>
        <w:tc>
          <w:tcPr>
            <w:tcW w:w="5103" w:type="dxa"/>
            <w:gridSpan w:val="2"/>
            <w:tcBorders>
              <w:top w:val="single" w:sz="4" w:space="0" w:color="000000"/>
              <w:left w:val="single" w:sz="4" w:space="0" w:color="000000"/>
              <w:bottom w:val="single" w:sz="4" w:space="0" w:color="000000"/>
              <w:right w:val="single" w:sz="4" w:space="0" w:color="000000"/>
            </w:tcBorders>
            <w:shd w:val="clear" w:color="auto" w:fill="FFC000"/>
          </w:tcPr>
          <w:p w14:paraId="229E7C79"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b/>
                <w:sz w:val="24"/>
              </w:rPr>
              <w:t xml:space="preserve">UKUPNO </w:t>
            </w:r>
          </w:p>
        </w:tc>
        <w:tc>
          <w:tcPr>
            <w:tcW w:w="221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519FE6E"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b/>
                <w:sz w:val="24"/>
              </w:rPr>
              <w:t>496,22</w:t>
            </w:r>
          </w:p>
        </w:tc>
        <w:tc>
          <w:tcPr>
            <w:tcW w:w="1758" w:type="dxa"/>
            <w:tcBorders>
              <w:top w:val="single" w:sz="4" w:space="0" w:color="000000"/>
              <w:left w:val="single" w:sz="4" w:space="0" w:color="000000"/>
              <w:bottom w:val="single" w:sz="4" w:space="0" w:color="000000"/>
              <w:right w:val="single" w:sz="4" w:space="0" w:color="000000"/>
            </w:tcBorders>
            <w:shd w:val="clear" w:color="auto" w:fill="FFC000"/>
          </w:tcPr>
          <w:p w14:paraId="41429EF2"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b/>
                <w:sz w:val="24"/>
              </w:rPr>
              <w:t xml:space="preserve">304,01 </w:t>
            </w:r>
          </w:p>
        </w:tc>
      </w:tr>
    </w:tbl>
    <w:p w14:paraId="16A7993E" w14:textId="77777777" w:rsidR="00FF1E38" w:rsidRPr="00FF1E38" w:rsidRDefault="00FF1E38" w:rsidP="00FF1E38">
      <w:pPr>
        <w:spacing w:after="0" w:line="240" w:lineRule="auto"/>
        <w:ind w:left="0" w:right="0" w:firstLine="0"/>
        <w:jc w:val="center"/>
        <w:rPr>
          <w:rFonts w:ascii="Times New Roman" w:eastAsia="Calibri" w:hAnsi="Times New Roman" w:cs="Times New Roman"/>
          <w:i/>
          <w:sz w:val="20"/>
        </w:rPr>
      </w:pPr>
      <w:r w:rsidRPr="00FF1E38">
        <w:rPr>
          <w:rFonts w:ascii="Times New Roman" w:eastAsia="Calibri" w:hAnsi="Times New Roman" w:cs="Times New Roman"/>
          <w:i/>
          <w:sz w:val="20"/>
        </w:rPr>
        <w:t>Izvor: Statistički ljetopis Grada Zagreba</w:t>
      </w:r>
    </w:p>
    <w:p w14:paraId="36AE971F" w14:textId="77777777" w:rsidR="00FF1E38" w:rsidRPr="00FF1E38" w:rsidRDefault="00FF1E38" w:rsidP="00FF1E38">
      <w:pPr>
        <w:spacing w:after="0" w:line="240" w:lineRule="auto"/>
        <w:ind w:left="0" w:right="0" w:firstLine="0"/>
        <w:rPr>
          <w:rFonts w:ascii="Times New Roman" w:hAnsi="Times New Roman" w:cs="Times New Roman"/>
          <w:sz w:val="24"/>
        </w:rPr>
      </w:pPr>
    </w:p>
    <w:p w14:paraId="62E8518F" w14:textId="41B99859" w:rsidR="00FF1E38" w:rsidRPr="00FF1E38" w:rsidRDefault="00FF1E38" w:rsidP="00FF1E38">
      <w:pPr>
        <w:spacing w:after="0" w:line="240" w:lineRule="auto"/>
        <w:ind w:left="0" w:right="0" w:firstLine="709"/>
        <w:rPr>
          <w:rFonts w:ascii="Times New Roman" w:hAnsi="Times New Roman" w:cs="Times New Roman"/>
          <w:sz w:val="24"/>
        </w:rPr>
      </w:pPr>
      <w:r w:rsidRPr="00541311">
        <w:rPr>
          <w:rFonts w:ascii="Times New Roman" w:hAnsi="Times New Roman" w:cs="Times New Roman"/>
          <w:color w:val="auto"/>
          <w:sz w:val="24"/>
        </w:rPr>
        <w:t xml:space="preserve">Iz Tablice </w:t>
      </w:r>
      <w:r w:rsidR="00541311" w:rsidRPr="00541311">
        <w:rPr>
          <w:rFonts w:ascii="Times New Roman" w:hAnsi="Times New Roman" w:cs="Times New Roman"/>
          <w:color w:val="auto"/>
          <w:sz w:val="24"/>
        </w:rPr>
        <w:t>61</w:t>
      </w:r>
      <w:r w:rsidRPr="00541311">
        <w:rPr>
          <w:rFonts w:ascii="Times New Roman" w:hAnsi="Times New Roman" w:cs="Times New Roman"/>
          <w:color w:val="auto"/>
          <w:sz w:val="24"/>
        </w:rPr>
        <w:t xml:space="preserve">. vidljivo je da ukupna dužina vodotoka na području Grada Zagreba iznosi </w:t>
      </w:r>
      <w:r w:rsidRPr="00FF1E38">
        <w:rPr>
          <w:rFonts w:ascii="Times New Roman" w:hAnsi="Times New Roman" w:cs="Times New Roman"/>
          <w:sz w:val="24"/>
        </w:rPr>
        <w:t>496,22 km, a održavano je 304,01 km. Potoci južnih, jugozapadnih i istočnih obronaka Medvednice su vrlo gusto razgranata hidrografska mreža s velikim uzdužnim padovima, što uz jake intenzitete oborina i činjenicu da se vodotoci nalaze u brdskom području, uzrokuje otjecanje bujičnog karaktera, popraćeno jakim erozijskim procesom i prenošenjem nanosa u središnji i donji dio vodotoka. Na području središnjeg i nizinskog dijela slivnih površina nalazi se sagrađeno gradsko područje koje se štiti od bujičnih potočnih tokova retencijama i akumulacijama.</w:t>
      </w:r>
    </w:p>
    <w:p w14:paraId="058DB7D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Da bi se spriječile poplave, izgrađeni su retencijski sustavi koji prihvaćaju i dalje odvode vode podsljemenskih potoka. Na padinama Zagrebačke gore do sada je sagrađeno 19 retencija ukupnog retencijskog volumena cca 2,2X10</w:t>
      </w:r>
      <w:r w:rsidRPr="00FF1E38">
        <w:rPr>
          <w:rFonts w:ascii="Times New Roman" w:hAnsi="Times New Roman" w:cs="Times New Roman"/>
          <w:sz w:val="24"/>
          <w:vertAlign w:val="superscript"/>
        </w:rPr>
        <w:t xml:space="preserve">6 </w:t>
      </w:r>
      <w:r w:rsidRPr="00FF1E38">
        <w:rPr>
          <w:rFonts w:ascii="Times New Roman" w:hAnsi="Times New Roman" w:cs="Times New Roman"/>
          <w:sz w:val="24"/>
        </w:rPr>
        <w:t>m</w:t>
      </w:r>
      <w:r w:rsidRPr="00FF1E38">
        <w:rPr>
          <w:rFonts w:ascii="Times New Roman" w:hAnsi="Times New Roman" w:cs="Times New Roman"/>
          <w:sz w:val="24"/>
          <w:vertAlign w:val="superscript"/>
        </w:rPr>
        <w:t>3</w:t>
      </w:r>
      <w:r w:rsidRPr="00FF1E38">
        <w:rPr>
          <w:rFonts w:ascii="Times New Roman" w:hAnsi="Times New Roman" w:cs="Times New Roman"/>
          <w:sz w:val="24"/>
        </w:rPr>
        <w:t xml:space="preserve">. Status velikih brana imaju retencije: Čokot, Črnomerec, Jazbina, Lagvić, Pusti dol, Sopot, Štefanovec II. i Trnava. Male brane su: Bidrovec I., Bidrovec II., Brana III. i Brana V., Dubravica I., Fučkov jarak, Jelenovac II., Jezerčica, Kuniščak, Kustošak E, Kustošak F III., Vidovec I. i Vidovec II. Pored rečenoga izgrađena je Meliorativna kanalska mreža dužine od 114,35 km, od čega se održava 67,50 km. Navedena </w:t>
      </w:r>
      <w:r w:rsidRPr="00FF1E38">
        <w:rPr>
          <w:rFonts w:ascii="Times New Roman" w:hAnsi="Times New Roman" w:cs="Times New Roman"/>
          <w:sz w:val="24"/>
        </w:rPr>
        <w:lastRenderedPageBreak/>
        <w:t>mreža obuhvaća 2 sliva: slivno područje Novog Zagreba s 85,70 km kanalske mreže i slivno područje Sesveta s 28,65 km kanalske mreže.</w:t>
      </w:r>
    </w:p>
    <w:p w14:paraId="28D355C1" w14:textId="2F645239" w:rsidR="00FF1E38" w:rsidRPr="00541311" w:rsidRDefault="00FF1E38" w:rsidP="00FF1E38">
      <w:pPr>
        <w:spacing w:after="0" w:line="240" w:lineRule="auto"/>
        <w:ind w:left="0" w:right="0" w:firstLine="709"/>
        <w:rPr>
          <w:rFonts w:ascii="Times New Roman" w:hAnsi="Times New Roman" w:cs="Times New Roman"/>
          <w:color w:val="auto"/>
          <w:sz w:val="24"/>
        </w:rPr>
      </w:pPr>
      <w:r w:rsidRPr="00FF1E38">
        <w:rPr>
          <w:rFonts w:ascii="Times New Roman" w:hAnsi="Times New Roman" w:cs="Times New Roman"/>
          <w:sz w:val="24"/>
        </w:rPr>
        <w:t xml:space="preserve">Osim vodotoka, u Gradu Zagrebu se nalaze i vode stajaćice (jezera, šljunčare). Njih </w:t>
      </w:r>
      <w:r w:rsidRPr="00541311">
        <w:rPr>
          <w:rFonts w:ascii="Times New Roman" w:hAnsi="Times New Roman" w:cs="Times New Roman"/>
          <w:color w:val="auto"/>
          <w:sz w:val="24"/>
        </w:rPr>
        <w:t xml:space="preserve">ukupno 141 zauzima površinu od 264,5 ha, navedeno u Tablici </w:t>
      </w:r>
      <w:r w:rsidR="00541311" w:rsidRPr="00541311">
        <w:rPr>
          <w:rFonts w:ascii="Times New Roman" w:hAnsi="Times New Roman" w:cs="Times New Roman"/>
          <w:color w:val="auto"/>
          <w:sz w:val="24"/>
        </w:rPr>
        <w:t>62</w:t>
      </w:r>
      <w:r w:rsidRPr="00541311">
        <w:rPr>
          <w:rFonts w:ascii="Times New Roman" w:hAnsi="Times New Roman" w:cs="Times New Roman"/>
          <w:color w:val="auto"/>
          <w:sz w:val="24"/>
        </w:rPr>
        <w:t>.</w:t>
      </w:r>
    </w:p>
    <w:p w14:paraId="4E8D96FE" w14:textId="77777777" w:rsidR="00FF1E38" w:rsidRPr="00541311" w:rsidRDefault="00FF1E38" w:rsidP="00FF1E38">
      <w:pPr>
        <w:spacing w:after="0" w:line="240" w:lineRule="auto"/>
        <w:ind w:right="0"/>
        <w:rPr>
          <w:rFonts w:ascii="Times New Roman" w:hAnsi="Times New Roman" w:cs="Times New Roman"/>
          <w:color w:val="auto"/>
          <w:sz w:val="24"/>
        </w:rPr>
      </w:pPr>
    </w:p>
    <w:p w14:paraId="28E66BDC" w14:textId="180909BD" w:rsidR="00FF1E38" w:rsidRPr="00541311" w:rsidRDefault="00FF1E38" w:rsidP="00571A98">
      <w:pPr>
        <w:spacing w:line="240" w:lineRule="auto"/>
        <w:ind w:left="0" w:right="0" w:firstLine="0"/>
        <w:jc w:val="center"/>
        <w:rPr>
          <w:rFonts w:ascii="Times New Roman" w:hAnsi="Times New Roman" w:cs="Times New Roman"/>
          <w:b/>
          <w:color w:val="auto"/>
          <w:sz w:val="24"/>
        </w:rPr>
      </w:pPr>
      <w:r w:rsidRPr="00541311">
        <w:rPr>
          <w:rFonts w:ascii="Times New Roman" w:hAnsi="Times New Roman" w:cs="Times New Roman"/>
          <w:b/>
          <w:color w:val="auto"/>
          <w:sz w:val="24"/>
        </w:rPr>
        <w:t xml:space="preserve">Tablica </w:t>
      </w:r>
      <w:r w:rsidR="00541311" w:rsidRPr="00541311">
        <w:rPr>
          <w:rFonts w:ascii="Times New Roman" w:hAnsi="Times New Roman" w:cs="Times New Roman"/>
          <w:b/>
          <w:color w:val="auto"/>
          <w:sz w:val="24"/>
        </w:rPr>
        <w:t>62</w:t>
      </w:r>
      <w:r w:rsidRPr="00541311">
        <w:rPr>
          <w:rFonts w:ascii="Times New Roman" w:hAnsi="Times New Roman" w:cs="Times New Roman"/>
          <w:b/>
          <w:color w:val="auto"/>
          <w:sz w:val="24"/>
        </w:rPr>
        <w:t xml:space="preserve">. Stajaće vode </w:t>
      </w:r>
    </w:p>
    <w:tbl>
      <w:tblPr>
        <w:tblStyle w:val="TableGrid"/>
        <w:tblW w:w="9072" w:type="dxa"/>
        <w:tblInd w:w="0" w:type="dxa"/>
        <w:tblLayout w:type="fixed"/>
        <w:tblCellMar>
          <w:left w:w="57" w:type="dxa"/>
          <w:right w:w="57" w:type="dxa"/>
        </w:tblCellMar>
        <w:tblLook w:val="04A0" w:firstRow="1" w:lastRow="0" w:firstColumn="1" w:lastColumn="0" w:noHBand="0" w:noVBand="1"/>
      </w:tblPr>
      <w:tblGrid>
        <w:gridCol w:w="1296"/>
        <w:gridCol w:w="1296"/>
        <w:gridCol w:w="1296"/>
        <w:gridCol w:w="1296"/>
        <w:gridCol w:w="1296"/>
        <w:gridCol w:w="1296"/>
        <w:gridCol w:w="1296"/>
      </w:tblGrid>
      <w:tr w:rsidR="00FF1E38" w:rsidRPr="00FF1E38" w14:paraId="33CEB540" w14:textId="77777777" w:rsidTr="00DE0C9A">
        <w:trPr>
          <w:cantSplit/>
        </w:trPr>
        <w:tc>
          <w:tcPr>
            <w:tcW w:w="1296" w:type="dxa"/>
            <w:vMerge w:val="restart"/>
            <w:tcBorders>
              <w:top w:val="single" w:sz="4" w:space="0" w:color="000000"/>
              <w:left w:val="single" w:sz="4" w:space="0" w:color="000000"/>
              <w:bottom w:val="single" w:sz="4" w:space="0" w:color="000000"/>
              <w:right w:val="single" w:sz="4" w:space="0" w:color="000000"/>
            </w:tcBorders>
            <w:shd w:val="clear" w:color="auto" w:fill="FFC000"/>
            <w:vAlign w:val="center"/>
          </w:tcPr>
          <w:p w14:paraId="55FD632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b/>
              </w:rPr>
              <w:t>Ukupno</w:t>
            </w:r>
          </w:p>
        </w:tc>
        <w:tc>
          <w:tcPr>
            <w:tcW w:w="6480" w:type="dxa"/>
            <w:gridSpan w:val="5"/>
            <w:tcBorders>
              <w:top w:val="single" w:sz="4" w:space="0" w:color="000000"/>
              <w:left w:val="single" w:sz="4" w:space="0" w:color="000000"/>
              <w:bottom w:val="single" w:sz="4" w:space="0" w:color="000000"/>
              <w:right w:val="single" w:sz="4" w:space="0" w:color="000000"/>
            </w:tcBorders>
            <w:shd w:val="clear" w:color="auto" w:fill="FFC000"/>
            <w:vAlign w:val="center"/>
          </w:tcPr>
          <w:p w14:paraId="74D2964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b/>
              </w:rPr>
              <w:t>Vrsta stajaće vode</w:t>
            </w:r>
          </w:p>
        </w:tc>
        <w:tc>
          <w:tcPr>
            <w:tcW w:w="1296" w:type="dxa"/>
            <w:vMerge w:val="restart"/>
            <w:tcBorders>
              <w:top w:val="single" w:sz="4" w:space="0" w:color="000000"/>
              <w:left w:val="single" w:sz="4" w:space="0" w:color="000000"/>
              <w:bottom w:val="single" w:sz="4" w:space="0" w:color="000000"/>
              <w:right w:val="single" w:sz="4" w:space="0" w:color="000000"/>
            </w:tcBorders>
            <w:shd w:val="clear" w:color="auto" w:fill="FFC000"/>
            <w:vAlign w:val="center"/>
          </w:tcPr>
          <w:p w14:paraId="4DDD09D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b/>
              </w:rPr>
              <w:t>Površina ha</w:t>
            </w:r>
          </w:p>
        </w:tc>
      </w:tr>
      <w:tr w:rsidR="00FF1E38" w:rsidRPr="00FF1E38" w14:paraId="1DD582E8" w14:textId="77777777" w:rsidTr="00DE0C9A">
        <w:trPr>
          <w:cantSplit/>
        </w:trPr>
        <w:tc>
          <w:tcPr>
            <w:tcW w:w="1296" w:type="dxa"/>
            <w:vMerge/>
            <w:tcBorders>
              <w:top w:val="nil"/>
              <w:left w:val="single" w:sz="4" w:space="0" w:color="000000"/>
              <w:bottom w:val="single" w:sz="4" w:space="0" w:color="000000"/>
              <w:right w:val="single" w:sz="4" w:space="0" w:color="000000"/>
            </w:tcBorders>
          </w:tcPr>
          <w:p w14:paraId="1C0C2AAC"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1296" w:type="dxa"/>
            <w:tcBorders>
              <w:top w:val="single" w:sz="4" w:space="0" w:color="000000"/>
              <w:left w:val="single" w:sz="4" w:space="0" w:color="000000"/>
              <w:bottom w:val="single" w:sz="4" w:space="0" w:color="000000"/>
              <w:right w:val="single" w:sz="4" w:space="0" w:color="000000"/>
            </w:tcBorders>
            <w:shd w:val="clear" w:color="auto" w:fill="FFC000"/>
          </w:tcPr>
          <w:p w14:paraId="19CDDAD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b/>
              </w:rPr>
              <w:t>aktivne šljunčare</w:t>
            </w:r>
          </w:p>
        </w:tc>
        <w:tc>
          <w:tcPr>
            <w:tcW w:w="1296" w:type="dxa"/>
            <w:tcBorders>
              <w:top w:val="single" w:sz="4" w:space="0" w:color="000000"/>
              <w:left w:val="single" w:sz="4" w:space="0" w:color="000000"/>
              <w:bottom w:val="single" w:sz="4" w:space="0" w:color="000000"/>
              <w:right w:val="single" w:sz="4" w:space="0" w:color="000000"/>
            </w:tcBorders>
            <w:shd w:val="clear" w:color="auto" w:fill="FFC000"/>
          </w:tcPr>
          <w:p w14:paraId="0950E8C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b/>
              </w:rPr>
              <w:t>napuštene šljunčare</w:t>
            </w:r>
          </w:p>
        </w:tc>
        <w:tc>
          <w:tcPr>
            <w:tcW w:w="1296" w:type="dxa"/>
            <w:tcBorders>
              <w:top w:val="single" w:sz="4" w:space="0" w:color="000000"/>
              <w:left w:val="single" w:sz="4" w:space="0" w:color="000000"/>
              <w:bottom w:val="single" w:sz="4" w:space="0" w:color="000000"/>
              <w:right w:val="single" w:sz="4" w:space="0" w:color="000000"/>
            </w:tcBorders>
            <w:shd w:val="clear" w:color="auto" w:fill="FFC000"/>
          </w:tcPr>
          <w:p w14:paraId="7FFE29F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b/>
              </w:rPr>
              <w:t>rukavci Save</w:t>
            </w:r>
          </w:p>
        </w:tc>
        <w:tc>
          <w:tcPr>
            <w:tcW w:w="1296" w:type="dxa"/>
            <w:tcBorders>
              <w:top w:val="single" w:sz="4" w:space="0" w:color="000000"/>
              <w:left w:val="single" w:sz="4" w:space="0" w:color="000000"/>
              <w:bottom w:val="single" w:sz="4" w:space="0" w:color="000000"/>
              <w:right w:val="single" w:sz="4" w:space="0" w:color="000000"/>
            </w:tcBorders>
            <w:shd w:val="clear" w:color="auto" w:fill="FFC000"/>
          </w:tcPr>
          <w:p w14:paraId="549D2AF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b/>
              </w:rPr>
              <w:t xml:space="preserve">umjetna jezera </w:t>
            </w:r>
          </w:p>
        </w:tc>
        <w:tc>
          <w:tcPr>
            <w:tcW w:w="1296" w:type="dxa"/>
            <w:tcBorders>
              <w:top w:val="single" w:sz="4" w:space="0" w:color="000000"/>
              <w:left w:val="single" w:sz="4" w:space="0" w:color="000000"/>
              <w:bottom w:val="single" w:sz="4" w:space="0" w:color="000000"/>
              <w:right w:val="single" w:sz="4" w:space="0" w:color="000000"/>
            </w:tcBorders>
            <w:shd w:val="clear" w:color="auto" w:fill="FFC000"/>
          </w:tcPr>
          <w:p w14:paraId="2C85589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b/>
              </w:rPr>
              <w:t xml:space="preserve">jame i ostalo </w:t>
            </w:r>
          </w:p>
        </w:tc>
        <w:tc>
          <w:tcPr>
            <w:tcW w:w="1296" w:type="dxa"/>
            <w:vMerge/>
            <w:tcBorders>
              <w:top w:val="nil"/>
              <w:left w:val="single" w:sz="4" w:space="0" w:color="000000"/>
              <w:bottom w:val="single" w:sz="4" w:space="0" w:color="000000"/>
              <w:right w:val="single" w:sz="4" w:space="0" w:color="000000"/>
            </w:tcBorders>
          </w:tcPr>
          <w:p w14:paraId="12A34D34" w14:textId="77777777" w:rsidR="00FF1E38" w:rsidRPr="00FF1E38" w:rsidRDefault="00FF1E38" w:rsidP="00FF1E38">
            <w:pPr>
              <w:spacing w:after="0" w:line="240" w:lineRule="auto"/>
              <w:ind w:left="0" w:right="0" w:firstLine="0"/>
              <w:jc w:val="left"/>
              <w:rPr>
                <w:rFonts w:ascii="Times New Roman" w:hAnsi="Times New Roman" w:cs="Times New Roman"/>
              </w:rPr>
            </w:pPr>
          </w:p>
        </w:tc>
      </w:tr>
      <w:tr w:rsidR="00FF1E38" w:rsidRPr="00FF1E38" w14:paraId="5ADEB3AF" w14:textId="77777777" w:rsidTr="00DE0C9A">
        <w:trPr>
          <w:cantSplit/>
        </w:trPr>
        <w:tc>
          <w:tcPr>
            <w:tcW w:w="1296" w:type="dxa"/>
            <w:tcBorders>
              <w:top w:val="single" w:sz="4" w:space="0" w:color="000000"/>
              <w:left w:val="single" w:sz="4" w:space="0" w:color="000000"/>
              <w:bottom w:val="single" w:sz="4" w:space="0" w:color="000000"/>
              <w:right w:val="single" w:sz="4" w:space="0" w:color="000000"/>
            </w:tcBorders>
          </w:tcPr>
          <w:p w14:paraId="230BCEE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 xml:space="preserve">141 </w:t>
            </w:r>
          </w:p>
        </w:tc>
        <w:tc>
          <w:tcPr>
            <w:tcW w:w="1296" w:type="dxa"/>
            <w:tcBorders>
              <w:top w:val="single" w:sz="4" w:space="0" w:color="000000"/>
              <w:left w:val="single" w:sz="4" w:space="0" w:color="000000"/>
              <w:bottom w:val="single" w:sz="4" w:space="0" w:color="000000"/>
              <w:right w:val="single" w:sz="4" w:space="0" w:color="000000"/>
            </w:tcBorders>
          </w:tcPr>
          <w:p w14:paraId="170D5ED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 xml:space="preserve">- </w:t>
            </w:r>
          </w:p>
        </w:tc>
        <w:tc>
          <w:tcPr>
            <w:tcW w:w="1296" w:type="dxa"/>
            <w:tcBorders>
              <w:top w:val="single" w:sz="4" w:space="0" w:color="000000"/>
              <w:left w:val="single" w:sz="4" w:space="0" w:color="000000"/>
              <w:bottom w:val="single" w:sz="4" w:space="0" w:color="000000"/>
              <w:right w:val="single" w:sz="4" w:space="0" w:color="000000"/>
            </w:tcBorders>
          </w:tcPr>
          <w:p w14:paraId="76FC3FA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 xml:space="preserve">10 </w:t>
            </w:r>
          </w:p>
        </w:tc>
        <w:tc>
          <w:tcPr>
            <w:tcW w:w="1296" w:type="dxa"/>
            <w:tcBorders>
              <w:top w:val="single" w:sz="4" w:space="0" w:color="000000"/>
              <w:left w:val="single" w:sz="4" w:space="0" w:color="000000"/>
              <w:bottom w:val="single" w:sz="4" w:space="0" w:color="000000"/>
              <w:right w:val="single" w:sz="4" w:space="0" w:color="000000"/>
            </w:tcBorders>
          </w:tcPr>
          <w:p w14:paraId="4623234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 xml:space="preserve">3 </w:t>
            </w:r>
          </w:p>
        </w:tc>
        <w:tc>
          <w:tcPr>
            <w:tcW w:w="1296" w:type="dxa"/>
            <w:tcBorders>
              <w:top w:val="single" w:sz="4" w:space="0" w:color="000000"/>
              <w:left w:val="single" w:sz="4" w:space="0" w:color="000000"/>
              <w:bottom w:val="single" w:sz="4" w:space="0" w:color="000000"/>
              <w:right w:val="single" w:sz="4" w:space="0" w:color="000000"/>
            </w:tcBorders>
          </w:tcPr>
          <w:p w14:paraId="4D0CBEB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 xml:space="preserve">6 </w:t>
            </w:r>
          </w:p>
        </w:tc>
        <w:tc>
          <w:tcPr>
            <w:tcW w:w="1296" w:type="dxa"/>
            <w:tcBorders>
              <w:top w:val="single" w:sz="4" w:space="0" w:color="000000"/>
              <w:left w:val="single" w:sz="4" w:space="0" w:color="000000"/>
              <w:bottom w:val="single" w:sz="4" w:space="0" w:color="000000"/>
              <w:right w:val="single" w:sz="4" w:space="0" w:color="000000"/>
            </w:tcBorders>
          </w:tcPr>
          <w:p w14:paraId="7CFC881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 xml:space="preserve">126 </w:t>
            </w:r>
          </w:p>
        </w:tc>
        <w:tc>
          <w:tcPr>
            <w:tcW w:w="1296" w:type="dxa"/>
            <w:tcBorders>
              <w:top w:val="single" w:sz="4" w:space="0" w:color="000000"/>
              <w:left w:val="single" w:sz="4" w:space="0" w:color="000000"/>
              <w:bottom w:val="single" w:sz="4" w:space="0" w:color="000000"/>
              <w:right w:val="single" w:sz="4" w:space="0" w:color="000000"/>
            </w:tcBorders>
          </w:tcPr>
          <w:p w14:paraId="7EFD6A2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 xml:space="preserve">264,5 </w:t>
            </w:r>
          </w:p>
        </w:tc>
      </w:tr>
    </w:tbl>
    <w:p w14:paraId="2CA0261B" w14:textId="77777777" w:rsidR="00FF1E38" w:rsidRPr="00FF1E38" w:rsidRDefault="00FF1E38" w:rsidP="00FF1E38">
      <w:pPr>
        <w:spacing w:after="0" w:line="240" w:lineRule="auto"/>
        <w:ind w:left="0" w:right="0" w:firstLine="0"/>
        <w:jc w:val="center"/>
        <w:rPr>
          <w:rFonts w:ascii="Times New Roman" w:eastAsia="Calibri" w:hAnsi="Times New Roman" w:cs="Times New Roman"/>
          <w:i/>
          <w:sz w:val="20"/>
          <w:szCs w:val="20"/>
        </w:rPr>
      </w:pPr>
      <w:r w:rsidRPr="00FF1E38">
        <w:rPr>
          <w:rFonts w:ascii="Times New Roman" w:eastAsia="Calibri" w:hAnsi="Times New Roman" w:cs="Times New Roman"/>
          <w:i/>
          <w:sz w:val="20"/>
          <w:szCs w:val="20"/>
        </w:rPr>
        <w:t>Izvor: Statistički ljetopis Grada Zagreba</w:t>
      </w:r>
    </w:p>
    <w:p w14:paraId="16E29202" w14:textId="77777777" w:rsidR="00FF1E38" w:rsidRPr="00FF1E38" w:rsidRDefault="00FF1E38" w:rsidP="00FF1E38">
      <w:pPr>
        <w:spacing w:after="0" w:line="240" w:lineRule="auto"/>
        <w:ind w:left="0" w:right="0" w:firstLine="0"/>
        <w:rPr>
          <w:rFonts w:ascii="Times New Roman" w:hAnsi="Times New Roman" w:cs="Times New Roman"/>
          <w:sz w:val="24"/>
        </w:rPr>
      </w:pPr>
    </w:p>
    <w:p w14:paraId="0D08130C" w14:textId="77777777" w:rsidR="00FF1E38" w:rsidRP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sz w:val="24"/>
          <w:u w:val="single"/>
        </w:rPr>
        <w:t>Hidrometeorološki uvjeti</w:t>
      </w:r>
    </w:p>
    <w:p w14:paraId="09CF6F4E"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Prostornu raspodjelu srednje godišnje količine oborina na području Grada Zagreba i Zagrebačke županije karakteriziraju dva dobro odijeljena područja srednjih godišnjih količina oborina. Dijeli ih izohijeta od 1000 mm koja prolazi na sjeveru sjevernim rubom granice Grada Zagreba, zatim se spušta njegovom zapadnom granicom i tada skreće prema zapadu južnom stranom Samoborskog gorja. Istočno i južno od ove linije je orografski niže područje (0-200 m nadmorske visine) sa srednjim godišnjim količinama oborine od 800 do 1000 mm, a sjeverni rub Lonjskog polja ima i manje količine oborine od 700 do 800 mm godišnje. Zapadno od izohijete 1000 mm nalazi se orografski razvijenije područje Medvednice, Samoborskog gorja i Žumberka s količinama oborine pretežno između 1000 i 1250 mm na visinama od 100 do 700 m. Podaci s meteorološke postaje Puntijarka indikator su da na vršnim dijelovima Medvednice količine oborine mogu biti i veće od 1250 mm.</w:t>
      </w:r>
    </w:p>
    <w:p w14:paraId="75EDC2CC" w14:textId="4BBE0837" w:rsidR="00FF1E38" w:rsidRPr="00FF1E38" w:rsidRDefault="00FF1E38" w:rsidP="00FF1E38">
      <w:pPr>
        <w:spacing w:after="0" w:line="240" w:lineRule="auto"/>
        <w:ind w:left="0" w:right="0" w:firstLine="709"/>
        <w:rPr>
          <w:rFonts w:ascii="Times New Roman" w:hAnsi="Times New Roman" w:cs="Times New Roman"/>
          <w:sz w:val="24"/>
        </w:rPr>
      </w:pPr>
      <w:r w:rsidRPr="0044237A">
        <w:rPr>
          <w:rFonts w:ascii="Times New Roman" w:hAnsi="Times New Roman" w:cs="Times New Roman"/>
          <w:color w:val="auto"/>
          <w:sz w:val="24"/>
        </w:rPr>
        <w:t xml:space="preserve">U Tablici </w:t>
      </w:r>
      <w:r w:rsidR="0044237A" w:rsidRPr="0044237A">
        <w:rPr>
          <w:rFonts w:ascii="Times New Roman" w:hAnsi="Times New Roman" w:cs="Times New Roman"/>
          <w:color w:val="auto"/>
          <w:sz w:val="24"/>
        </w:rPr>
        <w:t>63</w:t>
      </w:r>
      <w:r w:rsidRPr="0044237A">
        <w:rPr>
          <w:rFonts w:ascii="Times New Roman" w:hAnsi="Times New Roman" w:cs="Times New Roman"/>
          <w:color w:val="auto"/>
          <w:sz w:val="24"/>
        </w:rPr>
        <w:t xml:space="preserve">. prikazan je hod količine oborina na postaji Zagreb - Grič za razdoblje od </w:t>
      </w:r>
      <w:r w:rsidRPr="00FF1E38">
        <w:rPr>
          <w:rFonts w:ascii="Times New Roman" w:hAnsi="Times New Roman" w:cs="Times New Roman"/>
          <w:sz w:val="24"/>
        </w:rPr>
        <w:t>1961. do 1990. te za 2016. i 2017. godinu.</w:t>
      </w:r>
    </w:p>
    <w:p w14:paraId="4EA2D4D7" w14:textId="55348D78" w:rsidR="00FF1E38" w:rsidRPr="0044237A" w:rsidRDefault="00FF1E38" w:rsidP="00571A98">
      <w:pPr>
        <w:spacing w:line="240" w:lineRule="auto"/>
        <w:ind w:left="0" w:right="0" w:firstLine="0"/>
        <w:jc w:val="center"/>
        <w:rPr>
          <w:rFonts w:ascii="Times New Roman" w:hAnsi="Times New Roman" w:cs="Times New Roman"/>
          <w:b/>
          <w:color w:val="auto"/>
          <w:sz w:val="24"/>
        </w:rPr>
      </w:pPr>
      <w:r w:rsidRPr="0044237A">
        <w:rPr>
          <w:rFonts w:ascii="Times New Roman" w:hAnsi="Times New Roman" w:cs="Times New Roman"/>
          <w:b/>
          <w:color w:val="auto"/>
          <w:sz w:val="24"/>
        </w:rPr>
        <w:t xml:space="preserve">Tablica </w:t>
      </w:r>
      <w:r w:rsidR="0044237A" w:rsidRPr="0044237A">
        <w:rPr>
          <w:rFonts w:ascii="Times New Roman" w:hAnsi="Times New Roman" w:cs="Times New Roman"/>
          <w:b/>
          <w:color w:val="auto"/>
          <w:sz w:val="24"/>
        </w:rPr>
        <w:t>64</w:t>
      </w:r>
      <w:r w:rsidRPr="0044237A">
        <w:rPr>
          <w:rFonts w:ascii="Times New Roman" w:hAnsi="Times New Roman" w:cs="Times New Roman"/>
          <w:b/>
          <w:color w:val="auto"/>
          <w:sz w:val="24"/>
        </w:rPr>
        <w:t>. Hod količine oborina za razdoblje od 1961. do 1990., i za 2015. i 2016. godinu</w:t>
      </w:r>
    </w:p>
    <w:tbl>
      <w:tblPr>
        <w:tblStyle w:val="TableGrid"/>
        <w:tblW w:w="9072" w:type="dxa"/>
        <w:tblInd w:w="0" w:type="dxa"/>
        <w:tblLayout w:type="fixed"/>
        <w:tblCellMar>
          <w:left w:w="57" w:type="dxa"/>
          <w:right w:w="57" w:type="dxa"/>
        </w:tblCellMar>
        <w:tblLook w:val="04A0" w:firstRow="1" w:lastRow="0" w:firstColumn="1" w:lastColumn="0" w:noHBand="0" w:noVBand="1"/>
      </w:tblPr>
      <w:tblGrid>
        <w:gridCol w:w="750"/>
        <w:gridCol w:w="750"/>
        <w:gridCol w:w="750"/>
        <w:gridCol w:w="751"/>
        <w:gridCol w:w="751"/>
        <w:gridCol w:w="751"/>
        <w:gridCol w:w="751"/>
        <w:gridCol w:w="751"/>
        <w:gridCol w:w="751"/>
        <w:gridCol w:w="751"/>
        <w:gridCol w:w="751"/>
        <w:gridCol w:w="814"/>
      </w:tblGrid>
      <w:tr w:rsidR="00FF1E38" w:rsidRPr="00FF1E38" w14:paraId="3D200AD0" w14:textId="77777777" w:rsidTr="00DE0C9A">
        <w:trPr>
          <w:cantSplit/>
          <w:tblHeader/>
        </w:trPr>
        <w:tc>
          <w:tcPr>
            <w:tcW w:w="750" w:type="dxa"/>
            <w:tcBorders>
              <w:top w:val="single" w:sz="2" w:space="0" w:color="000000"/>
              <w:left w:val="single" w:sz="2" w:space="0" w:color="000000"/>
              <w:bottom w:val="single" w:sz="2" w:space="0" w:color="000000"/>
              <w:right w:val="single" w:sz="2" w:space="0" w:color="000000"/>
            </w:tcBorders>
            <w:shd w:val="clear" w:color="auto" w:fill="FFC000"/>
            <w:vAlign w:val="center"/>
          </w:tcPr>
          <w:p w14:paraId="4F07AD55"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b/>
                <w:sz w:val="18"/>
                <w:szCs w:val="18"/>
              </w:rPr>
              <w:t>siječanj</w:t>
            </w:r>
          </w:p>
        </w:tc>
        <w:tc>
          <w:tcPr>
            <w:tcW w:w="750" w:type="dxa"/>
            <w:tcBorders>
              <w:top w:val="single" w:sz="2" w:space="0" w:color="000000"/>
              <w:left w:val="single" w:sz="2" w:space="0" w:color="000000"/>
              <w:bottom w:val="single" w:sz="2" w:space="0" w:color="000000"/>
              <w:right w:val="single" w:sz="2" w:space="0" w:color="000000"/>
            </w:tcBorders>
            <w:shd w:val="clear" w:color="auto" w:fill="FFC000"/>
            <w:vAlign w:val="center"/>
          </w:tcPr>
          <w:p w14:paraId="74916500"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b/>
                <w:sz w:val="18"/>
                <w:szCs w:val="18"/>
              </w:rPr>
              <w:t>veljača</w:t>
            </w:r>
          </w:p>
        </w:tc>
        <w:tc>
          <w:tcPr>
            <w:tcW w:w="750" w:type="dxa"/>
            <w:tcBorders>
              <w:top w:val="single" w:sz="2" w:space="0" w:color="000000"/>
              <w:left w:val="single" w:sz="2" w:space="0" w:color="000000"/>
              <w:bottom w:val="single" w:sz="2" w:space="0" w:color="000000"/>
              <w:right w:val="single" w:sz="2" w:space="0" w:color="000000"/>
            </w:tcBorders>
            <w:shd w:val="clear" w:color="auto" w:fill="FFC000"/>
            <w:vAlign w:val="center"/>
          </w:tcPr>
          <w:p w14:paraId="08DCAA03"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b/>
                <w:sz w:val="18"/>
                <w:szCs w:val="18"/>
              </w:rPr>
              <w:t>ožujak</w:t>
            </w:r>
          </w:p>
        </w:tc>
        <w:tc>
          <w:tcPr>
            <w:tcW w:w="751" w:type="dxa"/>
            <w:tcBorders>
              <w:top w:val="single" w:sz="2" w:space="0" w:color="000000"/>
              <w:left w:val="single" w:sz="2" w:space="0" w:color="000000"/>
              <w:bottom w:val="single" w:sz="2" w:space="0" w:color="000000"/>
              <w:right w:val="single" w:sz="2" w:space="0" w:color="000000"/>
            </w:tcBorders>
            <w:shd w:val="clear" w:color="auto" w:fill="FFC000"/>
            <w:vAlign w:val="center"/>
          </w:tcPr>
          <w:p w14:paraId="1472F60E"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b/>
                <w:sz w:val="18"/>
                <w:szCs w:val="18"/>
              </w:rPr>
              <w:t>travanj</w:t>
            </w:r>
          </w:p>
        </w:tc>
        <w:tc>
          <w:tcPr>
            <w:tcW w:w="751" w:type="dxa"/>
            <w:tcBorders>
              <w:top w:val="single" w:sz="2" w:space="0" w:color="000000"/>
              <w:left w:val="single" w:sz="2" w:space="0" w:color="000000"/>
              <w:bottom w:val="single" w:sz="2" w:space="0" w:color="000000"/>
              <w:right w:val="single" w:sz="2" w:space="0" w:color="000000"/>
            </w:tcBorders>
            <w:shd w:val="clear" w:color="auto" w:fill="FFC000"/>
            <w:vAlign w:val="center"/>
          </w:tcPr>
          <w:p w14:paraId="19563D12"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b/>
                <w:sz w:val="18"/>
                <w:szCs w:val="18"/>
              </w:rPr>
              <w:t>svibanj</w:t>
            </w:r>
          </w:p>
        </w:tc>
        <w:tc>
          <w:tcPr>
            <w:tcW w:w="751" w:type="dxa"/>
            <w:tcBorders>
              <w:top w:val="single" w:sz="2" w:space="0" w:color="000000"/>
              <w:left w:val="single" w:sz="2" w:space="0" w:color="000000"/>
              <w:bottom w:val="single" w:sz="2" w:space="0" w:color="000000"/>
              <w:right w:val="single" w:sz="2" w:space="0" w:color="000000"/>
            </w:tcBorders>
            <w:shd w:val="clear" w:color="auto" w:fill="FFC000"/>
            <w:vAlign w:val="center"/>
          </w:tcPr>
          <w:p w14:paraId="1C71A80B"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b/>
                <w:sz w:val="18"/>
                <w:szCs w:val="18"/>
              </w:rPr>
              <w:t>lipanj</w:t>
            </w:r>
          </w:p>
        </w:tc>
        <w:tc>
          <w:tcPr>
            <w:tcW w:w="751" w:type="dxa"/>
            <w:tcBorders>
              <w:top w:val="single" w:sz="2" w:space="0" w:color="000000"/>
              <w:left w:val="single" w:sz="2" w:space="0" w:color="000000"/>
              <w:bottom w:val="single" w:sz="2" w:space="0" w:color="000000"/>
              <w:right w:val="single" w:sz="2" w:space="0" w:color="000000"/>
            </w:tcBorders>
            <w:shd w:val="clear" w:color="auto" w:fill="FFC000"/>
            <w:vAlign w:val="center"/>
          </w:tcPr>
          <w:p w14:paraId="4F4872EE"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b/>
                <w:sz w:val="18"/>
                <w:szCs w:val="18"/>
              </w:rPr>
              <w:t>srpanj</w:t>
            </w:r>
          </w:p>
        </w:tc>
        <w:tc>
          <w:tcPr>
            <w:tcW w:w="751" w:type="dxa"/>
            <w:tcBorders>
              <w:top w:val="single" w:sz="2" w:space="0" w:color="000000"/>
              <w:left w:val="single" w:sz="2" w:space="0" w:color="000000"/>
              <w:bottom w:val="single" w:sz="2" w:space="0" w:color="000000"/>
              <w:right w:val="single" w:sz="2" w:space="0" w:color="000000"/>
            </w:tcBorders>
            <w:shd w:val="clear" w:color="auto" w:fill="FFC000"/>
            <w:vAlign w:val="center"/>
          </w:tcPr>
          <w:p w14:paraId="296DF27F"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b/>
                <w:sz w:val="18"/>
                <w:szCs w:val="18"/>
              </w:rPr>
              <w:t>kolovoz</w:t>
            </w:r>
          </w:p>
        </w:tc>
        <w:tc>
          <w:tcPr>
            <w:tcW w:w="751" w:type="dxa"/>
            <w:tcBorders>
              <w:top w:val="single" w:sz="2" w:space="0" w:color="000000"/>
              <w:left w:val="single" w:sz="2" w:space="0" w:color="000000"/>
              <w:bottom w:val="single" w:sz="2" w:space="0" w:color="000000"/>
              <w:right w:val="single" w:sz="2" w:space="0" w:color="000000"/>
            </w:tcBorders>
            <w:shd w:val="clear" w:color="auto" w:fill="FFC000"/>
            <w:vAlign w:val="center"/>
          </w:tcPr>
          <w:p w14:paraId="79FCCA66"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b/>
                <w:sz w:val="18"/>
                <w:szCs w:val="18"/>
              </w:rPr>
              <w:t>rujan</w:t>
            </w:r>
          </w:p>
        </w:tc>
        <w:tc>
          <w:tcPr>
            <w:tcW w:w="751" w:type="dxa"/>
            <w:tcBorders>
              <w:top w:val="single" w:sz="2" w:space="0" w:color="000000"/>
              <w:left w:val="single" w:sz="2" w:space="0" w:color="000000"/>
              <w:bottom w:val="single" w:sz="2" w:space="0" w:color="000000"/>
              <w:right w:val="single" w:sz="2" w:space="0" w:color="000000"/>
            </w:tcBorders>
            <w:shd w:val="clear" w:color="auto" w:fill="FFC000"/>
            <w:vAlign w:val="center"/>
          </w:tcPr>
          <w:p w14:paraId="71EDAA35"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b/>
                <w:sz w:val="18"/>
                <w:szCs w:val="18"/>
              </w:rPr>
              <w:t>listopad</w:t>
            </w:r>
          </w:p>
        </w:tc>
        <w:tc>
          <w:tcPr>
            <w:tcW w:w="751" w:type="dxa"/>
            <w:tcBorders>
              <w:top w:val="single" w:sz="2" w:space="0" w:color="000000"/>
              <w:left w:val="single" w:sz="2" w:space="0" w:color="000000"/>
              <w:bottom w:val="single" w:sz="2" w:space="0" w:color="000000"/>
              <w:right w:val="single" w:sz="2" w:space="0" w:color="000000"/>
            </w:tcBorders>
            <w:shd w:val="clear" w:color="auto" w:fill="FFC000"/>
            <w:vAlign w:val="center"/>
          </w:tcPr>
          <w:p w14:paraId="45A79689"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b/>
                <w:sz w:val="18"/>
                <w:szCs w:val="18"/>
              </w:rPr>
              <w:t>studeni</w:t>
            </w:r>
          </w:p>
        </w:tc>
        <w:tc>
          <w:tcPr>
            <w:tcW w:w="814" w:type="dxa"/>
            <w:tcBorders>
              <w:top w:val="single" w:sz="2" w:space="0" w:color="000000"/>
              <w:left w:val="single" w:sz="2" w:space="0" w:color="000000"/>
              <w:bottom w:val="single" w:sz="2" w:space="0" w:color="000000"/>
              <w:right w:val="single" w:sz="2" w:space="0" w:color="000000"/>
            </w:tcBorders>
            <w:shd w:val="clear" w:color="auto" w:fill="FFC000"/>
            <w:vAlign w:val="center"/>
          </w:tcPr>
          <w:p w14:paraId="4946D32C"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b/>
                <w:sz w:val="18"/>
                <w:szCs w:val="18"/>
              </w:rPr>
              <w:t>prosinac</w:t>
            </w:r>
          </w:p>
        </w:tc>
      </w:tr>
      <w:tr w:rsidR="00FF1E38" w:rsidRPr="00FF1E38" w14:paraId="1D5977FD" w14:textId="77777777" w:rsidTr="00DE0C9A">
        <w:trPr>
          <w:cantSplit/>
        </w:trPr>
        <w:tc>
          <w:tcPr>
            <w:tcW w:w="9072" w:type="dxa"/>
            <w:gridSpan w:val="12"/>
            <w:tcBorders>
              <w:top w:val="single" w:sz="2" w:space="0" w:color="000000"/>
              <w:left w:val="single" w:sz="2" w:space="0" w:color="000000"/>
              <w:bottom w:val="single" w:sz="2" w:space="0" w:color="000000"/>
              <w:right w:val="single" w:sz="2" w:space="0" w:color="000000"/>
            </w:tcBorders>
            <w:shd w:val="clear" w:color="auto" w:fill="FFC000"/>
            <w:vAlign w:val="center"/>
          </w:tcPr>
          <w:p w14:paraId="114BA083"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b/>
                <w:sz w:val="18"/>
                <w:szCs w:val="18"/>
              </w:rPr>
              <w:t>1961. - 1990.</w:t>
            </w:r>
          </w:p>
        </w:tc>
      </w:tr>
      <w:tr w:rsidR="00FF1E38" w:rsidRPr="00FF1E38" w14:paraId="45B9DC8C" w14:textId="77777777" w:rsidTr="00DE0C9A">
        <w:trPr>
          <w:cantSplit/>
        </w:trPr>
        <w:tc>
          <w:tcPr>
            <w:tcW w:w="750" w:type="dxa"/>
            <w:tcBorders>
              <w:top w:val="single" w:sz="2" w:space="0" w:color="000000"/>
              <w:left w:val="single" w:sz="2" w:space="0" w:color="000000"/>
              <w:bottom w:val="single" w:sz="2" w:space="0" w:color="000000"/>
              <w:right w:val="single" w:sz="2" w:space="0" w:color="000000"/>
            </w:tcBorders>
            <w:vAlign w:val="center"/>
          </w:tcPr>
          <w:p w14:paraId="0C5CF9CF"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46,4</w:t>
            </w:r>
          </w:p>
        </w:tc>
        <w:tc>
          <w:tcPr>
            <w:tcW w:w="750" w:type="dxa"/>
            <w:tcBorders>
              <w:top w:val="single" w:sz="2" w:space="0" w:color="000000"/>
              <w:left w:val="single" w:sz="2" w:space="0" w:color="000000"/>
              <w:bottom w:val="single" w:sz="2" w:space="0" w:color="000000"/>
              <w:right w:val="single" w:sz="2" w:space="0" w:color="000000"/>
            </w:tcBorders>
            <w:vAlign w:val="center"/>
          </w:tcPr>
          <w:p w14:paraId="65E825F5"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42,0</w:t>
            </w:r>
          </w:p>
        </w:tc>
        <w:tc>
          <w:tcPr>
            <w:tcW w:w="750" w:type="dxa"/>
            <w:tcBorders>
              <w:top w:val="single" w:sz="2" w:space="0" w:color="000000"/>
              <w:left w:val="single" w:sz="2" w:space="0" w:color="000000"/>
              <w:bottom w:val="single" w:sz="2" w:space="0" w:color="000000"/>
              <w:right w:val="single" w:sz="2" w:space="0" w:color="000000"/>
            </w:tcBorders>
            <w:vAlign w:val="center"/>
          </w:tcPr>
          <w:p w14:paraId="160504D8"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55,8</w:t>
            </w:r>
          </w:p>
        </w:tc>
        <w:tc>
          <w:tcPr>
            <w:tcW w:w="751" w:type="dxa"/>
            <w:tcBorders>
              <w:top w:val="single" w:sz="2" w:space="0" w:color="000000"/>
              <w:left w:val="single" w:sz="2" w:space="0" w:color="000000"/>
              <w:bottom w:val="single" w:sz="2" w:space="0" w:color="000000"/>
              <w:right w:val="single" w:sz="2" w:space="0" w:color="000000"/>
            </w:tcBorders>
            <w:vAlign w:val="center"/>
          </w:tcPr>
          <w:p w14:paraId="599787F7"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63,6</w:t>
            </w:r>
          </w:p>
        </w:tc>
        <w:tc>
          <w:tcPr>
            <w:tcW w:w="751" w:type="dxa"/>
            <w:tcBorders>
              <w:top w:val="single" w:sz="2" w:space="0" w:color="000000"/>
              <w:left w:val="single" w:sz="2" w:space="0" w:color="000000"/>
              <w:bottom w:val="single" w:sz="2" w:space="0" w:color="000000"/>
              <w:right w:val="single" w:sz="2" w:space="0" w:color="000000"/>
            </w:tcBorders>
            <w:vAlign w:val="center"/>
          </w:tcPr>
          <w:p w14:paraId="25480319"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78,7</w:t>
            </w:r>
          </w:p>
        </w:tc>
        <w:tc>
          <w:tcPr>
            <w:tcW w:w="751" w:type="dxa"/>
            <w:tcBorders>
              <w:top w:val="single" w:sz="2" w:space="0" w:color="000000"/>
              <w:left w:val="single" w:sz="2" w:space="0" w:color="000000"/>
              <w:bottom w:val="single" w:sz="2" w:space="0" w:color="000000"/>
              <w:right w:val="single" w:sz="2" w:space="0" w:color="000000"/>
            </w:tcBorders>
            <w:vAlign w:val="center"/>
          </w:tcPr>
          <w:p w14:paraId="56AB8CEE"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100,1</w:t>
            </w:r>
          </w:p>
        </w:tc>
        <w:tc>
          <w:tcPr>
            <w:tcW w:w="751" w:type="dxa"/>
            <w:tcBorders>
              <w:top w:val="single" w:sz="2" w:space="0" w:color="000000"/>
              <w:left w:val="single" w:sz="2" w:space="0" w:color="000000"/>
              <w:bottom w:val="single" w:sz="2" w:space="0" w:color="000000"/>
              <w:right w:val="single" w:sz="2" w:space="0" w:color="000000"/>
            </w:tcBorders>
            <w:vAlign w:val="center"/>
          </w:tcPr>
          <w:p w14:paraId="0E4A5ECE"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83,4</w:t>
            </w:r>
          </w:p>
        </w:tc>
        <w:tc>
          <w:tcPr>
            <w:tcW w:w="751" w:type="dxa"/>
            <w:tcBorders>
              <w:top w:val="single" w:sz="2" w:space="0" w:color="000000"/>
              <w:left w:val="single" w:sz="2" w:space="0" w:color="000000"/>
              <w:bottom w:val="single" w:sz="2" w:space="0" w:color="000000"/>
              <w:right w:val="single" w:sz="2" w:space="0" w:color="000000"/>
            </w:tcBorders>
            <w:vAlign w:val="center"/>
          </w:tcPr>
          <w:p w14:paraId="5623BE3B"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94,6</w:t>
            </w:r>
          </w:p>
        </w:tc>
        <w:tc>
          <w:tcPr>
            <w:tcW w:w="751" w:type="dxa"/>
            <w:tcBorders>
              <w:top w:val="single" w:sz="2" w:space="0" w:color="000000"/>
              <w:left w:val="single" w:sz="2" w:space="0" w:color="000000"/>
              <w:bottom w:val="single" w:sz="2" w:space="0" w:color="000000"/>
              <w:right w:val="single" w:sz="2" w:space="0" w:color="000000"/>
            </w:tcBorders>
            <w:vAlign w:val="center"/>
          </w:tcPr>
          <w:p w14:paraId="3445BC85"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79,3</w:t>
            </w:r>
          </w:p>
        </w:tc>
        <w:tc>
          <w:tcPr>
            <w:tcW w:w="751" w:type="dxa"/>
            <w:tcBorders>
              <w:top w:val="single" w:sz="2" w:space="0" w:color="000000"/>
              <w:left w:val="single" w:sz="2" w:space="0" w:color="000000"/>
              <w:bottom w:val="single" w:sz="2" w:space="0" w:color="000000"/>
              <w:right w:val="single" w:sz="2" w:space="0" w:color="000000"/>
            </w:tcBorders>
            <w:vAlign w:val="center"/>
          </w:tcPr>
          <w:p w14:paraId="725E010C"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69,2</w:t>
            </w:r>
          </w:p>
        </w:tc>
        <w:tc>
          <w:tcPr>
            <w:tcW w:w="751" w:type="dxa"/>
            <w:tcBorders>
              <w:top w:val="single" w:sz="2" w:space="0" w:color="000000"/>
              <w:left w:val="single" w:sz="2" w:space="0" w:color="000000"/>
              <w:bottom w:val="single" w:sz="2" w:space="0" w:color="000000"/>
              <w:right w:val="single" w:sz="2" w:space="0" w:color="000000"/>
            </w:tcBorders>
            <w:vAlign w:val="center"/>
          </w:tcPr>
          <w:p w14:paraId="1B5B152F"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81,2</w:t>
            </w:r>
          </w:p>
        </w:tc>
        <w:tc>
          <w:tcPr>
            <w:tcW w:w="814" w:type="dxa"/>
            <w:tcBorders>
              <w:top w:val="single" w:sz="2" w:space="0" w:color="000000"/>
              <w:left w:val="single" w:sz="2" w:space="0" w:color="000000"/>
              <w:bottom w:val="single" w:sz="2" w:space="0" w:color="000000"/>
              <w:right w:val="single" w:sz="2" w:space="0" w:color="000000"/>
            </w:tcBorders>
            <w:vAlign w:val="center"/>
          </w:tcPr>
          <w:p w14:paraId="10486E3D"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58,0</w:t>
            </w:r>
          </w:p>
        </w:tc>
      </w:tr>
      <w:tr w:rsidR="00FF1E38" w:rsidRPr="00FF1E38" w14:paraId="15E1A919" w14:textId="77777777" w:rsidTr="00DE0C9A">
        <w:trPr>
          <w:cantSplit/>
        </w:trPr>
        <w:tc>
          <w:tcPr>
            <w:tcW w:w="9072" w:type="dxa"/>
            <w:gridSpan w:val="12"/>
            <w:tcBorders>
              <w:top w:val="single" w:sz="2" w:space="0" w:color="000000"/>
              <w:left w:val="single" w:sz="2" w:space="0" w:color="000000"/>
              <w:bottom w:val="single" w:sz="2" w:space="0" w:color="000000"/>
              <w:right w:val="single" w:sz="2" w:space="0" w:color="000000"/>
            </w:tcBorders>
            <w:shd w:val="clear" w:color="auto" w:fill="FFC000"/>
            <w:vAlign w:val="center"/>
          </w:tcPr>
          <w:p w14:paraId="064EBE28"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b/>
                <w:sz w:val="18"/>
                <w:szCs w:val="18"/>
              </w:rPr>
              <w:t>2015.</w:t>
            </w:r>
          </w:p>
        </w:tc>
      </w:tr>
      <w:tr w:rsidR="00FF1E38" w:rsidRPr="00FF1E38" w14:paraId="643E7DC3" w14:textId="77777777" w:rsidTr="00DE0C9A">
        <w:trPr>
          <w:cantSplit/>
        </w:trPr>
        <w:tc>
          <w:tcPr>
            <w:tcW w:w="750" w:type="dxa"/>
            <w:tcBorders>
              <w:top w:val="single" w:sz="2" w:space="0" w:color="000000"/>
              <w:left w:val="single" w:sz="2" w:space="0" w:color="000000"/>
              <w:bottom w:val="single" w:sz="2" w:space="0" w:color="000000"/>
              <w:right w:val="single" w:sz="2" w:space="0" w:color="000000"/>
            </w:tcBorders>
            <w:vAlign w:val="center"/>
          </w:tcPr>
          <w:p w14:paraId="0D20F023"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51,2</w:t>
            </w:r>
          </w:p>
        </w:tc>
        <w:tc>
          <w:tcPr>
            <w:tcW w:w="750" w:type="dxa"/>
            <w:tcBorders>
              <w:top w:val="single" w:sz="2" w:space="0" w:color="000000"/>
              <w:left w:val="single" w:sz="2" w:space="0" w:color="000000"/>
              <w:bottom w:val="single" w:sz="2" w:space="0" w:color="000000"/>
              <w:right w:val="single" w:sz="2" w:space="0" w:color="000000"/>
            </w:tcBorders>
            <w:vAlign w:val="center"/>
          </w:tcPr>
          <w:p w14:paraId="43A93034"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61,5</w:t>
            </w:r>
          </w:p>
        </w:tc>
        <w:tc>
          <w:tcPr>
            <w:tcW w:w="750" w:type="dxa"/>
            <w:tcBorders>
              <w:top w:val="single" w:sz="2" w:space="0" w:color="000000"/>
              <w:left w:val="single" w:sz="2" w:space="0" w:color="000000"/>
              <w:bottom w:val="single" w:sz="2" w:space="0" w:color="000000"/>
              <w:right w:val="single" w:sz="2" w:space="0" w:color="000000"/>
            </w:tcBorders>
            <w:vAlign w:val="center"/>
          </w:tcPr>
          <w:p w14:paraId="4CAB0B4A"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22,8</w:t>
            </w:r>
          </w:p>
        </w:tc>
        <w:tc>
          <w:tcPr>
            <w:tcW w:w="751" w:type="dxa"/>
            <w:tcBorders>
              <w:top w:val="single" w:sz="2" w:space="0" w:color="000000"/>
              <w:left w:val="single" w:sz="2" w:space="0" w:color="000000"/>
              <w:bottom w:val="single" w:sz="2" w:space="0" w:color="000000"/>
              <w:right w:val="single" w:sz="2" w:space="0" w:color="000000"/>
            </w:tcBorders>
            <w:vAlign w:val="center"/>
          </w:tcPr>
          <w:p w14:paraId="58DCEBE6"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24,4</w:t>
            </w:r>
          </w:p>
        </w:tc>
        <w:tc>
          <w:tcPr>
            <w:tcW w:w="751" w:type="dxa"/>
            <w:tcBorders>
              <w:top w:val="single" w:sz="2" w:space="0" w:color="000000"/>
              <w:left w:val="single" w:sz="2" w:space="0" w:color="000000"/>
              <w:bottom w:val="single" w:sz="2" w:space="0" w:color="000000"/>
              <w:right w:val="single" w:sz="2" w:space="0" w:color="000000"/>
            </w:tcBorders>
            <w:vAlign w:val="center"/>
          </w:tcPr>
          <w:p w14:paraId="2E52C47A"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121,5</w:t>
            </w:r>
          </w:p>
        </w:tc>
        <w:tc>
          <w:tcPr>
            <w:tcW w:w="751" w:type="dxa"/>
            <w:tcBorders>
              <w:top w:val="single" w:sz="2" w:space="0" w:color="000000"/>
              <w:left w:val="single" w:sz="2" w:space="0" w:color="000000"/>
              <w:bottom w:val="single" w:sz="2" w:space="0" w:color="000000"/>
              <w:right w:val="single" w:sz="2" w:space="0" w:color="000000"/>
            </w:tcBorders>
            <w:vAlign w:val="center"/>
          </w:tcPr>
          <w:p w14:paraId="384841B4"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64,6</w:t>
            </w:r>
          </w:p>
        </w:tc>
        <w:tc>
          <w:tcPr>
            <w:tcW w:w="751" w:type="dxa"/>
            <w:tcBorders>
              <w:top w:val="single" w:sz="2" w:space="0" w:color="000000"/>
              <w:left w:val="single" w:sz="2" w:space="0" w:color="000000"/>
              <w:bottom w:val="single" w:sz="2" w:space="0" w:color="000000"/>
              <w:right w:val="single" w:sz="2" w:space="0" w:color="000000"/>
            </w:tcBorders>
            <w:vAlign w:val="center"/>
          </w:tcPr>
          <w:p w14:paraId="470D77DF"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74,4</w:t>
            </w:r>
          </w:p>
        </w:tc>
        <w:tc>
          <w:tcPr>
            <w:tcW w:w="751" w:type="dxa"/>
            <w:tcBorders>
              <w:top w:val="single" w:sz="2" w:space="0" w:color="000000"/>
              <w:left w:val="single" w:sz="2" w:space="0" w:color="000000"/>
              <w:bottom w:val="single" w:sz="2" w:space="0" w:color="000000"/>
              <w:right w:val="single" w:sz="2" w:space="0" w:color="000000"/>
            </w:tcBorders>
            <w:vAlign w:val="center"/>
          </w:tcPr>
          <w:p w14:paraId="6ABC8BE9"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75,2</w:t>
            </w:r>
          </w:p>
        </w:tc>
        <w:tc>
          <w:tcPr>
            <w:tcW w:w="751" w:type="dxa"/>
            <w:tcBorders>
              <w:top w:val="single" w:sz="2" w:space="0" w:color="000000"/>
              <w:left w:val="single" w:sz="2" w:space="0" w:color="000000"/>
              <w:bottom w:val="single" w:sz="2" w:space="0" w:color="000000"/>
              <w:right w:val="single" w:sz="2" w:space="0" w:color="000000"/>
            </w:tcBorders>
            <w:vAlign w:val="center"/>
          </w:tcPr>
          <w:p w14:paraId="5E506B0B"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95,6</w:t>
            </w:r>
          </w:p>
        </w:tc>
        <w:tc>
          <w:tcPr>
            <w:tcW w:w="751" w:type="dxa"/>
            <w:tcBorders>
              <w:top w:val="single" w:sz="2" w:space="0" w:color="000000"/>
              <w:left w:val="single" w:sz="2" w:space="0" w:color="000000"/>
              <w:bottom w:val="single" w:sz="2" w:space="0" w:color="000000"/>
              <w:right w:val="single" w:sz="2" w:space="0" w:color="000000"/>
            </w:tcBorders>
            <w:vAlign w:val="center"/>
          </w:tcPr>
          <w:p w14:paraId="4E27796F"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191,7</w:t>
            </w:r>
          </w:p>
        </w:tc>
        <w:tc>
          <w:tcPr>
            <w:tcW w:w="751" w:type="dxa"/>
            <w:tcBorders>
              <w:top w:val="single" w:sz="2" w:space="0" w:color="000000"/>
              <w:left w:val="single" w:sz="2" w:space="0" w:color="000000"/>
              <w:bottom w:val="single" w:sz="2" w:space="0" w:color="000000"/>
              <w:right w:val="single" w:sz="2" w:space="0" w:color="000000"/>
            </w:tcBorders>
            <w:vAlign w:val="center"/>
          </w:tcPr>
          <w:p w14:paraId="5B6A7B81"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40,7</w:t>
            </w:r>
          </w:p>
        </w:tc>
        <w:tc>
          <w:tcPr>
            <w:tcW w:w="814" w:type="dxa"/>
            <w:tcBorders>
              <w:top w:val="single" w:sz="2" w:space="0" w:color="000000"/>
              <w:left w:val="single" w:sz="2" w:space="0" w:color="000000"/>
              <w:bottom w:val="single" w:sz="2" w:space="0" w:color="000000"/>
              <w:right w:val="single" w:sz="2" w:space="0" w:color="000000"/>
            </w:tcBorders>
            <w:vAlign w:val="center"/>
          </w:tcPr>
          <w:p w14:paraId="1F10D816"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0,3</w:t>
            </w:r>
          </w:p>
        </w:tc>
      </w:tr>
      <w:tr w:rsidR="00FF1E38" w:rsidRPr="00FF1E38" w14:paraId="52B6B0E8" w14:textId="77777777" w:rsidTr="00DE0C9A">
        <w:trPr>
          <w:cantSplit/>
        </w:trPr>
        <w:tc>
          <w:tcPr>
            <w:tcW w:w="9072" w:type="dxa"/>
            <w:gridSpan w:val="12"/>
            <w:tcBorders>
              <w:top w:val="single" w:sz="2" w:space="0" w:color="000000"/>
              <w:left w:val="single" w:sz="2" w:space="0" w:color="000000"/>
              <w:bottom w:val="single" w:sz="2" w:space="0" w:color="000000"/>
              <w:right w:val="single" w:sz="2" w:space="0" w:color="000000"/>
            </w:tcBorders>
            <w:shd w:val="clear" w:color="auto" w:fill="FFC000"/>
            <w:vAlign w:val="center"/>
          </w:tcPr>
          <w:p w14:paraId="4C6B7D67"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b/>
                <w:sz w:val="18"/>
                <w:szCs w:val="18"/>
              </w:rPr>
              <w:t>2016.</w:t>
            </w:r>
          </w:p>
        </w:tc>
      </w:tr>
      <w:tr w:rsidR="00FF1E38" w:rsidRPr="00FF1E38" w14:paraId="0978B8E3" w14:textId="77777777" w:rsidTr="00DE0C9A">
        <w:trPr>
          <w:cantSplit/>
        </w:trPr>
        <w:tc>
          <w:tcPr>
            <w:tcW w:w="750" w:type="dxa"/>
            <w:tcBorders>
              <w:top w:val="single" w:sz="2" w:space="0" w:color="000000"/>
              <w:left w:val="single" w:sz="2" w:space="0" w:color="000000"/>
              <w:bottom w:val="single" w:sz="2" w:space="0" w:color="000000"/>
              <w:right w:val="single" w:sz="2" w:space="0" w:color="000000"/>
            </w:tcBorders>
            <w:vAlign w:val="center"/>
          </w:tcPr>
          <w:p w14:paraId="45ADA1FA"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67,9</w:t>
            </w:r>
          </w:p>
        </w:tc>
        <w:tc>
          <w:tcPr>
            <w:tcW w:w="750" w:type="dxa"/>
            <w:tcBorders>
              <w:top w:val="single" w:sz="2" w:space="0" w:color="000000"/>
              <w:left w:val="single" w:sz="2" w:space="0" w:color="000000"/>
              <w:bottom w:val="single" w:sz="2" w:space="0" w:color="000000"/>
              <w:right w:val="single" w:sz="2" w:space="0" w:color="000000"/>
            </w:tcBorders>
            <w:vAlign w:val="center"/>
          </w:tcPr>
          <w:p w14:paraId="312BCAAA"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119,8</w:t>
            </w:r>
          </w:p>
        </w:tc>
        <w:tc>
          <w:tcPr>
            <w:tcW w:w="750" w:type="dxa"/>
            <w:tcBorders>
              <w:top w:val="single" w:sz="2" w:space="0" w:color="000000"/>
              <w:left w:val="single" w:sz="2" w:space="0" w:color="000000"/>
              <w:bottom w:val="single" w:sz="2" w:space="0" w:color="000000"/>
              <w:right w:val="single" w:sz="2" w:space="0" w:color="000000"/>
            </w:tcBorders>
            <w:vAlign w:val="center"/>
          </w:tcPr>
          <w:p w14:paraId="780AA33C"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45,4</w:t>
            </w:r>
          </w:p>
        </w:tc>
        <w:tc>
          <w:tcPr>
            <w:tcW w:w="751" w:type="dxa"/>
            <w:tcBorders>
              <w:top w:val="single" w:sz="2" w:space="0" w:color="000000"/>
              <w:left w:val="single" w:sz="2" w:space="0" w:color="000000"/>
              <w:bottom w:val="single" w:sz="2" w:space="0" w:color="000000"/>
              <w:right w:val="single" w:sz="2" w:space="0" w:color="000000"/>
            </w:tcBorders>
            <w:vAlign w:val="center"/>
          </w:tcPr>
          <w:p w14:paraId="4B253FF0"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47,6</w:t>
            </w:r>
          </w:p>
        </w:tc>
        <w:tc>
          <w:tcPr>
            <w:tcW w:w="751" w:type="dxa"/>
            <w:tcBorders>
              <w:top w:val="single" w:sz="2" w:space="0" w:color="000000"/>
              <w:left w:val="single" w:sz="2" w:space="0" w:color="000000"/>
              <w:bottom w:val="single" w:sz="2" w:space="0" w:color="000000"/>
              <w:right w:val="single" w:sz="2" w:space="0" w:color="000000"/>
            </w:tcBorders>
            <w:vAlign w:val="center"/>
          </w:tcPr>
          <w:p w14:paraId="6F12BFDD"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101,6</w:t>
            </w:r>
          </w:p>
        </w:tc>
        <w:tc>
          <w:tcPr>
            <w:tcW w:w="751" w:type="dxa"/>
            <w:tcBorders>
              <w:top w:val="single" w:sz="2" w:space="0" w:color="000000"/>
              <w:left w:val="single" w:sz="2" w:space="0" w:color="000000"/>
              <w:bottom w:val="single" w:sz="2" w:space="0" w:color="000000"/>
              <w:right w:val="single" w:sz="2" w:space="0" w:color="000000"/>
            </w:tcBorders>
            <w:vAlign w:val="center"/>
          </w:tcPr>
          <w:p w14:paraId="3D576DC8"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138,5</w:t>
            </w:r>
          </w:p>
        </w:tc>
        <w:tc>
          <w:tcPr>
            <w:tcW w:w="751" w:type="dxa"/>
            <w:tcBorders>
              <w:top w:val="single" w:sz="2" w:space="0" w:color="000000"/>
              <w:left w:val="single" w:sz="2" w:space="0" w:color="000000"/>
              <w:bottom w:val="single" w:sz="2" w:space="0" w:color="000000"/>
              <w:right w:val="single" w:sz="2" w:space="0" w:color="000000"/>
            </w:tcBorders>
            <w:vAlign w:val="center"/>
          </w:tcPr>
          <w:p w14:paraId="5E1B6C18"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51,6</w:t>
            </w:r>
          </w:p>
        </w:tc>
        <w:tc>
          <w:tcPr>
            <w:tcW w:w="751" w:type="dxa"/>
            <w:tcBorders>
              <w:top w:val="single" w:sz="2" w:space="0" w:color="000000"/>
              <w:left w:val="single" w:sz="2" w:space="0" w:color="000000"/>
              <w:bottom w:val="single" w:sz="2" w:space="0" w:color="000000"/>
              <w:right w:val="single" w:sz="2" w:space="0" w:color="000000"/>
            </w:tcBorders>
            <w:vAlign w:val="center"/>
          </w:tcPr>
          <w:p w14:paraId="5D0EB7C6"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48,2</w:t>
            </w:r>
          </w:p>
        </w:tc>
        <w:tc>
          <w:tcPr>
            <w:tcW w:w="751" w:type="dxa"/>
            <w:tcBorders>
              <w:top w:val="single" w:sz="2" w:space="0" w:color="000000"/>
              <w:left w:val="single" w:sz="2" w:space="0" w:color="000000"/>
              <w:bottom w:val="single" w:sz="2" w:space="0" w:color="000000"/>
              <w:right w:val="single" w:sz="2" w:space="0" w:color="000000"/>
            </w:tcBorders>
            <w:vAlign w:val="center"/>
          </w:tcPr>
          <w:p w14:paraId="18AD05B7"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43,2</w:t>
            </w:r>
          </w:p>
        </w:tc>
        <w:tc>
          <w:tcPr>
            <w:tcW w:w="751" w:type="dxa"/>
            <w:tcBorders>
              <w:top w:val="single" w:sz="2" w:space="0" w:color="000000"/>
              <w:left w:val="single" w:sz="2" w:space="0" w:color="000000"/>
              <w:bottom w:val="single" w:sz="2" w:space="0" w:color="000000"/>
              <w:right w:val="single" w:sz="2" w:space="0" w:color="000000"/>
            </w:tcBorders>
            <w:vAlign w:val="center"/>
          </w:tcPr>
          <w:p w14:paraId="40C10EB4"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102,0</w:t>
            </w:r>
          </w:p>
        </w:tc>
        <w:tc>
          <w:tcPr>
            <w:tcW w:w="751" w:type="dxa"/>
            <w:tcBorders>
              <w:top w:val="single" w:sz="2" w:space="0" w:color="000000"/>
              <w:left w:val="single" w:sz="2" w:space="0" w:color="000000"/>
              <w:bottom w:val="single" w:sz="2" w:space="0" w:color="000000"/>
              <w:right w:val="single" w:sz="2" w:space="0" w:color="000000"/>
            </w:tcBorders>
            <w:vAlign w:val="center"/>
          </w:tcPr>
          <w:p w14:paraId="495DE555"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85,9</w:t>
            </w:r>
          </w:p>
        </w:tc>
        <w:tc>
          <w:tcPr>
            <w:tcW w:w="814" w:type="dxa"/>
            <w:tcBorders>
              <w:top w:val="single" w:sz="2" w:space="0" w:color="000000"/>
              <w:left w:val="single" w:sz="2" w:space="0" w:color="000000"/>
              <w:bottom w:val="single" w:sz="2" w:space="0" w:color="000000"/>
              <w:right w:val="single" w:sz="2" w:space="0" w:color="000000"/>
            </w:tcBorders>
            <w:vAlign w:val="center"/>
          </w:tcPr>
          <w:p w14:paraId="3233D4D5"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sz w:val="18"/>
                <w:szCs w:val="18"/>
              </w:rPr>
              <w:t>2,1</w:t>
            </w:r>
          </w:p>
        </w:tc>
      </w:tr>
    </w:tbl>
    <w:p w14:paraId="77599735" w14:textId="77777777" w:rsidR="00FF1E38" w:rsidRPr="00FF1E38" w:rsidRDefault="00FF1E38" w:rsidP="00FF1E38">
      <w:pPr>
        <w:spacing w:after="0" w:line="240" w:lineRule="auto"/>
        <w:ind w:left="0" w:right="0" w:firstLine="0"/>
        <w:jc w:val="center"/>
        <w:rPr>
          <w:rFonts w:ascii="Times New Roman" w:eastAsia="Calibri" w:hAnsi="Times New Roman" w:cs="Times New Roman"/>
          <w:i/>
          <w:sz w:val="20"/>
          <w:szCs w:val="20"/>
        </w:rPr>
      </w:pPr>
      <w:r w:rsidRPr="00FF1E38">
        <w:rPr>
          <w:rFonts w:ascii="Times New Roman" w:eastAsia="Calibri" w:hAnsi="Times New Roman" w:cs="Times New Roman"/>
          <w:i/>
          <w:sz w:val="20"/>
          <w:szCs w:val="20"/>
        </w:rPr>
        <w:t>Izvor: Statistički ljetopis Grada Zagreba</w:t>
      </w:r>
    </w:p>
    <w:p w14:paraId="430AB5AE" w14:textId="77777777" w:rsidR="00FF1E38" w:rsidRPr="00FF1E38" w:rsidRDefault="00FF1E38" w:rsidP="00FF1E38">
      <w:pPr>
        <w:spacing w:after="0" w:line="240" w:lineRule="auto"/>
        <w:ind w:left="0" w:right="0" w:firstLine="0"/>
        <w:rPr>
          <w:rFonts w:ascii="Times New Roman" w:hAnsi="Times New Roman" w:cs="Times New Roman"/>
          <w:sz w:val="24"/>
        </w:rPr>
      </w:pPr>
    </w:p>
    <w:p w14:paraId="0CE89D9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Najkritičniji mjeseci u godini s pojavom velikih voda i visokog vodostaja koji mogu uzrokovati nastanak poplava javljaju se za rijeku Savu s pritokama (zbog uspora) rijekom Krapinom u listopadu, studenome i siječnju, a s nešto manjim intenzitetom moguće su velike vode u svibnju i rujnu kada se u pravilu poplavljuju nebranjeni prostori bez izgrađenih zaštitnih vodnih građevina. Visoke vrijednosti maksimalnih vodostaja i protoka rijeke Save na području Grada Zagreba, na mjernoj postaji Zagreb, javljaju se dva puta tijekom proljetnih (ožujak - svibanj) i jesenskih (rujan - studeni) mjeseci. Maksimalni vodostaj od 514 cm i protok od 3 126 m</w:t>
      </w:r>
      <w:r w:rsidRPr="00FF1E38">
        <w:rPr>
          <w:rFonts w:ascii="Times New Roman" w:hAnsi="Times New Roman" w:cs="Times New Roman"/>
          <w:sz w:val="24"/>
          <w:vertAlign w:val="superscript"/>
        </w:rPr>
        <w:t>3</w:t>
      </w:r>
      <w:r w:rsidRPr="00FF1E38">
        <w:rPr>
          <w:rFonts w:ascii="Times New Roman" w:hAnsi="Times New Roman" w:cs="Times New Roman"/>
          <w:sz w:val="24"/>
        </w:rPr>
        <w:t>s-1 zabilježeni su 26. listopada 1964. godine.</w:t>
      </w:r>
    </w:p>
    <w:p w14:paraId="52F196D8" w14:textId="77777777" w:rsidR="00FF1E38" w:rsidRPr="00FF1E38" w:rsidRDefault="00FF1E38" w:rsidP="00FF1E38">
      <w:pPr>
        <w:spacing w:after="0" w:line="240" w:lineRule="auto"/>
        <w:ind w:right="0"/>
        <w:rPr>
          <w:rFonts w:ascii="Times New Roman" w:hAnsi="Times New Roman" w:cs="Times New Roman"/>
          <w:sz w:val="24"/>
        </w:rPr>
      </w:pPr>
    </w:p>
    <w:p w14:paraId="1934CE23" w14:textId="77777777" w:rsidR="00FF1E38" w:rsidRP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sz w:val="24"/>
          <w:u w:val="single"/>
        </w:rPr>
        <w:t>Vjerojatnost i uvjeti nastanka</w:t>
      </w:r>
    </w:p>
    <w:p w14:paraId="19D4DD40"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U noći s 25. na 26. listopada 1964. rijeka Sava je zbog obilnih kiša u Alpama prelila lijevi nasip na dugim dionicama, a zatim ga i probila na slabim mjestima i tako poplavila grad sve do željezničke pruge. Posljedice poplave bile su katastrofalne, poplava je odnijela 17 ljudskih života, 40 000 ljudi je ostalo bez prostora za stanovanje, potpuno je uništeno 10 000 stanova, 3 297 gospodarskih zgrada, 61 trafostanica, oštećeno je 120 poduzeća, 2 kilometra </w:t>
      </w:r>
      <w:r w:rsidRPr="00FF1E38">
        <w:rPr>
          <w:rFonts w:ascii="Times New Roman" w:hAnsi="Times New Roman" w:cs="Times New Roman"/>
          <w:sz w:val="24"/>
        </w:rPr>
        <w:lastRenderedPageBreak/>
        <w:t>autoceste, izgubljeno je 65 % građevinskog materijala iz skladišta. Velika oštećenja pretrpjele su brojne prosvjetne i kulturne ustanove. Poplava 1964. bila je prekretnica u cjelokupnom pristupu problematici zaštite od poplava na slivu Save. Započeto je intenzivno planiranje i projektiranje sustava za zaštitu od poplava, izrađene su brojne studije i projekti te definirane glavne smjernice za izvođenje radova i provedbu mjera za zaštitu od poplava. Veličinu zaštitnog sustava diktirala je potreba zaštite od poplave pojava 100-godišnje velike vode, dok je Zagreb, Sisak i Karlovac trebalo osigurati od poplave 1000 godišnje velike vode. Za proračun scenarija "katastrofalne" poplave na području Grada korištena je velika voda koja odgovara približno 100</w:t>
      </w:r>
      <w:r w:rsidRPr="00FF1E38">
        <w:rPr>
          <w:rFonts w:ascii="Times New Roman" w:hAnsi="Times New Roman" w:cs="Times New Roman"/>
          <w:sz w:val="24"/>
        </w:rPr>
        <w:noBreakHyphen/>
        <w:t>godišnjoj velikoj vodi odnosno odgovara poplavama male vjerojatnosti pojave i kao takva svrstana je u kategoriju 1. Pri tome treba naglasiti da u slučaju takvog događaja ne dolazi do prelijevanja nasipa i na području Grada Zagreba voda ostaje u inundacijama ako ne dođe do gubitka funkcionalnosti nasipa.</w:t>
      </w:r>
    </w:p>
    <w:p w14:paraId="16388D23"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Nasipi su relativno jednostavne i pouzdane građevine često vrlo velike dužine, s određenom razinom sigurnosti i podložni su propadanju. U većini slučajeva, do gubitka funkcionalnosti nasipa (prelijevanje nasipa, površinska erozija nasipa, klizanje nasipa, klizišta na nasipu i sl.) dolazi zbog kombinacije više razloga, te je stoga često, vrlo teško odrediti glavni razlog. "Analizom stabilnosti postojećih savskih nasipa u svrhu definiranja njihove sigurnosti" ocijenjeno je stanje nasipa te je zaključeno da je stanje nasipa prihvatljivo te da je rizik od pucanja nasipa vrlo mali.</w:t>
      </w:r>
    </w:p>
    <w:p w14:paraId="128B23A0"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7EE27588"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r w:rsidRPr="00FF1E38">
        <w:rPr>
          <w:rFonts w:ascii="Times New Roman" w:hAnsi="Times New Roman" w:cs="Times New Roman"/>
          <w:b/>
          <w:sz w:val="24"/>
        </w:rPr>
        <w:br w:type="page"/>
      </w:r>
    </w:p>
    <w:p w14:paraId="50C3DC64" w14:textId="6DDEFC48" w:rsidR="00FF1E38" w:rsidRPr="00CA3C1C" w:rsidRDefault="00CA3C1C" w:rsidP="00571A98">
      <w:pPr>
        <w:spacing w:line="240" w:lineRule="auto"/>
        <w:ind w:left="0" w:right="0" w:firstLine="0"/>
        <w:jc w:val="center"/>
        <w:rPr>
          <w:rFonts w:ascii="Times New Roman" w:hAnsi="Times New Roman" w:cs="Times New Roman"/>
          <w:b/>
          <w:color w:val="auto"/>
          <w:sz w:val="24"/>
        </w:rPr>
      </w:pPr>
      <w:r w:rsidRPr="00CA3C1C">
        <w:rPr>
          <w:rFonts w:ascii="Times New Roman" w:hAnsi="Times New Roman" w:cs="Times New Roman"/>
          <w:b/>
          <w:color w:val="auto"/>
          <w:sz w:val="24"/>
        </w:rPr>
        <w:lastRenderedPageBreak/>
        <w:t>Karta 10</w:t>
      </w:r>
      <w:r w:rsidR="00FF1E38" w:rsidRPr="00CA3C1C">
        <w:rPr>
          <w:rFonts w:ascii="Times New Roman" w:hAnsi="Times New Roman" w:cs="Times New Roman"/>
          <w:b/>
          <w:color w:val="auto"/>
          <w:sz w:val="24"/>
        </w:rPr>
        <w:t>. Prikaz dubine vode (m)</w:t>
      </w:r>
    </w:p>
    <w:p w14:paraId="3B7E506F" w14:textId="77777777" w:rsidR="00FF1E38" w:rsidRPr="00FF1E38" w:rsidRDefault="00FF1E38" w:rsidP="00FF1E38">
      <w:pPr>
        <w:spacing w:after="0" w:line="240" w:lineRule="auto"/>
        <w:ind w:left="0" w:right="0" w:firstLine="0"/>
        <w:jc w:val="right"/>
        <w:rPr>
          <w:rFonts w:ascii="Times New Roman" w:hAnsi="Times New Roman" w:cs="Times New Roman"/>
          <w:sz w:val="24"/>
        </w:rPr>
      </w:pPr>
      <w:r w:rsidRPr="00FF1E38">
        <w:rPr>
          <w:rFonts w:ascii="Times New Roman" w:hAnsi="Times New Roman" w:cs="Times New Roman"/>
          <w:noProof/>
          <w:sz w:val="24"/>
        </w:rPr>
        <w:drawing>
          <wp:inline distT="0" distB="0" distL="0" distR="0" wp14:anchorId="151A053D" wp14:editId="2247A3FE">
            <wp:extent cx="5669281" cy="3651250"/>
            <wp:effectExtent l="0" t="0" r="0" b="0"/>
            <wp:docPr id="42138" name="Picture 42138"/>
            <wp:cNvGraphicFramePr/>
            <a:graphic xmlns:a="http://schemas.openxmlformats.org/drawingml/2006/main">
              <a:graphicData uri="http://schemas.openxmlformats.org/drawingml/2006/picture">
                <pic:pic xmlns:pic="http://schemas.openxmlformats.org/drawingml/2006/picture">
                  <pic:nvPicPr>
                    <pic:cNvPr id="42138" name="Picture 42138"/>
                    <pic:cNvPicPr/>
                  </pic:nvPicPr>
                  <pic:blipFill>
                    <a:blip r:embed="rId126"/>
                    <a:stretch>
                      <a:fillRect/>
                    </a:stretch>
                  </pic:blipFill>
                  <pic:spPr>
                    <a:xfrm>
                      <a:off x="0" y="0"/>
                      <a:ext cx="5669281" cy="3651250"/>
                    </a:xfrm>
                    <a:prstGeom prst="rect">
                      <a:avLst/>
                    </a:prstGeom>
                  </pic:spPr>
                </pic:pic>
              </a:graphicData>
            </a:graphic>
          </wp:inline>
        </w:drawing>
      </w:r>
    </w:p>
    <w:p w14:paraId="77E087D0" w14:textId="77777777" w:rsidR="00FF1E38" w:rsidRPr="00FF1E38" w:rsidRDefault="00FF1E38" w:rsidP="00FF1E38">
      <w:pPr>
        <w:spacing w:after="0" w:line="240" w:lineRule="auto"/>
        <w:ind w:left="0" w:right="0" w:firstLine="0"/>
        <w:jc w:val="center"/>
        <w:rPr>
          <w:rFonts w:ascii="Times New Roman" w:eastAsia="Calibri" w:hAnsi="Times New Roman" w:cs="Times New Roman"/>
          <w:i/>
          <w:sz w:val="20"/>
          <w:szCs w:val="20"/>
        </w:rPr>
      </w:pPr>
      <w:r w:rsidRPr="00FF1E38">
        <w:rPr>
          <w:rFonts w:ascii="Times New Roman" w:eastAsia="Calibri" w:hAnsi="Times New Roman" w:cs="Times New Roman"/>
          <w:i/>
          <w:sz w:val="20"/>
          <w:szCs w:val="20"/>
        </w:rPr>
        <w:t>Izvor: Procjena rizika od katastrofa za Republiku Hrvatsku</w:t>
      </w:r>
    </w:p>
    <w:p w14:paraId="7BC7406D" w14:textId="77777777" w:rsidR="00FF1E38" w:rsidRPr="00FF1E38" w:rsidRDefault="00FF1E38" w:rsidP="00FF1E38">
      <w:pPr>
        <w:spacing w:after="0" w:line="240" w:lineRule="auto"/>
        <w:ind w:left="0" w:right="0" w:firstLine="0"/>
        <w:rPr>
          <w:rFonts w:ascii="Times New Roman" w:hAnsi="Times New Roman" w:cs="Times New Roman"/>
          <w:sz w:val="24"/>
        </w:rPr>
      </w:pPr>
    </w:p>
    <w:p w14:paraId="25FF9E3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Pojava "katastrofalne" poplave na području Grada, opisana je poplavom koja objedinjuje bujične poplave Medvednice (plavljenja uzrokovana brdskim vodotocima te rušenjem brana retencija na njima) uz poplavu rijeke Save zajedno s oteretnim kanalom Sava-Odra, uz gubitak funkcije nasipa. Sustav zaštite od poplava područja Grada Zagreba sastoji se od sustava zaštite od velikih voda rijeke Save i sustava zaštite od bujičnih poplava vodotoka obronaka Medvednice. Rijeku Savu kroz Zagreb karakterizira izrazita bujičnost, vrijednosti protoka kreću se u rasponu od 50 m</w:t>
      </w:r>
      <w:r w:rsidRPr="00FF1E38">
        <w:rPr>
          <w:rFonts w:ascii="Times New Roman" w:hAnsi="Times New Roman" w:cs="Times New Roman"/>
          <w:sz w:val="24"/>
          <w:vertAlign w:val="superscript"/>
        </w:rPr>
        <w:t>3</w:t>
      </w:r>
      <w:r w:rsidRPr="00FF1E38">
        <w:rPr>
          <w:rFonts w:ascii="Times New Roman" w:hAnsi="Times New Roman" w:cs="Times New Roman"/>
          <w:sz w:val="24"/>
        </w:rPr>
        <w:t>/s do 3.000 m</w:t>
      </w:r>
      <w:r w:rsidRPr="00FF1E38">
        <w:rPr>
          <w:rFonts w:ascii="Times New Roman" w:hAnsi="Times New Roman" w:cs="Times New Roman"/>
          <w:sz w:val="24"/>
          <w:vertAlign w:val="superscript"/>
        </w:rPr>
        <w:t>3</w:t>
      </w:r>
      <w:r w:rsidRPr="00FF1E38">
        <w:rPr>
          <w:rFonts w:ascii="Times New Roman" w:hAnsi="Times New Roman" w:cs="Times New Roman"/>
          <w:sz w:val="24"/>
        </w:rPr>
        <w:t>/s, a vrijednosti vodostaja iznose oko 8,5 m. Sustav zaštite područja Grada Zagreba od velikih voda rijeke Save obostrani su zaštitni nasipi, položeni na razmaku od 300 metara, s lijevom inundacijom širine 80 metara i desnom širine 110 metara, dužine 63 km te koritom za srednje vode širine 110 metara, zatim oteretni kanal Sava - Odra, kojim se rasterećuje dio velikih voda rijeke Save na poziciji preljeva Jankomir i odvodi dio vodnog vala u retencijski prostor Odranskog polja. Preljev je izgrađen početkom sedamdesetih godina dvadesetog stoljeća u dužini od 31 km. Sustav zaštite od bujičnih poplava vodotoka Medvednice temelji se na načelu zadržavanja velikih vodnih valova nastalih na pojedinim slivovima odgovarajućim zaštitnim vodnim građevinama tzv. retencijama. Na području Grada Zagreba do sada je izgrađeno 19 retencija ukupnog volumena retencijskog prostora od 2.229.550 m</w:t>
      </w:r>
      <w:r w:rsidRPr="00FF1E38">
        <w:rPr>
          <w:rFonts w:ascii="Times New Roman" w:hAnsi="Times New Roman" w:cs="Times New Roman"/>
          <w:sz w:val="24"/>
          <w:vertAlign w:val="superscript"/>
        </w:rPr>
        <w:t>3</w:t>
      </w:r>
      <w:r w:rsidRPr="00FF1E38">
        <w:rPr>
          <w:rFonts w:ascii="Times New Roman" w:hAnsi="Times New Roman" w:cs="Times New Roman"/>
          <w:sz w:val="24"/>
        </w:rPr>
        <w:t>. Sve do sada izgrađene retencije nalaze se na području južnih i jugoistočnih obronaka Medvednice, i to uglavnom na području tzv. zagrebačke terase, koja se nalazi između brdskog i nizinskog dijela sliva.</w:t>
      </w:r>
    </w:p>
    <w:p w14:paraId="5A649CBC" w14:textId="37FCEA7A"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Da bi se dogodila "katastrofalna" poplava, meteorološki uvjeti moraju biti iznimno nepovoljni. Potrebno je da padnu velike količine oborina (jaki intenzitet dugog trajanja) kako na području Hrvatske tako i na području Slovenije, što dalje rezultira velikom zasićenosti tla </w:t>
      </w:r>
      <w:r w:rsidRPr="00CA3C1C">
        <w:rPr>
          <w:rFonts w:ascii="Times New Roman" w:hAnsi="Times New Roman" w:cs="Times New Roman"/>
          <w:color w:val="auto"/>
          <w:sz w:val="24"/>
        </w:rPr>
        <w:t xml:space="preserve">vodom. Na Karti </w:t>
      </w:r>
      <w:r w:rsidR="00CA3C1C" w:rsidRPr="00CA3C1C">
        <w:rPr>
          <w:rFonts w:ascii="Times New Roman" w:hAnsi="Times New Roman" w:cs="Times New Roman"/>
          <w:color w:val="auto"/>
          <w:sz w:val="24"/>
        </w:rPr>
        <w:t>10</w:t>
      </w:r>
      <w:r w:rsidRPr="00CA3C1C">
        <w:rPr>
          <w:rFonts w:ascii="Times New Roman" w:hAnsi="Times New Roman" w:cs="Times New Roman"/>
          <w:color w:val="auto"/>
          <w:sz w:val="24"/>
        </w:rPr>
        <w:t xml:space="preserve">. dan je prikaz dubine vode za malu vjerojatnost pojavljivanja na području </w:t>
      </w:r>
      <w:r w:rsidRPr="00FF1E38">
        <w:rPr>
          <w:rFonts w:ascii="Times New Roman" w:hAnsi="Times New Roman" w:cs="Times New Roman"/>
          <w:sz w:val="24"/>
        </w:rPr>
        <w:t>Grada Zagreba. Dubine vode su grupirane u četiri kategorije, a definirane su korištenjem digitalnog modela terena Državne geodetske uprave.</w:t>
      </w:r>
    </w:p>
    <w:p w14:paraId="60DDB774" w14:textId="77777777" w:rsidR="00FF1E38" w:rsidRPr="00FF1E38" w:rsidRDefault="00FF1E38" w:rsidP="00FF1E38">
      <w:pPr>
        <w:spacing w:after="0" w:line="240" w:lineRule="auto"/>
        <w:ind w:right="0"/>
        <w:rPr>
          <w:rFonts w:ascii="Times New Roman" w:hAnsi="Times New Roman" w:cs="Times New Roman"/>
          <w:sz w:val="24"/>
        </w:rPr>
      </w:pPr>
    </w:p>
    <w:p w14:paraId="34D3D135" w14:textId="77777777" w:rsidR="00FF1E38" w:rsidRP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sz w:val="24"/>
          <w:u w:val="single"/>
        </w:rPr>
        <w:lastRenderedPageBreak/>
        <w:t>Zaključak</w:t>
      </w:r>
    </w:p>
    <w:p w14:paraId="3D0D9F98"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Područje Grada Zagreba zaštićeno je vodnogospodarskom infrastrukturom od plavljenja zbog visokog vodostaja rijeke Save. Realna je opasnost iako malo izgledna, koja može prouzročiti vrlo velike štete zbog poplavljivanja, puknuće Savskog nasipa tijekom visokog vodostaja. Takva situacija dovela bi do plavljenja većeg dijela naseljenog područja Grada Zagreba te bi bile ogromne štete na stambenom fondu, gospodarstvu i kritičnoj infrastrukturi. Poplavljene bi bile gradske četvrti Stenjevec, Trešnjevka - sjever, Trešnjevka - jug, Trnje, Peščenica - Žitnjak, Novi Zagreb - istok, Novi Zagreb - zapad i manji dijelovi gradskih četvrti Podsused - Vrapče, Donji grad, Črnomerec, Maksimir, Sesvete i Brezovica.</w:t>
      </w:r>
      <w:bookmarkStart w:id="80" w:name="_Toc2938597"/>
    </w:p>
    <w:p w14:paraId="4EB04CAE" w14:textId="77777777" w:rsidR="00FF1E38" w:rsidRPr="00FF1E38" w:rsidRDefault="00FF1E38" w:rsidP="00FF1E38">
      <w:pPr>
        <w:spacing w:after="0" w:line="240" w:lineRule="auto"/>
        <w:ind w:right="0"/>
        <w:rPr>
          <w:rFonts w:ascii="Times New Roman" w:hAnsi="Times New Roman" w:cs="Times New Roman"/>
          <w:sz w:val="24"/>
        </w:rPr>
      </w:pPr>
    </w:p>
    <w:p w14:paraId="5C7A8D78"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t>6.2.4. Uzrok</w:t>
      </w:r>
      <w:bookmarkEnd w:id="80"/>
    </w:p>
    <w:p w14:paraId="649221C3" w14:textId="77777777" w:rsidR="00FF1E38" w:rsidRPr="00FF1E38" w:rsidRDefault="00FF1E38" w:rsidP="00FF1E38">
      <w:pPr>
        <w:spacing w:after="0" w:line="240" w:lineRule="auto"/>
        <w:ind w:left="0" w:right="0" w:firstLine="709"/>
        <w:rPr>
          <w:rFonts w:ascii="Times New Roman" w:eastAsia="Calibri" w:hAnsi="Times New Roman" w:cs="Times New Roman"/>
          <w:sz w:val="24"/>
        </w:rPr>
      </w:pPr>
      <w:r w:rsidRPr="00FF1E38">
        <w:rPr>
          <w:rFonts w:ascii="Times New Roman" w:hAnsi="Times New Roman" w:cs="Times New Roman"/>
          <w:sz w:val="24"/>
        </w:rPr>
        <w:t>Poplave su prirodni fenomeni pojave kojih se ne mogu izbjeći, ali se poduzimanjem različitih preventivnih građevinskih i negrađevinskih mjera rizici od poplavljivanja mogu smanjiti na prihvatljivu razinu. One su među opasnijim elementarnim nepogodama i na mnogim mjestima mogu uzrokovati gubitke ljudskih života, velike materijalne štete, devastiranje kulturnih dobara i ekološke štete.</w:t>
      </w:r>
    </w:p>
    <w:p w14:paraId="552628A1"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Poplave koje se mogu javiti na području Grada Zagreba mogu se svrstati u 5 osnovnih skupina:</w:t>
      </w:r>
    </w:p>
    <w:p w14:paraId="33F18CD1"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riječne poplave zbog obilnih kiša i/ili naglog topljenja snijega prouzročene pucanjem Savskog nasipa;</w:t>
      </w:r>
    </w:p>
    <w:p w14:paraId="54B41015"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bujične poplave manjih vodotoka zbog kratkotrajnih kiša visokih intenziteta;</w:t>
      </w:r>
    </w:p>
    <w:p w14:paraId="1AD9CD86"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poplave unutarnjih (podzemnih) voda koje uzrokuju plavljenje podrumskih dijelova objekata;</w:t>
      </w:r>
    </w:p>
    <w:p w14:paraId="30AE43A1"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ledene poplave (vrlo malo izgledne) te</w:t>
      </w:r>
    </w:p>
    <w:p w14:paraId="286548F0"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umjetne (akcidentne) poplave zbog eventualnih proboja brana i nasipa (kolaps medvedničkih retencija), aktiviranja klizišta, neprimjerenih gradnji i slično.</w:t>
      </w:r>
    </w:p>
    <w:p w14:paraId="50ABE3AC"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Znatan su problem i poplave u urbanim sredinama koje nastaju zbog kratkotrajnih oborina visokih intenziteta i koje, zbog velikih koncentracija stanovništva na relativno malim prostorima, često uzrokuju velike materijalne štete, a koje će zbog klimatskih promjena biti sve učestalije.</w:t>
      </w:r>
    </w:p>
    <w:p w14:paraId="6D4A181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Ipak, analizirajući moguće posljedice navedenih događaja, može se zaključiti kako je najveća opasnost pucanje Savskog nasipa na području Grada tijekom visokog vodostaja, zatim otkazivanje retencija u podsljemenskoj zoni. Znatniju štetu mogu prouzročiti i bujične poplave nastale kratkotrajnim oborinama visokog intenziteta, ali se u tom slučaju štete očekuju na manjem zemljopisnom području izloženom olujnom nevremenu (dio naselja), a ne na širem području Grada kao kod otkazivanja vodozaštitnih građevina. Dok prodor brana i otkazivanje retencija može prouzročiti uz poplavljivanje i rušenje slabije građenih objekata zbog snage vodnog vala, ne smatra se da će poplave unutarnjih (podzemnih) voda i poplave nastale velikom količinom oborina u ravničarskom dijelu Zagreba prouzročiti rušenje objekata.</w:t>
      </w:r>
    </w:p>
    <w:p w14:paraId="4E8A5B88" w14:textId="77777777" w:rsidR="00FF1E38" w:rsidRPr="00FF1E38" w:rsidRDefault="00FF1E38" w:rsidP="00FF1E38">
      <w:pPr>
        <w:spacing w:after="0" w:line="240" w:lineRule="auto"/>
        <w:ind w:right="0"/>
        <w:rPr>
          <w:rFonts w:ascii="Times New Roman" w:hAnsi="Times New Roman" w:cs="Times New Roman"/>
          <w:sz w:val="24"/>
        </w:rPr>
      </w:pPr>
    </w:p>
    <w:p w14:paraId="2CE646F3"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t>6.2.4.1. Razvoj događaja koji prethodi velikoj nesreći</w:t>
      </w:r>
    </w:p>
    <w:p w14:paraId="193CAA40"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Pojava iznimno dugotrajnih oborina visokog intenziteta na području sliva Save u Hrvatskoj (uzvodno od Grada Zagreba) i Sloveniji, uz topljenje snježnog pokrivača, uzrokovala bi pojavu visokog vodostaja rijeke Save, njezino izlijevanje preko jankomirskog preljeva u oteretni kanal Sava-Odra te pojavu visokog vodostaja u potocima s južnih, jugoistočnih i istočnih obronaka Medvednice. Velikoj nesreći prethodi dugotrajna kiša, visoki vodostaj koji traje tjednima te dovodi do nakvašenosti nasipa koji zbog pritiska vodenog vala puca.</w:t>
      </w:r>
    </w:p>
    <w:p w14:paraId="475C2826" w14:textId="77777777" w:rsidR="00FF1E38" w:rsidRPr="00FF1E38" w:rsidRDefault="00FF1E38" w:rsidP="00FF1E38">
      <w:pPr>
        <w:spacing w:after="0" w:line="240" w:lineRule="auto"/>
        <w:ind w:right="0"/>
        <w:rPr>
          <w:rFonts w:ascii="Times New Roman" w:hAnsi="Times New Roman" w:cs="Times New Roman"/>
          <w:sz w:val="24"/>
        </w:rPr>
      </w:pPr>
    </w:p>
    <w:p w14:paraId="357D1DE9"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r w:rsidRPr="00FF1E38">
        <w:rPr>
          <w:rFonts w:ascii="Times New Roman" w:hAnsi="Times New Roman" w:cs="Times New Roman"/>
          <w:b/>
          <w:sz w:val="24"/>
        </w:rPr>
        <w:br w:type="page"/>
      </w:r>
    </w:p>
    <w:p w14:paraId="1BF140E6"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lastRenderedPageBreak/>
        <w:t>6.2.4.2. Okidač koji je uzrokovao veliku nesreću</w:t>
      </w:r>
    </w:p>
    <w:p w14:paraId="11537573"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Za mogući događaj s manjim posljedicama (ograničene poplave uz kanale i vodotoke, pojava stajaćih voda i sl.) okidač mogu biti dugotrajne i obilne padaline u sinergiji s naglim otapanjem snijega i sl. U slučaju proloma obrambenih nasipa na rijeci Savi okidač za rušenje nasipa može biti:</w:t>
      </w:r>
    </w:p>
    <w:p w14:paraId="49CD719A"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dotok ekstremno velikih količina vode;</w:t>
      </w:r>
    </w:p>
    <w:p w14:paraId="698BFCF4"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potres jačine 9° MCS i više;</w:t>
      </w:r>
    </w:p>
    <w:p w14:paraId="3A741EF1"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tehnička ili građevinska neispravnost vodnih objekata (iznimno malo moguće zbog redovitog održavanja zaštitnih nasipa i objekata).</w:t>
      </w:r>
    </w:p>
    <w:p w14:paraId="13D3D886"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scenariju će se opisati situacija pucanja Savskog nasipa na području Gradske četvrti Trnje tijekom visokog vodostaja.</w:t>
      </w:r>
    </w:p>
    <w:p w14:paraId="41263F68" w14:textId="77777777" w:rsidR="00FF1E38" w:rsidRPr="00FF1E38" w:rsidRDefault="00FF1E38" w:rsidP="00FF1E38">
      <w:pPr>
        <w:spacing w:after="0" w:line="240" w:lineRule="auto"/>
        <w:ind w:right="0"/>
        <w:rPr>
          <w:rFonts w:ascii="Times New Roman" w:hAnsi="Times New Roman" w:cs="Times New Roman"/>
          <w:sz w:val="24"/>
        </w:rPr>
      </w:pPr>
    </w:p>
    <w:p w14:paraId="735B517E" w14:textId="77777777" w:rsidR="00FF1E38" w:rsidRPr="00FF1E38" w:rsidRDefault="00FF1E38" w:rsidP="00FF1E38">
      <w:pPr>
        <w:spacing w:after="0" w:line="240" w:lineRule="auto"/>
        <w:ind w:left="0" w:right="0" w:firstLine="709"/>
        <w:rPr>
          <w:rFonts w:ascii="Times New Roman" w:hAnsi="Times New Roman" w:cs="Times New Roman"/>
          <w:b/>
          <w:sz w:val="24"/>
        </w:rPr>
      </w:pPr>
      <w:bookmarkStart w:id="81" w:name="_Toc2938598"/>
      <w:r w:rsidRPr="00FF1E38">
        <w:rPr>
          <w:rFonts w:ascii="Times New Roman" w:hAnsi="Times New Roman" w:cs="Times New Roman"/>
          <w:b/>
          <w:sz w:val="24"/>
        </w:rPr>
        <w:t>6.2.5. Opis događaja</w:t>
      </w:r>
      <w:bookmarkEnd w:id="81"/>
    </w:p>
    <w:p w14:paraId="11525160" w14:textId="77777777" w:rsidR="00FF1E38" w:rsidRPr="00FF1E38" w:rsidRDefault="00FF1E38" w:rsidP="00FF1E38">
      <w:pPr>
        <w:spacing w:after="0" w:line="240" w:lineRule="auto"/>
        <w:ind w:left="0" w:right="0" w:firstLine="709"/>
        <w:rPr>
          <w:rFonts w:ascii="Times New Roman" w:hAnsi="Times New Roman" w:cs="Times New Roman"/>
          <w:i/>
          <w:sz w:val="24"/>
        </w:rPr>
      </w:pPr>
      <w:r w:rsidRPr="00FF1E38">
        <w:rPr>
          <w:rFonts w:ascii="Times New Roman" w:hAnsi="Times New Roman" w:cs="Times New Roman"/>
          <w:i/>
          <w:sz w:val="24"/>
          <w:u w:val="single" w:color="000000"/>
        </w:rPr>
        <w:t>Napomena</w:t>
      </w:r>
      <w:r w:rsidRPr="00FF1E38">
        <w:rPr>
          <w:rFonts w:ascii="Times New Roman" w:hAnsi="Times New Roman" w:cs="Times New Roman"/>
          <w:i/>
          <w:sz w:val="24"/>
        </w:rPr>
        <w:t>:</w:t>
      </w:r>
      <w:r w:rsidRPr="00FF1E38">
        <w:rPr>
          <w:rFonts w:ascii="Times New Roman" w:hAnsi="Times New Roman" w:cs="Times New Roman"/>
          <w:b/>
          <w:i/>
          <w:sz w:val="24"/>
        </w:rPr>
        <w:t xml:space="preserve"> </w:t>
      </w:r>
      <w:r w:rsidRPr="00FF1E38">
        <w:rPr>
          <w:rFonts w:ascii="Times New Roman" w:hAnsi="Times New Roman" w:cs="Times New Roman"/>
          <w:i/>
          <w:sz w:val="24"/>
        </w:rPr>
        <w:t>Scenarij je orijentacijski i opisuje najgoru moguću situaciju. Mala je vjerojatnost da sve okolnosti budu najnepovoljnije, ali se u scenariju opisuje skup svih mogućih a malo izglednih događaja povezanih s prijetnjom. Cilj tako postavljenog scenarija je potaknuti na promišljanje o preventivnim mjerama koje je potrebno poduzeti kako bi se smanjio rizik i ojačala spremnost.</w:t>
      </w:r>
    </w:p>
    <w:p w14:paraId="1E089A6E"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Već mjesec dana na području Grada Zagreba vrlo je visok vodostaj rijeke Save. Oboreni su svi rekordi prosječnih mjesečnih oborina za listopad. Kiša ne prestaje, pada danima, a prognoze su i nadalje nepovoljne. Za sada unatoč visokom vodostaju ne prijeti opasnost od prelijevanja nasipa na području Grada Zagreba jer je aktiviran odteretni kanal Sava - Odra kojim se višak vode odvodi u Lonjsko polje. Nadležni poručuju da su na snazi izvanredne mjere obrane od poplava, ali da ne postoji opasnost jer je situacija pod kontrolom, a ispravnost nasipa se svakodnevno kontrolira. Iznenada, u 03:00 sata u noći, tijekom maglovite listopadske noći i izrazito visokog vodostaja rijeke Save, puca nasip na području Gradske četvrti Trnje. Prodor vode je iznenadan i silovit. Nalet vode ruši prizemne objekte na području Gradske četvrti Trnje. Otežavajuće okolnosti su te što zbog iznenadnosti događaja nije proglašena uzbuna, a ljudi spavaju u prizemnicama koje su prve na udaru jakog poplavnog vala. Osim toga, vrlo je gusta magla</w:t>
      </w:r>
      <w:r w:rsidRPr="00FF1E38">
        <w:rPr>
          <w:rFonts w:ascii="Times New Roman" w:hAnsi="Times New Roman" w:cs="Times New Roman"/>
          <w:sz w:val="24"/>
          <w:vertAlign w:val="superscript"/>
        </w:rPr>
        <w:footnoteReference w:id="44"/>
      </w:r>
      <w:r w:rsidRPr="00FF1E38">
        <w:rPr>
          <w:rFonts w:ascii="Times New Roman" w:hAnsi="Times New Roman" w:cs="Times New Roman"/>
          <w:sz w:val="24"/>
        </w:rPr>
        <w:t xml:space="preserve"> koja otežava vidljivost i detekciju točnog mjesta puknuća nasipa. Zbog poplavljivanja infrastrukture nestaje električna energija na području zahvaćenom poplavom, a zbog velikog broja poziva građana koji žele doznati što se događa ili dojaviti događaj blokirana je komunikacija prema hitnim službama. Zbog nestanka električne energije i preopterećenja nefunkcionalna je i komunikacija mobilnim telefonima. Zbog blizine zgrade HRT-a mjestu proboja, poplavljene su prostorije, nestalo je struje, a ne rade niti agregati koji su jednako tako poplavljeni pa je prekinuto emitiranje radijskog i TV programa HRT-a te je tako stanovništvo informacijski odsječeno. Poplavljena su i industrijska postrojenja na Žitnjaku pa prijeti opasnost od nastanka ekološkog akcidenta. Djelomično se urušio Most slobode pa je prekinuta i prometna komunikacija između Trnja i Novog Zagreba. Prometovanje otežavaju poplavljene prometnice, a do dijelova naselja najbližima rijeci Savi moguće je doći samo čamcima.</w:t>
      </w:r>
    </w:p>
    <w:p w14:paraId="4B193D89" w14:textId="77777777" w:rsidR="00FF1E38" w:rsidRPr="00FF1E38" w:rsidRDefault="00FF1E38" w:rsidP="00FF1E38">
      <w:pPr>
        <w:spacing w:after="0" w:line="240" w:lineRule="auto"/>
        <w:ind w:right="0"/>
        <w:rPr>
          <w:rFonts w:ascii="Times New Roman" w:hAnsi="Times New Roman" w:cs="Times New Roman"/>
          <w:sz w:val="24"/>
        </w:rPr>
      </w:pPr>
    </w:p>
    <w:p w14:paraId="225A86DD"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t>6.2.5.1. Posljedice</w:t>
      </w:r>
    </w:p>
    <w:p w14:paraId="05F49AD0"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Tijekom posljednjeg desetljeća u cijelom se svijetu učestalo bilježe iznimno velike količine oborina posljedica kojih mogu biti veliki vodni valovi koji dosežu ili premašuju maksimalno zabilježene vodostaje. Izgradnjom vodoprivrednih objekata, Savskog nasipa, odteretnog kanala Sava-Odra te retencija uvelike je smanjena mogućnost poplava, ali još uvijek prijeti opasnost od medvedničkih bujica i podizanja razina podzemnih voda koje mogu uzrokovati poplave u pojedinim dijelovima Grada Zagreba te prekid cestovnog prometa, </w:t>
      </w:r>
      <w:r w:rsidRPr="00FF1E38">
        <w:rPr>
          <w:rFonts w:ascii="Times New Roman" w:hAnsi="Times New Roman" w:cs="Times New Roman"/>
          <w:sz w:val="24"/>
        </w:rPr>
        <w:lastRenderedPageBreak/>
        <w:t>posebno ispod podvožnjaka. Poplave mogu uzrokovati i ekstremne vremenske prilike koje su u posljednje vrijeme sve češće, a manifestiraju se oborinama tolikog intenziteta da kolektori odvodnje ne mogu funkcionirati pa dolazi do plavljenja objekata. Ozbiljna prijetnja za stanovništvo može biti samo pucanje Savskog nasipa zbog visokog vodostaja na području Grada Zagreba ili na lokaciji uzvodno od njega.</w:t>
      </w:r>
    </w:p>
    <w:p w14:paraId="13E3DED4" w14:textId="2EF79C69"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Obavljena je procjena ugroženosti naselja i stanovništva na području Grada Zagreba zbog poplavljivanja. Rezultati procjene pokazuju da je poplavom ugroženo oko 342 578 </w:t>
      </w:r>
      <w:r w:rsidRPr="0011661F">
        <w:rPr>
          <w:rFonts w:ascii="Times New Roman" w:hAnsi="Times New Roman" w:cs="Times New Roman"/>
          <w:color w:val="auto"/>
          <w:sz w:val="24"/>
        </w:rPr>
        <w:t xml:space="preserve">stanovnika Grada Zagreba što je nešto više od 43 % stanovništva Grada. U Tablici </w:t>
      </w:r>
      <w:r w:rsidR="0011661F" w:rsidRPr="0011661F">
        <w:rPr>
          <w:rFonts w:ascii="Times New Roman" w:hAnsi="Times New Roman" w:cs="Times New Roman"/>
          <w:color w:val="auto"/>
          <w:sz w:val="24"/>
        </w:rPr>
        <w:t>65</w:t>
      </w:r>
      <w:r w:rsidRPr="0011661F">
        <w:rPr>
          <w:rFonts w:ascii="Times New Roman" w:hAnsi="Times New Roman" w:cs="Times New Roman"/>
          <w:color w:val="auto"/>
          <w:sz w:val="24"/>
        </w:rPr>
        <w:t xml:space="preserve">. navodi </w:t>
      </w:r>
      <w:r w:rsidRPr="008879E1">
        <w:rPr>
          <w:rFonts w:ascii="Times New Roman" w:hAnsi="Times New Roman" w:cs="Times New Roman"/>
          <w:color w:val="auto"/>
          <w:sz w:val="24"/>
        </w:rPr>
        <w:t xml:space="preserve">se ugroženost naselja i stanovništva na području Grada Zagreba, a u Tablici </w:t>
      </w:r>
      <w:r w:rsidR="008879E1" w:rsidRPr="008879E1">
        <w:rPr>
          <w:rFonts w:ascii="Times New Roman" w:hAnsi="Times New Roman" w:cs="Times New Roman"/>
          <w:color w:val="auto"/>
          <w:sz w:val="24"/>
        </w:rPr>
        <w:t>66</w:t>
      </w:r>
      <w:r w:rsidRPr="008879E1">
        <w:rPr>
          <w:rFonts w:ascii="Times New Roman" w:hAnsi="Times New Roman" w:cs="Times New Roman"/>
          <w:color w:val="auto"/>
          <w:sz w:val="24"/>
        </w:rPr>
        <w:t xml:space="preserve">. procijenjena </w:t>
      </w:r>
      <w:r w:rsidRPr="00FF1E38">
        <w:rPr>
          <w:rFonts w:ascii="Times New Roman" w:hAnsi="Times New Roman" w:cs="Times New Roman"/>
          <w:sz w:val="24"/>
        </w:rPr>
        <w:t>veličina ugroženog područja i stupanj izgrađenosti površina.</w:t>
      </w:r>
    </w:p>
    <w:p w14:paraId="27E82683" w14:textId="77777777" w:rsidR="00FF1E38" w:rsidRPr="00FF1E38" w:rsidRDefault="00FF1E38" w:rsidP="00FF1E38">
      <w:pPr>
        <w:spacing w:after="0" w:line="240" w:lineRule="auto"/>
        <w:ind w:right="0"/>
        <w:rPr>
          <w:rFonts w:ascii="Times New Roman" w:hAnsi="Times New Roman" w:cs="Times New Roman"/>
          <w:sz w:val="24"/>
        </w:rPr>
      </w:pPr>
    </w:p>
    <w:p w14:paraId="101A2B9C" w14:textId="04DD0828" w:rsidR="00FF1E38" w:rsidRPr="0011661F" w:rsidRDefault="00FF1E38" w:rsidP="00571A98">
      <w:pPr>
        <w:spacing w:line="240" w:lineRule="auto"/>
        <w:ind w:left="0" w:right="0" w:firstLine="0"/>
        <w:jc w:val="center"/>
        <w:rPr>
          <w:rFonts w:ascii="Times New Roman" w:hAnsi="Times New Roman" w:cs="Times New Roman"/>
          <w:b/>
          <w:color w:val="auto"/>
          <w:sz w:val="24"/>
        </w:rPr>
      </w:pPr>
      <w:r w:rsidRPr="0011661F">
        <w:rPr>
          <w:rFonts w:ascii="Times New Roman" w:hAnsi="Times New Roman" w:cs="Times New Roman"/>
          <w:b/>
          <w:color w:val="auto"/>
          <w:sz w:val="24"/>
        </w:rPr>
        <w:t xml:space="preserve">Tablica </w:t>
      </w:r>
      <w:r w:rsidR="0011661F" w:rsidRPr="0011661F">
        <w:rPr>
          <w:rFonts w:ascii="Times New Roman" w:hAnsi="Times New Roman" w:cs="Times New Roman"/>
          <w:b/>
          <w:color w:val="auto"/>
          <w:sz w:val="24"/>
        </w:rPr>
        <w:t>65</w:t>
      </w:r>
      <w:r w:rsidRPr="0011661F">
        <w:rPr>
          <w:rFonts w:ascii="Times New Roman" w:hAnsi="Times New Roman" w:cs="Times New Roman"/>
          <w:b/>
          <w:color w:val="auto"/>
          <w:sz w:val="24"/>
        </w:rPr>
        <w:t>. Ugroženost naselja i stanovništva na području Grada Zagreba</w:t>
      </w:r>
    </w:p>
    <w:tbl>
      <w:tblPr>
        <w:tblStyle w:val="TableGrid"/>
        <w:tblW w:w="9072" w:type="dxa"/>
        <w:tblInd w:w="0" w:type="dxa"/>
        <w:tblLayout w:type="fixed"/>
        <w:tblCellMar>
          <w:top w:w="45" w:type="dxa"/>
          <w:left w:w="57" w:type="dxa"/>
          <w:right w:w="57" w:type="dxa"/>
        </w:tblCellMar>
        <w:tblLook w:val="04A0" w:firstRow="1" w:lastRow="0" w:firstColumn="1" w:lastColumn="0" w:noHBand="0" w:noVBand="1"/>
      </w:tblPr>
      <w:tblGrid>
        <w:gridCol w:w="1295"/>
        <w:gridCol w:w="3023"/>
        <w:gridCol w:w="2303"/>
        <w:gridCol w:w="2451"/>
      </w:tblGrid>
      <w:tr w:rsidR="00FF1E38" w:rsidRPr="00FF1E38" w14:paraId="0DF0D684" w14:textId="77777777" w:rsidTr="00DE0C9A">
        <w:trPr>
          <w:cantSplit/>
          <w:tblHeader/>
        </w:trPr>
        <w:tc>
          <w:tcPr>
            <w:tcW w:w="1295"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047C9C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b/>
              </w:rPr>
              <w:t>Grad</w:t>
            </w:r>
          </w:p>
        </w:tc>
        <w:tc>
          <w:tcPr>
            <w:tcW w:w="3023"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D13EA0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b/>
              </w:rPr>
              <w:t>Naselje</w:t>
            </w:r>
          </w:p>
        </w:tc>
        <w:tc>
          <w:tcPr>
            <w:tcW w:w="2303"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006AEA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b/>
              </w:rPr>
              <w:t>Popis stanovništva</w:t>
            </w:r>
          </w:p>
        </w:tc>
        <w:tc>
          <w:tcPr>
            <w:tcW w:w="245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B66B31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b/>
              </w:rPr>
              <w:t>Broj stanovnika ugrožen poplavom</w:t>
            </w:r>
          </w:p>
        </w:tc>
      </w:tr>
      <w:tr w:rsidR="00FF1E38" w:rsidRPr="00FF1E38" w14:paraId="126E37DF" w14:textId="77777777" w:rsidTr="00DE0C9A">
        <w:trPr>
          <w:cantSplit/>
        </w:trPr>
        <w:tc>
          <w:tcPr>
            <w:tcW w:w="1295" w:type="dxa"/>
            <w:vMerge w:val="restart"/>
            <w:tcBorders>
              <w:top w:val="single" w:sz="4" w:space="0" w:color="000000"/>
              <w:left w:val="single" w:sz="4" w:space="0" w:color="000000"/>
              <w:right w:val="single" w:sz="4" w:space="0" w:color="000000"/>
            </w:tcBorders>
            <w:vAlign w:val="center"/>
          </w:tcPr>
          <w:p w14:paraId="6B624E0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Zagreb</w:t>
            </w:r>
          </w:p>
        </w:tc>
        <w:tc>
          <w:tcPr>
            <w:tcW w:w="3023" w:type="dxa"/>
            <w:tcBorders>
              <w:top w:val="single" w:sz="4" w:space="0" w:color="000000"/>
              <w:left w:val="single" w:sz="4" w:space="0" w:color="000000"/>
              <w:bottom w:val="single" w:sz="4" w:space="0" w:color="000000"/>
              <w:right w:val="single" w:sz="4" w:space="0" w:color="000000"/>
            </w:tcBorders>
            <w:vAlign w:val="center"/>
          </w:tcPr>
          <w:p w14:paraId="35587F1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Adamovec</w:t>
            </w:r>
          </w:p>
        </w:tc>
        <w:tc>
          <w:tcPr>
            <w:tcW w:w="2303" w:type="dxa"/>
            <w:tcBorders>
              <w:top w:val="single" w:sz="4" w:space="0" w:color="000000"/>
              <w:left w:val="single" w:sz="4" w:space="0" w:color="000000"/>
              <w:bottom w:val="single" w:sz="4" w:space="0" w:color="000000"/>
              <w:right w:val="single" w:sz="4" w:space="0" w:color="000000"/>
            </w:tcBorders>
            <w:vAlign w:val="center"/>
          </w:tcPr>
          <w:p w14:paraId="1F0F9A4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980</w:t>
            </w:r>
          </w:p>
        </w:tc>
        <w:tc>
          <w:tcPr>
            <w:tcW w:w="2451" w:type="dxa"/>
            <w:tcBorders>
              <w:top w:val="single" w:sz="4" w:space="0" w:color="000000"/>
              <w:left w:val="single" w:sz="4" w:space="0" w:color="000000"/>
              <w:bottom w:val="single" w:sz="4" w:space="0" w:color="000000"/>
              <w:right w:val="single" w:sz="4" w:space="0" w:color="000000"/>
            </w:tcBorders>
            <w:vAlign w:val="center"/>
          </w:tcPr>
          <w:p w14:paraId="349D526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4794030C" w14:textId="77777777" w:rsidTr="00DE0C9A">
        <w:trPr>
          <w:cantSplit/>
        </w:trPr>
        <w:tc>
          <w:tcPr>
            <w:tcW w:w="1295" w:type="dxa"/>
            <w:vMerge/>
            <w:tcBorders>
              <w:left w:val="single" w:sz="4" w:space="0" w:color="000000"/>
              <w:right w:val="single" w:sz="4" w:space="0" w:color="000000"/>
            </w:tcBorders>
          </w:tcPr>
          <w:p w14:paraId="29621751"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332545D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Belovar</w:t>
            </w:r>
          </w:p>
        </w:tc>
        <w:tc>
          <w:tcPr>
            <w:tcW w:w="2303" w:type="dxa"/>
            <w:tcBorders>
              <w:top w:val="single" w:sz="4" w:space="0" w:color="000000"/>
              <w:left w:val="single" w:sz="4" w:space="0" w:color="000000"/>
              <w:bottom w:val="single" w:sz="4" w:space="0" w:color="000000"/>
              <w:right w:val="single" w:sz="4" w:space="0" w:color="000000"/>
            </w:tcBorders>
            <w:vAlign w:val="center"/>
          </w:tcPr>
          <w:p w14:paraId="37F4DA3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381</w:t>
            </w:r>
          </w:p>
        </w:tc>
        <w:tc>
          <w:tcPr>
            <w:tcW w:w="2451" w:type="dxa"/>
            <w:tcBorders>
              <w:top w:val="single" w:sz="4" w:space="0" w:color="000000"/>
              <w:left w:val="single" w:sz="4" w:space="0" w:color="000000"/>
              <w:bottom w:val="single" w:sz="4" w:space="0" w:color="000000"/>
              <w:right w:val="single" w:sz="4" w:space="0" w:color="000000"/>
            </w:tcBorders>
            <w:vAlign w:val="center"/>
          </w:tcPr>
          <w:p w14:paraId="47634D2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1D5FD4ED" w14:textId="77777777" w:rsidTr="00DE0C9A">
        <w:trPr>
          <w:cantSplit/>
        </w:trPr>
        <w:tc>
          <w:tcPr>
            <w:tcW w:w="1295" w:type="dxa"/>
            <w:vMerge/>
            <w:tcBorders>
              <w:left w:val="single" w:sz="4" w:space="0" w:color="000000"/>
              <w:right w:val="single" w:sz="4" w:space="0" w:color="000000"/>
            </w:tcBorders>
          </w:tcPr>
          <w:p w14:paraId="1445C572"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53B450F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Blaguša</w:t>
            </w:r>
          </w:p>
        </w:tc>
        <w:tc>
          <w:tcPr>
            <w:tcW w:w="2303" w:type="dxa"/>
            <w:tcBorders>
              <w:top w:val="single" w:sz="4" w:space="0" w:color="000000"/>
              <w:left w:val="single" w:sz="4" w:space="0" w:color="000000"/>
              <w:bottom w:val="single" w:sz="4" w:space="0" w:color="000000"/>
              <w:right w:val="single" w:sz="4" w:space="0" w:color="000000"/>
            </w:tcBorders>
            <w:vAlign w:val="center"/>
          </w:tcPr>
          <w:p w14:paraId="479340E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593</w:t>
            </w:r>
          </w:p>
        </w:tc>
        <w:tc>
          <w:tcPr>
            <w:tcW w:w="2451" w:type="dxa"/>
            <w:tcBorders>
              <w:top w:val="single" w:sz="4" w:space="0" w:color="000000"/>
              <w:left w:val="single" w:sz="4" w:space="0" w:color="000000"/>
              <w:bottom w:val="single" w:sz="4" w:space="0" w:color="000000"/>
              <w:right w:val="single" w:sz="4" w:space="0" w:color="000000"/>
            </w:tcBorders>
            <w:vAlign w:val="center"/>
          </w:tcPr>
          <w:p w14:paraId="772D3BE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4FBEEE6D" w14:textId="77777777" w:rsidTr="00DE0C9A">
        <w:trPr>
          <w:cantSplit/>
        </w:trPr>
        <w:tc>
          <w:tcPr>
            <w:tcW w:w="1295" w:type="dxa"/>
            <w:vMerge/>
            <w:tcBorders>
              <w:left w:val="single" w:sz="4" w:space="0" w:color="000000"/>
              <w:right w:val="single" w:sz="4" w:space="0" w:color="000000"/>
            </w:tcBorders>
          </w:tcPr>
          <w:p w14:paraId="00785102"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22C8631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Botinec</w:t>
            </w:r>
          </w:p>
        </w:tc>
        <w:tc>
          <w:tcPr>
            <w:tcW w:w="2303" w:type="dxa"/>
            <w:tcBorders>
              <w:top w:val="single" w:sz="4" w:space="0" w:color="000000"/>
              <w:left w:val="single" w:sz="4" w:space="0" w:color="000000"/>
              <w:bottom w:val="single" w:sz="4" w:space="0" w:color="000000"/>
              <w:right w:val="single" w:sz="4" w:space="0" w:color="000000"/>
            </w:tcBorders>
            <w:vAlign w:val="center"/>
          </w:tcPr>
          <w:p w14:paraId="7C8E270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9</w:t>
            </w:r>
          </w:p>
        </w:tc>
        <w:tc>
          <w:tcPr>
            <w:tcW w:w="2451" w:type="dxa"/>
            <w:tcBorders>
              <w:top w:val="single" w:sz="4" w:space="0" w:color="000000"/>
              <w:left w:val="single" w:sz="4" w:space="0" w:color="000000"/>
              <w:bottom w:val="single" w:sz="4" w:space="0" w:color="000000"/>
              <w:right w:val="single" w:sz="4" w:space="0" w:color="000000"/>
            </w:tcBorders>
            <w:vAlign w:val="center"/>
          </w:tcPr>
          <w:p w14:paraId="747BE2F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9</w:t>
            </w:r>
          </w:p>
        </w:tc>
      </w:tr>
      <w:tr w:rsidR="00FF1E38" w:rsidRPr="00FF1E38" w14:paraId="4C1A33D2" w14:textId="77777777" w:rsidTr="00DE0C9A">
        <w:trPr>
          <w:cantSplit/>
        </w:trPr>
        <w:tc>
          <w:tcPr>
            <w:tcW w:w="1295" w:type="dxa"/>
            <w:vMerge/>
            <w:tcBorders>
              <w:left w:val="single" w:sz="4" w:space="0" w:color="000000"/>
              <w:right w:val="single" w:sz="4" w:space="0" w:color="000000"/>
            </w:tcBorders>
          </w:tcPr>
          <w:p w14:paraId="6ACDBD90"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71EE21B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Brebernica</w:t>
            </w:r>
          </w:p>
        </w:tc>
        <w:tc>
          <w:tcPr>
            <w:tcW w:w="2303" w:type="dxa"/>
            <w:tcBorders>
              <w:top w:val="single" w:sz="4" w:space="0" w:color="000000"/>
              <w:left w:val="single" w:sz="4" w:space="0" w:color="000000"/>
              <w:bottom w:val="single" w:sz="4" w:space="0" w:color="000000"/>
              <w:right w:val="single" w:sz="4" w:space="0" w:color="000000"/>
            </w:tcBorders>
            <w:vAlign w:val="center"/>
          </w:tcPr>
          <w:p w14:paraId="5790529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49</w:t>
            </w:r>
          </w:p>
        </w:tc>
        <w:tc>
          <w:tcPr>
            <w:tcW w:w="2451" w:type="dxa"/>
            <w:tcBorders>
              <w:top w:val="single" w:sz="4" w:space="0" w:color="000000"/>
              <w:left w:val="single" w:sz="4" w:space="0" w:color="000000"/>
              <w:bottom w:val="single" w:sz="4" w:space="0" w:color="000000"/>
              <w:right w:val="single" w:sz="4" w:space="0" w:color="000000"/>
            </w:tcBorders>
            <w:vAlign w:val="center"/>
          </w:tcPr>
          <w:p w14:paraId="56BDD82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241E8D9A" w14:textId="77777777" w:rsidTr="00DE0C9A">
        <w:trPr>
          <w:cantSplit/>
        </w:trPr>
        <w:tc>
          <w:tcPr>
            <w:tcW w:w="1295" w:type="dxa"/>
            <w:vMerge/>
            <w:tcBorders>
              <w:left w:val="single" w:sz="4" w:space="0" w:color="000000"/>
              <w:right w:val="single" w:sz="4" w:space="0" w:color="000000"/>
            </w:tcBorders>
          </w:tcPr>
          <w:p w14:paraId="2442EF75"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36E9321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Brezovica</w:t>
            </w:r>
          </w:p>
        </w:tc>
        <w:tc>
          <w:tcPr>
            <w:tcW w:w="2303" w:type="dxa"/>
            <w:tcBorders>
              <w:top w:val="single" w:sz="4" w:space="0" w:color="000000"/>
              <w:left w:val="single" w:sz="4" w:space="0" w:color="000000"/>
              <w:bottom w:val="single" w:sz="4" w:space="0" w:color="000000"/>
              <w:right w:val="single" w:sz="4" w:space="0" w:color="000000"/>
            </w:tcBorders>
            <w:vAlign w:val="center"/>
          </w:tcPr>
          <w:p w14:paraId="2B34A83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604</w:t>
            </w:r>
          </w:p>
        </w:tc>
        <w:tc>
          <w:tcPr>
            <w:tcW w:w="2451" w:type="dxa"/>
            <w:tcBorders>
              <w:top w:val="single" w:sz="4" w:space="0" w:color="000000"/>
              <w:left w:val="single" w:sz="4" w:space="0" w:color="000000"/>
              <w:bottom w:val="single" w:sz="4" w:space="0" w:color="000000"/>
              <w:right w:val="single" w:sz="4" w:space="0" w:color="000000"/>
            </w:tcBorders>
            <w:vAlign w:val="center"/>
          </w:tcPr>
          <w:p w14:paraId="1E259DA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195</w:t>
            </w:r>
          </w:p>
        </w:tc>
      </w:tr>
      <w:tr w:rsidR="00FF1E38" w:rsidRPr="00FF1E38" w14:paraId="57B4F776"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432B16AD"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6711BA7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Budenec</w:t>
            </w:r>
          </w:p>
        </w:tc>
        <w:tc>
          <w:tcPr>
            <w:tcW w:w="2303" w:type="dxa"/>
            <w:tcBorders>
              <w:top w:val="single" w:sz="4" w:space="0" w:color="000000"/>
              <w:left w:val="single" w:sz="4" w:space="0" w:color="000000"/>
              <w:bottom w:val="single" w:sz="4" w:space="0" w:color="000000"/>
              <w:right w:val="single" w:sz="4" w:space="0" w:color="000000"/>
            </w:tcBorders>
            <w:vAlign w:val="center"/>
          </w:tcPr>
          <w:p w14:paraId="2E2C773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323</w:t>
            </w:r>
          </w:p>
        </w:tc>
        <w:tc>
          <w:tcPr>
            <w:tcW w:w="2451" w:type="dxa"/>
            <w:tcBorders>
              <w:top w:val="single" w:sz="4" w:space="0" w:color="000000"/>
              <w:left w:val="single" w:sz="4" w:space="0" w:color="000000"/>
              <w:bottom w:val="single" w:sz="4" w:space="0" w:color="000000"/>
              <w:right w:val="single" w:sz="4" w:space="0" w:color="000000"/>
            </w:tcBorders>
            <w:vAlign w:val="center"/>
          </w:tcPr>
          <w:p w14:paraId="7AE5A9E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7E01E29B"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54864833"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3E8CC0A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Buzin</w:t>
            </w:r>
          </w:p>
        </w:tc>
        <w:tc>
          <w:tcPr>
            <w:tcW w:w="2303" w:type="dxa"/>
            <w:tcBorders>
              <w:top w:val="single" w:sz="4" w:space="0" w:color="000000"/>
              <w:left w:val="single" w:sz="4" w:space="0" w:color="000000"/>
              <w:bottom w:val="single" w:sz="4" w:space="0" w:color="000000"/>
              <w:right w:val="single" w:sz="4" w:space="0" w:color="000000"/>
            </w:tcBorders>
            <w:vAlign w:val="center"/>
          </w:tcPr>
          <w:p w14:paraId="38C8286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1 042</w:t>
            </w:r>
          </w:p>
        </w:tc>
        <w:tc>
          <w:tcPr>
            <w:tcW w:w="2451" w:type="dxa"/>
            <w:tcBorders>
              <w:top w:val="single" w:sz="4" w:space="0" w:color="000000"/>
              <w:left w:val="single" w:sz="4" w:space="0" w:color="000000"/>
              <w:bottom w:val="single" w:sz="4" w:space="0" w:color="000000"/>
              <w:right w:val="single" w:sz="4" w:space="0" w:color="000000"/>
            </w:tcBorders>
            <w:vAlign w:val="center"/>
          </w:tcPr>
          <w:p w14:paraId="71C3C24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100</w:t>
            </w:r>
          </w:p>
        </w:tc>
      </w:tr>
      <w:tr w:rsidR="00FF1E38" w:rsidRPr="00FF1E38" w14:paraId="1AD8F027"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295F3E09"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45DB9E2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Cerje</w:t>
            </w:r>
          </w:p>
        </w:tc>
        <w:tc>
          <w:tcPr>
            <w:tcW w:w="2303" w:type="dxa"/>
            <w:tcBorders>
              <w:top w:val="single" w:sz="4" w:space="0" w:color="000000"/>
              <w:left w:val="single" w:sz="4" w:space="0" w:color="000000"/>
              <w:bottom w:val="single" w:sz="4" w:space="0" w:color="000000"/>
              <w:right w:val="single" w:sz="4" w:space="0" w:color="000000"/>
            </w:tcBorders>
            <w:vAlign w:val="center"/>
          </w:tcPr>
          <w:p w14:paraId="154E676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409</w:t>
            </w:r>
          </w:p>
        </w:tc>
        <w:tc>
          <w:tcPr>
            <w:tcW w:w="2451" w:type="dxa"/>
            <w:tcBorders>
              <w:top w:val="single" w:sz="4" w:space="0" w:color="000000"/>
              <w:left w:val="single" w:sz="4" w:space="0" w:color="000000"/>
              <w:bottom w:val="single" w:sz="4" w:space="0" w:color="000000"/>
              <w:right w:val="single" w:sz="4" w:space="0" w:color="000000"/>
            </w:tcBorders>
            <w:vAlign w:val="center"/>
          </w:tcPr>
          <w:p w14:paraId="7BE1A73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3D82BEE5"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0F81D5B9"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02F0CD9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Demerje</w:t>
            </w:r>
          </w:p>
        </w:tc>
        <w:tc>
          <w:tcPr>
            <w:tcW w:w="2303" w:type="dxa"/>
            <w:tcBorders>
              <w:top w:val="single" w:sz="4" w:space="0" w:color="000000"/>
              <w:left w:val="single" w:sz="4" w:space="0" w:color="000000"/>
              <w:bottom w:val="single" w:sz="4" w:space="0" w:color="000000"/>
              <w:right w:val="single" w:sz="4" w:space="0" w:color="000000"/>
            </w:tcBorders>
            <w:vAlign w:val="center"/>
          </w:tcPr>
          <w:p w14:paraId="6B0CA46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723</w:t>
            </w:r>
          </w:p>
        </w:tc>
        <w:tc>
          <w:tcPr>
            <w:tcW w:w="2451" w:type="dxa"/>
            <w:tcBorders>
              <w:top w:val="single" w:sz="4" w:space="0" w:color="000000"/>
              <w:left w:val="single" w:sz="4" w:space="0" w:color="000000"/>
              <w:bottom w:val="single" w:sz="4" w:space="0" w:color="000000"/>
              <w:right w:val="single" w:sz="4" w:space="0" w:color="000000"/>
            </w:tcBorders>
            <w:vAlign w:val="center"/>
          </w:tcPr>
          <w:p w14:paraId="5F0AD46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20</w:t>
            </w:r>
          </w:p>
        </w:tc>
      </w:tr>
      <w:tr w:rsidR="00FF1E38" w:rsidRPr="00FF1E38" w14:paraId="2A8A60DF"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5BE2245E"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0D9A077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Desprim</w:t>
            </w:r>
          </w:p>
        </w:tc>
        <w:tc>
          <w:tcPr>
            <w:tcW w:w="2303" w:type="dxa"/>
            <w:tcBorders>
              <w:top w:val="single" w:sz="4" w:space="0" w:color="000000"/>
              <w:left w:val="single" w:sz="4" w:space="0" w:color="000000"/>
              <w:bottom w:val="single" w:sz="4" w:space="0" w:color="000000"/>
              <w:right w:val="single" w:sz="4" w:space="0" w:color="000000"/>
            </w:tcBorders>
            <w:vAlign w:val="center"/>
          </w:tcPr>
          <w:p w14:paraId="691C0CA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378</w:t>
            </w:r>
          </w:p>
        </w:tc>
        <w:tc>
          <w:tcPr>
            <w:tcW w:w="2451" w:type="dxa"/>
            <w:tcBorders>
              <w:top w:val="single" w:sz="4" w:space="0" w:color="000000"/>
              <w:left w:val="single" w:sz="4" w:space="0" w:color="000000"/>
              <w:bottom w:val="single" w:sz="4" w:space="0" w:color="000000"/>
              <w:right w:val="single" w:sz="4" w:space="0" w:color="000000"/>
            </w:tcBorders>
            <w:vAlign w:val="center"/>
          </w:tcPr>
          <w:p w14:paraId="741D7E7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632CB7F9"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19B30E60"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053B37A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Dobrodol</w:t>
            </w:r>
          </w:p>
        </w:tc>
        <w:tc>
          <w:tcPr>
            <w:tcW w:w="2303" w:type="dxa"/>
            <w:tcBorders>
              <w:top w:val="single" w:sz="4" w:space="0" w:color="000000"/>
              <w:left w:val="single" w:sz="4" w:space="0" w:color="000000"/>
              <w:bottom w:val="single" w:sz="4" w:space="0" w:color="000000"/>
              <w:right w:val="single" w:sz="4" w:space="0" w:color="000000"/>
            </w:tcBorders>
            <w:vAlign w:val="center"/>
          </w:tcPr>
          <w:p w14:paraId="4BD356D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1 206</w:t>
            </w:r>
          </w:p>
        </w:tc>
        <w:tc>
          <w:tcPr>
            <w:tcW w:w="2451" w:type="dxa"/>
            <w:tcBorders>
              <w:top w:val="single" w:sz="4" w:space="0" w:color="000000"/>
              <w:left w:val="single" w:sz="4" w:space="0" w:color="000000"/>
              <w:bottom w:val="single" w:sz="4" w:space="0" w:color="000000"/>
              <w:right w:val="single" w:sz="4" w:space="0" w:color="000000"/>
            </w:tcBorders>
            <w:vAlign w:val="center"/>
          </w:tcPr>
          <w:p w14:paraId="05B7470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55C3247F"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459AC2E5"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5D33933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Donji Čehi</w:t>
            </w:r>
          </w:p>
        </w:tc>
        <w:tc>
          <w:tcPr>
            <w:tcW w:w="2303" w:type="dxa"/>
            <w:tcBorders>
              <w:top w:val="single" w:sz="4" w:space="0" w:color="000000"/>
              <w:left w:val="single" w:sz="4" w:space="0" w:color="000000"/>
              <w:bottom w:val="single" w:sz="4" w:space="0" w:color="000000"/>
              <w:right w:val="single" w:sz="4" w:space="0" w:color="000000"/>
            </w:tcBorders>
            <w:vAlign w:val="center"/>
          </w:tcPr>
          <w:p w14:paraId="1EA2D45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227</w:t>
            </w:r>
          </w:p>
        </w:tc>
        <w:tc>
          <w:tcPr>
            <w:tcW w:w="2451" w:type="dxa"/>
            <w:tcBorders>
              <w:top w:val="single" w:sz="4" w:space="0" w:color="000000"/>
              <w:left w:val="single" w:sz="4" w:space="0" w:color="000000"/>
              <w:bottom w:val="single" w:sz="4" w:space="0" w:color="000000"/>
              <w:right w:val="single" w:sz="4" w:space="0" w:color="000000"/>
            </w:tcBorders>
            <w:vAlign w:val="center"/>
          </w:tcPr>
          <w:p w14:paraId="67B9962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227</w:t>
            </w:r>
          </w:p>
        </w:tc>
      </w:tr>
      <w:tr w:rsidR="00FF1E38" w:rsidRPr="00FF1E38" w14:paraId="50318A84"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3A5C0869"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77BB69A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Donji Dragonožec</w:t>
            </w:r>
          </w:p>
        </w:tc>
        <w:tc>
          <w:tcPr>
            <w:tcW w:w="2303" w:type="dxa"/>
            <w:tcBorders>
              <w:top w:val="single" w:sz="4" w:space="0" w:color="000000"/>
              <w:left w:val="single" w:sz="4" w:space="0" w:color="000000"/>
              <w:bottom w:val="single" w:sz="4" w:space="0" w:color="000000"/>
              <w:right w:val="single" w:sz="4" w:space="0" w:color="000000"/>
            </w:tcBorders>
            <w:vAlign w:val="center"/>
          </w:tcPr>
          <w:p w14:paraId="6BD2014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574</w:t>
            </w:r>
          </w:p>
        </w:tc>
        <w:tc>
          <w:tcPr>
            <w:tcW w:w="2451" w:type="dxa"/>
            <w:tcBorders>
              <w:top w:val="single" w:sz="4" w:space="0" w:color="000000"/>
              <w:left w:val="single" w:sz="4" w:space="0" w:color="000000"/>
              <w:bottom w:val="single" w:sz="4" w:space="0" w:color="000000"/>
              <w:right w:val="single" w:sz="4" w:space="0" w:color="000000"/>
            </w:tcBorders>
            <w:vAlign w:val="center"/>
          </w:tcPr>
          <w:p w14:paraId="72876B7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3DA23721"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179BDA46"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51116D9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Donji Trpuci</w:t>
            </w:r>
          </w:p>
        </w:tc>
        <w:tc>
          <w:tcPr>
            <w:tcW w:w="2303" w:type="dxa"/>
            <w:tcBorders>
              <w:top w:val="single" w:sz="4" w:space="0" w:color="000000"/>
              <w:left w:val="single" w:sz="4" w:space="0" w:color="000000"/>
              <w:bottom w:val="single" w:sz="4" w:space="0" w:color="000000"/>
              <w:right w:val="single" w:sz="4" w:space="0" w:color="000000"/>
            </w:tcBorders>
            <w:vAlign w:val="center"/>
          </w:tcPr>
          <w:p w14:paraId="24A73D7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427</w:t>
            </w:r>
          </w:p>
        </w:tc>
        <w:tc>
          <w:tcPr>
            <w:tcW w:w="2451" w:type="dxa"/>
            <w:tcBorders>
              <w:top w:val="single" w:sz="4" w:space="0" w:color="000000"/>
              <w:left w:val="single" w:sz="4" w:space="0" w:color="000000"/>
              <w:bottom w:val="single" w:sz="4" w:space="0" w:color="000000"/>
              <w:right w:val="single" w:sz="4" w:space="0" w:color="000000"/>
            </w:tcBorders>
            <w:vAlign w:val="center"/>
          </w:tcPr>
          <w:p w14:paraId="3EEDA36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2BFA156C"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1329B3E0"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41E6456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Drenčec</w:t>
            </w:r>
          </w:p>
        </w:tc>
        <w:tc>
          <w:tcPr>
            <w:tcW w:w="2303" w:type="dxa"/>
            <w:tcBorders>
              <w:top w:val="single" w:sz="4" w:space="0" w:color="000000"/>
              <w:left w:val="single" w:sz="4" w:space="0" w:color="000000"/>
              <w:bottom w:val="single" w:sz="4" w:space="0" w:color="000000"/>
              <w:right w:val="single" w:sz="4" w:space="0" w:color="000000"/>
            </w:tcBorders>
            <w:vAlign w:val="center"/>
          </w:tcPr>
          <w:p w14:paraId="3A0186F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131</w:t>
            </w:r>
          </w:p>
        </w:tc>
        <w:tc>
          <w:tcPr>
            <w:tcW w:w="2451" w:type="dxa"/>
            <w:tcBorders>
              <w:top w:val="single" w:sz="4" w:space="0" w:color="000000"/>
              <w:left w:val="single" w:sz="4" w:space="0" w:color="000000"/>
              <w:bottom w:val="single" w:sz="4" w:space="0" w:color="000000"/>
              <w:right w:val="single" w:sz="4" w:space="0" w:color="000000"/>
            </w:tcBorders>
            <w:vAlign w:val="center"/>
          </w:tcPr>
          <w:p w14:paraId="67A47A7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457535EA"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341497F1"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1515CBE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Drežnik Brezovički</w:t>
            </w:r>
          </w:p>
        </w:tc>
        <w:tc>
          <w:tcPr>
            <w:tcW w:w="2303" w:type="dxa"/>
            <w:tcBorders>
              <w:top w:val="single" w:sz="4" w:space="0" w:color="000000"/>
              <w:left w:val="single" w:sz="4" w:space="0" w:color="000000"/>
              <w:bottom w:val="single" w:sz="4" w:space="0" w:color="000000"/>
              <w:right w:val="single" w:sz="4" w:space="0" w:color="000000"/>
            </w:tcBorders>
            <w:vAlign w:val="center"/>
          </w:tcPr>
          <w:p w14:paraId="003B034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637</w:t>
            </w:r>
          </w:p>
        </w:tc>
        <w:tc>
          <w:tcPr>
            <w:tcW w:w="2451" w:type="dxa"/>
            <w:tcBorders>
              <w:top w:val="single" w:sz="4" w:space="0" w:color="000000"/>
              <w:left w:val="single" w:sz="4" w:space="0" w:color="000000"/>
              <w:bottom w:val="single" w:sz="4" w:space="0" w:color="000000"/>
              <w:right w:val="single" w:sz="4" w:space="0" w:color="000000"/>
            </w:tcBorders>
            <w:vAlign w:val="center"/>
          </w:tcPr>
          <w:p w14:paraId="72F894E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12BCBB20"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3CA22BB3"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347335C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Dumovec</w:t>
            </w:r>
          </w:p>
        </w:tc>
        <w:tc>
          <w:tcPr>
            <w:tcW w:w="2303" w:type="dxa"/>
            <w:tcBorders>
              <w:top w:val="single" w:sz="4" w:space="0" w:color="000000"/>
              <w:left w:val="single" w:sz="4" w:space="0" w:color="000000"/>
              <w:bottom w:val="single" w:sz="4" w:space="0" w:color="000000"/>
              <w:right w:val="single" w:sz="4" w:space="0" w:color="000000"/>
            </w:tcBorders>
            <w:vAlign w:val="center"/>
          </w:tcPr>
          <w:p w14:paraId="42E25B7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910</w:t>
            </w:r>
          </w:p>
        </w:tc>
        <w:tc>
          <w:tcPr>
            <w:tcW w:w="2451" w:type="dxa"/>
            <w:tcBorders>
              <w:top w:val="single" w:sz="4" w:space="0" w:color="000000"/>
              <w:left w:val="single" w:sz="4" w:space="0" w:color="000000"/>
              <w:bottom w:val="single" w:sz="4" w:space="0" w:color="000000"/>
              <w:right w:val="single" w:sz="4" w:space="0" w:color="000000"/>
            </w:tcBorders>
            <w:vAlign w:val="center"/>
          </w:tcPr>
          <w:p w14:paraId="00DBFE7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910</w:t>
            </w:r>
          </w:p>
        </w:tc>
      </w:tr>
      <w:tr w:rsidR="00FF1E38" w:rsidRPr="00FF1E38" w14:paraId="415DB2CB"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6D636316"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18DD2BA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Đurđekovec</w:t>
            </w:r>
          </w:p>
        </w:tc>
        <w:tc>
          <w:tcPr>
            <w:tcW w:w="2303" w:type="dxa"/>
            <w:tcBorders>
              <w:top w:val="single" w:sz="4" w:space="0" w:color="000000"/>
              <w:left w:val="single" w:sz="4" w:space="0" w:color="000000"/>
              <w:bottom w:val="single" w:sz="4" w:space="0" w:color="000000"/>
              <w:right w:val="single" w:sz="4" w:space="0" w:color="000000"/>
            </w:tcBorders>
            <w:vAlign w:val="center"/>
          </w:tcPr>
          <w:p w14:paraId="77DF9F9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772</w:t>
            </w:r>
          </w:p>
        </w:tc>
        <w:tc>
          <w:tcPr>
            <w:tcW w:w="2451" w:type="dxa"/>
            <w:tcBorders>
              <w:top w:val="single" w:sz="4" w:space="0" w:color="000000"/>
              <w:left w:val="single" w:sz="4" w:space="0" w:color="000000"/>
              <w:bottom w:val="single" w:sz="4" w:space="0" w:color="000000"/>
              <w:right w:val="single" w:sz="4" w:space="0" w:color="000000"/>
            </w:tcBorders>
            <w:vAlign w:val="center"/>
          </w:tcPr>
          <w:p w14:paraId="58FB725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7F89F0A5"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42A0EB04"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3264C70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Gajec</w:t>
            </w:r>
          </w:p>
        </w:tc>
        <w:tc>
          <w:tcPr>
            <w:tcW w:w="2303" w:type="dxa"/>
            <w:tcBorders>
              <w:top w:val="single" w:sz="4" w:space="0" w:color="000000"/>
              <w:left w:val="single" w:sz="4" w:space="0" w:color="000000"/>
              <w:bottom w:val="single" w:sz="4" w:space="0" w:color="000000"/>
              <w:right w:val="single" w:sz="4" w:space="0" w:color="000000"/>
            </w:tcBorders>
            <w:vAlign w:val="center"/>
          </w:tcPr>
          <w:p w14:paraId="5F352C5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321</w:t>
            </w:r>
          </w:p>
        </w:tc>
        <w:tc>
          <w:tcPr>
            <w:tcW w:w="2451" w:type="dxa"/>
            <w:tcBorders>
              <w:top w:val="single" w:sz="4" w:space="0" w:color="000000"/>
              <w:left w:val="single" w:sz="4" w:space="0" w:color="000000"/>
              <w:bottom w:val="single" w:sz="4" w:space="0" w:color="000000"/>
              <w:right w:val="single" w:sz="4" w:space="0" w:color="000000"/>
            </w:tcBorders>
            <w:vAlign w:val="center"/>
          </w:tcPr>
          <w:p w14:paraId="15F1FD2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1ED2F820"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69E1F994"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1D30848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Glavnica Donja</w:t>
            </w:r>
          </w:p>
        </w:tc>
        <w:tc>
          <w:tcPr>
            <w:tcW w:w="2303" w:type="dxa"/>
            <w:tcBorders>
              <w:top w:val="single" w:sz="4" w:space="0" w:color="000000"/>
              <w:left w:val="single" w:sz="4" w:space="0" w:color="000000"/>
              <w:bottom w:val="single" w:sz="4" w:space="0" w:color="000000"/>
              <w:right w:val="single" w:sz="4" w:space="0" w:color="000000"/>
            </w:tcBorders>
            <w:vAlign w:val="center"/>
          </w:tcPr>
          <w:p w14:paraId="6959CA4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552</w:t>
            </w:r>
          </w:p>
        </w:tc>
        <w:tc>
          <w:tcPr>
            <w:tcW w:w="2451" w:type="dxa"/>
            <w:tcBorders>
              <w:top w:val="single" w:sz="4" w:space="0" w:color="000000"/>
              <w:left w:val="single" w:sz="4" w:space="0" w:color="000000"/>
              <w:bottom w:val="single" w:sz="4" w:space="0" w:color="000000"/>
              <w:right w:val="single" w:sz="4" w:space="0" w:color="000000"/>
            </w:tcBorders>
            <w:vAlign w:val="center"/>
          </w:tcPr>
          <w:p w14:paraId="34B1A9F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60061079"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1E85935B"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0572D89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Glavnica Gornja</w:t>
            </w:r>
          </w:p>
        </w:tc>
        <w:tc>
          <w:tcPr>
            <w:tcW w:w="2303" w:type="dxa"/>
            <w:tcBorders>
              <w:top w:val="single" w:sz="4" w:space="0" w:color="000000"/>
              <w:left w:val="single" w:sz="4" w:space="0" w:color="000000"/>
              <w:bottom w:val="single" w:sz="4" w:space="0" w:color="000000"/>
              <w:right w:val="single" w:sz="4" w:space="0" w:color="000000"/>
            </w:tcBorders>
            <w:vAlign w:val="center"/>
          </w:tcPr>
          <w:p w14:paraId="21EBB3C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225</w:t>
            </w:r>
          </w:p>
        </w:tc>
        <w:tc>
          <w:tcPr>
            <w:tcW w:w="2451" w:type="dxa"/>
            <w:tcBorders>
              <w:top w:val="single" w:sz="4" w:space="0" w:color="000000"/>
              <w:left w:val="single" w:sz="4" w:space="0" w:color="000000"/>
              <w:bottom w:val="single" w:sz="4" w:space="0" w:color="000000"/>
              <w:right w:val="single" w:sz="4" w:space="0" w:color="000000"/>
            </w:tcBorders>
            <w:vAlign w:val="center"/>
          </w:tcPr>
          <w:p w14:paraId="6A5BD4F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01C09C9B"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63B2DEC0"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6018620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Glavničica</w:t>
            </w:r>
          </w:p>
        </w:tc>
        <w:tc>
          <w:tcPr>
            <w:tcW w:w="2303" w:type="dxa"/>
            <w:tcBorders>
              <w:top w:val="single" w:sz="4" w:space="0" w:color="000000"/>
              <w:left w:val="single" w:sz="4" w:space="0" w:color="000000"/>
              <w:bottom w:val="single" w:sz="4" w:space="0" w:color="000000"/>
              <w:right w:val="single" w:sz="4" w:space="0" w:color="000000"/>
            </w:tcBorders>
            <w:vAlign w:val="center"/>
          </w:tcPr>
          <w:p w14:paraId="2276D26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229</w:t>
            </w:r>
          </w:p>
        </w:tc>
        <w:tc>
          <w:tcPr>
            <w:tcW w:w="2451" w:type="dxa"/>
            <w:tcBorders>
              <w:top w:val="single" w:sz="4" w:space="0" w:color="000000"/>
              <w:left w:val="single" w:sz="4" w:space="0" w:color="000000"/>
              <w:bottom w:val="single" w:sz="4" w:space="0" w:color="000000"/>
              <w:right w:val="single" w:sz="4" w:space="0" w:color="000000"/>
            </w:tcBorders>
            <w:vAlign w:val="center"/>
          </w:tcPr>
          <w:p w14:paraId="4371D9E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110</w:t>
            </w:r>
          </w:p>
        </w:tc>
      </w:tr>
      <w:tr w:rsidR="00FF1E38" w:rsidRPr="00FF1E38" w14:paraId="3ADB0813"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55449031"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425C963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Goli Breg</w:t>
            </w:r>
          </w:p>
        </w:tc>
        <w:tc>
          <w:tcPr>
            <w:tcW w:w="2303" w:type="dxa"/>
            <w:tcBorders>
              <w:top w:val="single" w:sz="4" w:space="0" w:color="000000"/>
              <w:left w:val="single" w:sz="4" w:space="0" w:color="000000"/>
              <w:bottom w:val="single" w:sz="4" w:space="0" w:color="000000"/>
              <w:right w:val="single" w:sz="4" w:space="0" w:color="000000"/>
            </w:tcBorders>
            <w:vAlign w:val="center"/>
          </w:tcPr>
          <w:p w14:paraId="74FCD5A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409</w:t>
            </w:r>
          </w:p>
        </w:tc>
        <w:tc>
          <w:tcPr>
            <w:tcW w:w="2451" w:type="dxa"/>
            <w:tcBorders>
              <w:top w:val="single" w:sz="4" w:space="0" w:color="000000"/>
              <w:left w:val="single" w:sz="4" w:space="0" w:color="000000"/>
              <w:bottom w:val="single" w:sz="4" w:space="0" w:color="000000"/>
              <w:right w:val="single" w:sz="4" w:space="0" w:color="000000"/>
            </w:tcBorders>
            <w:vAlign w:val="center"/>
          </w:tcPr>
          <w:p w14:paraId="229EA2D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40</w:t>
            </w:r>
          </w:p>
        </w:tc>
      </w:tr>
      <w:tr w:rsidR="00FF1E38" w:rsidRPr="00FF1E38" w14:paraId="0BE29329"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7FD18A2E"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24AEF94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Goranec</w:t>
            </w:r>
          </w:p>
        </w:tc>
        <w:tc>
          <w:tcPr>
            <w:tcW w:w="2303" w:type="dxa"/>
            <w:tcBorders>
              <w:top w:val="single" w:sz="4" w:space="0" w:color="000000"/>
              <w:left w:val="single" w:sz="4" w:space="0" w:color="000000"/>
              <w:bottom w:val="single" w:sz="4" w:space="0" w:color="000000"/>
              <w:right w:val="single" w:sz="4" w:space="0" w:color="000000"/>
            </w:tcBorders>
            <w:vAlign w:val="center"/>
          </w:tcPr>
          <w:p w14:paraId="679DE84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446</w:t>
            </w:r>
          </w:p>
        </w:tc>
        <w:tc>
          <w:tcPr>
            <w:tcW w:w="2451" w:type="dxa"/>
            <w:tcBorders>
              <w:top w:val="single" w:sz="4" w:space="0" w:color="000000"/>
              <w:left w:val="single" w:sz="4" w:space="0" w:color="000000"/>
              <w:bottom w:val="single" w:sz="4" w:space="0" w:color="000000"/>
              <w:right w:val="single" w:sz="4" w:space="0" w:color="000000"/>
            </w:tcBorders>
            <w:vAlign w:val="center"/>
          </w:tcPr>
          <w:p w14:paraId="2FE5545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6451DB4E"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0E344CC9"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07727A0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Gornji Čehi</w:t>
            </w:r>
          </w:p>
        </w:tc>
        <w:tc>
          <w:tcPr>
            <w:tcW w:w="2303" w:type="dxa"/>
            <w:tcBorders>
              <w:top w:val="single" w:sz="4" w:space="0" w:color="000000"/>
              <w:left w:val="single" w:sz="4" w:space="0" w:color="000000"/>
              <w:bottom w:val="single" w:sz="4" w:space="0" w:color="000000"/>
              <w:right w:val="single" w:sz="4" w:space="0" w:color="000000"/>
            </w:tcBorders>
            <w:vAlign w:val="center"/>
          </w:tcPr>
          <w:p w14:paraId="4DC07BE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368</w:t>
            </w:r>
          </w:p>
        </w:tc>
        <w:tc>
          <w:tcPr>
            <w:tcW w:w="2451" w:type="dxa"/>
            <w:tcBorders>
              <w:top w:val="single" w:sz="4" w:space="0" w:color="000000"/>
              <w:left w:val="single" w:sz="4" w:space="0" w:color="000000"/>
              <w:bottom w:val="single" w:sz="4" w:space="0" w:color="000000"/>
              <w:right w:val="single" w:sz="4" w:space="0" w:color="000000"/>
            </w:tcBorders>
            <w:vAlign w:val="center"/>
          </w:tcPr>
          <w:p w14:paraId="6C5DC4C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368</w:t>
            </w:r>
          </w:p>
        </w:tc>
      </w:tr>
      <w:tr w:rsidR="00FF1E38" w:rsidRPr="00FF1E38" w14:paraId="2A8855E7"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33572C5C"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324D83E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Gornji Dragonožec</w:t>
            </w:r>
          </w:p>
        </w:tc>
        <w:tc>
          <w:tcPr>
            <w:tcW w:w="2303" w:type="dxa"/>
            <w:tcBorders>
              <w:top w:val="single" w:sz="4" w:space="0" w:color="000000"/>
              <w:left w:val="single" w:sz="4" w:space="0" w:color="000000"/>
              <w:bottom w:val="single" w:sz="4" w:space="0" w:color="000000"/>
              <w:right w:val="single" w:sz="4" w:space="0" w:color="000000"/>
            </w:tcBorders>
            <w:vAlign w:val="center"/>
          </w:tcPr>
          <w:p w14:paraId="62CA6E3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295</w:t>
            </w:r>
          </w:p>
        </w:tc>
        <w:tc>
          <w:tcPr>
            <w:tcW w:w="2451" w:type="dxa"/>
            <w:tcBorders>
              <w:top w:val="single" w:sz="4" w:space="0" w:color="000000"/>
              <w:left w:val="single" w:sz="4" w:space="0" w:color="000000"/>
              <w:bottom w:val="single" w:sz="4" w:space="0" w:color="000000"/>
              <w:right w:val="single" w:sz="4" w:space="0" w:color="000000"/>
            </w:tcBorders>
            <w:vAlign w:val="center"/>
          </w:tcPr>
          <w:p w14:paraId="0AF3156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4E13D15A"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4B5437B7"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78EA352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Gornji Trpuci</w:t>
            </w:r>
          </w:p>
        </w:tc>
        <w:tc>
          <w:tcPr>
            <w:tcW w:w="2303" w:type="dxa"/>
            <w:tcBorders>
              <w:top w:val="single" w:sz="4" w:space="0" w:color="000000"/>
              <w:left w:val="single" w:sz="4" w:space="0" w:color="000000"/>
              <w:bottom w:val="single" w:sz="4" w:space="0" w:color="000000"/>
              <w:right w:val="single" w:sz="4" w:space="0" w:color="000000"/>
            </w:tcBorders>
            <w:vAlign w:val="center"/>
          </w:tcPr>
          <w:p w14:paraId="4C070D6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87</w:t>
            </w:r>
          </w:p>
        </w:tc>
        <w:tc>
          <w:tcPr>
            <w:tcW w:w="2451" w:type="dxa"/>
            <w:tcBorders>
              <w:top w:val="single" w:sz="4" w:space="0" w:color="000000"/>
              <w:left w:val="single" w:sz="4" w:space="0" w:color="000000"/>
              <w:bottom w:val="single" w:sz="4" w:space="0" w:color="000000"/>
              <w:right w:val="single" w:sz="4" w:space="0" w:color="000000"/>
            </w:tcBorders>
            <w:vAlign w:val="center"/>
          </w:tcPr>
          <w:p w14:paraId="459A5DF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59339DBF"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695356DD"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3D384F1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Grančari</w:t>
            </w:r>
          </w:p>
        </w:tc>
        <w:tc>
          <w:tcPr>
            <w:tcW w:w="2303" w:type="dxa"/>
            <w:tcBorders>
              <w:top w:val="single" w:sz="4" w:space="0" w:color="000000"/>
              <w:left w:val="single" w:sz="4" w:space="0" w:color="000000"/>
              <w:bottom w:val="single" w:sz="4" w:space="0" w:color="000000"/>
              <w:right w:val="single" w:sz="4" w:space="0" w:color="000000"/>
            </w:tcBorders>
            <w:vAlign w:val="center"/>
          </w:tcPr>
          <w:p w14:paraId="343E703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216</w:t>
            </w:r>
          </w:p>
        </w:tc>
        <w:tc>
          <w:tcPr>
            <w:tcW w:w="2451" w:type="dxa"/>
            <w:tcBorders>
              <w:top w:val="single" w:sz="4" w:space="0" w:color="000000"/>
              <w:left w:val="single" w:sz="4" w:space="0" w:color="000000"/>
              <w:bottom w:val="single" w:sz="4" w:space="0" w:color="000000"/>
              <w:right w:val="single" w:sz="4" w:space="0" w:color="000000"/>
            </w:tcBorders>
            <w:vAlign w:val="center"/>
          </w:tcPr>
          <w:p w14:paraId="5A64699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3E06B93A"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2C3784B3"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68EA987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Havidić Selo</w:t>
            </w:r>
          </w:p>
        </w:tc>
        <w:tc>
          <w:tcPr>
            <w:tcW w:w="2303" w:type="dxa"/>
            <w:tcBorders>
              <w:top w:val="single" w:sz="4" w:space="0" w:color="000000"/>
              <w:left w:val="single" w:sz="4" w:space="0" w:color="000000"/>
              <w:bottom w:val="single" w:sz="4" w:space="0" w:color="000000"/>
              <w:right w:val="single" w:sz="4" w:space="0" w:color="000000"/>
            </w:tcBorders>
            <w:vAlign w:val="center"/>
          </w:tcPr>
          <w:p w14:paraId="0AE844C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57</w:t>
            </w:r>
          </w:p>
        </w:tc>
        <w:tc>
          <w:tcPr>
            <w:tcW w:w="2451" w:type="dxa"/>
            <w:tcBorders>
              <w:top w:val="single" w:sz="4" w:space="0" w:color="000000"/>
              <w:left w:val="single" w:sz="4" w:space="0" w:color="000000"/>
              <w:bottom w:val="single" w:sz="4" w:space="0" w:color="000000"/>
              <w:right w:val="single" w:sz="4" w:space="0" w:color="000000"/>
            </w:tcBorders>
            <w:vAlign w:val="center"/>
          </w:tcPr>
          <w:p w14:paraId="0BA46D6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07DEB6B0"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22FCBC9D"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54DCA50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Horvati</w:t>
            </w:r>
          </w:p>
        </w:tc>
        <w:tc>
          <w:tcPr>
            <w:tcW w:w="2303" w:type="dxa"/>
            <w:tcBorders>
              <w:top w:val="single" w:sz="4" w:space="0" w:color="000000"/>
              <w:left w:val="single" w:sz="4" w:space="0" w:color="000000"/>
              <w:bottom w:val="single" w:sz="4" w:space="0" w:color="000000"/>
              <w:right w:val="single" w:sz="4" w:space="0" w:color="000000"/>
            </w:tcBorders>
            <w:vAlign w:val="center"/>
          </w:tcPr>
          <w:p w14:paraId="2FB30CA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1 502</w:t>
            </w:r>
          </w:p>
        </w:tc>
        <w:tc>
          <w:tcPr>
            <w:tcW w:w="2451" w:type="dxa"/>
            <w:tcBorders>
              <w:top w:val="single" w:sz="4" w:space="0" w:color="000000"/>
              <w:left w:val="single" w:sz="4" w:space="0" w:color="000000"/>
              <w:bottom w:val="single" w:sz="4" w:space="0" w:color="000000"/>
              <w:right w:val="single" w:sz="4" w:space="0" w:color="000000"/>
            </w:tcBorders>
            <w:vAlign w:val="center"/>
          </w:tcPr>
          <w:p w14:paraId="02F83A3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5E913CBC"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06133BD6"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2AEB263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Hrašće Turopoljsko</w:t>
            </w:r>
          </w:p>
        </w:tc>
        <w:tc>
          <w:tcPr>
            <w:tcW w:w="2303" w:type="dxa"/>
            <w:tcBorders>
              <w:top w:val="single" w:sz="4" w:space="0" w:color="000000"/>
              <w:left w:val="single" w:sz="4" w:space="0" w:color="000000"/>
              <w:bottom w:val="single" w:sz="4" w:space="0" w:color="000000"/>
              <w:right w:val="single" w:sz="4" w:space="0" w:color="000000"/>
            </w:tcBorders>
            <w:vAlign w:val="center"/>
          </w:tcPr>
          <w:p w14:paraId="1A25363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1 202</w:t>
            </w:r>
          </w:p>
        </w:tc>
        <w:tc>
          <w:tcPr>
            <w:tcW w:w="2451" w:type="dxa"/>
            <w:tcBorders>
              <w:top w:val="single" w:sz="4" w:space="0" w:color="000000"/>
              <w:left w:val="single" w:sz="4" w:space="0" w:color="000000"/>
              <w:bottom w:val="single" w:sz="4" w:space="0" w:color="000000"/>
              <w:right w:val="single" w:sz="4" w:space="0" w:color="000000"/>
            </w:tcBorders>
            <w:vAlign w:val="center"/>
          </w:tcPr>
          <w:p w14:paraId="209DBE1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1202</w:t>
            </w:r>
          </w:p>
        </w:tc>
      </w:tr>
      <w:tr w:rsidR="00FF1E38" w:rsidRPr="00FF1E38" w14:paraId="2FF8FABF"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04D3D8BC"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4E2E4F0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Hrvatski Leskovac</w:t>
            </w:r>
          </w:p>
        </w:tc>
        <w:tc>
          <w:tcPr>
            <w:tcW w:w="2303" w:type="dxa"/>
            <w:tcBorders>
              <w:top w:val="single" w:sz="4" w:space="0" w:color="000000"/>
              <w:left w:val="single" w:sz="4" w:space="0" w:color="000000"/>
              <w:bottom w:val="single" w:sz="4" w:space="0" w:color="000000"/>
              <w:right w:val="single" w:sz="4" w:space="0" w:color="000000"/>
            </w:tcBorders>
            <w:vAlign w:val="center"/>
          </w:tcPr>
          <w:p w14:paraId="6199C7B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2 659</w:t>
            </w:r>
          </w:p>
        </w:tc>
        <w:tc>
          <w:tcPr>
            <w:tcW w:w="2451" w:type="dxa"/>
            <w:tcBorders>
              <w:top w:val="single" w:sz="4" w:space="0" w:color="000000"/>
              <w:left w:val="single" w:sz="4" w:space="0" w:color="000000"/>
              <w:bottom w:val="single" w:sz="4" w:space="0" w:color="000000"/>
              <w:right w:val="single" w:sz="4" w:space="0" w:color="000000"/>
            </w:tcBorders>
            <w:vAlign w:val="center"/>
          </w:tcPr>
          <w:p w14:paraId="6390402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2500</w:t>
            </w:r>
          </w:p>
        </w:tc>
      </w:tr>
      <w:tr w:rsidR="00FF1E38" w:rsidRPr="00FF1E38" w14:paraId="7CE66B7D"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7DB8332C"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1E900B4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Hudi Bitek</w:t>
            </w:r>
          </w:p>
        </w:tc>
        <w:tc>
          <w:tcPr>
            <w:tcW w:w="2303" w:type="dxa"/>
            <w:tcBorders>
              <w:top w:val="single" w:sz="4" w:space="0" w:color="000000"/>
              <w:left w:val="single" w:sz="4" w:space="0" w:color="000000"/>
              <w:bottom w:val="single" w:sz="4" w:space="0" w:color="000000"/>
              <w:right w:val="single" w:sz="4" w:space="0" w:color="000000"/>
            </w:tcBorders>
            <w:vAlign w:val="center"/>
          </w:tcPr>
          <w:p w14:paraId="170CA89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441</w:t>
            </w:r>
          </w:p>
        </w:tc>
        <w:tc>
          <w:tcPr>
            <w:tcW w:w="2451" w:type="dxa"/>
            <w:tcBorders>
              <w:top w:val="single" w:sz="4" w:space="0" w:color="000000"/>
              <w:left w:val="single" w:sz="4" w:space="0" w:color="000000"/>
              <w:bottom w:val="single" w:sz="4" w:space="0" w:color="000000"/>
              <w:right w:val="single" w:sz="4" w:space="0" w:color="000000"/>
            </w:tcBorders>
            <w:vAlign w:val="center"/>
          </w:tcPr>
          <w:p w14:paraId="5BAC528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69D068B7"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2EB69CF0"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2EAF66D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Ivanja Reka</w:t>
            </w:r>
          </w:p>
        </w:tc>
        <w:tc>
          <w:tcPr>
            <w:tcW w:w="2303" w:type="dxa"/>
            <w:tcBorders>
              <w:top w:val="single" w:sz="4" w:space="0" w:color="000000"/>
              <w:left w:val="single" w:sz="4" w:space="0" w:color="000000"/>
              <w:bottom w:val="single" w:sz="4" w:space="0" w:color="000000"/>
              <w:right w:val="single" w:sz="4" w:space="0" w:color="000000"/>
            </w:tcBorders>
            <w:vAlign w:val="center"/>
          </w:tcPr>
          <w:p w14:paraId="1A096D7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1 799</w:t>
            </w:r>
          </w:p>
        </w:tc>
        <w:tc>
          <w:tcPr>
            <w:tcW w:w="2451" w:type="dxa"/>
            <w:tcBorders>
              <w:top w:val="single" w:sz="4" w:space="0" w:color="000000"/>
              <w:left w:val="single" w:sz="4" w:space="0" w:color="000000"/>
              <w:bottom w:val="single" w:sz="4" w:space="0" w:color="000000"/>
              <w:right w:val="single" w:sz="4" w:space="0" w:color="000000"/>
            </w:tcBorders>
            <w:vAlign w:val="center"/>
          </w:tcPr>
          <w:p w14:paraId="76BA72B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1250</w:t>
            </w:r>
          </w:p>
        </w:tc>
      </w:tr>
      <w:tr w:rsidR="00FF1E38" w:rsidRPr="00FF1E38" w14:paraId="5D7878F3"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7B4E2D30"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01287C2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Jesenovec</w:t>
            </w:r>
          </w:p>
        </w:tc>
        <w:tc>
          <w:tcPr>
            <w:tcW w:w="2303" w:type="dxa"/>
            <w:tcBorders>
              <w:top w:val="single" w:sz="4" w:space="0" w:color="000000"/>
              <w:left w:val="single" w:sz="4" w:space="0" w:color="000000"/>
              <w:bottom w:val="single" w:sz="4" w:space="0" w:color="000000"/>
              <w:right w:val="single" w:sz="4" w:space="0" w:color="000000"/>
            </w:tcBorders>
            <w:vAlign w:val="center"/>
          </w:tcPr>
          <w:p w14:paraId="0930C05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462</w:t>
            </w:r>
          </w:p>
        </w:tc>
        <w:tc>
          <w:tcPr>
            <w:tcW w:w="2451" w:type="dxa"/>
            <w:tcBorders>
              <w:top w:val="single" w:sz="4" w:space="0" w:color="000000"/>
              <w:left w:val="single" w:sz="4" w:space="0" w:color="000000"/>
              <w:bottom w:val="single" w:sz="4" w:space="0" w:color="000000"/>
              <w:right w:val="single" w:sz="4" w:space="0" w:color="000000"/>
            </w:tcBorders>
            <w:vAlign w:val="center"/>
          </w:tcPr>
          <w:p w14:paraId="2E50667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4C49669E"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71C4F8EC"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2C8E7AC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Ježdovec</w:t>
            </w:r>
          </w:p>
        </w:tc>
        <w:tc>
          <w:tcPr>
            <w:tcW w:w="2303" w:type="dxa"/>
            <w:tcBorders>
              <w:top w:val="single" w:sz="4" w:space="0" w:color="000000"/>
              <w:left w:val="single" w:sz="4" w:space="0" w:color="000000"/>
              <w:bottom w:val="single" w:sz="4" w:space="0" w:color="000000"/>
              <w:right w:val="single" w:sz="4" w:space="0" w:color="000000"/>
            </w:tcBorders>
            <w:vAlign w:val="center"/>
          </w:tcPr>
          <w:p w14:paraId="710A217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1 699</w:t>
            </w:r>
          </w:p>
        </w:tc>
        <w:tc>
          <w:tcPr>
            <w:tcW w:w="2451" w:type="dxa"/>
            <w:tcBorders>
              <w:top w:val="single" w:sz="4" w:space="0" w:color="000000"/>
              <w:left w:val="single" w:sz="4" w:space="0" w:color="000000"/>
              <w:bottom w:val="single" w:sz="4" w:space="0" w:color="000000"/>
              <w:right w:val="single" w:sz="4" w:space="0" w:color="000000"/>
            </w:tcBorders>
            <w:vAlign w:val="center"/>
          </w:tcPr>
          <w:p w14:paraId="2CB2393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200</w:t>
            </w:r>
          </w:p>
        </w:tc>
      </w:tr>
      <w:tr w:rsidR="00FF1E38" w:rsidRPr="00FF1E38" w14:paraId="77F84F08"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36F2965D"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137F34E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Kašina</w:t>
            </w:r>
          </w:p>
        </w:tc>
        <w:tc>
          <w:tcPr>
            <w:tcW w:w="2303" w:type="dxa"/>
            <w:tcBorders>
              <w:top w:val="single" w:sz="4" w:space="0" w:color="000000"/>
              <w:left w:val="single" w:sz="4" w:space="0" w:color="000000"/>
              <w:bottom w:val="single" w:sz="4" w:space="0" w:color="000000"/>
              <w:right w:val="single" w:sz="4" w:space="0" w:color="000000"/>
            </w:tcBorders>
            <w:vAlign w:val="center"/>
          </w:tcPr>
          <w:p w14:paraId="121CF72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1 535</w:t>
            </w:r>
          </w:p>
        </w:tc>
        <w:tc>
          <w:tcPr>
            <w:tcW w:w="2451" w:type="dxa"/>
            <w:tcBorders>
              <w:top w:val="single" w:sz="4" w:space="0" w:color="000000"/>
              <w:left w:val="single" w:sz="4" w:space="0" w:color="000000"/>
              <w:bottom w:val="single" w:sz="4" w:space="0" w:color="000000"/>
              <w:right w:val="single" w:sz="4" w:space="0" w:color="000000"/>
            </w:tcBorders>
            <w:vAlign w:val="center"/>
          </w:tcPr>
          <w:p w14:paraId="7C4180D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22012547"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0BFCD63A"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7DB32D5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Kašinska Sopnica</w:t>
            </w:r>
          </w:p>
        </w:tc>
        <w:tc>
          <w:tcPr>
            <w:tcW w:w="2303" w:type="dxa"/>
            <w:tcBorders>
              <w:top w:val="single" w:sz="4" w:space="0" w:color="000000"/>
              <w:left w:val="single" w:sz="4" w:space="0" w:color="000000"/>
              <w:bottom w:val="single" w:sz="4" w:space="0" w:color="000000"/>
              <w:right w:val="single" w:sz="4" w:space="0" w:color="000000"/>
            </w:tcBorders>
            <w:vAlign w:val="center"/>
          </w:tcPr>
          <w:p w14:paraId="5DDF13E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243</w:t>
            </w:r>
          </w:p>
        </w:tc>
        <w:tc>
          <w:tcPr>
            <w:tcW w:w="2451" w:type="dxa"/>
            <w:tcBorders>
              <w:top w:val="single" w:sz="4" w:space="0" w:color="000000"/>
              <w:left w:val="single" w:sz="4" w:space="0" w:color="000000"/>
              <w:bottom w:val="single" w:sz="4" w:space="0" w:color="000000"/>
              <w:right w:val="single" w:sz="4" w:space="0" w:color="000000"/>
            </w:tcBorders>
            <w:vAlign w:val="center"/>
          </w:tcPr>
          <w:p w14:paraId="520B993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41F061AB"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20FFCFEA"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10D8038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Kučilovina</w:t>
            </w:r>
          </w:p>
        </w:tc>
        <w:tc>
          <w:tcPr>
            <w:tcW w:w="2303" w:type="dxa"/>
            <w:tcBorders>
              <w:top w:val="single" w:sz="4" w:space="0" w:color="000000"/>
              <w:left w:val="single" w:sz="4" w:space="0" w:color="000000"/>
              <w:bottom w:val="single" w:sz="4" w:space="0" w:color="000000"/>
              <w:right w:val="single" w:sz="4" w:space="0" w:color="000000"/>
            </w:tcBorders>
            <w:vAlign w:val="center"/>
          </w:tcPr>
          <w:p w14:paraId="4A0CECE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216</w:t>
            </w:r>
          </w:p>
        </w:tc>
        <w:tc>
          <w:tcPr>
            <w:tcW w:w="2451" w:type="dxa"/>
            <w:tcBorders>
              <w:top w:val="single" w:sz="4" w:space="0" w:color="000000"/>
              <w:left w:val="single" w:sz="4" w:space="0" w:color="000000"/>
              <w:bottom w:val="single" w:sz="4" w:space="0" w:color="000000"/>
              <w:right w:val="single" w:sz="4" w:space="0" w:color="000000"/>
            </w:tcBorders>
            <w:vAlign w:val="center"/>
          </w:tcPr>
          <w:p w14:paraId="6CE901A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25D7663B"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3DDFB16A"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49A6169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Kućanec</w:t>
            </w:r>
          </w:p>
        </w:tc>
        <w:tc>
          <w:tcPr>
            <w:tcW w:w="2303" w:type="dxa"/>
            <w:tcBorders>
              <w:top w:val="single" w:sz="4" w:space="0" w:color="000000"/>
              <w:left w:val="single" w:sz="4" w:space="0" w:color="000000"/>
              <w:bottom w:val="single" w:sz="4" w:space="0" w:color="000000"/>
              <w:right w:val="single" w:sz="4" w:space="0" w:color="000000"/>
            </w:tcBorders>
            <w:vAlign w:val="center"/>
          </w:tcPr>
          <w:p w14:paraId="03BE361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229</w:t>
            </w:r>
          </w:p>
        </w:tc>
        <w:tc>
          <w:tcPr>
            <w:tcW w:w="2451" w:type="dxa"/>
            <w:tcBorders>
              <w:top w:val="single" w:sz="4" w:space="0" w:color="000000"/>
              <w:left w:val="single" w:sz="4" w:space="0" w:color="000000"/>
              <w:bottom w:val="single" w:sz="4" w:space="0" w:color="000000"/>
              <w:right w:val="single" w:sz="4" w:space="0" w:color="000000"/>
            </w:tcBorders>
            <w:vAlign w:val="center"/>
          </w:tcPr>
          <w:p w14:paraId="332ECF6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368B5F5B"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5379A7AB"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7D223AD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Kupinečki Kraljevec</w:t>
            </w:r>
          </w:p>
        </w:tc>
        <w:tc>
          <w:tcPr>
            <w:tcW w:w="2303" w:type="dxa"/>
            <w:tcBorders>
              <w:top w:val="single" w:sz="4" w:space="0" w:color="000000"/>
              <w:left w:val="single" w:sz="4" w:space="0" w:color="000000"/>
              <w:bottom w:val="single" w:sz="4" w:space="0" w:color="000000"/>
              <w:right w:val="single" w:sz="4" w:space="0" w:color="000000"/>
            </w:tcBorders>
            <w:vAlign w:val="center"/>
          </w:tcPr>
          <w:p w14:paraId="25381D4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1 948</w:t>
            </w:r>
          </w:p>
        </w:tc>
        <w:tc>
          <w:tcPr>
            <w:tcW w:w="2451" w:type="dxa"/>
            <w:tcBorders>
              <w:top w:val="single" w:sz="4" w:space="0" w:color="000000"/>
              <w:left w:val="single" w:sz="4" w:space="0" w:color="000000"/>
              <w:bottom w:val="single" w:sz="4" w:space="0" w:color="000000"/>
              <w:right w:val="single" w:sz="4" w:space="0" w:color="000000"/>
            </w:tcBorders>
            <w:vAlign w:val="center"/>
          </w:tcPr>
          <w:p w14:paraId="74C7F83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609DBF04"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1BD5F137"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7993859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Lipnica</w:t>
            </w:r>
          </w:p>
        </w:tc>
        <w:tc>
          <w:tcPr>
            <w:tcW w:w="2303" w:type="dxa"/>
            <w:tcBorders>
              <w:top w:val="single" w:sz="4" w:space="0" w:color="000000"/>
              <w:left w:val="single" w:sz="4" w:space="0" w:color="000000"/>
              <w:bottom w:val="single" w:sz="4" w:space="0" w:color="000000"/>
              <w:right w:val="single" w:sz="4" w:space="0" w:color="000000"/>
            </w:tcBorders>
            <w:vAlign w:val="center"/>
          </w:tcPr>
          <w:p w14:paraId="2B7833E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207</w:t>
            </w:r>
          </w:p>
        </w:tc>
        <w:tc>
          <w:tcPr>
            <w:tcW w:w="2451" w:type="dxa"/>
            <w:tcBorders>
              <w:top w:val="single" w:sz="4" w:space="0" w:color="000000"/>
              <w:left w:val="single" w:sz="4" w:space="0" w:color="000000"/>
              <w:bottom w:val="single" w:sz="4" w:space="0" w:color="000000"/>
              <w:right w:val="single" w:sz="4" w:space="0" w:color="000000"/>
            </w:tcBorders>
            <w:vAlign w:val="center"/>
          </w:tcPr>
          <w:p w14:paraId="3D6B836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7DBB0AF3"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1EB5F52A"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458B17A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Lučko</w:t>
            </w:r>
          </w:p>
        </w:tc>
        <w:tc>
          <w:tcPr>
            <w:tcW w:w="2303" w:type="dxa"/>
            <w:tcBorders>
              <w:top w:val="single" w:sz="4" w:space="0" w:color="000000"/>
              <w:left w:val="single" w:sz="4" w:space="0" w:color="000000"/>
              <w:bottom w:val="single" w:sz="4" w:space="0" w:color="000000"/>
              <w:right w:val="single" w:sz="4" w:space="0" w:color="000000"/>
            </w:tcBorders>
            <w:vAlign w:val="center"/>
          </w:tcPr>
          <w:p w14:paraId="041697B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3 024</w:t>
            </w:r>
          </w:p>
        </w:tc>
        <w:tc>
          <w:tcPr>
            <w:tcW w:w="2451" w:type="dxa"/>
            <w:tcBorders>
              <w:top w:val="single" w:sz="4" w:space="0" w:color="000000"/>
              <w:left w:val="single" w:sz="4" w:space="0" w:color="000000"/>
              <w:bottom w:val="single" w:sz="4" w:space="0" w:color="000000"/>
              <w:right w:val="single" w:sz="4" w:space="0" w:color="000000"/>
            </w:tcBorders>
            <w:vAlign w:val="center"/>
          </w:tcPr>
          <w:p w14:paraId="71C7169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3024</w:t>
            </w:r>
          </w:p>
        </w:tc>
      </w:tr>
      <w:tr w:rsidR="00FF1E38" w:rsidRPr="00FF1E38" w14:paraId="0447BABE"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0BA019F8"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1811052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Lužan</w:t>
            </w:r>
          </w:p>
        </w:tc>
        <w:tc>
          <w:tcPr>
            <w:tcW w:w="2303" w:type="dxa"/>
            <w:tcBorders>
              <w:top w:val="single" w:sz="4" w:space="0" w:color="000000"/>
              <w:left w:val="single" w:sz="4" w:space="0" w:color="000000"/>
              <w:bottom w:val="single" w:sz="4" w:space="0" w:color="000000"/>
              <w:right w:val="single" w:sz="4" w:space="0" w:color="000000"/>
            </w:tcBorders>
            <w:vAlign w:val="center"/>
          </w:tcPr>
          <w:p w14:paraId="5FFF7CA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723</w:t>
            </w:r>
          </w:p>
        </w:tc>
        <w:tc>
          <w:tcPr>
            <w:tcW w:w="2451" w:type="dxa"/>
            <w:tcBorders>
              <w:top w:val="single" w:sz="4" w:space="0" w:color="000000"/>
              <w:left w:val="single" w:sz="4" w:space="0" w:color="000000"/>
              <w:bottom w:val="single" w:sz="4" w:space="0" w:color="000000"/>
              <w:right w:val="single" w:sz="4" w:space="0" w:color="000000"/>
            </w:tcBorders>
            <w:vAlign w:val="center"/>
          </w:tcPr>
          <w:p w14:paraId="675D606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7A1F201A"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4ED3B967"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2B7C8EF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Mala Mlaka</w:t>
            </w:r>
          </w:p>
        </w:tc>
        <w:tc>
          <w:tcPr>
            <w:tcW w:w="2303" w:type="dxa"/>
            <w:tcBorders>
              <w:top w:val="single" w:sz="4" w:space="0" w:color="000000"/>
              <w:left w:val="single" w:sz="4" w:space="0" w:color="000000"/>
              <w:bottom w:val="single" w:sz="4" w:space="0" w:color="000000"/>
              <w:right w:val="single" w:sz="4" w:space="0" w:color="000000"/>
            </w:tcBorders>
            <w:vAlign w:val="center"/>
          </w:tcPr>
          <w:p w14:paraId="64857EC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622</w:t>
            </w:r>
          </w:p>
        </w:tc>
        <w:tc>
          <w:tcPr>
            <w:tcW w:w="2451" w:type="dxa"/>
            <w:tcBorders>
              <w:top w:val="single" w:sz="4" w:space="0" w:color="000000"/>
              <w:left w:val="single" w:sz="4" w:space="0" w:color="000000"/>
              <w:bottom w:val="single" w:sz="4" w:space="0" w:color="000000"/>
              <w:right w:val="single" w:sz="4" w:space="0" w:color="000000"/>
            </w:tcBorders>
            <w:vAlign w:val="center"/>
          </w:tcPr>
          <w:p w14:paraId="705EA64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622</w:t>
            </w:r>
          </w:p>
        </w:tc>
      </w:tr>
      <w:tr w:rsidR="00FF1E38" w:rsidRPr="00FF1E38" w14:paraId="77A9306B"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171F8BF2"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3048783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Markovo Polje</w:t>
            </w:r>
          </w:p>
        </w:tc>
        <w:tc>
          <w:tcPr>
            <w:tcW w:w="2303" w:type="dxa"/>
            <w:tcBorders>
              <w:top w:val="single" w:sz="4" w:space="0" w:color="000000"/>
              <w:left w:val="single" w:sz="4" w:space="0" w:color="000000"/>
              <w:bottom w:val="single" w:sz="4" w:space="0" w:color="000000"/>
              <w:right w:val="single" w:sz="4" w:space="0" w:color="000000"/>
            </w:tcBorders>
            <w:vAlign w:val="center"/>
          </w:tcPr>
          <w:p w14:paraId="6737A8E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425</w:t>
            </w:r>
          </w:p>
        </w:tc>
        <w:tc>
          <w:tcPr>
            <w:tcW w:w="2451" w:type="dxa"/>
            <w:tcBorders>
              <w:top w:val="single" w:sz="4" w:space="0" w:color="000000"/>
              <w:left w:val="single" w:sz="4" w:space="0" w:color="000000"/>
              <w:bottom w:val="single" w:sz="4" w:space="0" w:color="000000"/>
              <w:right w:val="single" w:sz="4" w:space="0" w:color="000000"/>
            </w:tcBorders>
            <w:vAlign w:val="center"/>
          </w:tcPr>
          <w:p w14:paraId="5D5742C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004D347C"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30B36332"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6CF1456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Moravče</w:t>
            </w:r>
          </w:p>
        </w:tc>
        <w:tc>
          <w:tcPr>
            <w:tcW w:w="2303" w:type="dxa"/>
            <w:tcBorders>
              <w:top w:val="single" w:sz="4" w:space="0" w:color="000000"/>
              <w:left w:val="single" w:sz="4" w:space="0" w:color="000000"/>
              <w:bottom w:val="single" w:sz="4" w:space="0" w:color="000000"/>
              <w:right w:val="single" w:sz="4" w:space="0" w:color="000000"/>
            </w:tcBorders>
            <w:vAlign w:val="center"/>
          </w:tcPr>
          <w:p w14:paraId="7F00BB9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664</w:t>
            </w:r>
          </w:p>
        </w:tc>
        <w:tc>
          <w:tcPr>
            <w:tcW w:w="2451" w:type="dxa"/>
            <w:tcBorders>
              <w:top w:val="single" w:sz="4" w:space="0" w:color="000000"/>
              <w:left w:val="single" w:sz="4" w:space="0" w:color="000000"/>
              <w:bottom w:val="single" w:sz="4" w:space="0" w:color="000000"/>
              <w:right w:val="single" w:sz="4" w:space="0" w:color="000000"/>
            </w:tcBorders>
            <w:vAlign w:val="center"/>
          </w:tcPr>
          <w:p w14:paraId="5A295FC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67BB9427"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2CE339F0"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24326B3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Odra</w:t>
            </w:r>
          </w:p>
        </w:tc>
        <w:tc>
          <w:tcPr>
            <w:tcW w:w="2303" w:type="dxa"/>
            <w:tcBorders>
              <w:top w:val="single" w:sz="4" w:space="0" w:color="000000"/>
              <w:left w:val="single" w:sz="4" w:space="0" w:color="000000"/>
              <w:bottom w:val="single" w:sz="4" w:space="0" w:color="000000"/>
              <w:right w:val="single" w:sz="4" w:space="0" w:color="000000"/>
            </w:tcBorders>
            <w:vAlign w:val="center"/>
          </w:tcPr>
          <w:p w14:paraId="3D4788E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1 851</w:t>
            </w:r>
          </w:p>
        </w:tc>
        <w:tc>
          <w:tcPr>
            <w:tcW w:w="2451" w:type="dxa"/>
            <w:tcBorders>
              <w:top w:val="single" w:sz="4" w:space="0" w:color="000000"/>
              <w:left w:val="single" w:sz="4" w:space="0" w:color="000000"/>
              <w:bottom w:val="single" w:sz="4" w:space="0" w:color="000000"/>
              <w:right w:val="single" w:sz="4" w:space="0" w:color="000000"/>
            </w:tcBorders>
            <w:vAlign w:val="center"/>
          </w:tcPr>
          <w:p w14:paraId="7C5BC5A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1851</w:t>
            </w:r>
          </w:p>
        </w:tc>
      </w:tr>
      <w:tr w:rsidR="00FF1E38" w:rsidRPr="00FF1E38" w14:paraId="0B6FFB2F"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222F8465"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13F6E39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Odranski Obrež</w:t>
            </w:r>
          </w:p>
        </w:tc>
        <w:tc>
          <w:tcPr>
            <w:tcW w:w="2303" w:type="dxa"/>
            <w:tcBorders>
              <w:top w:val="single" w:sz="4" w:space="0" w:color="000000"/>
              <w:left w:val="single" w:sz="4" w:space="0" w:color="000000"/>
              <w:bottom w:val="single" w:sz="4" w:space="0" w:color="000000"/>
              <w:right w:val="single" w:sz="4" w:space="0" w:color="000000"/>
            </w:tcBorders>
            <w:vAlign w:val="center"/>
          </w:tcPr>
          <w:p w14:paraId="0185197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1 585</w:t>
            </w:r>
          </w:p>
        </w:tc>
        <w:tc>
          <w:tcPr>
            <w:tcW w:w="2451" w:type="dxa"/>
            <w:tcBorders>
              <w:top w:val="single" w:sz="4" w:space="0" w:color="000000"/>
              <w:left w:val="single" w:sz="4" w:space="0" w:color="000000"/>
              <w:bottom w:val="single" w:sz="4" w:space="0" w:color="000000"/>
              <w:right w:val="single" w:sz="4" w:space="0" w:color="000000"/>
            </w:tcBorders>
            <w:vAlign w:val="center"/>
          </w:tcPr>
          <w:p w14:paraId="6A2E409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180</w:t>
            </w:r>
          </w:p>
        </w:tc>
      </w:tr>
      <w:tr w:rsidR="00FF1E38" w:rsidRPr="00FF1E38" w14:paraId="6DEC3663"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6203E65B"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4AA9184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Paruževina</w:t>
            </w:r>
          </w:p>
        </w:tc>
        <w:tc>
          <w:tcPr>
            <w:tcW w:w="2303" w:type="dxa"/>
            <w:tcBorders>
              <w:top w:val="single" w:sz="4" w:space="0" w:color="000000"/>
              <w:left w:val="single" w:sz="4" w:space="0" w:color="000000"/>
              <w:bottom w:val="single" w:sz="4" w:space="0" w:color="000000"/>
              <w:right w:val="single" w:sz="4" w:space="0" w:color="000000"/>
            </w:tcBorders>
            <w:vAlign w:val="center"/>
          </w:tcPr>
          <w:p w14:paraId="5416741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634</w:t>
            </w:r>
          </w:p>
        </w:tc>
        <w:tc>
          <w:tcPr>
            <w:tcW w:w="2451" w:type="dxa"/>
            <w:tcBorders>
              <w:top w:val="single" w:sz="4" w:space="0" w:color="000000"/>
              <w:left w:val="single" w:sz="4" w:space="0" w:color="000000"/>
              <w:bottom w:val="single" w:sz="4" w:space="0" w:color="000000"/>
              <w:right w:val="single" w:sz="4" w:space="0" w:color="000000"/>
            </w:tcBorders>
            <w:vAlign w:val="center"/>
          </w:tcPr>
          <w:p w14:paraId="7C6FF3E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3A648475"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19EF5599"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0DB39C2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Planina Donja</w:t>
            </w:r>
          </w:p>
        </w:tc>
        <w:tc>
          <w:tcPr>
            <w:tcW w:w="2303" w:type="dxa"/>
            <w:tcBorders>
              <w:top w:val="single" w:sz="4" w:space="0" w:color="000000"/>
              <w:left w:val="single" w:sz="4" w:space="0" w:color="000000"/>
              <w:bottom w:val="single" w:sz="4" w:space="0" w:color="000000"/>
              <w:right w:val="single" w:sz="4" w:space="0" w:color="000000"/>
            </w:tcBorders>
            <w:vAlign w:val="center"/>
          </w:tcPr>
          <w:p w14:paraId="3E799E1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553</w:t>
            </w:r>
          </w:p>
        </w:tc>
        <w:tc>
          <w:tcPr>
            <w:tcW w:w="2451" w:type="dxa"/>
            <w:tcBorders>
              <w:top w:val="single" w:sz="4" w:space="0" w:color="000000"/>
              <w:left w:val="single" w:sz="4" w:space="0" w:color="000000"/>
              <w:bottom w:val="single" w:sz="4" w:space="0" w:color="000000"/>
              <w:right w:val="single" w:sz="4" w:space="0" w:color="000000"/>
            </w:tcBorders>
            <w:vAlign w:val="center"/>
          </w:tcPr>
          <w:p w14:paraId="5AB3AF9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282BA7E4"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3D3A4A5B"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0043545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Planina Gornja</w:t>
            </w:r>
          </w:p>
        </w:tc>
        <w:tc>
          <w:tcPr>
            <w:tcW w:w="2303" w:type="dxa"/>
            <w:tcBorders>
              <w:top w:val="single" w:sz="4" w:space="0" w:color="000000"/>
              <w:left w:val="single" w:sz="4" w:space="0" w:color="000000"/>
              <w:bottom w:val="single" w:sz="4" w:space="0" w:color="000000"/>
              <w:right w:val="single" w:sz="4" w:space="0" w:color="000000"/>
            </w:tcBorders>
            <w:vAlign w:val="center"/>
          </w:tcPr>
          <w:p w14:paraId="3207217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249</w:t>
            </w:r>
          </w:p>
        </w:tc>
        <w:tc>
          <w:tcPr>
            <w:tcW w:w="2451" w:type="dxa"/>
            <w:tcBorders>
              <w:top w:val="single" w:sz="4" w:space="0" w:color="000000"/>
              <w:left w:val="single" w:sz="4" w:space="0" w:color="000000"/>
              <w:bottom w:val="single" w:sz="4" w:space="0" w:color="000000"/>
              <w:right w:val="single" w:sz="4" w:space="0" w:color="000000"/>
            </w:tcBorders>
            <w:vAlign w:val="center"/>
          </w:tcPr>
          <w:p w14:paraId="569B8AE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29F91F9E"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2DD49A9D"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503C492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Popovec</w:t>
            </w:r>
          </w:p>
        </w:tc>
        <w:tc>
          <w:tcPr>
            <w:tcW w:w="2303" w:type="dxa"/>
            <w:tcBorders>
              <w:top w:val="single" w:sz="4" w:space="0" w:color="000000"/>
              <w:left w:val="single" w:sz="4" w:space="0" w:color="000000"/>
              <w:bottom w:val="single" w:sz="4" w:space="0" w:color="000000"/>
              <w:right w:val="single" w:sz="4" w:space="0" w:color="000000"/>
            </w:tcBorders>
            <w:vAlign w:val="center"/>
          </w:tcPr>
          <w:p w14:paraId="33CE7DD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943</w:t>
            </w:r>
          </w:p>
        </w:tc>
        <w:tc>
          <w:tcPr>
            <w:tcW w:w="2451" w:type="dxa"/>
            <w:tcBorders>
              <w:top w:val="single" w:sz="4" w:space="0" w:color="000000"/>
              <w:left w:val="single" w:sz="4" w:space="0" w:color="000000"/>
              <w:bottom w:val="single" w:sz="4" w:space="0" w:color="000000"/>
              <w:right w:val="single" w:sz="4" w:space="0" w:color="000000"/>
            </w:tcBorders>
            <w:vAlign w:val="center"/>
          </w:tcPr>
          <w:p w14:paraId="13BF38F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5A9B3195"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553EB99A"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6263348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Prekvršje</w:t>
            </w:r>
          </w:p>
        </w:tc>
        <w:tc>
          <w:tcPr>
            <w:tcW w:w="2303" w:type="dxa"/>
            <w:tcBorders>
              <w:top w:val="single" w:sz="4" w:space="0" w:color="000000"/>
              <w:left w:val="single" w:sz="4" w:space="0" w:color="000000"/>
              <w:bottom w:val="single" w:sz="4" w:space="0" w:color="000000"/>
              <w:right w:val="single" w:sz="4" w:space="0" w:color="000000"/>
            </w:tcBorders>
            <w:vAlign w:val="center"/>
          </w:tcPr>
          <w:p w14:paraId="12E38C0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817</w:t>
            </w:r>
          </w:p>
        </w:tc>
        <w:tc>
          <w:tcPr>
            <w:tcW w:w="2451" w:type="dxa"/>
            <w:tcBorders>
              <w:top w:val="single" w:sz="4" w:space="0" w:color="000000"/>
              <w:left w:val="single" w:sz="4" w:space="0" w:color="000000"/>
              <w:bottom w:val="single" w:sz="4" w:space="0" w:color="000000"/>
              <w:right w:val="single" w:sz="4" w:space="0" w:color="000000"/>
            </w:tcBorders>
            <w:vAlign w:val="center"/>
          </w:tcPr>
          <w:p w14:paraId="3E8049C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70A4BAA9"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0EC9F640"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74F8B5E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Prepuštovec</w:t>
            </w:r>
          </w:p>
        </w:tc>
        <w:tc>
          <w:tcPr>
            <w:tcW w:w="2303" w:type="dxa"/>
            <w:tcBorders>
              <w:top w:val="single" w:sz="4" w:space="0" w:color="000000"/>
              <w:left w:val="single" w:sz="4" w:space="0" w:color="000000"/>
              <w:bottom w:val="single" w:sz="4" w:space="0" w:color="000000"/>
              <w:right w:val="single" w:sz="4" w:space="0" w:color="000000"/>
            </w:tcBorders>
            <w:vAlign w:val="center"/>
          </w:tcPr>
          <w:p w14:paraId="0467A27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321</w:t>
            </w:r>
          </w:p>
        </w:tc>
        <w:tc>
          <w:tcPr>
            <w:tcW w:w="2451" w:type="dxa"/>
            <w:tcBorders>
              <w:top w:val="single" w:sz="4" w:space="0" w:color="000000"/>
              <w:left w:val="single" w:sz="4" w:space="0" w:color="000000"/>
              <w:bottom w:val="single" w:sz="4" w:space="0" w:color="000000"/>
              <w:right w:val="single" w:sz="4" w:space="0" w:color="000000"/>
            </w:tcBorders>
            <w:vAlign w:val="center"/>
          </w:tcPr>
          <w:p w14:paraId="16D125D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2310E818"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7A99C945"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78CB613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Sesvete</w:t>
            </w:r>
          </w:p>
        </w:tc>
        <w:tc>
          <w:tcPr>
            <w:tcW w:w="2303" w:type="dxa"/>
            <w:tcBorders>
              <w:top w:val="single" w:sz="4" w:space="0" w:color="000000"/>
              <w:left w:val="single" w:sz="4" w:space="0" w:color="000000"/>
              <w:bottom w:val="single" w:sz="4" w:space="0" w:color="000000"/>
              <w:right w:val="single" w:sz="4" w:space="0" w:color="000000"/>
            </w:tcBorders>
            <w:vAlign w:val="center"/>
          </w:tcPr>
          <w:p w14:paraId="2D5D4C4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54 494</w:t>
            </w:r>
          </w:p>
        </w:tc>
        <w:tc>
          <w:tcPr>
            <w:tcW w:w="2451" w:type="dxa"/>
            <w:tcBorders>
              <w:top w:val="single" w:sz="4" w:space="0" w:color="000000"/>
              <w:left w:val="single" w:sz="4" w:space="0" w:color="000000"/>
              <w:bottom w:val="single" w:sz="4" w:space="0" w:color="000000"/>
              <w:right w:val="single" w:sz="4" w:space="0" w:color="000000"/>
            </w:tcBorders>
            <w:vAlign w:val="center"/>
          </w:tcPr>
          <w:p w14:paraId="6F441CC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9500</w:t>
            </w:r>
          </w:p>
        </w:tc>
      </w:tr>
      <w:tr w:rsidR="00FF1E38" w:rsidRPr="00FF1E38" w14:paraId="78E18F6C"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5AA4A67A"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7993744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Soblinec</w:t>
            </w:r>
          </w:p>
        </w:tc>
        <w:tc>
          <w:tcPr>
            <w:tcW w:w="2303" w:type="dxa"/>
            <w:tcBorders>
              <w:top w:val="single" w:sz="4" w:space="0" w:color="000000"/>
              <w:left w:val="single" w:sz="4" w:space="0" w:color="000000"/>
              <w:bottom w:val="single" w:sz="4" w:space="0" w:color="000000"/>
              <w:right w:val="single" w:sz="4" w:space="0" w:color="000000"/>
            </w:tcBorders>
            <w:vAlign w:val="center"/>
          </w:tcPr>
          <w:p w14:paraId="28E0BF7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969</w:t>
            </w:r>
          </w:p>
        </w:tc>
        <w:tc>
          <w:tcPr>
            <w:tcW w:w="2451" w:type="dxa"/>
            <w:tcBorders>
              <w:top w:val="single" w:sz="4" w:space="0" w:color="000000"/>
              <w:left w:val="single" w:sz="4" w:space="0" w:color="000000"/>
              <w:bottom w:val="single" w:sz="4" w:space="0" w:color="000000"/>
              <w:right w:val="single" w:sz="4" w:space="0" w:color="000000"/>
            </w:tcBorders>
            <w:vAlign w:val="center"/>
          </w:tcPr>
          <w:p w14:paraId="511DA22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7C263C9D"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00480E5C"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675B971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Starjak</w:t>
            </w:r>
          </w:p>
        </w:tc>
        <w:tc>
          <w:tcPr>
            <w:tcW w:w="2303" w:type="dxa"/>
            <w:tcBorders>
              <w:top w:val="single" w:sz="4" w:space="0" w:color="000000"/>
              <w:left w:val="single" w:sz="4" w:space="0" w:color="000000"/>
              <w:bottom w:val="single" w:sz="4" w:space="0" w:color="000000"/>
              <w:right w:val="single" w:sz="4" w:space="0" w:color="000000"/>
            </w:tcBorders>
            <w:vAlign w:val="center"/>
          </w:tcPr>
          <w:p w14:paraId="3FC04BF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221</w:t>
            </w:r>
          </w:p>
        </w:tc>
        <w:tc>
          <w:tcPr>
            <w:tcW w:w="2451" w:type="dxa"/>
            <w:tcBorders>
              <w:top w:val="single" w:sz="4" w:space="0" w:color="000000"/>
              <w:left w:val="single" w:sz="4" w:space="0" w:color="000000"/>
              <w:bottom w:val="single" w:sz="4" w:space="0" w:color="000000"/>
              <w:right w:val="single" w:sz="4" w:space="0" w:color="000000"/>
            </w:tcBorders>
            <w:vAlign w:val="center"/>
          </w:tcPr>
          <w:p w14:paraId="4F2FE9B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45B8E99C"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61F04E24"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5AF2A5B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Strmec</w:t>
            </w:r>
          </w:p>
        </w:tc>
        <w:tc>
          <w:tcPr>
            <w:tcW w:w="2303" w:type="dxa"/>
            <w:tcBorders>
              <w:top w:val="single" w:sz="4" w:space="0" w:color="000000"/>
              <w:left w:val="single" w:sz="4" w:space="0" w:color="000000"/>
              <w:bottom w:val="single" w:sz="4" w:space="0" w:color="000000"/>
              <w:right w:val="single" w:sz="4" w:space="0" w:color="000000"/>
            </w:tcBorders>
            <w:vAlign w:val="center"/>
          </w:tcPr>
          <w:p w14:paraId="29CBB01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644</w:t>
            </w:r>
          </w:p>
        </w:tc>
        <w:tc>
          <w:tcPr>
            <w:tcW w:w="2451" w:type="dxa"/>
            <w:tcBorders>
              <w:top w:val="single" w:sz="4" w:space="0" w:color="000000"/>
              <w:left w:val="single" w:sz="4" w:space="0" w:color="000000"/>
              <w:bottom w:val="single" w:sz="4" w:space="0" w:color="000000"/>
              <w:right w:val="single" w:sz="4" w:space="0" w:color="000000"/>
            </w:tcBorders>
            <w:vAlign w:val="center"/>
          </w:tcPr>
          <w:p w14:paraId="062E9FE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20</w:t>
            </w:r>
          </w:p>
        </w:tc>
      </w:tr>
      <w:tr w:rsidR="00FF1E38" w:rsidRPr="00FF1E38" w14:paraId="5A3FA6E0"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61E6E235"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7180F19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Šašinovec</w:t>
            </w:r>
          </w:p>
        </w:tc>
        <w:tc>
          <w:tcPr>
            <w:tcW w:w="2303" w:type="dxa"/>
            <w:tcBorders>
              <w:top w:val="single" w:sz="4" w:space="0" w:color="000000"/>
              <w:left w:val="single" w:sz="4" w:space="0" w:color="000000"/>
              <w:bottom w:val="single" w:sz="4" w:space="0" w:color="000000"/>
              <w:right w:val="single" w:sz="4" w:space="0" w:color="000000"/>
            </w:tcBorders>
            <w:vAlign w:val="center"/>
          </w:tcPr>
          <w:p w14:paraId="7AC1A5C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678</w:t>
            </w:r>
          </w:p>
        </w:tc>
        <w:tc>
          <w:tcPr>
            <w:tcW w:w="2451" w:type="dxa"/>
            <w:tcBorders>
              <w:top w:val="single" w:sz="4" w:space="0" w:color="000000"/>
              <w:left w:val="single" w:sz="4" w:space="0" w:color="000000"/>
              <w:bottom w:val="single" w:sz="4" w:space="0" w:color="000000"/>
              <w:right w:val="single" w:sz="4" w:space="0" w:color="000000"/>
            </w:tcBorders>
            <w:vAlign w:val="center"/>
          </w:tcPr>
          <w:p w14:paraId="72023888"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4D74DB2F"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56F1C7C0"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1488EB9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Šimunčevec</w:t>
            </w:r>
          </w:p>
        </w:tc>
        <w:tc>
          <w:tcPr>
            <w:tcW w:w="2303" w:type="dxa"/>
            <w:tcBorders>
              <w:top w:val="single" w:sz="4" w:space="0" w:color="000000"/>
              <w:left w:val="single" w:sz="4" w:space="0" w:color="000000"/>
              <w:bottom w:val="single" w:sz="4" w:space="0" w:color="000000"/>
              <w:right w:val="single" w:sz="4" w:space="0" w:color="000000"/>
            </w:tcBorders>
            <w:vAlign w:val="center"/>
          </w:tcPr>
          <w:p w14:paraId="63C1D2D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275</w:t>
            </w:r>
          </w:p>
        </w:tc>
        <w:tc>
          <w:tcPr>
            <w:tcW w:w="2451" w:type="dxa"/>
            <w:tcBorders>
              <w:top w:val="single" w:sz="4" w:space="0" w:color="000000"/>
              <w:left w:val="single" w:sz="4" w:space="0" w:color="000000"/>
              <w:bottom w:val="single" w:sz="4" w:space="0" w:color="000000"/>
              <w:right w:val="single" w:sz="4" w:space="0" w:color="000000"/>
            </w:tcBorders>
            <w:vAlign w:val="center"/>
          </w:tcPr>
          <w:p w14:paraId="1DC2990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724C60C2"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170984C6"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63376C9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Veliko Polje</w:t>
            </w:r>
          </w:p>
        </w:tc>
        <w:tc>
          <w:tcPr>
            <w:tcW w:w="2303" w:type="dxa"/>
            <w:tcBorders>
              <w:top w:val="single" w:sz="4" w:space="0" w:color="000000"/>
              <w:left w:val="single" w:sz="4" w:space="0" w:color="000000"/>
              <w:bottom w:val="single" w:sz="4" w:space="0" w:color="000000"/>
              <w:right w:val="single" w:sz="4" w:space="0" w:color="000000"/>
            </w:tcBorders>
            <w:vAlign w:val="center"/>
          </w:tcPr>
          <w:p w14:paraId="604D62F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1 655</w:t>
            </w:r>
          </w:p>
        </w:tc>
        <w:tc>
          <w:tcPr>
            <w:tcW w:w="2451" w:type="dxa"/>
            <w:tcBorders>
              <w:top w:val="single" w:sz="4" w:space="0" w:color="000000"/>
              <w:left w:val="single" w:sz="4" w:space="0" w:color="000000"/>
              <w:bottom w:val="single" w:sz="4" w:space="0" w:color="000000"/>
              <w:right w:val="single" w:sz="4" w:space="0" w:color="000000"/>
            </w:tcBorders>
            <w:vAlign w:val="center"/>
          </w:tcPr>
          <w:p w14:paraId="13DBCCC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04E12EDE"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7728EA95"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77BC5CE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Vuger Selo</w:t>
            </w:r>
          </w:p>
        </w:tc>
        <w:tc>
          <w:tcPr>
            <w:tcW w:w="2303" w:type="dxa"/>
            <w:tcBorders>
              <w:top w:val="single" w:sz="4" w:space="0" w:color="000000"/>
              <w:left w:val="single" w:sz="4" w:space="0" w:color="000000"/>
              <w:bottom w:val="single" w:sz="4" w:space="0" w:color="000000"/>
              <w:right w:val="single" w:sz="4" w:space="0" w:color="000000"/>
            </w:tcBorders>
            <w:vAlign w:val="center"/>
          </w:tcPr>
          <w:p w14:paraId="1045C14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278</w:t>
            </w:r>
          </w:p>
        </w:tc>
        <w:tc>
          <w:tcPr>
            <w:tcW w:w="2451" w:type="dxa"/>
            <w:tcBorders>
              <w:top w:val="single" w:sz="4" w:space="0" w:color="000000"/>
              <w:left w:val="single" w:sz="4" w:space="0" w:color="000000"/>
              <w:bottom w:val="single" w:sz="4" w:space="0" w:color="000000"/>
              <w:right w:val="single" w:sz="4" w:space="0" w:color="000000"/>
            </w:tcBorders>
            <w:vAlign w:val="center"/>
          </w:tcPr>
          <w:p w14:paraId="5F135CE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18F5332C"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4DCFBFA8"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35F8750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Vugrovec Donji</w:t>
            </w:r>
          </w:p>
        </w:tc>
        <w:tc>
          <w:tcPr>
            <w:tcW w:w="2303" w:type="dxa"/>
            <w:tcBorders>
              <w:top w:val="single" w:sz="4" w:space="0" w:color="000000"/>
              <w:left w:val="single" w:sz="4" w:space="0" w:color="000000"/>
              <w:bottom w:val="single" w:sz="4" w:space="0" w:color="000000"/>
              <w:right w:val="single" w:sz="4" w:space="0" w:color="000000"/>
            </w:tcBorders>
            <w:vAlign w:val="center"/>
          </w:tcPr>
          <w:p w14:paraId="17AEAE6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440</w:t>
            </w:r>
          </w:p>
        </w:tc>
        <w:tc>
          <w:tcPr>
            <w:tcW w:w="2451" w:type="dxa"/>
            <w:tcBorders>
              <w:top w:val="single" w:sz="4" w:space="0" w:color="000000"/>
              <w:left w:val="single" w:sz="4" w:space="0" w:color="000000"/>
              <w:bottom w:val="single" w:sz="4" w:space="0" w:color="000000"/>
              <w:right w:val="single" w:sz="4" w:space="0" w:color="000000"/>
            </w:tcBorders>
            <w:vAlign w:val="center"/>
          </w:tcPr>
          <w:p w14:paraId="2365F1A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76380149"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11B8D0BD"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7A2CAD8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Vugrovec Gornji</w:t>
            </w:r>
          </w:p>
        </w:tc>
        <w:tc>
          <w:tcPr>
            <w:tcW w:w="2303" w:type="dxa"/>
            <w:tcBorders>
              <w:top w:val="single" w:sz="4" w:space="0" w:color="000000"/>
              <w:left w:val="single" w:sz="4" w:space="0" w:color="000000"/>
              <w:bottom w:val="single" w:sz="4" w:space="0" w:color="000000"/>
              <w:right w:val="single" w:sz="4" w:space="0" w:color="000000"/>
            </w:tcBorders>
            <w:vAlign w:val="center"/>
          </w:tcPr>
          <w:p w14:paraId="1F09660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356</w:t>
            </w:r>
          </w:p>
        </w:tc>
        <w:tc>
          <w:tcPr>
            <w:tcW w:w="2451" w:type="dxa"/>
            <w:tcBorders>
              <w:top w:val="single" w:sz="4" w:space="0" w:color="000000"/>
              <w:left w:val="single" w:sz="4" w:space="0" w:color="000000"/>
              <w:bottom w:val="single" w:sz="4" w:space="0" w:color="000000"/>
              <w:right w:val="single" w:sz="4" w:space="0" w:color="000000"/>
            </w:tcBorders>
            <w:vAlign w:val="center"/>
          </w:tcPr>
          <w:p w14:paraId="469C536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7C9B99DE"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5D96452E"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68E8D2B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Vurnovec</w:t>
            </w:r>
          </w:p>
        </w:tc>
        <w:tc>
          <w:tcPr>
            <w:tcW w:w="2303" w:type="dxa"/>
            <w:tcBorders>
              <w:top w:val="single" w:sz="4" w:space="0" w:color="000000"/>
              <w:left w:val="single" w:sz="4" w:space="0" w:color="000000"/>
              <w:bottom w:val="single" w:sz="4" w:space="0" w:color="000000"/>
              <w:right w:val="single" w:sz="4" w:space="0" w:color="000000"/>
            </w:tcBorders>
            <w:vAlign w:val="center"/>
          </w:tcPr>
          <w:p w14:paraId="46E7E07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201</w:t>
            </w:r>
          </w:p>
        </w:tc>
        <w:tc>
          <w:tcPr>
            <w:tcW w:w="2451" w:type="dxa"/>
            <w:tcBorders>
              <w:top w:val="single" w:sz="4" w:space="0" w:color="000000"/>
              <w:left w:val="single" w:sz="4" w:space="0" w:color="000000"/>
              <w:bottom w:val="single" w:sz="4" w:space="0" w:color="000000"/>
              <w:right w:val="single" w:sz="4" w:space="0" w:color="000000"/>
            </w:tcBorders>
            <w:vAlign w:val="center"/>
          </w:tcPr>
          <w:p w14:paraId="489AFAF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r w:rsidR="00FF1E38" w:rsidRPr="00FF1E38" w14:paraId="0369B1B5"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786AD14E"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34ECA0B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Zadvorsko</w:t>
            </w:r>
          </w:p>
        </w:tc>
        <w:tc>
          <w:tcPr>
            <w:tcW w:w="2303" w:type="dxa"/>
            <w:tcBorders>
              <w:top w:val="single" w:sz="4" w:space="0" w:color="000000"/>
              <w:left w:val="single" w:sz="4" w:space="0" w:color="000000"/>
              <w:bottom w:val="single" w:sz="4" w:space="0" w:color="000000"/>
              <w:right w:val="single" w:sz="4" w:space="0" w:color="000000"/>
            </w:tcBorders>
            <w:vAlign w:val="center"/>
          </w:tcPr>
          <w:p w14:paraId="74DD437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1 302</w:t>
            </w:r>
          </w:p>
        </w:tc>
        <w:tc>
          <w:tcPr>
            <w:tcW w:w="2451" w:type="dxa"/>
            <w:tcBorders>
              <w:top w:val="single" w:sz="4" w:space="0" w:color="000000"/>
              <w:left w:val="single" w:sz="4" w:space="0" w:color="000000"/>
              <w:bottom w:val="single" w:sz="4" w:space="0" w:color="000000"/>
              <w:right w:val="single" w:sz="4" w:space="0" w:color="000000"/>
            </w:tcBorders>
            <w:vAlign w:val="center"/>
          </w:tcPr>
          <w:p w14:paraId="67715F8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250</w:t>
            </w:r>
          </w:p>
        </w:tc>
      </w:tr>
      <w:tr w:rsidR="00FF1E38" w:rsidRPr="00FF1E38" w14:paraId="210DA8A6" w14:textId="77777777" w:rsidTr="00DE0C9A">
        <w:tblPrEx>
          <w:tblCellMar>
            <w:top w:w="48" w:type="dxa"/>
          </w:tblCellMar>
        </w:tblPrEx>
        <w:trPr>
          <w:cantSplit/>
        </w:trPr>
        <w:tc>
          <w:tcPr>
            <w:tcW w:w="1295" w:type="dxa"/>
            <w:vMerge/>
            <w:tcBorders>
              <w:left w:val="single" w:sz="4" w:space="0" w:color="000000"/>
              <w:right w:val="single" w:sz="4" w:space="0" w:color="000000"/>
            </w:tcBorders>
          </w:tcPr>
          <w:p w14:paraId="08D31811"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254EF73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Zagreb</w:t>
            </w:r>
          </w:p>
        </w:tc>
        <w:tc>
          <w:tcPr>
            <w:tcW w:w="2303" w:type="dxa"/>
            <w:tcBorders>
              <w:top w:val="single" w:sz="4" w:space="0" w:color="000000"/>
              <w:left w:val="single" w:sz="4" w:space="0" w:color="000000"/>
              <w:bottom w:val="single" w:sz="4" w:space="0" w:color="000000"/>
              <w:right w:val="single" w:sz="4" w:space="0" w:color="000000"/>
            </w:tcBorders>
            <w:vAlign w:val="center"/>
          </w:tcPr>
          <w:p w14:paraId="616E541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690 953</w:t>
            </w:r>
          </w:p>
        </w:tc>
        <w:tc>
          <w:tcPr>
            <w:tcW w:w="2451" w:type="dxa"/>
            <w:tcBorders>
              <w:top w:val="single" w:sz="4" w:space="0" w:color="000000"/>
              <w:left w:val="single" w:sz="4" w:space="0" w:color="000000"/>
              <w:bottom w:val="single" w:sz="4" w:space="0" w:color="000000"/>
              <w:right w:val="single" w:sz="4" w:space="0" w:color="000000"/>
            </w:tcBorders>
            <w:vAlign w:val="center"/>
          </w:tcPr>
          <w:p w14:paraId="609DCEA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320 000</w:t>
            </w:r>
          </w:p>
        </w:tc>
      </w:tr>
      <w:tr w:rsidR="00FF1E38" w:rsidRPr="00FF1E38" w14:paraId="458DE989" w14:textId="77777777" w:rsidTr="00DE0C9A">
        <w:tblPrEx>
          <w:tblCellMar>
            <w:top w:w="48" w:type="dxa"/>
          </w:tblCellMar>
        </w:tblPrEx>
        <w:trPr>
          <w:cantSplit/>
        </w:trPr>
        <w:tc>
          <w:tcPr>
            <w:tcW w:w="1295" w:type="dxa"/>
            <w:vMerge/>
            <w:tcBorders>
              <w:left w:val="single" w:sz="4" w:space="0" w:color="000000"/>
              <w:bottom w:val="single" w:sz="4" w:space="0" w:color="000000"/>
              <w:right w:val="single" w:sz="4" w:space="0" w:color="000000"/>
            </w:tcBorders>
          </w:tcPr>
          <w:p w14:paraId="240BA2D3" w14:textId="77777777" w:rsidR="00FF1E38" w:rsidRPr="00FF1E38" w:rsidRDefault="00FF1E38" w:rsidP="00FF1E38">
            <w:pPr>
              <w:spacing w:after="0" w:line="240" w:lineRule="auto"/>
              <w:ind w:left="0" w:right="0" w:firstLine="0"/>
              <w:jc w:val="left"/>
              <w:rPr>
                <w:rFonts w:ascii="Times New Roman" w:hAnsi="Times New Roman" w:cs="Times New Roman"/>
              </w:rPr>
            </w:pPr>
          </w:p>
        </w:tc>
        <w:tc>
          <w:tcPr>
            <w:tcW w:w="3023" w:type="dxa"/>
            <w:tcBorders>
              <w:top w:val="single" w:sz="4" w:space="0" w:color="000000"/>
              <w:left w:val="single" w:sz="4" w:space="0" w:color="000000"/>
              <w:bottom w:val="single" w:sz="4" w:space="0" w:color="000000"/>
              <w:right w:val="single" w:sz="4" w:space="0" w:color="000000"/>
            </w:tcBorders>
            <w:vAlign w:val="center"/>
          </w:tcPr>
          <w:p w14:paraId="6D724D2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Žerjavinec</w:t>
            </w:r>
          </w:p>
        </w:tc>
        <w:tc>
          <w:tcPr>
            <w:tcW w:w="2303" w:type="dxa"/>
            <w:tcBorders>
              <w:top w:val="single" w:sz="4" w:space="0" w:color="000000"/>
              <w:left w:val="single" w:sz="4" w:space="0" w:color="000000"/>
              <w:bottom w:val="single" w:sz="4" w:space="0" w:color="000000"/>
              <w:right w:val="single" w:sz="4" w:space="0" w:color="000000"/>
            </w:tcBorders>
            <w:vAlign w:val="center"/>
          </w:tcPr>
          <w:p w14:paraId="550766A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180</w:t>
            </w:r>
          </w:p>
        </w:tc>
        <w:tc>
          <w:tcPr>
            <w:tcW w:w="2451" w:type="dxa"/>
            <w:tcBorders>
              <w:top w:val="single" w:sz="4" w:space="0" w:color="000000"/>
              <w:left w:val="single" w:sz="4" w:space="0" w:color="000000"/>
              <w:bottom w:val="single" w:sz="4" w:space="0" w:color="000000"/>
              <w:right w:val="single" w:sz="4" w:space="0" w:color="000000"/>
            </w:tcBorders>
            <w:vAlign w:val="center"/>
          </w:tcPr>
          <w:p w14:paraId="17F8F9A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eastAsia="Calibri" w:hAnsi="Times New Roman" w:cs="Times New Roman"/>
              </w:rPr>
              <w:t>-</w:t>
            </w:r>
          </w:p>
        </w:tc>
      </w:tr>
    </w:tbl>
    <w:p w14:paraId="70450841" w14:textId="77777777" w:rsidR="00FF1E38" w:rsidRPr="00FF1E38" w:rsidRDefault="00FF1E38" w:rsidP="00FF1E38">
      <w:pPr>
        <w:spacing w:after="0" w:line="240" w:lineRule="auto"/>
        <w:ind w:left="0" w:right="0" w:firstLine="0"/>
        <w:jc w:val="center"/>
        <w:rPr>
          <w:rFonts w:ascii="Times New Roman" w:eastAsia="Calibri" w:hAnsi="Times New Roman" w:cs="Times New Roman"/>
          <w:i/>
          <w:sz w:val="20"/>
          <w:szCs w:val="20"/>
        </w:rPr>
      </w:pPr>
      <w:r w:rsidRPr="00FF1E38">
        <w:rPr>
          <w:rFonts w:ascii="Times New Roman" w:eastAsia="Calibri" w:hAnsi="Times New Roman" w:cs="Times New Roman"/>
          <w:i/>
          <w:sz w:val="20"/>
          <w:szCs w:val="20"/>
        </w:rPr>
        <w:t>Izvor: Procjena ugroženosti stanovništva, materijalnih i kulturnih dobara i okoliša od katastrofa i velikih nesreća za područje Grada Zagreba</w:t>
      </w:r>
    </w:p>
    <w:p w14:paraId="235A9D80" w14:textId="77777777" w:rsidR="00FF1E38" w:rsidRPr="00FF1E38" w:rsidRDefault="00FF1E38" w:rsidP="00FF1E38">
      <w:pPr>
        <w:spacing w:after="0" w:line="240" w:lineRule="auto"/>
        <w:ind w:left="0" w:right="0" w:firstLine="0"/>
        <w:rPr>
          <w:rFonts w:ascii="Times New Roman" w:hAnsi="Times New Roman" w:cs="Times New Roman"/>
          <w:sz w:val="24"/>
        </w:rPr>
      </w:pPr>
    </w:p>
    <w:p w14:paraId="665902F3" w14:textId="77777777" w:rsidR="00FF1E38" w:rsidRPr="00FF1E38" w:rsidRDefault="00FF1E38" w:rsidP="00FF1E38">
      <w:pPr>
        <w:spacing w:after="0" w:line="240" w:lineRule="auto"/>
        <w:ind w:left="0" w:right="0" w:firstLine="0"/>
        <w:rPr>
          <w:rFonts w:ascii="Times New Roman" w:hAnsi="Times New Roman" w:cs="Times New Roman"/>
          <w:sz w:val="24"/>
        </w:rPr>
      </w:pPr>
    </w:p>
    <w:p w14:paraId="7FD3211B" w14:textId="7E7C754F" w:rsidR="00FF1E38" w:rsidRDefault="00FF1E38" w:rsidP="00FF1E38">
      <w:pPr>
        <w:spacing w:after="0" w:line="240" w:lineRule="auto"/>
        <w:ind w:left="0" w:right="0" w:firstLine="0"/>
        <w:rPr>
          <w:rFonts w:ascii="Times New Roman" w:hAnsi="Times New Roman" w:cs="Times New Roman"/>
          <w:sz w:val="24"/>
        </w:rPr>
      </w:pPr>
    </w:p>
    <w:p w14:paraId="07AD561B" w14:textId="77777777" w:rsidR="00571A98" w:rsidRPr="00FF1E38" w:rsidRDefault="00571A98" w:rsidP="00FF1E38">
      <w:pPr>
        <w:spacing w:after="0" w:line="240" w:lineRule="auto"/>
        <w:ind w:left="0" w:right="0" w:firstLine="0"/>
        <w:rPr>
          <w:rFonts w:ascii="Times New Roman" w:hAnsi="Times New Roman" w:cs="Times New Roman"/>
          <w:sz w:val="24"/>
        </w:rPr>
      </w:pPr>
    </w:p>
    <w:p w14:paraId="61A9FA2C" w14:textId="7CC98E77" w:rsidR="00FF1E38" w:rsidRPr="008879E1" w:rsidRDefault="00FF1E38" w:rsidP="00571A98">
      <w:pPr>
        <w:spacing w:line="240" w:lineRule="auto"/>
        <w:ind w:left="0" w:right="0" w:firstLine="0"/>
        <w:jc w:val="center"/>
        <w:rPr>
          <w:rFonts w:ascii="Times New Roman" w:hAnsi="Times New Roman" w:cs="Times New Roman"/>
          <w:b/>
          <w:color w:val="auto"/>
          <w:sz w:val="24"/>
        </w:rPr>
      </w:pPr>
      <w:r w:rsidRPr="008879E1">
        <w:rPr>
          <w:rFonts w:ascii="Times New Roman" w:hAnsi="Times New Roman" w:cs="Times New Roman"/>
          <w:b/>
          <w:color w:val="auto"/>
          <w:sz w:val="24"/>
        </w:rPr>
        <w:lastRenderedPageBreak/>
        <w:t xml:space="preserve">Tablica </w:t>
      </w:r>
      <w:r w:rsidR="008879E1" w:rsidRPr="008879E1">
        <w:rPr>
          <w:rFonts w:ascii="Times New Roman" w:hAnsi="Times New Roman" w:cs="Times New Roman"/>
          <w:b/>
          <w:color w:val="auto"/>
          <w:sz w:val="24"/>
        </w:rPr>
        <w:t>66</w:t>
      </w:r>
      <w:r w:rsidRPr="008879E1">
        <w:rPr>
          <w:rFonts w:ascii="Times New Roman" w:hAnsi="Times New Roman" w:cs="Times New Roman"/>
          <w:b/>
          <w:color w:val="auto"/>
          <w:sz w:val="24"/>
        </w:rPr>
        <w:t>. Procijenjena veličina ugroženog područja i stupanj izgrađenosti površina</w:t>
      </w:r>
    </w:p>
    <w:tbl>
      <w:tblPr>
        <w:tblStyle w:val="TableGrid"/>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4" w:type="dxa"/>
          <w:left w:w="57" w:type="dxa"/>
          <w:right w:w="57" w:type="dxa"/>
        </w:tblCellMar>
        <w:tblLook w:val="04A0" w:firstRow="1" w:lastRow="0" w:firstColumn="1" w:lastColumn="0" w:noHBand="0" w:noVBand="1"/>
      </w:tblPr>
      <w:tblGrid>
        <w:gridCol w:w="1984"/>
        <w:gridCol w:w="1247"/>
        <w:gridCol w:w="1985"/>
        <w:gridCol w:w="1701"/>
        <w:gridCol w:w="2155"/>
      </w:tblGrid>
      <w:tr w:rsidR="00FF1E38" w:rsidRPr="00FF1E38" w14:paraId="43D5E844" w14:textId="77777777" w:rsidTr="00DE0C9A">
        <w:trPr>
          <w:cantSplit/>
          <w:tblHeader/>
        </w:trPr>
        <w:tc>
          <w:tcPr>
            <w:tcW w:w="1984" w:type="dxa"/>
            <w:shd w:val="clear" w:color="auto" w:fill="FFC000"/>
            <w:vAlign w:val="center"/>
          </w:tcPr>
          <w:p w14:paraId="0AC6D0C1" w14:textId="77777777" w:rsidR="00FF1E38" w:rsidRPr="00FF1E38" w:rsidRDefault="00FF1E38" w:rsidP="00FF1E38">
            <w:pPr>
              <w:spacing w:after="0" w:line="240" w:lineRule="auto"/>
              <w:ind w:left="0" w:right="0" w:firstLine="0"/>
              <w:jc w:val="center"/>
              <w:rPr>
                <w:rFonts w:ascii="Times New Roman" w:eastAsia="Calibri" w:hAnsi="Times New Roman" w:cs="Times New Roman"/>
                <w:b/>
                <w:sz w:val="20"/>
                <w:szCs w:val="20"/>
              </w:rPr>
            </w:pPr>
            <w:r w:rsidRPr="00FF1E38">
              <w:rPr>
                <w:rFonts w:ascii="Times New Roman" w:eastAsia="Calibri" w:hAnsi="Times New Roman" w:cs="Times New Roman"/>
                <w:b/>
                <w:sz w:val="20"/>
                <w:szCs w:val="20"/>
              </w:rPr>
              <w:t>Naselje</w:t>
            </w:r>
          </w:p>
          <w:p w14:paraId="08432268" w14:textId="77777777" w:rsidR="00FF1E38" w:rsidRPr="00FF1E38" w:rsidRDefault="00FF1E38" w:rsidP="00FF1E38">
            <w:pPr>
              <w:spacing w:after="0" w:line="240" w:lineRule="auto"/>
              <w:ind w:left="0" w:right="0" w:firstLine="0"/>
              <w:jc w:val="center"/>
              <w:rPr>
                <w:rFonts w:ascii="Times New Roman" w:hAnsi="Times New Roman" w:cs="Times New Roman"/>
                <w:sz w:val="18"/>
                <w:szCs w:val="18"/>
              </w:rPr>
            </w:pPr>
            <w:r w:rsidRPr="00FF1E38">
              <w:rPr>
                <w:rFonts w:ascii="Times New Roman" w:eastAsia="Calibri" w:hAnsi="Times New Roman" w:cs="Times New Roman"/>
                <w:b/>
                <w:sz w:val="18"/>
                <w:szCs w:val="18"/>
              </w:rPr>
              <w:t>(ukupna procijenjena površina ugroženog područja)</w:t>
            </w:r>
          </w:p>
        </w:tc>
        <w:tc>
          <w:tcPr>
            <w:tcW w:w="1247" w:type="dxa"/>
            <w:shd w:val="clear" w:color="auto" w:fill="FFC000"/>
            <w:vAlign w:val="center"/>
          </w:tcPr>
          <w:p w14:paraId="128B9C4B"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b/>
                <w:sz w:val="20"/>
                <w:szCs w:val="20"/>
              </w:rPr>
              <w:t xml:space="preserve">Broj ugroženog stanovništva </w:t>
            </w:r>
            <w:r w:rsidRPr="00FF1E38">
              <w:rPr>
                <w:rFonts w:ascii="Times New Roman" w:eastAsia="Calibri" w:hAnsi="Times New Roman" w:cs="Times New Roman"/>
                <w:b/>
                <w:sz w:val="18"/>
                <w:szCs w:val="18"/>
              </w:rPr>
              <w:t>(procjena)</w:t>
            </w:r>
          </w:p>
        </w:tc>
        <w:tc>
          <w:tcPr>
            <w:tcW w:w="1985" w:type="dxa"/>
            <w:shd w:val="clear" w:color="auto" w:fill="FFC000"/>
            <w:vAlign w:val="center"/>
          </w:tcPr>
          <w:p w14:paraId="10F798AE"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b/>
                <w:sz w:val="20"/>
                <w:szCs w:val="20"/>
              </w:rPr>
              <w:t xml:space="preserve">Ugrožene prometnice </w:t>
            </w:r>
            <w:r w:rsidRPr="00FF1E38">
              <w:rPr>
                <w:rFonts w:ascii="Times New Roman" w:eastAsia="Calibri" w:hAnsi="Times New Roman" w:cs="Times New Roman"/>
                <w:b/>
                <w:sz w:val="18"/>
                <w:szCs w:val="18"/>
              </w:rPr>
              <w:t>(procjena)</w:t>
            </w:r>
          </w:p>
        </w:tc>
        <w:tc>
          <w:tcPr>
            <w:tcW w:w="1701" w:type="dxa"/>
            <w:shd w:val="clear" w:color="auto" w:fill="FFC000"/>
            <w:vAlign w:val="center"/>
          </w:tcPr>
          <w:p w14:paraId="05A8FDDE"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b/>
                <w:sz w:val="20"/>
                <w:szCs w:val="20"/>
              </w:rPr>
              <w:t>Industrija</w:t>
            </w:r>
          </w:p>
        </w:tc>
        <w:tc>
          <w:tcPr>
            <w:tcW w:w="2155" w:type="dxa"/>
            <w:shd w:val="clear" w:color="auto" w:fill="FFC000"/>
            <w:vAlign w:val="center"/>
          </w:tcPr>
          <w:p w14:paraId="3F1FD908"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b/>
                <w:sz w:val="20"/>
                <w:szCs w:val="20"/>
              </w:rPr>
              <w:t>Ostalo</w:t>
            </w:r>
          </w:p>
        </w:tc>
      </w:tr>
      <w:tr w:rsidR="00FF1E38" w:rsidRPr="00FF1E38" w14:paraId="22DBCB54" w14:textId="77777777" w:rsidTr="00DE0C9A">
        <w:trPr>
          <w:cantSplit/>
          <w:tblHeader/>
        </w:trPr>
        <w:tc>
          <w:tcPr>
            <w:tcW w:w="9072" w:type="dxa"/>
            <w:gridSpan w:val="5"/>
            <w:shd w:val="clear" w:color="auto" w:fill="FFC000"/>
            <w:vAlign w:val="center"/>
          </w:tcPr>
          <w:p w14:paraId="003C42D0"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b/>
                <w:sz w:val="20"/>
                <w:szCs w:val="20"/>
              </w:rPr>
              <w:t>Grad Zagreb</w:t>
            </w:r>
          </w:p>
        </w:tc>
      </w:tr>
      <w:tr w:rsidR="00FF1E38" w:rsidRPr="00FF1E38" w14:paraId="6AA184CD" w14:textId="77777777" w:rsidTr="00DE0C9A">
        <w:trPr>
          <w:cantSplit/>
        </w:trPr>
        <w:tc>
          <w:tcPr>
            <w:tcW w:w="1984" w:type="dxa"/>
            <w:vAlign w:val="center"/>
          </w:tcPr>
          <w:p w14:paraId="65141DF9"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Adamovec </w:t>
            </w:r>
          </w:p>
        </w:tc>
        <w:tc>
          <w:tcPr>
            <w:tcW w:w="1247" w:type="dxa"/>
            <w:vAlign w:val="center"/>
          </w:tcPr>
          <w:p w14:paraId="4FCEB41F"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47E0DADC"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1838FC59"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5D358E50"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44F0CC13" w14:textId="77777777" w:rsidTr="00DE0C9A">
        <w:trPr>
          <w:cantSplit/>
        </w:trPr>
        <w:tc>
          <w:tcPr>
            <w:tcW w:w="1984" w:type="dxa"/>
            <w:vAlign w:val="center"/>
          </w:tcPr>
          <w:p w14:paraId="5170A256"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Belovar </w:t>
            </w:r>
          </w:p>
        </w:tc>
        <w:tc>
          <w:tcPr>
            <w:tcW w:w="1247" w:type="dxa"/>
            <w:vAlign w:val="center"/>
          </w:tcPr>
          <w:p w14:paraId="69108C5D"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3AE5C4CC"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1BBB8700"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0436CA05"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05A379A6" w14:textId="77777777" w:rsidTr="00DE0C9A">
        <w:trPr>
          <w:cantSplit/>
        </w:trPr>
        <w:tc>
          <w:tcPr>
            <w:tcW w:w="1984" w:type="dxa"/>
            <w:vAlign w:val="center"/>
          </w:tcPr>
          <w:p w14:paraId="64D1DFD3"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Blaguša </w:t>
            </w:r>
          </w:p>
        </w:tc>
        <w:tc>
          <w:tcPr>
            <w:tcW w:w="1247" w:type="dxa"/>
            <w:vAlign w:val="center"/>
          </w:tcPr>
          <w:p w14:paraId="62848335"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10AA7521"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765C238A"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47CC59F2"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7C17DC9F" w14:textId="77777777" w:rsidTr="00DE0C9A">
        <w:trPr>
          <w:cantSplit/>
        </w:trPr>
        <w:tc>
          <w:tcPr>
            <w:tcW w:w="1984" w:type="dxa"/>
            <w:vAlign w:val="center"/>
          </w:tcPr>
          <w:p w14:paraId="6B7E9BE3" w14:textId="77777777" w:rsidR="00FF1E38" w:rsidRPr="00FF1E38" w:rsidRDefault="00FF1E38" w:rsidP="00FF1E38">
            <w:pPr>
              <w:spacing w:after="0" w:line="240" w:lineRule="auto"/>
              <w:ind w:left="0" w:right="0" w:firstLine="0"/>
              <w:jc w:val="left"/>
              <w:rPr>
                <w:rFonts w:ascii="Times New Roman" w:eastAsia="Calibri" w:hAnsi="Times New Roman" w:cs="Times New Roman"/>
                <w:b/>
                <w:sz w:val="20"/>
                <w:szCs w:val="20"/>
              </w:rPr>
            </w:pPr>
            <w:r w:rsidRPr="00FF1E38">
              <w:rPr>
                <w:rFonts w:ascii="Times New Roman" w:eastAsia="Calibri" w:hAnsi="Times New Roman" w:cs="Times New Roman"/>
                <w:b/>
                <w:sz w:val="20"/>
                <w:szCs w:val="20"/>
              </w:rPr>
              <w:t>Botinec</w:t>
            </w:r>
          </w:p>
          <w:p w14:paraId="732F3159"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(cca 0,2 m</w:t>
            </w:r>
            <w:r w:rsidRPr="00FF1E38">
              <w:rPr>
                <w:rFonts w:ascii="Times New Roman" w:eastAsia="Calibri" w:hAnsi="Times New Roman" w:cs="Times New Roman"/>
                <w:b/>
                <w:sz w:val="20"/>
                <w:szCs w:val="20"/>
                <w:vertAlign w:val="superscript"/>
              </w:rPr>
              <w:t>2</w:t>
            </w:r>
            <w:r w:rsidRPr="00FF1E38">
              <w:rPr>
                <w:rFonts w:ascii="Times New Roman" w:eastAsia="Calibri" w:hAnsi="Times New Roman" w:cs="Times New Roman"/>
                <w:b/>
                <w:sz w:val="20"/>
                <w:szCs w:val="20"/>
              </w:rPr>
              <w:t xml:space="preserve">) </w:t>
            </w:r>
          </w:p>
        </w:tc>
        <w:tc>
          <w:tcPr>
            <w:tcW w:w="1247" w:type="dxa"/>
            <w:vAlign w:val="center"/>
          </w:tcPr>
          <w:p w14:paraId="74851419"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9</w:t>
            </w:r>
          </w:p>
        </w:tc>
        <w:tc>
          <w:tcPr>
            <w:tcW w:w="1985" w:type="dxa"/>
            <w:vAlign w:val="center"/>
          </w:tcPr>
          <w:p w14:paraId="3060EB29"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Ugrožen dio zagrebačke obilaznice koji prolazi kroz ovo naselje te sve lokalne ceste i pravci </w:t>
            </w:r>
          </w:p>
        </w:tc>
        <w:tc>
          <w:tcPr>
            <w:tcW w:w="1701" w:type="dxa"/>
            <w:vAlign w:val="center"/>
          </w:tcPr>
          <w:p w14:paraId="112A42EA"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Nema industrijskih zona</w:t>
            </w:r>
          </w:p>
        </w:tc>
        <w:tc>
          <w:tcPr>
            <w:tcW w:w="2155" w:type="dxa"/>
            <w:vAlign w:val="center"/>
          </w:tcPr>
          <w:p w14:paraId="1D55B545"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Stambeni objekti </w:t>
            </w:r>
          </w:p>
        </w:tc>
      </w:tr>
      <w:tr w:rsidR="00FF1E38" w:rsidRPr="00FF1E38" w14:paraId="4E7AAAC6" w14:textId="77777777" w:rsidTr="00DE0C9A">
        <w:trPr>
          <w:cantSplit/>
        </w:trPr>
        <w:tc>
          <w:tcPr>
            <w:tcW w:w="1984" w:type="dxa"/>
            <w:vAlign w:val="center"/>
          </w:tcPr>
          <w:p w14:paraId="3A77C7AF"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Brebernica </w:t>
            </w:r>
          </w:p>
        </w:tc>
        <w:tc>
          <w:tcPr>
            <w:tcW w:w="1247" w:type="dxa"/>
            <w:vAlign w:val="center"/>
          </w:tcPr>
          <w:p w14:paraId="20344B3C"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1136FB4A"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05530C18"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5E03AFC3"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484A6573" w14:textId="77777777" w:rsidTr="00DE0C9A">
        <w:trPr>
          <w:cantSplit/>
        </w:trPr>
        <w:tc>
          <w:tcPr>
            <w:tcW w:w="1984" w:type="dxa"/>
            <w:vAlign w:val="center"/>
          </w:tcPr>
          <w:p w14:paraId="52F64D16" w14:textId="77777777" w:rsidR="00FF1E38" w:rsidRPr="00FF1E38" w:rsidRDefault="00FF1E38" w:rsidP="00FF1E38">
            <w:pPr>
              <w:spacing w:after="0" w:line="240" w:lineRule="auto"/>
              <w:ind w:left="0" w:right="0" w:firstLine="0"/>
              <w:jc w:val="left"/>
              <w:rPr>
                <w:rFonts w:ascii="Times New Roman" w:eastAsia="Calibri" w:hAnsi="Times New Roman" w:cs="Times New Roman"/>
                <w:b/>
                <w:sz w:val="20"/>
                <w:szCs w:val="20"/>
              </w:rPr>
            </w:pPr>
            <w:r w:rsidRPr="00FF1E38">
              <w:rPr>
                <w:rFonts w:ascii="Times New Roman" w:eastAsia="Calibri" w:hAnsi="Times New Roman" w:cs="Times New Roman"/>
                <w:b/>
                <w:sz w:val="20"/>
                <w:szCs w:val="20"/>
              </w:rPr>
              <w:t>Brezovica</w:t>
            </w:r>
          </w:p>
          <w:p w14:paraId="4DF8390E"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(cca 1,2 m</w:t>
            </w:r>
            <w:r w:rsidRPr="00FF1E38">
              <w:rPr>
                <w:rFonts w:ascii="Times New Roman" w:eastAsia="Calibri" w:hAnsi="Times New Roman" w:cs="Times New Roman"/>
                <w:b/>
                <w:sz w:val="20"/>
                <w:szCs w:val="20"/>
                <w:vertAlign w:val="superscript"/>
              </w:rPr>
              <w:t>2</w:t>
            </w:r>
            <w:r w:rsidRPr="00FF1E38">
              <w:rPr>
                <w:rFonts w:ascii="Times New Roman" w:eastAsia="Calibri" w:hAnsi="Times New Roman" w:cs="Times New Roman"/>
                <w:b/>
                <w:sz w:val="20"/>
                <w:szCs w:val="20"/>
              </w:rPr>
              <w:t xml:space="preserve">) </w:t>
            </w:r>
          </w:p>
        </w:tc>
        <w:tc>
          <w:tcPr>
            <w:tcW w:w="1247" w:type="dxa"/>
            <w:vAlign w:val="center"/>
          </w:tcPr>
          <w:p w14:paraId="46B1B5C9"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195</w:t>
            </w:r>
          </w:p>
        </w:tc>
        <w:tc>
          <w:tcPr>
            <w:tcW w:w="1985" w:type="dxa"/>
            <w:vAlign w:val="center"/>
          </w:tcPr>
          <w:p w14:paraId="2A97C8D9"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Ugrožen dio zagrebačke obilaznice koji prolazi kroz ovo naselje te većina lokalnih cesta i pravaca </w:t>
            </w:r>
          </w:p>
        </w:tc>
        <w:tc>
          <w:tcPr>
            <w:tcW w:w="1701" w:type="dxa"/>
            <w:vAlign w:val="center"/>
          </w:tcPr>
          <w:p w14:paraId="1C00E4BB"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Nema industrijskih zona</w:t>
            </w:r>
          </w:p>
        </w:tc>
        <w:tc>
          <w:tcPr>
            <w:tcW w:w="2155" w:type="dxa"/>
            <w:vAlign w:val="center"/>
          </w:tcPr>
          <w:p w14:paraId="6953A0BD"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Stambeni objekti </w:t>
            </w:r>
          </w:p>
        </w:tc>
      </w:tr>
      <w:tr w:rsidR="00FF1E38" w:rsidRPr="00FF1E38" w14:paraId="6000DE12" w14:textId="77777777" w:rsidTr="00DE0C9A">
        <w:trPr>
          <w:cantSplit/>
        </w:trPr>
        <w:tc>
          <w:tcPr>
            <w:tcW w:w="1984" w:type="dxa"/>
            <w:vAlign w:val="center"/>
          </w:tcPr>
          <w:p w14:paraId="6922D11B"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Budenec </w:t>
            </w:r>
          </w:p>
        </w:tc>
        <w:tc>
          <w:tcPr>
            <w:tcW w:w="1247" w:type="dxa"/>
            <w:vAlign w:val="center"/>
          </w:tcPr>
          <w:p w14:paraId="77BCDAF6"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23290DA0"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78FC6925"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065AAF39"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079CC5C8" w14:textId="77777777" w:rsidTr="00DE0C9A">
        <w:trPr>
          <w:cantSplit/>
        </w:trPr>
        <w:tc>
          <w:tcPr>
            <w:tcW w:w="1984" w:type="dxa"/>
            <w:vAlign w:val="center"/>
          </w:tcPr>
          <w:p w14:paraId="1C543381" w14:textId="77777777" w:rsidR="00FF1E38" w:rsidRPr="00FF1E38" w:rsidRDefault="00FF1E38" w:rsidP="00FF1E38">
            <w:pPr>
              <w:spacing w:after="0" w:line="240" w:lineRule="auto"/>
              <w:ind w:left="0" w:right="0" w:firstLine="0"/>
              <w:jc w:val="left"/>
              <w:rPr>
                <w:rFonts w:ascii="Times New Roman" w:eastAsia="Calibri" w:hAnsi="Times New Roman" w:cs="Times New Roman"/>
                <w:b/>
                <w:sz w:val="20"/>
                <w:szCs w:val="20"/>
              </w:rPr>
            </w:pPr>
            <w:r w:rsidRPr="00FF1E38">
              <w:rPr>
                <w:rFonts w:ascii="Times New Roman" w:eastAsia="Calibri" w:hAnsi="Times New Roman" w:cs="Times New Roman"/>
                <w:b/>
                <w:sz w:val="20"/>
                <w:szCs w:val="20"/>
              </w:rPr>
              <w:t>Buzin</w:t>
            </w:r>
          </w:p>
          <w:p w14:paraId="6548A2F8"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(cca 1,2 m</w:t>
            </w:r>
            <w:r w:rsidRPr="00FF1E38">
              <w:rPr>
                <w:rFonts w:ascii="Times New Roman" w:eastAsia="Calibri" w:hAnsi="Times New Roman" w:cs="Times New Roman"/>
                <w:b/>
                <w:sz w:val="20"/>
                <w:szCs w:val="20"/>
                <w:vertAlign w:val="superscript"/>
              </w:rPr>
              <w:t>2</w:t>
            </w:r>
            <w:r w:rsidRPr="00FF1E38">
              <w:rPr>
                <w:rFonts w:ascii="Times New Roman" w:eastAsia="Calibri" w:hAnsi="Times New Roman" w:cs="Times New Roman"/>
                <w:b/>
                <w:sz w:val="20"/>
                <w:szCs w:val="20"/>
              </w:rPr>
              <w:t xml:space="preserve">) </w:t>
            </w:r>
          </w:p>
        </w:tc>
        <w:tc>
          <w:tcPr>
            <w:tcW w:w="1247" w:type="dxa"/>
            <w:vAlign w:val="center"/>
          </w:tcPr>
          <w:p w14:paraId="2EA0EC65"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100</w:t>
            </w:r>
          </w:p>
        </w:tc>
        <w:tc>
          <w:tcPr>
            <w:tcW w:w="1985" w:type="dxa"/>
            <w:vAlign w:val="center"/>
          </w:tcPr>
          <w:p w14:paraId="6E99B289"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Ugrožena Ul. Savezne Republike Njemačke i D30, dio zagrebačke obilaznice kod čvora Buzin, dio željezničke pruge Zagreb - Sisak koji prolazi kroz ovo naselje</w:t>
            </w:r>
          </w:p>
        </w:tc>
        <w:tc>
          <w:tcPr>
            <w:tcW w:w="1701" w:type="dxa"/>
            <w:vAlign w:val="center"/>
          </w:tcPr>
          <w:p w14:paraId="1963156D"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Ugrožen dio poduzetničke zone</w:t>
            </w:r>
          </w:p>
        </w:tc>
        <w:tc>
          <w:tcPr>
            <w:tcW w:w="2155" w:type="dxa"/>
            <w:vAlign w:val="center"/>
          </w:tcPr>
          <w:p w14:paraId="0939C08E"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Stambeni objekti </w:t>
            </w:r>
          </w:p>
        </w:tc>
      </w:tr>
      <w:tr w:rsidR="00FF1E38" w:rsidRPr="00FF1E38" w14:paraId="742D8A10" w14:textId="77777777" w:rsidTr="00DE0C9A">
        <w:tblPrEx>
          <w:tblCellMar>
            <w:top w:w="46" w:type="dxa"/>
          </w:tblCellMar>
        </w:tblPrEx>
        <w:trPr>
          <w:cantSplit/>
        </w:trPr>
        <w:tc>
          <w:tcPr>
            <w:tcW w:w="1984" w:type="dxa"/>
            <w:vAlign w:val="center"/>
          </w:tcPr>
          <w:p w14:paraId="245C33FE"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Cerje </w:t>
            </w:r>
          </w:p>
        </w:tc>
        <w:tc>
          <w:tcPr>
            <w:tcW w:w="1247" w:type="dxa"/>
            <w:vAlign w:val="center"/>
          </w:tcPr>
          <w:p w14:paraId="004362CE"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34322FE9"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0464C488"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28D450D3"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0AEBB078" w14:textId="77777777" w:rsidTr="00DE0C9A">
        <w:tblPrEx>
          <w:tblCellMar>
            <w:top w:w="46" w:type="dxa"/>
          </w:tblCellMar>
        </w:tblPrEx>
        <w:trPr>
          <w:cantSplit/>
        </w:trPr>
        <w:tc>
          <w:tcPr>
            <w:tcW w:w="1984" w:type="dxa"/>
            <w:vAlign w:val="center"/>
          </w:tcPr>
          <w:p w14:paraId="121678BC" w14:textId="77777777" w:rsidR="00FF1E38" w:rsidRPr="00FF1E38" w:rsidRDefault="00FF1E38" w:rsidP="00FF1E38">
            <w:pPr>
              <w:spacing w:after="0" w:line="240" w:lineRule="auto"/>
              <w:ind w:left="0" w:right="0" w:firstLine="0"/>
              <w:jc w:val="left"/>
              <w:rPr>
                <w:rFonts w:ascii="Times New Roman" w:eastAsia="Calibri" w:hAnsi="Times New Roman" w:cs="Times New Roman"/>
                <w:b/>
                <w:sz w:val="20"/>
                <w:szCs w:val="20"/>
              </w:rPr>
            </w:pPr>
            <w:r w:rsidRPr="00FF1E38">
              <w:rPr>
                <w:rFonts w:ascii="Times New Roman" w:eastAsia="Calibri" w:hAnsi="Times New Roman" w:cs="Times New Roman"/>
                <w:b/>
                <w:sz w:val="20"/>
                <w:szCs w:val="20"/>
              </w:rPr>
              <w:t>Demerje</w:t>
            </w:r>
          </w:p>
          <w:p w14:paraId="03226D96"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(cca 1,4 m</w:t>
            </w:r>
            <w:r w:rsidRPr="00FF1E38">
              <w:rPr>
                <w:rFonts w:ascii="Times New Roman" w:eastAsia="Calibri" w:hAnsi="Times New Roman" w:cs="Times New Roman"/>
                <w:b/>
                <w:sz w:val="20"/>
                <w:szCs w:val="20"/>
                <w:vertAlign w:val="superscript"/>
              </w:rPr>
              <w:t>2</w:t>
            </w:r>
            <w:r w:rsidRPr="00FF1E38">
              <w:rPr>
                <w:rFonts w:ascii="Times New Roman" w:eastAsia="Calibri" w:hAnsi="Times New Roman" w:cs="Times New Roman"/>
                <w:b/>
                <w:sz w:val="20"/>
                <w:szCs w:val="20"/>
              </w:rPr>
              <w:t xml:space="preserve">) </w:t>
            </w:r>
          </w:p>
        </w:tc>
        <w:tc>
          <w:tcPr>
            <w:tcW w:w="1247" w:type="dxa"/>
            <w:vAlign w:val="center"/>
          </w:tcPr>
          <w:p w14:paraId="5AD2CA30"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20</w:t>
            </w:r>
          </w:p>
        </w:tc>
        <w:tc>
          <w:tcPr>
            <w:tcW w:w="1985" w:type="dxa"/>
            <w:vAlign w:val="center"/>
          </w:tcPr>
          <w:p w14:paraId="63A38434"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Ugrožene pojedine lokalne ceste i pravci </w:t>
            </w:r>
          </w:p>
        </w:tc>
        <w:tc>
          <w:tcPr>
            <w:tcW w:w="1701" w:type="dxa"/>
            <w:vAlign w:val="center"/>
          </w:tcPr>
          <w:p w14:paraId="1313BDE6"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Nema industrijskih zona</w:t>
            </w:r>
          </w:p>
        </w:tc>
        <w:tc>
          <w:tcPr>
            <w:tcW w:w="2155" w:type="dxa"/>
            <w:vAlign w:val="center"/>
          </w:tcPr>
          <w:p w14:paraId="7768CF75"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 Stambeni objekti, područna škola </w:t>
            </w:r>
          </w:p>
        </w:tc>
      </w:tr>
      <w:tr w:rsidR="00FF1E38" w:rsidRPr="00FF1E38" w14:paraId="30A218A9" w14:textId="77777777" w:rsidTr="00DE0C9A">
        <w:tblPrEx>
          <w:tblCellMar>
            <w:top w:w="46" w:type="dxa"/>
          </w:tblCellMar>
        </w:tblPrEx>
        <w:trPr>
          <w:cantSplit/>
        </w:trPr>
        <w:tc>
          <w:tcPr>
            <w:tcW w:w="1984" w:type="dxa"/>
            <w:vAlign w:val="center"/>
          </w:tcPr>
          <w:p w14:paraId="0EDDB3E7"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Desprim </w:t>
            </w:r>
          </w:p>
        </w:tc>
        <w:tc>
          <w:tcPr>
            <w:tcW w:w="1247" w:type="dxa"/>
            <w:vAlign w:val="center"/>
          </w:tcPr>
          <w:p w14:paraId="6A4B6342"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692BB99C"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4D7C7F52"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3C2D4AF9"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5D7FD527" w14:textId="77777777" w:rsidTr="00DE0C9A">
        <w:tblPrEx>
          <w:tblCellMar>
            <w:top w:w="46" w:type="dxa"/>
          </w:tblCellMar>
        </w:tblPrEx>
        <w:trPr>
          <w:cantSplit/>
        </w:trPr>
        <w:tc>
          <w:tcPr>
            <w:tcW w:w="1984" w:type="dxa"/>
            <w:vAlign w:val="center"/>
          </w:tcPr>
          <w:p w14:paraId="5598DBF1"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Dobrodol </w:t>
            </w:r>
          </w:p>
        </w:tc>
        <w:tc>
          <w:tcPr>
            <w:tcW w:w="1247" w:type="dxa"/>
            <w:vAlign w:val="center"/>
          </w:tcPr>
          <w:p w14:paraId="643A9081"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35C68A8B"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1CBDBCA2"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35FA46ED"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5F75C7BA" w14:textId="77777777" w:rsidTr="00DE0C9A">
        <w:tblPrEx>
          <w:tblCellMar>
            <w:top w:w="46" w:type="dxa"/>
          </w:tblCellMar>
        </w:tblPrEx>
        <w:trPr>
          <w:cantSplit/>
        </w:trPr>
        <w:tc>
          <w:tcPr>
            <w:tcW w:w="1984" w:type="dxa"/>
            <w:vAlign w:val="center"/>
          </w:tcPr>
          <w:p w14:paraId="0C2117F5" w14:textId="77777777" w:rsidR="00FF1E38" w:rsidRPr="00FF1E38" w:rsidRDefault="00FF1E38" w:rsidP="00FF1E38">
            <w:pPr>
              <w:spacing w:after="0" w:line="240" w:lineRule="auto"/>
              <w:ind w:left="0" w:right="0" w:firstLine="0"/>
              <w:jc w:val="left"/>
              <w:rPr>
                <w:rFonts w:ascii="Times New Roman" w:eastAsia="Calibri" w:hAnsi="Times New Roman" w:cs="Times New Roman"/>
                <w:b/>
                <w:sz w:val="20"/>
                <w:szCs w:val="20"/>
              </w:rPr>
            </w:pPr>
            <w:r w:rsidRPr="00FF1E38">
              <w:rPr>
                <w:rFonts w:ascii="Times New Roman" w:eastAsia="Calibri" w:hAnsi="Times New Roman" w:cs="Times New Roman"/>
                <w:b/>
                <w:sz w:val="20"/>
                <w:szCs w:val="20"/>
              </w:rPr>
              <w:t>Donji Čehi</w:t>
            </w:r>
          </w:p>
          <w:p w14:paraId="6CA0BCDC"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(cca 1,5 m</w:t>
            </w:r>
            <w:r w:rsidRPr="00FF1E38">
              <w:rPr>
                <w:rFonts w:ascii="Times New Roman" w:eastAsia="Calibri" w:hAnsi="Times New Roman" w:cs="Times New Roman"/>
                <w:b/>
                <w:sz w:val="20"/>
                <w:szCs w:val="20"/>
                <w:vertAlign w:val="superscript"/>
              </w:rPr>
              <w:t>2</w:t>
            </w:r>
            <w:r w:rsidRPr="00FF1E38">
              <w:rPr>
                <w:rFonts w:ascii="Times New Roman" w:eastAsia="Calibri" w:hAnsi="Times New Roman" w:cs="Times New Roman"/>
                <w:b/>
                <w:sz w:val="20"/>
                <w:szCs w:val="20"/>
              </w:rPr>
              <w:t xml:space="preserve">) </w:t>
            </w:r>
          </w:p>
        </w:tc>
        <w:tc>
          <w:tcPr>
            <w:tcW w:w="1247" w:type="dxa"/>
            <w:vAlign w:val="center"/>
          </w:tcPr>
          <w:p w14:paraId="6D7A403A"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227</w:t>
            </w:r>
          </w:p>
        </w:tc>
        <w:tc>
          <w:tcPr>
            <w:tcW w:w="1985" w:type="dxa"/>
            <w:vAlign w:val="center"/>
          </w:tcPr>
          <w:p w14:paraId="05FED81A"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Ugrožen dio zagrebačke obilaznice koji prolazi kroz ovo naselje te sve lokalne ceste i pravci </w:t>
            </w:r>
          </w:p>
        </w:tc>
        <w:tc>
          <w:tcPr>
            <w:tcW w:w="1701" w:type="dxa"/>
            <w:vAlign w:val="center"/>
          </w:tcPr>
          <w:p w14:paraId="1CB507A2"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Nema industrijskih zona</w:t>
            </w:r>
          </w:p>
        </w:tc>
        <w:tc>
          <w:tcPr>
            <w:tcW w:w="2155" w:type="dxa"/>
            <w:vAlign w:val="center"/>
          </w:tcPr>
          <w:p w14:paraId="67F28F71"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Stambeni objekti </w:t>
            </w:r>
          </w:p>
        </w:tc>
      </w:tr>
      <w:tr w:rsidR="00FF1E38" w:rsidRPr="00FF1E38" w14:paraId="6B3E39EA" w14:textId="77777777" w:rsidTr="00DE0C9A">
        <w:tblPrEx>
          <w:tblCellMar>
            <w:top w:w="46" w:type="dxa"/>
          </w:tblCellMar>
        </w:tblPrEx>
        <w:trPr>
          <w:cantSplit/>
        </w:trPr>
        <w:tc>
          <w:tcPr>
            <w:tcW w:w="1984" w:type="dxa"/>
            <w:vAlign w:val="center"/>
          </w:tcPr>
          <w:p w14:paraId="447C1711"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Donji Dragonožec </w:t>
            </w:r>
          </w:p>
        </w:tc>
        <w:tc>
          <w:tcPr>
            <w:tcW w:w="1247" w:type="dxa"/>
            <w:vAlign w:val="center"/>
          </w:tcPr>
          <w:p w14:paraId="678DC19D"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44498717"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53D05C24"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7B6BA24C"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630023CD" w14:textId="77777777" w:rsidTr="00DE0C9A">
        <w:tblPrEx>
          <w:tblCellMar>
            <w:top w:w="46" w:type="dxa"/>
          </w:tblCellMar>
        </w:tblPrEx>
        <w:trPr>
          <w:cantSplit/>
        </w:trPr>
        <w:tc>
          <w:tcPr>
            <w:tcW w:w="1984" w:type="dxa"/>
            <w:vAlign w:val="center"/>
          </w:tcPr>
          <w:p w14:paraId="4D40AD09"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Donji Trpuci </w:t>
            </w:r>
          </w:p>
        </w:tc>
        <w:tc>
          <w:tcPr>
            <w:tcW w:w="1247" w:type="dxa"/>
            <w:vAlign w:val="center"/>
          </w:tcPr>
          <w:p w14:paraId="453B02D1"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03E7EFE2"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73EA706A"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03E77F02"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061D996F" w14:textId="77777777" w:rsidTr="00DE0C9A">
        <w:tblPrEx>
          <w:tblCellMar>
            <w:top w:w="46" w:type="dxa"/>
          </w:tblCellMar>
        </w:tblPrEx>
        <w:trPr>
          <w:cantSplit/>
        </w:trPr>
        <w:tc>
          <w:tcPr>
            <w:tcW w:w="1984" w:type="dxa"/>
            <w:vAlign w:val="center"/>
          </w:tcPr>
          <w:p w14:paraId="176A5288"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Drenčec </w:t>
            </w:r>
          </w:p>
        </w:tc>
        <w:tc>
          <w:tcPr>
            <w:tcW w:w="1247" w:type="dxa"/>
            <w:vAlign w:val="center"/>
          </w:tcPr>
          <w:p w14:paraId="64ECE3D3"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6EED0D3C"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1721B31B"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02E0D37A"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04A96826" w14:textId="77777777" w:rsidTr="00DE0C9A">
        <w:tblPrEx>
          <w:tblCellMar>
            <w:top w:w="46" w:type="dxa"/>
          </w:tblCellMar>
        </w:tblPrEx>
        <w:trPr>
          <w:cantSplit/>
        </w:trPr>
        <w:tc>
          <w:tcPr>
            <w:tcW w:w="1984" w:type="dxa"/>
            <w:vAlign w:val="center"/>
          </w:tcPr>
          <w:p w14:paraId="3893EDF3"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Drežnik Brezovički </w:t>
            </w:r>
          </w:p>
        </w:tc>
        <w:tc>
          <w:tcPr>
            <w:tcW w:w="1247" w:type="dxa"/>
            <w:vAlign w:val="center"/>
          </w:tcPr>
          <w:p w14:paraId="1E1C5DB5"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4143BC86"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5EA43D5D"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5DD30D13"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48126CDE" w14:textId="77777777" w:rsidTr="00DE0C9A">
        <w:tblPrEx>
          <w:tblCellMar>
            <w:top w:w="46" w:type="dxa"/>
          </w:tblCellMar>
        </w:tblPrEx>
        <w:trPr>
          <w:cantSplit/>
        </w:trPr>
        <w:tc>
          <w:tcPr>
            <w:tcW w:w="1984" w:type="dxa"/>
            <w:vAlign w:val="center"/>
          </w:tcPr>
          <w:p w14:paraId="720D2FE6" w14:textId="77777777" w:rsidR="00FF1E38" w:rsidRPr="00FF1E38" w:rsidRDefault="00FF1E38" w:rsidP="00FF1E38">
            <w:pPr>
              <w:spacing w:after="0" w:line="240" w:lineRule="auto"/>
              <w:ind w:left="0" w:right="0" w:firstLine="0"/>
              <w:jc w:val="left"/>
              <w:rPr>
                <w:rFonts w:ascii="Times New Roman" w:eastAsia="Calibri" w:hAnsi="Times New Roman" w:cs="Times New Roman"/>
                <w:b/>
                <w:sz w:val="20"/>
                <w:szCs w:val="20"/>
              </w:rPr>
            </w:pPr>
            <w:r w:rsidRPr="00FF1E38">
              <w:rPr>
                <w:rFonts w:ascii="Times New Roman" w:eastAsia="Calibri" w:hAnsi="Times New Roman" w:cs="Times New Roman"/>
                <w:b/>
                <w:sz w:val="20"/>
                <w:szCs w:val="20"/>
              </w:rPr>
              <w:t>Dumovec</w:t>
            </w:r>
          </w:p>
          <w:p w14:paraId="7EF3904C"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(cca 2,0 m</w:t>
            </w:r>
            <w:r w:rsidRPr="00FF1E38">
              <w:rPr>
                <w:rFonts w:ascii="Times New Roman" w:eastAsia="Calibri" w:hAnsi="Times New Roman" w:cs="Times New Roman"/>
                <w:b/>
                <w:sz w:val="20"/>
                <w:szCs w:val="20"/>
                <w:vertAlign w:val="superscript"/>
              </w:rPr>
              <w:t>2</w:t>
            </w:r>
            <w:r w:rsidRPr="00FF1E38">
              <w:rPr>
                <w:rFonts w:ascii="Times New Roman" w:eastAsia="Calibri" w:hAnsi="Times New Roman" w:cs="Times New Roman"/>
                <w:b/>
                <w:sz w:val="20"/>
                <w:szCs w:val="20"/>
              </w:rPr>
              <w:t xml:space="preserve">) </w:t>
            </w:r>
          </w:p>
        </w:tc>
        <w:tc>
          <w:tcPr>
            <w:tcW w:w="1247" w:type="dxa"/>
            <w:vAlign w:val="center"/>
          </w:tcPr>
          <w:p w14:paraId="60F3BCA7"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910</w:t>
            </w:r>
          </w:p>
        </w:tc>
        <w:tc>
          <w:tcPr>
            <w:tcW w:w="1985" w:type="dxa"/>
            <w:vAlign w:val="center"/>
          </w:tcPr>
          <w:p w14:paraId="0199350E"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Ugrožene sve lokalne ceste i pravci </w:t>
            </w:r>
          </w:p>
        </w:tc>
        <w:tc>
          <w:tcPr>
            <w:tcW w:w="1701" w:type="dxa"/>
            <w:vAlign w:val="center"/>
          </w:tcPr>
          <w:p w14:paraId="6D94FA27"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Nema industrijskih zona</w:t>
            </w:r>
          </w:p>
        </w:tc>
        <w:tc>
          <w:tcPr>
            <w:tcW w:w="2155" w:type="dxa"/>
            <w:vAlign w:val="center"/>
          </w:tcPr>
          <w:p w14:paraId="074DA07C"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Stambeni objekti </w:t>
            </w:r>
          </w:p>
        </w:tc>
      </w:tr>
      <w:tr w:rsidR="00FF1E38" w:rsidRPr="00FF1E38" w14:paraId="22DDA64B" w14:textId="77777777" w:rsidTr="00DE0C9A">
        <w:tblPrEx>
          <w:tblCellMar>
            <w:top w:w="46" w:type="dxa"/>
          </w:tblCellMar>
        </w:tblPrEx>
        <w:trPr>
          <w:cantSplit/>
        </w:trPr>
        <w:tc>
          <w:tcPr>
            <w:tcW w:w="1984" w:type="dxa"/>
            <w:vAlign w:val="center"/>
          </w:tcPr>
          <w:p w14:paraId="05E766DB"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Đurđekovec </w:t>
            </w:r>
          </w:p>
        </w:tc>
        <w:tc>
          <w:tcPr>
            <w:tcW w:w="1247" w:type="dxa"/>
            <w:vAlign w:val="center"/>
          </w:tcPr>
          <w:p w14:paraId="196189BF"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4DEE21FA"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439A5980"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136849A3"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23B307C5" w14:textId="77777777" w:rsidTr="00DE0C9A">
        <w:tblPrEx>
          <w:tblCellMar>
            <w:top w:w="46" w:type="dxa"/>
          </w:tblCellMar>
        </w:tblPrEx>
        <w:trPr>
          <w:cantSplit/>
        </w:trPr>
        <w:tc>
          <w:tcPr>
            <w:tcW w:w="1984" w:type="dxa"/>
            <w:vAlign w:val="center"/>
          </w:tcPr>
          <w:p w14:paraId="2C4147F1"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Gajec </w:t>
            </w:r>
          </w:p>
        </w:tc>
        <w:tc>
          <w:tcPr>
            <w:tcW w:w="1247" w:type="dxa"/>
            <w:vAlign w:val="center"/>
          </w:tcPr>
          <w:p w14:paraId="5F71A0F8"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253941AE"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20998628"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3CBC6D1F"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19BBE11E" w14:textId="77777777" w:rsidTr="00DE0C9A">
        <w:tblPrEx>
          <w:tblCellMar>
            <w:top w:w="46" w:type="dxa"/>
          </w:tblCellMar>
        </w:tblPrEx>
        <w:trPr>
          <w:cantSplit/>
        </w:trPr>
        <w:tc>
          <w:tcPr>
            <w:tcW w:w="1984" w:type="dxa"/>
            <w:vAlign w:val="center"/>
          </w:tcPr>
          <w:p w14:paraId="263DCB50"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Glavnica Donja </w:t>
            </w:r>
          </w:p>
        </w:tc>
        <w:tc>
          <w:tcPr>
            <w:tcW w:w="1247" w:type="dxa"/>
            <w:vAlign w:val="center"/>
          </w:tcPr>
          <w:p w14:paraId="2BAD7F20"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39F2B7E8"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2F860B7C"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44736379"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214E59B8" w14:textId="77777777" w:rsidTr="00DE0C9A">
        <w:tblPrEx>
          <w:tblCellMar>
            <w:top w:w="46" w:type="dxa"/>
          </w:tblCellMar>
        </w:tblPrEx>
        <w:trPr>
          <w:cantSplit/>
        </w:trPr>
        <w:tc>
          <w:tcPr>
            <w:tcW w:w="1984" w:type="dxa"/>
            <w:vAlign w:val="center"/>
          </w:tcPr>
          <w:p w14:paraId="57B7EC4D"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Glavnica Gornja </w:t>
            </w:r>
          </w:p>
        </w:tc>
        <w:tc>
          <w:tcPr>
            <w:tcW w:w="1247" w:type="dxa"/>
            <w:vAlign w:val="center"/>
          </w:tcPr>
          <w:p w14:paraId="45F12CD9"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505269BB"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04AF102A"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4B0BDDF2"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0BECA19F" w14:textId="77777777" w:rsidTr="00DE0C9A">
        <w:tblPrEx>
          <w:tblCellMar>
            <w:top w:w="46" w:type="dxa"/>
          </w:tblCellMar>
        </w:tblPrEx>
        <w:trPr>
          <w:cantSplit/>
        </w:trPr>
        <w:tc>
          <w:tcPr>
            <w:tcW w:w="1984" w:type="dxa"/>
            <w:vAlign w:val="center"/>
          </w:tcPr>
          <w:p w14:paraId="55D4A249" w14:textId="77777777" w:rsidR="00FF1E38" w:rsidRPr="00FF1E38" w:rsidRDefault="00FF1E38" w:rsidP="00FF1E38">
            <w:pPr>
              <w:spacing w:after="0" w:line="240" w:lineRule="auto"/>
              <w:ind w:left="0" w:right="0" w:firstLine="0"/>
              <w:jc w:val="left"/>
              <w:rPr>
                <w:rFonts w:ascii="Times New Roman" w:eastAsia="Calibri" w:hAnsi="Times New Roman" w:cs="Times New Roman"/>
                <w:b/>
                <w:sz w:val="20"/>
                <w:szCs w:val="20"/>
              </w:rPr>
            </w:pPr>
            <w:r w:rsidRPr="00FF1E38">
              <w:rPr>
                <w:rFonts w:ascii="Times New Roman" w:eastAsia="Calibri" w:hAnsi="Times New Roman" w:cs="Times New Roman"/>
                <w:b/>
                <w:sz w:val="20"/>
                <w:szCs w:val="20"/>
              </w:rPr>
              <w:t>Glavničica</w:t>
            </w:r>
          </w:p>
          <w:p w14:paraId="5962BE6F"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(cca 2,4 m</w:t>
            </w:r>
            <w:r w:rsidRPr="00FF1E38">
              <w:rPr>
                <w:rFonts w:ascii="Times New Roman" w:eastAsia="Calibri" w:hAnsi="Times New Roman" w:cs="Times New Roman"/>
                <w:b/>
                <w:sz w:val="20"/>
                <w:szCs w:val="20"/>
                <w:vertAlign w:val="superscript"/>
              </w:rPr>
              <w:t>2</w:t>
            </w:r>
            <w:r w:rsidRPr="00FF1E38">
              <w:rPr>
                <w:rFonts w:ascii="Times New Roman" w:eastAsia="Calibri" w:hAnsi="Times New Roman" w:cs="Times New Roman"/>
                <w:b/>
                <w:sz w:val="20"/>
                <w:szCs w:val="20"/>
              </w:rPr>
              <w:t xml:space="preserve">) </w:t>
            </w:r>
          </w:p>
        </w:tc>
        <w:tc>
          <w:tcPr>
            <w:tcW w:w="1247" w:type="dxa"/>
            <w:vAlign w:val="center"/>
          </w:tcPr>
          <w:p w14:paraId="3C308217"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110</w:t>
            </w:r>
          </w:p>
        </w:tc>
        <w:tc>
          <w:tcPr>
            <w:tcW w:w="1985" w:type="dxa"/>
            <w:vAlign w:val="center"/>
          </w:tcPr>
          <w:p w14:paraId="2BFB770F"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Ugroženi pojedini lokalni pravci te nerazvrstane ceste </w:t>
            </w:r>
          </w:p>
        </w:tc>
        <w:tc>
          <w:tcPr>
            <w:tcW w:w="1701" w:type="dxa"/>
            <w:vAlign w:val="center"/>
          </w:tcPr>
          <w:p w14:paraId="691357F5"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Nema industrijskih zona</w:t>
            </w:r>
          </w:p>
        </w:tc>
        <w:tc>
          <w:tcPr>
            <w:tcW w:w="2155" w:type="dxa"/>
            <w:vAlign w:val="center"/>
          </w:tcPr>
          <w:p w14:paraId="26224638"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Stambeni objekti </w:t>
            </w:r>
          </w:p>
        </w:tc>
      </w:tr>
      <w:tr w:rsidR="00FF1E38" w:rsidRPr="00FF1E38" w14:paraId="245D6FFA" w14:textId="77777777" w:rsidTr="00DE0C9A">
        <w:tblPrEx>
          <w:tblCellMar>
            <w:top w:w="46" w:type="dxa"/>
          </w:tblCellMar>
        </w:tblPrEx>
        <w:trPr>
          <w:cantSplit/>
        </w:trPr>
        <w:tc>
          <w:tcPr>
            <w:tcW w:w="1984" w:type="dxa"/>
            <w:vAlign w:val="center"/>
          </w:tcPr>
          <w:p w14:paraId="10010AFC" w14:textId="77777777" w:rsidR="00FF1E38" w:rsidRPr="00FF1E38" w:rsidRDefault="00FF1E38" w:rsidP="00FF1E38">
            <w:pPr>
              <w:spacing w:after="0" w:line="240" w:lineRule="auto"/>
              <w:ind w:left="0" w:right="0" w:firstLine="0"/>
              <w:jc w:val="left"/>
              <w:rPr>
                <w:rFonts w:ascii="Times New Roman" w:eastAsia="Calibri" w:hAnsi="Times New Roman" w:cs="Times New Roman"/>
                <w:b/>
                <w:sz w:val="20"/>
                <w:szCs w:val="20"/>
              </w:rPr>
            </w:pPr>
            <w:r w:rsidRPr="00FF1E38">
              <w:rPr>
                <w:rFonts w:ascii="Times New Roman" w:eastAsia="Calibri" w:hAnsi="Times New Roman" w:cs="Times New Roman"/>
                <w:b/>
                <w:sz w:val="20"/>
                <w:szCs w:val="20"/>
              </w:rPr>
              <w:lastRenderedPageBreak/>
              <w:t>Goli Breg</w:t>
            </w:r>
          </w:p>
          <w:p w14:paraId="130F1E32"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(cca 2,0 m</w:t>
            </w:r>
            <w:r w:rsidRPr="00FF1E38">
              <w:rPr>
                <w:rFonts w:ascii="Times New Roman" w:eastAsia="Calibri" w:hAnsi="Times New Roman" w:cs="Times New Roman"/>
                <w:b/>
                <w:sz w:val="20"/>
                <w:szCs w:val="20"/>
                <w:vertAlign w:val="superscript"/>
              </w:rPr>
              <w:t>2</w:t>
            </w:r>
            <w:r w:rsidRPr="00FF1E38">
              <w:rPr>
                <w:rFonts w:ascii="Times New Roman" w:eastAsia="Calibri" w:hAnsi="Times New Roman" w:cs="Times New Roman"/>
                <w:b/>
                <w:sz w:val="20"/>
                <w:szCs w:val="20"/>
              </w:rPr>
              <w:t xml:space="preserve">) </w:t>
            </w:r>
          </w:p>
        </w:tc>
        <w:tc>
          <w:tcPr>
            <w:tcW w:w="1247" w:type="dxa"/>
            <w:vAlign w:val="center"/>
          </w:tcPr>
          <w:p w14:paraId="460623EE"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40</w:t>
            </w:r>
          </w:p>
        </w:tc>
        <w:tc>
          <w:tcPr>
            <w:tcW w:w="1985" w:type="dxa"/>
            <w:vAlign w:val="center"/>
          </w:tcPr>
          <w:p w14:paraId="749D2B0A"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Ugrožen dio zagrebačke obilaznice koji prolazi kroz ovo naselje te pojedine lokalne ceste i pravci, dio pruge Zagreb - Karlovac koji prolazi kroz ovo naselje </w:t>
            </w:r>
          </w:p>
        </w:tc>
        <w:tc>
          <w:tcPr>
            <w:tcW w:w="1701" w:type="dxa"/>
            <w:vAlign w:val="center"/>
          </w:tcPr>
          <w:p w14:paraId="4C8906B5"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Nema industrijskih zona</w:t>
            </w:r>
          </w:p>
        </w:tc>
        <w:tc>
          <w:tcPr>
            <w:tcW w:w="2155" w:type="dxa"/>
            <w:vAlign w:val="center"/>
          </w:tcPr>
          <w:p w14:paraId="3FD33322"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Stambeni objekti </w:t>
            </w:r>
          </w:p>
        </w:tc>
      </w:tr>
      <w:tr w:rsidR="00FF1E38" w:rsidRPr="00FF1E38" w14:paraId="0AE85B09" w14:textId="77777777" w:rsidTr="00DE0C9A">
        <w:tblPrEx>
          <w:tblCellMar>
            <w:top w:w="46" w:type="dxa"/>
          </w:tblCellMar>
        </w:tblPrEx>
        <w:trPr>
          <w:cantSplit/>
        </w:trPr>
        <w:tc>
          <w:tcPr>
            <w:tcW w:w="1984" w:type="dxa"/>
            <w:vAlign w:val="center"/>
          </w:tcPr>
          <w:p w14:paraId="2F9D8E62"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Goranec </w:t>
            </w:r>
          </w:p>
        </w:tc>
        <w:tc>
          <w:tcPr>
            <w:tcW w:w="1247" w:type="dxa"/>
            <w:vAlign w:val="center"/>
          </w:tcPr>
          <w:p w14:paraId="4A6C00CB"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2C67589E"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13BF7C51"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3410FDE0"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0A0E86EC" w14:textId="77777777" w:rsidTr="00DE0C9A">
        <w:tblPrEx>
          <w:tblCellMar>
            <w:top w:w="46" w:type="dxa"/>
          </w:tblCellMar>
        </w:tblPrEx>
        <w:trPr>
          <w:cantSplit/>
        </w:trPr>
        <w:tc>
          <w:tcPr>
            <w:tcW w:w="1984" w:type="dxa"/>
            <w:vAlign w:val="center"/>
          </w:tcPr>
          <w:p w14:paraId="0EF927E3" w14:textId="77777777" w:rsidR="00FF1E38" w:rsidRPr="00FF1E38" w:rsidRDefault="00FF1E38" w:rsidP="00FF1E38">
            <w:pPr>
              <w:spacing w:after="0" w:line="240" w:lineRule="auto"/>
              <w:ind w:left="0" w:right="0" w:firstLine="0"/>
              <w:jc w:val="left"/>
              <w:rPr>
                <w:rFonts w:ascii="Times New Roman" w:eastAsia="Calibri" w:hAnsi="Times New Roman" w:cs="Times New Roman"/>
                <w:b/>
                <w:sz w:val="20"/>
                <w:szCs w:val="20"/>
              </w:rPr>
            </w:pPr>
            <w:r w:rsidRPr="00FF1E38">
              <w:rPr>
                <w:rFonts w:ascii="Times New Roman" w:eastAsia="Calibri" w:hAnsi="Times New Roman" w:cs="Times New Roman"/>
                <w:b/>
                <w:sz w:val="20"/>
                <w:szCs w:val="20"/>
              </w:rPr>
              <w:t>Gornji Čehi</w:t>
            </w:r>
          </w:p>
          <w:p w14:paraId="077BEB1D"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(cca 1,5 m</w:t>
            </w:r>
            <w:r w:rsidRPr="00FF1E38">
              <w:rPr>
                <w:rFonts w:ascii="Times New Roman" w:eastAsia="Calibri" w:hAnsi="Times New Roman" w:cs="Times New Roman"/>
                <w:b/>
                <w:sz w:val="20"/>
                <w:szCs w:val="20"/>
                <w:vertAlign w:val="superscript"/>
              </w:rPr>
              <w:t>2</w:t>
            </w:r>
            <w:r w:rsidRPr="00FF1E38">
              <w:rPr>
                <w:rFonts w:ascii="Times New Roman" w:eastAsia="Calibri" w:hAnsi="Times New Roman" w:cs="Times New Roman"/>
                <w:b/>
                <w:sz w:val="20"/>
                <w:szCs w:val="20"/>
              </w:rPr>
              <w:t xml:space="preserve">) </w:t>
            </w:r>
          </w:p>
        </w:tc>
        <w:tc>
          <w:tcPr>
            <w:tcW w:w="1247" w:type="dxa"/>
            <w:vAlign w:val="center"/>
          </w:tcPr>
          <w:p w14:paraId="37F75B20"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362</w:t>
            </w:r>
          </w:p>
        </w:tc>
        <w:tc>
          <w:tcPr>
            <w:tcW w:w="1985" w:type="dxa"/>
            <w:vAlign w:val="center"/>
          </w:tcPr>
          <w:p w14:paraId="276FBF2E"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Ugrožen dio zagrebačke obilaznice koji prolazi kroz ovo naselje te sve lokalne ceste i pravci </w:t>
            </w:r>
          </w:p>
        </w:tc>
        <w:tc>
          <w:tcPr>
            <w:tcW w:w="1701" w:type="dxa"/>
            <w:vAlign w:val="center"/>
          </w:tcPr>
          <w:p w14:paraId="0506186A"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Nema industrijskih zona</w:t>
            </w:r>
          </w:p>
        </w:tc>
        <w:tc>
          <w:tcPr>
            <w:tcW w:w="2155" w:type="dxa"/>
            <w:vAlign w:val="center"/>
          </w:tcPr>
          <w:p w14:paraId="55E33FAC"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Stambeni objekti </w:t>
            </w:r>
          </w:p>
        </w:tc>
      </w:tr>
      <w:tr w:rsidR="00FF1E38" w:rsidRPr="00FF1E38" w14:paraId="63F452C3" w14:textId="77777777" w:rsidTr="00DE0C9A">
        <w:tblPrEx>
          <w:tblCellMar>
            <w:top w:w="46" w:type="dxa"/>
          </w:tblCellMar>
        </w:tblPrEx>
        <w:trPr>
          <w:cantSplit/>
        </w:trPr>
        <w:tc>
          <w:tcPr>
            <w:tcW w:w="1984" w:type="dxa"/>
            <w:vAlign w:val="center"/>
          </w:tcPr>
          <w:p w14:paraId="6A5AD29D"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Gornji Dragonožec </w:t>
            </w:r>
          </w:p>
        </w:tc>
        <w:tc>
          <w:tcPr>
            <w:tcW w:w="1247" w:type="dxa"/>
            <w:vAlign w:val="center"/>
          </w:tcPr>
          <w:p w14:paraId="394ECACB"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1EC6ADF5"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470C4C2C"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3DD3085B"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5A8C1D54" w14:textId="77777777" w:rsidTr="00DE0C9A">
        <w:tblPrEx>
          <w:tblCellMar>
            <w:top w:w="46" w:type="dxa"/>
          </w:tblCellMar>
        </w:tblPrEx>
        <w:trPr>
          <w:cantSplit/>
        </w:trPr>
        <w:tc>
          <w:tcPr>
            <w:tcW w:w="1984" w:type="dxa"/>
            <w:vAlign w:val="center"/>
          </w:tcPr>
          <w:p w14:paraId="2F17FC86"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Gornji Trpuci </w:t>
            </w:r>
          </w:p>
        </w:tc>
        <w:tc>
          <w:tcPr>
            <w:tcW w:w="1247" w:type="dxa"/>
            <w:vAlign w:val="center"/>
          </w:tcPr>
          <w:p w14:paraId="463F79EB"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0C351307"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6B27A12C"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6A5F0693"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0658E236" w14:textId="77777777" w:rsidTr="00DE0C9A">
        <w:tblPrEx>
          <w:tblCellMar>
            <w:top w:w="46" w:type="dxa"/>
          </w:tblCellMar>
        </w:tblPrEx>
        <w:trPr>
          <w:cantSplit/>
        </w:trPr>
        <w:tc>
          <w:tcPr>
            <w:tcW w:w="1984" w:type="dxa"/>
            <w:vAlign w:val="center"/>
          </w:tcPr>
          <w:p w14:paraId="4C4DF6E2"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Grančari </w:t>
            </w:r>
          </w:p>
        </w:tc>
        <w:tc>
          <w:tcPr>
            <w:tcW w:w="1247" w:type="dxa"/>
            <w:vAlign w:val="center"/>
          </w:tcPr>
          <w:p w14:paraId="66050DFF"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6AF6DDEE"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1BACDBB0"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5174BBE3"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6671DFF4" w14:textId="77777777" w:rsidTr="00DE0C9A">
        <w:tblPrEx>
          <w:tblCellMar>
            <w:top w:w="46" w:type="dxa"/>
          </w:tblCellMar>
        </w:tblPrEx>
        <w:trPr>
          <w:cantSplit/>
        </w:trPr>
        <w:tc>
          <w:tcPr>
            <w:tcW w:w="1984" w:type="dxa"/>
            <w:vAlign w:val="center"/>
          </w:tcPr>
          <w:p w14:paraId="1AEAF6EE"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Havidić Selo </w:t>
            </w:r>
          </w:p>
        </w:tc>
        <w:tc>
          <w:tcPr>
            <w:tcW w:w="1247" w:type="dxa"/>
            <w:vAlign w:val="center"/>
          </w:tcPr>
          <w:p w14:paraId="430FBC9C"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4DC396B2"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63790553"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34CE391D"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54CA5154" w14:textId="77777777" w:rsidTr="00DE0C9A">
        <w:tblPrEx>
          <w:tblCellMar>
            <w:top w:w="46" w:type="dxa"/>
          </w:tblCellMar>
        </w:tblPrEx>
        <w:trPr>
          <w:cantSplit/>
        </w:trPr>
        <w:tc>
          <w:tcPr>
            <w:tcW w:w="1984" w:type="dxa"/>
            <w:vAlign w:val="center"/>
          </w:tcPr>
          <w:p w14:paraId="39A98C5A"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Horvati </w:t>
            </w:r>
          </w:p>
        </w:tc>
        <w:tc>
          <w:tcPr>
            <w:tcW w:w="1247" w:type="dxa"/>
            <w:vAlign w:val="center"/>
          </w:tcPr>
          <w:p w14:paraId="387A2413"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40C6BC67"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23368A8B"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7E6DC923"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515E5CF7" w14:textId="77777777" w:rsidTr="00DE0C9A">
        <w:tblPrEx>
          <w:tblCellMar>
            <w:top w:w="46" w:type="dxa"/>
          </w:tblCellMar>
        </w:tblPrEx>
        <w:trPr>
          <w:cantSplit/>
        </w:trPr>
        <w:tc>
          <w:tcPr>
            <w:tcW w:w="1984" w:type="dxa"/>
            <w:vAlign w:val="center"/>
          </w:tcPr>
          <w:p w14:paraId="709EE90A" w14:textId="77777777" w:rsidR="00FF1E38" w:rsidRPr="00FF1E38" w:rsidRDefault="00FF1E38" w:rsidP="00FF1E38">
            <w:pPr>
              <w:spacing w:after="0" w:line="240" w:lineRule="auto"/>
              <w:ind w:left="0" w:right="0" w:firstLine="0"/>
              <w:jc w:val="left"/>
              <w:rPr>
                <w:rFonts w:ascii="Times New Roman" w:eastAsia="Calibri" w:hAnsi="Times New Roman" w:cs="Times New Roman"/>
                <w:b/>
                <w:sz w:val="20"/>
                <w:szCs w:val="20"/>
              </w:rPr>
            </w:pPr>
            <w:r w:rsidRPr="00FF1E38">
              <w:rPr>
                <w:rFonts w:ascii="Times New Roman" w:eastAsia="Calibri" w:hAnsi="Times New Roman" w:cs="Times New Roman"/>
                <w:b/>
                <w:sz w:val="20"/>
                <w:szCs w:val="20"/>
              </w:rPr>
              <w:t>Hrašće Turopoljsko</w:t>
            </w:r>
          </w:p>
          <w:p w14:paraId="1B5F298F"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(cca 2,74 m</w:t>
            </w:r>
            <w:r w:rsidRPr="00FF1E38">
              <w:rPr>
                <w:rFonts w:ascii="Times New Roman" w:eastAsia="Calibri" w:hAnsi="Times New Roman" w:cs="Times New Roman"/>
                <w:b/>
                <w:sz w:val="20"/>
                <w:szCs w:val="20"/>
                <w:vertAlign w:val="superscript"/>
              </w:rPr>
              <w:t>2</w:t>
            </w:r>
            <w:r w:rsidRPr="00FF1E38">
              <w:rPr>
                <w:rFonts w:ascii="Times New Roman" w:eastAsia="Calibri" w:hAnsi="Times New Roman" w:cs="Times New Roman"/>
                <w:b/>
                <w:sz w:val="20"/>
                <w:szCs w:val="20"/>
              </w:rPr>
              <w:t xml:space="preserve">) </w:t>
            </w:r>
          </w:p>
        </w:tc>
        <w:tc>
          <w:tcPr>
            <w:tcW w:w="1247" w:type="dxa"/>
            <w:vAlign w:val="center"/>
          </w:tcPr>
          <w:p w14:paraId="2CCA0F6B"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1202</w:t>
            </w:r>
          </w:p>
        </w:tc>
        <w:tc>
          <w:tcPr>
            <w:tcW w:w="1985" w:type="dxa"/>
            <w:vAlign w:val="center"/>
          </w:tcPr>
          <w:p w14:paraId="5EBE45C0"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Ugrožena D30, svi lokalni pravci i ceste, dio željezničke pruge Zagreb - Sisak koji prolazi kroz ovo naselje </w:t>
            </w:r>
          </w:p>
        </w:tc>
        <w:tc>
          <w:tcPr>
            <w:tcW w:w="1701" w:type="dxa"/>
            <w:vAlign w:val="center"/>
          </w:tcPr>
          <w:p w14:paraId="4486B456"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Nema industrijskih zona</w:t>
            </w:r>
          </w:p>
        </w:tc>
        <w:tc>
          <w:tcPr>
            <w:tcW w:w="2155" w:type="dxa"/>
            <w:vAlign w:val="center"/>
          </w:tcPr>
          <w:p w14:paraId="7EC11C0F"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Stambeni objekti </w:t>
            </w:r>
          </w:p>
        </w:tc>
      </w:tr>
      <w:tr w:rsidR="00FF1E38" w:rsidRPr="00FF1E38" w14:paraId="3F7EC634" w14:textId="77777777" w:rsidTr="00DE0C9A">
        <w:tblPrEx>
          <w:tblCellMar>
            <w:top w:w="46" w:type="dxa"/>
          </w:tblCellMar>
        </w:tblPrEx>
        <w:trPr>
          <w:cantSplit/>
        </w:trPr>
        <w:tc>
          <w:tcPr>
            <w:tcW w:w="1984" w:type="dxa"/>
            <w:vAlign w:val="center"/>
          </w:tcPr>
          <w:p w14:paraId="2C2150C4" w14:textId="77777777" w:rsidR="00FF1E38" w:rsidRPr="00FF1E38" w:rsidRDefault="00FF1E38" w:rsidP="00FF1E38">
            <w:pPr>
              <w:spacing w:after="0" w:line="240" w:lineRule="auto"/>
              <w:ind w:left="0" w:right="0" w:firstLine="0"/>
              <w:jc w:val="left"/>
              <w:rPr>
                <w:rFonts w:ascii="Times New Roman" w:eastAsia="Calibri" w:hAnsi="Times New Roman" w:cs="Times New Roman"/>
                <w:b/>
                <w:sz w:val="20"/>
                <w:szCs w:val="20"/>
              </w:rPr>
            </w:pPr>
            <w:r w:rsidRPr="00FF1E38">
              <w:rPr>
                <w:rFonts w:ascii="Times New Roman" w:eastAsia="Calibri" w:hAnsi="Times New Roman" w:cs="Times New Roman"/>
                <w:b/>
                <w:sz w:val="20"/>
                <w:szCs w:val="20"/>
              </w:rPr>
              <w:t>Hrvatski Leskovac</w:t>
            </w:r>
          </w:p>
          <w:p w14:paraId="15242B4C"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(cca 3,0 m</w:t>
            </w:r>
            <w:r w:rsidRPr="00FF1E38">
              <w:rPr>
                <w:rFonts w:ascii="Times New Roman" w:eastAsia="Calibri" w:hAnsi="Times New Roman" w:cs="Times New Roman"/>
                <w:b/>
                <w:sz w:val="20"/>
                <w:szCs w:val="20"/>
                <w:vertAlign w:val="superscript"/>
              </w:rPr>
              <w:t>2</w:t>
            </w:r>
            <w:r w:rsidRPr="00FF1E38">
              <w:rPr>
                <w:rFonts w:ascii="Times New Roman" w:eastAsia="Calibri" w:hAnsi="Times New Roman" w:cs="Times New Roman"/>
                <w:b/>
                <w:sz w:val="20"/>
                <w:szCs w:val="20"/>
              </w:rPr>
              <w:t xml:space="preserve">) </w:t>
            </w:r>
          </w:p>
        </w:tc>
        <w:tc>
          <w:tcPr>
            <w:tcW w:w="1247" w:type="dxa"/>
            <w:vAlign w:val="center"/>
          </w:tcPr>
          <w:p w14:paraId="279DD003"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2500</w:t>
            </w:r>
          </w:p>
        </w:tc>
        <w:tc>
          <w:tcPr>
            <w:tcW w:w="1985" w:type="dxa"/>
            <w:vAlign w:val="center"/>
          </w:tcPr>
          <w:p w14:paraId="6C41CEEA"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Ugrožen dio zagrebačke obilaznice koji prolazi kroz ovo naselje, naplatne postaje Lučko, dio autoceste Zagreb - Karlovac koji prolazi kroz ovo naselje, Jadranska avenija te većina lokalnih cesta i pravaca, željeznički kolodvor Hrvatski Leskovac na pruzi Zagreb - Karlovac te dio pruge koji prolazi kroz ovo naselje </w:t>
            </w:r>
          </w:p>
        </w:tc>
        <w:tc>
          <w:tcPr>
            <w:tcW w:w="1701" w:type="dxa"/>
            <w:vAlign w:val="center"/>
          </w:tcPr>
          <w:p w14:paraId="33ABE051"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Ugrožena poduzetnička zona</w:t>
            </w:r>
          </w:p>
        </w:tc>
        <w:tc>
          <w:tcPr>
            <w:tcW w:w="2155" w:type="dxa"/>
            <w:vAlign w:val="center"/>
          </w:tcPr>
          <w:p w14:paraId="63C96043"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Stambeni objekti, poslovni objekti, 3 dječja vrtića </w:t>
            </w:r>
          </w:p>
        </w:tc>
      </w:tr>
      <w:tr w:rsidR="00FF1E38" w:rsidRPr="00FF1E38" w14:paraId="6DAFD4E8" w14:textId="77777777" w:rsidTr="00DE0C9A">
        <w:tblPrEx>
          <w:tblCellMar>
            <w:top w:w="46" w:type="dxa"/>
          </w:tblCellMar>
        </w:tblPrEx>
        <w:trPr>
          <w:cantSplit/>
        </w:trPr>
        <w:tc>
          <w:tcPr>
            <w:tcW w:w="1984" w:type="dxa"/>
            <w:vAlign w:val="center"/>
          </w:tcPr>
          <w:p w14:paraId="7D8686E3"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Hudi Bitek </w:t>
            </w:r>
          </w:p>
        </w:tc>
        <w:tc>
          <w:tcPr>
            <w:tcW w:w="1247" w:type="dxa"/>
            <w:vAlign w:val="center"/>
          </w:tcPr>
          <w:p w14:paraId="2CF1B60A"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4FE175F9"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1777B138"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65D66A10"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4BC07540" w14:textId="77777777" w:rsidTr="00DE0C9A">
        <w:tblPrEx>
          <w:tblCellMar>
            <w:top w:w="46" w:type="dxa"/>
          </w:tblCellMar>
        </w:tblPrEx>
        <w:trPr>
          <w:cantSplit/>
        </w:trPr>
        <w:tc>
          <w:tcPr>
            <w:tcW w:w="1984" w:type="dxa"/>
            <w:vAlign w:val="center"/>
          </w:tcPr>
          <w:p w14:paraId="0D87B41B" w14:textId="77777777" w:rsidR="00FF1E38" w:rsidRPr="00FF1E38" w:rsidRDefault="00FF1E38" w:rsidP="00FF1E38">
            <w:pPr>
              <w:spacing w:after="0" w:line="240" w:lineRule="auto"/>
              <w:ind w:left="0" w:right="0" w:firstLine="0"/>
              <w:jc w:val="left"/>
              <w:rPr>
                <w:rFonts w:ascii="Times New Roman" w:eastAsia="Calibri" w:hAnsi="Times New Roman" w:cs="Times New Roman"/>
                <w:b/>
                <w:sz w:val="20"/>
                <w:szCs w:val="20"/>
              </w:rPr>
            </w:pPr>
            <w:r w:rsidRPr="00FF1E38">
              <w:rPr>
                <w:rFonts w:ascii="Times New Roman" w:eastAsia="Calibri" w:hAnsi="Times New Roman" w:cs="Times New Roman"/>
                <w:b/>
                <w:sz w:val="20"/>
                <w:szCs w:val="20"/>
              </w:rPr>
              <w:t>Ivanja Reka</w:t>
            </w:r>
          </w:p>
          <w:p w14:paraId="2A1531F9"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(cca 3,2 m</w:t>
            </w:r>
            <w:r w:rsidRPr="00FF1E38">
              <w:rPr>
                <w:rFonts w:ascii="Times New Roman" w:eastAsia="Calibri" w:hAnsi="Times New Roman" w:cs="Times New Roman"/>
                <w:b/>
                <w:sz w:val="20"/>
                <w:szCs w:val="20"/>
                <w:vertAlign w:val="superscript"/>
              </w:rPr>
              <w:t>2</w:t>
            </w:r>
            <w:r w:rsidRPr="00FF1E38">
              <w:rPr>
                <w:rFonts w:ascii="Times New Roman" w:eastAsia="Calibri" w:hAnsi="Times New Roman" w:cs="Times New Roman"/>
                <w:b/>
                <w:sz w:val="20"/>
                <w:szCs w:val="20"/>
              </w:rPr>
              <w:t xml:space="preserve">) </w:t>
            </w:r>
          </w:p>
        </w:tc>
        <w:tc>
          <w:tcPr>
            <w:tcW w:w="1247" w:type="dxa"/>
            <w:vAlign w:val="center"/>
          </w:tcPr>
          <w:p w14:paraId="0A2ADFD9"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1250</w:t>
            </w:r>
          </w:p>
        </w:tc>
        <w:tc>
          <w:tcPr>
            <w:tcW w:w="1985" w:type="dxa"/>
            <w:vAlign w:val="center"/>
          </w:tcPr>
          <w:p w14:paraId="29DA38C3"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Ugrožene sve lokalne ceste </w:t>
            </w:r>
          </w:p>
        </w:tc>
        <w:tc>
          <w:tcPr>
            <w:tcW w:w="1701" w:type="dxa"/>
            <w:vAlign w:val="center"/>
          </w:tcPr>
          <w:p w14:paraId="33C05BC5"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Nema industrijskih zona</w:t>
            </w:r>
          </w:p>
        </w:tc>
        <w:tc>
          <w:tcPr>
            <w:tcW w:w="2155" w:type="dxa"/>
            <w:vAlign w:val="center"/>
          </w:tcPr>
          <w:p w14:paraId="758D609E"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Stambeni objekti </w:t>
            </w:r>
          </w:p>
        </w:tc>
      </w:tr>
      <w:tr w:rsidR="00FF1E38" w:rsidRPr="00FF1E38" w14:paraId="1D248FFA" w14:textId="77777777" w:rsidTr="00DE0C9A">
        <w:tblPrEx>
          <w:tblCellMar>
            <w:top w:w="46" w:type="dxa"/>
          </w:tblCellMar>
        </w:tblPrEx>
        <w:trPr>
          <w:cantSplit/>
        </w:trPr>
        <w:tc>
          <w:tcPr>
            <w:tcW w:w="1984" w:type="dxa"/>
            <w:vAlign w:val="center"/>
          </w:tcPr>
          <w:p w14:paraId="315EE8CD"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Jesenovec </w:t>
            </w:r>
          </w:p>
        </w:tc>
        <w:tc>
          <w:tcPr>
            <w:tcW w:w="1247" w:type="dxa"/>
            <w:vAlign w:val="center"/>
          </w:tcPr>
          <w:p w14:paraId="2115BE11"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5A29517D"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7E2814E7"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62B6E2B8"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25AC4680" w14:textId="77777777" w:rsidTr="00DE0C9A">
        <w:tblPrEx>
          <w:tblCellMar>
            <w:top w:w="46" w:type="dxa"/>
          </w:tblCellMar>
        </w:tblPrEx>
        <w:trPr>
          <w:cantSplit/>
        </w:trPr>
        <w:tc>
          <w:tcPr>
            <w:tcW w:w="1984" w:type="dxa"/>
            <w:vAlign w:val="center"/>
          </w:tcPr>
          <w:p w14:paraId="1EB42936" w14:textId="77777777" w:rsidR="00FF1E38" w:rsidRPr="00FF1E38" w:rsidRDefault="00FF1E38" w:rsidP="00FF1E38">
            <w:pPr>
              <w:spacing w:after="0" w:line="240" w:lineRule="auto"/>
              <w:ind w:left="0" w:right="0" w:firstLine="0"/>
              <w:jc w:val="left"/>
              <w:rPr>
                <w:rFonts w:ascii="Times New Roman" w:eastAsia="Calibri" w:hAnsi="Times New Roman" w:cs="Times New Roman"/>
                <w:b/>
                <w:sz w:val="20"/>
                <w:szCs w:val="20"/>
              </w:rPr>
            </w:pPr>
            <w:r w:rsidRPr="00FF1E38">
              <w:rPr>
                <w:rFonts w:ascii="Times New Roman" w:eastAsia="Calibri" w:hAnsi="Times New Roman" w:cs="Times New Roman"/>
                <w:b/>
                <w:sz w:val="20"/>
                <w:szCs w:val="20"/>
              </w:rPr>
              <w:t>Ježdovec</w:t>
            </w:r>
          </w:p>
          <w:p w14:paraId="009DC9B9"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(cca. 1,3 m</w:t>
            </w:r>
            <w:r w:rsidRPr="00FF1E38">
              <w:rPr>
                <w:rFonts w:ascii="Times New Roman" w:eastAsia="Calibri" w:hAnsi="Times New Roman" w:cs="Times New Roman"/>
                <w:b/>
                <w:sz w:val="20"/>
                <w:szCs w:val="20"/>
                <w:vertAlign w:val="superscript"/>
              </w:rPr>
              <w:t>2</w:t>
            </w:r>
            <w:r w:rsidRPr="00FF1E38">
              <w:rPr>
                <w:rFonts w:ascii="Times New Roman" w:eastAsia="Calibri" w:hAnsi="Times New Roman" w:cs="Times New Roman"/>
                <w:b/>
                <w:sz w:val="20"/>
                <w:szCs w:val="20"/>
              </w:rPr>
              <w:t xml:space="preserve">) </w:t>
            </w:r>
          </w:p>
        </w:tc>
        <w:tc>
          <w:tcPr>
            <w:tcW w:w="1247" w:type="dxa"/>
            <w:vAlign w:val="center"/>
          </w:tcPr>
          <w:p w14:paraId="40506E29"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200</w:t>
            </w:r>
          </w:p>
        </w:tc>
        <w:tc>
          <w:tcPr>
            <w:tcW w:w="1985" w:type="dxa"/>
            <w:vAlign w:val="center"/>
          </w:tcPr>
          <w:p w14:paraId="689EFE53"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Ugrožene pojedine lokalne ceste i pravci </w:t>
            </w:r>
          </w:p>
        </w:tc>
        <w:tc>
          <w:tcPr>
            <w:tcW w:w="1701" w:type="dxa"/>
            <w:vAlign w:val="center"/>
          </w:tcPr>
          <w:p w14:paraId="368F9CE1"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Nema industrijskih zona</w:t>
            </w:r>
          </w:p>
        </w:tc>
        <w:tc>
          <w:tcPr>
            <w:tcW w:w="2155" w:type="dxa"/>
            <w:vAlign w:val="center"/>
          </w:tcPr>
          <w:p w14:paraId="3E823EB4"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Stambeni objekti </w:t>
            </w:r>
          </w:p>
        </w:tc>
      </w:tr>
      <w:tr w:rsidR="00FF1E38" w:rsidRPr="00FF1E38" w14:paraId="0F8B0865" w14:textId="77777777" w:rsidTr="00DE0C9A">
        <w:tblPrEx>
          <w:tblCellMar>
            <w:top w:w="46" w:type="dxa"/>
          </w:tblCellMar>
        </w:tblPrEx>
        <w:trPr>
          <w:cantSplit/>
        </w:trPr>
        <w:tc>
          <w:tcPr>
            <w:tcW w:w="1984" w:type="dxa"/>
            <w:vAlign w:val="center"/>
          </w:tcPr>
          <w:p w14:paraId="5D195E6F"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Kašina </w:t>
            </w:r>
          </w:p>
        </w:tc>
        <w:tc>
          <w:tcPr>
            <w:tcW w:w="1247" w:type="dxa"/>
            <w:vAlign w:val="center"/>
          </w:tcPr>
          <w:p w14:paraId="3148C289"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4F5BBF0F"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0DBD929F"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3CAE8E04"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7AF1DEB7" w14:textId="77777777" w:rsidTr="00DE0C9A">
        <w:tblPrEx>
          <w:tblCellMar>
            <w:top w:w="46" w:type="dxa"/>
          </w:tblCellMar>
        </w:tblPrEx>
        <w:trPr>
          <w:cantSplit/>
        </w:trPr>
        <w:tc>
          <w:tcPr>
            <w:tcW w:w="1984" w:type="dxa"/>
            <w:vAlign w:val="center"/>
          </w:tcPr>
          <w:p w14:paraId="63CDD578"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Kašinska Sopnica </w:t>
            </w:r>
          </w:p>
        </w:tc>
        <w:tc>
          <w:tcPr>
            <w:tcW w:w="1247" w:type="dxa"/>
            <w:vAlign w:val="center"/>
          </w:tcPr>
          <w:p w14:paraId="6A834112"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48643FA2"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48E9F980"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5315808F"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02835A3E" w14:textId="77777777" w:rsidTr="00DE0C9A">
        <w:tblPrEx>
          <w:tblCellMar>
            <w:top w:w="46" w:type="dxa"/>
          </w:tblCellMar>
        </w:tblPrEx>
        <w:trPr>
          <w:cantSplit/>
        </w:trPr>
        <w:tc>
          <w:tcPr>
            <w:tcW w:w="1984" w:type="dxa"/>
            <w:vAlign w:val="center"/>
          </w:tcPr>
          <w:p w14:paraId="2BF9FA7C"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Kučilovina </w:t>
            </w:r>
          </w:p>
        </w:tc>
        <w:tc>
          <w:tcPr>
            <w:tcW w:w="1247" w:type="dxa"/>
            <w:vAlign w:val="center"/>
          </w:tcPr>
          <w:p w14:paraId="300B1F05"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35B1D098"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019C1F87"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5D723C62"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14D8533D" w14:textId="77777777" w:rsidTr="00DE0C9A">
        <w:tblPrEx>
          <w:tblCellMar>
            <w:top w:w="46" w:type="dxa"/>
          </w:tblCellMar>
        </w:tblPrEx>
        <w:trPr>
          <w:cantSplit/>
        </w:trPr>
        <w:tc>
          <w:tcPr>
            <w:tcW w:w="1984" w:type="dxa"/>
            <w:vAlign w:val="center"/>
          </w:tcPr>
          <w:p w14:paraId="0429A4EA"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Kućanec </w:t>
            </w:r>
          </w:p>
        </w:tc>
        <w:tc>
          <w:tcPr>
            <w:tcW w:w="1247" w:type="dxa"/>
            <w:vAlign w:val="center"/>
          </w:tcPr>
          <w:p w14:paraId="4CA854D0"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70CA9C0C"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27D169E1"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27D79769"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3480D389" w14:textId="77777777" w:rsidTr="00DE0C9A">
        <w:tblPrEx>
          <w:tblCellMar>
            <w:top w:w="46" w:type="dxa"/>
          </w:tblCellMar>
        </w:tblPrEx>
        <w:trPr>
          <w:cantSplit/>
        </w:trPr>
        <w:tc>
          <w:tcPr>
            <w:tcW w:w="1984" w:type="dxa"/>
            <w:vAlign w:val="center"/>
          </w:tcPr>
          <w:p w14:paraId="49FE1890"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lastRenderedPageBreak/>
              <w:t xml:space="preserve">Kupinečki Kraljevec </w:t>
            </w:r>
          </w:p>
        </w:tc>
        <w:tc>
          <w:tcPr>
            <w:tcW w:w="1247" w:type="dxa"/>
            <w:vAlign w:val="center"/>
          </w:tcPr>
          <w:p w14:paraId="34011824"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2907F007"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308FF2F1"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1D67DC72"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2DF8F1B0" w14:textId="77777777" w:rsidTr="00DE0C9A">
        <w:tblPrEx>
          <w:tblCellMar>
            <w:top w:w="46" w:type="dxa"/>
          </w:tblCellMar>
        </w:tblPrEx>
        <w:trPr>
          <w:cantSplit/>
        </w:trPr>
        <w:tc>
          <w:tcPr>
            <w:tcW w:w="1984" w:type="dxa"/>
            <w:vAlign w:val="center"/>
          </w:tcPr>
          <w:p w14:paraId="4D400B9B"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Lipnica </w:t>
            </w:r>
          </w:p>
        </w:tc>
        <w:tc>
          <w:tcPr>
            <w:tcW w:w="1247" w:type="dxa"/>
            <w:vAlign w:val="center"/>
          </w:tcPr>
          <w:p w14:paraId="2D0A152C"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76DB06FB"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4BA7CEC2"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7FB3C0D0"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59692DEB" w14:textId="77777777" w:rsidTr="00DE0C9A">
        <w:tblPrEx>
          <w:tblCellMar>
            <w:top w:w="46" w:type="dxa"/>
          </w:tblCellMar>
        </w:tblPrEx>
        <w:trPr>
          <w:cantSplit/>
        </w:trPr>
        <w:tc>
          <w:tcPr>
            <w:tcW w:w="1984" w:type="dxa"/>
            <w:vAlign w:val="center"/>
          </w:tcPr>
          <w:p w14:paraId="425CA5CF" w14:textId="77777777" w:rsidR="00FF1E38" w:rsidRPr="00FF1E38" w:rsidRDefault="00FF1E38" w:rsidP="00FF1E38">
            <w:pPr>
              <w:spacing w:after="0" w:line="240" w:lineRule="auto"/>
              <w:ind w:left="0" w:right="0" w:firstLine="0"/>
              <w:jc w:val="left"/>
              <w:rPr>
                <w:rFonts w:ascii="Times New Roman" w:eastAsia="Calibri" w:hAnsi="Times New Roman" w:cs="Times New Roman"/>
                <w:b/>
                <w:sz w:val="20"/>
                <w:szCs w:val="20"/>
              </w:rPr>
            </w:pPr>
            <w:r w:rsidRPr="00FF1E38">
              <w:rPr>
                <w:rFonts w:ascii="Times New Roman" w:eastAsia="Calibri" w:hAnsi="Times New Roman" w:cs="Times New Roman"/>
                <w:b/>
                <w:sz w:val="20"/>
                <w:szCs w:val="20"/>
              </w:rPr>
              <w:t>Lučko</w:t>
            </w:r>
          </w:p>
          <w:p w14:paraId="7751CADD"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(cca 2,5 m</w:t>
            </w:r>
            <w:r w:rsidRPr="00FF1E38">
              <w:rPr>
                <w:rFonts w:ascii="Times New Roman" w:eastAsia="Calibri" w:hAnsi="Times New Roman" w:cs="Times New Roman"/>
                <w:b/>
                <w:sz w:val="20"/>
                <w:szCs w:val="20"/>
                <w:vertAlign w:val="superscript"/>
              </w:rPr>
              <w:t>2</w:t>
            </w:r>
            <w:r w:rsidRPr="00FF1E38">
              <w:rPr>
                <w:rFonts w:ascii="Times New Roman" w:eastAsia="Calibri" w:hAnsi="Times New Roman" w:cs="Times New Roman"/>
                <w:b/>
                <w:sz w:val="20"/>
                <w:szCs w:val="20"/>
              </w:rPr>
              <w:t xml:space="preserve">) </w:t>
            </w:r>
          </w:p>
        </w:tc>
        <w:tc>
          <w:tcPr>
            <w:tcW w:w="1247" w:type="dxa"/>
            <w:vAlign w:val="center"/>
          </w:tcPr>
          <w:p w14:paraId="17E08A3B"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3010</w:t>
            </w:r>
          </w:p>
        </w:tc>
        <w:tc>
          <w:tcPr>
            <w:tcW w:w="1985" w:type="dxa"/>
            <w:vAlign w:val="center"/>
          </w:tcPr>
          <w:p w14:paraId="1C23BC59"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Ugrožena Puškarićeva ulica te sve lokalne ceste i pravci </w:t>
            </w:r>
          </w:p>
        </w:tc>
        <w:tc>
          <w:tcPr>
            <w:tcW w:w="1701" w:type="dxa"/>
            <w:vAlign w:val="center"/>
          </w:tcPr>
          <w:p w14:paraId="21FD5DAD"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Ugrožena poduzetnička zona</w:t>
            </w:r>
          </w:p>
        </w:tc>
        <w:tc>
          <w:tcPr>
            <w:tcW w:w="2155" w:type="dxa"/>
            <w:vAlign w:val="center"/>
          </w:tcPr>
          <w:p w14:paraId="0FFF8A4C"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Stambeni objekti, poslovni objekti, 3 dječja vrtića, osnovna škola </w:t>
            </w:r>
          </w:p>
        </w:tc>
      </w:tr>
      <w:tr w:rsidR="00FF1E38" w:rsidRPr="00FF1E38" w14:paraId="72DB641E" w14:textId="77777777" w:rsidTr="00DE0C9A">
        <w:tblPrEx>
          <w:tblCellMar>
            <w:top w:w="46" w:type="dxa"/>
          </w:tblCellMar>
        </w:tblPrEx>
        <w:trPr>
          <w:cantSplit/>
        </w:trPr>
        <w:tc>
          <w:tcPr>
            <w:tcW w:w="1984" w:type="dxa"/>
            <w:vAlign w:val="center"/>
          </w:tcPr>
          <w:p w14:paraId="331385EF"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Lužan </w:t>
            </w:r>
          </w:p>
        </w:tc>
        <w:tc>
          <w:tcPr>
            <w:tcW w:w="1247" w:type="dxa"/>
            <w:vAlign w:val="center"/>
          </w:tcPr>
          <w:p w14:paraId="0F05FB71"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738BDAD1"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575669AD"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29210577"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58068B78" w14:textId="77777777" w:rsidTr="00DE0C9A">
        <w:tblPrEx>
          <w:tblCellMar>
            <w:top w:w="46" w:type="dxa"/>
          </w:tblCellMar>
        </w:tblPrEx>
        <w:trPr>
          <w:cantSplit/>
        </w:trPr>
        <w:tc>
          <w:tcPr>
            <w:tcW w:w="1984" w:type="dxa"/>
            <w:vAlign w:val="center"/>
          </w:tcPr>
          <w:p w14:paraId="659CD473" w14:textId="77777777" w:rsidR="00FF1E38" w:rsidRPr="00FF1E38" w:rsidRDefault="00FF1E38" w:rsidP="00FF1E38">
            <w:pPr>
              <w:spacing w:after="0" w:line="240" w:lineRule="auto"/>
              <w:ind w:left="0" w:right="0" w:firstLine="0"/>
              <w:jc w:val="left"/>
              <w:rPr>
                <w:rFonts w:ascii="Times New Roman" w:eastAsia="Calibri" w:hAnsi="Times New Roman" w:cs="Times New Roman"/>
                <w:b/>
                <w:sz w:val="20"/>
                <w:szCs w:val="20"/>
              </w:rPr>
            </w:pPr>
            <w:r w:rsidRPr="00FF1E38">
              <w:rPr>
                <w:rFonts w:ascii="Times New Roman" w:eastAsia="Calibri" w:hAnsi="Times New Roman" w:cs="Times New Roman"/>
                <w:b/>
                <w:sz w:val="20"/>
                <w:szCs w:val="20"/>
              </w:rPr>
              <w:t>Mala Mlaka</w:t>
            </w:r>
          </w:p>
          <w:p w14:paraId="4C8F1BDD"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(cca 3,9 m</w:t>
            </w:r>
            <w:r w:rsidRPr="00FF1E38">
              <w:rPr>
                <w:rFonts w:ascii="Times New Roman" w:eastAsia="Calibri" w:hAnsi="Times New Roman" w:cs="Times New Roman"/>
                <w:b/>
                <w:sz w:val="20"/>
                <w:szCs w:val="20"/>
                <w:vertAlign w:val="superscript"/>
              </w:rPr>
              <w:t>2</w:t>
            </w:r>
            <w:r w:rsidRPr="00FF1E38">
              <w:rPr>
                <w:rFonts w:ascii="Times New Roman" w:eastAsia="Calibri" w:hAnsi="Times New Roman" w:cs="Times New Roman"/>
                <w:b/>
                <w:sz w:val="20"/>
                <w:szCs w:val="20"/>
              </w:rPr>
              <w:t xml:space="preserve">) </w:t>
            </w:r>
          </w:p>
        </w:tc>
        <w:tc>
          <w:tcPr>
            <w:tcW w:w="1247" w:type="dxa"/>
            <w:vAlign w:val="center"/>
          </w:tcPr>
          <w:p w14:paraId="292CD031"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622</w:t>
            </w:r>
          </w:p>
        </w:tc>
        <w:tc>
          <w:tcPr>
            <w:tcW w:w="1985" w:type="dxa"/>
            <w:vAlign w:val="center"/>
          </w:tcPr>
          <w:p w14:paraId="373BB8A6"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Ugrožene sve lokalne ceste </w:t>
            </w:r>
          </w:p>
        </w:tc>
        <w:tc>
          <w:tcPr>
            <w:tcW w:w="1701" w:type="dxa"/>
            <w:vAlign w:val="center"/>
          </w:tcPr>
          <w:p w14:paraId="092791C6"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Nema industrijskih zona</w:t>
            </w:r>
          </w:p>
        </w:tc>
        <w:tc>
          <w:tcPr>
            <w:tcW w:w="2155" w:type="dxa"/>
            <w:vAlign w:val="center"/>
          </w:tcPr>
          <w:p w14:paraId="4E1007C2"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Stambeni objekti, dječji vrtić </w:t>
            </w:r>
          </w:p>
        </w:tc>
      </w:tr>
      <w:tr w:rsidR="00FF1E38" w:rsidRPr="00FF1E38" w14:paraId="634968B4" w14:textId="77777777" w:rsidTr="00DE0C9A">
        <w:tblPrEx>
          <w:tblCellMar>
            <w:top w:w="46" w:type="dxa"/>
          </w:tblCellMar>
        </w:tblPrEx>
        <w:trPr>
          <w:cantSplit/>
        </w:trPr>
        <w:tc>
          <w:tcPr>
            <w:tcW w:w="1984" w:type="dxa"/>
            <w:vAlign w:val="center"/>
          </w:tcPr>
          <w:p w14:paraId="0E216D50"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Markovo Polje </w:t>
            </w:r>
          </w:p>
        </w:tc>
        <w:tc>
          <w:tcPr>
            <w:tcW w:w="1247" w:type="dxa"/>
            <w:vAlign w:val="center"/>
          </w:tcPr>
          <w:p w14:paraId="336B4D10"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36781EBA"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393F9D16"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587A34D3"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4CCFC9BA" w14:textId="77777777" w:rsidTr="00DE0C9A">
        <w:tblPrEx>
          <w:tblCellMar>
            <w:top w:w="46" w:type="dxa"/>
          </w:tblCellMar>
        </w:tblPrEx>
        <w:trPr>
          <w:cantSplit/>
        </w:trPr>
        <w:tc>
          <w:tcPr>
            <w:tcW w:w="1984" w:type="dxa"/>
            <w:vAlign w:val="center"/>
          </w:tcPr>
          <w:p w14:paraId="1242AA5E"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Moravče </w:t>
            </w:r>
          </w:p>
        </w:tc>
        <w:tc>
          <w:tcPr>
            <w:tcW w:w="1247" w:type="dxa"/>
            <w:vAlign w:val="center"/>
          </w:tcPr>
          <w:p w14:paraId="228E9DFC"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544F8B1C"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0A98A4B7"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1CF3B768"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5F03F434" w14:textId="77777777" w:rsidTr="00DE0C9A">
        <w:tblPrEx>
          <w:tblCellMar>
            <w:top w:w="46" w:type="dxa"/>
          </w:tblCellMar>
        </w:tblPrEx>
        <w:trPr>
          <w:cantSplit/>
        </w:trPr>
        <w:tc>
          <w:tcPr>
            <w:tcW w:w="1984" w:type="dxa"/>
            <w:vAlign w:val="center"/>
          </w:tcPr>
          <w:p w14:paraId="5A7AC035" w14:textId="77777777" w:rsidR="00FF1E38" w:rsidRPr="00FF1E38" w:rsidRDefault="00FF1E38" w:rsidP="00FF1E38">
            <w:pPr>
              <w:spacing w:after="0" w:line="240" w:lineRule="auto"/>
              <w:ind w:left="0" w:right="0" w:firstLine="0"/>
              <w:jc w:val="left"/>
              <w:rPr>
                <w:rFonts w:ascii="Times New Roman" w:eastAsia="Calibri" w:hAnsi="Times New Roman" w:cs="Times New Roman"/>
                <w:b/>
                <w:sz w:val="20"/>
                <w:szCs w:val="20"/>
              </w:rPr>
            </w:pPr>
            <w:r w:rsidRPr="00FF1E38">
              <w:rPr>
                <w:rFonts w:ascii="Times New Roman" w:eastAsia="Calibri" w:hAnsi="Times New Roman" w:cs="Times New Roman"/>
                <w:b/>
                <w:sz w:val="20"/>
                <w:szCs w:val="20"/>
              </w:rPr>
              <w:t>Odra</w:t>
            </w:r>
          </w:p>
          <w:p w14:paraId="322C90B7"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(cca 13,0 m</w:t>
            </w:r>
            <w:r w:rsidRPr="00FF1E38">
              <w:rPr>
                <w:rFonts w:ascii="Times New Roman" w:eastAsia="Calibri" w:hAnsi="Times New Roman" w:cs="Times New Roman"/>
                <w:b/>
                <w:sz w:val="20"/>
                <w:szCs w:val="20"/>
                <w:vertAlign w:val="superscript"/>
              </w:rPr>
              <w:t>2</w:t>
            </w:r>
            <w:r w:rsidRPr="00FF1E38">
              <w:rPr>
                <w:rFonts w:ascii="Times New Roman" w:eastAsia="Calibri" w:hAnsi="Times New Roman" w:cs="Times New Roman"/>
                <w:b/>
                <w:sz w:val="20"/>
                <w:szCs w:val="20"/>
              </w:rPr>
              <w:t xml:space="preserve">) </w:t>
            </w:r>
          </w:p>
        </w:tc>
        <w:tc>
          <w:tcPr>
            <w:tcW w:w="1247" w:type="dxa"/>
            <w:vAlign w:val="center"/>
          </w:tcPr>
          <w:p w14:paraId="72B87FB0"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1851</w:t>
            </w:r>
          </w:p>
        </w:tc>
        <w:tc>
          <w:tcPr>
            <w:tcW w:w="1985" w:type="dxa"/>
            <w:vAlign w:val="center"/>
          </w:tcPr>
          <w:p w14:paraId="2B078085"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Ugrožena D30, svi lokalni pravci i ceste, dio željezničke pruge Zagreb - Sisak koji prolazi kroz ovo naselje </w:t>
            </w:r>
          </w:p>
        </w:tc>
        <w:tc>
          <w:tcPr>
            <w:tcW w:w="1701" w:type="dxa"/>
            <w:vAlign w:val="center"/>
          </w:tcPr>
          <w:p w14:paraId="59DA3246"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Nema industrijskih zona</w:t>
            </w:r>
          </w:p>
        </w:tc>
        <w:tc>
          <w:tcPr>
            <w:tcW w:w="2155" w:type="dxa"/>
            <w:vAlign w:val="center"/>
          </w:tcPr>
          <w:p w14:paraId="22C79DF8"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Stambeni objekti, dječji vrtić </w:t>
            </w:r>
          </w:p>
        </w:tc>
      </w:tr>
      <w:tr w:rsidR="00FF1E38" w:rsidRPr="00FF1E38" w14:paraId="4FD47F47" w14:textId="77777777" w:rsidTr="00DE0C9A">
        <w:tblPrEx>
          <w:tblCellMar>
            <w:top w:w="46" w:type="dxa"/>
          </w:tblCellMar>
        </w:tblPrEx>
        <w:trPr>
          <w:cantSplit/>
        </w:trPr>
        <w:tc>
          <w:tcPr>
            <w:tcW w:w="1984" w:type="dxa"/>
            <w:vAlign w:val="center"/>
          </w:tcPr>
          <w:p w14:paraId="35BC692D" w14:textId="77777777" w:rsidR="00FF1E38" w:rsidRPr="00FF1E38" w:rsidRDefault="00FF1E38" w:rsidP="00FF1E38">
            <w:pPr>
              <w:spacing w:after="0" w:line="240" w:lineRule="auto"/>
              <w:ind w:left="0" w:right="0" w:firstLine="0"/>
              <w:jc w:val="left"/>
              <w:rPr>
                <w:rFonts w:ascii="Times New Roman" w:eastAsia="Calibri" w:hAnsi="Times New Roman" w:cs="Times New Roman"/>
                <w:b/>
                <w:sz w:val="20"/>
                <w:szCs w:val="20"/>
              </w:rPr>
            </w:pPr>
            <w:r w:rsidRPr="00FF1E38">
              <w:rPr>
                <w:rFonts w:ascii="Times New Roman" w:eastAsia="Calibri" w:hAnsi="Times New Roman" w:cs="Times New Roman"/>
                <w:b/>
                <w:sz w:val="20"/>
                <w:szCs w:val="20"/>
              </w:rPr>
              <w:t>Odranski Obrež</w:t>
            </w:r>
          </w:p>
          <w:p w14:paraId="181BA79C"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(cca. 2,7 m</w:t>
            </w:r>
            <w:r w:rsidRPr="00FF1E38">
              <w:rPr>
                <w:rFonts w:ascii="Times New Roman" w:eastAsia="Calibri" w:hAnsi="Times New Roman" w:cs="Times New Roman"/>
                <w:b/>
                <w:sz w:val="20"/>
                <w:szCs w:val="20"/>
                <w:vertAlign w:val="superscript"/>
              </w:rPr>
              <w:t>2</w:t>
            </w:r>
            <w:r w:rsidRPr="00FF1E38">
              <w:rPr>
                <w:rFonts w:ascii="Times New Roman" w:eastAsia="Calibri" w:hAnsi="Times New Roman" w:cs="Times New Roman"/>
                <w:b/>
                <w:sz w:val="20"/>
                <w:szCs w:val="20"/>
              </w:rPr>
              <w:t xml:space="preserve">) </w:t>
            </w:r>
          </w:p>
        </w:tc>
        <w:tc>
          <w:tcPr>
            <w:tcW w:w="1247" w:type="dxa"/>
            <w:vAlign w:val="center"/>
          </w:tcPr>
          <w:p w14:paraId="77F9D15A"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180</w:t>
            </w:r>
          </w:p>
        </w:tc>
        <w:tc>
          <w:tcPr>
            <w:tcW w:w="1985" w:type="dxa"/>
            <w:vAlign w:val="center"/>
          </w:tcPr>
          <w:p w14:paraId="45E1670D"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Ugrožene pojedine lokalne ceste i pravci </w:t>
            </w:r>
          </w:p>
        </w:tc>
        <w:tc>
          <w:tcPr>
            <w:tcW w:w="1701" w:type="dxa"/>
            <w:vAlign w:val="center"/>
          </w:tcPr>
          <w:p w14:paraId="733B3337"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Nema industrijskih zona</w:t>
            </w:r>
          </w:p>
        </w:tc>
        <w:tc>
          <w:tcPr>
            <w:tcW w:w="2155" w:type="dxa"/>
            <w:vAlign w:val="center"/>
          </w:tcPr>
          <w:p w14:paraId="4128A87C"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 Stambeni objekti, područna škola </w:t>
            </w:r>
          </w:p>
        </w:tc>
      </w:tr>
      <w:tr w:rsidR="00FF1E38" w:rsidRPr="00FF1E38" w14:paraId="19310596" w14:textId="77777777" w:rsidTr="00DE0C9A">
        <w:tblPrEx>
          <w:tblCellMar>
            <w:top w:w="46" w:type="dxa"/>
          </w:tblCellMar>
        </w:tblPrEx>
        <w:trPr>
          <w:cantSplit/>
        </w:trPr>
        <w:tc>
          <w:tcPr>
            <w:tcW w:w="1984" w:type="dxa"/>
            <w:vAlign w:val="center"/>
          </w:tcPr>
          <w:p w14:paraId="2623A5A7"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Paruževina </w:t>
            </w:r>
          </w:p>
        </w:tc>
        <w:tc>
          <w:tcPr>
            <w:tcW w:w="1247" w:type="dxa"/>
            <w:vAlign w:val="center"/>
          </w:tcPr>
          <w:p w14:paraId="4096CFDC"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74B0FCBE"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44DCEC59"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6A63FEC0"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4333A5F2" w14:textId="77777777" w:rsidTr="00DE0C9A">
        <w:tblPrEx>
          <w:tblCellMar>
            <w:top w:w="46" w:type="dxa"/>
          </w:tblCellMar>
        </w:tblPrEx>
        <w:trPr>
          <w:cantSplit/>
        </w:trPr>
        <w:tc>
          <w:tcPr>
            <w:tcW w:w="1984" w:type="dxa"/>
            <w:vAlign w:val="center"/>
          </w:tcPr>
          <w:p w14:paraId="08B00C4F"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Planina Donja </w:t>
            </w:r>
          </w:p>
        </w:tc>
        <w:tc>
          <w:tcPr>
            <w:tcW w:w="1247" w:type="dxa"/>
            <w:vAlign w:val="center"/>
          </w:tcPr>
          <w:p w14:paraId="64D4EABE"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573E7621"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1246BA8A"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3E6EFED9"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7B66AB21" w14:textId="77777777" w:rsidTr="00DE0C9A">
        <w:tblPrEx>
          <w:tblCellMar>
            <w:top w:w="46" w:type="dxa"/>
          </w:tblCellMar>
        </w:tblPrEx>
        <w:trPr>
          <w:cantSplit/>
        </w:trPr>
        <w:tc>
          <w:tcPr>
            <w:tcW w:w="1984" w:type="dxa"/>
            <w:vAlign w:val="center"/>
          </w:tcPr>
          <w:p w14:paraId="2F7209F6"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Planina Gornja </w:t>
            </w:r>
          </w:p>
        </w:tc>
        <w:tc>
          <w:tcPr>
            <w:tcW w:w="1247" w:type="dxa"/>
            <w:vAlign w:val="center"/>
          </w:tcPr>
          <w:p w14:paraId="44F4DC10"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00AB2669"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40ED4065"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68CC29A6"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3E996A4F" w14:textId="77777777" w:rsidTr="00DE0C9A">
        <w:tblPrEx>
          <w:tblCellMar>
            <w:top w:w="46" w:type="dxa"/>
          </w:tblCellMar>
        </w:tblPrEx>
        <w:trPr>
          <w:cantSplit/>
        </w:trPr>
        <w:tc>
          <w:tcPr>
            <w:tcW w:w="1984" w:type="dxa"/>
            <w:vAlign w:val="center"/>
          </w:tcPr>
          <w:p w14:paraId="2CC00B6C"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Popovec </w:t>
            </w:r>
          </w:p>
        </w:tc>
        <w:tc>
          <w:tcPr>
            <w:tcW w:w="1247" w:type="dxa"/>
            <w:vAlign w:val="center"/>
          </w:tcPr>
          <w:p w14:paraId="5E830094"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62BA1F81"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19578DBA"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4EE4E7B2"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1144DF05" w14:textId="77777777" w:rsidTr="00DE0C9A">
        <w:tblPrEx>
          <w:tblCellMar>
            <w:top w:w="46" w:type="dxa"/>
          </w:tblCellMar>
        </w:tblPrEx>
        <w:trPr>
          <w:cantSplit/>
        </w:trPr>
        <w:tc>
          <w:tcPr>
            <w:tcW w:w="1984" w:type="dxa"/>
            <w:vAlign w:val="center"/>
          </w:tcPr>
          <w:p w14:paraId="1E903FF4"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Prekvršje </w:t>
            </w:r>
          </w:p>
        </w:tc>
        <w:tc>
          <w:tcPr>
            <w:tcW w:w="1247" w:type="dxa"/>
            <w:vAlign w:val="center"/>
          </w:tcPr>
          <w:p w14:paraId="1EF232A8"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4C8E27A7"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04941C98"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4119AE6A"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29CA5B17" w14:textId="77777777" w:rsidTr="00DE0C9A">
        <w:tblPrEx>
          <w:tblCellMar>
            <w:top w:w="46" w:type="dxa"/>
          </w:tblCellMar>
        </w:tblPrEx>
        <w:trPr>
          <w:cantSplit/>
        </w:trPr>
        <w:tc>
          <w:tcPr>
            <w:tcW w:w="1984" w:type="dxa"/>
            <w:vAlign w:val="center"/>
          </w:tcPr>
          <w:p w14:paraId="1A2C735F"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Prepuštovec </w:t>
            </w:r>
          </w:p>
        </w:tc>
        <w:tc>
          <w:tcPr>
            <w:tcW w:w="1247" w:type="dxa"/>
            <w:vAlign w:val="center"/>
          </w:tcPr>
          <w:p w14:paraId="3652D1F6"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224DAB07"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18A6EB29"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56983F89"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73129722" w14:textId="77777777" w:rsidTr="00DE0C9A">
        <w:tblPrEx>
          <w:tblCellMar>
            <w:top w:w="46" w:type="dxa"/>
          </w:tblCellMar>
        </w:tblPrEx>
        <w:trPr>
          <w:cantSplit/>
        </w:trPr>
        <w:tc>
          <w:tcPr>
            <w:tcW w:w="1984" w:type="dxa"/>
            <w:vAlign w:val="center"/>
          </w:tcPr>
          <w:p w14:paraId="53153F8C" w14:textId="77777777" w:rsidR="00FF1E38" w:rsidRPr="00FF1E38" w:rsidRDefault="00FF1E38" w:rsidP="00FF1E38">
            <w:pPr>
              <w:spacing w:after="0" w:line="240" w:lineRule="auto"/>
              <w:ind w:left="0" w:right="0" w:firstLine="0"/>
              <w:jc w:val="left"/>
              <w:rPr>
                <w:rFonts w:ascii="Times New Roman" w:eastAsia="Calibri" w:hAnsi="Times New Roman" w:cs="Times New Roman"/>
                <w:b/>
                <w:sz w:val="20"/>
                <w:szCs w:val="20"/>
              </w:rPr>
            </w:pPr>
            <w:r w:rsidRPr="00FF1E38">
              <w:rPr>
                <w:rFonts w:ascii="Times New Roman" w:eastAsia="Calibri" w:hAnsi="Times New Roman" w:cs="Times New Roman"/>
                <w:b/>
                <w:sz w:val="20"/>
                <w:szCs w:val="20"/>
              </w:rPr>
              <w:t>Sesvete</w:t>
            </w:r>
          </w:p>
          <w:p w14:paraId="7133AE8E"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(cca 7,0 m</w:t>
            </w:r>
            <w:r w:rsidRPr="00FF1E38">
              <w:rPr>
                <w:rFonts w:ascii="Times New Roman" w:eastAsia="Calibri" w:hAnsi="Times New Roman" w:cs="Times New Roman"/>
                <w:b/>
                <w:sz w:val="20"/>
                <w:szCs w:val="20"/>
                <w:vertAlign w:val="superscript"/>
              </w:rPr>
              <w:t>2</w:t>
            </w:r>
            <w:r w:rsidRPr="00FF1E38">
              <w:rPr>
                <w:rFonts w:ascii="Times New Roman" w:eastAsia="Calibri" w:hAnsi="Times New Roman" w:cs="Times New Roman"/>
                <w:b/>
                <w:sz w:val="20"/>
                <w:szCs w:val="20"/>
              </w:rPr>
              <w:t xml:space="preserve">) </w:t>
            </w:r>
          </w:p>
        </w:tc>
        <w:tc>
          <w:tcPr>
            <w:tcW w:w="1247" w:type="dxa"/>
            <w:vAlign w:val="center"/>
          </w:tcPr>
          <w:p w14:paraId="66BC6F7A"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9500</w:t>
            </w:r>
          </w:p>
        </w:tc>
        <w:tc>
          <w:tcPr>
            <w:tcW w:w="1985" w:type="dxa"/>
            <w:vAlign w:val="center"/>
          </w:tcPr>
          <w:p w14:paraId="660D78C1"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Ugrožena Ulica Ljudevita Posavskog te pojedine lokalne ceste i pravci </w:t>
            </w:r>
          </w:p>
        </w:tc>
        <w:tc>
          <w:tcPr>
            <w:tcW w:w="1701" w:type="dxa"/>
            <w:vAlign w:val="center"/>
          </w:tcPr>
          <w:p w14:paraId="2DDE715C"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Ugrožena industrijska i poduzetnička zona</w:t>
            </w:r>
          </w:p>
        </w:tc>
        <w:tc>
          <w:tcPr>
            <w:tcW w:w="2155" w:type="dxa"/>
            <w:vAlign w:val="center"/>
          </w:tcPr>
          <w:p w14:paraId="49AFA9D1"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Stambeni objekti, poslovni objekti, industrijski objekti, 2 dječja vrtića, osnovna i srednja škola </w:t>
            </w:r>
          </w:p>
        </w:tc>
      </w:tr>
      <w:tr w:rsidR="00FF1E38" w:rsidRPr="00FF1E38" w14:paraId="489B0FE2" w14:textId="77777777" w:rsidTr="00DE0C9A">
        <w:tblPrEx>
          <w:tblCellMar>
            <w:top w:w="46" w:type="dxa"/>
          </w:tblCellMar>
        </w:tblPrEx>
        <w:trPr>
          <w:cantSplit/>
        </w:trPr>
        <w:tc>
          <w:tcPr>
            <w:tcW w:w="1984" w:type="dxa"/>
            <w:vAlign w:val="center"/>
          </w:tcPr>
          <w:p w14:paraId="2B3CD5E2"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Soblinec </w:t>
            </w:r>
          </w:p>
        </w:tc>
        <w:tc>
          <w:tcPr>
            <w:tcW w:w="1247" w:type="dxa"/>
            <w:vAlign w:val="center"/>
          </w:tcPr>
          <w:p w14:paraId="57E6138B"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3088B089"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06E946F9"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3E5471B5"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66A39071" w14:textId="77777777" w:rsidTr="00DE0C9A">
        <w:tblPrEx>
          <w:tblCellMar>
            <w:top w:w="46" w:type="dxa"/>
          </w:tblCellMar>
        </w:tblPrEx>
        <w:trPr>
          <w:cantSplit/>
        </w:trPr>
        <w:tc>
          <w:tcPr>
            <w:tcW w:w="1984" w:type="dxa"/>
            <w:vAlign w:val="center"/>
          </w:tcPr>
          <w:p w14:paraId="7FBD36DA"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Starjak </w:t>
            </w:r>
          </w:p>
        </w:tc>
        <w:tc>
          <w:tcPr>
            <w:tcW w:w="1247" w:type="dxa"/>
            <w:vAlign w:val="center"/>
          </w:tcPr>
          <w:p w14:paraId="18EE3CAA"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0699F5CA"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5B770A6B"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00D78204"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52E276D9" w14:textId="77777777" w:rsidTr="00DE0C9A">
        <w:tblPrEx>
          <w:tblCellMar>
            <w:top w:w="46" w:type="dxa"/>
          </w:tblCellMar>
        </w:tblPrEx>
        <w:trPr>
          <w:cantSplit/>
        </w:trPr>
        <w:tc>
          <w:tcPr>
            <w:tcW w:w="1984" w:type="dxa"/>
            <w:vAlign w:val="center"/>
          </w:tcPr>
          <w:p w14:paraId="2BE939B6" w14:textId="77777777" w:rsidR="00FF1E38" w:rsidRPr="00FF1E38" w:rsidRDefault="00FF1E38" w:rsidP="00FF1E38">
            <w:pPr>
              <w:spacing w:after="0" w:line="240" w:lineRule="auto"/>
              <w:ind w:left="0" w:right="0" w:firstLine="0"/>
              <w:jc w:val="left"/>
              <w:rPr>
                <w:rFonts w:ascii="Times New Roman" w:eastAsia="Calibri" w:hAnsi="Times New Roman" w:cs="Times New Roman"/>
                <w:b/>
                <w:sz w:val="20"/>
                <w:szCs w:val="20"/>
              </w:rPr>
            </w:pPr>
            <w:r w:rsidRPr="00FF1E38">
              <w:rPr>
                <w:rFonts w:ascii="Times New Roman" w:eastAsia="Calibri" w:hAnsi="Times New Roman" w:cs="Times New Roman"/>
                <w:b/>
                <w:sz w:val="20"/>
                <w:szCs w:val="20"/>
              </w:rPr>
              <w:t>Strmec</w:t>
            </w:r>
          </w:p>
          <w:p w14:paraId="2D57C752"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(cca 1,2 m</w:t>
            </w:r>
            <w:r w:rsidRPr="00FF1E38">
              <w:rPr>
                <w:rFonts w:ascii="Times New Roman" w:eastAsia="Calibri" w:hAnsi="Times New Roman" w:cs="Times New Roman"/>
                <w:b/>
                <w:sz w:val="20"/>
                <w:szCs w:val="20"/>
                <w:vertAlign w:val="superscript"/>
              </w:rPr>
              <w:t>2</w:t>
            </w:r>
            <w:r w:rsidRPr="00FF1E38">
              <w:rPr>
                <w:rFonts w:ascii="Times New Roman" w:eastAsia="Calibri" w:hAnsi="Times New Roman" w:cs="Times New Roman"/>
                <w:b/>
                <w:sz w:val="20"/>
                <w:szCs w:val="20"/>
              </w:rPr>
              <w:t xml:space="preserve">) </w:t>
            </w:r>
          </w:p>
        </w:tc>
        <w:tc>
          <w:tcPr>
            <w:tcW w:w="1247" w:type="dxa"/>
            <w:vAlign w:val="center"/>
          </w:tcPr>
          <w:p w14:paraId="1B866437"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20</w:t>
            </w:r>
          </w:p>
        </w:tc>
        <w:tc>
          <w:tcPr>
            <w:tcW w:w="1985" w:type="dxa"/>
            <w:vAlign w:val="center"/>
          </w:tcPr>
          <w:p w14:paraId="0DBF5A24"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Ugrožene pojedine lokalne ceste i pravci </w:t>
            </w:r>
          </w:p>
        </w:tc>
        <w:tc>
          <w:tcPr>
            <w:tcW w:w="1701" w:type="dxa"/>
            <w:vAlign w:val="center"/>
          </w:tcPr>
          <w:p w14:paraId="00F1C77C"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Nema industrijskih zona</w:t>
            </w:r>
          </w:p>
        </w:tc>
        <w:tc>
          <w:tcPr>
            <w:tcW w:w="2155" w:type="dxa"/>
            <w:vAlign w:val="center"/>
          </w:tcPr>
          <w:p w14:paraId="567EA08F"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Stambeni objekti </w:t>
            </w:r>
          </w:p>
        </w:tc>
      </w:tr>
      <w:tr w:rsidR="00FF1E38" w:rsidRPr="00FF1E38" w14:paraId="049E26B5" w14:textId="77777777" w:rsidTr="00DE0C9A">
        <w:tblPrEx>
          <w:tblCellMar>
            <w:top w:w="46" w:type="dxa"/>
          </w:tblCellMar>
        </w:tblPrEx>
        <w:trPr>
          <w:cantSplit/>
        </w:trPr>
        <w:tc>
          <w:tcPr>
            <w:tcW w:w="1984" w:type="dxa"/>
            <w:vAlign w:val="center"/>
          </w:tcPr>
          <w:p w14:paraId="54F65386"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Šašinovec </w:t>
            </w:r>
          </w:p>
        </w:tc>
        <w:tc>
          <w:tcPr>
            <w:tcW w:w="1247" w:type="dxa"/>
            <w:vAlign w:val="center"/>
          </w:tcPr>
          <w:p w14:paraId="08EF1CB7"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p>
        </w:tc>
        <w:tc>
          <w:tcPr>
            <w:tcW w:w="1985" w:type="dxa"/>
            <w:vAlign w:val="center"/>
          </w:tcPr>
          <w:p w14:paraId="582D5492"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p>
        </w:tc>
        <w:tc>
          <w:tcPr>
            <w:tcW w:w="1701" w:type="dxa"/>
            <w:vAlign w:val="center"/>
          </w:tcPr>
          <w:p w14:paraId="5E1258CD"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p>
        </w:tc>
        <w:tc>
          <w:tcPr>
            <w:tcW w:w="2155" w:type="dxa"/>
            <w:vAlign w:val="center"/>
          </w:tcPr>
          <w:p w14:paraId="00E5A2AB"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p>
        </w:tc>
      </w:tr>
      <w:tr w:rsidR="00FF1E38" w:rsidRPr="00FF1E38" w14:paraId="5768ACB8" w14:textId="77777777" w:rsidTr="00DE0C9A">
        <w:tblPrEx>
          <w:tblCellMar>
            <w:top w:w="46" w:type="dxa"/>
          </w:tblCellMar>
        </w:tblPrEx>
        <w:trPr>
          <w:cantSplit/>
        </w:trPr>
        <w:tc>
          <w:tcPr>
            <w:tcW w:w="1984" w:type="dxa"/>
            <w:vAlign w:val="center"/>
          </w:tcPr>
          <w:p w14:paraId="423FA427"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Šimunčevec </w:t>
            </w:r>
          </w:p>
        </w:tc>
        <w:tc>
          <w:tcPr>
            <w:tcW w:w="1247" w:type="dxa"/>
            <w:vAlign w:val="center"/>
          </w:tcPr>
          <w:p w14:paraId="1E894C90"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144AE31E"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17F7AF39"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1409CF76"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66662DE6" w14:textId="77777777" w:rsidTr="00DE0C9A">
        <w:tblPrEx>
          <w:tblCellMar>
            <w:top w:w="46" w:type="dxa"/>
          </w:tblCellMar>
        </w:tblPrEx>
        <w:trPr>
          <w:cantSplit/>
        </w:trPr>
        <w:tc>
          <w:tcPr>
            <w:tcW w:w="1984" w:type="dxa"/>
            <w:vAlign w:val="center"/>
          </w:tcPr>
          <w:p w14:paraId="65B6FA4A"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Veliko Polje </w:t>
            </w:r>
          </w:p>
        </w:tc>
        <w:tc>
          <w:tcPr>
            <w:tcW w:w="1247" w:type="dxa"/>
            <w:vAlign w:val="center"/>
          </w:tcPr>
          <w:p w14:paraId="37ACD4DB"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7C6EA594"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3BD31EAB"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2D4C625C"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540CFE04" w14:textId="77777777" w:rsidTr="00DE0C9A">
        <w:tblPrEx>
          <w:tblCellMar>
            <w:top w:w="46" w:type="dxa"/>
          </w:tblCellMar>
        </w:tblPrEx>
        <w:trPr>
          <w:cantSplit/>
        </w:trPr>
        <w:tc>
          <w:tcPr>
            <w:tcW w:w="1984" w:type="dxa"/>
            <w:vAlign w:val="center"/>
          </w:tcPr>
          <w:p w14:paraId="78FBBF85"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Vuger Selo </w:t>
            </w:r>
          </w:p>
        </w:tc>
        <w:tc>
          <w:tcPr>
            <w:tcW w:w="1247" w:type="dxa"/>
            <w:vAlign w:val="center"/>
          </w:tcPr>
          <w:p w14:paraId="6CEF51E4"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34258C58"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1F85D0D5"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6BA92C14"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53E8DF1F" w14:textId="77777777" w:rsidTr="00DE0C9A">
        <w:tblPrEx>
          <w:tblCellMar>
            <w:top w:w="46" w:type="dxa"/>
          </w:tblCellMar>
        </w:tblPrEx>
        <w:trPr>
          <w:cantSplit/>
        </w:trPr>
        <w:tc>
          <w:tcPr>
            <w:tcW w:w="1984" w:type="dxa"/>
            <w:vAlign w:val="center"/>
          </w:tcPr>
          <w:p w14:paraId="1179B7F2"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Vugrovec Donji </w:t>
            </w:r>
          </w:p>
        </w:tc>
        <w:tc>
          <w:tcPr>
            <w:tcW w:w="1247" w:type="dxa"/>
            <w:vAlign w:val="center"/>
          </w:tcPr>
          <w:p w14:paraId="05928640"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6134F5BA"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47C3CE6A"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3DD29D49"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23D0447B" w14:textId="77777777" w:rsidTr="00DE0C9A">
        <w:tblPrEx>
          <w:tblCellMar>
            <w:top w:w="46" w:type="dxa"/>
          </w:tblCellMar>
        </w:tblPrEx>
        <w:trPr>
          <w:cantSplit/>
        </w:trPr>
        <w:tc>
          <w:tcPr>
            <w:tcW w:w="1984" w:type="dxa"/>
            <w:vAlign w:val="center"/>
          </w:tcPr>
          <w:p w14:paraId="27C48DCB"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Vugrovec Gornji </w:t>
            </w:r>
          </w:p>
        </w:tc>
        <w:tc>
          <w:tcPr>
            <w:tcW w:w="1247" w:type="dxa"/>
            <w:vAlign w:val="center"/>
          </w:tcPr>
          <w:p w14:paraId="3A805CF1"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697A6C3B"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1896F5BE"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725E397C"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064D026B" w14:textId="77777777" w:rsidTr="00DE0C9A">
        <w:tblPrEx>
          <w:tblCellMar>
            <w:top w:w="46" w:type="dxa"/>
          </w:tblCellMar>
        </w:tblPrEx>
        <w:trPr>
          <w:cantSplit/>
        </w:trPr>
        <w:tc>
          <w:tcPr>
            <w:tcW w:w="1984" w:type="dxa"/>
            <w:vAlign w:val="center"/>
          </w:tcPr>
          <w:p w14:paraId="07DFF509"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Vurnovec </w:t>
            </w:r>
          </w:p>
        </w:tc>
        <w:tc>
          <w:tcPr>
            <w:tcW w:w="1247" w:type="dxa"/>
            <w:vAlign w:val="center"/>
          </w:tcPr>
          <w:p w14:paraId="35C7FF49"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54996304"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1B7885F1"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79B74132"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r w:rsidR="00FF1E38" w:rsidRPr="00FF1E38" w14:paraId="397AFF08" w14:textId="77777777" w:rsidTr="00DE0C9A">
        <w:tblPrEx>
          <w:tblCellMar>
            <w:top w:w="46" w:type="dxa"/>
          </w:tblCellMar>
        </w:tblPrEx>
        <w:trPr>
          <w:cantSplit/>
        </w:trPr>
        <w:tc>
          <w:tcPr>
            <w:tcW w:w="1984" w:type="dxa"/>
            <w:vAlign w:val="center"/>
          </w:tcPr>
          <w:p w14:paraId="53628209" w14:textId="77777777" w:rsidR="00FF1E38" w:rsidRPr="00FF1E38" w:rsidRDefault="00FF1E38" w:rsidP="00FF1E38">
            <w:pPr>
              <w:spacing w:after="0" w:line="240" w:lineRule="auto"/>
              <w:ind w:left="0" w:right="0" w:firstLine="0"/>
              <w:jc w:val="left"/>
              <w:rPr>
                <w:rFonts w:ascii="Times New Roman" w:eastAsia="Calibri" w:hAnsi="Times New Roman" w:cs="Times New Roman"/>
                <w:b/>
                <w:sz w:val="20"/>
                <w:szCs w:val="20"/>
              </w:rPr>
            </w:pPr>
            <w:r w:rsidRPr="00FF1E38">
              <w:rPr>
                <w:rFonts w:ascii="Times New Roman" w:eastAsia="Calibri" w:hAnsi="Times New Roman" w:cs="Times New Roman"/>
                <w:b/>
                <w:sz w:val="20"/>
                <w:szCs w:val="20"/>
              </w:rPr>
              <w:t>Zadvorsko</w:t>
            </w:r>
          </w:p>
          <w:p w14:paraId="052371D5"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(cca 0,2 m</w:t>
            </w:r>
            <w:r w:rsidRPr="00FF1E38">
              <w:rPr>
                <w:rFonts w:ascii="Times New Roman" w:eastAsia="Calibri" w:hAnsi="Times New Roman" w:cs="Times New Roman"/>
                <w:b/>
                <w:sz w:val="20"/>
                <w:szCs w:val="20"/>
                <w:vertAlign w:val="superscript"/>
              </w:rPr>
              <w:t>2</w:t>
            </w:r>
            <w:r w:rsidRPr="00FF1E38">
              <w:rPr>
                <w:rFonts w:ascii="Times New Roman" w:eastAsia="Calibri" w:hAnsi="Times New Roman" w:cs="Times New Roman"/>
                <w:b/>
                <w:sz w:val="20"/>
                <w:szCs w:val="20"/>
              </w:rPr>
              <w:t xml:space="preserve">) </w:t>
            </w:r>
          </w:p>
        </w:tc>
        <w:tc>
          <w:tcPr>
            <w:tcW w:w="1247" w:type="dxa"/>
            <w:vAlign w:val="center"/>
          </w:tcPr>
          <w:p w14:paraId="3BD2B4B2"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250</w:t>
            </w:r>
          </w:p>
        </w:tc>
        <w:tc>
          <w:tcPr>
            <w:tcW w:w="1985" w:type="dxa"/>
            <w:vAlign w:val="center"/>
          </w:tcPr>
          <w:p w14:paraId="1D6AF2F9"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Ugrožene pojedine lokalne ceste i pravci </w:t>
            </w:r>
          </w:p>
        </w:tc>
        <w:tc>
          <w:tcPr>
            <w:tcW w:w="1701" w:type="dxa"/>
            <w:vAlign w:val="center"/>
          </w:tcPr>
          <w:p w14:paraId="2AF7F9EC"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Nema industrijskih zona</w:t>
            </w:r>
          </w:p>
        </w:tc>
        <w:tc>
          <w:tcPr>
            <w:tcW w:w="2155" w:type="dxa"/>
            <w:vAlign w:val="center"/>
          </w:tcPr>
          <w:p w14:paraId="063BA6CF"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 xml:space="preserve">Stambeni objekti </w:t>
            </w:r>
          </w:p>
        </w:tc>
      </w:tr>
      <w:tr w:rsidR="00FF1E38" w:rsidRPr="00FF1E38" w14:paraId="2B583671" w14:textId="77777777" w:rsidTr="00DE0C9A">
        <w:tblPrEx>
          <w:tblCellMar>
            <w:top w:w="46" w:type="dxa"/>
          </w:tblCellMar>
        </w:tblPrEx>
        <w:trPr>
          <w:cantSplit/>
        </w:trPr>
        <w:tc>
          <w:tcPr>
            <w:tcW w:w="1984" w:type="dxa"/>
            <w:vAlign w:val="center"/>
          </w:tcPr>
          <w:p w14:paraId="3E96B9B6" w14:textId="77777777" w:rsidR="00FF1E38" w:rsidRPr="00FF1E38" w:rsidRDefault="00FF1E38" w:rsidP="00FF1E38">
            <w:pPr>
              <w:spacing w:after="0" w:line="240" w:lineRule="auto"/>
              <w:ind w:left="0" w:right="0" w:firstLine="0"/>
              <w:jc w:val="left"/>
              <w:rPr>
                <w:rFonts w:ascii="Times New Roman" w:eastAsia="Calibri" w:hAnsi="Times New Roman" w:cs="Times New Roman"/>
                <w:b/>
                <w:sz w:val="20"/>
                <w:szCs w:val="20"/>
              </w:rPr>
            </w:pPr>
            <w:r w:rsidRPr="00FF1E38">
              <w:rPr>
                <w:rFonts w:ascii="Times New Roman" w:eastAsia="Calibri" w:hAnsi="Times New Roman" w:cs="Times New Roman"/>
                <w:b/>
                <w:sz w:val="20"/>
                <w:szCs w:val="20"/>
              </w:rPr>
              <w:lastRenderedPageBreak/>
              <w:t>Zagreb</w:t>
            </w:r>
          </w:p>
          <w:p w14:paraId="375F52DC"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(cca 97,0 m</w:t>
            </w:r>
            <w:r w:rsidRPr="00FF1E38">
              <w:rPr>
                <w:rFonts w:ascii="Times New Roman" w:eastAsia="Calibri" w:hAnsi="Times New Roman" w:cs="Times New Roman"/>
                <w:b/>
                <w:sz w:val="20"/>
                <w:szCs w:val="20"/>
                <w:vertAlign w:val="superscript"/>
              </w:rPr>
              <w:t>2</w:t>
            </w:r>
            <w:r w:rsidRPr="00FF1E38">
              <w:rPr>
                <w:rFonts w:ascii="Times New Roman" w:eastAsia="Calibri" w:hAnsi="Times New Roman" w:cs="Times New Roman"/>
                <w:b/>
                <w:sz w:val="20"/>
                <w:szCs w:val="20"/>
              </w:rPr>
              <w:t xml:space="preserve">) </w:t>
            </w:r>
          </w:p>
        </w:tc>
        <w:tc>
          <w:tcPr>
            <w:tcW w:w="1247" w:type="dxa"/>
            <w:vAlign w:val="center"/>
          </w:tcPr>
          <w:p w14:paraId="5EFA904C"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320 000</w:t>
            </w:r>
          </w:p>
        </w:tc>
        <w:tc>
          <w:tcPr>
            <w:tcW w:w="1985" w:type="dxa"/>
            <w:vAlign w:val="center"/>
          </w:tcPr>
          <w:p w14:paraId="4D7E8D4C"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Ugrožene gotovo sve važne prometnice uključujući avenije: Avenija Većeslava Holjevca, Avenija Dubrovnik, Jadranska, Zagrebačka, Slavonska, Avenija Marina Držića te sve ceste i pravci u južnom dijelu grada</w:t>
            </w:r>
          </w:p>
        </w:tc>
        <w:tc>
          <w:tcPr>
            <w:tcW w:w="1701" w:type="dxa"/>
            <w:vAlign w:val="center"/>
          </w:tcPr>
          <w:p w14:paraId="0AFF86B6"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Ugrožena industrijska zona Žitnjak</w:t>
            </w:r>
          </w:p>
        </w:tc>
        <w:tc>
          <w:tcPr>
            <w:tcW w:w="2155" w:type="dxa"/>
            <w:vAlign w:val="center"/>
          </w:tcPr>
          <w:p w14:paraId="07DFAF64"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sz w:val="20"/>
                <w:szCs w:val="20"/>
              </w:rPr>
              <w:t>Stambeni objekti; industrijska zona Žitnjak u kojoj se nalaze: DIOKI D.D., JANAF D.D., HEP TE-TO, pogon INA D.D.; poduzetničke zone Novi Zagreb istok i zapad, Trešnjevka, Trnje; te na desetke osnovnih i srednjih škola, dječjih vrtića i učeničkih domova</w:t>
            </w:r>
          </w:p>
        </w:tc>
      </w:tr>
      <w:tr w:rsidR="00FF1E38" w:rsidRPr="00FF1E38" w14:paraId="265F14E1" w14:textId="77777777" w:rsidTr="00DE0C9A">
        <w:tblPrEx>
          <w:tblCellMar>
            <w:top w:w="46" w:type="dxa"/>
          </w:tblCellMar>
        </w:tblPrEx>
        <w:trPr>
          <w:cantSplit/>
        </w:trPr>
        <w:tc>
          <w:tcPr>
            <w:tcW w:w="1984" w:type="dxa"/>
            <w:vAlign w:val="center"/>
          </w:tcPr>
          <w:p w14:paraId="722D5FD8" w14:textId="77777777" w:rsidR="00FF1E38" w:rsidRPr="00FF1E38" w:rsidRDefault="00FF1E38" w:rsidP="00FF1E38">
            <w:pPr>
              <w:spacing w:after="0" w:line="240" w:lineRule="auto"/>
              <w:ind w:left="0" w:right="0" w:firstLine="0"/>
              <w:jc w:val="left"/>
              <w:rPr>
                <w:rFonts w:ascii="Times New Roman" w:hAnsi="Times New Roman" w:cs="Times New Roman"/>
                <w:sz w:val="20"/>
                <w:szCs w:val="20"/>
              </w:rPr>
            </w:pPr>
            <w:r w:rsidRPr="00FF1E38">
              <w:rPr>
                <w:rFonts w:ascii="Times New Roman" w:eastAsia="Calibri" w:hAnsi="Times New Roman" w:cs="Times New Roman"/>
                <w:b/>
                <w:sz w:val="20"/>
                <w:szCs w:val="20"/>
              </w:rPr>
              <w:t xml:space="preserve">Žerjavinec </w:t>
            </w:r>
          </w:p>
        </w:tc>
        <w:tc>
          <w:tcPr>
            <w:tcW w:w="1247" w:type="dxa"/>
            <w:vAlign w:val="center"/>
          </w:tcPr>
          <w:p w14:paraId="51C2D6A8"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985" w:type="dxa"/>
            <w:vAlign w:val="center"/>
          </w:tcPr>
          <w:p w14:paraId="3AB1C82B"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1701" w:type="dxa"/>
            <w:vAlign w:val="center"/>
          </w:tcPr>
          <w:p w14:paraId="5158EAFE"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c>
          <w:tcPr>
            <w:tcW w:w="2155" w:type="dxa"/>
            <w:vAlign w:val="center"/>
          </w:tcPr>
          <w:p w14:paraId="5B3BF627" w14:textId="77777777" w:rsidR="00FF1E38" w:rsidRPr="00FF1E38" w:rsidRDefault="00FF1E38" w:rsidP="00FF1E38">
            <w:pPr>
              <w:spacing w:after="0" w:line="240" w:lineRule="auto"/>
              <w:ind w:left="0" w:right="0" w:firstLine="0"/>
              <w:jc w:val="center"/>
              <w:rPr>
                <w:rFonts w:ascii="Times New Roman" w:hAnsi="Times New Roman" w:cs="Times New Roman"/>
                <w:sz w:val="20"/>
                <w:szCs w:val="20"/>
              </w:rPr>
            </w:pPr>
            <w:r w:rsidRPr="00FF1E38">
              <w:rPr>
                <w:rFonts w:ascii="Times New Roman" w:eastAsia="Calibri" w:hAnsi="Times New Roman" w:cs="Times New Roman"/>
                <w:sz w:val="20"/>
                <w:szCs w:val="20"/>
              </w:rPr>
              <w:t>-</w:t>
            </w:r>
          </w:p>
        </w:tc>
      </w:tr>
    </w:tbl>
    <w:p w14:paraId="28B0C5FE" w14:textId="77777777" w:rsidR="00FF1E38" w:rsidRPr="00FF1E38" w:rsidRDefault="00FF1E38" w:rsidP="00FF1E38">
      <w:pPr>
        <w:spacing w:after="0" w:line="240" w:lineRule="auto"/>
        <w:ind w:left="0" w:right="0" w:firstLine="0"/>
        <w:jc w:val="center"/>
        <w:rPr>
          <w:rFonts w:ascii="Times New Roman" w:eastAsia="Calibri" w:hAnsi="Times New Roman" w:cs="Times New Roman"/>
          <w:i/>
          <w:sz w:val="20"/>
          <w:szCs w:val="20"/>
        </w:rPr>
      </w:pPr>
      <w:r w:rsidRPr="00FF1E38">
        <w:rPr>
          <w:rFonts w:ascii="Times New Roman" w:eastAsia="Calibri" w:hAnsi="Times New Roman" w:cs="Times New Roman"/>
          <w:i/>
          <w:sz w:val="20"/>
          <w:szCs w:val="20"/>
        </w:rPr>
        <w:t>Izvor: Procjena ugroženosti stanovništva, materijalnih i kulturnih dobara i okoliša od katastrofa i velikih nesreća za područje Grada Zagreba</w:t>
      </w:r>
    </w:p>
    <w:p w14:paraId="20A87B57" w14:textId="77777777" w:rsidR="00FF1E38" w:rsidRPr="00FF1E38" w:rsidRDefault="00FF1E38" w:rsidP="00FF1E38">
      <w:pPr>
        <w:spacing w:after="0" w:line="240" w:lineRule="auto"/>
        <w:ind w:left="0" w:right="0" w:firstLine="0"/>
        <w:rPr>
          <w:rFonts w:ascii="Times New Roman" w:hAnsi="Times New Roman" w:cs="Times New Roman"/>
          <w:sz w:val="24"/>
        </w:rPr>
      </w:pPr>
    </w:p>
    <w:p w14:paraId="7A9078D1" w14:textId="3BD775F1"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Najveće štete očekuju se na području Grada Zagreba jer je naseljenost najveća te je </w:t>
      </w:r>
      <w:r w:rsidRPr="00024019">
        <w:rPr>
          <w:rFonts w:ascii="Times New Roman" w:hAnsi="Times New Roman" w:cs="Times New Roman"/>
          <w:color w:val="auto"/>
          <w:sz w:val="24"/>
        </w:rPr>
        <w:t xml:space="preserve">znatan broj stambenih i gospodarskih objekata ugrožen od poplava. Na Karti </w:t>
      </w:r>
      <w:r w:rsidR="00024019" w:rsidRPr="00024019">
        <w:rPr>
          <w:rFonts w:ascii="Times New Roman" w:hAnsi="Times New Roman" w:cs="Times New Roman"/>
          <w:color w:val="auto"/>
          <w:sz w:val="24"/>
        </w:rPr>
        <w:t>10</w:t>
      </w:r>
      <w:r w:rsidRPr="00024019">
        <w:rPr>
          <w:rFonts w:ascii="Times New Roman" w:hAnsi="Times New Roman" w:cs="Times New Roman"/>
          <w:color w:val="auto"/>
          <w:sz w:val="24"/>
        </w:rPr>
        <w:t xml:space="preserve">. grafički je </w:t>
      </w:r>
      <w:r w:rsidRPr="00FF1E38">
        <w:rPr>
          <w:rFonts w:ascii="Times New Roman" w:hAnsi="Times New Roman" w:cs="Times New Roman"/>
          <w:sz w:val="24"/>
        </w:rPr>
        <w:t xml:space="preserve">prikazano područje Grada Zagreba s vjerojatnošću poplavljivanja određenih područja Grada, pri čemu je tamnoplavom bojom označeno područje s velikom vjerojatnošću poplavljivanja, a svijetloplavom bojom područje s malom vjerojatnošću poplavljivanja. </w:t>
      </w:r>
    </w:p>
    <w:p w14:paraId="1377DD52" w14:textId="45CD9285"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U slučaju gubitka funkcionalnosti nasipa u trenutku velikog vodnog događaja, prema definiranom scenariju, uslijedilo bi plavljenje stambenih, poljoprivrednih, gospodarskih i drugih površina te infrastrukture s znatnom materijalnom štetom. Nadalje, ovakav vodni val zasigurno bi prouzročio određen broj poginulih, ozlijeđenih i zatrpanih osoba pod naplavinama, dok bi dio stanovništva ostao bez osnovnih uvjeta za život, bez redovne opskrbe, zdravstvene zaštite i slično. Na osnovi podataka o dubini i obuhvatu poplave korištenjem modela NACER </w:t>
      </w:r>
      <w:r w:rsidRPr="00024019">
        <w:rPr>
          <w:rFonts w:ascii="Times New Roman" w:hAnsi="Times New Roman" w:cs="Times New Roman"/>
          <w:color w:val="auto"/>
          <w:sz w:val="24"/>
        </w:rPr>
        <w:t xml:space="preserve">proračunate su potencijalne štete od poplave prema definiranom scenariju (Karta </w:t>
      </w:r>
      <w:r w:rsidR="00024019" w:rsidRPr="00024019">
        <w:rPr>
          <w:rFonts w:ascii="Times New Roman" w:hAnsi="Times New Roman" w:cs="Times New Roman"/>
          <w:color w:val="auto"/>
          <w:sz w:val="24"/>
        </w:rPr>
        <w:t>11</w:t>
      </w:r>
      <w:r w:rsidRPr="00024019">
        <w:rPr>
          <w:rFonts w:ascii="Times New Roman" w:hAnsi="Times New Roman" w:cs="Times New Roman"/>
          <w:color w:val="auto"/>
          <w:sz w:val="24"/>
        </w:rPr>
        <w:t xml:space="preserve">). Uzeti su </w:t>
      </w:r>
      <w:r w:rsidRPr="00FF1E38">
        <w:rPr>
          <w:rFonts w:ascii="Times New Roman" w:hAnsi="Times New Roman" w:cs="Times New Roman"/>
          <w:sz w:val="24"/>
        </w:rPr>
        <w:t>u obzir podaci o prostornom obuhvatu gradskih četvrti, njihovi statistički podaci, s dubinama vode uz primjenu krivulja štete za izračun šteta u funkciji dubine vode.</w:t>
      </w:r>
    </w:p>
    <w:p w14:paraId="78723BC6" w14:textId="77777777" w:rsidR="00FF1E38" w:rsidRPr="00FF1E38" w:rsidRDefault="00FF1E38" w:rsidP="00FF1E38">
      <w:pPr>
        <w:spacing w:after="0" w:line="240" w:lineRule="auto"/>
        <w:ind w:right="0"/>
        <w:rPr>
          <w:rFonts w:ascii="Times New Roman" w:hAnsi="Times New Roman" w:cs="Times New Roman"/>
          <w:sz w:val="24"/>
        </w:rPr>
      </w:pPr>
    </w:p>
    <w:p w14:paraId="516C027B"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r w:rsidRPr="00FF1E38">
        <w:rPr>
          <w:rFonts w:ascii="Times New Roman" w:hAnsi="Times New Roman" w:cs="Times New Roman"/>
          <w:b/>
          <w:sz w:val="24"/>
        </w:rPr>
        <w:br w:type="page"/>
      </w:r>
    </w:p>
    <w:p w14:paraId="37A803B9" w14:textId="77777777" w:rsidR="00FF1E38" w:rsidRPr="00FF1E38" w:rsidRDefault="00FF1E38" w:rsidP="00571A98">
      <w:pPr>
        <w:spacing w:line="240" w:lineRule="auto"/>
        <w:ind w:left="0" w:right="0" w:firstLine="0"/>
        <w:jc w:val="center"/>
        <w:rPr>
          <w:rFonts w:ascii="Times New Roman" w:hAnsi="Times New Roman" w:cs="Times New Roman"/>
          <w:b/>
          <w:sz w:val="24"/>
        </w:rPr>
      </w:pPr>
      <w:r w:rsidRPr="00FF1E38">
        <w:rPr>
          <w:rFonts w:ascii="Times New Roman" w:hAnsi="Times New Roman" w:cs="Times New Roman"/>
          <w:b/>
          <w:sz w:val="24"/>
        </w:rPr>
        <w:lastRenderedPageBreak/>
        <w:t>Karta 11. Prikaz potencijalne štete (kn/m</w:t>
      </w:r>
      <w:r w:rsidRPr="00FF1E38">
        <w:rPr>
          <w:rFonts w:ascii="Times New Roman" w:hAnsi="Times New Roman" w:cs="Times New Roman"/>
          <w:b/>
          <w:sz w:val="24"/>
          <w:vertAlign w:val="superscript"/>
        </w:rPr>
        <w:t>2</w:t>
      </w:r>
      <w:r w:rsidRPr="00FF1E38">
        <w:rPr>
          <w:rFonts w:ascii="Times New Roman" w:hAnsi="Times New Roman" w:cs="Times New Roman"/>
          <w:b/>
          <w:sz w:val="24"/>
        </w:rPr>
        <w:t>)</w:t>
      </w:r>
    </w:p>
    <w:p w14:paraId="76FC1455" w14:textId="77777777" w:rsidR="00FF1E38" w:rsidRPr="00FF1E38" w:rsidRDefault="00FF1E38" w:rsidP="00FF1E38">
      <w:pPr>
        <w:spacing w:after="0" w:line="240" w:lineRule="auto"/>
        <w:ind w:left="0" w:right="0" w:firstLine="0"/>
        <w:jc w:val="right"/>
        <w:rPr>
          <w:rFonts w:ascii="Times New Roman" w:eastAsia="Calibri" w:hAnsi="Times New Roman" w:cs="Times New Roman"/>
          <w:sz w:val="24"/>
        </w:rPr>
      </w:pPr>
      <w:r w:rsidRPr="00FF1E38">
        <w:rPr>
          <w:rFonts w:ascii="Times New Roman" w:hAnsi="Times New Roman" w:cs="Times New Roman"/>
          <w:noProof/>
          <w:sz w:val="24"/>
        </w:rPr>
        <w:drawing>
          <wp:inline distT="0" distB="0" distL="0" distR="0" wp14:anchorId="316B0EE8" wp14:editId="2D5FC3BF">
            <wp:extent cx="5784850" cy="3724275"/>
            <wp:effectExtent l="0" t="0" r="6350" b="9525"/>
            <wp:docPr id="46560" name="Picture 46560"/>
            <wp:cNvGraphicFramePr/>
            <a:graphic xmlns:a="http://schemas.openxmlformats.org/drawingml/2006/main">
              <a:graphicData uri="http://schemas.openxmlformats.org/drawingml/2006/picture">
                <pic:pic xmlns:pic="http://schemas.openxmlformats.org/drawingml/2006/picture">
                  <pic:nvPicPr>
                    <pic:cNvPr id="46560" name="Picture 46560"/>
                    <pic:cNvPicPr/>
                  </pic:nvPicPr>
                  <pic:blipFill>
                    <a:blip r:embed="rId127"/>
                    <a:stretch>
                      <a:fillRect/>
                    </a:stretch>
                  </pic:blipFill>
                  <pic:spPr>
                    <a:xfrm>
                      <a:off x="0" y="0"/>
                      <a:ext cx="5784850" cy="3724275"/>
                    </a:xfrm>
                    <a:prstGeom prst="rect">
                      <a:avLst/>
                    </a:prstGeom>
                  </pic:spPr>
                </pic:pic>
              </a:graphicData>
            </a:graphic>
          </wp:inline>
        </w:drawing>
      </w:r>
    </w:p>
    <w:p w14:paraId="3FA4FB76" w14:textId="77777777" w:rsidR="00FF1E38" w:rsidRPr="00FF1E38" w:rsidRDefault="00FF1E38" w:rsidP="00FF1E38">
      <w:pPr>
        <w:spacing w:after="0" w:line="240" w:lineRule="auto"/>
        <w:ind w:left="0" w:right="0" w:firstLine="0"/>
        <w:jc w:val="center"/>
        <w:rPr>
          <w:rFonts w:ascii="Times New Roman" w:eastAsia="Calibri" w:hAnsi="Times New Roman" w:cs="Times New Roman"/>
          <w:i/>
          <w:sz w:val="20"/>
          <w:szCs w:val="20"/>
        </w:rPr>
      </w:pPr>
      <w:r w:rsidRPr="00FF1E38">
        <w:rPr>
          <w:rFonts w:ascii="Times New Roman" w:eastAsia="Calibri" w:hAnsi="Times New Roman" w:cs="Times New Roman"/>
          <w:i/>
          <w:sz w:val="20"/>
          <w:szCs w:val="20"/>
        </w:rPr>
        <w:t>Izvor: Procjena rizika od katastrofa za Republiku Hrvatsku</w:t>
      </w:r>
    </w:p>
    <w:p w14:paraId="374FBE00" w14:textId="77777777" w:rsidR="00FF1E38" w:rsidRPr="00FF1E38" w:rsidRDefault="00FF1E38" w:rsidP="00FF1E38">
      <w:pPr>
        <w:spacing w:after="0" w:line="240" w:lineRule="auto"/>
        <w:ind w:left="0" w:right="0" w:firstLine="0"/>
        <w:rPr>
          <w:rFonts w:ascii="Times New Roman" w:hAnsi="Times New Roman" w:cs="Times New Roman"/>
          <w:sz w:val="24"/>
        </w:rPr>
      </w:pPr>
    </w:p>
    <w:p w14:paraId="0938E191" w14:textId="79A424B3" w:rsidR="00FF1E38" w:rsidRPr="00FF1E38" w:rsidRDefault="00FF1E38" w:rsidP="00571A98">
      <w:pPr>
        <w:spacing w:line="240" w:lineRule="auto"/>
        <w:ind w:left="0" w:right="0" w:firstLine="0"/>
        <w:jc w:val="center"/>
        <w:rPr>
          <w:rFonts w:ascii="Times New Roman" w:hAnsi="Times New Roman" w:cs="Times New Roman"/>
          <w:b/>
          <w:sz w:val="24"/>
        </w:rPr>
      </w:pPr>
      <w:r w:rsidRPr="00FF1E38">
        <w:rPr>
          <w:rFonts w:ascii="Times New Roman" w:hAnsi="Times New Roman" w:cs="Times New Roman"/>
          <w:b/>
          <w:sz w:val="24"/>
        </w:rPr>
        <w:t xml:space="preserve">Tablica </w:t>
      </w:r>
      <w:r w:rsidR="00B62469">
        <w:rPr>
          <w:rFonts w:ascii="Times New Roman" w:hAnsi="Times New Roman" w:cs="Times New Roman"/>
          <w:b/>
          <w:sz w:val="24"/>
        </w:rPr>
        <w:t>66</w:t>
      </w:r>
      <w:r w:rsidRPr="00FF1E38">
        <w:rPr>
          <w:rFonts w:ascii="Times New Roman" w:hAnsi="Times New Roman" w:cs="Times New Roman"/>
          <w:b/>
          <w:sz w:val="24"/>
        </w:rPr>
        <w:t>. Procjena očekivanih ljudskih žrtava i šteta po društvenim vrijednostima</w:t>
      </w:r>
    </w:p>
    <w:tbl>
      <w:tblPr>
        <w:tblW w:w="9072" w:type="dxa"/>
        <w:tblLayout w:type="fixed"/>
        <w:tblCellMar>
          <w:top w:w="28" w:type="dxa"/>
          <w:left w:w="57" w:type="dxa"/>
          <w:right w:w="57" w:type="dxa"/>
        </w:tblCellMar>
        <w:tblLook w:val="01E0" w:firstRow="1" w:lastRow="1" w:firstColumn="1" w:lastColumn="1" w:noHBand="0" w:noVBand="0"/>
      </w:tblPr>
      <w:tblGrid>
        <w:gridCol w:w="561"/>
        <w:gridCol w:w="2694"/>
        <w:gridCol w:w="1275"/>
        <w:gridCol w:w="2127"/>
        <w:gridCol w:w="2415"/>
      </w:tblGrid>
      <w:tr w:rsidR="00FF1E38" w:rsidRPr="00FF1E38" w14:paraId="42C49810" w14:textId="77777777" w:rsidTr="00DE0C9A">
        <w:trPr>
          <w:cantSplit/>
        </w:trPr>
        <w:tc>
          <w:tcPr>
            <w:tcW w:w="561"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2D7A8B2B"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694"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5139C776"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Gradska četvrt</w:t>
            </w:r>
          </w:p>
        </w:tc>
        <w:tc>
          <w:tcPr>
            <w:tcW w:w="1275"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30A5E7B7"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Očekivane žrtve</w:t>
            </w:r>
          </w:p>
        </w:tc>
        <w:tc>
          <w:tcPr>
            <w:tcW w:w="2127"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67B715E5"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Očekivane štete u kn (Gospodarstvo)</w:t>
            </w:r>
          </w:p>
        </w:tc>
        <w:tc>
          <w:tcPr>
            <w:tcW w:w="2415"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75CFD7CB" w14:textId="77777777" w:rsidR="00FF1E38" w:rsidRPr="00FF1E38" w:rsidRDefault="00FF1E38" w:rsidP="00FF1E38">
            <w:pPr>
              <w:widowControl w:val="0"/>
              <w:spacing w:after="0" w:line="240" w:lineRule="auto"/>
              <w:ind w:left="0" w:right="0" w:firstLine="0"/>
              <w:jc w:val="center"/>
              <w:rPr>
                <w:rFonts w:ascii="Times New Roman" w:eastAsia="Calibri" w:hAnsi="Times New Roman" w:cs="Times New Roman"/>
                <w:b/>
                <w:color w:val="auto"/>
                <w:lang w:eastAsia="en-US"/>
              </w:rPr>
            </w:pPr>
            <w:r w:rsidRPr="00FF1E38">
              <w:rPr>
                <w:rFonts w:ascii="Times New Roman" w:eastAsia="Calibri" w:hAnsi="Times New Roman" w:cs="Times New Roman"/>
                <w:b/>
                <w:color w:val="auto"/>
                <w:lang w:eastAsia="en-US"/>
              </w:rPr>
              <w:t>Očekivane štete u kn</w:t>
            </w:r>
          </w:p>
          <w:p w14:paraId="41966C46"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(Društvena stabilnost i politika)</w:t>
            </w:r>
          </w:p>
        </w:tc>
      </w:tr>
      <w:tr w:rsidR="00FF1E38" w:rsidRPr="00FF1E38" w14:paraId="2CB683DF" w14:textId="77777777" w:rsidTr="00DE0C9A">
        <w:trPr>
          <w:cantSplit/>
        </w:trPr>
        <w:tc>
          <w:tcPr>
            <w:tcW w:w="561" w:type="dxa"/>
            <w:tcBorders>
              <w:top w:val="single" w:sz="5" w:space="0" w:color="000000"/>
              <w:left w:val="single" w:sz="5" w:space="0" w:color="000000"/>
              <w:bottom w:val="single" w:sz="5" w:space="0" w:color="000000"/>
              <w:right w:val="single" w:sz="5" w:space="0" w:color="000000"/>
            </w:tcBorders>
            <w:shd w:val="clear" w:color="auto" w:fill="FFC000"/>
          </w:tcPr>
          <w:p w14:paraId="0B0A8777"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1.</w:t>
            </w:r>
          </w:p>
        </w:tc>
        <w:tc>
          <w:tcPr>
            <w:tcW w:w="2694" w:type="dxa"/>
            <w:tcBorders>
              <w:top w:val="single" w:sz="5" w:space="0" w:color="000000"/>
              <w:left w:val="single" w:sz="5" w:space="0" w:color="000000"/>
              <w:bottom w:val="single" w:sz="5" w:space="0" w:color="000000"/>
              <w:right w:val="single" w:sz="5" w:space="0" w:color="000000"/>
            </w:tcBorders>
            <w:shd w:val="clear" w:color="auto" w:fill="FFC000"/>
          </w:tcPr>
          <w:p w14:paraId="2DFB980E"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Brezovica</w:t>
            </w:r>
          </w:p>
        </w:tc>
        <w:tc>
          <w:tcPr>
            <w:tcW w:w="1275" w:type="dxa"/>
            <w:tcBorders>
              <w:top w:val="single" w:sz="5" w:space="0" w:color="000000"/>
              <w:left w:val="single" w:sz="5" w:space="0" w:color="000000"/>
              <w:bottom w:val="single" w:sz="5" w:space="0" w:color="000000"/>
              <w:right w:val="single" w:sz="5" w:space="0" w:color="000000"/>
            </w:tcBorders>
          </w:tcPr>
          <w:p w14:paraId="280510ED"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493</w:t>
            </w:r>
          </w:p>
        </w:tc>
        <w:tc>
          <w:tcPr>
            <w:tcW w:w="2127" w:type="dxa"/>
            <w:tcBorders>
              <w:top w:val="single" w:sz="5" w:space="0" w:color="000000"/>
              <w:left w:val="single" w:sz="5" w:space="0" w:color="000000"/>
              <w:bottom w:val="single" w:sz="5" w:space="0" w:color="000000"/>
              <w:right w:val="single" w:sz="5" w:space="0" w:color="000000"/>
            </w:tcBorders>
            <w:vAlign w:val="bottom"/>
          </w:tcPr>
          <w:p w14:paraId="656724A5"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7.914.330,16</w:t>
            </w:r>
          </w:p>
        </w:tc>
        <w:tc>
          <w:tcPr>
            <w:tcW w:w="2415" w:type="dxa"/>
            <w:tcBorders>
              <w:top w:val="single" w:sz="5" w:space="0" w:color="000000"/>
              <w:left w:val="single" w:sz="5" w:space="0" w:color="000000"/>
              <w:bottom w:val="single" w:sz="5" w:space="0" w:color="000000"/>
              <w:right w:val="single" w:sz="5" w:space="0" w:color="000000"/>
            </w:tcBorders>
            <w:vAlign w:val="bottom"/>
          </w:tcPr>
          <w:p w14:paraId="40F5B1E5"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3.957.165,08</w:t>
            </w:r>
          </w:p>
        </w:tc>
      </w:tr>
      <w:tr w:rsidR="00FF1E38" w:rsidRPr="00FF1E38" w14:paraId="6FB49386" w14:textId="77777777" w:rsidTr="00DE0C9A">
        <w:trPr>
          <w:cantSplit/>
        </w:trPr>
        <w:tc>
          <w:tcPr>
            <w:tcW w:w="561" w:type="dxa"/>
            <w:tcBorders>
              <w:top w:val="single" w:sz="5" w:space="0" w:color="000000"/>
              <w:left w:val="single" w:sz="5" w:space="0" w:color="000000"/>
              <w:bottom w:val="single" w:sz="5" w:space="0" w:color="000000"/>
              <w:right w:val="single" w:sz="5" w:space="0" w:color="000000"/>
            </w:tcBorders>
            <w:shd w:val="clear" w:color="auto" w:fill="FFC000"/>
          </w:tcPr>
          <w:p w14:paraId="70EDC824"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2.</w:t>
            </w:r>
          </w:p>
        </w:tc>
        <w:tc>
          <w:tcPr>
            <w:tcW w:w="2694" w:type="dxa"/>
            <w:tcBorders>
              <w:top w:val="single" w:sz="5" w:space="0" w:color="000000"/>
              <w:left w:val="single" w:sz="5" w:space="0" w:color="000000"/>
              <w:bottom w:val="single" w:sz="5" w:space="0" w:color="000000"/>
              <w:right w:val="single" w:sz="5" w:space="0" w:color="000000"/>
            </w:tcBorders>
            <w:shd w:val="clear" w:color="auto" w:fill="FFC000"/>
          </w:tcPr>
          <w:p w14:paraId="6D240DE1"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Črnomerec</w:t>
            </w:r>
          </w:p>
        </w:tc>
        <w:tc>
          <w:tcPr>
            <w:tcW w:w="1275" w:type="dxa"/>
            <w:tcBorders>
              <w:top w:val="single" w:sz="5" w:space="0" w:color="000000"/>
              <w:left w:val="single" w:sz="5" w:space="0" w:color="000000"/>
              <w:bottom w:val="single" w:sz="5" w:space="0" w:color="000000"/>
              <w:right w:val="single" w:sz="5" w:space="0" w:color="000000"/>
            </w:tcBorders>
          </w:tcPr>
          <w:p w14:paraId="1B3553DF"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9.062</w:t>
            </w:r>
          </w:p>
        </w:tc>
        <w:tc>
          <w:tcPr>
            <w:tcW w:w="2127" w:type="dxa"/>
            <w:tcBorders>
              <w:top w:val="single" w:sz="5" w:space="0" w:color="000000"/>
              <w:left w:val="single" w:sz="5" w:space="0" w:color="000000"/>
              <w:bottom w:val="single" w:sz="5" w:space="0" w:color="000000"/>
              <w:right w:val="single" w:sz="5" w:space="0" w:color="000000"/>
            </w:tcBorders>
            <w:vAlign w:val="bottom"/>
          </w:tcPr>
          <w:p w14:paraId="67DF5179"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410.206.210,53</w:t>
            </w:r>
          </w:p>
        </w:tc>
        <w:tc>
          <w:tcPr>
            <w:tcW w:w="2415" w:type="dxa"/>
            <w:tcBorders>
              <w:top w:val="single" w:sz="5" w:space="0" w:color="000000"/>
              <w:left w:val="single" w:sz="5" w:space="0" w:color="000000"/>
              <w:bottom w:val="single" w:sz="5" w:space="0" w:color="000000"/>
              <w:right w:val="single" w:sz="5" w:space="0" w:color="000000"/>
            </w:tcBorders>
            <w:vAlign w:val="bottom"/>
          </w:tcPr>
          <w:p w14:paraId="7D458963"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205.103.105,27</w:t>
            </w:r>
          </w:p>
        </w:tc>
      </w:tr>
      <w:tr w:rsidR="00FF1E38" w:rsidRPr="00FF1E38" w14:paraId="7BEEFA2A" w14:textId="77777777" w:rsidTr="00DE0C9A">
        <w:trPr>
          <w:cantSplit/>
        </w:trPr>
        <w:tc>
          <w:tcPr>
            <w:tcW w:w="561" w:type="dxa"/>
            <w:tcBorders>
              <w:top w:val="single" w:sz="5" w:space="0" w:color="000000"/>
              <w:left w:val="single" w:sz="5" w:space="0" w:color="000000"/>
              <w:bottom w:val="single" w:sz="5" w:space="0" w:color="000000"/>
              <w:right w:val="single" w:sz="5" w:space="0" w:color="000000"/>
            </w:tcBorders>
            <w:shd w:val="clear" w:color="auto" w:fill="FFC000"/>
          </w:tcPr>
          <w:p w14:paraId="7D8C5F8E"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3.</w:t>
            </w:r>
          </w:p>
        </w:tc>
        <w:tc>
          <w:tcPr>
            <w:tcW w:w="2694" w:type="dxa"/>
            <w:tcBorders>
              <w:top w:val="single" w:sz="5" w:space="0" w:color="000000"/>
              <w:left w:val="single" w:sz="5" w:space="0" w:color="000000"/>
              <w:bottom w:val="single" w:sz="5" w:space="0" w:color="000000"/>
              <w:right w:val="single" w:sz="5" w:space="0" w:color="000000"/>
            </w:tcBorders>
            <w:shd w:val="clear" w:color="auto" w:fill="FFC000"/>
          </w:tcPr>
          <w:p w14:paraId="0D3ACFBD"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Donja Dubrava</w:t>
            </w:r>
          </w:p>
        </w:tc>
        <w:tc>
          <w:tcPr>
            <w:tcW w:w="1275" w:type="dxa"/>
            <w:tcBorders>
              <w:top w:val="single" w:sz="5" w:space="0" w:color="000000"/>
              <w:left w:val="single" w:sz="5" w:space="0" w:color="000000"/>
              <w:bottom w:val="single" w:sz="5" w:space="0" w:color="000000"/>
              <w:right w:val="single" w:sz="5" w:space="0" w:color="000000"/>
            </w:tcBorders>
          </w:tcPr>
          <w:p w14:paraId="24403099"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7.041</w:t>
            </w:r>
          </w:p>
        </w:tc>
        <w:tc>
          <w:tcPr>
            <w:tcW w:w="2127" w:type="dxa"/>
            <w:tcBorders>
              <w:top w:val="single" w:sz="5" w:space="0" w:color="000000"/>
              <w:left w:val="single" w:sz="5" w:space="0" w:color="000000"/>
              <w:bottom w:val="single" w:sz="5" w:space="0" w:color="000000"/>
              <w:right w:val="single" w:sz="5" w:space="0" w:color="000000"/>
            </w:tcBorders>
            <w:vAlign w:val="bottom"/>
          </w:tcPr>
          <w:p w14:paraId="4D951421"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1.832.915.910,73</w:t>
            </w:r>
          </w:p>
        </w:tc>
        <w:tc>
          <w:tcPr>
            <w:tcW w:w="2415" w:type="dxa"/>
            <w:tcBorders>
              <w:top w:val="single" w:sz="5" w:space="0" w:color="000000"/>
              <w:left w:val="single" w:sz="5" w:space="0" w:color="000000"/>
              <w:bottom w:val="single" w:sz="5" w:space="0" w:color="000000"/>
              <w:right w:val="single" w:sz="5" w:space="0" w:color="000000"/>
            </w:tcBorders>
            <w:vAlign w:val="bottom"/>
          </w:tcPr>
          <w:p w14:paraId="6B3218D1"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916.457.955,37</w:t>
            </w:r>
          </w:p>
        </w:tc>
      </w:tr>
      <w:tr w:rsidR="00FF1E38" w:rsidRPr="00FF1E38" w14:paraId="3CB451C0" w14:textId="77777777" w:rsidTr="00DE0C9A">
        <w:trPr>
          <w:cantSplit/>
        </w:trPr>
        <w:tc>
          <w:tcPr>
            <w:tcW w:w="561" w:type="dxa"/>
            <w:tcBorders>
              <w:top w:val="single" w:sz="5" w:space="0" w:color="000000"/>
              <w:left w:val="single" w:sz="5" w:space="0" w:color="000000"/>
              <w:bottom w:val="single" w:sz="5" w:space="0" w:color="000000"/>
              <w:right w:val="single" w:sz="5" w:space="0" w:color="000000"/>
            </w:tcBorders>
            <w:shd w:val="clear" w:color="auto" w:fill="FFC000"/>
          </w:tcPr>
          <w:p w14:paraId="1A00215C"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4.</w:t>
            </w:r>
          </w:p>
        </w:tc>
        <w:tc>
          <w:tcPr>
            <w:tcW w:w="2694" w:type="dxa"/>
            <w:tcBorders>
              <w:top w:val="single" w:sz="5" w:space="0" w:color="000000"/>
              <w:left w:val="single" w:sz="5" w:space="0" w:color="000000"/>
              <w:bottom w:val="single" w:sz="5" w:space="0" w:color="000000"/>
              <w:right w:val="single" w:sz="5" w:space="0" w:color="000000"/>
            </w:tcBorders>
            <w:shd w:val="clear" w:color="auto" w:fill="FFC000"/>
          </w:tcPr>
          <w:p w14:paraId="120C82E4"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Donji grad</w:t>
            </w:r>
          </w:p>
        </w:tc>
        <w:tc>
          <w:tcPr>
            <w:tcW w:w="1275" w:type="dxa"/>
            <w:tcBorders>
              <w:top w:val="single" w:sz="5" w:space="0" w:color="000000"/>
              <w:left w:val="single" w:sz="5" w:space="0" w:color="000000"/>
              <w:bottom w:val="single" w:sz="5" w:space="0" w:color="000000"/>
              <w:right w:val="single" w:sz="5" w:space="0" w:color="000000"/>
            </w:tcBorders>
          </w:tcPr>
          <w:p w14:paraId="05062EB6"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359</w:t>
            </w:r>
          </w:p>
        </w:tc>
        <w:tc>
          <w:tcPr>
            <w:tcW w:w="2127" w:type="dxa"/>
            <w:tcBorders>
              <w:top w:val="single" w:sz="5" w:space="0" w:color="000000"/>
              <w:left w:val="single" w:sz="5" w:space="0" w:color="000000"/>
              <w:bottom w:val="single" w:sz="5" w:space="0" w:color="000000"/>
              <w:right w:val="single" w:sz="5" w:space="0" w:color="000000"/>
            </w:tcBorders>
            <w:vAlign w:val="bottom"/>
          </w:tcPr>
          <w:p w14:paraId="593AB357"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151.410.312,66</w:t>
            </w:r>
          </w:p>
        </w:tc>
        <w:tc>
          <w:tcPr>
            <w:tcW w:w="2415" w:type="dxa"/>
            <w:tcBorders>
              <w:top w:val="single" w:sz="5" w:space="0" w:color="000000"/>
              <w:left w:val="single" w:sz="5" w:space="0" w:color="000000"/>
              <w:bottom w:val="single" w:sz="5" w:space="0" w:color="000000"/>
              <w:right w:val="single" w:sz="5" w:space="0" w:color="000000"/>
            </w:tcBorders>
            <w:vAlign w:val="bottom"/>
          </w:tcPr>
          <w:p w14:paraId="3BFEE56D"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75.705.156,33</w:t>
            </w:r>
          </w:p>
        </w:tc>
      </w:tr>
      <w:tr w:rsidR="00FF1E38" w:rsidRPr="00FF1E38" w14:paraId="4964A530" w14:textId="77777777" w:rsidTr="00DE0C9A">
        <w:trPr>
          <w:cantSplit/>
        </w:trPr>
        <w:tc>
          <w:tcPr>
            <w:tcW w:w="561" w:type="dxa"/>
            <w:tcBorders>
              <w:top w:val="single" w:sz="5" w:space="0" w:color="000000"/>
              <w:left w:val="single" w:sz="5" w:space="0" w:color="000000"/>
              <w:bottom w:val="single" w:sz="5" w:space="0" w:color="000000"/>
              <w:right w:val="single" w:sz="5" w:space="0" w:color="000000"/>
            </w:tcBorders>
            <w:shd w:val="clear" w:color="auto" w:fill="FFC000"/>
          </w:tcPr>
          <w:p w14:paraId="6CB113B4"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5.</w:t>
            </w:r>
          </w:p>
        </w:tc>
        <w:tc>
          <w:tcPr>
            <w:tcW w:w="2694" w:type="dxa"/>
            <w:tcBorders>
              <w:top w:val="single" w:sz="5" w:space="0" w:color="000000"/>
              <w:left w:val="single" w:sz="5" w:space="0" w:color="000000"/>
              <w:bottom w:val="single" w:sz="5" w:space="0" w:color="000000"/>
              <w:right w:val="single" w:sz="5" w:space="0" w:color="000000"/>
            </w:tcBorders>
            <w:shd w:val="clear" w:color="auto" w:fill="FFC000"/>
          </w:tcPr>
          <w:p w14:paraId="604DE23D"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Gornja Dubrava</w:t>
            </w:r>
          </w:p>
        </w:tc>
        <w:tc>
          <w:tcPr>
            <w:tcW w:w="1275" w:type="dxa"/>
            <w:tcBorders>
              <w:top w:val="single" w:sz="5" w:space="0" w:color="000000"/>
              <w:left w:val="single" w:sz="5" w:space="0" w:color="000000"/>
              <w:bottom w:val="single" w:sz="5" w:space="0" w:color="000000"/>
              <w:right w:val="single" w:sz="5" w:space="0" w:color="000000"/>
            </w:tcBorders>
          </w:tcPr>
          <w:p w14:paraId="26ED361F"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11.695</w:t>
            </w:r>
          </w:p>
        </w:tc>
        <w:tc>
          <w:tcPr>
            <w:tcW w:w="2127" w:type="dxa"/>
            <w:tcBorders>
              <w:top w:val="single" w:sz="5" w:space="0" w:color="000000"/>
              <w:left w:val="single" w:sz="5" w:space="0" w:color="000000"/>
              <w:bottom w:val="single" w:sz="5" w:space="0" w:color="000000"/>
              <w:right w:val="single" w:sz="5" w:space="0" w:color="000000"/>
            </w:tcBorders>
            <w:vAlign w:val="bottom"/>
          </w:tcPr>
          <w:p w14:paraId="754215AE"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625.779.081,33</w:t>
            </w:r>
          </w:p>
        </w:tc>
        <w:tc>
          <w:tcPr>
            <w:tcW w:w="2415" w:type="dxa"/>
            <w:tcBorders>
              <w:top w:val="single" w:sz="5" w:space="0" w:color="000000"/>
              <w:left w:val="single" w:sz="5" w:space="0" w:color="000000"/>
              <w:bottom w:val="single" w:sz="5" w:space="0" w:color="000000"/>
              <w:right w:val="single" w:sz="5" w:space="0" w:color="000000"/>
            </w:tcBorders>
            <w:vAlign w:val="bottom"/>
          </w:tcPr>
          <w:p w14:paraId="0346ACED"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312.889.540,67</w:t>
            </w:r>
          </w:p>
        </w:tc>
      </w:tr>
      <w:tr w:rsidR="00FF1E38" w:rsidRPr="00FF1E38" w14:paraId="2987941F" w14:textId="77777777" w:rsidTr="00DE0C9A">
        <w:trPr>
          <w:cantSplit/>
        </w:trPr>
        <w:tc>
          <w:tcPr>
            <w:tcW w:w="561" w:type="dxa"/>
            <w:tcBorders>
              <w:top w:val="single" w:sz="5" w:space="0" w:color="000000"/>
              <w:left w:val="single" w:sz="5" w:space="0" w:color="000000"/>
              <w:bottom w:val="single" w:sz="5" w:space="0" w:color="000000"/>
              <w:right w:val="single" w:sz="5" w:space="0" w:color="000000"/>
            </w:tcBorders>
            <w:shd w:val="clear" w:color="auto" w:fill="FFC000"/>
          </w:tcPr>
          <w:p w14:paraId="3521F8E8"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6.</w:t>
            </w:r>
          </w:p>
        </w:tc>
        <w:tc>
          <w:tcPr>
            <w:tcW w:w="2694" w:type="dxa"/>
            <w:tcBorders>
              <w:top w:val="single" w:sz="5" w:space="0" w:color="000000"/>
              <w:left w:val="single" w:sz="5" w:space="0" w:color="000000"/>
              <w:bottom w:val="single" w:sz="5" w:space="0" w:color="000000"/>
              <w:right w:val="single" w:sz="5" w:space="0" w:color="000000"/>
            </w:tcBorders>
            <w:shd w:val="clear" w:color="auto" w:fill="FFC000"/>
          </w:tcPr>
          <w:p w14:paraId="7356BE49"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Gornji grad - Medveščak</w:t>
            </w:r>
          </w:p>
        </w:tc>
        <w:tc>
          <w:tcPr>
            <w:tcW w:w="1275" w:type="dxa"/>
            <w:tcBorders>
              <w:top w:val="single" w:sz="5" w:space="0" w:color="000000"/>
              <w:left w:val="single" w:sz="5" w:space="0" w:color="000000"/>
              <w:bottom w:val="single" w:sz="5" w:space="0" w:color="000000"/>
              <w:right w:val="single" w:sz="5" w:space="0" w:color="000000"/>
            </w:tcBorders>
          </w:tcPr>
          <w:p w14:paraId="61CEE6D6"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805</w:t>
            </w:r>
          </w:p>
        </w:tc>
        <w:tc>
          <w:tcPr>
            <w:tcW w:w="2127" w:type="dxa"/>
            <w:tcBorders>
              <w:top w:val="single" w:sz="5" w:space="0" w:color="000000"/>
              <w:left w:val="single" w:sz="5" w:space="0" w:color="000000"/>
              <w:bottom w:val="single" w:sz="5" w:space="0" w:color="000000"/>
              <w:right w:val="single" w:sz="5" w:space="0" w:color="000000"/>
            </w:tcBorders>
            <w:vAlign w:val="bottom"/>
          </w:tcPr>
          <w:p w14:paraId="597A845F"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54.463.183,05</w:t>
            </w:r>
          </w:p>
        </w:tc>
        <w:tc>
          <w:tcPr>
            <w:tcW w:w="2415" w:type="dxa"/>
            <w:tcBorders>
              <w:top w:val="single" w:sz="5" w:space="0" w:color="000000"/>
              <w:left w:val="single" w:sz="5" w:space="0" w:color="000000"/>
              <w:bottom w:val="single" w:sz="5" w:space="0" w:color="000000"/>
              <w:right w:val="single" w:sz="5" w:space="0" w:color="000000"/>
            </w:tcBorders>
            <w:vAlign w:val="bottom"/>
          </w:tcPr>
          <w:p w14:paraId="4C35082D"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27.231.591,53</w:t>
            </w:r>
          </w:p>
        </w:tc>
      </w:tr>
      <w:tr w:rsidR="00FF1E38" w:rsidRPr="00FF1E38" w14:paraId="0EB53606" w14:textId="77777777" w:rsidTr="00DE0C9A">
        <w:trPr>
          <w:cantSplit/>
        </w:trPr>
        <w:tc>
          <w:tcPr>
            <w:tcW w:w="561" w:type="dxa"/>
            <w:tcBorders>
              <w:top w:val="single" w:sz="5" w:space="0" w:color="000000"/>
              <w:left w:val="single" w:sz="5" w:space="0" w:color="000000"/>
              <w:bottom w:val="single" w:sz="5" w:space="0" w:color="000000"/>
              <w:right w:val="single" w:sz="5" w:space="0" w:color="000000"/>
            </w:tcBorders>
            <w:shd w:val="clear" w:color="auto" w:fill="FFC000"/>
          </w:tcPr>
          <w:p w14:paraId="514A20B5"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7.</w:t>
            </w:r>
          </w:p>
        </w:tc>
        <w:tc>
          <w:tcPr>
            <w:tcW w:w="2694" w:type="dxa"/>
            <w:tcBorders>
              <w:top w:val="single" w:sz="5" w:space="0" w:color="000000"/>
              <w:left w:val="single" w:sz="5" w:space="0" w:color="000000"/>
              <w:bottom w:val="single" w:sz="5" w:space="0" w:color="000000"/>
              <w:right w:val="single" w:sz="5" w:space="0" w:color="000000"/>
            </w:tcBorders>
            <w:shd w:val="clear" w:color="auto" w:fill="FFC000"/>
          </w:tcPr>
          <w:p w14:paraId="23D5A97B"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Maksimir</w:t>
            </w:r>
          </w:p>
        </w:tc>
        <w:tc>
          <w:tcPr>
            <w:tcW w:w="1275" w:type="dxa"/>
            <w:tcBorders>
              <w:top w:val="single" w:sz="5" w:space="0" w:color="000000"/>
              <w:left w:val="single" w:sz="5" w:space="0" w:color="000000"/>
              <w:bottom w:val="single" w:sz="5" w:space="0" w:color="000000"/>
              <w:right w:val="single" w:sz="5" w:space="0" w:color="000000"/>
            </w:tcBorders>
          </w:tcPr>
          <w:p w14:paraId="56D39279"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5.844</w:t>
            </w:r>
          </w:p>
        </w:tc>
        <w:tc>
          <w:tcPr>
            <w:tcW w:w="2127" w:type="dxa"/>
            <w:tcBorders>
              <w:top w:val="single" w:sz="5" w:space="0" w:color="000000"/>
              <w:left w:val="single" w:sz="5" w:space="0" w:color="000000"/>
              <w:bottom w:val="single" w:sz="5" w:space="0" w:color="000000"/>
              <w:right w:val="single" w:sz="5" w:space="0" w:color="000000"/>
            </w:tcBorders>
            <w:vAlign w:val="bottom"/>
          </w:tcPr>
          <w:p w14:paraId="0DA70E0B"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209.478.066,78</w:t>
            </w:r>
          </w:p>
        </w:tc>
        <w:tc>
          <w:tcPr>
            <w:tcW w:w="2415" w:type="dxa"/>
            <w:tcBorders>
              <w:top w:val="single" w:sz="5" w:space="0" w:color="000000"/>
              <w:left w:val="single" w:sz="5" w:space="0" w:color="000000"/>
              <w:bottom w:val="single" w:sz="5" w:space="0" w:color="000000"/>
              <w:right w:val="single" w:sz="5" w:space="0" w:color="000000"/>
            </w:tcBorders>
            <w:vAlign w:val="bottom"/>
          </w:tcPr>
          <w:p w14:paraId="5CD2668E"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104.739.033,39</w:t>
            </w:r>
          </w:p>
        </w:tc>
      </w:tr>
      <w:tr w:rsidR="00FF1E38" w:rsidRPr="00FF1E38" w14:paraId="20D05E7D" w14:textId="77777777" w:rsidTr="00DE0C9A">
        <w:trPr>
          <w:cantSplit/>
        </w:trPr>
        <w:tc>
          <w:tcPr>
            <w:tcW w:w="561" w:type="dxa"/>
            <w:tcBorders>
              <w:top w:val="single" w:sz="5" w:space="0" w:color="000000"/>
              <w:left w:val="single" w:sz="5" w:space="0" w:color="000000"/>
              <w:bottom w:val="single" w:sz="5" w:space="0" w:color="000000"/>
              <w:right w:val="single" w:sz="5" w:space="0" w:color="000000"/>
            </w:tcBorders>
            <w:shd w:val="clear" w:color="auto" w:fill="FFC000"/>
          </w:tcPr>
          <w:p w14:paraId="58E62EE3"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8.</w:t>
            </w:r>
          </w:p>
        </w:tc>
        <w:tc>
          <w:tcPr>
            <w:tcW w:w="2694" w:type="dxa"/>
            <w:tcBorders>
              <w:top w:val="single" w:sz="5" w:space="0" w:color="000000"/>
              <w:left w:val="single" w:sz="5" w:space="0" w:color="000000"/>
              <w:bottom w:val="single" w:sz="5" w:space="0" w:color="000000"/>
              <w:right w:val="single" w:sz="5" w:space="0" w:color="000000"/>
            </w:tcBorders>
            <w:shd w:val="clear" w:color="auto" w:fill="FFC000"/>
          </w:tcPr>
          <w:p w14:paraId="11A1A8D6"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Novi Zagreb - istok</w:t>
            </w:r>
          </w:p>
        </w:tc>
        <w:tc>
          <w:tcPr>
            <w:tcW w:w="1275" w:type="dxa"/>
            <w:tcBorders>
              <w:top w:val="single" w:sz="5" w:space="0" w:color="000000"/>
              <w:left w:val="single" w:sz="5" w:space="0" w:color="000000"/>
              <w:bottom w:val="single" w:sz="5" w:space="0" w:color="000000"/>
              <w:right w:val="single" w:sz="5" w:space="0" w:color="000000"/>
            </w:tcBorders>
          </w:tcPr>
          <w:p w14:paraId="01D6E294"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13.054</w:t>
            </w:r>
          </w:p>
        </w:tc>
        <w:tc>
          <w:tcPr>
            <w:tcW w:w="2127" w:type="dxa"/>
            <w:tcBorders>
              <w:top w:val="single" w:sz="5" w:space="0" w:color="000000"/>
              <w:left w:val="single" w:sz="5" w:space="0" w:color="000000"/>
              <w:bottom w:val="single" w:sz="5" w:space="0" w:color="000000"/>
              <w:right w:val="single" w:sz="5" w:space="0" w:color="000000"/>
            </w:tcBorders>
            <w:vAlign w:val="bottom"/>
          </w:tcPr>
          <w:p w14:paraId="2BBEEA29"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13.066.785.693,30</w:t>
            </w:r>
          </w:p>
        </w:tc>
        <w:tc>
          <w:tcPr>
            <w:tcW w:w="2415" w:type="dxa"/>
            <w:tcBorders>
              <w:top w:val="single" w:sz="5" w:space="0" w:color="000000"/>
              <w:left w:val="single" w:sz="5" w:space="0" w:color="000000"/>
              <w:bottom w:val="single" w:sz="5" w:space="0" w:color="000000"/>
              <w:right w:val="single" w:sz="5" w:space="0" w:color="000000"/>
            </w:tcBorders>
            <w:vAlign w:val="bottom"/>
          </w:tcPr>
          <w:p w14:paraId="5629E8AF"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6.533.392.846,65</w:t>
            </w:r>
          </w:p>
        </w:tc>
      </w:tr>
      <w:tr w:rsidR="00FF1E38" w:rsidRPr="00FF1E38" w14:paraId="5D6F7C55" w14:textId="77777777" w:rsidTr="00DE0C9A">
        <w:trPr>
          <w:cantSplit/>
        </w:trPr>
        <w:tc>
          <w:tcPr>
            <w:tcW w:w="561" w:type="dxa"/>
            <w:tcBorders>
              <w:top w:val="single" w:sz="5" w:space="0" w:color="000000"/>
              <w:left w:val="single" w:sz="5" w:space="0" w:color="000000"/>
              <w:bottom w:val="single" w:sz="5" w:space="0" w:color="000000"/>
              <w:right w:val="single" w:sz="5" w:space="0" w:color="000000"/>
            </w:tcBorders>
            <w:shd w:val="clear" w:color="auto" w:fill="FFC000"/>
          </w:tcPr>
          <w:p w14:paraId="74C59DE0"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9.</w:t>
            </w:r>
          </w:p>
        </w:tc>
        <w:tc>
          <w:tcPr>
            <w:tcW w:w="2694" w:type="dxa"/>
            <w:tcBorders>
              <w:top w:val="single" w:sz="5" w:space="0" w:color="000000"/>
              <w:left w:val="single" w:sz="5" w:space="0" w:color="000000"/>
              <w:bottom w:val="single" w:sz="5" w:space="0" w:color="000000"/>
              <w:right w:val="single" w:sz="5" w:space="0" w:color="000000"/>
            </w:tcBorders>
            <w:shd w:val="clear" w:color="auto" w:fill="FFC000"/>
          </w:tcPr>
          <w:p w14:paraId="5C468A9E"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Novi Zagreb - zapad</w:t>
            </w:r>
          </w:p>
        </w:tc>
        <w:tc>
          <w:tcPr>
            <w:tcW w:w="1275" w:type="dxa"/>
            <w:tcBorders>
              <w:top w:val="single" w:sz="5" w:space="0" w:color="000000"/>
              <w:left w:val="single" w:sz="5" w:space="0" w:color="000000"/>
              <w:bottom w:val="single" w:sz="5" w:space="0" w:color="000000"/>
              <w:right w:val="single" w:sz="5" w:space="0" w:color="000000"/>
            </w:tcBorders>
          </w:tcPr>
          <w:p w14:paraId="1940AD23"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54.363</w:t>
            </w:r>
          </w:p>
        </w:tc>
        <w:tc>
          <w:tcPr>
            <w:tcW w:w="2127" w:type="dxa"/>
            <w:tcBorders>
              <w:top w:val="single" w:sz="5" w:space="0" w:color="000000"/>
              <w:left w:val="single" w:sz="5" w:space="0" w:color="000000"/>
              <w:bottom w:val="single" w:sz="5" w:space="0" w:color="000000"/>
              <w:right w:val="single" w:sz="5" w:space="0" w:color="000000"/>
            </w:tcBorders>
            <w:vAlign w:val="bottom"/>
          </w:tcPr>
          <w:p w14:paraId="613ED41B"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21.806.675.141,80</w:t>
            </w:r>
          </w:p>
        </w:tc>
        <w:tc>
          <w:tcPr>
            <w:tcW w:w="2415" w:type="dxa"/>
            <w:tcBorders>
              <w:top w:val="single" w:sz="5" w:space="0" w:color="000000"/>
              <w:left w:val="single" w:sz="5" w:space="0" w:color="000000"/>
              <w:bottom w:val="single" w:sz="5" w:space="0" w:color="000000"/>
              <w:right w:val="single" w:sz="5" w:space="0" w:color="000000"/>
            </w:tcBorders>
            <w:vAlign w:val="bottom"/>
          </w:tcPr>
          <w:p w14:paraId="425BF915"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10.903.337.570,90</w:t>
            </w:r>
          </w:p>
        </w:tc>
      </w:tr>
      <w:tr w:rsidR="00FF1E38" w:rsidRPr="00FF1E38" w14:paraId="66782213" w14:textId="77777777" w:rsidTr="00DE0C9A">
        <w:trPr>
          <w:cantSplit/>
        </w:trPr>
        <w:tc>
          <w:tcPr>
            <w:tcW w:w="561" w:type="dxa"/>
            <w:tcBorders>
              <w:top w:val="single" w:sz="5" w:space="0" w:color="000000"/>
              <w:left w:val="single" w:sz="5" w:space="0" w:color="000000"/>
              <w:bottom w:val="single" w:sz="5" w:space="0" w:color="000000"/>
              <w:right w:val="single" w:sz="5" w:space="0" w:color="000000"/>
            </w:tcBorders>
            <w:shd w:val="clear" w:color="auto" w:fill="FFC000"/>
          </w:tcPr>
          <w:p w14:paraId="1901C3B0"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10.</w:t>
            </w:r>
          </w:p>
        </w:tc>
        <w:tc>
          <w:tcPr>
            <w:tcW w:w="2694" w:type="dxa"/>
            <w:tcBorders>
              <w:top w:val="single" w:sz="5" w:space="0" w:color="000000"/>
              <w:left w:val="single" w:sz="5" w:space="0" w:color="000000"/>
              <w:bottom w:val="single" w:sz="5" w:space="0" w:color="000000"/>
              <w:right w:val="single" w:sz="5" w:space="0" w:color="000000"/>
            </w:tcBorders>
            <w:shd w:val="clear" w:color="auto" w:fill="FFC000"/>
          </w:tcPr>
          <w:p w14:paraId="73BD059C"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Peščenica - Žitnjak</w:t>
            </w:r>
          </w:p>
        </w:tc>
        <w:tc>
          <w:tcPr>
            <w:tcW w:w="1275" w:type="dxa"/>
            <w:tcBorders>
              <w:top w:val="single" w:sz="5" w:space="0" w:color="000000"/>
              <w:left w:val="single" w:sz="5" w:space="0" w:color="000000"/>
              <w:bottom w:val="single" w:sz="5" w:space="0" w:color="000000"/>
              <w:right w:val="single" w:sz="5" w:space="0" w:color="000000"/>
            </w:tcBorders>
          </w:tcPr>
          <w:p w14:paraId="358D273C"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49.460</w:t>
            </w:r>
          </w:p>
        </w:tc>
        <w:tc>
          <w:tcPr>
            <w:tcW w:w="2127" w:type="dxa"/>
            <w:tcBorders>
              <w:top w:val="single" w:sz="5" w:space="0" w:color="000000"/>
              <w:left w:val="single" w:sz="5" w:space="0" w:color="000000"/>
              <w:bottom w:val="single" w:sz="5" w:space="0" w:color="000000"/>
              <w:right w:val="single" w:sz="5" w:space="0" w:color="000000"/>
            </w:tcBorders>
            <w:vAlign w:val="bottom"/>
          </w:tcPr>
          <w:p w14:paraId="0327027D"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62.761.498.233,80</w:t>
            </w:r>
          </w:p>
        </w:tc>
        <w:tc>
          <w:tcPr>
            <w:tcW w:w="2415" w:type="dxa"/>
            <w:tcBorders>
              <w:top w:val="single" w:sz="5" w:space="0" w:color="000000"/>
              <w:left w:val="single" w:sz="5" w:space="0" w:color="000000"/>
              <w:bottom w:val="single" w:sz="5" w:space="0" w:color="000000"/>
              <w:right w:val="single" w:sz="5" w:space="0" w:color="000000"/>
            </w:tcBorders>
            <w:vAlign w:val="bottom"/>
          </w:tcPr>
          <w:p w14:paraId="0A973926"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31.380.749.116,90</w:t>
            </w:r>
          </w:p>
        </w:tc>
      </w:tr>
      <w:tr w:rsidR="00FF1E38" w:rsidRPr="00FF1E38" w14:paraId="51D74C91" w14:textId="77777777" w:rsidTr="00DE0C9A">
        <w:trPr>
          <w:cantSplit/>
        </w:trPr>
        <w:tc>
          <w:tcPr>
            <w:tcW w:w="561" w:type="dxa"/>
            <w:tcBorders>
              <w:top w:val="single" w:sz="5" w:space="0" w:color="000000"/>
              <w:left w:val="single" w:sz="5" w:space="0" w:color="000000"/>
              <w:bottom w:val="single" w:sz="5" w:space="0" w:color="000000"/>
              <w:right w:val="single" w:sz="5" w:space="0" w:color="000000"/>
            </w:tcBorders>
            <w:shd w:val="clear" w:color="auto" w:fill="FFC000"/>
          </w:tcPr>
          <w:p w14:paraId="29C01760"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11.</w:t>
            </w:r>
          </w:p>
        </w:tc>
        <w:tc>
          <w:tcPr>
            <w:tcW w:w="2694" w:type="dxa"/>
            <w:tcBorders>
              <w:top w:val="single" w:sz="5" w:space="0" w:color="000000"/>
              <w:left w:val="single" w:sz="5" w:space="0" w:color="000000"/>
              <w:bottom w:val="single" w:sz="5" w:space="0" w:color="000000"/>
              <w:right w:val="single" w:sz="5" w:space="0" w:color="000000"/>
            </w:tcBorders>
            <w:shd w:val="clear" w:color="auto" w:fill="FFC000"/>
          </w:tcPr>
          <w:p w14:paraId="494D7852"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Podsljeme</w:t>
            </w:r>
          </w:p>
        </w:tc>
        <w:tc>
          <w:tcPr>
            <w:tcW w:w="1275" w:type="dxa"/>
            <w:tcBorders>
              <w:top w:val="single" w:sz="5" w:space="0" w:color="000000"/>
              <w:left w:val="single" w:sz="5" w:space="0" w:color="000000"/>
              <w:bottom w:val="single" w:sz="5" w:space="0" w:color="000000"/>
              <w:right w:val="single" w:sz="5" w:space="0" w:color="000000"/>
            </w:tcBorders>
          </w:tcPr>
          <w:p w14:paraId="3C0DAF57"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3.418</w:t>
            </w:r>
          </w:p>
        </w:tc>
        <w:tc>
          <w:tcPr>
            <w:tcW w:w="2127" w:type="dxa"/>
            <w:tcBorders>
              <w:top w:val="single" w:sz="5" w:space="0" w:color="000000"/>
              <w:left w:val="single" w:sz="5" w:space="0" w:color="000000"/>
              <w:bottom w:val="single" w:sz="5" w:space="0" w:color="000000"/>
              <w:right w:val="single" w:sz="5" w:space="0" w:color="000000"/>
            </w:tcBorders>
            <w:vAlign w:val="bottom"/>
          </w:tcPr>
          <w:p w14:paraId="740C765E"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153.440.503,08</w:t>
            </w:r>
          </w:p>
        </w:tc>
        <w:tc>
          <w:tcPr>
            <w:tcW w:w="2415" w:type="dxa"/>
            <w:tcBorders>
              <w:top w:val="single" w:sz="5" w:space="0" w:color="000000"/>
              <w:left w:val="single" w:sz="5" w:space="0" w:color="000000"/>
              <w:bottom w:val="single" w:sz="5" w:space="0" w:color="000000"/>
              <w:right w:val="single" w:sz="5" w:space="0" w:color="000000"/>
            </w:tcBorders>
            <w:vAlign w:val="bottom"/>
          </w:tcPr>
          <w:p w14:paraId="1D25E538"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76.720.251,54</w:t>
            </w:r>
          </w:p>
        </w:tc>
      </w:tr>
      <w:tr w:rsidR="00FF1E38" w:rsidRPr="00FF1E38" w14:paraId="4DE488A0" w14:textId="77777777" w:rsidTr="00DE0C9A">
        <w:trPr>
          <w:cantSplit/>
        </w:trPr>
        <w:tc>
          <w:tcPr>
            <w:tcW w:w="561" w:type="dxa"/>
            <w:tcBorders>
              <w:top w:val="single" w:sz="5" w:space="0" w:color="000000"/>
              <w:left w:val="single" w:sz="5" w:space="0" w:color="000000"/>
              <w:bottom w:val="single" w:sz="5" w:space="0" w:color="000000"/>
              <w:right w:val="single" w:sz="5" w:space="0" w:color="000000"/>
            </w:tcBorders>
            <w:shd w:val="clear" w:color="auto" w:fill="FFC000"/>
          </w:tcPr>
          <w:p w14:paraId="4BA12B7F"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12.</w:t>
            </w:r>
          </w:p>
        </w:tc>
        <w:tc>
          <w:tcPr>
            <w:tcW w:w="2694" w:type="dxa"/>
            <w:tcBorders>
              <w:top w:val="single" w:sz="5" w:space="0" w:color="000000"/>
              <w:left w:val="single" w:sz="5" w:space="0" w:color="000000"/>
              <w:bottom w:val="single" w:sz="5" w:space="0" w:color="000000"/>
              <w:right w:val="single" w:sz="5" w:space="0" w:color="000000"/>
            </w:tcBorders>
            <w:shd w:val="clear" w:color="auto" w:fill="FFC000"/>
          </w:tcPr>
          <w:p w14:paraId="010E724B"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Podsused - Vrapče</w:t>
            </w:r>
          </w:p>
        </w:tc>
        <w:tc>
          <w:tcPr>
            <w:tcW w:w="1275" w:type="dxa"/>
            <w:tcBorders>
              <w:top w:val="single" w:sz="5" w:space="0" w:color="000000"/>
              <w:left w:val="single" w:sz="5" w:space="0" w:color="000000"/>
              <w:bottom w:val="single" w:sz="5" w:space="0" w:color="000000"/>
              <w:right w:val="single" w:sz="5" w:space="0" w:color="000000"/>
            </w:tcBorders>
          </w:tcPr>
          <w:p w14:paraId="224361D8"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12.866</w:t>
            </w:r>
          </w:p>
        </w:tc>
        <w:tc>
          <w:tcPr>
            <w:tcW w:w="2127" w:type="dxa"/>
            <w:tcBorders>
              <w:top w:val="single" w:sz="5" w:space="0" w:color="000000"/>
              <w:left w:val="single" w:sz="5" w:space="0" w:color="000000"/>
              <w:bottom w:val="single" w:sz="5" w:space="0" w:color="000000"/>
              <w:right w:val="single" w:sz="5" w:space="0" w:color="000000"/>
            </w:tcBorders>
            <w:vAlign w:val="bottom"/>
          </w:tcPr>
          <w:p w14:paraId="0E0D5099"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7.905.359.153,39</w:t>
            </w:r>
          </w:p>
        </w:tc>
        <w:tc>
          <w:tcPr>
            <w:tcW w:w="2415" w:type="dxa"/>
            <w:tcBorders>
              <w:top w:val="single" w:sz="5" w:space="0" w:color="000000"/>
              <w:left w:val="single" w:sz="5" w:space="0" w:color="000000"/>
              <w:bottom w:val="single" w:sz="5" w:space="0" w:color="000000"/>
              <w:right w:val="single" w:sz="5" w:space="0" w:color="000000"/>
            </w:tcBorders>
            <w:vAlign w:val="bottom"/>
          </w:tcPr>
          <w:p w14:paraId="2FD9B43E"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3.952.679.576,70</w:t>
            </w:r>
          </w:p>
        </w:tc>
      </w:tr>
      <w:tr w:rsidR="00FF1E38" w:rsidRPr="00FF1E38" w14:paraId="15BEDE01" w14:textId="77777777" w:rsidTr="00DE0C9A">
        <w:trPr>
          <w:cantSplit/>
        </w:trPr>
        <w:tc>
          <w:tcPr>
            <w:tcW w:w="561" w:type="dxa"/>
            <w:tcBorders>
              <w:top w:val="single" w:sz="5" w:space="0" w:color="000000"/>
              <w:left w:val="single" w:sz="5" w:space="0" w:color="000000"/>
              <w:bottom w:val="single" w:sz="5" w:space="0" w:color="000000"/>
              <w:right w:val="single" w:sz="5" w:space="0" w:color="000000"/>
            </w:tcBorders>
            <w:shd w:val="clear" w:color="auto" w:fill="FFC000"/>
          </w:tcPr>
          <w:p w14:paraId="535A3901"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13.</w:t>
            </w:r>
          </w:p>
        </w:tc>
        <w:tc>
          <w:tcPr>
            <w:tcW w:w="2694" w:type="dxa"/>
            <w:tcBorders>
              <w:top w:val="single" w:sz="5" w:space="0" w:color="000000"/>
              <w:left w:val="single" w:sz="5" w:space="0" w:color="000000"/>
              <w:bottom w:val="single" w:sz="5" w:space="0" w:color="000000"/>
              <w:right w:val="single" w:sz="5" w:space="0" w:color="000000"/>
            </w:tcBorders>
            <w:shd w:val="clear" w:color="auto" w:fill="FFC000"/>
          </w:tcPr>
          <w:p w14:paraId="4749B979"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Sesvete</w:t>
            </w:r>
          </w:p>
        </w:tc>
        <w:tc>
          <w:tcPr>
            <w:tcW w:w="1275" w:type="dxa"/>
            <w:tcBorders>
              <w:top w:val="single" w:sz="5" w:space="0" w:color="000000"/>
              <w:left w:val="single" w:sz="5" w:space="0" w:color="000000"/>
              <w:bottom w:val="single" w:sz="5" w:space="0" w:color="000000"/>
              <w:right w:val="single" w:sz="5" w:space="0" w:color="000000"/>
            </w:tcBorders>
          </w:tcPr>
          <w:p w14:paraId="725D3630"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2.056</w:t>
            </w:r>
          </w:p>
        </w:tc>
        <w:tc>
          <w:tcPr>
            <w:tcW w:w="2127" w:type="dxa"/>
            <w:tcBorders>
              <w:top w:val="single" w:sz="5" w:space="0" w:color="000000"/>
              <w:left w:val="single" w:sz="5" w:space="0" w:color="000000"/>
              <w:bottom w:val="single" w:sz="5" w:space="0" w:color="000000"/>
              <w:right w:val="single" w:sz="5" w:space="0" w:color="000000"/>
            </w:tcBorders>
            <w:vAlign w:val="bottom"/>
          </w:tcPr>
          <w:p w14:paraId="7CF4CA77"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362.537.721,51</w:t>
            </w:r>
          </w:p>
        </w:tc>
        <w:tc>
          <w:tcPr>
            <w:tcW w:w="2415" w:type="dxa"/>
            <w:tcBorders>
              <w:top w:val="single" w:sz="5" w:space="0" w:color="000000"/>
              <w:left w:val="single" w:sz="5" w:space="0" w:color="000000"/>
              <w:bottom w:val="single" w:sz="5" w:space="0" w:color="000000"/>
              <w:right w:val="single" w:sz="5" w:space="0" w:color="000000"/>
            </w:tcBorders>
            <w:vAlign w:val="bottom"/>
          </w:tcPr>
          <w:p w14:paraId="56084153"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181.268.860,76</w:t>
            </w:r>
          </w:p>
        </w:tc>
      </w:tr>
      <w:tr w:rsidR="00FF1E38" w:rsidRPr="00FF1E38" w14:paraId="1F61E485" w14:textId="77777777" w:rsidTr="00DE0C9A">
        <w:trPr>
          <w:cantSplit/>
        </w:trPr>
        <w:tc>
          <w:tcPr>
            <w:tcW w:w="561" w:type="dxa"/>
            <w:tcBorders>
              <w:top w:val="single" w:sz="5" w:space="0" w:color="000000"/>
              <w:left w:val="single" w:sz="5" w:space="0" w:color="000000"/>
              <w:bottom w:val="single" w:sz="5" w:space="0" w:color="000000"/>
              <w:right w:val="single" w:sz="5" w:space="0" w:color="000000"/>
            </w:tcBorders>
            <w:shd w:val="clear" w:color="auto" w:fill="FFC000"/>
          </w:tcPr>
          <w:p w14:paraId="56577F77"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14.</w:t>
            </w:r>
          </w:p>
        </w:tc>
        <w:tc>
          <w:tcPr>
            <w:tcW w:w="2694" w:type="dxa"/>
            <w:tcBorders>
              <w:top w:val="single" w:sz="5" w:space="0" w:color="000000"/>
              <w:left w:val="single" w:sz="5" w:space="0" w:color="000000"/>
              <w:bottom w:val="single" w:sz="5" w:space="0" w:color="000000"/>
              <w:right w:val="single" w:sz="5" w:space="0" w:color="000000"/>
            </w:tcBorders>
            <w:shd w:val="clear" w:color="auto" w:fill="FFC000"/>
          </w:tcPr>
          <w:p w14:paraId="75C1CD6C"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Stenjevec</w:t>
            </w:r>
          </w:p>
        </w:tc>
        <w:tc>
          <w:tcPr>
            <w:tcW w:w="1275" w:type="dxa"/>
            <w:tcBorders>
              <w:top w:val="single" w:sz="5" w:space="0" w:color="000000"/>
              <w:left w:val="single" w:sz="5" w:space="0" w:color="000000"/>
              <w:bottom w:val="single" w:sz="5" w:space="0" w:color="000000"/>
              <w:right w:val="single" w:sz="5" w:space="0" w:color="000000"/>
            </w:tcBorders>
          </w:tcPr>
          <w:p w14:paraId="26F2963B"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23.105</w:t>
            </w:r>
          </w:p>
        </w:tc>
        <w:tc>
          <w:tcPr>
            <w:tcW w:w="2127" w:type="dxa"/>
            <w:tcBorders>
              <w:top w:val="single" w:sz="5" w:space="0" w:color="000000"/>
              <w:left w:val="single" w:sz="5" w:space="0" w:color="000000"/>
              <w:bottom w:val="single" w:sz="5" w:space="0" w:color="000000"/>
              <w:right w:val="single" w:sz="5" w:space="0" w:color="000000"/>
            </w:tcBorders>
            <w:vAlign w:val="bottom"/>
          </w:tcPr>
          <w:p w14:paraId="437A21C9"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14.482.063.436,70</w:t>
            </w:r>
          </w:p>
        </w:tc>
        <w:tc>
          <w:tcPr>
            <w:tcW w:w="2415" w:type="dxa"/>
            <w:tcBorders>
              <w:top w:val="single" w:sz="5" w:space="0" w:color="000000"/>
              <w:left w:val="single" w:sz="5" w:space="0" w:color="000000"/>
              <w:bottom w:val="single" w:sz="5" w:space="0" w:color="000000"/>
              <w:right w:val="single" w:sz="5" w:space="0" w:color="000000"/>
            </w:tcBorders>
            <w:vAlign w:val="bottom"/>
          </w:tcPr>
          <w:p w14:paraId="3F6EF961"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7.241.031.718,35</w:t>
            </w:r>
          </w:p>
        </w:tc>
      </w:tr>
      <w:tr w:rsidR="00FF1E38" w:rsidRPr="00FF1E38" w14:paraId="3DC9FBD7" w14:textId="77777777" w:rsidTr="00DE0C9A">
        <w:trPr>
          <w:cantSplit/>
        </w:trPr>
        <w:tc>
          <w:tcPr>
            <w:tcW w:w="561" w:type="dxa"/>
            <w:tcBorders>
              <w:top w:val="single" w:sz="5" w:space="0" w:color="000000"/>
              <w:left w:val="single" w:sz="5" w:space="0" w:color="000000"/>
              <w:bottom w:val="single" w:sz="5" w:space="0" w:color="000000"/>
              <w:right w:val="single" w:sz="5" w:space="0" w:color="000000"/>
            </w:tcBorders>
            <w:shd w:val="clear" w:color="auto" w:fill="FFC000"/>
          </w:tcPr>
          <w:p w14:paraId="09887379"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15.</w:t>
            </w:r>
          </w:p>
        </w:tc>
        <w:tc>
          <w:tcPr>
            <w:tcW w:w="2694" w:type="dxa"/>
            <w:tcBorders>
              <w:top w:val="single" w:sz="5" w:space="0" w:color="000000"/>
              <w:left w:val="single" w:sz="5" w:space="0" w:color="000000"/>
              <w:bottom w:val="single" w:sz="5" w:space="0" w:color="000000"/>
              <w:right w:val="single" w:sz="5" w:space="0" w:color="000000"/>
            </w:tcBorders>
            <w:shd w:val="clear" w:color="auto" w:fill="FFC000"/>
          </w:tcPr>
          <w:p w14:paraId="52C2A26D"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Trešnjevka - jug</w:t>
            </w:r>
          </w:p>
        </w:tc>
        <w:tc>
          <w:tcPr>
            <w:tcW w:w="1275" w:type="dxa"/>
            <w:tcBorders>
              <w:top w:val="single" w:sz="5" w:space="0" w:color="000000"/>
              <w:left w:val="single" w:sz="5" w:space="0" w:color="000000"/>
              <w:bottom w:val="single" w:sz="5" w:space="0" w:color="000000"/>
              <w:right w:val="single" w:sz="5" w:space="0" w:color="000000"/>
            </w:tcBorders>
          </w:tcPr>
          <w:p w14:paraId="0FDE15A7"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26.103</w:t>
            </w:r>
          </w:p>
        </w:tc>
        <w:tc>
          <w:tcPr>
            <w:tcW w:w="2127" w:type="dxa"/>
            <w:tcBorders>
              <w:top w:val="single" w:sz="5" w:space="0" w:color="000000"/>
              <w:left w:val="single" w:sz="5" w:space="0" w:color="000000"/>
              <w:bottom w:val="single" w:sz="5" w:space="0" w:color="000000"/>
              <w:right w:val="single" w:sz="5" w:space="0" w:color="000000"/>
            </w:tcBorders>
            <w:vAlign w:val="bottom"/>
          </w:tcPr>
          <w:p w14:paraId="55F16A47"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1.314.119.554,61</w:t>
            </w:r>
          </w:p>
        </w:tc>
        <w:tc>
          <w:tcPr>
            <w:tcW w:w="2415" w:type="dxa"/>
            <w:tcBorders>
              <w:top w:val="single" w:sz="5" w:space="0" w:color="000000"/>
              <w:left w:val="single" w:sz="5" w:space="0" w:color="000000"/>
              <w:bottom w:val="single" w:sz="5" w:space="0" w:color="000000"/>
              <w:right w:val="single" w:sz="5" w:space="0" w:color="000000"/>
            </w:tcBorders>
            <w:vAlign w:val="bottom"/>
          </w:tcPr>
          <w:p w14:paraId="298711FE"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657.059.777,31</w:t>
            </w:r>
          </w:p>
        </w:tc>
      </w:tr>
      <w:tr w:rsidR="00FF1E38" w:rsidRPr="00FF1E38" w14:paraId="03E6A1DC" w14:textId="77777777" w:rsidTr="00DE0C9A">
        <w:trPr>
          <w:cantSplit/>
        </w:trPr>
        <w:tc>
          <w:tcPr>
            <w:tcW w:w="561" w:type="dxa"/>
            <w:tcBorders>
              <w:top w:val="single" w:sz="5" w:space="0" w:color="000000"/>
              <w:left w:val="single" w:sz="5" w:space="0" w:color="000000"/>
              <w:bottom w:val="single" w:sz="5" w:space="0" w:color="000000"/>
              <w:right w:val="single" w:sz="5" w:space="0" w:color="000000"/>
            </w:tcBorders>
            <w:shd w:val="clear" w:color="auto" w:fill="FFC000"/>
          </w:tcPr>
          <w:p w14:paraId="08CF3449"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16.</w:t>
            </w:r>
          </w:p>
        </w:tc>
        <w:tc>
          <w:tcPr>
            <w:tcW w:w="2694" w:type="dxa"/>
            <w:tcBorders>
              <w:top w:val="single" w:sz="5" w:space="0" w:color="000000"/>
              <w:left w:val="single" w:sz="5" w:space="0" w:color="000000"/>
              <w:bottom w:val="single" w:sz="5" w:space="0" w:color="000000"/>
              <w:right w:val="single" w:sz="5" w:space="0" w:color="000000"/>
            </w:tcBorders>
            <w:shd w:val="clear" w:color="auto" w:fill="FFC000"/>
          </w:tcPr>
          <w:p w14:paraId="10158B72"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Trešnjevka - sjever</w:t>
            </w:r>
          </w:p>
        </w:tc>
        <w:tc>
          <w:tcPr>
            <w:tcW w:w="1275" w:type="dxa"/>
            <w:tcBorders>
              <w:top w:val="single" w:sz="5" w:space="0" w:color="000000"/>
              <w:left w:val="single" w:sz="5" w:space="0" w:color="000000"/>
              <w:bottom w:val="single" w:sz="5" w:space="0" w:color="000000"/>
              <w:right w:val="single" w:sz="5" w:space="0" w:color="000000"/>
            </w:tcBorders>
          </w:tcPr>
          <w:p w14:paraId="25934D5D"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28.404</w:t>
            </w:r>
          </w:p>
        </w:tc>
        <w:tc>
          <w:tcPr>
            <w:tcW w:w="2127" w:type="dxa"/>
            <w:tcBorders>
              <w:top w:val="single" w:sz="5" w:space="0" w:color="000000"/>
              <w:left w:val="single" w:sz="5" w:space="0" w:color="000000"/>
              <w:bottom w:val="single" w:sz="5" w:space="0" w:color="000000"/>
              <w:right w:val="single" w:sz="5" w:space="0" w:color="000000"/>
            </w:tcBorders>
            <w:vAlign w:val="bottom"/>
          </w:tcPr>
          <w:p w14:paraId="1F0B9E10"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1.895.388.506,95</w:t>
            </w:r>
          </w:p>
        </w:tc>
        <w:tc>
          <w:tcPr>
            <w:tcW w:w="2415" w:type="dxa"/>
            <w:tcBorders>
              <w:top w:val="single" w:sz="5" w:space="0" w:color="000000"/>
              <w:left w:val="single" w:sz="5" w:space="0" w:color="000000"/>
              <w:bottom w:val="single" w:sz="5" w:space="0" w:color="000000"/>
              <w:right w:val="single" w:sz="5" w:space="0" w:color="000000"/>
            </w:tcBorders>
            <w:vAlign w:val="bottom"/>
          </w:tcPr>
          <w:p w14:paraId="1BBB84E9"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947.694.253,48</w:t>
            </w:r>
          </w:p>
        </w:tc>
      </w:tr>
      <w:tr w:rsidR="00FF1E38" w:rsidRPr="00FF1E38" w14:paraId="79311DB5" w14:textId="77777777" w:rsidTr="00DE0C9A">
        <w:trPr>
          <w:cantSplit/>
        </w:trPr>
        <w:tc>
          <w:tcPr>
            <w:tcW w:w="561" w:type="dxa"/>
            <w:tcBorders>
              <w:top w:val="single" w:sz="5" w:space="0" w:color="000000"/>
              <w:left w:val="single" w:sz="5" w:space="0" w:color="000000"/>
              <w:bottom w:val="single" w:sz="8" w:space="0" w:color="000000"/>
              <w:right w:val="single" w:sz="5" w:space="0" w:color="000000"/>
            </w:tcBorders>
            <w:shd w:val="clear" w:color="auto" w:fill="FFC000"/>
          </w:tcPr>
          <w:p w14:paraId="41DC25C6"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17.</w:t>
            </w:r>
          </w:p>
        </w:tc>
        <w:tc>
          <w:tcPr>
            <w:tcW w:w="2694" w:type="dxa"/>
            <w:tcBorders>
              <w:top w:val="single" w:sz="5" w:space="0" w:color="000000"/>
              <w:left w:val="single" w:sz="5" w:space="0" w:color="000000"/>
              <w:bottom w:val="single" w:sz="8" w:space="0" w:color="000000"/>
              <w:right w:val="single" w:sz="5" w:space="0" w:color="000000"/>
            </w:tcBorders>
            <w:shd w:val="clear" w:color="auto" w:fill="FFC000"/>
          </w:tcPr>
          <w:p w14:paraId="35A20741"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Trnje</w:t>
            </w:r>
          </w:p>
        </w:tc>
        <w:tc>
          <w:tcPr>
            <w:tcW w:w="1275" w:type="dxa"/>
            <w:tcBorders>
              <w:top w:val="single" w:sz="5" w:space="0" w:color="000000"/>
              <w:left w:val="single" w:sz="5" w:space="0" w:color="000000"/>
              <w:bottom w:val="single" w:sz="8" w:space="0" w:color="000000"/>
              <w:right w:val="single" w:sz="5" w:space="0" w:color="000000"/>
            </w:tcBorders>
          </w:tcPr>
          <w:p w14:paraId="23FD18CA"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26.123</w:t>
            </w:r>
          </w:p>
        </w:tc>
        <w:tc>
          <w:tcPr>
            <w:tcW w:w="2127" w:type="dxa"/>
            <w:tcBorders>
              <w:top w:val="single" w:sz="5" w:space="0" w:color="000000"/>
              <w:left w:val="single" w:sz="5" w:space="0" w:color="000000"/>
              <w:bottom w:val="single" w:sz="8" w:space="0" w:color="000000"/>
              <w:right w:val="single" w:sz="5" w:space="0" w:color="000000"/>
            </w:tcBorders>
            <w:vAlign w:val="bottom"/>
          </w:tcPr>
          <w:p w14:paraId="3FACBE7F"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10.609.869.771,10</w:t>
            </w:r>
          </w:p>
        </w:tc>
        <w:tc>
          <w:tcPr>
            <w:tcW w:w="2415" w:type="dxa"/>
            <w:tcBorders>
              <w:top w:val="single" w:sz="5" w:space="0" w:color="000000"/>
              <w:left w:val="single" w:sz="5" w:space="0" w:color="000000"/>
              <w:bottom w:val="single" w:sz="8" w:space="0" w:color="000000"/>
              <w:right w:val="single" w:sz="5" w:space="0" w:color="000000"/>
            </w:tcBorders>
            <w:vAlign w:val="bottom"/>
          </w:tcPr>
          <w:p w14:paraId="6114E20E"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color w:val="auto"/>
                <w:lang w:eastAsia="en-US"/>
              </w:rPr>
              <w:t>5.304.934.885,55</w:t>
            </w:r>
          </w:p>
        </w:tc>
      </w:tr>
      <w:tr w:rsidR="00FF1E38" w:rsidRPr="00FF1E38" w14:paraId="203B66D2" w14:textId="77777777" w:rsidTr="00DE0C9A">
        <w:trPr>
          <w:cantSplit/>
        </w:trPr>
        <w:tc>
          <w:tcPr>
            <w:tcW w:w="561" w:type="dxa"/>
            <w:tcBorders>
              <w:top w:val="single" w:sz="8" w:space="0" w:color="000000"/>
              <w:left w:val="single" w:sz="5" w:space="0" w:color="000000"/>
              <w:bottom w:val="single" w:sz="5" w:space="0" w:color="000000"/>
              <w:right w:val="nil"/>
            </w:tcBorders>
            <w:shd w:val="clear" w:color="auto" w:fill="FFC000"/>
          </w:tcPr>
          <w:p w14:paraId="6C4D94C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694" w:type="dxa"/>
            <w:tcBorders>
              <w:top w:val="single" w:sz="8" w:space="0" w:color="000000"/>
              <w:left w:val="nil"/>
              <w:bottom w:val="single" w:sz="5" w:space="0" w:color="000000"/>
              <w:right w:val="single" w:sz="5" w:space="0" w:color="000000"/>
            </w:tcBorders>
            <w:shd w:val="clear" w:color="auto" w:fill="FFC000"/>
          </w:tcPr>
          <w:p w14:paraId="7752539C"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UKUPNO</w:t>
            </w:r>
          </w:p>
        </w:tc>
        <w:tc>
          <w:tcPr>
            <w:tcW w:w="1275" w:type="dxa"/>
            <w:tcBorders>
              <w:top w:val="single" w:sz="8" w:space="0" w:color="000000"/>
              <w:left w:val="single" w:sz="5" w:space="0" w:color="000000"/>
              <w:bottom w:val="single" w:sz="5" w:space="0" w:color="000000"/>
              <w:right w:val="single" w:sz="5" w:space="0" w:color="000000"/>
            </w:tcBorders>
          </w:tcPr>
          <w:p w14:paraId="2C5E9177"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274.251</w:t>
            </w:r>
          </w:p>
        </w:tc>
        <w:tc>
          <w:tcPr>
            <w:tcW w:w="2127" w:type="dxa"/>
            <w:tcBorders>
              <w:top w:val="single" w:sz="8" w:space="0" w:color="000000"/>
              <w:left w:val="single" w:sz="5" w:space="0" w:color="000000"/>
              <w:bottom w:val="single" w:sz="5" w:space="0" w:color="000000"/>
              <w:right w:val="single" w:sz="5" w:space="0" w:color="000000"/>
            </w:tcBorders>
            <w:vAlign w:val="bottom"/>
          </w:tcPr>
          <w:p w14:paraId="42FF5D91"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137.649.904.811,48</w:t>
            </w:r>
          </w:p>
        </w:tc>
        <w:tc>
          <w:tcPr>
            <w:tcW w:w="2415" w:type="dxa"/>
            <w:tcBorders>
              <w:top w:val="single" w:sz="8" w:space="0" w:color="000000"/>
              <w:left w:val="single" w:sz="5" w:space="0" w:color="000000"/>
              <w:bottom w:val="single" w:sz="5" w:space="0" w:color="000000"/>
              <w:right w:val="single" w:sz="5" w:space="0" w:color="000000"/>
            </w:tcBorders>
            <w:vAlign w:val="bottom"/>
          </w:tcPr>
          <w:p w14:paraId="59B56DA0" w14:textId="77777777" w:rsidR="00FF1E38" w:rsidRPr="00FF1E38" w:rsidRDefault="00FF1E38" w:rsidP="00FF1E38">
            <w:pPr>
              <w:widowControl w:val="0"/>
              <w:spacing w:after="0" w:line="240" w:lineRule="auto"/>
              <w:ind w:left="0" w:right="0" w:firstLine="0"/>
              <w:jc w:val="right"/>
              <w:rPr>
                <w:rFonts w:ascii="Times New Roman" w:eastAsia="Cambria" w:hAnsi="Times New Roman" w:cs="Times New Roman"/>
                <w:color w:val="auto"/>
                <w:lang w:eastAsia="en-US"/>
              </w:rPr>
            </w:pPr>
            <w:r w:rsidRPr="00FF1E38">
              <w:rPr>
                <w:rFonts w:ascii="Times New Roman" w:eastAsia="Calibri" w:hAnsi="Times New Roman" w:cs="Times New Roman"/>
                <w:b/>
                <w:color w:val="auto"/>
                <w:lang w:eastAsia="en-US"/>
              </w:rPr>
              <w:t>68.824.952.405,74</w:t>
            </w:r>
          </w:p>
        </w:tc>
      </w:tr>
    </w:tbl>
    <w:p w14:paraId="21E45C02" w14:textId="77777777" w:rsidR="00FF1E38" w:rsidRPr="00FF1E38" w:rsidRDefault="00FF1E38" w:rsidP="00FF1E38">
      <w:pPr>
        <w:spacing w:after="0" w:line="240" w:lineRule="auto"/>
        <w:ind w:left="0" w:right="0" w:firstLine="0"/>
        <w:jc w:val="center"/>
        <w:rPr>
          <w:rFonts w:ascii="Times New Roman" w:eastAsia="Calibri" w:hAnsi="Times New Roman" w:cs="Times New Roman"/>
          <w:i/>
          <w:sz w:val="20"/>
          <w:szCs w:val="20"/>
        </w:rPr>
      </w:pPr>
      <w:r w:rsidRPr="00FF1E38">
        <w:rPr>
          <w:rFonts w:ascii="Times New Roman" w:eastAsia="Calibri" w:hAnsi="Times New Roman" w:cs="Times New Roman"/>
          <w:i/>
          <w:sz w:val="20"/>
          <w:szCs w:val="20"/>
        </w:rPr>
        <w:t>Izvor: Procjena rizika od katastrofa za Republiku Hrvatsku</w:t>
      </w:r>
    </w:p>
    <w:p w14:paraId="50AA8AC6" w14:textId="77777777" w:rsidR="00FF1E38" w:rsidRPr="00FF1E38" w:rsidRDefault="00FF1E38" w:rsidP="00FF1E38">
      <w:pPr>
        <w:spacing w:after="0" w:line="240" w:lineRule="auto"/>
        <w:ind w:right="0"/>
        <w:rPr>
          <w:rFonts w:ascii="Times New Roman" w:hAnsi="Times New Roman" w:cs="Times New Roman"/>
          <w:sz w:val="24"/>
        </w:rPr>
      </w:pPr>
    </w:p>
    <w:p w14:paraId="399AA3CC" w14:textId="25D3AB5A" w:rsidR="00FF1E38" w:rsidRPr="00FF1E38" w:rsidRDefault="00FF1E38" w:rsidP="00FF1E38">
      <w:pPr>
        <w:spacing w:after="0" w:line="240" w:lineRule="auto"/>
        <w:ind w:left="0" w:right="0" w:firstLine="709"/>
        <w:rPr>
          <w:rFonts w:ascii="Times New Roman" w:hAnsi="Times New Roman" w:cs="Times New Roman"/>
          <w:sz w:val="24"/>
        </w:rPr>
      </w:pPr>
      <w:r w:rsidRPr="00B62469">
        <w:rPr>
          <w:rFonts w:ascii="Times New Roman" w:hAnsi="Times New Roman" w:cs="Times New Roman"/>
          <w:color w:val="auto"/>
          <w:sz w:val="24"/>
        </w:rPr>
        <w:lastRenderedPageBreak/>
        <w:t xml:space="preserve">U Tablici </w:t>
      </w:r>
      <w:r w:rsidR="00B62469" w:rsidRPr="00B62469">
        <w:rPr>
          <w:rFonts w:ascii="Times New Roman" w:hAnsi="Times New Roman" w:cs="Times New Roman"/>
          <w:color w:val="auto"/>
          <w:sz w:val="24"/>
        </w:rPr>
        <w:t>66</w:t>
      </w:r>
      <w:r w:rsidRPr="00B62469">
        <w:rPr>
          <w:rFonts w:ascii="Times New Roman" w:hAnsi="Times New Roman" w:cs="Times New Roman"/>
          <w:color w:val="auto"/>
          <w:sz w:val="24"/>
        </w:rPr>
        <w:t xml:space="preserve">. dana je procjena očekivanog broja ugroženog stanovništva i šteta </w:t>
      </w:r>
      <w:r w:rsidRPr="00FF1E38">
        <w:rPr>
          <w:rFonts w:ascii="Times New Roman" w:hAnsi="Times New Roman" w:cs="Times New Roman"/>
          <w:sz w:val="24"/>
        </w:rPr>
        <w:t>(gospodarstvo i društvena stabilnost i politika) na području Grada Zagreba. U slučaju prikazanog scenarija, potencijalni broj ugroženog stanovništva kretao bi se oko 275.000, a štete na gospodarstvu dosegle bi iznos oko 138 milijardi kuna, dok bi štete povezane s društvenom stabilnošću i politikom bile reda veličine 70 milijardi kuna.</w:t>
      </w:r>
    </w:p>
    <w:p w14:paraId="7C8AA917" w14:textId="77777777" w:rsidR="00FF1E38" w:rsidRPr="00FF1E38" w:rsidRDefault="00FF1E38" w:rsidP="00FF1E38">
      <w:pPr>
        <w:spacing w:after="0" w:line="240" w:lineRule="auto"/>
        <w:ind w:right="0"/>
        <w:rPr>
          <w:rFonts w:ascii="Times New Roman" w:hAnsi="Times New Roman" w:cs="Times New Roman"/>
          <w:sz w:val="24"/>
        </w:rPr>
      </w:pPr>
    </w:p>
    <w:p w14:paraId="6E85CB58" w14:textId="77777777" w:rsidR="00FF1E38" w:rsidRPr="00FF1E38" w:rsidRDefault="00FF1E38" w:rsidP="00FF1E38">
      <w:pPr>
        <w:spacing w:after="0" w:line="240" w:lineRule="auto"/>
        <w:ind w:left="0" w:right="0" w:firstLine="709"/>
        <w:rPr>
          <w:rFonts w:ascii="Times New Roman" w:hAnsi="Times New Roman" w:cs="Times New Roman"/>
          <w:b/>
          <w:i/>
          <w:sz w:val="24"/>
        </w:rPr>
      </w:pPr>
      <w:r w:rsidRPr="00FF1E38">
        <w:rPr>
          <w:rFonts w:ascii="Times New Roman" w:hAnsi="Times New Roman" w:cs="Times New Roman"/>
          <w:b/>
          <w:i/>
          <w:sz w:val="24"/>
        </w:rPr>
        <w:t>6.2.5.1.1. Život i zdravlje ljudi</w:t>
      </w:r>
    </w:p>
    <w:p w14:paraId="1DD6CFB4"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Podaci o broju ugroženih stanovnika dobiveni su na osnovi podataka o broju stanovništva koji su preuzeti iz popisa stanovništva od Državnog zavoda za statistiku. Broj ugroženih stanovnika dobiven je preklapanjem obuhvata poplave uzrokovane opisanim scenarijem s granicama naseljenog područja. Dobivene vrijednosti pokazuju da je potencijalno ugroženo oko 35 % stanovnika Grada Zagreba. Posljedice potencijalne ugroze procjenjuju se kao katastrofalne. Posljedice na život i zdravlje ljudi procijenjene su kao katastrofalne zbog mogućnosti stradavanja znatnog broja osoba. Osim izravne ugroženosti tijekom poplave, poplava izaziva i dugoročno pogoršanje životnog standarda na poplavljenom području (život u znatno lošijim uvjetima, stres, gubitak uspomena, pogoršanje životnog standarda, život u neadekvatnim uvjetima, prekid naobrazbe i slično).</w:t>
      </w:r>
    </w:p>
    <w:p w14:paraId="54EAF30C"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547AF836" w14:textId="4ABFAA50" w:rsidR="00FF1E38" w:rsidRPr="00036534" w:rsidRDefault="00FF1E38" w:rsidP="00645B0F">
      <w:pPr>
        <w:spacing w:line="240" w:lineRule="auto"/>
        <w:ind w:left="0" w:right="0" w:firstLine="0"/>
        <w:jc w:val="center"/>
        <w:rPr>
          <w:rFonts w:ascii="Times New Roman" w:hAnsi="Times New Roman" w:cs="Times New Roman"/>
          <w:b/>
          <w:color w:val="auto"/>
          <w:sz w:val="24"/>
        </w:rPr>
      </w:pPr>
      <w:r w:rsidRPr="00036534">
        <w:rPr>
          <w:rFonts w:ascii="Times New Roman" w:hAnsi="Times New Roman" w:cs="Times New Roman"/>
          <w:b/>
          <w:color w:val="auto"/>
          <w:sz w:val="24"/>
        </w:rPr>
        <w:t xml:space="preserve">Tablica </w:t>
      </w:r>
      <w:r w:rsidR="00036534" w:rsidRPr="00036534">
        <w:rPr>
          <w:rFonts w:ascii="Times New Roman" w:hAnsi="Times New Roman" w:cs="Times New Roman"/>
          <w:b/>
          <w:color w:val="auto"/>
          <w:sz w:val="24"/>
        </w:rPr>
        <w:t>67</w:t>
      </w:r>
      <w:r w:rsidRPr="00036534">
        <w:rPr>
          <w:rFonts w:ascii="Times New Roman" w:hAnsi="Times New Roman" w:cs="Times New Roman"/>
          <w:b/>
          <w:color w:val="auto"/>
          <w:sz w:val="24"/>
        </w:rPr>
        <w:t xml:space="preserve">. Vrijednost kriterija za posljedice na život i zdravlje ljudi po kategorijama </w:t>
      </w:r>
    </w:p>
    <w:tbl>
      <w:tblPr>
        <w:tblStyle w:val="TableGrid3"/>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00"/>
        <w:gridCol w:w="2835"/>
        <w:gridCol w:w="2836"/>
        <w:gridCol w:w="1701"/>
      </w:tblGrid>
      <w:tr w:rsidR="00FF1E38" w:rsidRPr="00FF1E38" w14:paraId="4FBEC367" w14:textId="77777777" w:rsidTr="00DE0C9A">
        <w:trPr>
          <w:cantSplit/>
          <w:tblHeader/>
        </w:trPr>
        <w:tc>
          <w:tcPr>
            <w:tcW w:w="9072" w:type="dxa"/>
            <w:gridSpan w:val="4"/>
            <w:shd w:val="clear" w:color="auto" w:fill="FFC000"/>
            <w:vAlign w:val="center"/>
          </w:tcPr>
          <w:p w14:paraId="35F33ED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Život i zdravlje ljudi – poplava</w:t>
            </w:r>
          </w:p>
        </w:tc>
      </w:tr>
      <w:tr w:rsidR="00FF1E38" w:rsidRPr="00FF1E38" w14:paraId="688FEDC7" w14:textId="77777777" w:rsidTr="00DE0C9A">
        <w:trPr>
          <w:cantSplit/>
          <w:tblHeader/>
        </w:trPr>
        <w:tc>
          <w:tcPr>
            <w:tcW w:w="1700" w:type="dxa"/>
            <w:shd w:val="clear" w:color="auto" w:fill="FFC000"/>
            <w:vAlign w:val="center"/>
          </w:tcPr>
          <w:p w14:paraId="645B259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Kategorija</w:t>
            </w:r>
          </w:p>
        </w:tc>
        <w:tc>
          <w:tcPr>
            <w:tcW w:w="2835" w:type="dxa"/>
            <w:shd w:val="clear" w:color="auto" w:fill="FFC000"/>
            <w:vAlign w:val="center"/>
          </w:tcPr>
          <w:p w14:paraId="17BD6C7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Posljedice</w:t>
            </w:r>
          </w:p>
        </w:tc>
        <w:tc>
          <w:tcPr>
            <w:tcW w:w="2836" w:type="dxa"/>
            <w:shd w:val="clear" w:color="auto" w:fill="FFC000"/>
            <w:vAlign w:val="center"/>
          </w:tcPr>
          <w:p w14:paraId="58F6F8E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Kriterij (br.st.)</w:t>
            </w:r>
          </w:p>
        </w:tc>
        <w:tc>
          <w:tcPr>
            <w:tcW w:w="1701" w:type="dxa"/>
            <w:shd w:val="clear" w:color="auto" w:fill="FFC000"/>
            <w:vAlign w:val="center"/>
          </w:tcPr>
          <w:p w14:paraId="15B8AB4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ODABRANO</w:t>
            </w:r>
          </w:p>
        </w:tc>
      </w:tr>
      <w:tr w:rsidR="00FF1E38" w:rsidRPr="00FF1E38" w14:paraId="0212DA88" w14:textId="77777777" w:rsidTr="00DE0C9A">
        <w:trPr>
          <w:cantSplit/>
        </w:trPr>
        <w:tc>
          <w:tcPr>
            <w:tcW w:w="1700" w:type="dxa"/>
            <w:vAlign w:val="center"/>
          </w:tcPr>
          <w:p w14:paraId="74A1D87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w:t>
            </w:r>
          </w:p>
        </w:tc>
        <w:tc>
          <w:tcPr>
            <w:tcW w:w="2835" w:type="dxa"/>
            <w:vAlign w:val="center"/>
          </w:tcPr>
          <w:p w14:paraId="7FFA19A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Neznatne</w:t>
            </w:r>
          </w:p>
        </w:tc>
        <w:tc>
          <w:tcPr>
            <w:tcW w:w="2836" w:type="dxa"/>
            <w:vAlign w:val="center"/>
          </w:tcPr>
          <w:p w14:paraId="38B7265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&lt;8</w:t>
            </w:r>
          </w:p>
        </w:tc>
        <w:tc>
          <w:tcPr>
            <w:tcW w:w="1701" w:type="dxa"/>
            <w:vAlign w:val="center"/>
          </w:tcPr>
          <w:p w14:paraId="654779A7"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6F279585" w14:textId="77777777" w:rsidTr="00DE0C9A">
        <w:trPr>
          <w:cantSplit/>
        </w:trPr>
        <w:tc>
          <w:tcPr>
            <w:tcW w:w="1700" w:type="dxa"/>
            <w:shd w:val="clear" w:color="auto" w:fill="FFC000"/>
            <w:vAlign w:val="center"/>
          </w:tcPr>
          <w:p w14:paraId="2856453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w:t>
            </w:r>
          </w:p>
        </w:tc>
        <w:tc>
          <w:tcPr>
            <w:tcW w:w="2835" w:type="dxa"/>
            <w:shd w:val="clear" w:color="auto" w:fill="FFC000"/>
            <w:vAlign w:val="center"/>
          </w:tcPr>
          <w:p w14:paraId="10AAE0A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Malene</w:t>
            </w:r>
          </w:p>
        </w:tc>
        <w:tc>
          <w:tcPr>
            <w:tcW w:w="2836" w:type="dxa"/>
            <w:shd w:val="clear" w:color="auto" w:fill="FFC000"/>
            <w:vAlign w:val="center"/>
          </w:tcPr>
          <w:p w14:paraId="06780BB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8-35</w:t>
            </w:r>
          </w:p>
        </w:tc>
        <w:tc>
          <w:tcPr>
            <w:tcW w:w="1701" w:type="dxa"/>
            <w:shd w:val="clear" w:color="auto" w:fill="FFC000"/>
            <w:vAlign w:val="center"/>
          </w:tcPr>
          <w:p w14:paraId="4666C1DA"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13C04C8E" w14:textId="77777777" w:rsidTr="00DE0C9A">
        <w:trPr>
          <w:cantSplit/>
        </w:trPr>
        <w:tc>
          <w:tcPr>
            <w:tcW w:w="1700" w:type="dxa"/>
            <w:vAlign w:val="center"/>
          </w:tcPr>
          <w:p w14:paraId="5C9FFA8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w:t>
            </w:r>
          </w:p>
        </w:tc>
        <w:tc>
          <w:tcPr>
            <w:tcW w:w="2835" w:type="dxa"/>
            <w:vAlign w:val="center"/>
          </w:tcPr>
          <w:p w14:paraId="005B574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Umjerene</w:t>
            </w:r>
          </w:p>
        </w:tc>
        <w:tc>
          <w:tcPr>
            <w:tcW w:w="2836" w:type="dxa"/>
            <w:vAlign w:val="center"/>
          </w:tcPr>
          <w:p w14:paraId="4B2FFBC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35-85</w:t>
            </w:r>
          </w:p>
        </w:tc>
        <w:tc>
          <w:tcPr>
            <w:tcW w:w="1701" w:type="dxa"/>
            <w:vAlign w:val="center"/>
          </w:tcPr>
          <w:p w14:paraId="0ADB2252"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099B4F57" w14:textId="77777777" w:rsidTr="00DE0C9A">
        <w:trPr>
          <w:cantSplit/>
        </w:trPr>
        <w:tc>
          <w:tcPr>
            <w:tcW w:w="1700" w:type="dxa"/>
            <w:shd w:val="clear" w:color="auto" w:fill="FFC000"/>
            <w:vAlign w:val="center"/>
          </w:tcPr>
          <w:p w14:paraId="53458FD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w:t>
            </w:r>
          </w:p>
        </w:tc>
        <w:tc>
          <w:tcPr>
            <w:tcW w:w="2835" w:type="dxa"/>
            <w:shd w:val="clear" w:color="auto" w:fill="FFC000"/>
            <w:vAlign w:val="center"/>
          </w:tcPr>
          <w:p w14:paraId="2EAD1EE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Znatne</w:t>
            </w:r>
          </w:p>
        </w:tc>
        <w:tc>
          <w:tcPr>
            <w:tcW w:w="2836" w:type="dxa"/>
            <w:shd w:val="clear" w:color="auto" w:fill="FFC000"/>
            <w:vAlign w:val="center"/>
          </w:tcPr>
          <w:p w14:paraId="428742E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85-269</w:t>
            </w:r>
          </w:p>
        </w:tc>
        <w:tc>
          <w:tcPr>
            <w:tcW w:w="1701" w:type="dxa"/>
            <w:shd w:val="clear" w:color="auto" w:fill="FFC000"/>
            <w:vAlign w:val="center"/>
          </w:tcPr>
          <w:p w14:paraId="5A1F9B72"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100DE9DA" w14:textId="77777777" w:rsidTr="00DE0C9A">
        <w:trPr>
          <w:cantSplit/>
        </w:trPr>
        <w:tc>
          <w:tcPr>
            <w:tcW w:w="1700" w:type="dxa"/>
            <w:vAlign w:val="center"/>
          </w:tcPr>
          <w:p w14:paraId="263F77C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w:t>
            </w:r>
          </w:p>
        </w:tc>
        <w:tc>
          <w:tcPr>
            <w:tcW w:w="2835" w:type="dxa"/>
            <w:vAlign w:val="center"/>
          </w:tcPr>
          <w:p w14:paraId="6BE3B9F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Katastrofalne</w:t>
            </w:r>
          </w:p>
        </w:tc>
        <w:tc>
          <w:tcPr>
            <w:tcW w:w="2836" w:type="dxa"/>
            <w:vAlign w:val="center"/>
          </w:tcPr>
          <w:p w14:paraId="1A62A91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&gt;269</w:t>
            </w:r>
          </w:p>
        </w:tc>
        <w:tc>
          <w:tcPr>
            <w:tcW w:w="1701" w:type="dxa"/>
            <w:vAlign w:val="center"/>
          </w:tcPr>
          <w:p w14:paraId="55FE18E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r>
    </w:tbl>
    <w:p w14:paraId="00D10FD0"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6F585A34" w14:textId="77777777" w:rsidR="00FF1E38" w:rsidRPr="00D2785F" w:rsidRDefault="00FF1E38" w:rsidP="00FF1E38">
      <w:pPr>
        <w:spacing w:after="0" w:line="240" w:lineRule="auto"/>
        <w:ind w:left="0" w:right="0" w:firstLine="709"/>
        <w:rPr>
          <w:rFonts w:ascii="Times New Roman" w:hAnsi="Times New Roman" w:cs="Times New Roman"/>
          <w:b/>
          <w:i/>
          <w:sz w:val="24"/>
        </w:rPr>
      </w:pPr>
      <w:r w:rsidRPr="00D2785F">
        <w:rPr>
          <w:rFonts w:ascii="Times New Roman" w:hAnsi="Times New Roman" w:cs="Times New Roman"/>
          <w:b/>
          <w:i/>
          <w:sz w:val="24"/>
        </w:rPr>
        <w:t>6.2.5.1.2. Gospodarstvo</w:t>
      </w:r>
    </w:p>
    <w:p w14:paraId="2B896D36"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okviru štete u gospodarstvu promatrane su posljedice poplava na gospodarske aktivnosti i zemljišni pokrov unutar poplavnog područja. Svaka vrsta korištenja zemljišta je povezana s odgovarajućim bazama podataka CORINE Land cover 2006. Proračun gospodarskih šteta je proveden na osnovi metodologije NACER. Poplava na području Grada Zagreba kojoj je uzrok pucanje nasipa nanijela bi velike gospodarske štete koje se procjenjuju kao katastrofalne.</w:t>
      </w:r>
    </w:p>
    <w:p w14:paraId="522F7A6C" w14:textId="77777777" w:rsidR="00FF1E38" w:rsidRPr="00FF1E38" w:rsidRDefault="00FF1E38" w:rsidP="00FF1E38">
      <w:pPr>
        <w:spacing w:after="0" w:line="240" w:lineRule="auto"/>
        <w:ind w:right="0"/>
        <w:rPr>
          <w:rFonts w:ascii="Times New Roman" w:hAnsi="Times New Roman" w:cs="Times New Roman"/>
          <w:sz w:val="24"/>
        </w:rPr>
      </w:pPr>
    </w:p>
    <w:p w14:paraId="027857DB" w14:textId="4737EF09" w:rsidR="00FF1E38" w:rsidRPr="00B01260" w:rsidRDefault="00FF1E38" w:rsidP="00645B0F">
      <w:pPr>
        <w:spacing w:line="240" w:lineRule="auto"/>
        <w:ind w:left="0" w:right="0" w:firstLine="0"/>
        <w:jc w:val="center"/>
        <w:rPr>
          <w:rFonts w:ascii="Times New Roman" w:hAnsi="Times New Roman" w:cs="Times New Roman"/>
          <w:b/>
          <w:color w:val="auto"/>
          <w:sz w:val="24"/>
        </w:rPr>
      </w:pPr>
      <w:r w:rsidRPr="00B01260">
        <w:rPr>
          <w:rFonts w:ascii="Times New Roman" w:hAnsi="Times New Roman" w:cs="Times New Roman"/>
          <w:b/>
          <w:color w:val="auto"/>
          <w:sz w:val="24"/>
        </w:rPr>
        <w:t xml:space="preserve">Tablica </w:t>
      </w:r>
      <w:r w:rsidR="00B01260" w:rsidRPr="00B01260">
        <w:rPr>
          <w:rFonts w:ascii="Times New Roman" w:hAnsi="Times New Roman" w:cs="Times New Roman"/>
          <w:b/>
          <w:color w:val="auto"/>
          <w:sz w:val="24"/>
        </w:rPr>
        <w:t>68</w:t>
      </w:r>
      <w:r w:rsidRPr="00B01260">
        <w:rPr>
          <w:rFonts w:ascii="Times New Roman" w:hAnsi="Times New Roman" w:cs="Times New Roman"/>
          <w:b/>
          <w:color w:val="auto"/>
          <w:sz w:val="24"/>
        </w:rPr>
        <w:t>. Vrijednost kriterija za posljedice na gospodarstvo po kategorijama</w:t>
      </w:r>
    </w:p>
    <w:tbl>
      <w:tblPr>
        <w:tblStyle w:val="TableGrid"/>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01"/>
        <w:gridCol w:w="2835"/>
        <w:gridCol w:w="2835"/>
        <w:gridCol w:w="1701"/>
      </w:tblGrid>
      <w:tr w:rsidR="00FF1E38" w:rsidRPr="00FF1E38" w14:paraId="50857941" w14:textId="77777777" w:rsidTr="00645B0F">
        <w:trPr>
          <w:cantSplit/>
          <w:tblHeader/>
        </w:trPr>
        <w:tc>
          <w:tcPr>
            <w:tcW w:w="9072" w:type="dxa"/>
            <w:gridSpan w:val="4"/>
            <w:shd w:val="clear" w:color="auto" w:fill="FFC000"/>
            <w:vAlign w:val="center"/>
          </w:tcPr>
          <w:p w14:paraId="6DEA4C7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Gospodarstvo - poplava</w:t>
            </w:r>
          </w:p>
        </w:tc>
      </w:tr>
      <w:tr w:rsidR="00FF1E38" w:rsidRPr="00FF1E38" w14:paraId="3A36B658" w14:textId="77777777" w:rsidTr="00DE0C9A">
        <w:trPr>
          <w:cantSplit/>
          <w:tblHeader/>
        </w:trPr>
        <w:tc>
          <w:tcPr>
            <w:tcW w:w="1701" w:type="dxa"/>
            <w:shd w:val="clear" w:color="auto" w:fill="FFC000"/>
            <w:vAlign w:val="center"/>
          </w:tcPr>
          <w:p w14:paraId="2B8999A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Kategorija</w:t>
            </w:r>
          </w:p>
        </w:tc>
        <w:tc>
          <w:tcPr>
            <w:tcW w:w="2835" w:type="dxa"/>
            <w:shd w:val="clear" w:color="auto" w:fill="FFC000"/>
            <w:vAlign w:val="center"/>
          </w:tcPr>
          <w:p w14:paraId="58D7F90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Posljedice</w:t>
            </w:r>
          </w:p>
        </w:tc>
        <w:tc>
          <w:tcPr>
            <w:tcW w:w="2835" w:type="dxa"/>
            <w:shd w:val="clear" w:color="auto" w:fill="FFC000"/>
            <w:vAlign w:val="center"/>
          </w:tcPr>
          <w:p w14:paraId="707A44B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Kriteriji (kn)</w:t>
            </w:r>
          </w:p>
        </w:tc>
        <w:tc>
          <w:tcPr>
            <w:tcW w:w="1701" w:type="dxa"/>
            <w:shd w:val="clear" w:color="auto" w:fill="FFC000"/>
            <w:vAlign w:val="center"/>
          </w:tcPr>
          <w:p w14:paraId="1DAABD8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ODABRANO</w:t>
            </w:r>
          </w:p>
        </w:tc>
      </w:tr>
      <w:tr w:rsidR="00FF1E38" w:rsidRPr="00FF1E38" w14:paraId="76C55CFC" w14:textId="77777777" w:rsidTr="00DE0C9A">
        <w:trPr>
          <w:cantSplit/>
        </w:trPr>
        <w:tc>
          <w:tcPr>
            <w:tcW w:w="1701" w:type="dxa"/>
            <w:vAlign w:val="center"/>
          </w:tcPr>
          <w:p w14:paraId="5FFE2BE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w:t>
            </w:r>
          </w:p>
        </w:tc>
        <w:tc>
          <w:tcPr>
            <w:tcW w:w="2835" w:type="dxa"/>
            <w:vAlign w:val="center"/>
          </w:tcPr>
          <w:p w14:paraId="34E81AC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Neznatne</w:t>
            </w:r>
          </w:p>
        </w:tc>
        <w:tc>
          <w:tcPr>
            <w:tcW w:w="2835" w:type="dxa"/>
            <w:vAlign w:val="center"/>
          </w:tcPr>
          <w:p w14:paraId="4757616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75.634.600 - 151.269.100</w:t>
            </w:r>
          </w:p>
        </w:tc>
        <w:tc>
          <w:tcPr>
            <w:tcW w:w="1701" w:type="dxa"/>
            <w:vAlign w:val="center"/>
          </w:tcPr>
          <w:p w14:paraId="7E3FF5CB"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61C699D6" w14:textId="77777777" w:rsidTr="00DE0C9A">
        <w:trPr>
          <w:cantSplit/>
        </w:trPr>
        <w:tc>
          <w:tcPr>
            <w:tcW w:w="1701" w:type="dxa"/>
            <w:shd w:val="clear" w:color="auto" w:fill="FFC000"/>
            <w:vAlign w:val="center"/>
          </w:tcPr>
          <w:p w14:paraId="0C8D33A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w:t>
            </w:r>
          </w:p>
        </w:tc>
        <w:tc>
          <w:tcPr>
            <w:tcW w:w="2835" w:type="dxa"/>
            <w:shd w:val="clear" w:color="auto" w:fill="FFC000"/>
            <w:vAlign w:val="center"/>
          </w:tcPr>
          <w:p w14:paraId="200323C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Malene</w:t>
            </w:r>
          </w:p>
        </w:tc>
        <w:tc>
          <w:tcPr>
            <w:tcW w:w="2835" w:type="dxa"/>
            <w:shd w:val="clear" w:color="auto" w:fill="FFC000"/>
            <w:vAlign w:val="center"/>
          </w:tcPr>
          <w:p w14:paraId="33802CC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151.269.100 - 756.345.600</w:t>
            </w:r>
          </w:p>
        </w:tc>
        <w:tc>
          <w:tcPr>
            <w:tcW w:w="1701" w:type="dxa"/>
            <w:shd w:val="clear" w:color="auto" w:fill="FFC000"/>
            <w:vAlign w:val="center"/>
          </w:tcPr>
          <w:p w14:paraId="5743DEC9"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21AB13F2" w14:textId="77777777" w:rsidTr="00DE0C9A">
        <w:trPr>
          <w:cantSplit/>
        </w:trPr>
        <w:tc>
          <w:tcPr>
            <w:tcW w:w="1701" w:type="dxa"/>
            <w:vAlign w:val="center"/>
          </w:tcPr>
          <w:p w14:paraId="1B08984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w:t>
            </w:r>
          </w:p>
        </w:tc>
        <w:tc>
          <w:tcPr>
            <w:tcW w:w="2835" w:type="dxa"/>
            <w:vAlign w:val="center"/>
          </w:tcPr>
          <w:p w14:paraId="33C5FCE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Umjerene</w:t>
            </w:r>
          </w:p>
        </w:tc>
        <w:tc>
          <w:tcPr>
            <w:tcW w:w="2835" w:type="dxa"/>
            <w:vAlign w:val="center"/>
          </w:tcPr>
          <w:p w14:paraId="4D85385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756.345.600 - 2.269.036.800</w:t>
            </w:r>
          </w:p>
        </w:tc>
        <w:tc>
          <w:tcPr>
            <w:tcW w:w="1701" w:type="dxa"/>
            <w:vAlign w:val="center"/>
          </w:tcPr>
          <w:p w14:paraId="0ACE2697"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5414FBA9" w14:textId="77777777" w:rsidTr="00DE0C9A">
        <w:trPr>
          <w:cantSplit/>
        </w:trPr>
        <w:tc>
          <w:tcPr>
            <w:tcW w:w="1701" w:type="dxa"/>
            <w:shd w:val="clear" w:color="auto" w:fill="FFC000"/>
            <w:vAlign w:val="center"/>
          </w:tcPr>
          <w:p w14:paraId="3B29016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w:t>
            </w:r>
          </w:p>
        </w:tc>
        <w:tc>
          <w:tcPr>
            <w:tcW w:w="2835" w:type="dxa"/>
            <w:shd w:val="clear" w:color="auto" w:fill="FFC000"/>
            <w:vAlign w:val="center"/>
          </w:tcPr>
          <w:p w14:paraId="2F26D79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Znatne</w:t>
            </w:r>
          </w:p>
        </w:tc>
        <w:tc>
          <w:tcPr>
            <w:tcW w:w="2835" w:type="dxa"/>
            <w:shd w:val="clear" w:color="auto" w:fill="FFC000"/>
            <w:vAlign w:val="center"/>
          </w:tcPr>
          <w:p w14:paraId="002A285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2.269.036.800 - 3.781.727.900</w:t>
            </w:r>
          </w:p>
        </w:tc>
        <w:tc>
          <w:tcPr>
            <w:tcW w:w="1701" w:type="dxa"/>
            <w:shd w:val="clear" w:color="auto" w:fill="FFC000"/>
            <w:vAlign w:val="center"/>
          </w:tcPr>
          <w:p w14:paraId="6C5A023E"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5501D45E" w14:textId="77777777" w:rsidTr="00DE0C9A">
        <w:trPr>
          <w:cantSplit/>
        </w:trPr>
        <w:tc>
          <w:tcPr>
            <w:tcW w:w="1701" w:type="dxa"/>
            <w:vAlign w:val="center"/>
          </w:tcPr>
          <w:p w14:paraId="4407634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w:t>
            </w:r>
          </w:p>
        </w:tc>
        <w:tc>
          <w:tcPr>
            <w:tcW w:w="2835" w:type="dxa"/>
            <w:vAlign w:val="center"/>
          </w:tcPr>
          <w:p w14:paraId="6A786F4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Katastrofalne</w:t>
            </w:r>
          </w:p>
        </w:tc>
        <w:tc>
          <w:tcPr>
            <w:tcW w:w="2835" w:type="dxa"/>
            <w:vAlign w:val="center"/>
          </w:tcPr>
          <w:p w14:paraId="295325B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&gt;3.781.727.900</w:t>
            </w:r>
          </w:p>
        </w:tc>
        <w:tc>
          <w:tcPr>
            <w:tcW w:w="1701" w:type="dxa"/>
            <w:vAlign w:val="center"/>
          </w:tcPr>
          <w:p w14:paraId="75DA5BD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r>
    </w:tbl>
    <w:p w14:paraId="423CF9D5" w14:textId="77777777" w:rsidR="00FF1E38" w:rsidRPr="00FF1E38" w:rsidRDefault="00FF1E38" w:rsidP="00FF1E38">
      <w:pPr>
        <w:spacing w:after="160" w:line="259" w:lineRule="auto"/>
        <w:ind w:left="0" w:right="0" w:firstLine="0"/>
        <w:jc w:val="left"/>
        <w:rPr>
          <w:rFonts w:ascii="Times New Roman" w:hAnsi="Times New Roman" w:cs="Times New Roman"/>
          <w:sz w:val="24"/>
        </w:rPr>
      </w:pPr>
    </w:p>
    <w:p w14:paraId="3849387F"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S obzirom na brojnost objekata stanovanja, okućnica, gospodarskih objekata, kritične infrastrukture te druge vrijednosti, štete kod najvećih mogućih poplava na području Grada Zagreba imaju sva obilježja katastrofe. Od izravnih šteta nastat će štete na pokretnoj i nepokretnoj imovini, na sredstvima za proizvodnju i rad. Također nastat će trošak sanacije, </w:t>
      </w:r>
      <w:r w:rsidRPr="00FF1E38">
        <w:rPr>
          <w:rFonts w:ascii="Times New Roman" w:hAnsi="Times New Roman" w:cs="Times New Roman"/>
          <w:sz w:val="24"/>
        </w:rPr>
        <w:lastRenderedPageBreak/>
        <w:t>oporavka i asanacije, gubitak dobiti. Od neizravnih šteta nastat će troškovi izostanka zaposlenika sa svojih radnih mjesta.</w:t>
      </w:r>
    </w:p>
    <w:p w14:paraId="6C092AFD" w14:textId="77777777" w:rsidR="00FF1E38" w:rsidRPr="00FF1E38" w:rsidRDefault="00FF1E38" w:rsidP="00FF1E38">
      <w:pPr>
        <w:spacing w:after="0" w:line="240" w:lineRule="auto"/>
        <w:ind w:right="0"/>
        <w:rPr>
          <w:rFonts w:ascii="Times New Roman" w:hAnsi="Times New Roman" w:cs="Times New Roman"/>
          <w:sz w:val="24"/>
        </w:rPr>
      </w:pPr>
    </w:p>
    <w:p w14:paraId="36C3175C" w14:textId="77777777" w:rsidR="00FF1E38" w:rsidRPr="00D2785F" w:rsidRDefault="00FF1E38" w:rsidP="00FF1E38">
      <w:pPr>
        <w:spacing w:after="0" w:line="240" w:lineRule="auto"/>
        <w:ind w:left="0" w:right="0" w:firstLine="709"/>
        <w:rPr>
          <w:rFonts w:ascii="Times New Roman" w:hAnsi="Times New Roman" w:cs="Times New Roman"/>
          <w:b/>
          <w:i/>
          <w:sz w:val="24"/>
        </w:rPr>
      </w:pPr>
      <w:r w:rsidRPr="00D2785F">
        <w:rPr>
          <w:rFonts w:ascii="Times New Roman" w:hAnsi="Times New Roman" w:cs="Times New Roman"/>
          <w:b/>
          <w:i/>
          <w:sz w:val="24"/>
        </w:rPr>
        <w:t>6.2.5.1.3. Društvena stabilnost i politika</w:t>
      </w:r>
    </w:p>
    <w:p w14:paraId="7563EA2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Proračun štete za društvenu stabilnost i politiku proveden je također na osnovi metodologije NACER. Idejni koncept se temelji na raspoloživim podacima. Radi nedostupnosti podataka o kritičnoj infrastrukturi i građevinama javnog društvenog značaja, a imajući u vidu postojeća iskustva, stručno je procijenjeno da štete na njima sudjeluju u ukupnoj šteti na izgrađenim područjima s po 25 %. Posljedice na društvenu stabilnost i politiku procijenjene su kao katastrofalne.</w:t>
      </w:r>
    </w:p>
    <w:p w14:paraId="151BC4A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Kada je riječ o posljedicama po kritičnu infrastrukturu može doći do oštećenja dijelova sustava (trafostanica, dalekovoda, stupova el. mreže) i do prekida napajanja električnom energijom što može dovesti do otežanog redovitog funkcioniranja tvrtki i kućanstava.</w:t>
      </w:r>
    </w:p>
    <w:p w14:paraId="6554CBEE"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Posebno je ugroženo postrojenje TE-TO koje se nalazi blizu rijeke Save pa će biti prvo na udaru poplavnog vala.</w:t>
      </w:r>
    </w:p>
    <w:p w14:paraId="01205450"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prometnom sektoru moguće je oštećenje prometnica i otežano odvijanje redovitog funkcioniranja prometa te rušenje ili teško oštećenje mostova. Kada je o vodnom gospodarstvu riječ, moguće je zamućenje izvora pitke vode i nemogućnosti redovite opskrbe pitkom vodom zbog uništenja infrastrukture. Komunikacijska tehnologija će na poplavljenom području otkazati zbog prekida u opskrbi električnom energijom i preopterećenja mreža te oštećenja podzemnih kabela. Izgledno je očekivati prekid TV i radijskog programa zbog poplavljivanja zgrade Hrvatske radiotelevizije. Bolnički objekti osim pojedinih domova zdravlja neće biti znatnije ugroženi poplavom, ali će biti veliki pritisak na kapacitete zdravstvenih ustanova.</w:t>
      </w:r>
    </w:p>
    <w:p w14:paraId="504F3549" w14:textId="77777777" w:rsidR="00FF1E38" w:rsidRPr="00FF1E38" w:rsidRDefault="00FF1E38" w:rsidP="00FF1E38">
      <w:pPr>
        <w:spacing w:after="0" w:line="240" w:lineRule="auto"/>
        <w:ind w:right="0"/>
        <w:rPr>
          <w:rFonts w:ascii="Times New Roman" w:hAnsi="Times New Roman" w:cs="Times New Roman"/>
          <w:sz w:val="24"/>
        </w:rPr>
      </w:pPr>
    </w:p>
    <w:p w14:paraId="09BC2284" w14:textId="3556362C" w:rsidR="00FF1E38" w:rsidRPr="00FF1E38" w:rsidRDefault="00FF1E38" w:rsidP="00645B0F">
      <w:pPr>
        <w:spacing w:line="240" w:lineRule="auto"/>
        <w:ind w:left="0" w:right="0" w:firstLine="0"/>
        <w:jc w:val="center"/>
        <w:rPr>
          <w:rFonts w:ascii="Times New Roman" w:hAnsi="Times New Roman" w:cs="Times New Roman"/>
          <w:b/>
          <w:sz w:val="24"/>
        </w:rPr>
      </w:pPr>
      <w:r w:rsidRPr="00B01260">
        <w:rPr>
          <w:rFonts w:ascii="Times New Roman" w:hAnsi="Times New Roman" w:cs="Times New Roman"/>
          <w:b/>
          <w:color w:val="auto"/>
          <w:sz w:val="24"/>
        </w:rPr>
        <w:t xml:space="preserve">Tablica </w:t>
      </w:r>
      <w:r w:rsidR="00B01260" w:rsidRPr="00B01260">
        <w:rPr>
          <w:rFonts w:ascii="Times New Roman" w:hAnsi="Times New Roman" w:cs="Times New Roman"/>
          <w:b/>
          <w:color w:val="auto"/>
          <w:sz w:val="24"/>
        </w:rPr>
        <w:t>69</w:t>
      </w:r>
      <w:r w:rsidRPr="00B01260">
        <w:rPr>
          <w:rFonts w:ascii="Times New Roman" w:hAnsi="Times New Roman" w:cs="Times New Roman"/>
          <w:b/>
          <w:color w:val="auto"/>
          <w:sz w:val="24"/>
        </w:rPr>
        <w:t xml:space="preserve">. Vrijednost kriterija za posljedice na društvenu stabilnost i politiku - </w:t>
      </w:r>
      <w:r w:rsidRPr="00FF1E38">
        <w:rPr>
          <w:rFonts w:ascii="Times New Roman" w:hAnsi="Times New Roman" w:cs="Times New Roman"/>
          <w:b/>
          <w:sz w:val="24"/>
        </w:rPr>
        <w:t xml:space="preserve">oštećena kritična infrastruktura </w:t>
      </w:r>
    </w:p>
    <w:tbl>
      <w:tblPr>
        <w:tblStyle w:val="TableGrid11"/>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01"/>
        <w:gridCol w:w="2835"/>
        <w:gridCol w:w="2972"/>
        <w:gridCol w:w="1564"/>
      </w:tblGrid>
      <w:tr w:rsidR="00FF1E38" w:rsidRPr="00FF1E38" w14:paraId="7FBF6C52" w14:textId="77777777" w:rsidTr="00DE0C9A">
        <w:trPr>
          <w:cantSplit/>
        </w:trPr>
        <w:tc>
          <w:tcPr>
            <w:tcW w:w="9072" w:type="dxa"/>
            <w:gridSpan w:val="4"/>
            <w:shd w:val="clear" w:color="auto" w:fill="FFC000"/>
            <w:vAlign w:val="center"/>
          </w:tcPr>
          <w:p w14:paraId="3136008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Gospodarstvo – poplava</w:t>
            </w:r>
          </w:p>
        </w:tc>
      </w:tr>
      <w:tr w:rsidR="00FF1E38" w:rsidRPr="00FF1E38" w14:paraId="03F1FC25" w14:textId="77777777" w:rsidTr="00DE0C9A">
        <w:trPr>
          <w:cantSplit/>
        </w:trPr>
        <w:tc>
          <w:tcPr>
            <w:tcW w:w="1701" w:type="dxa"/>
            <w:shd w:val="clear" w:color="auto" w:fill="FFC000"/>
            <w:vAlign w:val="center"/>
          </w:tcPr>
          <w:p w14:paraId="6DAB7CD9" w14:textId="77777777" w:rsidR="00FF1E38" w:rsidRPr="00FF1E38" w:rsidRDefault="00FF1E38" w:rsidP="00FF1E38">
            <w:pPr>
              <w:spacing w:after="0" w:line="240" w:lineRule="auto"/>
              <w:ind w:left="0" w:right="0" w:firstLine="0"/>
              <w:jc w:val="center"/>
              <w:rPr>
                <w:rFonts w:ascii="Times New Roman" w:hAnsi="Times New Roman" w:cs="Times New Roman"/>
                <w:sz w:val="24"/>
                <w:szCs w:val="24"/>
              </w:rPr>
            </w:pPr>
            <w:r w:rsidRPr="00FF1E38">
              <w:rPr>
                <w:rFonts w:ascii="Times New Roman" w:hAnsi="Times New Roman" w:cs="Times New Roman"/>
                <w:b/>
                <w:sz w:val="24"/>
                <w:szCs w:val="24"/>
              </w:rPr>
              <w:t>Kategorija</w:t>
            </w:r>
          </w:p>
        </w:tc>
        <w:tc>
          <w:tcPr>
            <w:tcW w:w="2835" w:type="dxa"/>
            <w:shd w:val="clear" w:color="auto" w:fill="FFC000"/>
            <w:vAlign w:val="center"/>
          </w:tcPr>
          <w:p w14:paraId="66E182C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Posljedice</w:t>
            </w:r>
          </w:p>
        </w:tc>
        <w:tc>
          <w:tcPr>
            <w:tcW w:w="2972" w:type="dxa"/>
            <w:shd w:val="clear" w:color="auto" w:fill="FFC000"/>
            <w:vAlign w:val="center"/>
          </w:tcPr>
          <w:p w14:paraId="7463B09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Kriteriji (kn)</w:t>
            </w:r>
          </w:p>
        </w:tc>
        <w:tc>
          <w:tcPr>
            <w:tcW w:w="1564" w:type="dxa"/>
            <w:shd w:val="clear" w:color="auto" w:fill="FFC000"/>
            <w:vAlign w:val="center"/>
          </w:tcPr>
          <w:p w14:paraId="2F7A5A9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ODABRANO</w:t>
            </w:r>
          </w:p>
        </w:tc>
      </w:tr>
      <w:tr w:rsidR="00FF1E38" w:rsidRPr="00FF1E38" w14:paraId="1BCB1C50" w14:textId="77777777" w:rsidTr="00DE0C9A">
        <w:trPr>
          <w:cantSplit/>
        </w:trPr>
        <w:tc>
          <w:tcPr>
            <w:tcW w:w="1701" w:type="dxa"/>
            <w:vAlign w:val="center"/>
          </w:tcPr>
          <w:p w14:paraId="7562CE23" w14:textId="77777777" w:rsidR="00FF1E38" w:rsidRPr="00FF1E38" w:rsidRDefault="00FF1E38" w:rsidP="00FF1E38">
            <w:pPr>
              <w:spacing w:after="0" w:line="240" w:lineRule="auto"/>
              <w:ind w:left="0" w:right="0" w:firstLine="0"/>
              <w:jc w:val="center"/>
              <w:rPr>
                <w:rFonts w:ascii="Times New Roman" w:hAnsi="Times New Roman" w:cs="Times New Roman"/>
                <w:sz w:val="24"/>
                <w:szCs w:val="24"/>
              </w:rPr>
            </w:pPr>
            <w:r w:rsidRPr="00FF1E38">
              <w:rPr>
                <w:rFonts w:ascii="Times New Roman" w:hAnsi="Times New Roman" w:cs="Times New Roman"/>
                <w:sz w:val="24"/>
                <w:szCs w:val="24"/>
              </w:rPr>
              <w:t>1.</w:t>
            </w:r>
          </w:p>
        </w:tc>
        <w:tc>
          <w:tcPr>
            <w:tcW w:w="2835" w:type="dxa"/>
            <w:vAlign w:val="center"/>
          </w:tcPr>
          <w:p w14:paraId="6A8B057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Neznatne</w:t>
            </w:r>
          </w:p>
        </w:tc>
        <w:tc>
          <w:tcPr>
            <w:tcW w:w="2972" w:type="dxa"/>
            <w:vAlign w:val="center"/>
          </w:tcPr>
          <w:p w14:paraId="725E27C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75.634.600 - 151.269.100</w:t>
            </w:r>
          </w:p>
        </w:tc>
        <w:tc>
          <w:tcPr>
            <w:tcW w:w="1564" w:type="dxa"/>
            <w:vAlign w:val="center"/>
          </w:tcPr>
          <w:p w14:paraId="212822C8"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342AF6DD" w14:textId="77777777" w:rsidTr="00DE0C9A">
        <w:trPr>
          <w:cantSplit/>
        </w:trPr>
        <w:tc>
          <w:tcPr>
            <w:tcW w:w="1701" w:type="dxa"/>
            <w:shd w:val="clear" w:color="auto" w:fill="FFC000"/>
            <w:vAlign w:val="center"/>
          </w:tcPr>
          <w:p w14:paraId="5A09F1BE" w14:textId="77777777" w:rsidR="00FF1E38" w:rsidRPr="00FF1E38" w:rsidRDefault="00FF1E38" w:rsidP="00FF1E38">
            <w:pPr>
              <w:spacing w:after="0" w:line="240" w:lineRule="auto"/>
              <w:ind w:left="0" w:right="0" w:firstLine="0"/>
              <w:jc w:val="center"/>
              <w:rPr>
                <w:rFonts w:ascii="Times New Roman" w:hAnsi="Times New Roman" w:cs="Times New Roman"/>
                <w:sz w:val="24"/>
                <w:szCs w:val="24"/>
              </w:rPr>
            </w:pPr>
            <w:r w:rsidRPr="00FF1E38">
              <w:rPr>
                <w:rFonts w:ascii="Times New Roman" w:hAnsi="Times New Roman" w:cs="Times New Roman"/>
                <w:sz w:val="24"/>
                <w:szCs w:val="24"/>
              </w:rPr>
              <w:t>2.</w:t>
            </w:r>
          </w:p>
        </w:tc>
        <w:tc>
          <w:tcPr>
            <w:tcW w:w="2835" w:type="dxa"/>
            <w:shd w:val="clear" w:color="auto" w:fill="FFC000"/>
            <w:vAlign w:val="center"/>
          </w:tcPr>
          <w:p w14:paraId="4A8BE73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Malene</w:t>
            </w:r>
          </w:p>
        </w:tc>
        <w:tc>
          <w:tcPr>
            <w:tcW w:w="2972" w:type="dxa"/>
            <w:shd w:val="clear" w:color="auto" w:fill="FFC000"/>
            <w:vAlign w:val="center"/>
          </w:tcPr>
          <w:p w14:paraId="7431A64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151.269.100 - 756.345.600</w:t>
            </w:r>
          </w:p>
        </w:tc>
        <w:tc>
          <w:tcPr>
            <w:tcW w:w="1564" w:type="dxa"/>
            <w:shd w:val="clear" w:color="auto" w:fill="FFC000"/>
            <w:vAlign w:val="center"/>
          </w:tcPr>
          <w:p w14:paraId="2FC503AE"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75F6AB65" w14:textId="77777777" w:rsidTr="00DE0C9A">
        <w:trPr>
          <w:cantSplit/>
        </w:trPr>
        <w:tc>
          <w:tcPr>
            <w:tcW w:w="1701" w:type="dxa"/>
            <w:vAlign w:val="center"/>
          </w:tcPr>
          <w:p w14:paraId="6F4D4F27" w14:textId="77777777" w:rsidR="00FF1E38" w:rsidRPr="00FF1E38" w:rsidRDefault="00FF1E38" w:rsidP="00FF1E38">
            <w:pPr>
              <w:spacing w:after="0" w:line="240" w:lineRule="auto"/>
              <w:ind w:left="0" w:right="0" w:firstLine="0"/>
              <w:jc w:val="center"/>
              <w:rPr>
                <w:rFonts w:ascii="Times New Roman" w:hAnsi="Times New Roman" w:cs="Times New Roman"/>
                <w:sz w:val="24"/>
                <w:szCs w:val="24"/>
              </w:rPr>
            </w:pPr>
            <w:r w:rsidRPr="00FF1E38">
              <w:rPr>
                <w:rFonts w:ascii="Times New Roman" w:hAnsi="Times New Roman" w:cs="Times New Roman"/>
                <w:sz w:val="24"/>
                <w:szCs w:val="24"/>
              </w:rPr>
              <w:t>3.</w:t>
            </w:r>
          </w:p>
        </w:tc>
        <w:tc>
          <w:tcPr>
            <w:tcW w:w="2835" w:type="dxa"/>
            <w:vAlign w:val="center"/>
          </w:tcPr>
          <w:p w14:paraId="03E2875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Umjerene</w:t>
            </w:r>
          </w:p>
        </w:tc>
        <w:tc>
          <w:tcPr>
            <w:tcW w:w="2972" w:type="dxa"/>
            <w:vAlign w:val="center"/>
          </w:tcPr>
          <w:p w14:paraId="246E543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756.345.600 - 2.269.036.800</w:t>
            </w:r>
          </w:p>
        </w:tc>
        <w:tc>
          <w:tcPr>
            <w:tcW w:w="1564" w:type="dxa"/>
            <w:vAlign w:val="center"/>
          </w:tcPr>
          <w:p w14:paraId="37A2A73D"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28392729" w14:textId="77777777" w:rsidTr="00DE0C9A">
        <w:trPr>
          <w:cantSplit/>
        </w:trPr>
        <w:tc>
          <w:tcPr>
            <w:tcW w:w="1701" w:type="dxa"/>
            <w:shd w:val="clear" w:color="auto" w:fill="FFC000"/>
            <w:vAlign w:val="center"/>
          </w:tcPr>
          <w:p w14:paraId="131A3289" w14:textId="77777777" w:rsidR="00FF1E38" w:rsidRPr="00FF1E38" w:rsidRDefault="00FF1E38" w:rsidP="00FF1E38">
            <w:pPr>
              <w:spacing w:after="0" w:line="240" w:lineRule="auto"/>
              <w:ind w:left="0" w:right="0" w:firstLine="0"/>
              <w:jc w:val="center"/>
              <w:rPr>
                <w:rFonts w:ascii="Times New Roman" w:hAnsi="Times New Roman" w:cs="Times New Roman"/>
                <w:sz w:val="24"/>
                <w:szCs w:val="24"/>
              </w:rPr>
            </w:pPr>
            <w:r w:rsidRPr="00FF1E38">
              <w:rPr>
                <w:rFonts w:ascii="Times New Roman" w:hAnsi="Times New Roman" w:cs="Times New Roman"/>
                <w:sz w:val="24"/>
                <w:szCs w:val="24"/>
              </w:rPr>
              <w:t>4.</w:t>
            </w:r>
          </w:p>
        </w:tc>
        <w:tc>
          <w:tcPr>
            <w:tcW w:w="2835" w:type="dxa"/>
            <w:shd w:val="clear" w:color="auto" w:fill="FFC000"/>
            <w:vAlign w:val="center"/>
          </w:tcPr>
          <w:p w14:paraId="6F117A8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Znatne</w:t>
            </w:r>
          </w:p>
        </w:tc>
        <w:tc>
          <w:tcPr>
            <w:tcW w:w="2972" w:type="dxa"/>
            <w:shd w:val="clear" w:color="auto" w:fill="FFC000"/>
            <w:vAlign w:val="center"/>
          </w:tcPr>
          <w:p w14:paraId="0C964ED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2.269.036.800 - 3.781.727.900</w:t>
            </w:r>
          </w:p>
        </w:tc>
        <w:tc>
          <w:tcPr>
            <w:tcW w:w="1564" w:type="dxa"/>
            <w:shd w:val="clear" w:color="auto" w:fill="FFC000"/>
            <w:vAlign w:val="center"/>
          </w:tcPr>
          <w:p w14:paraId="7D5B076F"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53C9B6AD" w14:textId="77777777" w:rsidTr="00DE0C9A">
        <w:trPr>
          <w:cantSplit/>
        </w:trPr>
        <w:tc>
          <w:tcPr>
            <w:tcW w:w="1701" w:type="dxa"/>
            <w:vAlign w:val="center"/>
          </w:tcPr>
          <w:p w14:paraId="33A010DC" w14:textId="77777777" w:rsidR="00FF1E38" w:rsidRPr="00FF1E38" w:rsidRDefault="00FF1E38" w:rsidP="00FF1E38">
            <w:pPr>
              <w:spacing w:after="0" w:line="240" w:lineRule="auto"/>
              <w:ind w:left="0" w:right="0" w:firstLine="0"/>
              <w:jc w:val="center"/>
              <w:rPr>
                <w:rFonts w:ascii="Times New Roman" w:hAnsi="Times New Roman" w:cs="Times New Roman"/>
                <w:sz w:val="24"/>
                <w:szCs w:val="24"/>
              </w:rPr>
            </w:pPr>
            <w:r w:rsidRPr="00FF1E38">
              <w:rPr>
                <w:rFonts w:ascii="Times New Roman" w:hAnsi="Times New Roman" w:cs="Times New Roman"/>
                <w:sz w:val="24"/>
                <w:szCs w:val="24"/>
              </w:rPr>
              <w:t>5.</w:t>
            </w:r>
          </w:p>
        </w:tc>
        <w:tc>
          <w:tcPr>
            <w:tcW w:w="2835" w:type="dxa"/>
            <w:vAlign w:val="center"/>
          </w:tcPr>
          <w:p w14:paraId="1EB38DE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Katastrofalne</w:t>
            </w:r>
          </w:p>
        </w:tc>
        <w:tc>
          <w:tcPr>
            <w:tcW w:w="2972" w:type="dxa"/>
            <w:vAlign w:val="center"/>
          </w:tcPr>
          <w:p w14:paraId="6957C9C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&gt;3.781.727.900</w:t>
            </w:r>
          </w:p>
        </w:tc>
        <w:tc>
          <w:tcPr>
            <w:tcW w:w="1564" w:type="dxa"/>
            <w:vAlign w:val="center"/>
          </w:tcPr>
          <w:p w14:paraId="67E4E8F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r>
    </w:tbl>
    <w:p w14:paraId="7C71E31C"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3822A853" w14:textId="4032CD5E" w:rsidR="00FF1E38" w:rsidRPr="00FF1E38" w:rsidRDefault="00FF1E38" w:rsidP="00645B0F">
      <w:pPr>
        <w:spacing w:line="240" w:lineRule="auto"/>
        <w:ind w:left="0" w:right="0" w:firstLine="0"/>
        <w:jc w:val="center"/>
        <w:rPr>
          <w:rFonts w:ascii="Times New Roman" w:hAnsi="Times New Roman" w:cs="Times New Roman"/>
          <w:b/>
          <w:sz w:val="24"/>
        </w:rPr>
      </w:pPr>
      <w:r w:rsidRPr="00B01260">
        <w:rPr>
          <w:rFonts w:ascii="Times New Roman" w:hAnsi="Times New Roman" w:cs="Times New Roman"/>
          <w:b/>
          <w:color w:val="auto"/>
          <w:sz w:val="24"/>
        </w:rPr>
        <w:t xml:space="preserve">Tablica </w:t>
      </w:r>
      <w:r w:rsidR="00B01260" w:rsidRPr="00B01260">
        <w:rPr>
          <w:rFonts w:ascii="Times New Roman" w:hAnsi="Times New Roman" w:cs="Times New Roman"/>
          <w:b/>
          <w:color w:val="auto"/>
          <w:sz w:val="24"/>
        </w:rPr>
        <w:t>70</w:t>
      </w:r>
      <w:r w:rsidRPr="00B01260">
        <w:rPr>
          <w:rFonts w:ascii="Times New Roman" w:hAnsi="Times New Roman" w:cs="Times New Roman"/>
          <w:b/>
          <w:color w:val="auto"/>
          <w:sz w:val="24"/>
        </w:rPr>
        <w:t xml:space="preserve">. Vrijednost kriterija za posljedice na društvenu stabilnost i politiku - </w:t>
      </w:r>
      <w:r w:rsidRPr="00FF1E38">
        <w:rPr>
          <w:rFonts w:ascii="Times New Roman" w:hAnsi="Times New Roman" w:cs="Times New Roman"/>
          <w:b/>
          <w:sz w:val="24"/>
        </w:rPr>
        <w:t>štete/gubitci na ustanovama/građevinama javnog društvenog značaja</w:t>
      </w:r>
    </w:p>
    <w:tbl>
      <w:tblPr>
        <w:tblStyle w:val="TableGrid2"/>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60" w:type="dxa"/>
        </w:tblCellMar>
        <w:tblLook w:val="04A0" w:firstRow="1" w:lastRow="0" w:firstColumn="1" w:lastColumn="0" w:noHBand="0" w:noVBand="1"/>
      </w:tblPr>
      <w:tblGrid>
        <w:gridCol w:w="1700"/>
        <w:gridCol w:w="2690"/>
        <w:gridCol w:w="3118"/>
        <w:gridCol w:w="1564"/>
      </w:tblGrid>
      <w:tr w:rsidR="00FF1E38" w:rsidRPr="00FF1E38" w14:paraId="5D679187" w14:textId="77777777" w:rsidTr="00DE0C9A">
        <w:trPr>
          <w:cantSplit/>
          <w:tblHeader/>
        </w:trPr>
        <w:tc>
          <w:tcPr>
            <w:tcW w:w="9072" w:type="dxa"/>
            <w:gridSpan w:val="4"/>
            <w:shd w:val="clear" w:color="auto" w:fill="FFC000"/>
            <w:vAlign w:val="center"/>
          </w:tcPr>
          <w:p w14:paraId="36E07EA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Oštećena kritična infrastruktura – poplava</w:t>
            </w:r>
          </w:p>
        </w:tc>
      </w:tr>
      <w:tr w:rsidR="00FF1E38" w:rsidRPr="00FF1E38" w14:paraId="731B658D" w14:textId="77777777" w:rsidTr="00DE0C9A">
        <w:trPr>
          <w:cantSplit/>
          <w:tblHeader/>
        </w:trPr>
        <w:tc>
          <w:tcPr>
            <w:tcW w:w="1700" w:type="dxa"/>
            <w:shd w:val="clear" w:color="auto" w:fill="FFC000"/>
            <w:vAlign w:val="center"/>
          </w:tcPr>
          <w:p w14:paraId="6946BF1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Kategorija</w:t>
            </w:r>
          </w:p>
        </w:tc>
        <w:tc>
          <w:tcPr>
            <w:tcW w:w="2690" w:type="dxa"/>
            <w:shd w:val="clear" w:color="auto" w:fill="FFC000"/>
            <w:vAlign w:val="center"/>
          </w:tcPr>
          <w:p w14:paraId="5A1E718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Posljedice</w:t>
            </w:r>
          </w:p>
        </w:tc>
        <w:tc>
          <w:tcPr>
            <w:tcW w:w="3118" w:type="dxa"/>
            <w:shd w:val="clear" w:color="auto" w:fill="FFC000"/>
            <w:vAlign w:val="center"/>
          </w:tcPr>
          <w:p w14:paraId="5CF7535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Kriteriji (kn)</w:t>
            </w:r>
          </w:p>
        </w:tc>
        <w:tc>
          <w:tcPr>
            <w:tcW w:w="1564" w:type="dxa"/>
            <w:shd w:val="clear" w:color="auto" w:fill="FFC000"/>
            <w:vAlign w:val="center"/>
          </w:tcPr>
          <w:p w14:paraId="1745FD8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ODABRANO</w:t>
            </w:r>
          </w:p>
        </w:tc>
      </w:tr>
      <w:tr w:rsidR="00FF1E38" w:rsidRPr="00FF1E38" w14:paraId="6BD03C66" w14:textId="77777777" w:rsidTr="00DE0C9A">
        <w:trPr>
          <w:cantSplit/>
        </w:trPr>
        <w:tc>
          <w:tcPr>
            <w:tcW w:w="1700" w:type="dxa"/>
            <w:vAlign w:val="center"/>
          </w:tcPr>
          <w:p w14:paraId="7D13BFB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w:t>
            </w:r>
          </w:p>
        </w:tc>
        <w:tc>
          <w:tcPr>
            <w:tcW w:w="2690" w:type="dxa"/>
            <w:vAlign w:val="center"/>
          </w:tcPr>
          <w:p w14:paraId="79ADD1A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Neznatne</w:t>
            </w:r>
          </w:p>
        </w:tc>
        <w:tc>
          <w:tcPr>
            <w:tcW w:w="3118" w:type="dxa"/>
            <w:vAlign w:val="center"/>
          </w:tcPr>
          <w:p w14:paraId="1C51B4B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75.634.600 - 151.269.100</w:t>
            </w:r>
          </w:p>
        </w:tc>
        <w:tc>
          <w:tcPr>
            <w:tcW w:w="1564" w:type="dxa"/>
            <w:vAlign w:val="center"/>
          </w:tcPr>
          <w:p w14:paraId="058F76E1"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0453C021" w14:textId="77777777" w:rsidTr="00DE0C9A">
        <w:trPr>
          <w:cantSplit/>
        </w:trPr>
        <w:tc>
          <w:tcPr>
            <w:tcW w:w="1700" w:type="dxa"/>
            <w:shd w:val="clear" w:color="auto" w:fill="FFC000"/>
            <w:vAlign w:val="center"/>
          </w:tcPr>
          <w:p w14:paraId="2EAA0AC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w:t>
            </w:r>
          </w:p>
        </w:tc>
        <w:tc>
          <w:tcPr>
            <w:tcW w:w="2690" w:type="dxa"/>
            <w:shd w:val="clear" w:color="auto" w:fill="FFC000"/>
            <w:vAlign w:val="center"/>
          </w:tcPr>
          <w:p w14:paraId="4C6BE8D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Malene</w:t>
            </w:r>
          </w:p>
        </w:tc>
        <w:tc>
          <w:tcPr>
            <w:tcW w:w="3118" w:type="dxa"/>
            <w:shd w:val="clear" w:color="auto" w:fill="FFC000"/>
            <w:vAlign w:val="center"/>
          </w:tcPr>
          <w:p w14:paraId="62CFEED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151.269.100 - 756.345.600</w:t>
            </w:r>
          </w:p>
        </w:tc>
        <w:tc>
          <w:tcPr>
            <w:tcW w:w="1564" w:type="dxa"/>
            <w:shd w:val="clear" w:color="auto" w:fill="FFC000"/>
            <w:vAlign w:val="center"/>
          </w:tcPr>
          <w:p w14:paraId="5E0BC364"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7D48F924" w14:textId="77777777" w:rsidTr="00DE0C9A">
        <w:trPr>
          <w:cantSplit/>
        </w:trPr>
        <w:tc>
          <w:tcPr>
            <w:tcW w:w="1700" w:type="dxa"/>
            <w:vAlign w:val="center"/>
          </w:tcPr>
          <w:p w14:paraId="1BFE5B9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w:t>
            </w:r>
          </w:p>
        </w:tc>
        <w:tc>
          <w:tcPr>
            <w:tcW w:w="2690" w:type="dxa"/>
            <w:vAlign w:val="center"/>
          </w:tcPr>
          <w:p w14:paraId="080BE8F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Umjerene</w:t>
            </w:r>
          </w:p>
        </w:tc>
        <w:tc>
          <w:tcPr>
            <w:tcW w:w="3118" w:type="dxa"/>
            <w:vAlign w:val="center"/>
          </w:tcPr>
          <w:p w14:paraId="4BF578B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756.345.600 - 2.269.036.800</w:t>
            </w:r>
          </w:p>
        </w:tc>
        <w:tc>
          <w:tcPr>
            <w:tcW w:w="1564" w:type="dxa"/>
            <w:vAlign w:val="center"/>
          </w:tcPr>
          <w:p w14:paraId="2325D429"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517B2353" w14:textId="77777777" w:rsidTr="00DE0C9A">
        <w:trPr>
          <w:cantSplit/>
        </w:trPr>
        <w:tc>
          <w:tcPr>
            <w:tcW w:w="1700" w:type="dxa"/>
            <w:shd w:val="clear" w:color="auto" w:fill="FFC000"/>
            <w:vAlign w:val="center"/>
          </w:tcPr>
          <w:p w14:paraId="738AC88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w:t>
            </w:r>
          </w:p>
        </w:tc>
        <w:tc>
          <w:tcPr>
            <w:tcW w:w="2690" w:type="dxa"/>
            <w:shd w:val="clear" w:color="auto" w:fill="FFC000"/>
            <w:vAlign w:val="center"/>
          </w:tcPr>
          <w:p w14:paraId="2E3B8CA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Znatne</w:t>
            </w:r>
          </w:p>
        </w:tc>
        <w:tc>
          <w:tcPr>
            <w:tcW w:w="3118" w:type="dxa"/>
            <w:shd w:val="clear" w:color="auto" w:fill="FFC000"/>
            <w:vAlign w:val="center"/>
          </w:tcPr>
          <w:p w14:paraId="3D8ECF2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2.269.036.800 - 3.781.727.900</w:t>
            </w:r>
          </w:p>
        </w:tc>
        <w:tc>
          <w:tcPr>
            <w:tcW w:w="1564" w:type="dxa"/>
            <w:shd w:val="clear" w:color="auto" w:fill="FFC000"/>
            <w:vAlign w:val="center"/>
          </w:tcPr>
          <w:p w14:paraId="2AAD329B"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61313F91" w14:textId="77777777" w:rsidTr="00DE0C9A">
        <w:trPr>
          <w:cantSplit/>
        </w:trPr>
        <w:tc>
          <w:tcPr>
            <w:tcW w:w="1700" w:type="dxa"/>
            <w:vAlign w:val="center"/>
          </w:tcPr>
          <w:p w14:paraId="7C06F7C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w:t>
            </w:r>
          </w:p>
        </w:tc>
        <w:tc>
          <w:tcPr>
            <w:tcW w:w="2690" w:type="dxa"/>
            <w:vAlign w:val="center"/>
          </w:tcPr>
          <w:p w14:paraId="325C51D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Katastrofalne</w:t>
            </w:r>
          </w:p>
        </w:tc>
        <w:tc>
          <w:tcPr>
            <w:tcW w:w="3118" w:type="dxa"/>
            <w:vAlign w:val="center"/>
          </w:tcPr>
          <w:p w14:paraId="1ABCF9D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&gt;3.781.727.900</w:t>
            </w:r>
          </w:p>
        </w:tc>
        <w:tc>
          <w:tcPr>
            <w:tcW w:w="1564" w:type="dxa"/>
            <w:vAlign w:val="center"/>
          </w:tcPr>
          <w:p w14:paraId="5EC9077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r>
    </w:tbl>
    <w:p w14:paraId="396092DD"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48EF056C" w14:textId="77777777" w:rsidR="00FF1E38" w:rsidRPr="00FF1E38" w:rsidRDefault="00FF1E38" w:rsidP="00FF1E38">
      <w:pPr>
        <w:spacing w:after="160" w:line="259" w:lineRule="auto"/>
        <w:ind w:left="0" w:right="0" w:firstLine="0"/>
        <w:jc w:val="center"/>
        <w:rPr>
          <w:rFonts w:ascii="Times New Roman" w:hAnsi="Times New Roman" w:cs="Times New Roman"/>
          <w:b/>
          <w:sz w:val="24"/>
        </w:rPr>
      </w:pPr>
      <w:r w:rsidRPr="00FF1E38">
        <w:rPr>
          <w:rFonts w:ascii="Times New Roman" w:hAnsi="Times New Roman" w:cs="Times New Roman"/>
          <w:b/>
          <w:sz w:val="24"/>
        </w:rPr>
        <w:br w:type="page"/>
      </w:r>
    </w:p>
    <w:p w14:paraId="14AFD19C" w14:textId="3886740F" w:rsidR="00FF1E38" w:rsidRPr="00845777" w:rsidRDefault="00FF1E38" w:rsidP="00FF1E38">
      <w:pPr>
        <w:spacing w:after="160" w:line="259" w:lineRule="auto"/>
        <w:ind w:left="0" w:right="0" w:firstLine="0"/>
        <w:jc w:val="center"/>
        <w:rPr>
          <w:rFonts w:ascii="Times New Roman" w:hAnsi="Times New Roman" w:cs="Times New Roman"/>
          <w:b/>
          <w:color w:val="auto"/>
          <w:sz w:val="24"/>
        </w:rPr>
      </w:pPr>
      <w:r w:rsidRPr="00845777">
        <w:rPr>
          <w:rFonts w:ascii="Times New Roman" w:hAnsi="Times New Roman" w:cs="Times New Roman"/>
          <w:b/>
          <w:color w:val="auto"/>
          <w:sz w:val="24"/>
        </w:rPr>
        <w:lastRenderedPageBreak/>
        <w:t xml:space="preserve">Tablica </w:t>
      </w:r>
      <w:r w:rsidR="00845777" w:rsidRPr="00845777">
        <w:rPr>
          <w:rFonts w:ascii="Times New Roman" w:hAnsi="Times New Roman" w:cs="Times New Roman"/>
          <w:b/>
          <w:color w:val="auto"/>
          <w:sz w:val="24"/>
        </w:rPr>
        <w:t>71</w:t>
      </w:r>
      <w:r w:rsidRPr="00845777">
        <w:rPr>
          <w:rFonts w:ascii="Times New Roman" w:hAnsi="Times New Roman" w:cs="Times New Roman"/>
          <w:b/>
          <w:color w:val="auto"/>
          <w:sz w:val="24"/>
        </w:rPr>
        <w:t>. Vrijednost kriterija za društvenu stabilnost i politiku - zbirno</w:t>
      </w:r>
    </w:p>
    <w:tbl>
      <w:tblPr>
        <w:tblStyle w:val="TableGrid"/>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01"/>
        <w:gridCol w:w="2835"/>
        <w:gridCol w:w="2835"/>
        <w:gridCol w:w="1701"/>
      </w:tblGrid>
      <w:tr w:rsidR="00FF1E38" w:rsidRPr="00FF1E38" w14:paraId="2DE4F2B9" w14:textId="77777777" w:rsidTr="00DE0C9A">
        <w:trPr>
          <w:cantSplit/>
        </w:trPr>
        <w:tc>
          <w:tcPr>
            <w:tcW w:w="1701" w:type="dxa"/>
            <w:shd w:val="clear" w:color="auto" w:fill="FFC000"/>
            <w:vAlign w:val="center"/>
          </w:tcPr>
          <w:p w14:paraId="38090B3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POSLJEDICE</w:t>
            </w:r>
          </w:p>
        </w:tc>
        <w:tc>
          <w:tcPr>
            <w:tcW w:w="2835" w:type="dxa"/>
            <w:shd w:val="clear" w:color="auto" w:fill="FFC000"/>
            <w:vAlign w:val="center"/>
          </w:tcPr>
          <w:p w14:paraId="4DFF0F2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KRITIČNA INFRASTRUKTURA</w:t>
            </w:r>
          </w:p>
        </w:tc>
        <w:tc>
          <w:tcPr>
            <w:tcW w:w="2835" w:type="dxa"/>
            <w:shd w:val="clear" w:color="auto" w:fill="FFC000"/>
            <w:vAlign w:val="center"/>
          </w:tcPr>
          <w:p w14:paraId="4CF4EF0F" w14:textId="77777777" w:rsidR="00FF1E38" w:rsidRPr="00FF1E38" w:rsidRDefault="00FF1E38" w:rsidP="00FF1E38">
            <w:pPr>
              <w:spacing w:after="0" w:line="240" w:lineRule="auto"/>
              <w:ind w:left="0" w:right="0" w:firstLine="0"/>
              <w:jc w:val="center"/>
              <w:rPr>
                <w:rFonts w:ascii="Times New Roman" w:hAnsi="Times New Roman" w:cs="Times New Roman"/>
                <w:b/>
              </w:rPr>
            </w:pPr>
            <w:r w:rsidRPr="00FF1E38">
              <w:rPr>
                <w:rFonts w:ascii="Times New Roman" w:hAnsi="Times New Roman" w:cs="Times New Roman"/>
                <w:b/>
              </w:rPr>
              <w:t>USTANOVE/GRAĐEVINE</w:t>
            </w:r>
          </w:p>
          <w:p w14:paraId="6B83EC8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JAVNOG DRUŠTVENOG ZNAČAJA</w:t>
            </w:r>
          </w:p>
        </w:tc>
        <w:tc>
          <w:tcPr>
            <w:tcW w:w="1701" w:type="dxa"/>
            <w:shd w:val="clear" w:color="auto" w:fill="FFC000"/>
            <w:vAlign w:val="center"/>
          </w:tcPr>
          <w:p w14:paraId="3F15442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ODABRANO</w:t>
            </w:r>
          </w:p>
        </w:tc>
      </w:tr>
      <w:tr w:rsidR="00FF1E38" w:rsidRPr="00FF1E38" w14:paraId="0A42AF28" w14:textId="77777777" w:rsidTr="00DE0C9A">
        <w:trPr>
          <w:cantSplit/>
        </w:trPr>
        <w:tc>
          <w:tcPr>
            <w:tcW w:w="1701" w:type="dxa"/>
            <w:vAlign w:val="center"/>
          </w:tcPr>
          <w:p w14:paraId="4340798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Neznatne</w:t>
            </w:r>
          </w:p>
        </w:tc>
        <w:tc>
          <w:tcPr>
            <w:tcW w:w="2835" w:type="dxa"/>
            <w:vAlign w:val="center"/>
          </w:tcPr>
          <w:p w14:paraId="1B82ED1D"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835" w:type="dxa"/>
            <w:vAlign w:val="center"/>
          </w:tcPr>
          <w:p w14:paraId="08CF2670"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01" w:type="dxa"/>
            <w:vAlign w:val="center"/>
          </w:tcPr>
          <w:p w14:paraId="0E02534F"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0E03F932" w14:textId="77777777" w:rsidTr="00DE0C9A">
        <w:trPr>
          <w:cantSplit/>
        </w:trPr>
        <w:tc>
          <w:tcPr>
            <w:tcW w:w="1701" w:type="dxa"/>
            <w:shd w:val="clear" w:color="auto" w:fill="FFC000"/>
            <w:vAlign w:val="center"/>
          </w:tcPr>
          <w:p w14:paraId="3B46408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Malene</w:t>
            </w:r>
          </w:p>
        </w:tc>
        <w:tc>
          <w:tcPr>
            <w:tcW w:w="2835" w:type="dxa"/>
            <w:shd w:val="clear" w:color="auto" w:fill="FFC000"/>
            <w:vAlign w:val="center"/>
          </w:tcPr>
          <w:p w14:paraId="1125B729"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835" w:type="dxa"/>
            <w:shd w:val="clear" w:color="auto" w:fill="FFC000"/>
            <w:vAlign w:val="center"/>
          </w:tcPr>
          <w:p w14:paraId="6EF06400"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01" w:type="dxa"/>
            <w:shd w:val="clear" w:color="auto" w:fill="FFC000"/>
            <w:vAlign w:val="center"/>
          </w:tcPr>
          <w:p w14:paraId="1739587A"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1B794A21" w14:textId="77777777" w:rsidTr="00DE0C9A">
        <w:trPr>
          <w:cantSplit/>
        </w:trPr>
        <w:tc>
          <w:tcPr>
            <w:tcW w:w="1701" w:type="dxa"/>
            <w:vAlign w:val="center"/>
          </w:tcPr>
          <w:p w14:paraId="497BA17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Umjerene</w:t>
            </w:r>
          </w:p>
        </w:tc>
        <w:tc>
          <w:tcPr>
            <w:tcW w:w="2835" w:type="dxa"/>
            <w:vAlign w:val="center"/>
          </w:tcPr>
          <w:p w14:paraId="26EE5C2D"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835" w:type="dxa"/>
            <w:vAlign w:val="center"/>
          </w:tcPr>
          <w:p w14:paraId="2152ED30"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01" w:type="dxa"/>
            <w:vAlign w:val="center"/>
          </w:tcPr>
          <w:p w14:paraId="0561FED1"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783DF5F3" w14:textId="77777777" w:rsidTr="00DE0C9A">
        <w:trPr>
          <w:cantSplit/>
        </w:trPr>
        <w:tc>
          <w:tcPr>
            <w:tcW w:w="1701" w:type="dxa"/>
            <w:shd w:val="clear" w:color="auto" w:fill="FFC000"/>
            <w:vAlign w:val="center"/>
          </w:tcPr>
          <w:p w14:paraId="171DA24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Znatne</w:t>
            </w:r>
          </w:p>
        </w:tc>
        <w:tc>
          <w:tcPr>
            <w:tcW w:w="2835" w:type="dxa"/>
            <w:shd w:val="clear" w:color="auto" w:fill="FFC000"/>
            <w:vAlign w:val="center"/>
          </w:tcPr>
          <w:p w14:paraId="66E7C39A"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835" w:type="dxa"/>
            <w:shd w:val="clear" w:color="auto" w:fill="FFC000"/>
            <w:vAlign w:val="center"/>
          </w:tcPr>
          <w:p w14:paraId="6447D92A"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01" w:type="dxa"/>
            <w:shd w:val="clear" w:color="auto" w:fill="FFC000"/>
            <w:vAlign w:val="center"/>
          </w:tcPr>
          <w:p w14:paraId="33630184"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7DFB7DDE" w14:textId="77777777" w:rsidTr="00DE0C9A">
        <w:trPr>
          <w:cantSplit/>
        </w:trPr>
        <w:tc>
          <w:tcPr>
            <w:tcW w:w="1701" w:type="dxa"/>
            <w:vAlign w:val="center"/>
          </w:tcPr>
          <w:p w14:paraId="7C1152A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Katastrofalne</w:t>
            </w:r>
          </w:p>
        </w:tc>
        <w:tc>
          <w:tcPr>
            <w:tcW w:w="2835" w:type="dxa"/>
            <w:vAlign w:val="center"/>
          </w:tcPr>
          <w:p w14:paraId="3F9DAA2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c>
          <w:tcPr>
            <w:tcW w:w="2835" w:type="dxa"/>
            <w:vAlign w:val="center"/>
          </w:tcPr>
          <w:p w14:paraId="1E95D5B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c>
          <w:tcPr>
            <w:tcW w:w="1701" w:type="dxa"/>
            <w:vAlign w:val="center"/>
          </w:tcPr>
          <w:p w14:paraId="753499C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r>
    </w:tbl>
    <w:p w14:paraId="3418981F"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2E90BB73" w14:textId="77777777" w:rsidR="00FF1E38" w:rsidRPr="00FF1E38" w:rsidRDefault="00FF1E38" w:rsidP="00FF1E38">
      <w:pPr>
        <w:spacing w:after="0" w:line="240" w:lineRule="auto"/>
        <w:ind w:left="0" w:right="0" w:firstLine="709"/>
        <w:jc w:val="left"/>
        <w:rPr>
          <w:rFonts w:ascii="Times New Roman" w:hAnsi="Times New Roman" w:cs="Times New Roman"/>
          <w:i/>
          <w:sz w:val="24"/>
        </w:rPr>
      </w:pPr>
      <w:r w:rsidRPr="00FF1E38">
        <w:rPr>
          <w:rFonts w:ascii="Times New Roman" w:hAnsi="Times New Roman" w:cs="Times New Roman"/>
          <w:i/>
          <w:sz w:val="24"/>
          <w:u w:val="single" w:color="000000"/>
        </w:rPr>
        <w:t>Zaključak</w:t>
      </w:r>
    </w:p>
    <w:p w14:paraId="0173EA9F"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Posljedice poplave nastale pucanjem Savskog nasipa bit će katastrofalne. Iako je malo izgledno pucanje Savskog nasipa zbog redovitog održavanja vodno-zaštitnih objekata, u slučaju takvog scenarija osim velikih šteta degradirat će se i kvaliteta života na poplavljenim područjima, bit će znatan broj dugotrajno raseljenih, a i epidemiološka situacija bit će vrlo ozbiljna.</w:t>
      </w:r>
    </w:p>
    <w:p w14:paraId="56FC7FF2" w14:textId="77777777" w:rsidR="00FF1E38" w:rsidRPr="00FF1E38" w:rsidRDefault="00FF1E38" w:rsidP="00FF1E38">
      <w:pPr>
        <w:spacing w:after="0" w:line="240" w:lineRule="auto"/>
        <w:ind w:left="0" w:right="0" w:firstLine="0"/>
        <w:jc w:val="left"/>
        <w:rPr>
          <w:rFonts w:ascii="Times New Roman" w:hAnsi="Times New Roman" w:cs="Times New Roman"/>
          <w:sz w:val="24"/>
          <w:u w:color="000000"/>
        </w:rPr>
      </w:pPr>
    </w:p>
    <w:p w14:paraId="2FC54ADF" w14:textId="77777777" w:rsidR="00FF1E38" w:rsidRPr="00FF1E38" w:rsidRDefault="00FF1E38" w:rsidP="00FF1E38">
      <w:pPr>
        <w:spacing w:after="0" w:line="240" w:lineRule="auto"/>
        <w:ind w:left="0" w:right="0" w:firstLine="709"/>
        <w:jc w:val="left"/>
        <w:rPr>
          <w:rFonts w:ascii="Times New Roman" w:hAnsi="Times New Roman" w:cs="Times New Roman"/>
          <w:i/>
          <w:sz w:val="24"/>
        </w:rPr>
      </w:pPr>
      <w:r w:rsidRPr="00FF1E38">
        <w:rPr>
          <w:rFonts w:ascii="Times New Roman" w:hAnsi="Times New Roman" w:cs="Times New Roman"/>
          <w:i/>
          <w:sz w:val="24"/>
          <w:u w:val="single" w:color="000000"/>
        </w:rPr>
        <w:t>Vjerojatnost događaja</w:t>
      </w:r>
    </w:p>
    <w:p w14:paraId="3ED617CA"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Za pucanje nasipa na području Grada Zagreba, s obzirom na dosadašnje pokazatelje, može se procijeniti vjerojatnost: kategorija 1 iznimno mala.</w:t>
      </w:r>
    </w:p>
    <w:p w14:paraId="365B84DD" w14:textId="77777777" w:rsidR="00FF1E38" w:rsidRPr="00FF1E38" w:rsidRDefault="00FF1E38" w:rsidP="00FF1E38">
      <w:pPr>
        <w:spacing w:after="0" w:line="240" w:lineRule="auto"/>
        <w:ind w:right="0"/>
        <w:rPr>
          <w:rFonts w:ascii="Times New Roman" w:hAnsi="Times New Roman" w:cs="Times New Roman"/>
          <w:sz w:val="24"/>
        </w:rPr>
      </w:pPr>
    </w:p>
    <w:p w14:paraId="7004DC03" w14:textId="69AEEB1B" w:rsidR="00FF1E38" w:rsidRPr="00845777" w:rsidRDefault="00FF1E38" w:rsidP="00645B0F">
      <w:pPr>
        <w:spacing w:line="240" w:lineRule="auto"/>
        <w:ind w:left="0" w:right="0" w:firstLine="0"/>
        <w:jc w:val="center"/>
        <w:rPr>
          <w:rFonts w:ascii="Times New Roman" w:hAnsi="Times New Roman" w:cs="Times New Roman"/>
          <w:b/>
          <w:color w:val="auto"/>
          <w:sz w:val="24"/>
        </w:rPr>
      </w:pPr>
      <w:r w:rsidRPr="00845777">
        <w:rPr>
          <w:rFonts w:ascii="Times New Roman" w:hAnsi="Times New Roman" w:cs="Times New Roman"/>
          <w:b/>
          <w:color w:val="auto"/>
          <w:sz w:val="24"/>
        </w:rPr>
        <w:t xml:space="preserve">Tablica </w:t>
      </w:r>
      <w:r w:rsidR="00845777" w:rsidRPr="00845777">
        <w:rPr>
          <w:rFonts w:ascii="Times New Roman" w:hAnsi="Times New Roman" w:cs="Times New Roman"/>
          <w:b/>
          <w:color w:val="auto"/>
          <w:sz w:val="24"/>
        </w:rPr>
        <w:t>72</w:t>
      </w:r>
      <w:r w:rsidRPr="00845777">
        <w:rPr>
          <w:rFonts w:ascii="Times New Roman" w:hAnsi="Times New Roman" w:cs="Times New Roman"/>
          <w:b/>
          <w:color w:val="auto"/>
          <w:sz w:val="24"/>
        </w:rPr>
        <w:t>. Vjerojatnost događaja</w:t>
      </w:r>
    </w:p>
    <w:tbl>
      <w:tblPr>
        <w:tblStyle w:val="TableGrid"/>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271"/>
        <w:gridCol w:w="1442"/>
        <w:gridCol w:w="1393"/>
        <w:gridCol w:w="3544"/>
        <w:gridCol w:w="1422"/>
      </w:tblGrid>
      <w:tr w:rsidR="00FF1E38" w:rsidRPr="00FF1E38" w14:paraId="008B7E62" w14:textId="77777777" w:rsidTr="00DE0C9A">
        <w:trPr>
          <w:cantSplit/>
        </w:trPr>
        <w:tc>
          <w:tcPr>
            <w:tcW w:w="1271" w:type="dxa"/>
            <w:vMerge w:val="restart"/>
            <w:shd w:val="clear" w:color="auto" w:fill="FFC000"/>
            <w:vAlign w:val="center"/>
          </w:tcPr>
          <w:p w14:paraId="1AC2A39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Kategorija</w:t>
            </w:r>
          </w:p>
        </w:tc>
        <w:tc>
          <w:tcPr>
            <w:tcW w:w="7801" w:type="dxa"/>
            <w:gridSpan w:val="4"/>
            <w:shd w:val="clear" w:color="auto" w:fill="FFC000"/>
            <w:vAlign w:val="center"/>
          </w:tcPr>
          <w:p w14:paraId="380A5C8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VJEROJATNOST/FREKVENCIJA</w:t>
            </w:r>
          </w:p>
        </w:tc>
      </w:tr>
      <w:tr w:rsidR="00FF1E38" w:rsidRPr="00FF1E38" w14:paraId="5B4542D6" w14:textId="77777777" w:rsidTr="00DE0C9A">
        <w:trPr>
          <w:cantSplit/>
        </w:trPr>
        <w:tc>
          <w:tcPr>
            <w:tcW w:w="1271" w:type="dxa"/>
            <w:vMerge/>
            <w:vAlign w:val="center"/>
          </w:tcPr>
          <w:p w14:paraId="027C2DF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42" w:type="dxa"/>
            <w:shd w:val="clear" w:color="auto" w:fill="FFC000"/>
            <w:vAlign w:val="center"/>
          </w:tcPr>
          <w:p w14:paraId="70FB8D8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Kvalitativno</w:t>
            </w:r>
          </w:p>
        </w:tc>
        <w:tc>
          <w:tcPr>
            <w:tcW w:w="1393" w:type="dxa"/>
            <w:shd w:val="clear" w:color="auto" w:fill="FFC000"/>
            <w:vAlign w:val="center"/>
          </w:tcPr>
          <w:p w14:paraId="7D717FF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Vjerojatnost</w:t>
            </w:r>
          </w:p>
        </w:tc>
        <w:tc>
          <w:tcPr>
            <w:tcW w:w="3544" w:type="dxa"/>
            <w:shd w:val="clear" w:color="auto" w:fill="FFC000"/>
            <w:vAlign w:val="center"/>
          </w:tcPr>
          <w:p w14:paraId="06472B6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Frekvencija</w:t>
            </w:r>
          </w:p>
        </w:tc>
        <w:tc>
          <w:tcPr>
            <w:tcW w:w="1422" w:type="dxa"/>
            <w:shd w:val="clear" w:color="auto" w:fill="FFC000"/>
            <w:vAlign w:val="center"/>
          </w:tcPr>
          <w:p w14:paraId="7359E8C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ODABRANO</w:t>
            </w:r>
          </w:p>
        </w:tc>
      </w:tr>
      <w:tr w:rsidR="00FF1E38" w:rsidRPr="00FF1E38" w14:paraId="755CF769" w14:textId="77777777" w:rsidTr="00DE0C9A">
        <w:trPr>
          <w:cantSplit/>
        </w:trPr>
        <w:tc>
          <w:tcPr>
            <w:tcW w:w="1271" w:type="dxa"/>
          </w:tcPr>
          <w:p w14:paraId="0B21EC7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w:t>
            </w:r>
          </w:p>
        </w:tc>
        <w:tc>
          <w:tcPr>
            <w:tcW w:w="1442" w:type="dxa"/>
            <w:vAlign w:val="center"/>
          </w:tcPr>
          <w:p w14:paraId="2F79CAE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Iznimno mala</w:t>
            </w:r>
          </w:p>
        </w:tc>
        <w:tc>
          <w:tcPr>
            <w:tcW w:w="1393" w:type="dxa"/>
            <w:vAlign w:val="center"/>
          </w:tcPr>
          <w:p w14:paraId="6E69DDC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&lt;1 %</w:t>
            </w:r>
          </w:p>
        </w:tc>
        <w:tc>
          <w:tcPr>
            <w:tcW w:w="3544" w:type="dxa"/>
            <w:vAlign w:val="center"/>
          </w:tcPr>
          <w:p w14:paraId="6E6EF22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u 100 godina i rjeđe</w:t>
            </w:r>
          </w:p>
        </w:tc>
        <w:tc>
          <w:tcPr>
            <w:tcW w:w="1422" w:type="dxa"/>
            <w:vAlign w:val="center"/>
          </w:tcPr>
          <w:p w14:paraId="314D164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r>
      <w:tr w:rsidR="00FF1E38" w:rsidRPr="00FF1E38" w14:paraId="68A268F7" w14:textId="77777777" w:rsidTr="00DE0C9A">
        <w:trPr>
          <w:cantSplit/>
        </w:trPr>
        <w:tc>
          <w:tcPr>
            <w:tcW w:w="1271" w:type="dxa"/>
            <w:shd w:val="clear" w:color="auto" w:fill="FFC000"/>
          </w:tcPr>
          <w:p w14:paraId="0A8C71E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w:t>
            </w:r>
          </w:p>
        </w:tc>
        <w:tc>
          <w:tcPr>
            <w:tcW w:w="1442" w:type="dxa"/>
            <w:shd w:val="clear" w:color="auto" w:fill="FFC000"/>
            <w:vAlign w:val="center"/>
          </w:tcPr>
          <w:p w14:paraId="48F98C9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Mala</w:t>
            </w:r>
          </w:p>
        </w:tc>
        <w:tc>
          <w:tcPr>
            <w:tcW w:w="1393" w:type="dxa"/>
            <w:shd w:val="clear" w:color="auto" w:fill="FFC000"/>
            <w:vAlign w:val="center"/>
          </w:tcPr>
          <w:p w14:paraId="2893847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1 - 5 %</w:t>
            </w:r>
          </w:p>
        </w:tc>
        <w:tc>
          <w:tcPr>
            <w:tcW w:w="3544" w:type="dxa"/>
            <w:shd w:val="clear" w:color="auto" w:fill="FFC000"/>
            <w:vAlign w:val="center"/>
          </w:tcPr>
          <w:p w14:paraId="3E4E0D5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u razdoblju 20 - 100 godina</w:t>
            </w:r>
          </w:p>
        </w:tc>
        <w:tc>
          <w:tcPr>
            <w:tcW w:w="1422" w:type="dxa"/>
            <w:shd w:val="clear" w:color="auto" w:fill="FFC000"/>
            <w:vAlign w:val="center"/>
          </w:tcPr>
          <w:p w14:paraId="5361C3D3"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704B3FEF" w14:textId="77777777" w:rsidTr="00DE0C9A">
        <w:trPr>
          <w:cantSplit/>
        </w:trPr>
        <w:tc>
          <w:tcPr>
            <w:tcW w:w="1271" w:type="dxa"/>
          </w:tcPr>
          <w:p w14:paraId="39A1BA7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w:t>
            </w:r>
          </w:p>
        </w:tc>
        <w:tc>
          <w:tcPr>
            <w:tcW w:w="1442" w:type="dxa"/>
            <w:vAlign w:val="center"/>
          </w:tcPr>
          <w:p w14:paraId="0C7B9FA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Umjerena</w:t>
            </w:r>
          </w:p>
        </w:tc>
        <w:tc>
          <w:tcPr>
            <w:tcW w:w="1393" w:type="dxa"/>
            <w:vAlign w:val="center"/>
          </w:tcPr>
          <w:p w14:paraId="7DA7BE0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5 - 50 %</w:t>
            </w:r>
          </w:p>
        </w:tc>
        <w:tc>
          <w:tcPr>
            <w:tcW w:w="3544" w:type="dxa"/>
            <w:vAlign w:val="center"/>
          </w:tcPr>
          <w:p w14:paraId="2730F00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u razdoblju 2 - 20 godina</w:t>
            </w:r>
          </w:p>
        </w:tc>
        <w:tc>
          <w:tcPr>
            <w:tcW w:w="1422" w:type="dxa"/>
            <w:vAlign w:val="center"/>
          </w:tcPr>
          <w:p w14:paraId="1B74F0EC"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0B765B44" w14:textId="77777777" w:rsidTr="00DE0C9A">
        <w:trPr>
          <w:cantSplit/>
        </w:trPr>
        <w:tc>
          <w:tcPr>
            <w:tcW w:w="1271" w:type="dxa"/>
            <w:shd w:val="clear" w:color="auto" w:fill="FFC000"/>
          </w:tcPr>
          <w:p w14:paraId="11E0A87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w:t>
            </w:r>
          </w:p>
        </w:tc>
        <w:tc>
          <w:tcPr>
            <w:tcW w:w="1442" w:type="dxa"/>
            <w:shd w:val="clear" w:color="auto" w:fill="FFC000"/>
            <w:vAlign w:val="center"/>
          </w:tcPr>
          <w:p w14:paraId="72AC963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Velika</w:t>
            </w:r>
          </w:p>
        </w:tc>
        <w:tc>
          <w:tcPr>
            <w:tcW w:w="1393" w:type="dxa"/>
            <w:shd w:val="clear" w:color="auto" w:fill="FFC000"/>
            <w:vAlign w:val="center"/>
          </w:tcPr>
          <w:p w14:paraId="620B3E1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51 - 98 %</w:t>
            </w:r>
          </w:p>
        </w:tc>
        <w:tc>
          <w:tcPr>
            <w:tcW w:w="3544" w:type="dxa"/>
            <w:shd w:val="clear" w:color="auto" w:fill="FFC000"/>
            <w:vAlign w:val="center"/>
          </w:tcPr>
          <w:p w14:paraId="6459626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u razdoblju 1 - 2 godine</w:t>
            </w:r>
          </w:p>
        </w:tc>
        <w:tc>
          <w:tcPr>
            <w:tcW w:w="1422" w:type="dxa"/>
            <w:shd w:val="clear" w:color="auto" w:fill="FFC000"/>
            <w:vAlign w:val="center"/>
          </w:tcPr>
          <w:p w14:paraId="5420DACA"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77D8DB82" w14:textId="77777777" w:rsidTr="00DE0C9A">
        <w:trPr>
          <w:cantSplit/>
        </w:trPr>
        <w:tc>
          <w:tcPr>
            <w:tcW w:w="1271" w:type="dxa"/>
          </w:tcPr>
          <w:p w14:paraId="5697F80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w:t>
            </w:r>
          </w:p>
        </w:tc>
        <w:tc>
          <w:tcPr>
            <w:tcW w:w="1442" w:type="dxa"/>
            <w:vAlign w:val="center"/>
          </w:tcPr>
          <w:p w14:paraId="1F13D4F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Iznimno velika</w:t>
            </w:r>
          </w:p>
        </w:tc>
        <w:tc>
          <w:tcPr>
            <w:tcW w:w="1393" w:type="dxa"/>
            <w:vAlign w:val="center"/>
          </w:tcPr>
          <w:p w14:paraId="56DE54E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&gt; 98 %</w:t>
            </w:r>
          </w:p>
        </w:tc>
        <w:tc>
          <w:tcPr>
            <w:tcW w:w="3544" w:type="dxa"/>
            <w:vAlign w:val="center"/>
          </w:tcPr>
          <w:p w14:paraId="2A6B48A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godišnje ili češće</w:t>
            </w:r>
          </w:p>
        </w:tc>
        <w:tc>
          <w:tcPr>
            <w:tcW w:w="1422" w:type="dxa"/>
            <w:vAlign w:val="center"/>
          </w:tcPr>
          <w:p w14:paraId="70D0083C" w14:textId="77777777" w:rsidR="00FF1E38" w:rsidRPr="00FF1E38" w:rsidRDefault="00FF1E38" w:rsidP="00FF1E38">
            <w:pPr>
              <w:spacing w:after="0" w:line="240" w:lineRule="auto"/>
              <w:ind w:left="0" w:right="0" w:firstLine="0"/>
              <w:jc w:val="center"/>
              <w:rPr>
                <w:rFonts w:ascii="Times New Roman" w:hAnsi="Times New Roman" w:cs="Times New Roman"/>
              </w:rPr>
            </w:pPr>
          </w:p>
        </w:tc>
      </w:tr>
    </w:tbl>
    <w:p w14:paraId="5569F1DA"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5C701A20" w14:textId="77777777" w:rsidR="00FF1E38" w:rsidRPr="00D2785F" w:rsidRDefault="00FF1E38" w:rsidP="00FF1E38">
      <w:pPr>
        <w:spacing w:after="0" w:line="240" w:lineRule="auto"/>
        <w:ind w:left="0" w:right="0" w:firstLine="709"/>
        <w:rPr>
          <w:rFonts w:ascii="Times New Roman" w:hAnsi="Times New Roman" w:cs="Times New Roman"/>
          <w:b/>
          <w:sz w:val="24"/>
        </w:rPr>
      </w:pPr>
      <w:r w:rsidRPr="00D2785F">
        <w:rPr>
          <w:rFonts w:ascii="Times New Roman" w:hAnsi="Times New Roman" w:cs="Times New Roman"/>
          <w:b/>
          <w:sz w:val="24"/>
        </w:rPr>
        <w:t>6.2.5.2. Podaci, izvori i metode izračuna</w:t>
      </w:r>
    </w:p>
    <w:p w14:paraId="53A726F9"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Osnovna su podloga za izračun šteta od poplava na području Grada Zagreba (komponente koja za potrebe procjene rizika nosi informaciju o vjerojatnosti pojavljivanja događaja i dubini vode) karte opasnosti od poplava i karte rizika od poplava izrađene za potrebe Plana upravljanja vodnim područjima sukladno odredbama članaka 111. i 112. Zakona o vodama (Narodne novine 153/09, 63/11, 130/11, 56/13 i 14/14 i 46/18) koje prikazuju scenarij pucanja nasipa. Štete su izračunate pomoću NACER modela. Metodologija se zasniva na modelu koji je izrađen na temelju stvarnih i tržišnih vrijednosti koje su povezane s krivuljama štete preporučenim u međunarodnoj literaturi. Za praktičnu uporabu formirana je baza prostornih podataka na osnovi koje su korištenjem GIS alata proračunate štete. Pri izradi procjene rizika od katastrofa korišteni su svi podaci koji su djelomično dostupni u Hrvatskim vodama (podaci o zabilježenim poplavama i o vodnim građevinama), koji su djelomično prikupljeni iz ostalih institucija (CORINE baza podataka, podaci Državnog zavoda za statistiku), a i koji su djelomično rezultati studijske dokumentacije povezane sa simulacijama poplava.</w:t>
      </w:r>
      <w:r w:rsidRPr="00FF1E38">
        <w:rPr>
          <w:rFonts w:ascii="Times New Roman" w:eastAsia="Calibri" w:hAnsi="Times New Roman" w:cs="Times New Roman"/>
          <w:sz w:val="24"/>
        </w:rPr>
        <w:t xml:space="preserve"> </w:t>
      </w:r>
      <w:r w:rsidRPr="00FF1E38">
        <w:rPr>
          <w:rFonts w:ascii="Times New Roman" w:hAnsi="Times New Roman" w:cs="Times New Roman"/>
          <w:sz w:val="24"/>
        </w:rPr>
        <w:t>Općenito se može pretpostaviti da je primijenjeni model sukladan ostalim elementima ukupne procjene rizika, te se u osnovi može zaključiti da je metodologija zadovoljavajuća.</w:t>
      </w:r>
    </w:p>
    <w:p w14:paraId="4E8F0722" w14:textId="77777777" w:rsidR="00FF1E38" w:rsidRPr="00FF1E38" w:rsidRDefault="00FF1E38" w:rsidP="00FF1E38">
      <w:pPr>
        <w:spacing w:after="160" w:line="259" w:lineRule="auto"/>
        <w:ind w:left="0" w:right="0" w:firstLine="0"/>
        <w:jc w:val="left"/>
        <w:rPr>
          <w:rFonts w:ascii="Times New Roman" w:hAnsi="Times New Roman" w:cs="Times New Roman"/>
          <w:sz w:val="24"/>
        </w:rPr>
      </w:pPr>
      <w:r w:rsidRPr="00FF1E38">
        <w:rPr>
          <w:rFonts w:ascii="Times New Roman" w:hAnsi="Times New Roman" w:cs="Times New Roman"/>
          <w:sz w:val="24"/>
        </w:rPr>
        <w:br w:type="page"/>
      </w:r>
    </w:p>
    <w:p w14:paraId="601173AC"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lastRenderedPageBreak/>
        <w:t>Prilikom izračuna procjene rizika korišteni su podaci iz:</w:t>
      </w:r>
    </w:p>
    <w:p w14:paraId="188F82E6" w14:textId="519CB733"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eastAsia="Calibri" w:hAnsi="Times New Roman" w:cs="Times New Roman"/>
          <w:sz w:val="24"/>
          <w:u w:color="000000"/>
        </w:rPr>
        <w:t>-</w:t>
      </w:r>
      <w:r w:rsidRPr="00FF1E38">
        <w:rPr>
          <w:rFonts w:ascii="Times New Roman" w:eastAsia="Calibri" w:hAnsi="Times New Roman" w:cs="Times New Roman"/>
          <w:sz w:val="24"/>
          <w:u w:color="000000"/>
        </w:rPr>
        <w:tab/>
      </w:r>
      <w:r w:rsidRPr="00FF1E38">
        <w:rPr>
          <w:rFonts w:ascii="Times New Roman" w:hAnsi="Times New Roman" w:cs="Times New Roman"/>
          <w:sz w:val="24"/>
        </w:rPr>
        <w:t>Procjene rizika od katastrofa za Republiku Hrvatsku</w:t>
      </w:r>
    </w:p>
    <w:p w14:paraId="549D7D3B" w14:textId="042D0D9A"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eastAsia="Calibri" w:hAnsi="Times New Roman" w:cs="Times New Roman"/>
          <w:sz w:val="24"/>
          <w:u w:color="000000"/>
        </w:rPr>
        <w:t>-</w:t>
      </w:r>
      <w:r w:rsidRPr="00FF1E38">
        <w:rPr>
          <w:rFonts w:ascii="Times New Roman" w:eastAsia="Calibri" w:hAnsi="Times New Roman" w:cs="Times New Roman"/>
          <w:sz w:val="24"/>
          <w:u w:color="000000"/>
        </w:rPr>
        <w:tab/>
      </w:r>
      <w:r w:rsidRPr="00FF1E38">
        <w:rPr>
          <w:rFonts w:ascii="Times New Roman" w:hAnsi="Times New Roman" w:cs="Times New Roman"/>
          <w:sz w:val="24"/>
        </w:rPr>
        <w:t>Plana djelovanja civilne zaštite Grada Zagreba</w:t>
      </w:r>
    </w:p>
    <w:p w14:paraId="38DA2BCE" w14:textId="4F6F79E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eastAsia="Calibri" w:hAnsi="Times New Roman" w:cs="Times New Roman"/>
          <w:sz w:val="24"/>
          <w:u w:color="000000"/>
        </w:rPr>
        <w:t>-</w:t>
      </w:r>
      <w:r w:rsidRPr="00FF1E38">
        <w:rPr>
          <w:rFonts w:ascii="Times New Roman" w:eastAsia="Calibri" w:hAnsi="Times New Roman" w:cs="Times New Roman"/>
          <w:sz w:val="24"/>
          <w:u w:color="000000"/>
        </w:rPr>
        <w:tab/>
      </w:r>
      <w:r w:rsidRPr="00FF1E38">
        <w:rPr>
          <w:rFonts w:ascii="Times New Roman" w:hAnsi="Times New Roman" w:cs="Times New Roman"/>
          <w:sz w:val="24"/>
        </w:rPr>
        <w:t>Statističkog ljetopisa Grada Zagreba, 2021.</w:t>
      </w:r>
    </w:p>
    <w:p w14:paraId="24CF62D7" w14:textId="02A46C29"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eastAsia="Calibri" w:hAnsi="Times New Roman" w:cs="Times New Roman"/>
          <w:sz w:val="24"/>
          <w:u w:color="000000"/>
        </w:rPr>
        <w:t>-</w:t>
      </w:r>
      <w:r w:rsidRPr="00FF1E38">
        <w:rPr>
          <w:rFonts w:ascii="Times New Roman" w:eastAsia="Calibri" w:hAnsi="Times New Roman" w:cs="Times New Roman"/>
          <w:sz w:val="24"/>
          <w:u w:color="000000"/>
        </w:rPr>
        <w:tab/>
      </w:r>
      <w:r w:rsidRPr="00FF1E38">
        <w:rPr>
          <w:rFonts w:ascii="Times New Roman" w:hAnsi="Times New Roman" w:cs="Times New Roman"/>
          <w:sz w:val="24"/>
        </w:rPr>
        <w:t>Izvješća o stanju u prostoru Grada Zagreba, 2018.</w:t>
      </w:r>
    </w:p>
    <w:p w14:paraId="430FA640" w14:textId="78D6212E"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eastAsia="Calibri" w:hAnsi="Times New Roman" w:cs="Times New Roman"/>
          <w:sz w:val="24"/>
          <w:u w:color="000000"/>
        </w:rPr>
        <w:t>-</w:t>
      </w:r>
      <w:r w:rsidRPr="00FF1E38">
        <w:rPr>
          <w:rFonts w:ascii="Times New Roman" w:eastAsia="Calibri" w:hAnsi="Times New Roman" w:cs="Times New Roman"/>
          <w:sz w:val="24"/>
          <w:u w:color="000000"/>
        </w:rPr>
        <w:tab/>
      </w:r>
      <w:r w:rsidRPr="00FF1E38">
        <w:rPr>
          <w:rFonts w:ascii="Times New Roman" w:hAnsi="Times New Roman" w:cs="Times New Roman"/>
          <w:sz w:val="24"/>
        </w:rPr>
        <w:t>Procjene rizika pravnih osoba</w:t>
      </w:r>
    </w:p>
    <w:p w14:paraId="4A69BE6A"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eastAsia="Calibri" w:hAnsi="Times New Roman" w:cs="Times New Roman"/>
          <w:sz w:val="24"/>
          <w:u w:color="000000"/>
        </w:rPr>
        <w:t>-</w:t>
      </w:r>
      <w:r w:rsidRPr="00FF1E38">
        <w:rPr>
          <w:rFonts w:ascii="Times New Roman" w:eastAsia="Calibri" w:hAnsi="Times New Roman" w:cs="Times New Roman"/>
          <w:sz w:val="24"/>
          <w:u w:color="000000"/>
        </w:rPr>
        <w:tab/>
      </w:r>
      <w:r w:rsidRPr="00FF1E38">
        <w:rPr>
          <w:rFonts w:ascii="Times New Roman" w:hAnsi="Times New Roman" w:cs="Times New Roman"/>
          <w:sz w:val="24"/>
        </w:rPr>
        <w:t>Državnog zavoda za statistiku.</w:t>
      </w:r>
    </w:p>
    <w:p w14:paraId="55BAC831" w14:textId="77777777" w:rsidR="00FF1E38" w:rsidRPr="00FF1E38" w:rsidRDefault="00FF1E38" w:rsidP="00FF1E38">
      <w:pPr>
        <w:spacing w:after="0" w:line="240" w:lineRule="auto"/>
        <w:ind w:left="0" w:right="0" w:firstLine="0"/>
        <w:jc w:val="left"/>
        <w:rPr>
          <w:rFonts w:ascii="Times New Roman" w:eastAsia="Calibri" w:hAnsi="Times New Roman" w:cs="Times New Roman"/>
          <w:sz w:val="24"/>
        </w:rPr>
      </w:pPr>
      <w:bookmarkStart w:id="82" w:name="_Toc2938599"/>
    </w:p>
    <w:p w14:paraId="799ED7EA" w14:textId="77777777" w:rsidR="00FF1E38" w:rsidRPr="00FF1E38" w:rsidRDefault="00FF1E38" w:rsidP="00FF1E38">
      <w:pPr>
        <w:spacing w:after="0" w:line="240" w:lineRule="auto"/>
        <w:ind w:left="0" w:right="0" w:firstLine="709"/>
        <w:jc w:val="left"/>
        <w:rPr>
          <w:rFonts w:ascii="Times New Roman" w:eastAsia="Calibri" w:hAnsi="Times New Roman" w:cs="Times New Roman"/>
          <w:b/>
          <w:sz w:val="24"/>
        </w:rPr>
      </w:pPr>
      <w:r w:rsidRPr="00FF1E38">
        <w:rPr>
          <w:rFonts w:ascii="Times New Roman" w:eastAsia="Calibri" w:hAnsi="Times New Roman" w:cs="Times New Roman"/>
          <w:b/>
          <w:sz w:val="24"/>
        </w:rPr>
        <w:t>6.2.6. Matrice rizika</w:t>
      </w:r>
      <w:bookmarkEnd w:id="82"/>
    </w:p>
    <w:p w14:paraId="5DCE1D39"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u w:val="single" w:color="000000"/>
        </w:rPr>
        <w:t>RIZIK:</w:t>
      </w:r>
      <w:r w:rsidRPr="00FF1E38">
        <w:rPr>
          <w:rFonts w:ascii="Times New Roman" w:hAnsi="Times New Roman" w:cs="Times New Roman"/>
          <w:sz w:val="24"/>
        </w:rPr>
        <w:t xml:space="preserve"> Poplava</w:t>
      </w:r>
    </w:p>
    <w:p w14:paraId="4743FF3B"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u w:val="single" w:color="000000"/>
        </w:rPr>
        <w:t>NAZIV SCENARIJA</w:t>
      </w:r>
      <w:r w:rsidRPr="00FF1E38">
        <w:rPr>
          <w:rFonts w:ascii="Times New Roman" w:hAnsi="Times New Roman" w:cs="Times New Roman"/>
          <w:sz w:val="24"/>
        </w:rPr>
        <w:t>: Poplava izazvana pucanjem Savskog nasipa</w:t>
      </w:r>
    </w:p>
    <w:p w14:paraId="16A34703" w14:textId="7B387456" w:rsid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Na temelju kombinacije dobivenih vrijednosti posljedica za sve tri kategorije (život i zdravlje ljudi, gospodarstvo i društvena stabilnost i politika) i vjerojatnosti izrađene su matrice rizika za prijetnju.</w:t>
      </w:r>
    </w:p>
    <w:p w14:paraId="3FD3EF2B" w14:textId="408B1C10" w:rsidR="00193BC6" w:rsidRDefault="00193BC6" w:rsidP="00FF1E38">
      <w:pPr>
        <w:spacing w:after="0" w:line="240" w:lineRule="auto"/>
        <w:ind w:left="0" w:right="0" w:firstLine="709"/>
        <w:rPr>
          <w:rFonts w:ascii="Times New Roman" w:hAnsi="Times New Roman" w:cs="Times New Roman"/>
          <w:sz w:val="24"/>
        </w:rPr>
      </w:pPr>
    </w:p>
    <w:p w14:paraId="33C06AAE" w14:textId="77777777" w:rsidR="00193BC6" w:rsidRPr="00FF1E38" w:rsidRDefault="00193BC6" w:rsidP="00FF1E38">
      <w:pPr>
        <w:spacing w:after="0" w:line="240" w:lineRule="auto"/>
        <w:ind w:left="0" w:right="0" w:firstLine="709"/>
        <w:rPr>
          <w:rFonts w:ascii="Times New Roman" w:hAnsi="Times New Roman" w:cs="Times New Roman"/>
          <w:sz w:val="24"/>
        </w:rPr>
      </w:pPr>
    </w:p>
    <w:p w14:paraId="10E809FF"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eastAsia="Calibri" w:hAnsi="Times New Roman" w:cs="Times New Roman"/>
          <w:noProof/>
          <w:sz w:val="24"/>
        </w:rPr>
        <mc:AlternateContent>
          <mc:Choice Requires="wpg">
            <w:drawing>
              <wp:inline distT="0" distB="0" distL="0" distR="0" wp14:anchorId="53307236" wp14:editId="049A680C">
                <wp:extent cx="5265159" cy="4775222"/>
                <wp:effectExtent l="0" t="0" r="0" b="0"/>
                <wp:docPr id="578051" name="Group 578051"/>
                <wp:cNvGraphicFramePr/>
                <a:graphic xmlns:a="http://schemas.openxmlformats.org/drawingml/2006/main">
                  <a:graphicData uri="http://schemas.microsoft.com/office/word/2010/wordprocessingGroup">
                    <wpg:wgp>
                      <wpg:cNvGrpSpPr/>
                      <wpg:grpSpPr>
                        <a:xfrm>
                          <a:off x="0" y="0"/>
                          <a:ext cx="5265159" cy="4775222"/>
                          <a:chOff x="0" y="-19050"/>
                          <a:chExt cx="5265159" cy="4775222"/>
                        </a:xfrm>
                      </wpg:grpSpPr>
                      <wps:wsp>
                        <wps:cNvPr id="48152" name="Rectangle 48152"/>
                        <wps:cNvSpPr/>
                        <wps:spPr>
                          <a:xfrm>
                            <a:off x="1219200" y="-19050"/>
                            <a:ext cx="2933407" cy="247650"/>
                          </a:xfrm>
                          <a:prstGeom prst="rect">
                            <a:avLst/>
                          </a:prstGeom>
                          <a:ln>
                            <a:noFill/>
                          </a:ln>
                        </wps:spPr>
                        <wps:txbx>
                          <w:txbxContent>
                            <w:p w14:paraId="2412B07C" w14:textId="77777777" w:rsidR="003E564E" w:rsidRDefault="003E564E" w:rsidP="00FF1E38">
                              <w:pPr>
                                <w:spacing w:after="160" w:line="259" w:lineRule="auto"/>
                                <w:ind w:left="0" w:right="0" w:firstLine="0"/>
                                <w:jc w:val="left"/>
                              </w:pPr>
                              <w:r>
                                <w:rPr>
                                  <w:b/>
                                </w:rPr>
                                <w:t>Ukupni rizik za POPLAVU - umjeren rizik</w:t>
                              </w:r>
                            </w:p>
                            <w:p w14:paraId="7C095AC3" w14:textId="77777777" w:rsidR="003E564E" w:rsidRDefault="003E564E" w:rsidP="00FF1E38">
                              <w:pPr>
                                <w:spacing w:after="160" w:line="259" w:lineRule="auto"/>
                                <w:ind w:left="0" w:right="0" w:firstLine="0"/>
                                <w:jc w:val="left"/>
                              </w:pPr>
                            </w:p>
                            <w:p w14:paraId="0DEBE341" w14:textId="77777777" w:rsidR="003E564E" w:rsidRDefault="003E564E" w:rsidP="00FF1E38">
                              <w:pPr>
                                <w:spacing w:after="160" w:line="259" w:lineRule="auto"/>
                                <w:ind w:left="0" w:right="0" w:firstLine="0"/>
                                <w:jc w:val="left"/>
                              </w:pPr>
                            </w:p>
                          </w:txbxContent>
                        </wps:txbx>
                        <wps:bodyPr horzOverflow="overflow" vert="horz" lIns="0" tIns="0" rIns="0" bIns="0" rtlCol="0">
                          <a:noAutofit/>
                        </wps:bodyPr>
                      </wps:wsp>
                      <pic:pic xmlns:pic="http://schemas.openxmlformats.org/drawingml/2006/picture">
                        <pic:nvPicPr>
                          <pic:cNvPr id="48159" name="Picture 48159"/>
                          <pic:cNvPicPr/>
                        </pic:nvPicPr>
                        <pic:blipFill>
                          <a:blip r:embed="rId128"/>
                          <a:stretch>
                            <a:fillRect/>
                          </a:stretch>
                        </pic:blipFill>
                        <pic:spPr>
                          <a:xfrm>
                            <a:off x="0" y="285003"/>
                            <a:ext cx="5212081" cy="4389120"/>
                          </a:xfrm>
                          <a:prstGeom prst="rect">
                            <a:avLst/>
                          </a:prstGeom>
                        </pic:spPr>
                      </pic:pic>
                      <wps:wsp>
                        <wps:cNvPr id="48160" name="Rectangle 48160"/>
                        <wps:cNvSpPr/>
                        <wps:spPr>
                          <a:xfrm>
                            <a:off x="5213350" y="4548251"/>
                            <a:ext cx="51809" cy="207921"/>
                          </a:xfrm>
                          <a:prstGeom prst="rect">
                            <a:avLst/>
                          </a:prstGeom>
                          <a:ln>
                            <a:noFill/>
                          </a:ln>
                        </wps:spPr>
                        <wps:txbx>
                          <w:txbxContent>
                            <w:p w14:paraId="383412C1" w14:textId="77777777" w:rsidR="003E564E" w:rsidRDefault="003E564E" w:rsidP="00FF1E38">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48165" name="Shape 48165"/>
                        <wps:cNvSpPr/>
                        <wps:spPr>
                          <a:xfrm>
                            <a:off x="1253490" y="931433"/>
                            <a:ext cx="314325" cy="252730"/>
                          </a:xfrm>
                          <a:custGeom>
                            <a:avLst/>
                            <a:gdLst/>
                            <a:ahLst/>
                            <a:cxnLst/>
                            <a:rect l="0" t="0" r="0" b="0"/>
                            <a:pathLst>
                              <a:path w="314325" h="252730">
                                <a:moveTo>
                                  <a:pt x="77343" y="0"/>
                                </a:moveTo>
                                <a:lnTo>
                                  <a:pt x="236982" y="0"/>
                                </a:lnTo>
                                <a:lnTo>
                                  <a:pt x="314325" y="126365"/>
                                </a:lnTo>
                                <a:lnTo>
                                  <a:pt x="236982" y="252730"/>
                                </a:lnTo>
                                <a:lnTo>
                                  <a:pt x="77343" y="252730"/>
                                </a:lnTo>
                                <a:lnTo>
                                  <a:pt x="0" y="126365"/>
                                </a:lnTo>
                                <a:lnTo>
                                  <a:pt x="77343" y="0"/>
                                </a:lnTo>
                                <a:close/>
                              </a:path>
                            </a:pathLst>
                          </a:custGeom>
                          <a:solidFill>
                            <a:srgbClr val="4F81BD"/>
                          </a:solidFill>
                          <a:ln w="0" cap="flat">
                            <a:noFill/>
                            <a:miter lim="127000"/>
                          </a:ln>
                          <a:effectLst/>
                        </wps:spPr>
                        <wps:bodyPr/>
                      </wps:wsp>
                      <wps:wsp>
                        <wps:cNvPr id="48166" name="Shape 48166"/>
                        <wps:cNvSpPr/>
                        <wps:spPr>
                          <a:xfrm>
                            <a:off x="1253490" y="931433"/>
                            <a:ext cx="314325" cy="252730"/>
                          </a:xfrm>
                          <a:custGeom>
                            <a:avLst/>
                            <a:gdLst/>
                            <a:ahLst/>
                            <a:cxnLst/>
                            <a:rect l="0" t="0" r="0" b="0"/>
                            <a:pathLst>
                              <a:path w="314325" h="252730">
                                <a:moveTo>
                                  <a:pt x="77343" y="0"/>
                                </a:moveTo>
                                <a:lnTo>
                                  <a:pt x="0" y="126365"/>
                                </a:lnTo>
                                <a:lnTo>
                                  <a:pt x="77343" y="252730"/>
                                </a:lnTo>
                                <a:lnTo>
                                  <a:pt x="236982" y="252730"/>
                                </a:lnTo>
                                <a:lnTo>
                                  <a:pt x="314325" y="126365"/>
                                </a:lnTo>
                                <a:lnTo>
                                  <a:pt x="236982" y="0"/>
                                </a:lnTo>
                                <a:close/>
                              </a:path>
                            </a:pathLst>
                          </a:custGeom>
                          <a:noFill/>
                          <a:ln w="9525" cap="rnd" cmpd="sng" algn="ctr">
                            <a:solidFill>
                              <a:srgbClr val="4F81BD"/>
                            </a:solidFill>
                            <a:prstDash val="solid"/>
                            <a:miter lim="127000"/>
                          </a:ln>
                          <a:effectLst/>
                        </wps:spPr>
                        <wps:bodyPr/>
                      </wps:wsp>
                    </wpg:wgp>
                  </a:graphicData>
                </a:graphic>
              </wp:inline>
            </w:drawing>
          </mc:Choice>
          <mc:Fallback>
            <w:pict>
              <v:group w14:anchorId="53307236" id="Group 578051" o:spid="_x0000_s1053" style="width:414.6pt;height:376pt;mso-position-horizontal-relative:char;mso-position-vertical-relative:line" coordorigin=",-190" coordsize="52651,4775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oV/bfAQAAH8PAAAOAAAAZHJzL2Uyb0RvYy54bWzsV9tu4zYQfS/QfxD0&#10;nliiLMsS4izaTbNYoNgNutsPoCnqglKiQNKx06/vDCnKl+w2jlukL32wTJGj4cyZOUfUzbtdJ4JH&#10;rnQr+1UYX0dhwHsmy7avV+HvX++vlmGgDe1LKmTPV+ET1+G72x9/uNkOBSeykaLkKgAnvS62wyps&#10;jBmK2UyzhndUX8uB97BYSdVRA7eqnpWKbsF7J2YkihazrVTloCTjWsPsnVsMb63/quLMfK4qzU0g&#10;ViHEZuxV2esar7PbG1rUig5Ny8Yw6AVRdLTtYdPJ1R01NNio9pmrrmVKalmZaya7mayqlnGbA2QT&#10;RyfZfFByM9hc6mJbDxNMAO0JThe7ZZ8eH1TQlqswzZZRGodBTzuok906GOcApO1QF2D7QQ1fhgc1&#10;TtTuDvPeVarDf8go2Fl4nyZ4+c4EDCZTskjjNA8DBmvzLEsJIa4ArIEq7Z+7ivMoHWvDml9eeHzm&#10;d59hkFNM2wE6Su9B0/8MtC8NHbithUYgRtDmyzglHrPfoNtoXwseuGmLkrWeMNOFBvi+AVhM4hz6&#10;OQwAmsP0PXYkT5J5lDnsyDxbOHym3GkxKG0+cNkFOFiFCoKxHUkff9UGQgFTb4L7ix6vvbxvhXCr&#10;OAMQ+hBxZHbrnW2OeIGFwqm1LJ8g+UaqPz8D7ysht6tQjqMQpQA2x9UwEB97AB1Z5wfKD9Z+oIx4&#10;Ly03XTg/bYysWhvvfrcxLqjm7c3QsgJ+Ixdg9KysL2sGPGU2ioejk+4sHx1Vf2yGK6DtQE27bkVr&#10;nqwEAcoYVP/40DKsLd4cdwi0vGMVWODGtj9yRNTb4pNYBbw/crQW7YAlQnRwPIYMCnaiAN/I2qnL&#10;nWSbjvfGyaXiAqKXvW7aQYeBKni35sB+9bGMHRe1UdywBjesYGNsatcf04KNch8Yxvydrnb9TJZp&#10;FCXOu+/nlMQkWoLcWC1IljncosWlDW1jclHYIQTl+vUtJGABeboCH0kATENG2MbQDi9LAECSJEBr&#10;lIB5Ol8SUGN4nhYTZvEyGtWTRFlO7PKlgL1aATKfzH+tAAjom1Q19VW12o+kXaQehLMqGpM0meeu&#10;onkSz5MTEuAUgV2QAyQlWXJKAbZxmo5d4HUczhilU3SYa/yI7Xo/ROX/2+MO6Bc+h05xGICA+0ia&#10;KRBc7UDXv0prZ/DtnGXJPLH96QPdW4j+0JIki3wJL0ZIzJt6A/8/WJd+YzCMySJxAENPeyv/76wP&#10;3B7h5a38v7Peh3uGsavSGTHsvZ5mxoTU3GkY4mrFbMIacjqsppaiLb2wa1Wv3wsVPFJ4E87vl/HP&#10;d9hn8MiRmeixVBAoo3BSrkDI7Qt+eodDwVoDp2nRdohmFsF5wrlxL3tuz8OuTU5e9I7TaDyy6w3F&#10;c/GcZtNp43+a2Tb4Hs0uaNozqPA6ll3M4H1zOuV4DX0Oet6xIk+tkCIxVF8CRboBTjW6r8OAiho+&#10;TZlRli1HjDqTeHhuvqO6cQS1HpBY/y7f7NcLfOXZgo9fpPgZeXhv+bn/br79Cw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AWLYdbdAAAABQEAAA8AAABkcnMvZG93bnJldi54bWxMj0Fr&#10;wkAQhe+F/odlCr3VTVKsNs1GRNqepKAWSm9jdkyC2dmQXZP47117qZeBx3u89022GE0jeupcbVlB&#10;PIlAEBdW11wq+N59PM1BOI+ssbFMCs7kYJHf32WYajvwhvqtL0UoYZeigsr7NpXSFRUZdBPbEgfv&#10;YDuDPsiulLrDIZSbRiZR9CIN1hwWKmxpVVFx3J6Mgs8Bh+Vz/N6vj4fV+Xc3/fpZx6TU48O4fAPh&#10;afT/YbjiB3TIA9Penlg70SgIj/i/G7x58pqA2CuYTZMIZJ7JW/r8AgAA//8DAFBLAwQKAAAAAAAA&#10;ACEA+hoMpSbQAAAm0AAAFAAAAGRycy9tZWRpYS9pbWFnZTEuanBn/9j/4AAQSkZJRgABAQEAYABg&#10;AAD/2wBDAAMCAgMCAgMDAwMEAwMEBQgFBQQEBQoHBwYIDAoMDAsKCwsNDhIQDQ4RDgsLEBYQERMU&#10;FRUVDA8XGBYUGBIUFRT/2wBDAQMEBAUEBQkFBQkUDQsNFBQUFBQUFBQUFBQUFBQUFBQUFBQUFBQU&#10;FBQUFBQUFBQUFBQUFBQUFBQUFBQUFBQUFBT/wAARCALQA1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riV+L3hyT4sP8ADsXg/wCEjTT/AO0Wh7bC2Avu2Mtj0FAHb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x1J+zKlj+15pviBfFmqN4iurC416S5O&#10;3yi6Txx+QExxEY3IIzn3r7FryjUv+TotC/7FO8/9KoKAPVlztG7r3xS0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lGpf8AJ0Whf9inef8ApVBXq9eUal/ydFoX/Yp3n/pV&#10;BQB6v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eUal/wAnRaF/2Kd5&#10;/wClUFer14J8UtS8QaX+0Hoc/huLTJdR/wCEXuht1VpBFt+1wZ/1YzmuPGYyhl+HnisVLlpwV2+y&#10;76alRi5tRjue90V4f/wm3xf/AOfLwR/3+vP/AImj/hNvi/8A8+Xgj/v9ef8AxNfC/wDEReFP+g+P&#10;3T/+ROr6pX/lPcKK8P8A+E2+L/8Az5eCP+/15/8AE0f8Jt8X/wDny8Ef9/rz/wCJo/4iLwp/0Hx+&#10;6f8A8iH1Sv8AynuFFeH/APCbfF//AJ8vBH/f68/+Jo/4Tb4v/wDPl4I/7/Xn/wATR/xEXhT/AKD4&#10;/dP/AORD6pX/AJT3CivD/wDhNvi//wA+Xgj/AL/Xn/xNH/CbfF//AJ8vBH/f68/+Jo/4iLwp/wBB&#10;8fun/wDIh9Ur/wAp7hRXh/8Awm3xf/58vBH/AH+vP/iaP+E2+L//AD5eCP8Av9ef/E0f8RF4U/6D&#10;4/dP/wCRD6pX/lPcKK8P/wCE2+L/APz5eCP+/wBef/E1xHiT9oz4oeGfFzeH59F8ITXC2CX/AJyX&#10;F0E2tI0YXG3OcoT+Nd+C424dzGr7HCYyM5WvZKWy9YlQwOJqSUIwu36H1PRXyh/w018Tf+gJ4R/8&#10;CLv/AOJo/wCGmvib/wBATwj/AOBF3/8AE17f9t5d/wA/l9z/AMjt/sTMf+fT+9f5n1fRXyh/w018&#10;Tf8AoCeEf/Ai7/8AiaP+Gmvib/0BPCP/AIEXf/xNH9t5d/z+X3P/ACD+xMx/59P71/mfV9FfKH/D&#10;TXxN/wCgJ4R/8CLv/wCJo/4aa+Jv/QE8I/8AgRd//E0f23l3/P5fc/8AIP7EzH/n0/vX+Z9X0V8o&#10;f8NNfE3/AKAnhH/wIu//AImj/hpr4m/9ATwj/wCBF3/8TR/beXf8/l9z/wAg/sTMf+fT+9f5n1fR&#10;Xyh/w018Tf8AoCeEf/Ai7/8AiaP+Gmvib/0BPCP/AIEXf/xNH9t5d/z+X3P/ACD+xMx/59P71/mf&#10;V9FfKH/DTXxN/wCgJ4R/8CLv/wCJrzjx5/wUI8d+AfET6PdeEPDl3MsMc/mw3lwFw+cDlc54q45x&#10;gJ35aq09f8jqwvDebYytHD4fDuU5bK61sm317Js+9qK/On/h514z/wChG0H/AMDZv/iaP+HnXjP/&#10;AKEbQf8AwNm/+Jp/2xgP+fq/H/I+h/4h1xX/ANAEvvh/8kfotRX50/8ADzrxn/0I2g/+Bs3/AMTR&#10;/wAPOvGf/QjaD/4Gzf8AxNH9sYD/AJ+r8f8AIP8AiHXFf/QBL74f/JH6LUV+dP8Aw868Z/8AQjaD&#10;/wCBs3/xNH/Dzrxn/wBCNoP/AIGzf/E0f2xgP+fq/H/IP+IdcV/9AEvvh/8AJH6LUV+dP/Dzrxn/&#10;ANCNoP8A4Gzf/E0f8POvGf8A0I2g/wDgbN/8TR/bGA/5+r8f8g/4h1xX/wBAEvvh/wDJH6LUV+dP&#10;/Dzrxn/0I2g/+Bs3/wATR/w868Z/9CNoP/gbN/8AE0f2xgP+fq/H/IP+IdcV/wDQBL74f/JH6LUV&#10;+dP/AA868Z/9CNoP/gbN/wDE02P/AIKfeM5FJHgbQhyR/wAfs3/xNV/a2Bacvaq3z/yMpeH/ABRG&#10;pGk8DLmd2leHS1/tdLo/Riivzp/4edeM/wDoRtB/8DZv/iaP+HnXjP8A6EbQf/A2b/4mp/tjAf8A&#10;P1fj/ka/8Q64r/6AJffD/wCSP0Wor86f+HnXjP8A6EbQf/A2b/4mj/h514z/AOhG0H/wNm/+Jo/t&#10;jAf8/V+P+Qf8Q64r/wCgCX3w/wDkj9FqK/On/h514z/6EbQf/A2b/wCJo/4edeM/+hG0H/wNm/8A&#10;iaP7YwH/AD9X4/5B/wAQ64r/AOgCX3w/+SP0Wor86f8Ah514z/6EbQf/AANm/wDiaP8Ah514z/6E&#10;bQf/AANm/wDiaP7YwH/P1fj/AJB/xDriv/oAl98P/kj9FqK/On/h514z/wChG0H/AMDZv/iaP+Hn&#10;XjP/AKEbQf8AwNm/+Jo/tjAf8/V+P+Qf8Q64r/6AJffD/wCSP0Wor86f+HnXjP8A6EbQf/A2b/4m&#10;mx/8FPvGciBh4G0If9vs3/xNV/a2Btze1Vvn/kZPw/4ojUVF4GXM02leGysm/i6cy+8/Riivzp/4&#10;edeM/wDoRtB/8DZv/iaP+HnXjP8A6EbQf/A2b/4mp/tjAf8AP1fj/ka/8Q64r/6AJffD/wCSP0Wo&#10;r86f+HnXjP8A6EbQf/A2b/4mj/h514z/AOhG0H/wNm/+Jo/tjAf8/V+P+Qf8Q64r/wCgCX3w/wDk&#10;j9FqK/On/h514z/6EbQf/A2b/wCJo/4edeM/+hG0H/wNm/8AiaP7YwH/AD9X4/5B/wAQ64r/AOgC&#10;X3w/+SP0Wor86f8Ah514z/6EbQf/AANm/wDiaP8Ah514z/6EbQf/AANm/wDiaP7YwH/P1fj/AJB/&#10;xDriv/oAl98P/kj9FqK/On/h514z/wChG0H/AMDZv/iaP+HnXjP/AKEbQf8AwNm/+Jo/tjAf8/V+&#10;P+Qf8Q64r/6AJffD/wCSP0Wor86G/wCCnnjRVJ/4QbQeB/z+z/8AxNfdPwj8bTfEj4Y+GPFFxapZ&#10;XGrWEV3JbxMWWNmXJAJ5Iz612YfGUMVf2Eua2585nHDubZB7P+1KDpc9+W7Tva19m9ro66iiiuw+&#10;cCiiigAooooAKKKKACiiigAooooAKKKKACiiigAooooAKKKKACiiigAooooAKKKKACiiigAooooA&#10;KKKKACiiigAooooAKKKKACiiigAooooAKKKKACiiigArxDx8cftEaP8A9irdf+lcFe314d8QDj9o&#10;jRv+xVuv/SuCvzzxC/5JXH/4F/6VE68J/HgbnmUeZUe6jdX+enKfVknmUeZUe6jdRygSeZR5lR7q&#10;N1HKBJ5lHmVHuo3UcoEnmUeZUe6jdRygSeZXz58WG/4vfL/2Llv/AOlMte/7q+fviw3/ABe6T/sX&#10;Lf8A9KZa/R+AVbOH/gl+h3YD/e6fq/yZmZozTd1G6v6CuffWHZozTd1G6i4WHZozTd1G6i4WHZoz&#10;Td1G6i4WHZozTd1G6i4WHZr5Z/aLP/F0Z/8Arwtv5NX1Jur5Z/aLb/i6E/8A14W3/s1d+E/5ef4f&#10;/bon1vCP/I+wnrP/ANNzPNd1G6m7qN1a2P6h5h26jdTd1G6iwcw7dRupu6jdRYOYduo3U3dRuosH&#10;MO3Ubqbuo3UWDmHbqjtz8jf7zfzpwbkVHbn92f8Aeb+ddMV+5n6r9Txq7/4UcP8A4an5wJt1G6m7&#10;qN1c1j2eYduo3U3dRuosHMO3Ubqbuo3UWDmHbqN1N3UbqLBzDt1G6m7qN1Fg5h26o7Y/uF/H+dOD&#10;cio7c/uV/H+ddMV+4l6x/KR4tV/8KlD/AK91f/SqJNuo3U3dRurmse1zDt1G6m7qN1Fg5h26jdTd&#10;1G6iwcw7dRupu6jdRYOYduo3U3dRuosHMEjfu3+hr9jv2Wv+Tdfh5/2BoP8A0Gvxvkb9230P8q/Z&#10;D9lr/k3X4ef9gaD/ANBr7nhn/l9/27+p/K3jk/8AkXf9xf8A3Gep0UUV9wfywFFFFABRRRQAUUUU&#10;AFFFFABRRRQAUUUUAFFFFABRRRQAUUUUAFFFFABRRRQAUUUUAFFFFABRRRQAUUUUAFFFFABRRRQA&#10;UUUUAFFFFABRRRQAUUUUAFFFFABXhnxEOP2htG/7FW6/9K4K9zrwr4kHH7Qui/8AYrXX/pXBX574&#10;g/8AJLY//Cv/AEqJ14X+PE1t1G6oN9G+v8+eU+qJ91G6oN9G+jlAn3Ubqg30b6OUCfdRuqDfRvo5&#10;QJ91G6oN9G+jlAn3V4B8Vmz8bJf+xdt//SmWveN9eB/FRv8Ai9cv/Yu2/wD6Uy1+icCK2bP/AAS/&#10;Q78v/wB7per/ACZnZozUe6jdX75c/QLEmaM1Huo3UXCxJmjNR7qN1FwsSZozUe6jdRcLEmaM1Huo&#10;3UXCxJmvlv8AaK/5KfN/14W//s1fUG6vl39oo/8AFzpv+vC3/wDZq9DB71P8P/t0T6vhPTPcJ6y/&#10;9NzPNaKbk0ZNdNj+mrjqKbk0ZNFguOopuTRk0WC46im5NGTRYLjqKbk0ZNFguPX7wqKD/Vn/AHm/&#10;nT1PzCo4f9Wf95v510R/gy9V+p49d/8AChQ/w1PzpktFNyaMmuex7Fx1FNyaMmiwXHUU3JoyaLBc&#10;dRTcmjJosFx1FNyaMmiwXHr94VHB/qV/H+Zpyk7h9ajhP7lPx/ma6I/wJeq/KR41V/8ACnQ/691f&#10;/SqJLRTcmjJrnsezcdRTcmjJosFx1FNyaMmiwXHUU3JoyaLBcdRTcmjJosFxX/1b/wC6f5V+yP7L&#10;X/Juvw8/7A0H/oNfjY5/dv8A7p/lX7J/st/8m6/Dz/sDW/8A6DX3HDP/AC+/7d/U/lrxv/5l3/cX&#10;/wBxnqdFFFfbn8thRRRQBQ1+aS30HUpYnMcsdtIysvUEKSDX462/7TnxekgjY/EvxHllBP8ApQ/+&#10;Jr9h/E3/ACLmq/8AXpL/AOgGvwptm/0eL/dFfK5/iK2Hp03Rk43b2P3zwjyjLs2xmLhmNCNVRjFp&#10;SSdnd7XPUv8Ahpr4u/8ARS/Ef/gUP/iaP+Gmvi7/ANFL8R/+BQ/+JrzHdRur4v8AtHG/8/Zfef03&#10;/qZwz/0L6X/gEf8AI9O/4aa+Lv8A0UvxH/4FD/4mvqz/AIJ6/Fvxv8QvH3i6y8UeK9T8Q2tvpkM0&#10;MWoShxG5lYErwMZH8q+Bd1fZn/BMM5+Jfjb/ALBEH/o5q9vJsZia2MjCrUbVnu/I/LfEvhvJMt4b&#10;q4nA4SnTqKUPejFJ6yV9UfoxRRWVeeKtIsPEFjodzqEEOr30ck1rZu2JJkTG8qO+Nwz9a/Q+tj+O&#10;jVorKsvFWkajr+oaHa6hBPq2npHJd2aNl4VkyULDtnBx9Kq6T460XW/Fmt+G7O8WbWdGWF762wcx&#10;CVdyHPfIo329Q2vfob9FFMkkWGN5HO1FBZj6AUm0ldgPorM8N+JtL8YaNb6to15HqGnXG7yriLO1&#10;trFTjPoQR+FadVtoxJpq6CisLw5420bxZfa1Z6XeLdXGj3Rsr1FBHlSgZ2n8DW7UrVJrr+oX3/rb&#10;cKKyvD/irSfFUN3LpN9HfR2tw9pO0efklQ4ZDkdRWB4r+Mfg/wAEyanFq+tQ2s+mi3a7hwxaJZ5P&#10;LhJ46M3FNa2t12+ew97+X/DfnodpRTY3EiK6nKsMg0UCvfVDqKKKBhRRRQAleUab+0t4R1n+z4rB&#10;dQu76+1q40OCxigBnaWByk0m3dxEpGS5PTFert0NfCXwB8C+Kfgz8Rte8cXvhzUtW0vxL4g1PS57&#10;WW0drjTA1zI0E8I6i3lyN5HqGzipi/3lnta/zurL57eW5NS8aXNHe6XytK7+Vr/K3U+2bnxVo9rH&#10;qDyapaD+z42lu1WZS0CgZJdQcjj1qh4f+I/hjxP4Xg8RadrljNoswBW8aZUQZ6AliNp9jXwz4K8K&#10;6z4w+NVm/wDwhVxosNxaa3aa1ptvodxa28TOgESTXTnFwXIDAjgZ4q7a2mn6T8B/BOiWfw3urOOH&#10;UZLXXbvUfDd1dmzulUgSLbDHnB+FEnKjisvaS5Oa2rUWl6yafy0VvVd0KUrTS6a3+SVl6/FpbZeR&#10;933euadYW8E91f2ttBOwWKWaZVWQnoFJOCT7Viad8T/C2q+KNb8OW2t2r6zowjN9atIFMIddynJ4&#10;PHPHTvXwc3hvVdD+B/wyudW0LxFqPizT4b+Cz8Nah4fubuyvleY7IZgvNq5G3bIfujNdD8SPAbWv&#10;iL42xjwFqlr4m8TeFre40mbT7KaaMMLXZcxLOo2h93y4JBPaujROXVLmt5tWt+F2+356U1zSUHo9&#10;PT4lFv8AHTo++9vuiTxJpMVlPePqlklpbsUmuGuEEcbDghmzgH2NcH8WPjnp/wAMpPDFnbafL4j1&#10;bxFdi2sLKyniTeuMtIXdgu0D8+1fPnxA+Fei/DXTPhG954N1C8+GNlbzS+IdK021mu2+2vAgimnh&#10;TLyYYNk4OCcmsXwb8G7vWte+F9/qHg6/GgL4n1K70601GGTzdO04rugWUE5iBfLKrcjIFJ/xFHop&#10;Wfykk16vdf3db3OSVWXslNLVq6+abX3Ws/7zS23+1JPFGnIt1H9qga+tbc3E1isyGeNQufmUHIrm&#10;/hr8XtF+I3w70nxcsi6PZahE0yxX8qIyKrlMnJxjI/WvjPS9O8S6x+0DoN/B4Lu/Dd1BreoQ6na2&#10;Oh3CKtuYJgkk18x2zLIdjBRwCcVqfCf4Hz+Kda+DNj4x8JX9xpGn+E9UW4t72GRIYbhrr5FkGQN5&#10;UkgH61MG5U3NrdJr/wABqSfrflS9TeV41OTtf56qP53fofct9rWn6ZbxT3l/a2kEzKkck8yorseg&#10;BJ5J7Yq5X5pa14E8aW2h/DubxVLrmm+GIfD0+mp5vhaXX3t7v7Q20NArBo3MeNshzwMV98fBPQ5v&#10;DPwn8KaXcalqGry2unxRm81WAwXUuFGDJGeVbHUHpWvLeMpX2dvxa17bJ+jXqyTlGag1/Wm3datX&#10;8vku2oooqCwpDwM0tNkZY42ZjtVQST6Ck9mB8lab+3drHiLxhqOk+H/gv4s13TLHV5dIl1mzMbQB&#10;45Njt6gDr9K+tUbcqkjaSM4PavzN+NEsP7Nvh6/8afCL9oO61TUtR8Sm6TwTHNb3FrdSXE2ZYxCu&#10;XyM9fbmv0j8N3t1qXh7S7u9h+zXtxaxSzw4/1cjICy/gSRTpWlQUuqsn68qb8renzIm3Gs49Hdr0&#10;Umtet7W/Gxo14P8AExtv7Qmif9itdf8ApXBXvFeC/FA4/aC0T/sV7r/0rgr8/wDED/kl8d/hX/pU&#10;Tuwv8eJe3Ubqi3Ubq/z+5T6ol3Ubqi3UbqOUCXdRuqLdRuo5QJd1G6ot1G6jlAl3Ubqi3UbqOUCX&#10;dXgvxSb/AIvVL/2Ltv8A+lMte67q8H+KDf8AF6Jf+xet/wD0olr9B4HVs1f+CX6HoZf/AL5S9X+T&#10;M7dRupu6jdX7qfog7dRupu6jdQA7dRupu6jdQA7dRupu6jdQA7dRupu6jdQA7dXy9+0U3/FzZv8A&#10;rxt/5NX0/ur5e/aJb/i5kv8A142//s1elgd6n+H/ANuifT8L6Z5hfWX/AKbmea7qN1N3Ubq7bH9J&#10;cw7dRupu6jdRYOYduo3U3dRuosHMO3Ubqbuo3UWDmHbqN1N3UbqLBzD1b5hUcLfu/wDgTUqt8wps&#10;Tfu/+BNW8V+6l6r9TyKz/wCFCh/hqfnTJN1G6m7qN1YWPX5h26jdTd1G6iwcw7dRupu6jdRYOYdu&#10;o3U3dRuosHMO3Ubqbuo3UWDmHq3zD60yFv3Kfj/M0qN86/Wo4j+5T8f5muiK/cy9Y/lI8iq/+FOh&#10;/wBe6v8A6VRJd1G6m7qN1c9j1+Yduo3U3dRuosHMO3Ubqbuo3UWDmHbqN1N3UbqLBzDt1G6m7qN1&#10;Fg5hXb92/wDun+Vfst+y3/ybr8PP+wNb/wDoNfjOzfI3+6f5V+y/7LX/ACbr8PP+wNb/APoNfbcN&#10;/wDL7/t39T+XvG13/s//ALi/+4z1Oiiivtj+XgooooAzfEv/ACLuq/8AXpL/AOgGvwkt2/0eP/dr&#10;92/Ev/Iu6r/16S/+gGvwggb9xH/u18hxH/Cp+rP6N8F5cuOxv+CP/pTLG6jdUW6jdXwnKf1h7Ql3&#10;V9n/APBL85+JXjf/ALBEH/o5q+K91faX/BL3n4k+N/8AsEQf+jmr38jX+2x9H+R+Q+Ks78L1l/eh&#10;/wClI/RyvBP2t7NvDvhzw78TLZW+1eB9Tj1GcxjLNZN+7uV+gRt//AK97qK6tYb63lt7mGO4t5VK&#10;SRSqGV1PUEHgiv0iSk7OLs0016p3+7o/I/iH3WnGezTT9Hp9/bsz4ZabW9f8B6H4ysNd1Lwxd/FH&#10;xtC73tmVS6XTCGSGEFgcfICenG6q/jTVNY+FPjD4z2+ga1fwyW//AAjenXeuzMJbu2tHTbNcsxGN&#10;yqSd5GB1r7n/ALHsDBbQGyt/JtSDBH5S7YiOhUY+XHtSSaLp8zXbSWFtI12oS5LQqTMoGAH4+YY4&#10;waaioXUNuifZKCUW/wDt1378zMoxerk9Wvx53JtfereiPnj9nnxC6fGLxZ4Z8N+L7rx78P7fTLa8&#10;j1a4vkvRb3rsQ8CTpwwKgOVycE9q4Wf4geL4fi9d/BM63frqUetyeIP7Rb5pG0PyzJs3YwP3reWB&#10;6LX134f8MaP4TsfsWiaVZaRZ7i3kWNukKZPU4UAZqwdJsW1A35s7c3xj8k3PlL5pTOdu7GcZ7dKU&#10;4uVtdk1+N19zSXnG663CMWoyXd39NOV/em3/AIteh8A6V8UNRsvBPw18Q654xkfSo/PNxoWl6tFY&#10;6m0rag6JcRQlf9JTA2lB0GTzWt4i+Kep3V94w8Rz/EDUNL+I2leJV03QvBouUjW4tDJGI1NoRukE&#10;isxMg6c8jFfa0/gPw1dXVjczeHtKluLEk2sz2UZaAk5Ow7fl5JPFSXHg3QLrX4dcm0TT5dahXZHq&#10;L2qG4RfQSEbh+daL4+Z92/S8k/v0a16O2qViHTvFq/Rfk192t9Oqvu2z4s8B+MNV0/8Aae8T6Xre&#10;ozeGvBN74q3rfWjgC81MQgrZzuf9Wh6gfxkYzXr3x8j1fxR+0F8LvBlv4p1fw7omp2l/dX0ekTiG&#10;S58kIyKWIOBk845xXv03h/S7hXEum2cgkmFw4aBDulHRzxyw9etWJNPtZruG6ktoXuoQVjmaMF0B&#10;6hW6jPtUUo+zjSi/sfj7nKvuf4JLfUbpv95Z/F+Hvc34/m29rJfAvjj4gQr4I1DTL/x7d+GvEd94&#10;2vtK0m7GpR2MMUa7PMmnYgBljXpzkswqH9pDxBqMafEXSbDV18R29l4f8MzWUs0iFbuY3gAkaRRz&#10;vIHPI5r7r1XwH4a12IRal4e0rUIw7SBLqyikG9vvNhlPJwMmrP8Awi+jeWY/7IsfLKJFt+zJjYhy&#10;i4x0U9B27VNKLhCEW9Vy/wDkqS++6b9XrsjZe7JtbO/41Of8vd/LdnkH7Jniq98W+DNVuvEOsXl5&#10;40S+aPW9KvFEY0qYD5YIox0j24Ktk7s5zRXtVvptpa3U9zBaww3Fxt86WOMK8mBgbiBk4HrRW8pc&#10;zva235dP69WzOnFwVm77/n/X+SLNFFFQaBRRRQAUUUUAFFFFABRRRQAUUUUAFFFFABRRRQAUUUUA&#10;FIyhlIIyDwRS0UAea6X+zX8KtF8XHxTY/D7w9a+IvMMv9pR6fGJQ56sDjg+45r0qiihaJRWyF1cu&#10;rCvA/iocftBaJ/2K91/6VQV75XgHxYbH7QGh/wDYr3X/AKVQV8Bx9/yS+O/wr/0qJ14X+NEn3Ubq&#10;h30b6/gSx9STbqN1Q76N9FgJt1G6od9G+iwE26jdUO+jfRYCbdRuqHfRvosBNurwn4nN/wAXnl/7&#10;F63/APSiWvcN9eGfE5v+LzS/9i9b/wDpRLX33BKtmj/wS/Q9HLf99per/JlHdRupmTRk1+23P0iw&#10;/dRupmTRk0XCw/dRupmTRk0XCw/dRupmTRk0XCw/dRupmTRk0XCw/dXy/wDtEf8AJTJf+vG3/wDZ&#10;q+ncmvmD9oj/AJKVL/142/8A7NXqZf8AFU/w/wDt0T6ThnTO8L6y/wDTczzWim5NGTXon9F3HUU3&#10;JoyaAuOopuTRk0BcdRTcmjJoC46im5NGTQFx6/eFMj/1f/AjSqTuFMjP7v8A4Ea3j/Cl6r9Tyaz/&#10;AOFCh/hqfnAkopuTRk1getcdRTcmjJoC46im5NGTQFx1FNyaMmgLjqKbk0ZNAXHp95frTI/9Wv4/&#10;zNKhO5frTYz+7X8f510R/gy9Y/lI8mq/+FKj/wBe6v8A6VRH0U3Joya5z1rjqKbk0ZNAXHUU3Joy&#10;aAuOopuTRk0BcdRTcmjJoC4r/wCrf/dP8q/Zn9lr/k3X4ef9ga3/APQa/GRm+Rv90/yr9m/2Wv8A&#10;k3X4ef8AYGt//Qa+14b/AOXv/bv6n8xeNT/5F/8A3F/9xnqdFFFfan8whRRRQBS1q1kvtHvraIAy&#10;zQSRpk4GSpAr8qI/+CevxrRAp0XSSV4yNWTB/wDHa/VLxJI8Ph3VZI2KOtpKyspwQQhwRX59eDrG&#10;XUvCOiXdzrfiGW5uLKGWWQ67eDczICT/AK31r5zOq+DoQg8ZByTbtb/h0fd8J5hnGX1qssoqqEml&#10;zXSd1fTdM80/4d7/ABr/AOgLpX/g2T/Cj/h3v8a/+gLpX/g2T/CvYv7DX/oL+IP/AAfXn/x2j+w1&#10;/wCgv4g/8H15/wDHa+T+v5L/AM+Z/wBf9vH6V/rLxr/0Fw/8Aj/8geO/8O9/jX/0BdK/8Gyf4V9K&#10;/sM/s1ePfgX418Tah4v0+0tLXUNPit4GtbxZyXWQsc4Axwa4z+w1/wCgv4g/8H15/wDHa9M/ZXlu&#10;rP4za/pw1TU7qwbQIbj7PfX81yok+0Ou4eYzYOOOK9fKsXltbFKGGpyU7PV7berPmOJM64lxuXSo&#10;5niIzpNq6UUne+mqiuvmfWlFFFfcH5CFFFFABRRRQAUUUUAFFFFABRRRQAUUUUAFFFFABRRRQAUU&#10;UUAFFFFABRRRQAUUUUAFFFFABRRRQAUUUUAFFFFABRRRQAV8/fFw4+P2hf8AYsXX/pVBX0DXz38Y&#10;Dj4/aF/2LF1/6VQV8Fx7/wAkxjv8K/8ASonVhf40QyKMiot1G6v4J5T6klyKMiot1G6jlAlyKMio&#10;t1G6jlAlyKMiot1G6jlAlyKMiot1G6jlAlyK8O+Jbf8AF5Jf+xft/wD0olr2zdXh/wASW/4vFL/2&#10;AIP/AEolr7vgxWzOX+CX6HpZb/vtL1f5MpUU3dRur9mufpVh1FN3UbqLhYdRTd1G6i4WHUU3dRuo&#10;uFh1FN3UbqLhYdXzF+0Qf+LlSf8AXjb/APs1fTe6vmL9ohv+LlSf9eMH/s1erl3x1P8AD/7dE+i4&#10;c0znC+sv/TczzXdRupm6jdXqn9Ccw/dRupm6jdQHMP3UbqZuo3UBzD91G6mbqN1Acw/dRupm6jdQ&#10;HMSK3zCmxn93/wACNIrfMPrSKfk/4Ea6I/wpeq/U8mtL/b6H+Gp+cB+6jdTN1G6uc9bmH7qN1M3U&#10;bqA5h+6jdTN1G6gOYfuo3UzdRuoDmH7qN1M3UbqA5iRG+ZfrTUP7tf8APehG+ZfrTVb92v8AnvXR&#10;H+DL1X5SPIqy/wCFKj/17qf+lUh+6jdTN1G6uc9fmH7qN1M3UbqA5h+6jdTN1G6gOYfuo3UzdRuo&#10;DmH7qN1M3UbqA5hzN8jf7p/lX7O/stf8m6/Dz/sDW/8A6DX4vs3yN/un+VftB+y1/wAm6/Dz/sDW&#10;/wD6DX2nDn/L35fqfzJ40O/9n/8AcT/3Gep0UUV9ofzKFFFFAGX4p/5FnV/+vOb/ANANfAPgGTHg&#10;Xw7/ANg+D/0AV9/eKf8AkWdX/wCvOb/0A1+fPgNv+KH8Pf8AYPg/9AFfBcXO1Gj6v8j7zhNXrVvR&#10;fmdN5lHmVW3+9G/3r8y5j9L5Sz5ld7+y+2748a8f+pah/wDSp6853+9eh/sstu+O2v8A/YtQ/wDp&#10;U9fUcNP/AIUoej/I+X4kjbLpeq/M+uqKKK/Yj8gCvAf+Ghr/AMKP8Y7TxTHAl54NP22xMMZUXNnK&#10;m6DjPLbvlOO9e/V4F8bv2Zrv4rfFbwl4os9cTStLtdkHiDTyhJ1O2jkEsUYI4GHHOe3FZuLlJRvZ&#10;Sum+1/teqtb5sG7RckrtWdu9unzT+9Iz9J/aIvvBc0//AAsLUbf7TZ+GrDU7vS9PsGEi3U8hQKjZ&#10;O7JwoXt1Ndfrn7SmjaDoei3Fz4f8QnXtXMgtPDcdgzag4jx5j7Omxcj5s45FYPxK+AeveIvHnjDx&#10;NpZ8OanHrOhWukR6P4hgle2fypWd/N2HOCGGNvIIrj9D/Zn+JPge08I+ItD8SaJf+NNDW9txYav9&#10;ok0xLW5ZW8iJ8+aBHtG0k+xq+Zyd2rK7+WsrL8tei7W1xUZwsr3en/pKu/vvppr5O63PFH7UmmL4&#10;i+HGsWGrpYeDdT/tAaqt5CUmjkgT/VMp+ZXD8bepJHrXp+vfGzQ/C3wlPxD1i21DTtDWFLhoprZv&#10;tKozALmLrk5Bx15rw3Vv2HZPF2j+FLfxDr1vPeWN/f6zqF3axNGRf3ABjktx/CI2VcBuoHPWvUvG&#10;Xwp8W/ET4Bjwbr2tabJ4mdYUn1SGFxBL5cqtv2dQWVee2T6Vn76pyX2rrzWu9n1t020s9buxHmU7&#10;vVa/ht6XW/n2trmW/wC0I+q+KNAltrLVLOwv9Kvb1fD95pLpqNz5J4dMngEdFI5rOh/aksvGEmgt&#10;o4vvDwbxRF4fvrfWNObfNIyFjEhBwpHducEEGt74mfB3xR4h8ZaZ4n8M63YaXqmm+H7zSrZryJ3C&#10;3EqgJL8v8Knt1rg/Bv7Nfj2Hwj4D0bxHqPhiF/CviKHWftGkx3LNfKqt5rSmQ5Mzuxbd0q4ay10S&#10;a/8ATm/yhuvNW2aFL2nJLu7/APptaeXv9fJ36M2f2dv2jv8AhNmbw7rV2+reK5NX1OPyrK3ytpaQ&#10;3DpG85HCAgADPLEcV9FV8zfBT9lPXPgh44uPE2ja/ZGXW9SvJvEVmYn8q8hkmeSB0zys0e7aT0YE&#10;+gr6ZrXTki+tlf1/r+lsbSv7apb4eZ29Lv8Aq3awUUUVAwooooAKKKKACiiigAooooAKKKKACiii&#10;gAooooAKKKKACiiigAooooAKKKKACvnn4yHHx80H/sWLv/0qgr6Gr50+NnhMeL/j1oFqdY1TRvK8&#10;M3UnnaTOsUj/AOlQDaxKtkc5x618Lx1yf6tY32kuVcq13+0ux1YW/to2It9G+qn/AApNf+h68Zf+&#10;DGP/AONUf8KTX/oevGX/AIMY/wD41X8Lf7B/0Ef+Sy/yPpvf7FvfRvqp/wAKTX/oevGX/gxj/wDj&#10;VH/Ck1/6Hrxl/wCDGP8A+NUf7B/0Ef8Aksv8g9/sW99G+qn/AApNf+h68Zf+DGP/AONUf8KTX/oe&#10;vGX/AIMY/wD41R/sH/QR/wCSy/yD3+xb30b6qf8ACk1/6Hrxl/4MY/8A41R/wpNf+h68Zf8Agxj/&#10;APjVH+wf9BH/AJLL/IPf7FvfRvqp/wAKTX/oevGX/gxj/wDjVH/Ck1/6Hrxl/wCDGP8A+NUf7B/0&#10;Ef8Aksv8g9/sW99eJ/Eg/wDF4Zf+wBb/APpRLXsP/Ck1/wCh68Zf+DGP/wCNV4n8SPhsun/FySz/&#10;AOEo8R3H/Eihm+0TXiGXm4lG3Pl/dGM4x1Jr7ng2OEnmTjSr3fJL7Ml2O/L5ThjKcuXq/wAmR0VS&#10;/wCFer/0M3iH/wADE/8AjdH/AAr1f+hm8Q/+Bif/ABuv2X6rD/n4vuf+R+hfWZ/8+396LtFUv+Fe&#10;r/0M3iH/AMDE/wDjdH/CvV/6GbxD/wCBif8Axuj6rD/n4vuf+QfWZ/8APt/ei7RVL/hXq/8AQzeI&#10;f/AxP/jdH/CvV/6GbxD/AOBif/G6PqsP+fi+5/5B9Zn/AM+396LtFUv+Fer/ANDN4h/8DE/+N0f8&#10;K9X/AKGbxD/4GJ/8bo+qw/5+L7n/AJB9Zn/z7f3ou0VS/wCFer/0M3iH/wADE/8AjdH/AAr1f+hm&#10;8Q/+Bif/ABuj6rD/AJ+L7n/kH1mf/Pt/ei7XzH+0P/yUmT/rxg/9mr6P/wCFer/0M3iH/wADE/8A&#10;jdfOXx20NdL+Iktt9uvb3FlA3nXkoeTndxkAcD6V6WBoQpynJz+z2f8ANE+i4crVqmc4VU6TbvLq&#10;v+fczzGirv2JP78n/fVH2JP78n/fVej+6/n/AAZ/QX+3/wDQN/5NH/MpUVd+xJ/fk/76o+xJ/fk/&#10;76o/dfz/AIMP9v8A+gb/AMmj/mUqKu/Yk/vyf99UfYk/vyf99Ufuv5/wYf7f/wBA3/k0f8ylRV37&#10;En9+T/vqj7En9+T/AL6o/dfz/gw/2/8A6Bv/ACaP+ZSoq79iT+/J/wB9UfYk/vyf99Ufuv5/wYf7&#10;f/0Df+TR/wAymv3hTV+5+Jq/9jX+/J/31UcNorIfmcfMeh963j7L2Uvf6ro/M8qt9e+v0f8AZ9eW&#10;f2o94eZVoq79iT+/J/31R9iT+/J/31WH7r+f8Ger/t//AEDf+TR/zKVFXfsSf35P++qPsSf35P8A&#10;vqj91/P+DD/b/wDoG/8AJo/5lKirv2JP78n/AH1R9iT+/J/31R+6/n/Bh/t//QN/5NH/ADKVFXfs&#10;Sf35P++qPsSf35P++qP3X8/4MP8Ab/8AoG/8mj/mUqKu/Yk/vyf99UfYk/vyf99Ufuv5/wAGH+3/&#10;APQN/wCTR/zKa/eH1pq/cX/Per/2NR/HJ/31UcFqrRKdzjr0PvW8fZexl7/VdH2keTU+vf2jR/2f&#10;Xkqfaj/NS8yrRV37En9+T/vqj7En9+T/AL6rD91/P+DPW/2//oG/8mj/AJlKirv2JP78n/fVH2JP&#10;78n/AH1R+6/n/Bh/t/8A0Df+TR/zKVFXfsSf35P++qPsSf35P++qP3X8/wCDD/b/APoG/wDJo/5l&#10;Kirv2JP78n/fVH2JP78n/fVH7r+f8GH+3/8AQN/5NH/MpUVd+xJ/fk/76o+xJ/fk/wC+qP3X8/4M&#10;P9v/AOgb/wAmj/mUW+43+6f5V+0P7LX/ACbr8PP+wNb/APoNfjXJZoI2+eTof4q/ZT9lnP8Awzr8&#10;PMnP/Eng/wDQa+x4e5P3vK77fqfzZ4x/WP8AYPb0+T+JbVO/wdj1OiiivsT+bQooooAy/FP/ACLO&#10;r/8AXnN/6Aa/PPwK/wDxRPh//rwg/wDQBX6KaxZvqWkX1ojBXuIJIlZugLKQCfzr4v0X9lv4s6Jo&#10;9lpyxeFJ1tIUgEv2+cbwoxux5XGcV8fxJl+JzClTjho8zTd9UvzaPr+HMww2AqVJYmVk0raN9fI5&#10;fzKPMrtP+Gbvi1/z7eE//BjP/wDGqP8Ahm74tf8APt4T/wDBjP8A/Gq+E/1bzT/n1/5NH/M+6/1i&#10;yv8A5+/+Sy/yOL8yvR/2VW3fHbxB/wBi3D/6VPWZ/wAM3fFr/n28J/8Agxn/APjVei/s8fBPxn8P&#10;/iJq/iDxONISC60uOwhj0u4eUhllMhZt6rgYOOK9/Ismx2Cx0a1eFopPqn08meBnmcYHGYKVGhO8&#10;m10a6+aPouiiiv0w/NQooooAKKKKACiiigAooooAKKKKACiiigAooooAKKKKACiiigAooooAKKKK&#10;ACiiigAooooAKKKKACiiigAooooAKKKKACvEPH3/ACcRo/8A2Kt1/wClcFe314d8Qjj9ojRv+xVu&#10;v/SuCvzzxC/5JXH/AOBf+lROvCfx4m3uo3VFvo31/nryn1ZLuo3VFvo30coEu6jdUW+jfRygS7qN&#10;1Rb6N9HKBLuo3VFvo30coEu6vnz4sH/i98v/AGLlv/6Uy179vr5++LDf8Xuk/wCxct//AEplr9G4&#10;CVs3f+CX6HdgP97p+r/JmbRTN3vRu96/oI++H0Uzd70bvegB9FM3e9G73oAfRTN3vRu96AH0Uzd7&#10;0bvegB9fLX7Rn/JUJ/8Arwtv/Zq+ot3vXy1+0U3/ABdCf/rwt/8A2au/Cf8ALz/D/wC3RPreEv8A&#10;kfYT1n/6bmea5ozTd1G6tbH9Qcw7NGabuo3UWDmHZozTd1G6iwcw7NGabuo3UWDmHZozTd1G6iwc&#10;w6o4PuN/vN/OnhuRUUB/dn/eb+ddMf4M/VfqeNXf/Cjh/wDDU/OBNmjNN3Ubq5rHs8w7NGabuo3U&#10;WDmHZozTd1G6iwcw7NGabuo3UWDmHZozTd1G6iwcw6o7f/UL+P8AOnhuRUVuf3K/j/M10xX7iXrH&#10;8pHi1X/wqUP+vdX/ANKok2aM03dRurmse1zDs0Zpu6jdRYOYdmjNN3UbqLBzDs0Zpu6jdRYOYdmj&#10;NN3UbqLBzBJ/q2+hr9j/ANlr/k3X4ef9gaD/ANBr8b3b92/+6f5V+yH7LX/Juvw8/wCwNB/6DX3P&#10;DP8Ay+/7d/U/lfxxf/Iu/wC4v/uM9Tooor7g/lgKKKKAMvxUxXwvrDKSrCzmII6j5DXy58L/AIMe&#10;BdU+GvhO9vPDNjcXdxpVrNNNIrFpHaJSzE55JOT+NfUXiz/kVtZ/68pv/QDXgvwjm2/CjwWM/wDM&#10;GtP/AEUtfzx4yYvFYTBYOWFqyg3OV+VtX0XZnrZfGMpS5lcb/wAKK+Hv/Qp6f/3wf8aP+FFfD3/o&#10;U9P/AO+D/jXXfaPej7R71/K39s5t/wBBdT/wOX+Z7ns4fyr7jkf+FFfD3/oU9P8A++D/AI1N8H/C&#10;ukeC/wBoTVrDQrCLTLK48LQ3EsEGQrSC7dQ2M9ccV1H2j3rH+Hz7/wBpS/P/AFKMX/pY9frXhbmW&#10;YYnielTxGInOPLPRyk18L6NnBjYRjRbS7HvdFFV9QvotL0+5vJyRDbxNK+0ZO1QSf0Ff2pKSinKW&#10;yPnUnJ2RYorzq8+PXhOx+HOieOJJro6DrFzb2tq6wZkLzSiJMrngbjz6Cu8GpWjTJD9qh858lY/M&#10;G4464Gc8d6tpq9+jt81Ztfc0QpKSTT3V/kWaK5rxR4+07wvplhftFdapb3l7FYxnTIxPtd22hmwR&#10;hQRye1bv2+2+2fZPtEP2vZ5nkbx5m3+9t6496X9fqV/X6Fiiqq6pZySOi3cDOieY6iRSVX+8eeBw&#10;efalg1K0uraO4huoZbeT7kscgZG+hBwaALNFQ2t5BfQia2njuISSBJE4ZTjryKwPGPj7TPBejz6h&#10;cCa/EJUNa6eqzTkFwmQmRwCeT2waPIOlzpaKxdW8XaZpOn39ybhbqSyge4ks7Vle4IRSxATOS2B0&#10;rmPDfxp0fxN4vt/D8NreWlxNokeu77xBGI4XYAK4z8rDPI7Ur68vX/gN/lFv5CbUVzPb/gpfm195&#10;6DRTUdZFV0YMrDIZTkEUUxjqKKKACiiigAooooAKKKKACiiigAooooAKKKKACiiigAooooAKKKKA&#10;CiiigArwz4inb+0No3/Yq3X/AKVwV7nXhPxKOP2hNF/7Fa6/9K4K/PvEH/klsd/hX/pUTrwv8eJq&#10;76N9Qb6N9f588p9UT76N9Qb6N9HKBPvo31Bvo30coE++jfUG+jfRygT76N9Qb6N9HKBPvrwH4rN/&#10;xeyX/sXbf/0plr3ffXgnxUbPxql/7F23/wDSmWv0TgVWzZ/4Jfod+X/73S9X+TM7dRuqPJoya/e7&#10;n6DYk3UbqjyaMmi4WJN1G6o8mjJouFiTdRuqPJoyaLhYk3UbqjyaMmi4WJN1fLn7RX/JT5v+vC3/&#10;APZq+n8mvl79or/kp03/AF4W/wD7NXoYPep/h/8Abon1XCmme4T1l/6bmea0Uyiumx/TPMPoplFF&#10;g5h9FMoosHMPoplFFg5h9FMoosHMSL94VFb/AOrP+8386cv3hTIf9Wf95v510RX7mXqv1PIrv/hQ&#10;of4an50yWimUVz2PX5h9FMoosHMPoplFFg5h9FMoosHMPoplFFg5iRfvCorf/Up+P8zTl+8PrTIf&#10;9Sn4/wAzXTH+DL1X5SPHqv8A4U6H/Xur/wClUSWimUVzWPY5h9FMoosHMPoplFFg5h9FMoosHMPo&#10;plFFg5hz/wCrf/dP8q/ZH9lr/k3X4ef9gaD/ANBr8a3/ANW/+6f5V+yv7Lf/ACbr8PP+wNb/APoN&#10;fccM/wDL7/t39T+W/G93/s7/ALi/+4z1Kiiivtz+WwooooAyvFf/ACK+sf8AXnN/6Aa+d/hPPj4V&#10;+DR/1B7T/wBFLX0R4r/5FfWP+vOb/wBANfNPwrl/4td4P5/5hFr/AOilr+dPGiPNgcF/jl+SPXy7&#10;4pHc/aBR9oFZ/m+9Hm+9fyh7M9w0PtAqh8NH3/tIagf+pSi/9LHpPN96h+FTbv2jdS/7FOL/ANLH&#10;r9d8K48vFFF/3Z/+ks4Md/AfyPois3xJYy6p4d1Szgx51xayxJuOBuZCB+prSor+2akFUhKD2asf&#10;Oxk4SUl0PhLT9TuvGXwe8AfBm10DXLbx1out2Mup293pk0dtaw292JXlNwV8plKj5drEnNZms/BR&#10;9ah8W65c6Jrja7c/FBbcXUclykh01rhVkCAH5YWQnJUYx3r7/wAc5xzS1vGXv+0kru/M+1702/RN&#10;U0ra7vXoYqmowVNfCrJeiU18/jv8l11Pgfxr4fv/AIfT+MdC0201DR/DFv8AEbQTpMOZVi2PGhlE&#10;TE/MpfOQCRnNZfhjwV4km/aAnt/FHii70fxT/wAJZLqEAi8LXtxPcWgZvKQagr+QIDGQpUqAMcjP&#10;NfcPjD4YeHPHmsaBqeu2H2+40O5+12KyO3lpNjhyucMR2z0rqvfvWUE4qLb1Wn3RppP1vC70a1sV&#10;ViqkZQSsn+d53+Xv9GndH58D4O63Y/swaxrukaXqVh4p1DxLO+tXE8Nxc3L6at65KiDerPGAFOxM&#10;ZGcdaLPwFPr3wdni0rWdS8UaLrHjXSjLZ6b4fvdFhtYRKon8qKRjIEYcswIUYr9CKQAKMAYFVG0Z&#10;XeqvF2/wuDt6Pk+9t67E1oe1cne1+b/ybm19VzW9ElZHgX7OvhKXwD8Tvi74fsdPu9M8J29/ZS6V&#10;byiQwDfbAzGJnzkF+uD1rwO5+Et3bfBP4s+JLfQ9YHje+8W3MUNz/pBuGtfty7RGmeI9uT8ox1Nf&#10;fVFOL5ZQkt4qK/8AAXH8+Wz9WU4pwcOjlzfhJfnK/qj4Qv8A/hHvEnx0+J09t4e13RNf0/RL+w0q&#10;OPS7xU1G5a3Jmumm2+WcnaiLnsT3rm9e8F+OZ9Q8Cal/ZOs3nhzT/A2n/wDCTaXDFLHdX8KyAyQr&#10;J13r95o/vMFI71+idFZRhyqFvs29NFPp2bm215WVukyhzKUW9H99rw691yaPzvq98/w/c2l5oOnT&#10;2ETw2UlvG0EckbRsiFRtBVuQQOx5orQoraTu2yorlikFFFFSUFFFFABRRRQBz3j6bxPB4WvH8HQ6&#10;ZP4gAH2dNYLi2PPO8oQ3T0rwX4a/tUava6P4q1z4qDQNI8NabqqaNYazoSzvDfXOD5ioGLFgGwoY&#10;dSCO1er/ALQGj+NvEXwn13Svh9JYw+Jr2MQRS6hM0UaRscSEMoJDbcgHHBOa8Z0v4PfErXvAPhPw&#10;nqXhTwv4S03wzq9heWq6dq8l2ZoomYylt0K/OSd2e5JqIczm+14rXs5Lmkv8Mb+rb7axWbjTvFap&#10;SfzSdl839yXnp6pY/tNeBtS8G3PiO1ub+4gtrw2EtjFYSteJcAZ8swgbgSvIzxjvXMfFL9pjTrP4&#10;Uaf4v8F6xZ3F3dXn2a2029tpGlu5EOJrfy1G9ZFGSfTHNc/8SvgX8RLrVPF2oeGLy1FtrOt217ca&#10;bHqEli9/aJC0bxNcIhaI7iG+XrtxkVy3g/8AZr+JXw30Hwprek2uh6l4o8P+INV1IaLc6lL9nnt7&#10;wFdv2loy3mIMHcVOamN6ivL3fh9dotrzTba8uu2rbkvhV/i/OVvwSfnfR9vW4/2nvCHhXw74ek8R&#10;atdXM95aRz3Oo2+lzLbw7sKXlO3ES7jjB5q/rf7QGjeCdf8AGL+JtY0yz8O6Fb2c/nQpI08YnJAM&#10;nUEE4xtFeM/Hn4D/ABj+MRuIbk6TNaalpkUS2set3Fta6Tchw0h8tY/9JDAYBfH0FZWqfDfUvjV4&#10;i+K+leG3hbyxoVibq7jkigaa0kDzorFfmwB1HGTVxcpzSejcn8o3tf5d9tUYzcoQVtdPxsmvv103&#10;0Z9BaP8AtO/D3WvC+ta9HrEltZ6PKkN3FdW0kc6tIcRAREbm8z+HA5rqPh38UdA+J9jeT6LNMJrK&#10;byLyyvIGguLaTGQskbDIyOR2NeBfGz9lXxB8TfEvjvU4J7Ew6jHo02n2z3UsHny2bSmSOV4xujVh&#10;IAHUkg89q9A/Zl+E83w30nW7q/8AB1j4Q1TVLhHmhtdeudYeZUUhWkmnAORk4A6Cqp+8pc3RL8o/&#10;rzabqy6b05TTikv610+Wmuz9T2qiiig2CiiigAooqpq1vcXelXkFpN9mupIXSKbGdjlSA34GonJx&#10;i5JXsNK7SZ8S/tP/ALaXjfwX8WtN0X4e2unT+FNL1iz0bX9Tuk8zdd3DcQRdsqnLHsTX3GjbkU+o&#10;zX5VfG79mX9oL4b/AAu8KeHjf+H/ABPYf8JfBqIfR9JuJr17t5GY3V0+eUBPzcDjuK/UPwvFqsHh&#10;vTI9dmt7nWVt0F5NaIUheXaNxRSSQuc4Bq6K/cO7u1Jr74wb+Sk3bya3dzKbl9Yt0cfylJL5tWv5&#10;36WNSvBvicf+MhNE/wCxWuv/AErgr3mvBPiicftBaJ/2K91/6VwV+f8AH/8AyS+O/wAK/wDSonfh&#10;f48S9mjNQ76N9f5/8p9VcmzRmod9G+jlC5NmjNQ76N9HKFybNGah30b6OULk2aM1Dvo30coXJs14&#10;L8Uj/wAXql/7F63/APSiWvdN9eD/ABQb/i9Ev/YvW/8A6US1+g8Dr/hVf+CX6HoZd/vlL1f5MoZN&#10;GTTMmjJr90ufolh+TRk0zJoyaLhYfk0ZNMyaMmi4WH5NGTTMmjJouFh+TRk0zJoyaLhYfk18u/tF&#10;H/i5s3/Xjb/yavp/Jr5e/aIP/FzJf+vG3/8AZq9HA71P8P8A7dE+n4X0zzC+sv8A03M81zRmm7qN&#10;1d1j+keYdmjNN3UbqLBzDs0Zpu6jdRYOYdmjNN3UbqLBzDs0Zpu6jdRYOYep+YUyH/V/8CalVvmH&#10;1pkTfu/+BGuiK/dS9V+p5FZ/8KFD/DU/OmSZozTd1G6uex6/MOzRmm7qN1Fg5h2aM03dRuosHMOz&#10;Rmm7qN1Fg5h2aM03dRuosHMPX7y/WmRH9yn4/wAzSo3zr9aZEf3Kfj/M10RX7mXrH8pHkVX/AMKd&#10;H/r3V/8ASqJJmjNN3Ubq57Hr8w7NGabuo3UWDmHZozTd1G6iwcw7NGabuo3UWDmHZozTd1G6iwcw&#10;rn92/wDun+Vfsv8Ast/8m6/Dz/sDW/8A6DX4zM3yN/un+Vfsx+y1/wAm6/Dz/sDW/wD6DX23Df8A&#10;y+/7d/U/l/xsf/Iv/wC4v/uM9Tooor7Y/l4KKKKAKOuWcmoaLqFrFjzZ7eSJNxwMspAz+dfLHhTw&#10;T8WfDHhfR9Gf4fWdy+n2kVoZ08QxBZCihdwBj4BxmvqPxNI0PhvVXRijraSsrKcEEIcEV8B+CfDt&#10;tqXg3Qru6vdZmubixhllkbWrzLOyAk/63ua+C4twWT42jRjnFF1Ipvls2rO2u0omc8c8D7y6nt39&#10;i/Ff/om9r/4UUX/xuj+xfiv/ANE3tf8Awoov/jdeV/8ACI6f/wA/Osf+Dq8/+O0f8Ijp/wDz86x/&#10;4Orz/wCO1+Z/2DwT/wBAU/8AwOX/AMsM/wC3pef3I9U/sX4r/wDRN7X/AMKKL/43XR/BfwX40svi&#10;xqXiTxN4dh0Gzk0SPTYVi1Bbsu6ztISdqrtGGxXhH/CI6f8A8/Osf+Dq8/8AjteifsvxPpXxq1/T&#10;oLy/ksX8PQ3Bt7q+muF8z7S67gJHbBxxxX1HDWVcM4TMoVcsw0oVbOzcpNWtro5vp5FRzZ4t+yd/&#10;uR9YUUUV+wmwUUUUAFFFFABRRRQAUUUUAFFFFABRRRQAUUUUAFFFFABRRRQAUUUUAFFFFABTI4Y4&#10;QRGixhjuO0AZPrT6KACiiigAooooAKKKKACiiigAooooAK8C+Khx+0Dof/Yr3X/pVBXvtfP/AMWj&#10;t/aA0M/9Svdf+lUFfAcff8kvjv8ACv8A0qJ1YX+NEn3Ubqg8yjzK/gXlPqSfdRuqDzKPMo5QJ91G&#10;6oPMo8yjlAn3Ubqg8yjzKOUCfdRuqDzKPMo5QJ91eFfE5v8Ai88v/YvW/wD6US17d5leG/Exs/GS&#10;X/sX7f8A9KJa+94KVs0f+CX6Ho5b/vtL1f5Mo5NGTTM0Zr9tP0iw/JoyaZmjNAWH5NGTTM0ZoCw/&#10;JoyaZmjNAWH5NGTTM0ZoCw/Jr5g/aI/5KZL/ANeNv/7NX05mvmH9oj/kpUn/AF42/wD7NXqZf8VT&#10;/D/7dE+k4Z0zvC+sv/TczzWimUV6Nj+i+YfRTKKLBzD6KZRRYOYfRTKKLBzD6KZRRYOYkX7wpkX+&#10;r/4EaF+8KbH/AKv/AIEa6I/wpeq/U8itL/hQof4an5wJKKZRXPY9fmH0Uyiiwcw+imUUWDmH0Uyi&#10;iwcw+imUUWDmJE+8v1pkf+rX8f5mlT7y/WmR/wCrX/PeuiK/cy9V+UjyKsv+FKj/ANe6v/pVEkop&#10;lFc9j1+YfRTKKLBzD6KZRRYOYfRTKKLBzD6KZRRYOYc/+rf/AHT/ACr9mf2Wv+Tdfh5/2Brf/wBB&#10;r8Y2+43+6f5V+zn7LX/Juvw8/wCwNb/+g19rw3/y9/7d/U/mLxqf/Iv/AO4v/uM9Tooor7U/mEKK&#10;KKAMvxV/yLGsf9ec3/oBr4V+Hrf8UD4b5/5h1v8A+ixX3V4q/wCRY1j/AK85v/QDXwh8Pm/4oLw3&#10;/wBg63/9FivzzjJ2oUfV/keNmfwROl3e9G73qHdRur8r5j5+5Nu967H9m3/kvmuf9ixD/wClT1xG&#10;6u0/ZpbPx713/sWYf/Sp6+t4Xd8zh6S/I9HL/wCOvmfWFFFFftR9QFeU6V+0d4Y1T43eI/hdsurf&#10;xDo1pHeF5kAhuVZN5WNs8so5IPbmvVq+P/G3wR8V+IPiF8YfFGjaZNZeI7C/0/VfC99IoVL147Mp&#10;LArd0cZjb61nKTi23sot/jFfhdu3VKwNNxtHe6t/Xna1+l7nuPhP496T4rTSrpbC40/SL6xnvjqN&#10;5LGkcAikKMrjdnPGc9K6yH4jeFbjRZ9Xi8RaXJpVu2yW8W7QxI3XBbOAfavjvwb4R8beG/D3hDXt&#10;U+HGpalNZeCtSW70CSBZN11JOWS2dc4JOc49Kr6FoOo6V+z3p8ek/C/V4NRuPECXviQ6t4aSS4gk&#10;dCWns7RmKyBMrGuegHSiLlZprVfm6jivK1le/p3uYwm5atbv8FCMvW93a3r2sfVmtfGTTNO8aeCd&#10;Es0TU7bxQtw8Oo20ytDGsSbycjqD7V2kev6ZNpP9ppf2zabtLfaxKvlYBwTuzjFfnuv7PvxM8SeB&#10;/BOm6Vpuq6FcWuraxdP9rtktA1vIiskMqocQLN8y/J03Gvo/4kaHf+N/2Mda0bQ/Bd/oOo3GiNaw&#10;+GfKCTwuPlMagHkZBwc8g5pKUvZSmlqraeuv4bd97paXIScqnK9tV92n479uzetvUV+LGkXPii00&#10;yyeO/wBPlt55pdYt7mJre3aI/NG/zZz9Bgd6i1b4x6HDa6fcaJND4njutSg06U6ZdRP9mMmcSPlu&#10;gx0HPoK8WuPhXJ8P/Hnge70DwK7+HtK8JXyXen2FuojkuGjH7ll6F3ORz1ryfwP4D1XXvAOk3Nj8&#10;N/Efh3xTc+OdN1jW4LvShZwxwqzYSABsNFCm1Se/XvWkdZ8i2TWv/cTl+7lTemytfdMSqScHJrXW&#10;3/gtS++7t5v0aPrn4S/GXT/ih4fk1Fol0iT+1bzS4baeZS8zQSshZfXO3OO1eiV8Rfsz/Cfxl8Nf&#10;i7Pr/irwzfatpOsarqcOmSSJ8/h4tcu4fZnHlTqQfMHzDAB4Ir7dq7LkhLulfyf9f8DTU2k7VqkF&#10;spO3pd2/y+QUUUVIwooooAKKKKACiiigAooooAKKKKACiiigAooooAKKKKACiiigAooooAKKKKAC&#10;vn34unHx+0L/ALFi6/8ASqCvoKvnv4wHHx+0H/sWLr/0qgr4Ljz/AJJjHf4V/wClROrC/wAaIm6j&#10;dUO+jfX8Fcp9STbqN1Q76N9HKBNuo3VDvo30coE26jdUO+jfRygTbqN1Q76N9HKBNurw74lNn4yS&#10;/wDYv2//AKUS17XvrxD4kN/xeKb/ALAEH/pRLX3XBqtmUv8ABL9D0st/32l6v8mU6KZuo3V+y3P0&#10;ofRTN1G6i4D6KZuo3UXAfRTN1G6i4D6KZuo3UXAfXzD+0R/yUqT/AK8bf/2avpvdXzF+0Q3/ABcm&#10;T/rxg/8AZq9bLvjqf4f/AG6J9Fw5pnOF9Zf+m5nmuaM03dRur1T+g+YdmjNN3UbqA5h2aM03dRuo&#10;DmHZozTd1G6gOYdmjNN3UbqA5h6n5hTUP7v/AIEaFb5hTVPyf8CNdEf4UvVfqeTWf+30P8M/zgPz&#10;Rmm7qN1c563MOzRmm7qN1Acw7NGabuo3UBzDs0Zpu6jdQHMOzRmm7qN1Acw9D8y/Wmqf3a/570I3&#10;zL9aap/dr/nvXRH+DL1X5SPIqv8A4UqP/Xup/wClUh+aM03dRurnPX5h2aM03dRuoDmHZozTd1G6&#10;gOYdmjNN3UbqA5h2aM03dRuoDmFY/I3+6f5V+z37LX/Juvw8/wCwNb/+g1+L7N8jf7p/lX7Qfstf&#10;8m6/Dz/sDW//AKDX2nDn/L35fqfzL40P/kX/APcT/wBxnqdFFFfaH8yhRRRQBl+Kv+RY1f8A685v&#10;/QDXwV8P2/4oPw5/2DoP/QBX37rFm2paTfWiMEe4geJWboCykZP518e6J+zJ8WtB0ax0xP8AhEbh&#10;LOBLdZjd3K7woADY2cZxXxfE2W4rMaVKOFjdxbvql082jzMdRqVoxUFexh7xRvFdT/wzz8XP+ePh&#10;D/wMuf8A4ij/AIZ5+Ln/ADx8If8AgZc//EV+f/6sZt/z6/8AJo/5nj/UMR/L+KOW3iu4/ZlOfj1r&#10;v/Ysw/8ApU9UP+Gefi5/zx8If+Blz/8AEV3vwD+C/jPwJ8RdV8ReKDo4hutKj0+KPSppJCCspkLN&#10;vUeuOK+iyDI8fgcfGviIWik+qe68mduDwtalWU5rQ+hKKKK/Uj3gooooAKKKKACiiigAooooAKKK&#10;KACiiigAooooAKKKKACiiigAooooAKKKKACiiigAooooAKKKKAI7i4jtYJJpWCRRqXdm6AAZJr44&#10;8Nf8FDJvHXxk8P8Ah3QfhzqreBdW1eTRYfGF43lwTzqGJMQxyPkPevsHVNPTVtMu7KUlY7mF4WK9&#10;QGUg/wA6/LXV/Av7R3wmfwj4Q8IeB9J+J3hXwN4jm1TR9W0i8jLYbzB9nuRvG1h5pzx261nCVsQl&#10;P4dPR663fkttr/Kwqqk6EvZ/Fr8vddresrX7I/QL4T/Hiy+KXjf4heFRpNzo+q+DdRWxuEuJFcXC&#10;Mu5Jkx0Vh2PNepV8rfsO/DfxhpkvxA+IvxCvNLfxl4z1FJrrT9IuEnhsEiUqsJZSQGGeRk4xX1TW&#10;zi4RgpfFyxv62V/x7adtCIy55Sa+G7t6X/q3W24UUUVJoFfOfxuvrex+PWgPc3MNqjeGbsBp5VjB&#10;P2qDgEkc19GV4B8WPDmkeJv2gNCt9Y0uy1aCPwvdSJFfW6TKrfa4BuAYEA4718Jx1KnHhrGyq35e&#10;VXtv8SOrC39tGxz/APwkOlf9BbT/APwMj/8AiqP+Eh0r/oLaf/4GR/8AxVdH/wAKp8D/APQmeH//&#10;AAVwf/EUf8Kp8D/9CZ4f/wDBXB/8RX8JfWst7z+6P/yR9Nyz8jnP+Eh0r/oLaf8A+Bkf/wAVR/wk&#10;Olf9BbT/APwMj/8Aiq6P/hVPgf8A6Ezw/wD+CuD/AOIo/wCFU+B/+hM8P/8Agrg/+Io+tZb3n90f&#10;/kg5Z+Rzn/CQ6V/0FtP/APAyP/4qj/hIdK/6C2n/APgZH/8AFV0f/CqfA/8A0Jnh/wD8FcH/AMRR&#10;/wAKp8D/APQmeH//AAVwf/EUfWst7z+6P/yQcs/I5z/hIdK/6C2n/wDgZH/8VR/wkOlf9BbT/wDw&#10;Mj/+Kro/+FU+B/8AoTPD/wD4K4P/AIij/hVPgf8A6Ezw/wD+CuD/AOIo+tZb3n90f/kg5Z+Rzn/C&#10;Q6V/0FtP/wDAyP8A+Ko/4SHSv+gtp/8A4GR//FV0f/CqfA//AEJnh/8A8FcH/wARR/wqnwP/ANCZ&#10;4f8A/BXB/wDEUfWst7z+6P8A8kHLPyOc/wCEh0r/AKC2n/8AgZH/APFV4v8AETV7CT4uyyJf2jx/&#10;2FAu9bhCufPl4znrX0X/AMKp8D/9CZ4f/wDBXB/8RXhHxP8AAfhiz+MktrB4b0mC1Hh+CXyY7GJU&#10;3m5lBbaFxnAAz6Cvu+C6uBrZm4U3O/JLdR8vM78v9pDF05K27/JnO/2tYf8AP/a/9/0/xo/taw/5&#10;/wC1/wC/6f41e/4Qjw1/0Lulf+AUf+FH/CEeGv8AoXdK/wDAKP8Awr9q9hQ/mf3L/M/QPb1/5V97&#10;/wAij/a1h/z/ANr/AN/0/wAaP7WsP+f+1/7/AKf41e/4Qjw1/wBC7pX/AIBR/wCFH/CEeGv+hd0r&#10;/wAAo/8ACj2FD+Z/cv8AMPb1/wCVfe/8ij/a1h/z/wBr/wB/0/xo/taw/wCf+1/7/p/jV7/hCPDX&#10;/Qu6V/4BR/4Uf8IR4a/6F3Sv/AKP/Cj2FD+Z/cv8w9vX/lX3v/Io/wBrWH/P/a/9/wBP8aP7WsP+&#10;f+1/7/p/jV7/AIQjw1/0Lulf+AUf+FH/AAhHhr/oXdK/8Ao/8KPYUP5n9y/zD29f+Vfe/wDIo/2t&#10;Yf8AP/a/9/0/xo/taw/5/wC1/wC/6f41e/4Qjw1/0Lulf+AUf+FH/CEeGv8AoXdK/wDAKP8Awo9h&#10;Q/mf3L/MPb1/5V97/wAij/a1h/z/ANr/AN/0/wAa+aP2grqGb4jO8c8UifYoBuSQEfxdwa+pf+EI&#10;8Nf9C7pX/gFH/hXPaP4R0BvHXiaE6Hpphjt7EpGbSMqpKyZIGOM4GfpXfhI0KPtJ3b93sv5o+Z2Y&#10;HNK+XY2hilTUuVvS7W8JLt5nxl5if89E/wC+hR5if89E/wC+hX3h/wAIX4c/6F/S/wDwCj/wo/4Q&#10;vw5/0L+l/wDgFH/hXT9Zoef4f5n6B/r5iv8AoFj/AOBv/wCQPg/zE/56J/30KPMT/non/fQr7w/4&#10;Qvw5/wBC/pf/AIBR/wCFH/CF+HP+hf0v/wAAo/8ACj6zQ8/w/wAw/wBfMV/0Cx/8Df8A8gfB/mJ/&#10;z0T/AL6FHmJ/z0T/AL6FfeH/AAhfhz/oX9L/APAKP/Cj/hC/Dn/Qv6X/AOAUf+FH1mh5/h/mH+vm&#10;K/6BY/8Agb/+QPg/zE/56J/30KPMT/non/fQr7w/4Qvw5/0L+l/+AUf+FH/CF+HP+hf0v/wCj/wo&#10;+s0PP8P8w/18xX/QLH/wN/8AyB8H+Yn/AD0T/voUeYn/AD0T/voV94f8IX4c/wChf0v/AMAo/wDC&#10;j/hC/Dn/AEL+l/8AgFH/AIUfWaHn+H+Yf6+Yr/oFj/4G/wD5A+EFkTcP3if99CmrImzl1HJ6sK+8&#10;k8F+HNy/8U/pfX/nyj/wrmvAHhPQbjRLx5tD02Vhql6gZ7SNiFE7ADkdAOAK3jiaPspPXddvPzOG&#10;pxxiZYqnU+rR0Ul8b68v9zyPjPzE/wCeif8AfQo8xP8Anon/AH0K+8P+EL8Of9C/pf8A4BR/4Uf8&#10;IX4c/wChf0v/AMAo/wDCsPrNDz/D/M7v9fMV/wBAsf8AwN//ACB8H+Yn/PRP++hR5if89E/76Ffe&#10;H/CF+HP+hf0v/wAAo/8ACj/hC/Dn/Qv6X/4BR/4UfWaHn+H+Yf6+Yr/oFj/4G/8A5A+D/MT/AJ6J&#10;/wB9CjzE/wCeif8AfQr7w/4Qvw5/0L+l/wDgFH/hR/whfhz/AKF/S/8AwCj/AMKPrNDz/D/MP9fM&#10;V/0Cx/8AA3/8gfB/mJ/z0T/voUeYn/PRP++hX3h/whfhz/oX9L/8Ao/8KP8AhC/Dn/Qv6X/4BR/4&#10;UfWaHn+H+Yf6+Yr/AKBY/wDgb/8AkD4P8xP+eif99CjzE/56J/30K+8P+EL8Of8AQv6X/wCAUf8A&#10;hR/whfhz/oX9L/8AAKP/AAo+s0PP8P8AMP8AXzFf9Asf/A3/APIHwgsibh+8Tr/eFNWRNq5dR9WH&#10;rX3nD4L8OGVB/wAI9pf3h/y5R/4VzHw38J6DdeCdOln0TTppWM2ZJLSNmOJnAySPQCt44mj7GT13&#10;j27S8zgnxviXjKdX6tHSM18b6um/5fL8T408xP8Anon/AH0KPMT/AJ6J/wB9CvvD/hC/Dn/Qv6X/&#10;AOAUf+FH/CF+HP8AoX9L/wDAKP8AwrD6zQ8/w/zO/wD18xX/AECx/wDA3/8AIHwf5if89E/76FHm&#10;J/z0T/voV94f8IX4c/6F/S//AACj/wAKP+EL8Of9C/pf/gFH/hR9Zoef4f5h/r5iv+gWP/gb/wDk&#10;D4P8xP8Anon/AH0KPMT/AJ6J/wB9CvvD/hC/Dn/Qv6X/AOAUf+FH/CF+HP8AoX9L/wDAKP8Awo+s&#10;0PP8P8w/18xX/QLH/wADf/yB8H+Yn/PRP++hR5if89E/76FfeH/CF+HP+hf0v/wCj/wo/wCEL8Of&#10;9C/pf/gFH/hR9Zoef4f5h/r5iv8AoFj/AOBv/wCQPg/zE/56J/30KPMT/non/fQr7w/4Qvw5/wBC&#10;/pf/AIBR/wCFH/CF+HP+hf0v/wAAo/8ACj6zQ8/w/wAw/wBfMV/0Cx/8Df8A8gfBzSJsb94n3T/E&#10;PSv2j/Za/wCTdfh5/wBga3/9Br5Kn8F+HPs82PD+l58tv+XKP0PtX1t+y6oX9nrwAB0/smH+Vfa8&#10;N1YVPa8l/s7/ADPxnxFz6rnf1X2tJQ5OfZ3vfl8l2PUqKKK+2PxoKKKKACiiigAooooAKKKKACii&#10;igAooooAKKKKACiiigAooooAKKKKACiiigAooooAKKKKACiiigAooooAKKKKACiiigAooooAKKKK&#10;AKWtW895o99BayeVcywSJFJ/dYqQD+dfmf8As/8A7anhj9ijwrq/w1+Kfg/xFpHiu11a7uJr6G18&#10;xNS3uWEwckbsjAz06V9teOvHHxS0n47+FNB8P+ELfU/h/eWU0up627HfbTqG2J14zhfrk+lfLPiL&#10;4/ftdXuq3KSfs3aHqUEMzrBNcRvISoYhWBL9xisIt87lHaSaenaXTtqvRqzKkk0oy+y0180/0fyZ&#10;2f8AwTibV/FGofF3x+PD974V8HeLNcW+0XTL1ChC7TvkVegBJHI4Jr7Wrwf9lH4ifF74gaHrUnxY&#10;8AWfgK4tZo49Pt7Ut++Qg7iQScYOOnrXvFdlSKgowjtGMUtb6JJK/nbc56d25Sk9W23pbVvp/XmF&#10;FFFZGwV4f4/P/GRGjf8AYq3X/pXBXuFeG/EI4/aI0b/sVbr/ANK4K/PPEL/klcf/AIF/6VE68J/H&#10;ibe6jdUW6jdX+evKfVEu6jdUW6jdRygS7qN1RbqN1HKBLuo3VFuo3UcoEu6jdUW6jdRygS7q+ffi&#10;wf8Ai98n/YuW/wD6Uy177ur5++K7f8Xuk/7Fy3/9KZa/RuAlbN3/AIJfod+A/wB7p+r/ACZnZFGR&#10;Ue6jdX9An35JkUZFR7qN1AEmRRkVHuo3UASZFGRUe6jdQBJkUZFR7qN1AEmRXM6Of+Lg+Kv+vew/&#10;9Akrot1c1o7f8XA8U/8AXvY/+gSV1Ufgq/4f/bonLW+On/i/9tkdTkUZFR7qN1cp1EmRRkVHuo3U&#10;ASZFGRUe6jdQBJkUZFR7qN1AEmRRkVHuo3UASoRuX61y3w6P/Eivf+wrff8Ao9q6ZG+ZfrXL/Dtv&#10;+JHe/wDYVvv/AEe1dUP4E/WP6nNL+ND0f6HVZFGRUe6jdXKdJJkUZFR7qN1AEmRRkVHuo3UASZFG&#10;RUe6jdQBJkUZFR7qN1AE0JHmp/vCuU+GB/4oXTP96f8A9HyV1ELfvU/3hXKfDFv+KF0z6z/+j5K6&#10;o/wJ/wCKP5SOWX8eHpL84nWZFGRUe6jdXKdRJkUZFR7qN1AEmRRkVHuo3UASZFGRUe6jdQBJkUZF&#10;R7qN1ABcMPs83/XNv5GvqH9l/wD5N78Af9gmH+VfLdw3+jzf9c2/ka+pP2X/APk3vwB/2CYf5V+h&#10;8Jf8v/8At3/24/PuLP8Alx/29/7aeo0UUV+hn56FFFFABRRRQAUUUUAFFFFABRRRQAUUUUAFFFFA&#10;BRRRQAUUUUAFFFFABRRRQAUUUUAFFFFABRRRQAUUUUAFFFFABRRRQAUUUUAFFFFAHyZ+1h+y38S/&#10;i94yXxP4V+OmqfDbRLPTxHNplnDM6FkLM0vyTJyQR27V8mfs4fsx/Hr9orwPeeK7H9pjX9K0kX89&#10;nZb5LiaS4WNtvmOonHl5P8PJr9Yp4Y7qGSGVBJFIpR1boQRgivzY8Z/sefD3R/jNdeFvhz+0nffD&#10;vWNaund/B9nP9oKyNlmChZF2nk4Vhn3rCmnCbppXUk7a/avd+f3Xt22tdR80FO9rNX/w2t/k/O2+&#10;56z/AME477xJpk3xV8G+NfG2qeMPFfhvWls7lr+5a4iRAp2vCzEkBu69iK+0q8A/ZD/Z78B/s+eG&#10;9e0rwn4k/wCEv1qa9/4nurzXKTXD3Kj7kgVjsIyflJzzXv8AXZUlzKOt3yxu7WTairteT3OWkmuZ&#10;2snJtLdpX2fp/WoUVkN4u0JdaGjHWtPGrkZFgbpPPI/3M7v0rXrLpc362CvC/iM239obRf8AsVbr&#10;/wBK4K90rwj4lNt/aE0X/sVrr/0rgr8+8QP+SWx3+Ff+lROvC/x4mp5lHmVD5lHmV/n3yn1RN5lH&#10;mVD5lHmUcoE3mUeZUPmUeZRygTeZR5lQ+ZR5lHKBN5lHmVD5lHmUcoE3mV4F8VWz8bJf+xdt/wD0&#10;plr3fzK8E+KbZ+NUv/Yu2/8A6Uy1+hcCq2bP/BL9Dvy//e6Xq/yZnZNGTTM0Zr96ufoVh+TRk0zN&#10;GaLhYfk0ZNMzRmi4WH5NGTTM0ZouFh+TRk0zNGaLhYfk1zWjn/iv/FP/AF72P/oEldFmub0c/wDF&#10;feKf+vex/wDQJK6aL9yr/h/9uictZe/S/wAX/tsjp8mjJpmaM1zXOqw/JoyaZmjNFwsPyaMmmZoz&#10;RcLD8mjJpmaM0XCw/JoyaZmjNFwsSIfnX61zHw9P/Ejvf+wrff8Ao9q6RD86/WuZ+Hp/4kd5/wBh&#10;W+/9HtXTB/uJ+sf1OWS/fw9Jf+2nUZNGTTM0ZrmudVh+TRk0zNGaLhYfk0ZNMzRmi4WH5NGTTM0Z&#10;ouFh+TRk0zNGaLhYmhJ81P8AeFcp8MT/AMULpv8AvT/+j5K6iE/vU/3hXK/DP/kR9N+s3/o6SuqL&#10;/wBnn/ij+Ujlkv8AaIf4ZfnE6rJoyaZmjNctzqsPyaMmmZozRcLD8mjJpmaM0XCw/JoyaZmjNFws&#10;PyaMmmZozRcLBOf9Hm/65t/I19T/ALL3/JvXgD/sEw/yr5VnP+jzf9c2/ka+qv2Xv+TevAH/AGCY&#10;f5V+i8I/8v8A/t3/ANuPzzi3/lx/29/7aeo0UUV+iH54FFFFABRRRQAUUUUAFFFFABRRRQAUUUUA&#10;FFFFABRRRQAUUUUAFFFFABRRRQAUUUUAFFFFABRRRQB4qPGOtf8ADX0nhj+0Jv7A/wCERS++wZ/d&#10;ic3Lr5n12gD8K840f9ozxN4M0PUnfTLjxrqupeP7jw5p1pJdLB5KGPcg3twFXafwJr134p/A1/HX&#10;iWw8U+H/ABVqPgbxbZ27WX9rabDDMZrZjuMUkcqsrDOSDjINZ9j+zB4f0/QfCGmx6nqUknh/XP8A&#10;hIXvZnV5r+7KuHaY4x8288LjGABUUov3ed7XT806ilf5QXL36LTUmreUpSh6r1VJxSfrO0u3V6nB&#10;ab+154jjmE+ufD7+y9H07X4/DOtXyaikhivJHVFMKDl4wXXJPrxWA37XVj8MPD+px3d1LdapqHi/&#10;VNKsZvE2oiO1gWBtzFpcfJEBwq4zzivVvEn7Nej3/hnxJZC+1Gf+0/EieK2jjZFc3EbxyLCpK4CE&#10;xAc88muA8B/su6t4g8Gy6nrN7c+B/Gf/AAkuo6/pl1Y+TdSWCXLEGKRZFaOTKdQR9KcbuOu9lf5+&#10;z26fEqn/AG78gkmno+rt8lOzf3w+fzJNK/bO1Hxza+CrbwT4NXXta8Ry3tvskv1htoGtWAkkEpHz&#10;xkcqR14qDWf28dF0n4mzeGzZ2DWtnqsWi3UX28f2g077QZIrcD5o0ZsHnJwSK9X0P4DpZ+JPBfiH&#10;VvE2o69rfhmG7hS6nhhhF19oxuLpGiqu3HAUCs2H9nWfRfiLdeIfDvjbU9A0a/vhqWoeH4bO1mhu&#10;J+NzLJJGZIw2OQrfTFaKyqQvtrf/AMCVvly36NptfLGXtOSXLv0+5/je3VK1zlNL/as16912O4uP&#10;AjW3gxfEUnhqXWBfo0vnhtqyiIc+XnAOeeaxvBf7eWheMvihp/h62tLNtN1LVZdItvJvg+oJIm4e&#10;dLbgfJEzKQOcjgmvUbX9nLRbTwydFXUr5rc+Iz4k3ts3ecXD+X0+5kY9feqXgb9nSb4d+MDeaJ41&#10;1O28KC5lu4/Cxs7VoEkkJLATGPzduSTt3VjQ5vdVXolf/wABhe/z50rLt5FVOd8/L8vvn+nJ17+Z&#10;7PRRRWhsUdcjuZdF1BLI7bxreQQt6OVO39cV+OXgHx58IPhLrXw5vPFEEmhfF3Q/GlxP4u1DUreQ&#10;3LQkTYdXP3ozlMAV+nHjrUvjBB8ePCdr4asNMm+GkljO2r3E5HnpcAHYB3A+709TXx/8Rfh1+1Z8&#10;RPEE17r3we+E/iJ4pWFvdanaRTTeWGO0FmOSMY4rGnKUa0asev3rll+ttV1VmOrGNSnKjL+uaLX4&#10;X+TPVv2CfEUPxK+J3x2+Ifh+0ubXwP4i1qB9MkuIjELl0jKyTBT0ycV9luodWU9GGOK/Oq++OH7W&#10;n7OOiabrPi34ceDz4EtLqG0n03w7ERLHG7hR5aRnjGfTFfoZZ3J1TS4bhQ0BuIVcBh8yblz+YzXT&#10;JR9lFQ1jFKHn7sVv6qz7GMXL2kuf4pXl5avp6dfvPy2/a+8G+CPCPjrQbHRvhz4g+G+ox+KIpbr4&#10;q6rHKLWQF9zBZtxLhieOgGK/UvTZo7jTrWWKdbqKSJWSdTkSAgEMD79a+RPid+yB8XPjckfhfx18&#10;YLLUvhyt+l49la6IsV/MiNuSNpt2OPXHNfXGj6Vb6DpFjptouy1s4Et4lznCIoVR+QFZ0Pcw3JLf&#10;muvTlitVsttlp19XUXNiOeO1rfPmb9Xv12+8uV4N8Tv+Tg9E/wCxXuv/AErgr3mvBPikcftBaJ/2&#10;K91/6VwV8Bx//wAkvjv8K/8ASonfhf48S7kUZFQ76N9fwByn1NybIoyKh30b6OULk2RRkVDvo30c&#10;oXJsijIqHfRvo5QuTZFGRUO+jfRyhcmyK8F+KR/4vRL/ANi9b/8ApRLXum+vB/ig2fjRL/2L1v8A&#10;+lEtfoHA6tmr/wAEv0PRy7/fKXq/yZQzRmmUV+5n6JYfmjNMooCw/NGaZRQFh+aM0yigLD80ZplF&#10;AWH5rm9Hb/ivfFH/AF72P/oEldDXOaP/AMj74o/697H/ANAkrqo/BV/w/wDt0TmrfHS/xf8Atsjp&#10;s0ZplFcp02H5ozTKKAsPzRmmUUBYfmjNMooCw/NGaZRQFiRD8y/WuZ+H5/4kd5/2FL7/ANHtXSL9&#10;4fWuZ+H/APyBLz/sKXv/AKPaumH8CfrH/wBuOaf8eHpL/wBtOnzRmmUVzHTYfmjNMooCw/NGaZRQ&#10;Fh+aM0yigLD80ZplFAWJYT+9T/eFct8ND/xQ+m/Wb/0dJXTxf6xPqK5b4af8iPpv1m/9HSV0x/3e&#10;f+KP5SOaX+8Q/wAMvzidTmjNMormOmw/NGaZRQFh+aM0yigLD80ZplFAWH5ozTKKAsE5/wBHm/65&#10;t/I19W/svf8AJvXgD/sEw/yr5Pn/AOPeb/rm38jX1h+y/wD8m9+AP+wTD/Kv0bg//l//ANu/+3H5&#10;3xd/y4/7e/8AbT1Giiiv0Y/OgooooAKKKKACiiigAooooAKKKKACiiigAooooAKKKKACiiigAooo&#10;oAKKKKACiiigAooooAKKKKACiiigAooooAKKKKACiiigAooooA+Vv2nvgb+0F8RPH1vqnwu+MKeB&#10;fD62aRSaZJGTmYMxaTIQ9QR37V4He/A39qXTfD95rt1+1tokOiWZZbjUWnXyImU4ZWfZgEHjGc5r&#10;9GNas5dR0a/tIZPKmnt5Ikk/usykA/ma/Lrwr8Dvi78TrPwX+z14m+H+oeG/Avh3XJ9T8ReJJHYW&#10;+sxeY7oEfoxbd0BPb0rGnGXP7GG7s1fbV+879orW270SKqSUYe1lst7b6LS3m3Zfiz7A/Yt8N+Or&#10;XwXq9945+Lem/GK2v7hGsL7T3WWGBVB3LkKOScHHbFfSVfJX7FHwnuvhR8SPjZY6V4f1Hwz8Pm1i&#10;FNDsr5GRHKxkSyQhv4Ccc96+ta6pyVRQmtnGL+9LfzOemnFyjLdNr8egUUUVmbBXgPxWbb+0Dof/&#10;AGK91/6VQV79Xz/8Wjt/aA0L/sV7r/0qgr4Hj7/kmMd/hX/pUTqwv8aJL5lHmVDuo3V/AvKfUk3m&#10;UeZUO6jdRygTeZR5lQ7qN1HKBN5lHmVDuo3UcoE3mUeZUO6jdRygTeZXhfxOb/i80v8A2L1v/wCl&#10;Ete3bq8N+Jjf8Xkl/wCxft//AEolr73gpWzN/wCCX6Ho5b/vtL1f5Mo7vejd70zdRur9rP0iw/d7&#10;0bvembqN1AWH7vejd70zdRuoCw/d70bvembqN1AWH7vejd70zdRuoCw/d71zmkN/xXvif/r3sf8A&#10;0CSug3Vzukn/AIrzxP8A9e9j/wCgyV1Ufgq/4f8A26JzVl79L/F/7bI6Xd70bvembqN1cp02H7ve&#10;jd70zdRuoCw/d70bvembqN1AWH7vejd70zdRuoCw/d70bvembqN1AWJVb5l571zPw/b/AIkl5z/z&#10;FL3/ANHtXRI3zL9a5vwCf+JLef8AYTvf/R7V1Q/gT9Y/+3HNNfv4ekv/AG06bd70bvembqN1cp02&#10;H7vejd70zdRuoCw/d70bvembqN1AWH7vejd70zdRuoCw/d70bvembqN1AWJom/eJz3Fcv8NW/wCK&#10;I03nvN/6Oeulib96n+8K5f4bN/xROm/Wb/0c9dUf93n/AIo/lM5ZL/aIf4ZfnA6jd70bvembqN1c&#10;p1WH7vejd70zdRuoCw/d70bvembqN1AWH7vejd70zdRuoCw/d70bvembqN1AWC4b/R5uf+WbfyNf&#10;Wf7L/wDyb34A/wCwTD/Kvkm4b/R5v+ubfyNfW37L/wDyb34A/wCwTD/Kv0jg/wD5f/8Abv8A7cfn&#10;PGH/AC4/7e/9tPUaKKK/SD85CiiigAooooAKKKKACiiigAooooAKKKKACiiigAooooAKKKKACiii&#10;gAooooAKKKKACiiigAooooAKKKKACiiigAooooAKKKKACiiigClrWoHSdHv70J5htoJJgnrtUnH6&#10;V+bHwp/Z9+K37bmg3PxU1345694Yhvr+4j07RdEldIrKOOQqqlVcAHgds1+gHxb+Lng74LeDrnxF&#10;441m30XRVPlNJOCxkYjhFUAlifQCvzw8A/AHwT+0B4m168/Zu/aN1nwZYXE73moeF1hl/cM5+Z40&#10;LodpJPQHHHNYRXNWk0uay7/C97v1XXp8ypvlpx1td/8AgSs1ZfPp1PpD9hX4heNp9S+JPwu8ea//&#10;AMJdq3gPUY7OHXz9+6hdSVDnqWGO5Jr6zrxX9lv9l3Qv2X/B97pmnalea/rGqT/a9U1rUDme7lxj&#10;J5OAOeMnr1r2quyo78t3dpK72u0ld/NnPSVuaysruy3sr6L+ttgooorI2Cvn34vHHx+0L/sWLr/0&#10;qgr6Cr56+MTbfj9oP/YsXf8A6VQV8Fx5/wAkxjv8K/8ASonVhf40RN9G+od9G+v4K5T6km30b6h3&#10;0b6OUCbfRvqHfRvo5QJt9G+od9G+jlAm30b6h30b6OUCbfXh3xKb/i8kv/Yv2/8A6US17XvrxD4k&#10;N/xeKX/sAQf+lEtfd8Gq2ZS/wS/Q9LLP99per/JlTIoyKj3Ubq/ZLn6USZFGRUe6jdRcCTIoyKj3&#10;UbqLgSZFGRUe6jdRcCTIoyKj3UbqLgSZFc5pJ/4rvxN/172P/oMlb+6ud0lv+K68Tf8AXCy/9Bkr&#10;qov3Kv8Ah/8AbonLW+Ol/i/9tkdNkUZFR7qN1ctzqJMijIqPdRuouBJkUZFR7qN1FwJMijIqPdRu&#10;ouBJkUZFR7qN1FwJVPzD61zXgE/8SW8/7Cd7/wCj2roVb5h9a5vwE3/Elu/+wne/+j2rqh/An6x/&#10;9uOWf8eHpL/206fIoyKj3Ubq5bnUSZFGRUe6jdRcCTIoyKj3UbqLgSZFGRUe6jdRcCTIoyKj3Ubq&#10;LgTRH96n+8K5f4bn/iidN+s3/o566WJv3qf7wrl/huf+KK076zf+jnrqi/8AZ5/4o/lM5Zf7xD/D&#10;L84HU5FGRUe6jdXLc6iTIoyKj3UbqLgSZFGRUe6jdRcCTIoyKj3UbqLgSZFGRUe6jdRcAuCPs83/&#10;AFzb+Rr65/Ze/wCTevAH/YJh/lXyHO3+jzf9c2/ka+vP2Xv+TevAH/YJh/lX6Twb/wAv/wDt3/24&#10;/OOMP+XH/b3/ALaeo0UUV+lH5uFFFFABRRRQAUUUUAFFFFABRRRQAUUUUAFFFFABRRRQAUUUUAFF&#10;FFABRRRQAUUUUAFFFFABRRRQAUUUUAFFFFABRRRQAUUUUAFFFFAH57f8FPPFXhnw18VfgRN4/tZt&#10;S8A297eXep6fHGZFm2ogTKjryRx6E189337YHwC8I/tR/Dz4j/DjQ7/wto9nbXdr4it7OwMX2hGQ&#10;CLCDgnP8hX67+IPCOieLIYotb0ix1aOI7o1vbdJQp9RuBxWH/wAKZ8Bf9CZoP/gui/8AiaiipUeV&#10;9nJ+vMmrPvo7fJDqqNW6fWKj9zvded9Th/2Z/wBrLwX+1VpOs3/g5NQji0qZIbgX9v5R3MCRj16V&#10;7VWT4f8ACeieE4ZYdF0my0mKVtzpZW6xBj6kKBmtatpOLfurt/wSI82vMFFFFQUFfLn7SXiO58M/&#10;G/w1cWujXGtvJ4du4zDbTxxMg+0wncTIQCO2BzX1HXy3+0n/AMlu8Nf9i7d/+lMNfN8SUKWKyjEU&#10;a0bxktVquq7WZnUrSw8HVhujjf8Aha+r/wDQgap/4MLT/wCLo/4Wvq//AEIGqf8AgwtP/i6bmjNf&#10;zf8A6t5P/wBA/wD5NP8A+SPO/t7GeX3Dv+Fr6v8A9CBqn/gwtP8A4uj/AIWvq/8A0IGqf+DC0/8A&#10;i6bmjNH+reT/APQP/wCTT/8Akg/t7GeX3Dv+Fr6v/wBCBqn/AIMLT/4uj/ha+r/9CBqn/gwtP/i6&#10;bmjNH+reT/8AQP8A+TT/APkg/t7GeX3Dv+Fr6v8A9CBqn/gwtP8A4uj/AIWvq/8A0IGqf+DC0/8A&#10;i6bmjNH+reT/APQP/wCTT/8Akg/t7GeX3Dv+Fr6v/wBCBqn/AIMLT/4uj/ha+r/9CBqn/gwtP/i6&#10;bmjNH+reT/8AQP8A+TT/APkg/t7GeX3Dv+Fr6v8A9CBqn/gwtP8A4uuE1C48UfED4qXk2l+C7vz4&#10;NFt45LabUbZWCmaUh927BB5GOvFdzmtL4Pt/xeDxF/2ArP8A9Hz1liMJguH8HiMxwVBe0hHS7m1r&#10;KKd1z+Z7GT51i6mNgrpb9PJnF/8ACA/EX/oQ5v8AwbWn/wAXR/wgPxF/6EOb/wAG1p/8XX1Pvo31&#10;+bf6/wCYf9A9L7qn/wAsP0v+1sb/AM/PwX+R8sf8ID8Rf+hDm/8ABtaf/F0f8ID8Rf8AoQ5v/Bta&#10;f/F19T76N9H+v+Yf9A9L7qn/AMsD+1sb/wA/PwX+R8sf8ID8Rf8AoQ5v/Btaf/F0f8ID8Rf+hDm/&#10;8G1p/wDF19T76N9H+v8AmH/QPS+6p/8ALA/tbG/8/PwX+R8sf8ID8Rf+hDm/8G1p/wDF0f8ACA/E&#10;X/oQ5v8AwbWn/wAXX1Pvo30f6/5h/wBA9L7qn/ywP7Wxv/Pz8F/kfLH/AAgPxF/6EOb/AMG1p/8A&#10;F0f8ID8Rf+hDm/8ABtaf/F19T76N9H+v+Yf9A9L7qn/ywP7Wxv8Az8/Bf5Hyx/wgPxF/6EOb/wAG&#10;1p/8XXM6N4N8dTePfFEMXgyaS7jgsvOg/tO2BjBWTadxbBzg9OmOa+zd9cB4Sb/i8fxDP/TppX/o&#10;E9eng+OsdUo4mToU/dgntU/5+U1r+88zKea4xyg3PZ9l2fkeL/8ACA/EX/oQ5v8AwbWn/wAXR/wg&#10;PxF/6EOb/wAG1p/8XX1Pvo315n+v+Yf9A9L7qn/yw1/tbG/8/PwX+R8sf8ID8Rf+hDm/8G1p/wDF&#10;0f8ACA/EX/oQ5v8AwbWn/wAXX1Pvo30f6/5h/wBA9L7qn/ywP7Wxv/Pz8F/kfLH/AAgPxF/6EOb/&#10;AMG1p/8AF0f8ID8Rf+hDm/8ABtaf/F19T76N9H+v+Yf9A9L7qn/ywP7Wxv8Az8/Bf5Hyx/wgPxF/&#10;6EOb/wAG1p/8XR/wgPxF/wChDm/8G1p/8XX1Pvo30f6/5h/0D0vuqf8AywP7Wxv/AD8/Bf5Hyx/w&#10;gPxF/wChDm/8G1p/8XR/wgPxF/6EOb/wbWn/AMXX1Pvo30f6/wCYf9A9L7qn/wAsD+1sb/z8/Bf5&#10;HywvgL4iBgf+EDm/8G1p/wDF1zPw98F+OrrRb02ngya6jXVL1GcanbJhxO4ZcFuxBGehxxX2arfM&#10;K8/+CbY8L6t/2MGq/wDpZLXp0eOsdLBVqvsKd1KC2qdVP/p55GUs1xntIvn6PovLyPGP+EB+Iv8A&#10;0Ic3/g2tP/i6P+EB+Iv/AEIc3/g2tP8A4uvqffRvrzP9f8w/6B6X3VP/AJYa/wBrY3/n5+C/yPlj&#10;/hAfiL/0Ic3/AINrT/4uj/hAfiL/ANCHN/4NrT/4uvqffRvo/wBf8w/6B6X3VP8A5YH9rY3/AJ+f&#10;gv8AI+WP+EB+Iv8A0Ic3/g2tP/i6P+EB+Iv/AEIc3/g2tP8A4uvqffRvo/1/zD/oHpfdU/8Algf2&#10;tjf+fn4L/I+WP+EB+Iv/AEIc3/g2tP8A4uj/AIQH4i/9CHN/4NrT/wCLr6n30b6P9f8AMP8AoHpf&#10;dU/+WB/a2N/5+fgv8j5Y/wCEB+Iv/Qhzf+Da0/8Ai6P+EB+Iv/Qhzf8Ag2tP/i6+p99G+j/X/MP+&#10;gel91T/5YH9rY3/n5+C/yPllPAfxEV1J8BzcHP8AyFrT/wCLrlvhn4M8dXvgfTpbHwZLeWxaYLMN&#10;TtkDYmcHhmyMHI/Cvs9W+YV578AWx8JNE/66XX/pVLXp0+Osc8vq1fYU7qdNbVOsaj/5+eX5mLzX&#10;Ge1jLn6PovLy8jxr/hAfiL/0Ic3/AINrT/4uj/hAfiL/ANCHN/4NrT/4uvqffRvrzP8AX/MP+gel&#10;91T/AOWG39rY3/n5+C/yPlj/AIQH4i/9CHN/4NrT/wCLo/4QH4i/9CHN/wCDa0/+Lr6n30b6P9f8&#10;w/6B6X3VP/lgf2tjf+fn4L/I+WP+EB+Iv/Qhzf8Ag2tP/i6P+EB+Iv8A0Ic3/g2tP/i6+p99G+j/&#10;AF/zD/oHpfdU/wDlgf2tjf8An5+C/wAj5Y/4QH4i/wDQhzf+Da0/+Lo/4QH4i/8AQhzf+Da0/wDi&#10;6+p99G+j/X/MP+gel91T/wCWB/a2N/5+fgv8j5Y/4QH4i/8AQhzf+Da0/wDi6P8AhAfiL/0Ic3/g&#10;2tP/AIuvqffRvo/1/wAw/wCgel91T/5YH9rY3/n5+C/yPlS48B/ERbeYnwJMBsb/AJi1p6H/AG6+&#10;rP2XTn9nrwB6jSYQfYgcioLxv9DuP+ubfyNWf2Yf+TfvAf8A2C4v61/QPhRxBiM8+u+3pxjyezty&#10;82t+ffmlLt0sfMZ1i62K9n7aV7X6Jdux6hRRRX9AnzAUUUUAFFFFABRRRQAUUUUAFFFFABRRRQAU&#10;UUUAFFFFABRRRQAUUUUAFFFFABRRRQAUUUUAFFFFABRRRQAUUUUAFFFFABRRRQAUUUUAFFFFABRR&#10;RQAUUUUAFfLf7Sn/ACW7w1/2Lt3/AOlMNfUlfLX7S3/JbvDP/Yu3f/pTDXg57/yLK3p+qOTF/wAC&#10;RxOaM0mRRkV+F3Pkhc0ZpMijIouAuaM0mRRkUXAXNGaTIoyKLgLmjNJkUZFFwFzWl8Hz/wAXg8R/&#10;9gKz/wDR81ZmRWj8IW/4u94j/wCwFZ/+lE1fPcRf8iXF/wCFf+lwPdyT/fofP8j3Pd70bveot9G+&#10;v5m5T9QJd3vRu96i30b6OUCXd70bveot9G+jlAl3e9G73qLfRvo5QJd3vRu96i30b6OUCXd71wPh&#10;Nv8Ai8XxC/69NJ/9Anrud9cF4Vb/AIvF8Qf+vTSf/QJ69nAr/Z8Z/wBe1/6dpGct4+v6M9C3e9G7&#10;3qLfRvrxuU0Jd3vRu96i30b6OUCXd70bveot9G+jlAl3e9G73qLfRvo5QJd3vRu96i30b6OUCZG+&#10;Zee9ef8AwVb/AIpfVv8AsYNV/wDSySu8jb94v1Fef/BVv+KV1X/sYNV/9K5K9mgv+E6v/ip/lMh/&#10;Gvn+h6Hu96N3vUW+jfXjcpZLu96N3vUW+jfRygS7vejd71Fvo30coEu73o3e9Rb6N9HKBLu96N3v&#10;UW+jfRygTI3zLz3rz34Bt/xaXRP9+6/9Kpa76Nv3i/UV578BGx8JdD/37r/0qmr2qS/4S6//AF8p&#10;f+k1iH8a9H+h6Lu96N3vUW+jfXi8pZLu96N3vUW+jfRygS7vejd71Fvo30coEu73o3e9Rb6N9HKB&#10;Lu96N3vUW+jfRygJeN/odxz/AMsn/wDQTV79mH/k37wH/wBguL+tZt23+h3P/XJ//QTWl+zD/wAm&#10;++A/+wXF/Wv6m8D1b+0f+4X/ALkPFzL7Hz/Q9Qooor+pjxAooooAKKKKACiiigAooooAKKKKACii&#10;igAooooAKKKKACiiigAooooAKKKKACiiigAooooAKKKKACiiqq6pZNqD2C3kDXyIJGtRKvmhDwGK&#10;5zj3oAtUVVOqWS6gtgbuAXzJ5otfNXzSmcbtuc4z3pmsazY+HtLudS1O6isbC1QyTXEzbUjUdST2&#10;FHmNJt2RdoqO3uIru3jnhkWWGRQ6SKchlIyCKkoJTuroKKKKBhRRRQAUUUUAFFFIzBVLE4AGSaAF&#10;or5wuP8AgoP8ErX4gJ4Sm8Szx3b3RshqD2Mq2Pnhtpj84jGc8envX0arLIoZSGVhkEdCKI+9BVFs&#10;+om0pOD3Q6vln9pf/kt3hn/sXrv/ANKYa+pq+WP2mf8Aktnhn/sXrv8A9KYa8HPv+RZX9P1RyYz+&#10;BM4jNGaZuo3V+D3Pkrj80Zpm6jdRcLj80Zpm6jdRcLj80Zpm6jdRcLj80Zpm6jdRcLj81ofCNsfF&#10;zxH/ANgG0/8ASiaszdV/4St/xdrxIf8AqA2n/pRLXg8Qa5Ni/wDCv/S4Hu5H/v0Pn+R7bv8Aejf7&#10;1Dvo31/N1j9RJt/vRv8Aeod9G+iwE2/3o3+9Q76N9FgJt/vRv96h30b6LATb/ejf71Dvo30WAm3+&#10;9cN4Xb/i8HxA/wCvPSf/AECauz31w/hlv+Lv+Pv+vPSf/Rc1exgV+4xf/Xtf+naRnLePr+jO+3+9&#10;G/3qHfRvrx7GhNv96N/vUO+jfRYCbf70b/eod9G+iwE2/wB6N/vUO+jfRYCbf70b/eod9G+iwFmJ&#10;/wB4nPcVwPwZb/ilNT/7GDVf/SuSu3ib96n1FcH8Gm/4pPU/+xg1X/0revXoL/hPr/4qf5TM38a+&#10;f6HoG/3o3+9Q76N9eRY0Jt/vRv8Aeod9G+iwE2/3o3+9Q76N9FgJt/vRv96h30b6LATb/ejf71Dv&#10;o30WAswt++Tn+Ifzrz/4Dtj4TaF/vXX/AKVTV3Vu3+kR/wC8P51wHwJb/i0+hf711/6VTV7FJf8A&#10;CZX/AOvlL/0msQ/jXo/0PQt/vRv96h30b68exZNv96N/vUO+jfRYCbf70b/eod9G+iwE2/3o3+9Q&#10;76N9FgJt/vRv96h30b6LAOuX/wBFuOf+WT/+gmtn9mH/AJN98B/9guL+tYFy3+i3H/XJ/wD0E1v/&#10;ALMP/JvvgP8A7BcX9a/qPwRVv7R/7hf+5DxMy+x8/wBD1Ciiiv6iPFCiiigAooooAKKKKACiiigA&#10;ooooAKKKKACiiigAooooAKKKKACiiigAooooAKKKKACiiigAooooAK+CvjBe3PgH9tLxH8UYJ5Ut&#10;PCmlaTHq8SklG064eZJWK/7LbHz2CmvvWua1P4a+FtautcuL7QbG7n1y0Ww1KSWIMbu3XcFjk9VG&#10;5uPeo96M1Ujur2/rs1dPyYNRnCVOW0rfmnp56aedj4r8I+Jlvv2hF+M+pak+m2uveGdXubG5miZ1&#10;tNNt3QQP5WfmJyzkd+KoeJPi94s8TeB/i54V1vUNS1XRbnwXJrlnca1Zw2853ShAY1idsRMpyA+G&#10;FfcI+GPhRfsH/FP2GLGwfTLYeSMRWrABoVH9whRke1c3oP7Nfwv8L2epWul+CNJtINStWsrxVhz5&#10;0BbcYmJPK55x0p8kVaC+FJpffNq/nrFtrqnptaqcnGcaj+LmUn8uXbysmkn0a2s7/Lh+Nvxg1XxV&#10;faR4G0PUbm18Jw6ba29vbmzWzn8yCN3a7aaVZACGO0opAwOtbPiT4y/E+xuPiF4wTxRBbaR4Q8UW&#10;mlR+G/sKMs8UvkLIsk2ckgzcYHb3r6Q8Tfs7/Dfxjr2ma1rHg/Tb7VNNRI7W5eMhkVPuKcEbguBj&#10;OcVtXXwp8IX1hrFlceHbCW01i6W+1CFogVuZ127ZH9WGxOf9kVtCS54znrZ6+fvQbfzSkrdOaydj&#10;j9k1BQT2SX/krVvk2nfrbXofK2qfHT4yeJvi74pTwnoOo3Wm+HfEEejpbRmzTTng/dmV7hpJVmDl&#10;XYqVXHAxnmvtKNi0alhtYjJHpXn+v/s+/DrxR42tfF+qeEtOu/ElsVaPUGjIfcv3ScHDEdiQcV6F&#10;WdP3aMYPdbv5Jfi03a2l92dDT9o5X0/4L6eW1+vYKKKKCgooooAKRgGUgjIPWlpkkYmjeNvusCp/&#10;Gk720GfB37SGj6f+178UtB+DXgDTLVfD/hbVI9T8V+JLaBUhtGXkW0bAfNK3fH4193WdqljZwW0W&#10;fLhRY1z6AYFfLUn/AATP+CTaleXsdp4ktpbu4a6mW38Q3UaNIzbi2A/qa+n9H0uDQ9JstOtt/wBm&#10;tIUgi8xy7bVUKMseScDqadJclBQfxN3fm2kn8kkkl231uZzTlWc+lrLyV7/e222/RFyvlf8Aaa/5&#10;LZ4Y/wCxeu//AEphr6or5W/ac/5LZ4Y/7F67/wDSmGvAz7/kWV/T9Uc2M/gTOFopN1G6vwW58iLR&#10;SbqN1FwFopN1G6i4C0Um6jdRcBaKTdRuouAtX/hOcfFrxJ/2AbT/ANKJaz91XPhS3/F2PEf/AGAr&#10;T/0olrw8+1yfF/4V/wClwPeyP/fofP8AI9p3Ubqg3e9G73r+drH6hcn3Ubqg3e9G73osFyfdRuqD&#10;d70bveiwXJ91G6oN3vRu96LBcn3Ubqg3e9G73osFyfdXD+G2/wCLwePf+vPSf/Rc1dju964nw23/&#10;ABd3x7/156V/6Lmr1sCv3GL/AOva/wDTtIzk9Y+v6M73dRuqDd70bvevJsaXJ91G6oN3vRu96LBc&#10;n3Ubqg3e9G73osFyfdRuqDd70bveiwXJ91G6oN3vRu96LBcsxN+8T6iuD+Dbf8Urqf8A2H9V/wDS&#10;t67aJv3ic9xXCfB1v+KV1Pn/AJj+qf8ApU9etRX/AAn1/wDFT/KZm/iXz/Q7/dRuqDd70bvevJsa&#10;XJ91G6oN3vRu96LBcn3Ubqg3e9G73osFyfdRuqDd70bveiwXJ91G6oN3vRu96LBct27f6RF/vD+d&#10;ef8AwKb/AItTof8AvXX/AKVTV3Nu3+kRc/xD+dcD8DW/4tTof+9df+lUtevSX/CZW/6+Uv8A0msZ&#10;t++vR/oeg7qN1Qbvejd715FjS5Puo3VBu96N3vRYLk+6jdUG73o3e9FguT7qN1Qbvejd70WC5Puo&#10;3VBu96N3vRYLjrpv9EuP+uT/APoJrpP2Yf8Ak33wF/2C4v61yt03+iXHP/LJ/wD0E11X7MP/ACb7&#10;4C/7BUX9a/p/wTX/ACMP+4X/ALkPFzL7Hz/Q9Qooor+nzxQooooAKKKKACiiigAooooAKKKKACii&#10;igAooooAKKKKACiiigAooooAKKKKACiiigAooooAKKKKACiiigAooooAKKKKACiiigAooooAKKKK&#10;ACiiigAooooAK+Vf2nv+S2eGP+xeu/8A0phr6qr5U/af/wCS1+F/+xeu/wD0ohr5/P8A/kV1/T9U&#10;ceM/gTOCyaMmk3Ubq/A7nyAuTRk0m6jdRcBcmjJpN1G6i4C5NGTSbqN1FwFyaMmk3UbqLgLk1c+F&#10;rY+LHiL/ALAVp/6US1S3Va+F7f8AF1/EX/YCtP8A0olrxs81ynFf4V/6XE97I/8AfofP8j2LzPej&#10;zPeosmjJr+fbH6gS+Z70eZ71Fk0ZNFgJfM96PM96iyaMmiwEvme9Hme9RZNGTRYCXzPejzPeosmj&#10;JosBL5nvXFeHX/4u548/689K/wDRc1dhk1xXh1v+LteO/wDrz0r/ANFzV62BX7jF/wDXtf8Ap2kZ&#10;y3j6/ozuvM96PM96iyaMmvJsaEvme9Hme9RZNGTRYCXzPejzPeosmjJosBL5nvR5nvUWTRk0WAl8&#10;z3o8z3qLJoyaLATxyfvE+orhvg8//FK6lz/zHtU/9KnrtI2PmJ9RXD/CA/8AFLal/wBh7VP/AEqe&#10;vWor/hPr/wCKn+UzN/Evn+h3fme9Hme9RZNGTXk2NCXzPejzPeosmjJosBL5nvR5nvUWTRk0WAl8&#10;z3o8z3qLJoyaLAS+Z70eZ71Fk0ZNFgLNtJ/pEX++P51wXwPfHwr0T/euv/SqWu4t2P2iL/eH864L&#10;4It/xa3RP965/wDSmWvWpL/hNrf9fKf/AKTVM38a9H+h33me9Hme9RZNGTXk2NCXzPejzPeosmjJ&#10;osBL5nvR5nvUWTRk0WAl8z3o8z3qLJoyaLAS+Z70eZ71Fk0ZNFgFuJP9FuOf+WT/APoJrsf2Yf8A&#10;k33wF/2Cov61xNw3+i3H/XJ//QTXbfsw/wDJvvgL/sFRf1r+nPBVW/tD/uF/7kPFzH7Hz/Q9Qooo&#10;r+mzxgooooAKKKKACiiigAooooAKKKKACiiigAooooAKKKKACiiigAooooAKKKKACiiigAooooAK&#10;KKKACiiigAooooAKKKKACiiigAooooAKKKKACiiigAooooAK+U/2oP8AktXhj/sXrv8A9KIa+rK+&#10;Uv2oj/xerwv/ANi9d/8ApRDXz/EH/Irr+n6o48Z/u8zz/Joyabuo3V/P9z5Adk0ZNN3UbqLgOyaM&#10;mm7qN1FwHZNGTTd1G6i4DsmjJpu6jdRcB2TVr4Yt/wAXW8Q/9gK0/wDSiWqe6rHwzb/i6viD/sB2&#10;v/pRLXk5zrlWK/wr/wBLie7kf+/Q+f5Hr+6jdUO+jfX4Jyn6gTbqN1Q76N9HKBNuo3VDvo30coE2&#10;6jdUO+jfRygTbqN1Q76N9HKBNurjPDrf8Xa8df8AXnpf/ouaut31xvh5v+LseOf+vPS//Rctetgl&#10;+4xX/Xtf+naZnLePr+jO43Ubqh30b68nlNCbdRuqHfRvo5QJt1G6od9G+jlAm3Ubqh30b6OUCbdR&#10;uqHfRvo5QLEbfvF+oriPhC3/ABS+pf8AYe1T/wBKnrsY3/eL9RXEfCNv+KX1H/sO6n/6VPXrUV/s&#10;Ff8AxU/ymQ/jXz/Q7vdRuqHfRvryeUsm3Ubqh30b6OUCbdRuqHfRvo5QJt1G6od9G+jlAm3Ubqh3&#10;0b6OUC1bt+/j/wB4fzrhPgk3/FrtF/3rn/0plrtbdv8ASIv94fzrhPgo3/Fr9F/3rn/0plr1qS/4&#10;Ta3/AF8p/wDpNUh/GvR/od7uo3VDvo315PKWTbqN1Q76N9HKBNuo3VDvo30coE26jdUO+jfRygTb&#10;qN1Q76N9HKA66b/Rbj/rk/8A6Ca7z9l//k3zwF/2Cov6157ct/otx/1yf/0E16F+y/8A8m+eAv8A&#10;sFRf1r+mfBhW/tD/ALh/+5Dxsx+x8/0PUKKKK/pg8YKKKKACiiigAooooAKKKKACiiigAooooAKK&#10;KKACiiigAooooAKKKKACiiigAooooAKKKKACiiigAooooAKKKKACiiigAooooAKKKKACiiigAooo&#10;oAKKKKACvkj9rKw1LUPjL4VTS9Qt9OmXQLtnkuLbzwy/aIeANy4Oe9fW9fLf7Sn/ACW7w1/2Lt3/&#10;AOlMNeHnb5curPy9eq7nJitKEjxv/hGvFv8A0M+mf+Cg/wDx2j/hGvFv/Qz6Z/4KD/8AHa6/NGa/&#10;EvbP+WP/AIDH/I+W532X3I5D/hGvFv8A0M+mf+Cg/wDx2j/hGvFv/Qz6Z/4KD/8AHa6/NGaPbP8A&#10;lj/4DH/IOd9l9yOQ/wCEa8W/9DPpn/goP/x2j/hGvFv/AEM+mf8AgoP/AMdrr80Zo9s/5Y/+Ax/y&#10;DnfZfcjkP+Ea8W/9DPpn/goP/wAdo/4Rrxb/ANDPpn/goP8A8drr80Zo9s/5Y/8AgMf8g532X3I5&#10;D/hGvFv/AEM+mf8AgoP/AMdo/wCEa8W/9DPpn/goP/x2uvzRmj2z/lj/AOAx/wAg532X3I5D/hGv&#10;Fv8A0M+mf+Cg/wDx2s3w/H4v0X4k6qlt4h0v7S+j25eaTSSVKedJhQvm8HOTnPevQc1y9qf+Lqan&#10;/wBgO3/9Hy1ouTEUqlOrCLi47cse68jooV6lGTnT0a8kbf8Aa3j/AP6GXRf/AASH/wCPUf2t4/8A&#10;+hl0X/wSH/49V3NGa8L+zMv/AOgen/4BH/I6/wC1sb/z8f4FL+1vH/8A0Mui/wDgkP8A8eo/tbx/&#10;/wBDLov/AIJD/wDHqu5ozR/ZmX/9A9P/AMAj/kH9rY3/AJ+P8Cl/a3j/AP6GXRf/AASH/wCPUf2t&#10;4/8A+hl0X/wSH/49V3NGaP7My/8A6B6f/gEf8g/tbG/8/H+BS/tbx/8A9DLov/gkP/x6j+1vH/8A&#10;0Mui/wDgkP8A8eq7mjNH9mZf/wBA9P8A8Aj/AJB/a2N/5+P8Cl/a3j//AKGXRf8AwSH/AOPUf2t4&#10;/wD+hl0X/wAEh/8Aj1Xc0Zo/szL/APoHp/8AgEf8g/tbG/8APx/gUv7W8f8A/Qy6L/4JD/8AHq5j&#10;RdS8bL8QvFjR+INJW6a2sPOkbSCVcBJNgC+b8uOc8nOe1dpmuX0U/wDFxvFv/Xtp/wD6BJXZQy7A&#10;qFVLDw1j/JH+ePkVHNMY026j09PI2/7W8f8A/Qy6L/4JD/8AHqP7W8f/APQy6L/4JD/8eq7mjNcf&#10;9mZf/wBA9P8A8Aj/AJE/2tjf+fj/AAKX9reP/wDoZdF/8Eh/+PUf2t4//wChl0X/AMEh/wDj1Xc0&#10;Zo/szL/+gen/AOAR/wAg/tbG/wDPx/gUv7W8f/8AQy6L/wCCQ/8Ax6j+1vH/AP0Mui/+CQ//AB6r&#10;uaM0f2Zl/wD0D0//AACP+Qf2tjf+fj/Apf2t4/8A+hl0X/wSH/49R/a3j/8A6GXRf/BIf/j1Xc0Z&#10;o/szL/8AoHp/+AR/yD+1sb/z8f4FL+1vH/8A0Mui/wDgkP8A8eo/tbx//wBDLov/AIJD/wDHqu5o&#10;zR/ZmX/9A9P/AMAj/kH9rY3/AJ+P8ComreP9648S6L1/6Ah/+PVyvw51LxtHoN6LXX9Jhi/ta+LL&#10;JpBclzO24580YBOSB2967eM/Ov1rk/hqf+Kfvv8AsL3/AP6UPXZDLsB9Xmvq8LXj9iP97yKWaYzl&#10;b9o7/I3f7W8f/wDQy6L/AOCQ/wDx6j+1vH//AEMui/8AgkP/AMeq7mjNcf8AZmX/APQPT/8AAI/5&#10;E/2tjf8An4/wKX9reP8A/oZdF/8ABIf/AI9R/a3j/wD6GXRf/BIf/j1Xc0Zo/szL/wDoHp/+AR/y&#10;D+1sb/z8f4FL+1vH/wD0Mui/+CQ//HqP7W8f/wDQy6L/AOCQ/wDx6ruaM0f2Zl//AED0/wDwCP8A&#10;kH9rY3/n4/wKX9reP/8AoZdF/wDBIf8A49R/a3j/AP6GXRf/AASH/wCPVdzRmj+zMv8A+gen/wCA&#10;R/yD+1sb/wA/H+BS/tbx/wD9DLov/gkP/wAeo/tbx/8A9DLov/gkP/x6ruaM0f2Zl/8A0D0//AI/&#10;5B/a2N/5+P8AAqw6t8QPOTHiXRc7h/zBD6/9dq5L4W6l42j8BaWtnr+kwWwafZHLpJkYfv5M5bzR&#10;nnPbvXdQn98n+8P51yPwpP8Axb/Sv96f/wBHyV2Ry7A/Vpx+rwtzR+xHtPyK/tTGcrl7R3+Xmb39&#10;reP/APoZdF/8Eh/+PUf2t4//AOhl0X/wSH/49V3NGa4/7My//oHp/wDgEf8AIn+1sb/z8f4FL+1v&#10;H/8A0Mui/wDgkP8A8eo/tbx//wBDLov/AIJD/wDHqu5ozR/ZmX/9A9P/AMAj/kH9rY3/AJ+P8Cl/&#10;a3j/AP6GXRf/AASH/wCPUf2t4/8A+hl0X/wSH/49V3NGaP7My/8A6B6f/gEf8g/tbG/8/H+BS/tb&#10;x/8A9DLov/gkP/x6j+1vH/8A0Mui/wDgkP8A8eq7mjNH9mZf/wBA9P8A8Aj/AJB/a2N/5+P8Cl/a&#10;3j//AKGXRf8AwSH/AOPUf2t4/wD+hl0X/wAEh/8Aj1Xc0Zo/szL/APoHp/8AgEf8g/tbG/8APx/g&#10;Z1xq3j77PNnxLouPLbP/ABJT6H/ptX0x+y7n/hnrwDuxn+yoen0r51uD/o83/XNv/QTX0X+y/wD8&#10;m9+AP+wTD/Kv1HgjDYfD/WPYU4wvy35Ulf4t7HoYTF18Vze2lex6jRRRX6ieiFFFFABRRRQAUUUU&#10;AFFFFABRRRQAUUUUAFFFFABRRRQAUUUUAFFFFABRRRQAUUUUAFFFFABRRRQAUUUUAFFFFABRRRQA&#10;UUUUAFFFFABRRRQAUUUUAFFFFABXy3+0p/yW7wz/ANi7d/8ApTDX1JXyz+0t/wAlu8M/9i7d/wDp&#10;TDXg59/yLK3p+qOTF/wJHFUU3dRur8KufJDqKbuo3UXAdRTd1G6i4DqKbuo3UXAdRTd1G6i4Dq5e&#10;1/5Kpqf/AGBLf/0fLXTbq5e1b/i6mpf9gS3/APR8ldVB+7U/w/qjSOz9DqqKbuo3Vy3Mx1FN3Ubq&#10;LgOopu6jdRcB1FN3UbqLgOopu6jdRcB1cvov/JRfFv8A17af/wCgSV026uX0Vv8Ai4vi3/r20/8A&#10;9Akrqov3Kv8Ah/8Abomkdpen6o6qim7qN1ctzMdRTd1G6i4DqKbuo3UXAdRTd1G6i4DqKbuo3UXA&#10;kj++v1rk/ht/yAL7/sL3/wD6UPXVI3zr9a5T4bt/xIb7/sL3/wD6UPXVB/uJ+sf/AG40XwP5fqdX&#10;RTd1G6uW5mOopu6jdRcB1FN3UbqLgOopu6jdRcB1FN3UbqLgSw/65P8AeH865H4V/wDIgaX/AL0/&#10;/o+Sushb96n+8K5H4Vt/xQGlf70//o+SuqL/ANnn/ij+UzRfA/VfqdbRTd1G6uW5mOopu6jdRcB1&#10;FN3UbqLgOopu6jdRcB1FN3UbqLgJcf8AHvN/1zb/ANBNfRv7L/8Ayb34A/7BMP8AKvnC4b/Rp/8A&#10;rm3/AKCa+j/2X/8Ak3vwB/2CYf5V+k8G/wDL/wD7d/8Abj3Ms+38v1PUaKKK/Sj3AooooAKKKKAC&#10;iiigAooooAKKKKACiiigAooooAKKKKACiiigAooooAKKKKACiiigAooooAKKKKACiuF+Inxq8I/C&#10;rWvC2l+JtTGm3PiS7NlpxdCUeUAHDN0XqOT61taV450nWfFWteHrWZ21PR44ZLtGQhVWUMUwe/3T&#10;STurrz/Df7roUmotJ7/53t+T+5nQUVW/tKz+zi4+1QeQTgS+Yu3PpnOKVtQtli803MIixneXGMdM&#10;5pjLFFQz3kFqEM00cIc7VMjhdxPYZ6mspPGuhSeKp/DS6ranXoLdLuTT/MHmrExKq5HoSrflR5B0&#10;v/XY26KijuoZZWjSWN5FAZkVgSAehIoiuoZ3kSKWOR4ztdVYEqfQ+lAEtFFFABRRRQAUUUhOOaAF&#10;or5ii/bOnv8A9pjw/wDC+38C6rY6VqhuY49f1RfIW4eHIcwxnlkBGNx69q+naI+9CNRbPb5E8y53&#10;Dqv1Cvln9pj/AJLd4Z/7F27/APSmGvqavlj9pr/ktnhn/sXrv/0phrwc+/5Flf0/VHLjP4Ezh91G&#10;6mbqN1fg1z5Efuo3UzdRuouA/dRupm6jdRcB+6jdTN1G6i4D91G6mbqN1FwH7q5e1P8AxdPU/wDs&#10;CW//AKPkrpd1cxat/wAXR1P/ALAtv/6PkrroP3an+H9UaQ2l6HVbqN1M3Ubq5LmY/dRupm6jdRcB&#10;+6jdTN1G6i4D91G6mbqN1FwH7qN1M3UbqLgP3Vy+in/i4vi3/r20/wD9Akrpd1cxorf8XD8Wf9e2&#10;n/8AoElddF+5V/w/+3RNI7S9P1R1W6jdTN1G6uS5mP3UbqZuo3UXAfuo3UzdRuouA/dRupm6jdRc&#10;B+6jdTN1G6i4EqN86/WuU+G7f8SG+/7C9/8A+lD11EbfOv1rlfhw3/Ehvf8AsLX/AP6UNXXB/wCz&#10;z9Y/+3Gq+B/L9Tq91G6mbqN1clzIfuo3UzdRuouA/dRupm6jdRcB+6jdTN1G6i4D91G6mbqN1FwJ&#10;oW/fJ/vD+dcj8K2/4oHS/wDen/8AR8ldXC375P8AeH865L4WN/xQOl/Wf/0fJXXF/wCzT/xR/KZq&#10;vgfqv1Ot3UbqZuo3VyXMh+6jdTN1G6i4D91G6mbqN1FwH7qN1M3UbqLgP3UbqZuo3UXALhv9Gn/6&#10;5t/I19I/sv8A/JvfgD/sEw/yr5ruG/0eb/rm38jX0p+y/wD8m9+AP+wTD/Kv0zgz/mI/7d/9uPdy&#10;v7fy/U9Rooor9LPdCiiigAooooAKKKKACiiigAooooAKKKKACiiigAooooAKKKKACiiigAooooAK&#10;KKKACiiigAooooA+bv2oPhlbfFf4pfDHQdRsprjTLi31ZJLqOIsLWQxRGKTdjCsGAIz6V4BN/wAL&#10;Zv8AwL8bIH0/UtO8W6YdI0q51BLeRhf20MjCW4i24MgaEgsEIPLAc1+iFFZcmlv+GvzX+7dNdU/J&#10;BO1SUJP7P/Bv+afk15s/OW0vtI8N/BHx1qkmrJ430e/vLOz0/S9H8PapZ2Wl3ZDKbkxyM0rAA7nC&#10;8Er6muu8M/Cnw3418bfD/RrNtd1/wNZeBLto7i4N5bJPdiflpFbad2clVbpxivupVVVwoAHoBTq0&#10;aTv5/wDyDgvu5m099l0RCjy2s/65k/xtZ9NW+rv+cfxA1vVLv4O/DvSvEGi3b6t/wjM01vrmr2+o&#10;XEjXEbMFt44oCNtxgKwkk7etdd4J0Sx034r+Hda8Tabqi+Jtc+HVkbC+lguXMuopDL5wcqNquFK5&#10;D45PrX3aQDjIzjpRjvjmiXvc76yb/FTWnn7y9eVaX1Ksrqy0SSt6OD+73PxfS1vhDwR8NNc8IeEf&#10;hnrnhS31q18a6zo+qwX9xczzyGWUxSNCJhISFw4XbkDFO/Ys0e//AOFj6dcXHjCI6tZaXLDrehw6&#10;FqNtNLMzAlrqe4kaOSRX6MnUdOK+7qQKASQME9aqLcakp9He3l8Wi8ved9O2xh7L92oN3tb525d/&#10;P3dNer3FooopHQFFFFABRRRQB+dnx8/aZ+Fy/t2/CbVj4000af4bg1Cw1efL4s5ydojf5c5zxxmv&#10;0Msb6DVLG3vLWVZ7W4jWaKRejowBUj6gisS4+HPhO6uJLibwvo01xI295ZNPhZmbrkkrkn3roI41&#10;hjVEVURQFVVGAAOgApU/coxpvdNv722/xehM1es6i2aS+7Rf8EdXyv8AtNf8ls8Mf9i9d/8ApTDX&#10;1RXyt+04cfGzwx/2L13/AOlMNeDn3/Isr+n6o5cZ/AmcLRTd1G6vwW58iOopu6jdRcB1FN3UbqLg&#10;Oopu6jdRcB1FN3UbqLgOrmLX/kqWpf8AYFt//R8ldLurmLVv+Loal/2Bbf8A9HyV1UH7tT/D+qNI&#10;bS9DqaKbuo3Vy3Mx1FN3UbqLgOopu6jdRcB1FN3UbqLgOopu6jdRcB1cxop/4uJ4s/69rD/0CSul&#10;3VzGit/xcPxX/wBe9h/6BJXVRfuVf8P/ALdE0jtL0/VHU0U3dRurluZjqKbuo3UXAdRTd1G6i4Dq&#10;Kbuo3UXAdRTd1G6i4D0+8v1rlfhx/wAgG+/7C1//AOlDV1CN8y/WuV+HLY0G+/7C19/6UNXVB/uJ&#10;+sf/AG40XwP5fqdXRTd1G6uW5mOopu6jdRcB1FN3UbqLgOopu6jdRcB1FN3UbqLgSw/61P8AeFcl&#10;8LP+RB0v6z/+j5K6uFv3yf7wrkvha2PAemfWf/0fJXVF/wCzT/xR/KZov4b9V+p1lFN3Ubq5bmY6&#10;im7qN1FwHUU3dRuouA6im7qN1FwHUU3dRuouA24/49pv+ubfyNfS37L/APyb34A/7BMP8q+Z7hv9&#10;Gm/65t/I19Mfsv8A/JvfgD/sEw/yr9M4L/5iP+3f/bj3cr+38v1PUaKKK/TT3QooooAKKKKACiii&#10;gAooooAKKKKACiiigAooooAKKKKACiiigAooooAKKKKACiiigAooooAKKKKACiiigAooooAKKKKA&#10;CiiigAooooAKKKKACiiigAooooAK+Vf2nv8Aktfhj/sXrv8A9KYa+qq+VP2n/wDktfhf/sXrv/0o&#10;hr5/P/8AkV1/T9UceM/gTOCopu6jdX4EfIDqKbuo3UAOopu6jdQA6im7qN1ADqKbuo3UAOrmbX/k&#10;qGpf9gW3/wDR8ldJurmbVv8Ai5+pf9gW3/8AR8ldeH+Gp/h/VGkOvodRRTd1G6uQzHUU3dRuoAdR&#10;Td1G6gB1FN3UbqAHUU3dRuoAdXMaN/yULxX/ANe9h/6BJXS7q5nRz/xcLxV/172H/oElddD4Kv8A&#10;h/8AbomkNpen6o6iim7qN1chmOopu6jdQA6im7qN1ADqKbuo3UAOopu6jdQA9Pvr9a5b4df8gG9/&#10;7C19/wClDV06N8y/WuX+HTf8SG9/7C19/wCj2rrh/u8/WP8A7caL4H8v1Opopu6jdXIZjqKbuo3U&#10;AOopu6jdQA6im7qN1ADqKbuo3UASQ/65P94Vyfwv/wCRD0v6z/8Ao+Surhb96n+8K5P4Xn/ig9L+&#10;s/8A6Pkrrj/u0/8AFH8pmi+B+q/U6uim7qN1chmOopu6jdQA6im7qN1ADqKbuo3UAOopu6jdQA24&#10;/wCPeb/rm38jX03+y/8A8m9+AP8AsEw/yr5iuG/0eb/rm38jX07+y/8A8m9+AP8AsEw/yr9O4K/5&#10;iP8At3/2493K/t/L9T1Giiiv0894KKKKACiiigAooooAKKKKACiiigAooooAKKKKACiiigAooooA&#10;KKKKACiiigAooooAKKKKACiiigAooooAKKKKACiiigAooooAKKKKACiiigAooooAKKKKACvlP9qD&#10;/ktXhj/sXrv/ANKIa+rK+U/2ogW+NXhfAz/xT13/AOlENfP8Qf8AIrr+n6o48Z/u8zz2ija/90/l&#10;Rtf+6fyr+fro+QCija/90/lRtf8Aun8qLoAoo2v/AHT+VG1/7p/Ki6AKKNr/AN0/lRtf+6fyougC&#10;ija/90/lRtf+6fyougCuatv+Snaj/wBgW3/9HyV0u1/7p/KuZtVb/hZ2pfKc/wBi2/b/AKbyV14d&#10;+7U/w/qi49fQ6aija/8AdP5UbX/un8q5LogKKNr/AN0/lRtf+6fyougCija/90/lRtf+6fyougCi&#10;ja/90/lRtf8Aun8qLoAoo2v/AHT+VG1/7p/Ki6AK5rR/+SgeKv8Ar2sP/QJK6Xa/90/lXNaOrf8A&#10;CwPFXyn/AI97Dt/sSV10H7lX/D/7fE0jtL0/VHS0UbX/ALp/Kja/90/lXJdGYUUbX/un8qNr/wB0&#10;/lRdAFFG1/7p/Kja/wDdP5UXQBRRtf8Aun8qNr/3T+VF0AUUbX/un8qNr/3T+VF0A6P/AFi/WuX+&#10;Hn/ICvf+wrff+j2rqI1fevynr6Vy/wAO1b+wr3AP/IVvu3/Tdq64P/Z5+sf/AG40XwP5fqdNRRtf&#10;+6fyo2v/AHT+Vcl0ZhRRtf8Aun8qNr/3T+VF0AUUbX/un8qNr/3T+VF0AUUbX/un8qNr/wB0/lRd&#10;AFFG1/7p/Kja/wDdP5UXQD4f9dH/ALw/nXKfDD/kRNM+s/8A6Pkrq4Vfzk+U/eHb3rlPhgrf8IHp&#10;fB6z9v8ApvJXZF/7NP8AxR/KZovgfqv1Oooo2v8A3T+VG1/7p/KuO6Mwoo2v/dP5UbX/ALp/Ki6A&#10;KKNr/wB0/lRtf+6fyougCija/wDdP5UbX/un8qLoAoo2v/dP5UbX/un8qLoBk/8Ax7zf9c2/ka+o&#10;P2X/APk3vwB/2CYf5V8vzq/2eb5T/q27exr6h/Zf4/Z78AZ/6BMP8q/UOCf+Yj/t3/2493K/t/L9&#10;T1Ciiiv1E94KKKKACisDS/Hnh/WPEGo6FaarbSa1p7BbrTzIBPFkZUlDzgjkHvW/QAUUUUAFFFFA&#10;BRRRQAUUUUAFFFFABRRRQAUUUUAFFFFABRRRQAUUUUAFFFFABRRRQAUUUUAFFFFABRRRQAUUUUAF&#10;FFFABRRRQAUUUUAFFFFABXn3xL+BPhH4s6lYah4gtrxr6xieCGezvpbZhGxDMp2MMglQefSvQaKm&#10;UVJcsldCaT0Z4f8A8Mb/AA4/5565/wCDy6/+Lo/4Y3+HH/PPXP8AweXX/wAXXuFFYfVqH/Ptfcie&#10;SHY8P/4Y3+HH/PPXP/B5df8AxdH/AAxv8OP+eeuf+Dy6/wDi69woo+rUP+fa+5ByQ7Hh/wDwxv8A&#10;Dj/nnrn/AIPLr/4uj/hjf4cf889c/wDB5df/ABde4UUfVqH/AD7X3IOSHY8P/wCGN/hx/wA89c/8&#10;Hl1/8XR/wxv8OP8Annrn/g8uv/i69woo+rUP+fa+5ByQ7Hh//DG/w4/5565/4PLr/wCLo/4Y3+HH&#10;/PPXP/B5df8Axde4UUfVqH/Ptfcg5Idjw/8A4Y3+HH/PPXP/AAeXX/xdRf8ADF/wzF0bgW+tCdkE&#10;bSDWrncVByFJ35wCSce9e60U/q9BbQX3IOSPY8P/AOGN/hx/zz1z/wAHl1/8XR/wxv8ADj/nnrn/&#10;AIPLr/4uvcKKX1ah/wA+19yDkh2PD/8Ahjf4cf8APPXP/B5df/F0f8Mb/Dj/AJ565/4PLr/4uvcK&#10;KPq1D/n2vuQckOx4f/wxv8OP+eeuf+Dy6/8Ai6P+GN/hx/zz1z/weXX/AMXXuFFH1ah/z7X3IOSH&#10;Y8P/AOGN/hx/zz1z/wAHl1/8XR/wxv8ADj/nnrn/AIPLr/4uvcKKPq1D/n2vuQckOx4f/wAMb/Dj&#10;/nnrn/g8uv8A4uj/AIY3+HH/ADz1z/weXX/xde4UUfVqH/Ptfcg5Idjw/wD4Y3+HH/PPXP8AweXX&#10;/wAXUS/sX/DOO4knW31pZpAqyONaucuB93J384ycfWvdaKf1ah/IvuQckex4f/wxv8OP+eeuf+Dy&#10;6/8Ai6P+GN/hx/zz1z/weXX/AMXXuFFL6tQ/59r7kHJDseH/APDG/wAOP+eeuf8Ag8uv/i6P+GN/&#10;hx/zz1z/AMHl1/8AF17hRR9Wof8APtfcg5Idjw//AIY3+HH/ADz1z/weXX/xdH/DG/w4/wCeeuf+&#10;Dy6/+Lr3Cij6tQ/59r7kHJDseH/8Mb/Dj/nnrn/g8uv/AIuj/hjf4cf889c/8Hl1/wDF17hRR9Wo&#10;f8+19yDkh2PD/wDhjf4cf889c/8AB5df/F0f8Mb/AA4/5565/wCDy6/+Lr3Cij6tQ/59r7kHJDse&#10;H/8ADHHw4/5565/4PLr/AOLqK3/Yu+GdqrJDba1EjOXKprVyBuJyx4fqTya91op/VqG3IvuQckex&#10;4f8A8Mb/AA4/5565/wCDy6/+Lo/4Y3+HH/PPXP8AweXX/wAXXuFFL6tQ/wCfa+5ByQ7Hh/8Awxv8&#10;OP8Annrn/g8uv/i6P+GN/hx/zz1z/wAHl1/8XXuFFH1ah/z7X3IOSHY8P/4Y3+HH/PPXP/B5df8A&#10;xdH/AAxv8OP+eeuf+Dy6/wDi69woo+rUP+fa+5ByQ7Hh/wDwxv8ADj/nnrn/AIPLr/4uj/hjf4cf&#10;889c/wDB5df/ABde4UUfVqH/AD7X3IOSHY8P/wCGN/hx/wA89c/8Hl1/8XR/wxv8OP8Annrn/g8u&#10;v/i69woo+rUP+fa+5ByQ7Hh//DHHw5HIj1z/AMHl1/8AF1Fa/sW/DOzhEMFtrUMKklY49auVVcnJ&#10;wA/qSfxr3Win9WoWtyL7kHJHseH/APDG/wAOP+eeuf8Ag8uv/i6P+GN/hx/zz1z/AMHl1/8AF17h&#10;RS+rUP8An2vuQckOx4f/AMMb/Dj/AJ565/4PLr/4uj/hjf4cf889c/8AB5df/F17hRR9Wof8+19y&#10;Dkh2PD/+GN/hx/zz1z/weXX/AMXR/wAMb/Dj/nnrn/g8uv8A4uvcKKPq1D/n2vuQckOx4f8A8Mb/&#10;AA4/5565/wCDy6/+Lo/4Y3+HH/PPXP8AweXX/wAXXuFFH1ah/wA+19yDkh2PD/8Ahjf4cf8APPXP&#10;/B5df/F0f8Mb/Dj/AJ565/4PLr/4uvcKKPq1D/n2vuQckOx4d/wxv8OCCDFrhB4P/E7uv/i609M/&#10;Zd8H6Lp8FjYX/iizs4F2RW8HiO8SONR0VVEgAFevUVrClTp/BFL0Q1FR2R5X/wAM4+Gv+gx4t/8A&#10;Cmvv/jtH/DOPhr/oMeLf/Cmvv/jteqUVoUeV/wDDOPhr/oMeLf8Awpr7/wCO0f8ADOPhr/oMeLf/&#10;AApr7/47XqlFAHyI37B0OqfG698a3niXVbOwjaP7Fb29/NJdkIoGZLh2LkHH3QeOma+trWD7LaxQ&#10;72kEahdznJOBjk9zUtFABRRRQAUUUUAFFFFABRRRQAUUUUAFFFFABRRRQAUUUUAFFFFABRRRQAUU&#10;UUAFFFFABRRRQAUUUUAFFFFABRRRQAUUUUAFFFFABRRRQAUUUUAFFFFABRRRQAUUUUANkbZGzBSx&#10;AztHU+1fJ/gH9qT4jeJv2trX4c+IvBVv4Q8O3mkT6lZxXMwlvpERiqvJtOEyQfl64r6wdhGjMeij&#10;JxX5ua3+1B4WuP2+tF8dJovi0+H7LQptCml/4R+43C6aUgADbyv+1U0/exNOG9+bT/tyVn/4Fype&#10;b7iq3WHnJdOXX/t5XX3Xb9D9JaKbHIJY0dc4YAjIweadVAndXQUUUUDCiiigAooooAKKKKAMnxZe&#10;arp/hvUrnQ7GPU9YjgZrSzmk8tJZcfKrN2Gepr410f8Aag+OXwy/aR8DfD/4s6D4ZmsfG3mfYx4e&#10;kdpLEqOQxP3gD3r6/wDiF4wj+H/gfXPEktnc6hHpdpJdG1s4y8su0ZCqo5JNfnd+zX8e/DHj79oB&#10;PiT8T9P8VXHxF1SX+zNC0mPw9cf2foVszYVRKwwXbOWftk1ND3sUorVJar1ukl5t216JdL6xiLxw&#10;zls+j7PRtvyS++9vT9MqKKKosKKKKACiiigAooooAKKKKAMHxzeeILDwnqU/haxtNS8QLEfsdtfz&#10;GKBpO29hyFHU49K+Wvhv+0P8X/Dv7UWkfCb4l2/hfW013TpdRgvfC/mD+zwgJ2Shuo4xk9eK+lvi&#10;x4k0/wAJ/DzXNT1bT9Q1PS4rdlurbSomkuWib5W2KpDEgEnjnivzy+Blhocn7Y/hXU/2d9K8UWvh&#10;Oe2YeMbjxBb3Pkbf4VD3OW3ewPXFTQ97FKO6ad/L3ZWv2V7Pm12tYjEe7h3JaNbfetu7ttHZ3P06&#10;oooqiwooooAKKKKACiiigAooooAz9f12x8MaHf6vqdwlpp9jC9xPNIcKiKCST+Ar5F/Zl/bD8cfG&#10;r9ozWPCmtaBZ6N4Un0hta0QjP2mS1MuyKST03gFsehFes/tifCvxp8Zvg7N4X8E3lhbXtxewSXcO&#10;pO6QXVsjbnhZl+YBsDOO1fLPwd8P/GzTP+Cgkc3iLR/DNmYvC8FtfSaVBcCxSxViEjgdjjzQQOCc&#10;Y7VOHvLE2lt7yt0+Byv99ku1pd0Z4luNG8PJvv8AHFW+avf1XmfovRRRVGgUUUUAFFFFABRRRQAU&#10;UUUAeHftgfGDxN8F/hVb6x4Ri0+XXLzVbTTIP7Uz5CmaQJubHYZqb9njUPjVqM2rP8VT4Ua02r9h&#10;fw3Kzktn5t+e2Ki/a41b4c6d8NIYfin4c1PxH4TubxElh02zlufKcAsrusZ3BcjGfUivnL9hvw3A&#10;P2kvHevfC/R9c8O/A2bTo4obXVY5oYp7/I3PDHKdwHXmlh/enOD13d90kox0fZt3tvdtEYi8Ywkv&#10;LTq7yauu9luuyZ9+0UUUywooooAKKKKACiiigAooooAKKKKACiiigAooooAKKKKACiiigAooooAK&#10;KKKACiiigAooooAKKKKACiiigAooooAKKKKACiiigAooooAKKKKACiiigAooooAKKKKACiiigAoo&#10;ooAKKKKACiiigAooooAKKKKACiiigAooooAKKKKACiiigAooooAKKKKACiiigAqCO+tpbh7dLiJ7&#10;hBlolcFl+o6ip6/P34wTXP7O3/BSLwP4v+0TR+GfiDaHTLxWlbyluAAucE4HSM/iaUferU6X890v&#10;WzaXztYU3yUp1f5Vf5XV/uWp9+XV5b2Kq1xPHbqx2hpXCgn0571Qt/FWiXmu3GiQaxYT6zboJZtO&#10;juka4iQ9GaMHcAfUivir9sG6ufjV+158GPg5YXEq2FhK3iTWlglZf3af6sNg9DtPX+9XV/DS98Ap&#10;/wAFA/iPZWPhCWw8X2uhxXF34ha/d45oyUBUQnhTjbz7UqUlU5ZPRPnt6QW/pdNeivqKrL2blFbr&#10;k++b29bWfzR9f0V8Xap+3h418UX/AIo1P4WfCK48b+A/C88lvqWvS6kls0pj5kNvGeZMAGt74jf8&#10;FBvDXhP9nfwd8XtI0efV9E16/js5rVn2TWvJEgIGcspBGO9JSTgp9Pd/8mdou29n0Y3pPk66/wDk&#10;vxL1XVbn1nRXyr4a/bcu7X4W+NPiR8QPh/qngXwlphjk0U3mTcatFJny9qkABiccdgc15/cf8FDv&#10;Hvguz0Xxb8QPghqHhj4ZaxPHHba4t8ss8SyfceWLHygjnrzVrWfJs9N+jeyfZvtuTzpx51qtfnbd&#10;rul3Wh9q6p4q0TQ9QsbDUdYsLC+v22WlrdXSRy3DDtGrEFz7DNaiqF6DHfivjf8Aae8QfDrUf2jP&#10;2eJdZ8Jy+JNU1e6Z9G1iG/aFLMZRlZoxxIMlTg+ldl8YP2iPjB4b8X6vpHw++Bt94r07SQGuNZ1G&#10;/Szt7gbdx8jOS5HT61HMlT5p6O8l5Lltv231/C5V7z5Vtyxa8+a/+WnU+l6K+K/E37aWrfFj9i/x&#10;N8QfAXhXUodet2l02+so5wk2luAQ84buF61ifsI/tMfEjXv2ervUvGfhTU77TND0W41C38WX11v/&#10;ALWdHc+WOOMAbfwpuSj7Vy0VNJv0abuvktO99NUyeZWptfbbj6NO2vz0fbd6H3fRX58w/wDBUDxX&#10;4i+GMPjzwz8EdW1Xw1p//If1KS42QWp3YKwnGZMDBJ4AzXunxG/bk8H+BfgP4T+I9vYXuszeLPLi&#10;0TQ7YD7RczuP9X6DBzk1UvcTb6NLzu9tN9enccZKTST3Tflpvrtp17H0lRXxn4Z/bu8Y+GfiV4Y8&#10;LfGb4TXPw6tvFMwg0jVI71bmIueAsvA2nkcds1u/Er9sjxZH8bda+GHwo+G3/Ce694fgjudXku9T&#10;jsY41cAhY93Ltgj86X8ttb321+H4r9rdb7ApLXyt/wCTaK3e72Pq+ivzq/4KGftIfFfwn4J+Gcui&#10;eHNb8GHUby2ub24guwjrcZYGwbHXOAc9OlfZf7Pvj/xX8Svhxa6z4x8H3HgjWWkaM6ZdSb3KADbJ&#10;n/aqqf7yM5L7MnH7rf5/drs0yZTUZQj/ADK6/Hf+vLc9KooopGgUUUUAFFFFABRRRQAUUUUAFFFF&#10;ABRRRQAnXg8ihQFAAGAOgFLRQAUUUUAFFFFABRRRQAUUUUAFFFFABRRRQAUUUUAFFFFABRRRQAUU&#10;UUAFFFFABRRRQAUUUUAFFFFABRRRQAUUUUAFFFFABRRRQAUUUUAFFFFABRRRQAUUUUAFFFFABRRR&#10;QAUUUUAFFFFABRRRQAUUUUAFFFFABRRRQAUUUUAFFFFABRRRQAUUUUAFFFFABRRRQAUUUUAFfJH/&#10;AAUx+Fd749/Z7/4SDRbWS58ReEL+HWbNbdC8rBWAdVA56YPH92vreisqkXJLldmmmn2ad1+RcJKL&#10;1V07p+jVn+B8Ef8ABO+z8QfGX4nfET48eMNHudJ1DUUt9F0+2vImVooo4180ruAOCwB/E1Y+Hdk2&#10;pf8ABTD40Wav5bXHhKOIN/dLFBn9a+6L6GS6sriGKY28skbIkyjJQkYDD6da+d/2b/2QZfgp8RvF&#10;vxA8SeNr3x94z8QL5Emo3VstusUAbIQIGOTwvPt0rTljUqRi1aEYSj/4FG34tuTb79Tm5XTpSs7y&#10;lKL+UWn+CSSPz6+FPhnwP8C18VeB/javxQ8Oa7b6jO9v/wAIzLd/YdQgcnDKsR2kn9c16l+098Of&#10;Dmi/sRfDOw+GvhnxDZeHZfE8V5FYarBJJeoGkYlpF5K564PrX6fvEkjKXRWK8gsM4+lPpxcuWPNu&#10;nB6aX5Gmrrzt8t7GnKlNuOz5tN7OSa0fld/lc+Tv+Cgnwl8RfFf9lEWPhexk1DVdJntNTGnRL886&#10;RD5kUeuDnHtXzX8eP2ml/aw/Z50L4M+CPAfimTx1qDWVte295pjw29j5W3e5kPBAK+3Br9RaasaK&#10;zMFUM3VgOTUcicp8+sZSUreat17Oyvp8winCMOV+9GLin5Py79tT89v2jvDMngz9ob9jzQrhxJNp&#10;0n2WRx0LIsYP6iuN+MPj7V9U/aY+IWg/GDXviRo2j2x2eD9F8FpOlvfRnO1i0X3nbjqe56V9S6x+&#10;xvc+MP2n9O+LHirx7f63puiymfQ/DJtljisHKgH94GywyM4wPrX0s0aMysyqWX7rEcj6UuV1KalV&#10;erdRtdue3y5lbfVK4uVU5clP4YxpxT78jk/Wzuk9m7H5ufsN/D/xDN+xP8afDbaNqNlrN1e6hDBZ&#10;ahCyTsxjwFO7qe2fWtH9i/4r2+s/sceJPhMdA16w8WeG/D+o/bEvNPeOEljJtVGP3m5+7jNfopTV&#10;VVJIUAnk4HWitH20asG9JwjD5xi0n+LdvxKinDka3jOU/wDwJ3a/RP5n52/AHRNStf8Agk/4ksJt&#10;Nu4r86fqAFo9u4mJ3dkxk/lXmXir4deL7L9kf9mLx/pnhy/1iPwLere6ppMUDfaFh83cX8sjP8OO&#10;ncV+sNFbVJSlVlWjpJum11s6fN99+Yxp0lGlGjLVLnv5qf5WPzP+NvxWH7fnxJ+Enhn4b+FfEUdl&#10;oOsLqmsatq+nNaxWaDGVyep4P14pP26L/wCFEnxK8QXlvaePvBfxs02FY9O1nw3Yz+VqjBAYgXT5&#10;WU8KTwRiv0ujhSEERoqBjuO0YyfWho0dlZkVmX7rEcj6VjKmrRjBtWcnfreVtn0sla2t+tzaN1Jy&#10;lroo26WTbs11u2306WPzW/as0f4o+Lv2E/hJ4g8Y6Rfal4r0fVrXUdahhhLXCwqXw7qP4tu3Pua+&#10;4/2ffjJpPx0+G9n4l0Ww1PT7HcbUR6tam3mLIqhjtPbJ4PfFekHng8ihVCKFUBVHQAcV0c3vVXbS&#10;cuZLs7JfPRGMaXKqeusVyvzV2/lq/PQWiiiszcKKKKACiiigAooooAKKKKACiiigAooooAKKKKAC&#10;iiigAooooAKKKKACiiigAooooAKKKKACiiigAooooAKKKKACiiigAooooAKKKKACiiigAooooAKK&#10;KKACiiigAooooAKKKKACiiigAooooAKKKKACiiigAooooAKKKKACiiigAooooAKKKKACiiigAooo&#10;oAK+H/iZ+1P8UNH1fVdQtdW8I+EfD0Op6jplpDrkMhkeS0OAjvkAPMOUUV9efEKDxZc+FLyPwTda&#10;XZeIjt+zzazFJJbLyN25UIY8ZxXwp49/aS8f6Br93oPiLxR8ONYfT7om5+y+FL67gimjI3nfuxvT&#10;ue1Y6yqqKdv6Wvnbz6ltfu7+a/XT5v52TsffXhTVZNc8L6TqMyNHLd2kU7oy7SCyAkEduvStWqGg&#10;3b3+h6fcyPHJJNbxyM8SlUYlQSQDyB7VfrqqfG9LanNR/hxu76LXuFFFFZmwUUUUAFFFFABRRRQA&#10;UUUUAFFFFABRRRQAUUUUAFFFFABRRRQAUVHcXEVnbyzzOsUMal3djgKoGSTXhOi/ttfC7xF4ptNB&#10;06+1O5ubu6jtILhdNlFu7ucIRIRjax6HvRH3pKC3FJqMXKWiR71RRRQMKKKKACiiigAooooAKKKK&#10;ACiiigAooooAKKKKACiiigAooooAKKKKAPOP2hrfWrv4R67b6BqY0nUphFGtz56wNsaVQ6pI3Cuy&#10;llU+pFfNfwZ+Fev/AAp/aa0+wkXWUsZZL2aO+1jXRcW15ZPFmKKGEtuaeNvvNjGM816H+1p4q8S2&#10;byaHZ+IfBWn+HbjSpbrUNP8AE2nXdzLLErKrOph4ABZffPNeH/sR6wlx8ZlW9+Inhvx/qT2ckUE3&#10;2DUPt9tbqMrBDJP8qRr37tipw2tZyXZ/qvzXpv10eeJuqSj0uvls/wAn99vU/QiiiiqNAooooAKK&#10;KKACiiigAooooAKKKKACiiigAooooAKKKKACiiigAooooAKKKKACiiigAooooAKKKKACiiigAooo&#10;oAKKKKACiiigAooooAKKKKACiiigAooooAKKKKACiiigAooooAKKKKACiiigAooooAK+CfiNJoOo&#10;3+qaL4A0j4nXq2uv6h9t1zwzpttPah7h8XtoplIyuc87cqehr72r89J9eh0P4leO4vEOu/GXw/ey&#10;eIbh4rbwNpU8elSw78JIv7lssR95s8nJrNRUqyjLaz+esdPNO+q6+lypfwr+a+WktfVdH09bH3v4&#10;VsYNL8M6TZ2sM9vbW9pFFHFc/wCtRQgAV/8AaA6+9alUdDdZNFsGR7iRGgjIe7GJmG0cuMD5vXjr&#10;V6uio25tvuYUklTiltZBRRRWZqFFFFABRRRQAUUUUAFFIzBQSeAK+b9U/bm8KWesz2tl4X8U6vYR&#10;SOn9rWdgDbMqTCGSQEsCUWQ4LYxwaXMuZQ6sH7seZ7H0jRUdvOt1bxTIcpIodfoRmpKrbRiTTV0F&#10;FFFIYUUUUAFFFFABRRRQBmeJlsW8O6oupnbpxtZBcn0j2nd+ma+HfDOgXXjzxR4GfRfBnxKTwRC1&#10;nDNqEwsUtdUitpN1tcSZfzEC/wCyASvavubX5LWHQ9QkvpTBZrbyGaReqptO4j6DNfBfwitfCnhu&#10;+GoxeIvi5pGi6JrGnW1np+oa3C9vcRXb/uJTGBkQnPKk7sHpSoJPE+a5X87tK/8A4Fp/28+mkVle&#10;k7dpettNvna/ny/P9AqWkFLTLCiiigAooooAKKKKACiiigAorn/iBqGq6T4H1290OAXOsW9lLJaR&#10;Fd26QKSvHfnt3r438GeK/ixofxg8H6brPjPxRr0mqT2d2dLm0XyLSSylgLTu0oXEZik+XYTnGKUH&#10;zVPZ+n43/wAm32Qpvkg5+r+63+endn3RRRRTGFFFFABRRRQAUUUUAFFFFAHhX7Slz8RvDdi/iXwx&#10;420LwxoFjb7bm31HQ2v7ieRmAVYyJF5YlVC9yRXnH7OPxW+IuueKfDcnjfxPp32PWp77T4tFHhsW&#10;N0lzbpuZXcTOFIHOBnNfRHxk8Lz+MvhrrekW2lQazc3EQ8qznuTbBnDAqRKAdjKQGVscECvkz9lO&#10;Pwj4d+No8L+JtW8X3PxLtxdX9npHiG9gv7a13jE80UsAK7mHGXIJHaow7/fSpvs2vxbt3trfsrbG&#10;WJ5vZxlHur/hb01+/Y+56KKKs1CiiigAooooAKKKKACiiigAooooAKKKKACiiigAooooAKKKKACi&#10;iigAooooAKKKKACiiigAooooAKKKKACiiigAooooAKKKKACiiigAooooAKKKKACiiigAooooAKKK&#10;KACiiigAooooAKKKKACiiigAr5u1T9pTxzeXXiTXfC/gOz1bwB4bvZ7G/vrjU1hvJmgYrO0URGAF&#10;ION3LY4r6Rr4E8XfDvVvi98UfEus+EPBEVv4fttYls9RsdQ8bXOlwancRviSWWyjQrhiO/3xyetZ&#10;+86ijHs/RarV91ra11v805W9m2+6+ej0Xnpfboz7s0HWrbxHoen6rZlmtL6BLmIsMHY6hhkfQ1fq&#10;no8Jt9Jsomt4rRkhRTBAcxx4UfKpwMgdBVyt525ny7GVPm5I829goooqDQKKKKACiiigAooooA5H&#10;4oa/4p8N+FpLzwh4WTxhrHmKg0175LMFDnc29+OPT3r4A8VeJPN1fR/C2peCLXwi9hfyJcWdl8Ro&#10;I3kjuJhJLbSqB80Zc52fh3r9EvGfjLQ/APhu81zxHqlvo2j2q5nvbltqRgnAyfqa/PzVvDvwwkg0&#10;nTvDvxP8CzX9xc3MN9c6vpcrzyw3F2J0kiIwftCHChm4xisoX9utL6r/AIb/AIe+76XFW/gv+u93&#10;6rp5n6K6bGkOn2scUawxLEqrGpyFAAwAfarNVtMhFvptpEsrTiOJFErdXwoG4/XrVmt5fEyKfwR9&#10;AoooqTQKKKKACiiigAooooAzvEUqw+H9Tka3S7VLaRjBIcLIAp+U+x6V8B/AnUv2ddd8b6Fq7eM/&#10;EMWuajdW7x+CtQvLqSxtryNisKbGXDCMn5MnA4r9ANamu7fR76WwgW5vY4HaCFjgO4U7VP1OK+Cv&#10;hr+0H4suvGWo+GoNe1HXfGt1rWlOum3Wg+T9kiJ/0+HPlBUiQZG8tngYJow+uKst7R/9Ktp993o+&#10;W1+us1v4LfTX06b/ADtZXV9e2n6BUUg6c9aWgoKKKKACiiigAooooAKKKKAPIv2hvGvinwzo9rp/&#10;h3wdb+K4dUjmhuhNrsWmPCgXkoz8k4JOR0xXyt8CvEHxG8TfFrwrYeOZLLXPDmlT7NEt4vGFlJJa&#10;gK2JbhYjuupVHyjPbnrmvqP9oj4feK/GdrpV54a1bwppCaYJpLifxRpJvlVGXDFCHXYNuc+or5h/&#10;Z58G6O3jrRPEln4j+E91p9nrQ0ovpPguSxupLoxlxHDKzfKxXkNjBHSlhf47cv61snp5u0XvqTiP&#10;4Vl2/TVX9FqtnbXQ/QGiiimUFFFFABRRRQAUUUUAFFFFAGD458N6V4u8J6lpOuSPHpFxFi6ZJzBi&#10;MHJy4IIHHPPSuH+B8Xwf0+0udM+Fz+HStmdlxHo7o8ikcEuQSx57k1o/tCeD5vHfwf8AEmjQahb6&#10;a80AkM15II4GVGDtHKx6RuFKsfRjXzP+z74k0z4ofHLw1eaboHgf4fS+G7W4hltvDWt217cawrRl&#10;Nm2KNCIlPz855AqaPvVZQ20/Czd/NX0tvrf1is+WnGdr6/m0vx77afd9u0UUVRYUUUUAFFFFABRR&#10;RQAUUUUAFFFFABRRRQAUUUUAFFFFABRRRQAUUUUAFFFFABRRRQAUUUUAFFFFABRRRQAUUUUAFFFF&#10;ABRRRQAUUUUAFFFFABRRRQAUUUUAFFFFABRRRQAUUUUAFFFFABRRRQAUUUUAFfn94r+Elt8VPiT4&#10;r1rwx8FvDNxHDrU1tfX3iDxbeWN3c3CPh5vIjJVVPVfUV99Xl7b6fayXF1PHbW8Yy8szhFX6k9K/&#10;OvxL4X07S/il40fxN8I/DfxDvrvXZriDXdU8Y2tvcGBm/do0RcbQgwAOuBzUR/jx9H+cf63X4FSv&#10;7J27r7rS/W2uv4n6G6HbGz0WwtzCluYoI0MMbl1TCgbQx5IHTJ61eqh4fVF0LThHbpaILeMLbxuH&#10;WMbRhQw4IHTPer9bT+JmFL+HG3Zf10/IKKKKg1CiiigAooooAKKKKAOM+MT+CY/hvrh+Iv8AZ/8A&#10;whvkH+0f7T/1Hl+/44xjnPSviDwlrFrN4p0uL9n/AOxx+Dxcp9oTx8lumneVuxi0D4ug3oSGB4r7&#10;48YeDNC+IHh270HxJpNrrejXYCz2N7EJIpADkBlPXkV5jb/sX/AyzuYbiH4W+G4poWV4nWyUFGBy&#10;CPTBqaa5a3tJbabdf8XfyJqrnp8q31+Xp282eyW+7yI9+3dtGdn3c47e1SU2ONYY1jRQqKAqqOwH&#10;anVb3HHRJMKKKKQwooooAKKKKACiiigDl/H2gW2r6fBeXesano9tpbteyPps/lmRVRsq/B3Lg5x6&#10;gV8NeE/h6njPxdZXuh6b+0DHpeqzjyfFDeILSOAxs3EpUjf5Y64IzjtX354iW4bQNSFrj7UbaTys&#10;x+YN204+X+Lnt3r4N+AEMOk6l4Ss9U0X4+6XrKXaiaBxcRaLHIZCSDGPlWD26YqaEU8Q0/L8bp+f&#10;RbNW876TVk1TuvP8NV+b6P5W1+3vhz4d1fwn4N03Sdc1ybxJqVqhjfU7hQJZxk7S+OC2MAnHOK6W&#10;iirbcndhGKilFBRRRSKCiiigAooooAKKKKAPNPj54y8P+FvBE9p4ottXfRdYV7Ge70mxlujahl+/&#10;IIwSq++MetfO3wD+C83jTxUuqH4w+HvG/hCz1aDWItP0SxSG7NxBAIIROQ5KBUAyu3lueOlfTnxX&#10;uvH8Oj20Hw+03Rb3U7iXy5p9emdLe2jx98qnzOf9kV5L4L/ZBk/4WVpXxE8deJxq/irTpDLbw6DZ&#10;pplnGSMFWCfNMP8AfqaF41nPbpf01Wmt7PVPS3e6IrX5OWO7T09dHr0T6rX0PpKiiiqLCiiigAoo&#10;ooAKKKKACiiigDzT9pDwfc+Ovgr4o0a0nsba6mtw8cmqTmG0DIyuPOYA/u/l+Ydxkd68H/Zg8etr&#10;PxJttKa2+CcbRWrqz+Br5ZdQyq4O1RGvy+vPSvYv2ufIX9nrxe1xA9xGsCNgSBERhIpV5Cf+WanB&#10;Yd1BFcD+zr/bLeLNPa9X4NeS1lkt4LMn9on5BjGeNvrU0P4tT5fkzOt8MV11/OJ9P0UUVRoFFFFA&#10;BRRRQAUUUUAFFFFABRRRQAUUUUAFFFFABRRRQAUUUUAFFFFABRRRQAUUUUAFFFFABRRRQAUUUUAF&#10;FFFABRRRQAUUUUAFFFFABRRRQAUUUUAFFFFABRRRQAUUUUAFFFFABRRRQAUUUUAFFFFAGfr/AIf0&#10;3xTpNxper2MGpadcDbLa3KB0cZzgg9a+MtY8N2fxK8ceI7/wv+zn8P8AWbGx1WWwn1XxJfRWl5cT&#10;xNteTyvJYgZHBJ5HNfbtfnJ488D6RFdfEnxx4o+Dl1fxvrV+ljrWiX16SJopNiNd2qyg7WPR0BGO&#10;uBWLkoVOd7JN/O8f+DZXV3Y05XKnpu2l96l/V7Ox+h+jwm30myiNtFZlIUU28BzHFhR8qnHIHQfS&#10;rlYXgSaS48E6BLLCLeR7CBmhAICExr8vJzx781u11VFyzkn3OWjJSpRkuqQUUUVmbBRRRQAUUUUA&#10;FFFFABRRRQAUUUUAFFFFABRRRQAUUUUAFFFFAHl37RVr4auvh+V8VePL74d6WLhD/bGn6l9hk3dk&#10;8z0PpXzRpfibw54F8QeGJ/hb8dNc+JeuXmtWtnceHr7WBqiXFq7hZSVxmPYpLbwRjFfauv8AhnR/&#10;Fdj9i1vSbHWLPcH+z6hbJPHuHQ7XBGaztA+GvhHwpe/bNE8K6Lo93t2/aNP06GCTB7bkUHFKn7k+&#10;Z90/W1tH62s/IKnvQ5V2t/wflv6nR0tFFMAooooAKKKKACiiigAooooAKKKKACiiigAooooAKKKK&#10;ACiiigAooooA8k/aEs9Vm8Ia1JPq3hfT/B66XML1fElg91F525SjMoYBkA3DbjJJGK+X/wBjc6E3&#10;xktjp8vgeWX7LNtbQfA13pU5G3qtxINuPbuK+nv2sI7KT4A+LBf3MtnCIYylzBafapIpBIvlukW4&#10;b2DbSBnr615N8BPid4pvPHHhO11X4vWHjzTNYingXTbPw8tlPbSxRbiLjMpeJhj7pXk+1Th3++n5&#10;L81J+f5fPtniJJU4p9X+Tj6fn8u/1tRRRVGgUUUUAFFFFABRRRQAUUUUAFFFFABRRRQAUUUUAFFF&#10;FABRRRQAUUUUAFFFFABRRRQAUUUUAFFFFABRRRQAUUUUAFFFFABRRRQAUUUUAFFFFABRRRQAUUUU&#10;AFFFFABRRRQAUUUUAFFFFABRRRQAUUUUAY3jDwvb+NPDOpaHd3N5aW1/C0Ek+n3DQTop6lJF5U+4&#10;rwOL9gnwLCwK+LPiGRnJU+K7kqec8jPNfStFJJRlzLcd21boV9Psk02wtrSJneOCNYlaRtzEKMAk&#10;9zx1qxRRVNtu7JSUVZBRRRSGFFFFABRRRQAUUUUAFFFFABRRRQAUUUUAFFFFABRRRQAUUUUAFFFF&#10;ABRRRQAUUUUAFFFFABRRRQAUUUUAFFFFABRRRQAUUUUAFFFFABRRRQAUUUUAeQ/tCXnjaTS7LS/C&#10;/wAM7b4iWF03mXsdzrUWniFkZWjxvOW5GePSuG+F/h3xd4i+NVj4s8ZfAbSfBeoW9rLCviW016C5&#10;mAK42NHH97PTcRkV9L0UoJQlzbvX8Vbp5f8ABFNc8eXb/h79Qooopj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ZUEsBAi0AFAAGAAgAAAAhACsQ28AKAQAAFAIA&#10;ABMAAAAAAAAAAAAAAAAAAAAAAFtDb250ZW50X1R5cGVzXS54bWxQSwECLQAUAAYACAAAACEAOP0h&#10;/9YAAACUAQAACwAAAAAAAAAAAAAAAAA7AQAAX3JlbHMvLnJlbHNQSwECLQAUAAYACAAAACEAiKFf&#10;23wEAAB/DwAADgAAAAAAAAAAAAAAAAA6AgAAZHJzL2Uyb0RvYy54bWxQSwECLQAUAAYACAAAACEA&#10;N53BGLoAAAAhAQAAGQAAAAAAAAAAAAAAAADiBgAAZHJzL19yZWxzL2Uyb0RvYy54bWwucmVsc1BL&#10;AQItABQABgAIAAAAIQAFi2HW3QAAAAUBAAAPAAAAAAAAAAAAAAAAANMHAABkcnMvZG93bnJldi54&#10;bWxQSwECLQAKAAAAAAAAACEA+hoMpSbQAAAm0AAAFAAAAAAAAAAAAAAAAADdCAAAZHJzL21lZGlh&#10;L2ltYWdlMS5qcGdQSwUGAAAAAAYABgB8AQAANdkAAAAA&#10;">
                <v:rect id="Rectangle 48152" o:spid="_x0000_s1054" style="position:absolute;left:12192;top:-190;width:29334;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P0xwAAAN4AAAAPAAAAZHJzL2Rvd25yZXYueG1sRI9Pa8JA&#10;FMTvgt9heYI33ShWYuoqYit6rH/A9vbIvibB7NuQXU3qp3cLgsdhZn7DzJetKcWNaldYVjAaRiCI&#10;U6sLzhScjptBDMJ5ZI2lZVLwRw6Wi25njom2De/pdvCZCBB2CSrIva8SKV2ak0E3tBVx8H5tbdAH&#10;WWdS19gEuCnlOIqm0mDBYSHHitY5pZfD1SjYxtXqe2fvTVZ+/mzPX+fZx3Hmler32tU7CE+tf4Wf&#10;7Z1WMIlHb2P4vxOugFw8AAAA//8DAFBLAQItABQABgAIAAAAIQDb4fbL7gAAAIUBAAATAAAAAAAA&#10;AAAAAAAAAAAAAABbQ29udGVudF9UeXBlc10ueG1sUEsBAi0AFAAGAAgAAAAhAFr0LFu/AAAAFQEA&#10;AAsAAAAAAAAAAAAAAAAAHwEAAF9yZWxzLy5yZWxzUEsBAi0AFAAGAAgAAAAhAD/0c/THAAAA3gAA&#10;AA8AAAAAAAAAAAAAAAAABwIAAGRycy9kb3ducmV2LnhtbFBLBQYAAAAAAwADALcAAAD7AgAAAAA=&#10;" filled="f" stroked="f">
                  <v:textbox inset="0,0,0,0">
                    <w:txbxContent>
                      <w:p w14:paraId="2412B07C" w14:textId="77777777" w:rsidR="003E564E" w:rsidRDefault="003E564E" w:rsidP="00FF1E38">
                        <w:pPr>
                          <w:spacing w:after="160" w:line="259" w:lineRule="auto"/>
                          <w:ind w:left="0" w:right="0" w:firstLine="0"/>
                          <w:jc w:val="left"/>
                        </w:pPr>
                        <w:r>
                          <w:rPr>
                            <w:b/>
                          </w:rPr>
                          <w:t>Ukupni rizik za POPLAVU - umjeren rizik</w:t>
                        </w:r>
                      </w:p>
                      <w:p w14:paraId="7C095AC3" w14:textId="77777777" w:rsidR="003E564E" w:rsidRDefault="003E564E" w:rsidP="00FF1E38">
                        <w:pPr>
                          <w:spacing w:after="160" w:line="259" w:lineRule="auto"/>
                          <w:ind w:left="0" w:right="0" w:firstLine="0"/>
                          <w:jc w:val="left"/>
                        </w:pPr>
                      </w:p>
                      <w:p w14:paraId="0DEBE341" w14:textId="77777777" w:rsidR="003E564E" w:rsidRDefault="003E564E" w:rsidP="00FF1E38">
                        <w:pPr>
                          <w:spacing w:after="160" w:line="259" w:lineRule="auto"/>
                          <w:ind w:left="0" w:right="0" w:firstLine="0"/>
                          <w:jc w:val="left"/>
                        </w:pPr>
                      </w:p>
                    </w:txbxContent>
                  </v:textbox>
                </v:rect>
                <v:shape id="Picture 48159" o:spid="_x0000_s1055" type="#_x0000_t75" style="position:absolute;top:2850;width:52120;height:43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eFrxwAAAN4AAAAPAAAAZHJzL2Rvd25yZXYueG1sRI9RSwMx&#10;EITfBf9DWME3m6uo1GvTUopiC4Jt7Q/YXra5o5fNkazt6a9vBMHHYWa+YSaz3rfqRDE1gQ0MBwUo&#10;4irYhp2B3efr3QhUEmSLbWAy8E0JZtPrqwmWNpx5Q6etOJUhnEo0UIt0pdapqsljGoSOOHuHED1K&#10;ltFpG/Gc4b7V90XxpD02nBdq7GhRU3XcfnkDy8Ve3Ht0P6u3j81R5rJ+WffOmNubfj4GJdTLf/iv&#10;vbQGHkbDx2f4vZOvgJ5eAAAA//8DAFBLAQItABQABgAIAAAAIQDb4fbL7gAAAIUBAAATAAAAAAAA&#10;AAAAAAAAAAAAAABbQ29udGVudF9UeXBlc10ueG1sUEsBAi0AFAAGAAgAAAAhAFr0LFu/AAAAFQEA&#10;AAsAAAAAAAAAAAAAAAAAHwEAAF9yZWxzLy5yZWxzUEsBAi0AFAAGAAgAAAAhANeR4WvHAAAA3gAA&#10;AA8AAAAAAAAAAAAAAAAABwIAAGRycy9kb3ducmV2LnhtbFBLBQYAAAAAAwADALcAAAD7AgAAAAA=&#10;">
                  <v:imagedata r:id="rId129" o:title=""/>
                </v:shape>
                <v:rect id="Rectangle 48160" o:spid="_x0000_s1056" style="position:absolute;left:52133;top:4548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oKlxgAAAN4AAAAPAAAAZHJzL2Rvd25yZXYueG1sRI/LaoNA&#10;FIb3hb7DcArd1dFQghonIbQpZplLIc3u4Jyq1DkjzjTaPn1mEcjy57/xFavJdOJCg2stK0iiGARx&#10;ZXXLtYLP48dLCsJ5ZI2dZVLwRw5Wy8eHAnNtR97T5eBrEUbY5aig8b7PpXRVQwZdZHvi4H3bwaAP&#10;cqilHnAM46aTszieS4Mth4cGe3prqPo5/BoFZdqvv7b2f6y7zbk87U7Z+zHzSj0/TesFCE+Tv4dv&#10;7a1W8Jom8wAQcAIKyOUVAAD//wMAUEsBAi0AFAAGAAgAAAAhANvh9svuAAAAhQEAABMAAAAAAAAA&#10;AAAAAAAAAAAAAFtDb250ZW50X1R5cGVzXS54bWxQSwECLQAUAAYACAAAACEAWvQsW78AAAAVAQAA&#10;CwAAAAAAAAAAAAAAAAAfAQAAX3JlbHMvLnJlbHNQSwECLQAUAAYACAAAACEAbgaCpcYAAADeAAAA&#10;DwAAAAAAAAAAAAAAAAAHAgAAZHJzL2Rvd25yZXYueG1sUEsFBgAAAAADAAMAtwAAAPoCAAAAAA==&#10;" filled="f" stroked="f">
                  <v:textbox inset="0,0,0,0">
                    <w:txbxContent>
                      <w:p w14:paraId="383412C1" w14:textId="77777777" w:rsidR="003E564E" w:rsidRDefault="003E564E" w:rsidP="00FF1E38">
                        <w:pPr>
                          <w:spacing w:after="160" w:line="259" w:lineRule="auto"/>
                          <w:ind w:left="0" w:right="0" w:firstLine="0"/>
                          <w:jc w:val="left"/>
                        </w:pPr>
                        <w:r>
                          <w:rPr>
                            <w:b/>
                          </w:rPr>
                          <w:t xml:space="preserve"> </w:t>
                        </w:r>
                      </w:p>
                    </w:txbxContent>
                  </v:textbox>
                </v:rect>
                <v:shape id="Shape 48165" o:spid="_x0000_s1057" style="position:absolute;left:12534;top:9314;width:3144;height:2527;visibility:visible;mso-wrap-style:square;v-text-anchor:top" coordsize="314325,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bsbxAAAAN4AAAAPAAAAZHJzL2Rvd25yZXYueG1sRI9Pi8Iw&#10;FMTvC36H8Ba8ranrH6RrFBEE96j14u3ZPNNi81KSrK3f3iwIHoeZ+Q2zXPe2EXfyoXasYDzKQBCX&#10;TtdsFJyK3dcCRIjIGhvHpOBBAdarwccSc+06PtD9GI1IEA45KqhibHMpQ1mRxTByLXHyrs5bjEl6&#10;I7XHLsFtI7+zbC4t1pwWKmxpW1F5O/5ZBbPT5LfYZoU9+1tHj0u9d8Y4pYaf/eYHRKQ+vsOv9l4r&#10;mC7G8xn830lXQK6eAAAA//8DAFBLAQItABQABgAIAAAAIQDb4fbL7gAAAIUBAAATAAAAAAAAAAAA&#10;AAAAAAAAAABbQ29udGVudF9UeXBlc10ueG1sUEsBAi0AFAAGAAgAAAAhAFr0LFu/AAAAFQEAAAsA&#10;AAAAAAAAAAAAAAAAHwEAAF9yZWxzLy5yZWxzUEsBAi0AFAAGAAgAAAAhACzRuxvEAAAA3gAAAA8A&#10;AAAAAAAAAAAAAAAABwIAAGRycy9kb3ducmV2LnhtbFBLBQYAAAAAAwADALcAAAD4AgAAAAA=&#10;" path="m77343,l236982,r77343,126365l236982,252730r-159639,l,126365,77343,xe" fillcolor="#4f81bd" stroked="f" strokeweight="0">
                  <v:stroke miterlimit="83231f" joinstyle="miter"/>
                  <v:path arrowok="t" textboxrect="0,0,314325,252730"/>
                </v:shape>
                <v:shape id="Shape 48166" o:spid="_x0000_s1058" style="position:absolute;left:12534;top:9314;width:3144;height:2527;visibility:visible;mso-wrap-style:square;v-text-anchor:top" coordsize="314325,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xrIxQAAAN4AAAAPAAAAZHJzL2Rvd25yZXYueG1sRI/RasJA&#10;FETfC/7DcoW+1U1CDWl0FREF8aXU+gGX7DUJZu/G3VXj37tCoY/DzJxh5svBdOJGzreWFaSTBARx&#10;ZXXLtYLj7/ajAOEDssbOMil4kIflYvQ2x1LbO//Q7RBqESHsS1TQhNCXUvqqIYN+Ynvi6J2sMxii&#10;dLXUDu8RbjqZJUkuDbYcFxrsad1QdT5cjYLCbb73LpNfvZvuMzpedsk6tUq9j4fVDESgIfyH/9o7&#10;reCzSPMcXnfiFZCLJwAAAP//AwBQSwECLQAUAAYACAAAACEA2+H2y+4AAACFAQAAEwAAAAAAAAAA&#10;AAAAAAAAAAAAW0NvbnRlbnRfVHlwZXNdLnhtbFBLAQItABQABgAIAAAAIQBa9CxbvwAAABUBAAAL&#10;AAAAAAAAAAAAAAAAAB8BAABfcmVscy8ucmVsc1BLAQItABQABgAIAAAAIQBGnxrIxQAAAN4AAAAP&#10;AAAAAAAAAAAAAAAAAAcCAABkcnMvZG93bnJldi54bWxQSwUGAAAAAAMAAwC3AAAA+QIAAAAA&#10;" path="m77343,l,126365,77343,252730r159639,l314325,126365,236982,,77343,xe" filled="f" strokecolor="#4f81bd">
                  <v:stroke miterlimit="83231f" joinstyle="miter" endcap="round"/>
                  <v:path arrowok="t" textboxrect="0,0,314325,252730"/>
                </v:shape>
                <w10:anchorlock/>
              </v:group>
            </w:pict>
          </mc:Fallback>
        </mc:AlternateContent>
      </w:r>
    </w:p>
    <w:p w14:paraId="57231D14" w14:textId="77C95905" w:rsidR="00FF1E38" w:rsidRPr="00FF1E38" w:rsidRDefault="00FF1E38" w:rsidP="00193BC6">
      <w:pPr>
        <w:spacing w:after="160" w:line="259" w:lineRule="auto"/>
        <w:ind w:left="0" w:right="0" w:firstLine="0"/>
        <w:jc w:val="left"/>
        <w:rPr>
          <w:rFonts w:ascii="Times New Roman" w:hAnsi="Times New Roman" w:cs="Times New Roman"/>
          <w:sz w:val="24"/>
        </w:rPr>
      </w:pPr>
      <w:r w:rsidRPr="00FF1E38">
        <w:rPr>
          <w:rFonts w:ascii="Times New Roman" w:hAnsi="Times New Roman" w:cs="Times New Roman"/>
          <w:sz w:val="24"/>
        </w:rPr>
        <w:br w:type="page"/>
      </w:r>
    </w:p>
    <w:tbl>
      <w:tblPr>
        <w:tblStyle w:val="TableGrid0"/>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0" w:type="dxa"/>
        </w:tblCellMar>
        <w:tblLook w:val="04A0" w:firstRow="1" w:lastRow="0" w:firstColumn="1" w:lastColumn="0" w:noHBand="0" w:noVBand="1"/>
      </w:tblPr>
      <w:tblGrid>
        <w:gridCol w:w="3175"/>
        <w:gridCol w:w="2892"/>
        <w:gridCol w:w="3005"/>
      </w:tblGrid>
      <w:tr w:rsidR="00FF1E38" w:rsidRPr="00FF1E38" w14:paraId="0F8401A2" w14:textId="77777777" w:rsidTr="00DE0C9A">
        <w:trPr>
          <w:cantSplit/>
        </w:trPr>
        <w:tc>
          <w:tcPr>
            <w:tcW w:w="3175" w:type="dxa"/>
          </w:tcPr>
          <w:p w14:paraId="791F5D88" w14:textId="77777777" w:rsidR="00FF1E38" w:rsidRPr="00FF1E38" w:rsidRDefault="00FF1E38" w:rsidP="00FF1E38">
            <w:pPr>
              <w:spacing w:after="0" w:line="240" w:lineRule="auto"/>
              <w:ind w:left="0" w:right="0" w:firstLine="0"/>
              <w:jc w:val="center"/>
              <w:rPr>
                <w:rFonts w:ascii="Times New Roman" w:hAnsi="Times New Roman" w:cs="Times New Roman"/>
                <w:b/>
              </w:rPr>
            </w:pPr>
            <w:r w:rsidRPr="00FF1E38">
              <w:rPr>
                <w:rFonts w:ascii="Times New Roman" w:hAnsi="Times New Roman" w:cs="Times New Roman"/>
                <w:b/>
              </w:rPr>
              <w:lastRenderedPageBreak/>
              <w:t>Život i zdravlje ljudi</w:t>
            </w:r>
          </w:p>
        </w:tc>
        <w:tc>
          <w:tcPr>
            <w:tcW w:w="2892" w:type="dxa"/>
          </w:tcPr>
          <w:p w14:paraId="43541F5F" w14:textId="77777777" w:rsidR="00FF1E38" w:rsidRPr="00FF1E38" w:rsidRDefault="00FF1E38" w:rsidP="00FF1E38">
            <w:pPr>
              <w:spacing w:after="0" w:line="240" w:lineRule="auto"/>
              <w:ind w:left="0" w:right="0" w:firstLine="0"/>
              <w:jc w:val="center"/>
              <w:rPr>
                <w:rFonts w:ascii="Times New Roman" w:hAnsi="Times New Roman" w:cs="Times New Roman"/>
                <w:b/>
              </w:rPr>
            </w:pPr>
            <w:r w:rsidRPr="00FF1E38">
              <w:rPr>
                <w:rFonts w:ascii="Times New Roman" w:hAnsi="Times New Roman" w:cs="Times New Roman"/>
                <w:b/>
              </w:rPr>
              <w:t xml:space="preserve">Gospodarstvo </w:t>
            </w:r>
          </w:p>
        </w:tc>
        <w:tc>
          <w:tcPr>
            <w:tcW w:w="3005" w:type="dxa"/>
          </w:tcPr>
          <w:p w14:paraId="0D4447D2" w14:textId="77777777" w:rsidR="00FF1E38" w:rsidRPr="00FF1E38" w:rsidRDefault="00FF1E38" w:rsidP="00FF1E38">
            <w:pPr>
              <w:spacing w:after="0" w:line="240" w:lineRule="auto"/>
              <w:ind w:left="0" w:right="0" w:firstLine="0"/>
              <w:jc w:val="center"/>
              <w:rPr>
                <w:rFonts w:ascii="Times New Roman" w:hAnsi="Times New Roman" w:cs="Times New Roman"/>
                <w:b/>
              </w:rPr>
            </w:pPr>
            <w:r w:rsidRPr="00FF1E38">
              <w:rPr>
                <w:rFonts w:ascii="Times New Roman" w:hAnsi="Times New Roman" w:cs="Times New Roman"/>
                <w:b/>
              </w:rPr>
              <w:t>Društvena stabilnost i politika</w:t>
            </w:r>
          </w:p>
        </w:tc>
      </w:tr>
      <w:tr w:rsidR="00FF1E38" w:rsidRPr="00FF1E38" w14:paraId="3EF39D38" w14:textId="77777777" w:rsidTr="00DE0C9A">
        <w:trPr>
          <w:cantSplit/>
        </w:trPr>
        <w:tc>
          <w:tcPr>
            <w:tcW w:w="3175" w:type="dxa"/>
          </w:tcPr>
          <w:p w14:paraId="563F5C1F" w14:textId="77777777" w:rsidR="00FF1E38" w:rsidRPr="00FF1E38" w:rsidRDefault="00FF1E38" w:rsidP="00FF1E38">
            <w:pPr>
              <w:spacing w:after="0" w:line="240" w:lineRule="auto"/>
              <w:ind w:left="0" w:right="0" w:firstLine="0"/>
              <w:rPr>
                <w:rFonts w:ascii="Times New Roman" w:hAnsi="Times New Roman" w:cs="Times New Roman"/>
                <w:b/>
              </w:rPr>
            </w:pPr>
            <w:r w:rsidRPr="00FF1E38">
              <w:rPr>
                <w:noProof/>
              </w:rPr>
              <w:drawing>
                <wp:inline distT="0" distB="0" distL="0" distR="0" wp14:anchorId="32965373" wp14:editId="4C0C3A5E">
                  <wp:extent cx="1587740" cy="1477010"/>
                  <wp:effectExtent l="0" t="0" r="0" b="8890"/>
                  <wp:docPr id="48196" name="Picture 48196"/>
                  <wp:cNvGraphicFramePr/>
                  <a:graphic xmlns:a="http://schemas.openxmlformats.org/drawingml/2006/main">
                    <a:graphicData uri="http://schemas.openxmlformats.org/drawingml/2006/picture">
                      <pic:pic xmlns:pic="http://schemas.openxmlformats.org/drawingml/2006/picture">
                        <pic:nvPicPr>
                          <pic:cNvPr id="48196" name="Picture 48196"/>
                          <pic:cNvPicPr/>
                        </pic:nvPicPr>
                        <pic:blipFill>
                          <a:blip r:embed="rId130">
                            <a:extLst>
                              <a:ext uri="{28A0092B-C50C-407E-A947-70E740481C1C}">
                                <a14:useLocalDpi xmlns:a14="http://schemas.microsoft.com/office/drawing/2010/main" val="0"/>
                              </a:ext>
                            </a:extLst>
                          </a:blip>
                          <a:stretch>
                            <a:fillRect/>
                          </a:stretch>
                        </pic:blipFill>
                        <pic:spPr>
                          <a:xfrm>
                            <a:off x="0" y="0"/>
                            <a:ext cx="1587740" cy="1477010"/>
                          </a:xfrm>
                          <a:prstGeom prst="rect">
                            <a:avLst/>
                          </a:prstGeom>
                        </pic:spPr>
                      </pic:pic>
                    </a:graphicData>
                  </a:graphic>
                </wp:inline>
              </w:drawing>
            </w:r>
          </w:p>
        </w:tc>
        <w:tc>
          <w:tcPr>
            <w:tcW w:w="2892" w:type="dxa"/>
          </w:tcPr>
          <w:p w14:paraId="57BDFAE9" w14:textId="77777777" w:rsidR="00FF1E38" w:rsidRPr="00FF1E38" w:rsidRDefault="00FF1E38" w:rsidP="00FF1E38">
            <w:pPr>
              <w:spacing w:after="0" w:line="240" w:lineRule="auto"/>
              <w:ind w:left="0" w:right="0" w:firstLine="0"/>
              <w:rPr>
                <w:rFonts w:ascii="Times New Roman" w:hAnsi="Times New Roman" w:cs="Times New Roman"/>
                <w:b/>
              </w:rPr>
            </w:pPr>
            <w:r w:rsidRPr="00FF1E38">
              <w:rPr>
                <w:noProof/>
              </w:rPr>
              <w:drawing>
                <wp:inline distT="0" distB="0" distL="0" distR="0" wp14:anchorId="0C280EF4" wp14:editId="77D26235">
                  <wp:extent cx="1587567" cy="1477010"/>
                  <wp:effectExtent l="0" t="0" r="0" b="8890"/>
                  <wp:docPr id="48199" name="Picture 48199"/>
                  <wp:cNvGraphicFramePr/>
                  <a:graphic xmlns:a="http://schemas.openxmlformats.org/drawingml/2006/main">
                    <a:graphicData uri="http://schemas.openxmlformats.org/drawingml/2006/picture">
                      <pic:pic xmlns:pic="http://schemas.openxmlformats.org/drawingml/2006/picture">
                        <pic:nvPicPr>
                          <pic:cNvPr id="48199" name="Picture 48199"/>
                          <pic:cNvPicPr/>
                        </pic:nvPicPr>
                        <pic:blipFill>
                          <a:blip r:embed="rId130">
                            <a:extLst>
                              <a:ext uri="{28A0092B-C50C-407E-A947-70E740481C1C}">
                                <a14:useLocalDpi xmlns:a14="http://schemas.microsoft.com/office/drawing/2010/main" val="0"/>
                              </a:ext>
                            </a:extLst>
                          </a:blip>
                          <a:stretch>
                            <a:fillRect/>
                          </a:stretch>
                        </pic:blipFill>
                        <pic:spPr>
                          <a:xfrm>
                            <a:off x="0" y="0"/>
                            <a:ext cx="1587567" cy="1477010"/>
                          </a:xfrm>
                          <a:prstGeom prst="rect">
                            <a:avLst/>
                          </a:prstGeom>
                        </pic:spPr>
                      </pic:pic>
                    </a:graphicData>
                  </a:graphic>
                </wp:inline>
              </w:drawing>
            </w:r>
          </w:p>
        </w:tc>
        <w:tc>
          <w:tcPr>
            <w:tcW w:w="3005" w:type="dxa"/>
          </w:tcPr>
          <w:p w14:paraId="2E4F9AD5" w14:textId="77777777" w:rsidR="00FF1E38" w:rsidRPr="00FF1E38" w:rsidRDefault="00FF1E38" w:rsidP="00FF1E38">
            <w:pPr>
              <w:spacing w:after="0" w:line="240" w:lineRule="auto"/>
              <w:ind w:left="0" w:right="0" w:firstLine="0"/>
              <w:rPr>
                <w:rFonts w:ascii="Times New Roman" w:hAnsi="Times New Roman" w:cs="Times New Roman"/>
                <w:b/>
              </w:rPr>
            </w:pPr>
            <w:r w:rsidRPr="00FF1E38">
              <w:rPr>
                <w:rFonts w:ascii="Times New Roman" w:hAnsi="Times New Roman" w:cs="Times New Roman"/>
                <w:b/>
                <w:noProof/>
                <w:sz w:val="24"/>
              </w:rPr>
              <w:drawing>
                <wp:inline distT="0" distB="0" distL="0" distR="0" wp14:anchorId="5D0E749A" wp14:editId="0E9C20C6">
                  <wp:extent cx="1587740" cy="1477010"/>
                  <wp:effectExtent l="0" t="0" r="0" b="8890"/>
                  <wp:docPr id="48202" name="Picture 48202"/>
                  <wp:cNvGraphicFramePr/>
                  <a:graphic xmlns:a="http://schemas.openxmlformats.org/drawingml/2006/main">
                    <a:graphicData uri="http://schemas.openxmlformats.org/drawingml/2006/picture">
                      <pic:pic xmlns:pic="http://schemas.openxmlformats.org/drawingml/2006/picture">
                        <pic:nvPicPr>
                          <pic:cNvPr id="48202" name="Picture 48202"/>
                          <pic:cNvPicPr/>
                        </pic:nvPicPr>
                        <pic:blipFill>
                          <a:blip r:embed="rId130"/>
                          <a:stretch>
                            <a:fillRect/>
                          </a:stretch>
                        </pic:blipFill>
                        <pic:spPr>
                          <a:xfrm>
                            <a:off x="0" y="0"/>
                            <a:ext cx="1587740" cy="1477010"/>
                          </a:xfrm>
                          <a:prstGeom prst="rect">
                            <a:avLst/>
                          </a:prstGeom>
                        </pic:spPr>
                      </pic:pic>
                    </a:graphicData>
                  </a:graphic>
                </wp:inline>
              </w:drawing>
            </w:r>
          </w:p>
        </w:tc>
      </w:tr>
    </w:tbl>
    <w:p w14:paraId="22E33DE5"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02CA37C9" w14:textId="77777777" w:rsidR="00FF1E38" w:rsidRPr="00FF1E38" w:rsidRDefault="00FF1E38" w:rsidP="00FF1E38">
      <w:pPr>
        <w:spacing w:after="0" w:line="240" w:lineRule="auto"/>
        <w:ind w:left="0" w:right="0" w:firstLine="709"/>
        <w:rPr>
          <w:rFonts w:ascii="Times New Roman" w:hAnsi="Times New Roman" w:cs="Times New Roman"/>
          <w:b/>
          <w:sz w:val="24"/>
        </w:rPr>
      </w:pPr>
      <w:bookmarkStart w:id="83" w:name="_Toc2938600"/>
      <w:r w:rsidRPr="00FF1E38">
        <w:rPr>
          <w:rFonts w:ascii="Times New Roman" w:hAnsi="Times New Roman" w:cs="Times New Roman"/>
          <w:b/>
          <w:sz w:val="24"/>
        </w:rPr>
        <w:t>6.2.7. Karte rizika</w:t>
      </w:r>
      <w:bookmarkEnd w:id="83"/>
    </w:p>
    <w:p w14:paraId="22CAD956"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Najniža teritorijalna jedinica za procjenu rizika na području Grada Zagreba je gradska četvrt. Unutar svake gradske četvrti rizik je procijenjen na osnovi dvaju parametara (kriterija): poplavljena površina gradske četvrti i stupanj ugroženosti stanovništva poplavljivanjem. Svaki parametar (kriterij) ima četiri vrijednosti: nizak rizik (zelena boja), umjeren rizik (žuta boja), visok rizik (narančasta boja) i vrlo visok rizik (crvena boja). Što je veći ukupan rizik, teže su posljedice događaja unutar gradske četvrti. Procjena rizika na razinama gradskih četvrti pomaže da se detektiraju kritične točke u prostoru na koje je u slučaju pojave neželjenog događaja potrebno obratiti posebnu pozornost ili područja na kojima je potrebno planirati dodatne preventivne mjere kako bi se smanjio rizik.</w:t>
      </w:r>
    </w:p>
    <w:p w14:paraId="5B007E60"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Vrijednosti parametara (kriterija) procjenjuju se na sljedeći način:</w:t>
      </w:r>
    </w:p>
    <w:p w14:paraId="3CFD1A51"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poplavljena površina gradske četvrti (crveno - u potpunosti; narančasto - veći dio; žuto - manji dio; zeleno - nije poplavljeno);</w:t>
      </w:r>
    </w:p>
    <w:p w14:paraId="54E76F6A"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stupanj ugroženosti stanovništva poplavljivanjem</w:t>
      </w:r>
      <w:r w:rsidRPr="00FF1E38">
        <w:rPr>
          <w:rFonts w:ascii="Times New Roman" w:eastAsia="Calibri" w:hAnsi="Times New Roman" w:cs="Times New Roman"/>
          <w:sz w:val="24"/>
        </w:rPr>
        <w:t xml:space="preserve"> </w:t>
      </w:r>
      <w:r w:rsidRPr="00FF1E38">
        <w:rPr>
          <w:rFonts w:ascii="Times New Roman" w:hAnsi="Times New Roman" w:cs="Times New Roman"/>
          <w:sz w:val="24"/>
        </w:rPr>
        <w:t>(crveno - stanovništvo prevladavajuće ugroženo rušenjem kuća prizemnica i utapanjem; narančasto - stanovništvo prevladavajuće ugroženo zbog prometne odsječenosti; žuto - stanovništvo prevladavajuće ugroženo zbog prekida rada kritične infrastrukture; zeleno - stanovništvo neznatno ugroženo).</w:t>
      </w:r>
    </w:p>
    <w:p w14:paraId="4DAA151E"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Na području gradskih četvrti Brezovica, Podsljeme i Sesvete ukupan rizik je procijenjen niskim. Gradska četvrt Brezovica nije izravno izložena poplavnom valu, a i kritična infrastruktura je povezana s područjem koje neće biti poplavljeno. U Gradskoj četvrti Sesvete će vrlo mali dio (samo područje Dumovca) gledano na ukupnu površinu Gradske četvrti Sesvete biti izloženo poplavljivanju a to područje neće biti niti prometno odsječeno niti će biti ugrožena kritična infrastruktura jer nije povezana isključivo preko potencijalno poplavljenog područja tako da je sveukupan rizik procijenjen kao vrlo nizak na razini te gradske četvrti.</w:t>
      </w:r>
    </w:p>
    <w:p w14:paraId="10F8F10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U gradskim četvrtima Donji grad i Gornji grad - Medveščak, iako njihova površina nije izložena poplavljivanju, ukupan rizik je procijenjen kao umjeren zbog vjerojatnog otkazivanja kritične infrastrukture (prekid opskrbe električnom energijom, zamućenje vodoopskrbnog sustava i sl.) te prometne izoliranosti područja zbog poplavljenog okolnog područja. Na području Gradske četvrti Trešnjevka - sjever iako nije u potpunosti izloženo poplavljivanju, rizik je procijenjen vrlo visokim zbog znatnog broja prizemnica koje se nalaze na tom području pa zbog poplavnog vala može doći do stradavanja (utapanja) stanovništva, posebno starijih osoba i osoba s invaliditetom. Najvećem, vrlo visokom riziku izložena su područja gradskih četvrti Trnje, Trešnjevka - jug, Trešnjevka - sjever, Novi Zagreb - zapad i Peščenica - Žitnjak. </w:t>
      </w:r>
    </w:p>
    <w:p w14:paraId="39442856" w14:textId="77777777" w:rsidR="00FF1E38" w:rsidRPr="00FF1E38" w:rsidRDefault="00FF1E38" w:rsidP="00FF1E38">
      <w:pPr>
        <w:spacing w:after="0" w:line="240" w:lineRule="auto"/>
        <w:ind w:right="0"/>
        <w:rPr>
          <w:rFonts w:ascii="Times New Roman" w:hAnsi="Times New Roman" w:cs="Times New Roman"/>
          <w:sz w:val="24"/>
        </w:rPr>
      </w:pPr>
    </w:p>
    <w:p w14:paraId="06CC2FF5"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r w:rsidRPr="00FF1E38">
        <w:rPr>
          <w:rFonts w:ascii="Times New Roman" w:hAnsi="Times New Roman" w:cs="Times New Roman"/>
          <w:b/>
          <w:sz w:val="24"/>
        </w:rPr>
        <w:br w:type="page"/>
      </w:r>
    </w:p>
    <w:p w14:paraId="62586CC5" w14:textId="00D556C1" w:rsidR="00FF1E38" w:rsidRPr="00AF414E" w:rsidRDefault="00FF1E38" w:rsidP="00193BC6">
      <w:pPr>
        <w:spacing w:line="240" w:lineRule="auto"/>
        <w:ind w:left="0" w:right="0" w:firstLine="0"/>
        <w:jc w:val="center"/>
        <w:rPr>
          <w:rFonts w:ascii="Times New Roman" w:hAnsi="Times New Roman" w:cs="Times New Roman"/>
          <w:b/>
          <w:color w:val="auto"/>
          <w:sz w:val="24"/>
        </w:rPr>
      </w:pPr>
      <w:r w:rsidRPr="00AF414E">
        <w:rPr>
          <w:rFonts w:ascii="Times New Roman" w:hAnsi="Times New Roman" w:cs="Times New Roman"/>
          <w:b/>
          <w:color w:val="auto"/>
          <w:sz w:val="24"/>
        </w:rPr>
        <w:lastRenderedPageBreak/>
        <w:t xml:space="preserve">Tablica </w:t>
      </w:r>
      <w:r w:rsidR="00AF414E" w:rsidRPr="00AF414E">
        <w:rPr>
          <w:rFonts w:ascii="Times New Roman" w:hAnsi="Times New Roman" w:cs="Times New Roman"/>
          <w:b/>
          <w:color w:val="auto"/>
          <w:sz w:val="24"/>
        </w:rPr>
        <w:t>73</w:t>
      </w:r>
      <w:r w:rsidRPr="00AF414E">
        <w:rPr>
          <w:rFonts w:ascii="Times New Roman" w:hAnsi="Times New Roman" w:cs="Times New Roman"/>
          <w:b/>
          <w:color w:val="auto"/>
          <w:sz w:val="24"/>
        </w:rPr>
        <w:t xml:space="preserve">. Procjena rizika na razini gradskih četvrti </w:t>
      </w:r>
    </w:p>
    <w:tbl>
      <w:tblPr>
        <w:tblStyle w:val="TableGrid"/>
        <w:tblW w:w="9072" w:type="dxa"/>
        <w:tblInd w:w="0" w:type="dxa"/>
        <w:tblLayout w:type="fixed"/>
        <w:tblCellMar>
          <w:left w:w="57" w:type="dxa"/>
          <w:right w:w="59" w:type="dxa"/>
        </w:tblCellMar>
        <w:tblLook w:val="04A0" w:firstRow="1" w:lastRow="0" w:firstColumn="1" w:lastColumn="0" w:noHBand="0" w:noVBand="1"/>
      </w:tblPr>
      <w:tblGrid>
        <w:gridCol w:w="799"/>
        <w:gridCol w:w="3047"/>
        <w:gridCol w:w="1742"/>
        <w:gridCol w:w="1742"/>
        <w:gridCol w:w="1742"/>
      </w:tblGrid>
      <w:tr w:rsidR="00FF1E38" w:rsidRPr="00FF1E38" w14:paraId="55057A61" w14:textId="77777777" w:rsidTr="00193BC6">
        <w:trPr>
          <w:cantSplit/>
          <w:trHeight w:val="680"/>
          <w:tblHeader/>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861A3D4"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R.br.</w:t>
            </w:r>
          </w:p>
        </w:tc>
        <w:tc>
          <w:tcPr>
            <w:tcW w:w="304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34D6E9F0"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Gradska četvrt</w:t>
            </w:r>
          </w:p>
        </w:tc>
        <w:tc>
          <w:tcPr>
            <w:tcW w:w="1742"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33D96192"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Poplavljena površina</w:t>
            </w:r>
          </w:p>
        </w:tc>
        <w:tc>
          <w:tcPr>
            <w:tcW w:w="1742"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3580FF86"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Stupanj ugroženosti stanovništva</w:t>
            </w:r>
          </w:p>
        </w:tc>
        <w:tc>
          <w:tcPr>
            <w:tcW w:w="1742"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30D77738"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UKUPNO</w:t>
            </w:r>
          </w:p>
        </w:tc>
      </w:tr>
      <w:tr w:rsidR="00FF1E38" w:rsidRPr="00FF1E38" w14:paraId="06891050"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4E34CFAD"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w:t>
            </w:r>
          </w:p>
        </w:tc>
        <w:tc>
          <w:tcPr>
            <w:tcW w:w="3047" w:type="dxa"/>
            <w:tcBorders>
              <w:top w:val="single" w:sz="4" w:space="0" w:color="000000"/>
              <w:left w:val="single" w:sz="4" w:space="0" w:color="000000"/>
              <w:bottom w:val="single" w:sz="4" w:space="0" w:color="000000"/>
              <w:right w:val="single" w:sz="4" w:space="0" w:color="000000"/>
            </w:tcBorders>
            <w:vAlign w:val="center"/>
          </w:tcPr>
          <w:p w14:paraId="5B10040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Brezovica</w:t>
            </w:r>
          </w:p>
        </w:tc>
        <w:tc>
          <w:tcPr>
            <w:tcW w:w="174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107754C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4CFB9CF9"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6BC1D804"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5AC701DA"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3436E1B"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2.</w:t>
            </w:r>
          </w:p>
        </w:tc>
        <w:tc>
          <w:tcPr>
            <w:tcW w:w="3047" w:type="dxa"/>
            <w:tcBorders>
              <w:top w:val="single" w:sz="4" w:space="0" w:color="000000"/>
              <w:left w:val="single" w:sz="4" w:space="0" w:color="000000"/>
              <w:bottom w:val="single" w:sz="4" w:space="0" w:color="000000"/>
              <w:right w:val="single" w:sz="4" w:space="0" w:color="000000"/>
            </w:tcBorders>
            <w:vAlign w:val="center"/>
          </w:tcPr>
          <w:p w14:paraId="5CE3DF9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Črnomerec</w:t>
            </w: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D069A20"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71537C6A"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AD8D097"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6CDD2166"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F9EEF99"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3.</w:t>
            </w:r>
          </w:p>
        </w:tc>
        <w:tc>
          <w:tcPr>
            <w:tcW w:w="3047" w:type="dxa"/>
            <w:tcBorders>
              <w:top w:val="single" w:sz="4" w:space="0" w:color="000000"/>
              <w:left w:val="single" w:sz="4" w:space="0" w:color="000000"/>
              <w:bottom w:val="single" w:sz="4" w:space="0" w:color="000000"/>
              <w:right w:val="single" w:sz="4" w:space="0" w:color="000000"/>
            </w:tcBorders>
            <w:vAlign w:val="center"/>
          </w:tcPr>
          <w:p w14:paraId="2F5A8D8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Donja Dubrava</w:t>
            </w: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3FF48927"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33E627B"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B54BCD6"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6947233B"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A574714"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4.</w:t>
            </w:r>
          </w:p>
        </w:tc>
        <w:tc>
          <w:tcPr>
            <w:tcW w:w="3047" w:type="dxa"/>
            <w:tcBorders>
              <w:top w:val="single" w:sz="4" w:space="0" w:color="000000"/>
              <w:left w:val="single" w:sz="4" w:space="0" w:color="000000"/>
              <w:bottom w:val="single" w:sz="4" w:space="0" w:color="000000"/>
              <w:right w:val="single" w:sz="4" w:space="0" w:color="000000"/>
            </w:tcBorders>
            <w:vAlign w:val="center"/>
          </w:tcPr>
          <w:p w14:paraId="014EC26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Donji grad</w:t>
            </w:r>
          </w:p>
        </w:tc>
        <w:tc>
          <w:tcPr>
            <w:tcW w:w="174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4583BD4F"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6A0250C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75E18F66"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5CA463D8"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691F6CEA"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5.</w:t>
            </w:r>
          </w:p>
        </w:tc>
        <w:tc>
          <w:tcPr>
            <w:tcW w:w="3047" w:type="dxa"/>
            <w:tcBorders>
              <w:top w:val="single" w:sz="4" w:space="0" w:color="000000"/>
              <w:left w:val="single" w:sz="4" w:space="0" w:color="000000"/>
              <w:bottom w:val="single" w:sz="4" w:space="0" w:color="000000"/>
              <w:right w:val="single" w:sz="4" w:space="0" w:color="000000"/>
            </w:tcBorders>
            <w:vAlign w:val="center"/>
          </w:tcPr>
          <w:p w14:paraId="75A24F1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Gornja Dubrava</w:t>
            </w: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6EC0BF0E"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736E619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6CA3A2AB"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187A7EEC"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29973AB3"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6.</w:t>
            </w:r>
          </w:p>
        </w:tc>
        <w:tc>
          <w:tcPr>
            <w:tcW w:w="3047" w:type="dxa"/>
            <w:tcBorders>
              <w:top w:val="single" w:sz="4" w:space="0" w:color="000000"/>
              <w:left w:val="single" w:sz="4" w:space="0" w:color="000000"/>
              <w:bottom w:val="single" w:sz="4" w:space="0" w:color="000000"/>
              <w:right w:val="single" w:sz="4" w:space="0" w:color="000000"/>
            </w:tcBorders>
            <w:vAlign w:val="center"/>
          </w:tcPr>
          <w:p w14:paraId="29B3A7B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Gornji grad - Medveščak</w:t>
            </w:r>
          </w:p>
        </w:tc>
        <w:tc>
          <w:tcPr>
            <w:tcW w:w="174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6C35E448"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6A837EF6"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1AA9748"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4A5EDEFE"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2E63EE70"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7.</w:t>
            </w:r>
          </w:p>
        </w:tc>
        <w:tc>
          <w:tcPr>
            <w:tcW w:w="3047" w:type="dxa"/>
            <w:tcBorders>
              <w:top w:val="single" w:sz="4" w:space="0" w:color="000000"/>
              <w:left w:val="single" w:sz="4" w:space="0" w:color="000000"/>
              <w:bottom w:val="single" w:sz="4" w:space="0" w:color="000000"/>
              <w:right w:val="single" w:sz="4" w:space="0" w:color="000000"/>
            </w:tcBorders>
            <w:vAlign w:val="center"/>
          </w:tcPr>
          <w:p w14:paraId="4ABF1C3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Maksimir</w:t>
            </w: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0A99E61"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62DBE8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3F2882C"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7B488881"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349D9C67"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8.</w:t>
            </w:r>
          </w:p>
        </w:tc>
        <w:tc>
          <w:tcPr>
            <w:tcW w:w="3047" w:type="dxa"/>
            <w:tcBorders>
              <w:top w:val="single" w:sz="4" w:space="0" w:color="000000"/>
              <w:left w:val="single" w:sz="4" w:space="0" w:color="000000"/>
              <w:bottom w:val="single" w:sz="4" w:space="0" w:color="000000"/>
              <w:right w:val="single" w:sz="4" w:space="0" w:color="000000"/>
            </w:tcBorders>
            <w:vAlign w:val="center"/>
          </w:tcPr>
          <w:p w14:paraId="1D85E50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Novi Zagreb - istok</w:t>
            </w: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4AEF2B7"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6A2156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31C99E5"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25EE5CDC"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28A9C46A"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9.</w:t>
            </w:r>
          </w:p>
        </w:tc>
        <w:tc>
          <w:tcPr>
            <w:tcW w:w="3047" w:type="dxa"/>
            <w:tcBorders>
              <w:top w:val="single" w:sz="4" w:space="0" w:color="000000"/>
              <w:left w:val="single" w:sz="4" w:space="0" w:color="000000"/>
              <w:bottom w:val="single" w:sz="4" w:space="0" w:color="000000"/>
              <w:right w:val="single" w:sz="4" w:space="0" w:color="000000"/>
            </w:tcBorders>
            <w:vAlign w:val="center"/>
          </w:tcPr>
          <w:p w14:paraId="13E0D12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Novi Zagreb - zapad</w:t>
            </w:r>
          </w:p>
        </w:tc>
        <w:tc>
          <w:tcPr>
            <w:tcW w:w="174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32C58DCE"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5FDDE53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5EB020FC"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2871B7F0"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446D1A52"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10.</w:t>
            </w:r>
          </w:p>
        </w:tc>
        <w:tc>
          <w:tcPr>
            <w:tcW w:w="3047" w:type="dxa"/>
            <w:tcBorders>
              <w:top w:val="single" w:sz="4" w:space="0" w:color="000000"/>
              <w:left w:val="single" w:sz="4" w:space="0" w:color="000000"/>
              <w:bottom w:val="single" w:sz="4" w:space="0" w:color="000000"/>
              <w:right w:val="single" w:sz="4" w:space="0" w:color="000000"/>
            </w:tcBorders>
            <w:vAlign w:val="center"/>
          </w:tcPr>
          <w:p w14:paraId="289790A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Peščenica - Žitnjak</w:t>
            </w:r>
          </w:p>
        </w:tc>
        <w:tc>
          <w:tcPr>
            <w:tcW w:w="174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59965BB2"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7848987F"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140F425D"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2F5C0AC7"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2DAA36F9"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11.</w:t>
            </w:r>
          </w:p>
        </w:tc>
        <w:tc>
          <w:tcPr>
            <w:tcW w:w="3047" w:type="dxa"/>
            <w:tcBorders>
              <w:top w:val="single" w:sz="4" w:space="0" w:color="000000"/>
              <w:left w:val="single" w:sz="4" w:space="0" w:color="000000"/>
              <w:bottom w:val="single" w:sz="4" w:space="0" w:color="000000"/>
              <w:right w:val="single" w:sz="4" w:space="0" w:color="000000"/>
            </w:tcBorders>
            <w:vAlign w:val="center"/>
          </w:tcPr>
          <w:p w14:paraId="760BBE8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Podsljeme</w:t>
            </w:r>
          </w:p>
        </w:tc>
        <w:tc>
          <w:tcPr>
            <w:tcW w:w="174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3B9A2E18"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24E726C3"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52C6CAB9"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52F1B369"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9163986"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12.</w:t>
            </w:r>
          </w:p>
        </w:tc>
        <w:tc>
          <w:tcPr>
            <w:tcW w:w="3047" w:type="dxa"/>
            <w:tcBorders>
              <w:top w:val="single" w:sz="4" w:space="0" w:color="000000"/>
              <w:left w:val="single" w:sz="4" w:space="0" w:color="000000"/>
              <w:bottom w:val="single" w:sz="4" w:space="0" w:color="000000"/>
              <w:right w:val="single" w:sz="4" w:space="0" w:color="000000"/>
            </w:tcBorders>
            <w:vAlign w:val="center"/>
          </w:tcPr>
          <w:p w14:paraId="64A9C39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Podsused - Vrapče</w:t>
            </w: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FC13FB6"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13B60A61"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9B8D5DF"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041B367F"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D7CB676"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13.</w:t>
            </w:r>
          </w:p>
        </w:tc>
        <w:tc>
          <w:tcPr>
            <w:tcW w:w="3047" w:type="dxa"/>
            <w:tcBorders>
              <w:top w:val="single" w:sz="4" w:space="0" w:color="000000"/>
              <w:left w:val="single" w:sz="4" w:space="0" w:color="000000"/>
              <w:bottom w:val="single" w:sz="4" w:space="0" w:color="000000"/>
              <w:right w:val="single" w:sz="4" w:space="0" w:color="000000"/>
            </w:tcBorders>
            <w:vAlign w:val="center"/>
          </w:tcPr>
          <w:p w14:paraId="5470953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Sesvete</w:t>
            </w: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7E1A7D8E"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594FB176"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6157E5E4"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1DD177A5"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2306515F"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14.</w:t>
            </w:r>
          </w:p>
        </w:tc>
        <w:tc>
          <w:tcPr>
            <w:tcW w:w="3047" w:type="dxa"/>
            <w:tcBorders>
              <w:top w:val="single" w:sz="4" w:space="0" w:color="000000"/>
              <w:left w:val="single" w:sz="4" w:space="0" w:color="000000"/>
              <w:bottom w:val="single" w:sz="4" w:space="0" w:color="000000"/>
              <w:right w:val="single" w:sz="4" w:space="0" w:color="000000"/>
            </w:tcBorders>
            <w:vAlign w:val="center"/>
          </w:tcPr>
          <w:p w14:paraId="446C7BE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Stenjevec</w:t>
            </w: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0DB522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8EC2D5D"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7951849"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18684426"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07E7C797"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15.</w:t>
            </w:r>
          </w:p>
        </w:tc>
        <w:tc>
          <w:tcPr>
            <w:tcW w:w="3047" w:type="dxa"/>
            <w:tcBorders>
              <w:top w:val="single" w:sz="4" w:space="0" w:color="000000"/>
              <w:left w:val="single" w:sz="4" w:space="0" w:color="000000"/>
              <w:bottom w:val="single" w:sz="4" w:space="0" w:color="000000"/>
              <w:right w:val="single" w:sz="4" w:space="0" w:color="000000"/>
            </w:tcBorders>
            <w:vAlign w:val="center"/>
          </w:tcPr>
          <w:p w14:paraId="61E0ACB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Trešnjevka - jug</w:t>
            </w:r>
          </w:p>
        </w:tc>
        <w:tc>
          <w:tcPr>
            <w:tcW w:w="174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034FDA68"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297A720B"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5975D48E"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1C904F6C"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30B233E"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16.</w:t>
            </w:r>
          </w:p>
        </w:tc>
        <w:tc>
          <w:tcPr>
            <w:tcW w:w="3047" w:type="dxa"/>
            <w:tcBorders>
              <w:top w:val="single" w:sz="4" w:space="0" w:color="000000"/>
              <w:left w:val="single" w:sz="4" w:space="0" w:color="000000"/>
              <w:bottom w:val="single" w:sz="4" w:space="0" w:color="000000"/>
              <w:right w:val="single" w:sz="4" w:space="0" w:color="000000"/>
            </w:tcBorders>
            <w:vAlign w:val="center"/>
          </w:tcPr>
          <w:p w14:paraId="0D53FFA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Trešnjevka - sjever</w:t>
            </w: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A8291F0"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2E2584D9"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70663872"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68699E80"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6743AC30"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17.</w:t>
            </w:r>
          </w:p>
        </w:tc>
        <w:tc>
          <w:tcPr>
            <w:tcW w:w="3047" w:type="dxa"/>
            <w:tcBorders>
              <w:top w:val="single" w:sz="4" w:space="0" w:color="000000"/>
              <w:left w:val="single" w:sz="4" w:space="0" w:color="000000"/>
              <w:bottom w:val="single" w:sz="4" w:space="0" w:color="000000"/>
              <w:right w:val="single" w:sz="4" w:space="0" w:color="000000"/>
            </w:tcBorders>
            <w:vAlign w:val="center"/>
          </w:tcPr>
          <w:p w14:paraId="2A3191F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Trnje</w:t>
            </w:r>
          </w:p>
        </w:tc>
        <w:tc>
          <w:tcPr>
            <w:tcW w:w="174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4ABA8DF9"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71E554FB"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05FA24FD" w14:textId="77777777" w:rsidR="00FF1E38" w:rsidRPr="00FF1E38" w:rsidRDefault="00FF1E38" w:rsidP="00FF1E38">
            <w:pPr>
              <w:spacing w:after="0" w:line="240" w:lineRule="auto"/>
              <w:ind w:left="0" w:right="0" w:firstLine="0"/>
              <w:jc w:val="center"/>
              <w:rPr>
                <w:rFonts w:ascii="Times New Roman" w:hAnsi="Times New Roman" w:cs="Times New Roman"/>
              </w:rPr>
            </w:pPr>
          </w:p>
        </w:tc>
      </w:tr>
    </w:tbl>
    <w:p w14:paraId="36F2953A" w14:textId="34C7A0A9" w:rsidR="00FF1E38" w:rsidRDefault="00FF1E38" w:rsidP="00FF1E38">
      <w:pPr>
        <w:spacing w:after="0" w:line="240" w:lineRule="auto"/>
        <w:ind w:left="0" w:right="0" w:firstLine="0"/>
        <w:jc w:val="left"/>
        <w:rPr>
          <w:rFonts w:ascii="Times New Roman" w:hAnsi="Times New Roman" w:cs="Times New Roman"/>
          <w:sz w:val="24"/>
        </w:rPr>
      </w:pPr>
    </w:p>
    <w:p w14:paraId="696B3E8C" w14:textId="524B61D1" w:rsidR="00D2785F" w:rsidRDefault="00D2785F" w:rsidP="00FF1E38">
      <w:pPr>
        <w:spacing w:after="0" w:line="240" w:lineRule="auto"/>
        <w:ind w:left="0" w:right="0" w:firstLine="0"/>
        <w:jc w:val="left"/>
        <w:rPr>
          <w:rFonts w:ascii="Times New Roman" w:hAnsi="Times New Roman" w:cs="Times New Roman"/>
          <w:sz w:val="24"/>
        </w:rPr>
      </w:pPr>
    </w:p>
    <w:p w14:paraId="30F46A6A" w14:textId="2BA33608" w:rsidR="00D2785F" w:rsidRDefault="00D2785F" w:rsidP="00FF1E38">
      <w:pPr>
        <w:spacing w:after="0" w:line="240" w:lineRule="auto"/>
        <w:ind w:left="0" w:right="0" w:firstLine="0"/>
        <w:jc w:val="left"/>
        <w:rPr>
          <w:rFonts w:ascii="Times New Roman" w:hAnsi="Times New Roman" w:cs="Times New Roman"/>
          <w:sz w:val="24"/>
        </w:rPr>
      </w:pPr>
    </w:p>
    <w:p w14:paraId="2F5C9C5C" w14:textId="0EE74BE4" w:rsidR="00D2785F" w:rsidRDefault="00D2785F" w:rsidP="00FF1E38">
      <w:pPr>
        <w:spacing w:after="0" w:line="240" w:lineRule="auto"/>
        <w:ind w:left="0" w:right="0" w:firstLine="0"/>
        <w:jc w:val="left"/>
        <w:rPr>
          <w:rFonts w:ascii="Times New Roman" w:hAnsi="Times New Roman" w:cs="Times New Roman"/>
          <w:sz w:val="24"/>
        </w:rPr>
      </w:pPr>
    </w:p>
    <w:p w14:paraId="5A5734D4" w14:textId="5E92A266" w:rsidR="00D2785F" w:rsidRDefault="00D2785F" w:rsidP="00FF1E38">
      <w:pPr>
        <w:spacing w:after="0" w:line="240" w:lineRule="auto"/>
        <w:ind w:left="0" w:right="0" w:firstLine="0"/>
        <w:jc w:val="left"/>
        <w:rPr>
          <w:rFonts w:ascii="Times New Roman" w:hAnsi="Times New Roman" w:cs="Times New Roman"/>
          <w:sz w:val="24"/>
        </w:rPr>
      </w:pPr>
    </w:p>
    <w:p w14:paraId="3A6D06C9" w14:textId="03AA1DCC" w:rsidR="00D2785F" w:rsidRDefault="00D2785F" w:rsidP="00FF1E38">
      <w:pPr>
        <w:spacing w:after="0" w:line="240" w:lineRule="auto"/>
        <w:ind w:left="0" w:right="0" w:firstLine="0"/>
        <w:jc w:val="left"/>
        <w:rPr>
          <w:rFonts w:ascii="Times New Roman" w:hAnsi="Times New Roman" w:cs="Times New Roman"/>
          <w:sz w:val="24"/>
        </w:rPr>
      </w:pPr>
    </w:p>
    <w:p w14:paraId="3045C73E" w14:textId="77777777" w:rsidR="00D2785F" w:rsidRPr="00FF1E38" w:rsidRDefault="00D2785F" w:rsidP="00FF1E38">
      <w:pPr>
        <w:spacing w:after="0" w:line="240" w:lineRule="auto"/>
        <w:ind w:left="0" w:right="0" w:firstLine="0"/>
        <w:jc w:val="left"/>
        <w:rPr>
          <w:rFonts w:ascii="Times New Roman" w:hAnsi="Times New Roman" w:cs="Times New Roman"/>
          <w:sz w:val="24"/>
        </w:rPr>
      </w:pPr>
    </w:p>
    <w:p w14:paraId="1353AE29" w14:textId="77777777" w:rsidR="00FF1E38" w:rsidRPr="00FF1E38" w:rsidRDefault="00FF1E38" w:rsidP="00FF1E38">
      <w:pPr>
        <w:spacing w:after="0" w:line="240" w:lineRule="auto"/>
        <w:ind w:left="0" w:right="0" w:firstLine="0"/>
        <w:jc w:val="center"/>
        <w:rPr>
          <w:rFonts w:ascii="Times New Roman" w:hAnsi="Times New Roman" w:cs="Times New Roman"/>
          <w:b/>
          <w:sz w:val="24"/>
        </w:rPr>
      </w:pPr>
      <w:r w:rsidRPr="00FF1E38">
        <w:rPr>
          <w:rFonts w:ascii="Times New Roman" w:hAnsi="Times New Roman" w:cs="Times New Roman"/>
          <w:noProof/>
          <w:sz w:val="24"/>
        </w:rPr>
        <w:drawing>
          <wp:inline distT="0" distB="0" distL="0" distR="0" wp14:anchorId="16A203D4" wp14:editId="6079A2D2">
            <wp:extent cx="5615940" cy="5858510"/>
            <wp:effectExtent l="0" t="0" r="0" b="0"/>
            <wp:docPr id="49004" name="Picture 49004"/>
            <wp:cNvGraphicFramePr/>
            <a:graphic xmlns:a="http://schemas.openxmlformats.org/drawingml/2006/main">
              <a:graphicData uri="http://schemas.openxmlformats.org/drawingml/2006/picture">
                <pic:pic xmlns:pic="http://schemas.openxmlformats.org/drawingml/2006/picture">
                  <pic:nvPicPr>
                    <pic:cNvPr id="49004" name="Picture 49004"/>
                    <pic:cNvPicPr/>
                  </pic:nvPicPr>
                  <pic:blipFill>
                    <a:blip r:embed="rId131"/>
                    <a:stretch>
                      <a:fillRect/>
                    </a:stretch>
                  </pic:blipFill>
                  <pic:spPr>
                    <a:xfrm>
                      <a:off x="0" y="0"/>
                      <a:ext cx="5615940" cy="5858510"/>
                    </a:xfrm>
                    <a:prstGeom prst="rect">
                      <a:avLst/>
                    </a:prstGeom>
                  </pic:spPr>
                </pic:pic>
              </a:graphicData>
            </a:graphic>
          </wp:inline>
        </w:drawing>
      </w:r>
    </w:p>
    <w:p w14:paraId="0C4D1771" w14:textId="77777777" w:rsidR="00FF1E38" w:rsidRPr="00FF1E38" w:rsidRDefault="00FF1E38" w:rsidP="00FF1E38">
      <w:pPr>
        <w:spacing w:after="0" w:line="240" w:lineRule="auto"/>
        <w:ind w:right="0"/>
        <w:rPr>
          <w:rFonts w:ascii="Times New Roman" w:hAnsi="Times New Roman" w:cs="Times New Roman"/>
          <w:sz w:val="24"/>
        </w:rPr>
      </w:pPr>
    </w:p>
    <w:p w14:paraId="0488F48A" w14:textId="77777777" w:rsidR="00FF1E38" w:rsidRPr="00FF1E38" w:rsidRDefault="00FF1E38" w:rsidP="00FF1E38"/>
    <w:p w14:paraId="725BFA90" w14:textId="7C2EF497" w:rsidR="00FF1E38" w:rsidRDefault="00FF1E38" w:rsidP="009768D5">
      <w:pPr>
        <w:spacing w:after="0" w:line="240" w:lineRule="auto"/>
        <w:ind w:left="0" w:right="0" w:firstLine="709"/>
        <w:rPr>
          <w:rFonts w:ascii="Times New Roman" w:hAnsi="Times New Roman" w:cs="Times New Roman"/>
          <w:sz w:val="24"/>
        </w:rPr>
      </w:pPr>
    </w:p>
    <w:p w14:paraId="306A4D60" w14:textId="792733EA" w:rsidR="00FF1E38" w:rsidRPr="00FF1E38" w:rsidRDefault="00FF1E38" w:rsidP="00FF1E38">
      <w:pPr>
        <w:rPr>
          <w:rFonts w:ascii="Times New Roman" w:hAnsi="Times New Roman" w:cs="Times New Roman"/>
          <w:sz w:val="24"/>
        </w:rPr>
      </w:pPr>
    </w:p>
    <w:p w14:paraId="6FFF8241" w14:textId="3834E755" w:rsidR="00FF1E38" w:rsidRPr="00FF1E38" w:rsidRDefault="00FF1E38" w:rsidP="00FF1E38">
      <w:pPr>
        <w:rPr>
          <w:rFonts w:ascii="Times New Roman" w:hAnsi="Times New Roman" w:cs="Times New Roman"/>
          <w:sz w:val="24"/>
        </w:rPr>
      </w:pPr>
    </w:p>
    <w:p w14:paraId="609B7B1F" w14:textId="47CF4CE5" w:rsidR="00FF1E38" w:rsidRPr="00FF1E38" w:rsidRDefault="00FF1E38" w:rsidP="00FF1E38">
      <w:pPr>
        <w:rPr>
          <w:rFonts w:ascii="Times New Roman" w:hAnsi="Times New Roman" w:cs="Times New Roman"/>
          <w:sz w:val="24"/>
        </w:rPr>
      </w:pPr>
    </w:p>
    <w:p w14:paraId="29DE25A0" w14:textId="4A562844" w:rsidR="00FF1E38" w:rsidRDefault="00FF1E38" w:rsidP="00FF1E38">
      <w:pPr>
        <w:rPr>
          <w:rFonts w:ascii="Times New Roman" w:hAnsi="Times New Roman" w:cs="Times New Roman"/>
          <w:sz w:val="24"/>
        </w:rPr>
      </w:pPr>
    </w:p>
    <w:p w14:paraId="6653A66F" w14:textId="3224DDDF" w:rsidR="00FF1E38" w:rsidRDefault="00FF1E38">
      <w:pPr>
        <w:spacing w:after="160" w:line="259" w:lineRule="auto"/>
        <w:ind w:left="0" w:right="0" w:firstLine="0"/>
        <w:jc w:val="left"/>
        <w:rPr>
          <w:rFonts w:ascii="Times New Roman" w:hAnsi="Times New Roman" w:cs="Times New Roman"/>
          <w:sz w:val="24"/>
        </w:rPr>
      </w:pPr>
      <w:r>
        <w:rPr>
          <w:rFonts w:ascii="Times New Roman" w:hAnsi="Times New Roman" w:cs="Times New Roman"/>
          <w:sz w:val="24"/>
        </w:rPr>
        <w:br w:type="page"/>
      </w:r>
    </w:p>
    <w:p w14:paraId="148C4783" w14:textId="77777777" w:rsidR="00FF1E38" w:rsidRPr="00FF1E38" w:rsidRDefault="00FF1E38" w:rsidP="00097718">
      <w:pPr>
        <w:spacing w:after="0" w:line="240" w:lineRule="auto"/>
        <w:ind w:left="0" w:right="0" w:firstLine="709"/>
        <w:jc w:val="left"/>
        <w:rPr>
          <w:rFonts w:ascii="Times New Roman" w:eastAsia="Calibri" w:hAnsi="Times New Roman" w:cs="Times New Roman"/>
          <w:b/>
          <w:color w:val="auto"/>
          <w:sz w:val="24"/>
          <w:lang w:eastAsia="en-US"/>
        </w:rPr>
      </w:pPr>
      <w:r w:rsidRPr="00FF1E38">
        <w:rPr>
          <w:rFonts w:ascii="Times New Roman" w:eastAsia="Calibri" w:hAnsi="Times New Roman" w:cs="Times New Roman"/>
          <w:b/>
          <w:color w:val="auto"/>
          <w:sz w:val="24"/>
          <w:lang w:eastAsia="en-US"/>
        </w:rPr>
        <w:lastRenderedPageBreak/>
        <w:t>6.3. Industrijske nesreće - opis scenarija</w:t>
      </w:r>
    </w:p>
    <w:p w14:paraId="64A0386A" w14:textId="77777777" w:rsidR="00FF1E38" w:rsidRPr="00FF1E38" w:rsidRDefault="00FF1E38" w:rsidP="00FF1E38">
      <w:pPr>
        <w:spacing w:after="0" w:line="240" w:lineRule="auto"/>
        <w:ind w:left="0" w:right="0" w:firstLine="0"/>
        <w:jc w:val="left"/>
        <w:rPr>
          <w:rFonts w:ascii="Times New Roman" w:eastAsia="Calibri" w:hAnsi="Times New Roman" w:cs="Times New Roman"/>
          <w:color w:val="auto"/>
          <w:sz w:val="24"/>
          <w:lang w:eastAsia="en-US"/>
        </w:rPr>
      </w:pPr>
    </w:p>
    <w:p w14:paraId="71A133D0" w14:textId="0DF10CB7" w:rsidR="00FF1E38" w:rsidRPr="00FF1E38" w:rsidRDefault="002B4402" w:rsidP="002B4402">
      <w:pPr>
        <w:spacing w:after="0" w:line="240" w:lineRule="auto"/>
        <w:ind w:left="0" w:right="0" w:firstLine="0"/>
        <w:jc w:val="left"/>
        <w:rPr>
          <w:rFonts w:ascii="Times New Roman" w:eastAsia="Calibri" w:hAnsi="Times New Roman" w:cs="Times New Roman"/>
          <w:b/>
          <w:color w:val="auto"/>
          <w:sz w:val="24"/>
          <w:lang w:eastAsia="en-US"/>
        </w:rPr>
      </w:pPr>
      <w:bookmarkStart w:id="84" w:name="_Toc2938602"/>
      <w:r>
        <w:rPr>
          <w:rFonts w:ascii="Times New Roman" w:eastAsia="Calibri" w:hAnsi="Times New Roman" w:cs="Times New Roman"/>
          <w:b/>
          <w:color w:val="auto"/>
          <w:sz w:val="24"/>
          <w:lang w:eastAsia="en-US"/>
        </w:rPr>
        <w:t xml:space="preserve">            </w:t>
      </w:r>
      <w:r w:rsidR="00FF1E38" w:rsidRPr="00FF1E38">
        <w:rPr>
          <w:rFonts w:ascii="Times New Roman" w:eastAsia="Calibri" w:hAnsi="Times New Roman" w:cs="Times New Roman"/>
          <w:b/>
          <w:color w:val="auto"/>
          <w:sz w:val="24"/>
          <w:lang w:eastAsia="en-US"/>
        </w:rPr>
        <w:t xml:space="preserve">6.3.1. </w:t>
      </w:r>
      <w:bookmarkEnd w:id="84"/>
      <w:r w:rsidRPr="002B4402">
        <w:rPr>
          <w:rFonts w:ascii="Times New Roman" w:eastAsia="Calibri" w:hAnsi="Times New Roman" w:cs="Times New Roman"/>
          <w:b/>
          <w:color w:val="auto"/>
          <w:sz w:val="24"/>
          <w:lang w:eastAsia="en-US"/>
        </w:rPr>
        <w:t>Naziv scenarija, rizik</w:t>
      </w:r>
      <w:r w:rsidR="00FF1E38" w:rsidRPr="00FF1E38">
        <w:rPr>
          <w:rFonts w:ascii="Times New Roman" w:eastAsia="Calibri" w:hAnsi="Times New Roman" w:cs="Times New Roman"/>
          <w:b/>
          <w:color w:val="auto"/>
          <w:sz w:val="24"/>
          <w:lang w:eastAsia="en-US"/>
        </w:rPr>
        <w:t xml:space="preserve"> </w:t>
      </w:r>
    </w:p>
    <w:p w14:paraId="504DB5B0" w14:textId="77777777" w:rsidR="00FF1E38" w:rsidRPr="00FF1E38" w:rsidRDefault="00FF1E38" w:rsidP="00FF1E38">
      <w:pPr>
        <w:spacing w:after="0" w:line="240" w:lineRule="auto"/>
        <w:ind w:left="0" w:right="0" w:firstLine="0"/>
        <w:jc w:val="left"/>
        <w:rPr>
          <w:rFonts w:ascii="Times New Roman" w:eastAsia="Calibri" w:hAnsi="Times New Roman" w:cs="Times New Roman"/>
          <w:color w:val="auto"/>
          <w:sz w:val="24"/>
          <w:lang w:eastAsia="en-US"/>
        </w:rPr>
      </w:pPr>
    </w:p>
    <w:tbl>
      <w:tblPr>
        <w:tblStyle w:val="TableGrid"/>
        <w:tblW w:w="9072" w:type="dxa"/>
        <w:tblInd w:w="0" w:type="dxa"/>
        <w:tblLayout w:type="fixed"/>
        <w:tblCellMar>
          <w:left w:w="57" w:type="dxa"/>
          <w:right w:w="52" w:type="dxa"/>
        </w:tblCellMar>
        <w:tblLook w:val="04A0" w:firstRow="1" w:lastRow="0" w:firstColumn="1" w:lastColumn="0" w:noHBand="0" w:noVBand="1"/>
      </w:tblPr>
      <w:tblGrid>
        <w:gridCol w:w="9072"/>
      </w:tblGrid>
      <w:tr w:rsidR="00FF1E38" w:rsidRPr="00FF1E38" w14:paraId="40CC7E3E" w14:textId="77777777" w:rsidTr="00DE0C9A">
        <w:trPr>
          <w:cantSplit/>
        </w:trPr>
        <w:tc>
          <w:tcPr>
            <w:tcW w:w="9059" w:type="dxa"/>
            <w:tcBorders>
              <w:top w:val="single" w:sz="4" w:space="0" w:color="54883D"/>
              <w:left w:val="single" w:sz="4" w:space="0" w:color="54883D"/>
              <w:bottom w:val="single" w:sz="4" w:space="0" w:color="54883D"/>
              <w:right w:val="single" w:sz="4" w:space="0" w:color="54883D"/>
            </w:tcBorders>
            <w:shd w:val="clear" w:color="auto" w:fill="FFC000"/>
          </w:tcPr>
          <w:p w14:paraId="503FF5FB"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color w:val="auto"/>
                <w:sz w:val="24"/>
              </w:rPr>
            </w:pPr>
            <w:r w:rsidRPr="00FF1E38">
              <w:rPr>
                <w:rFonts w:ascii="Times New Roman" w:eastAsia="Times New Roman" w:hAnsi="Times New Roman" w:cs="Times New Roman"/>
                <w:b/>
                <w:color w:val="auto"/>
                <w:sz w:val="24"/>
              </w:rPr>
              <w:t xml:space="preserve">Naziv scenarija </w:t>
            </w:r>
          </w:p>
        </w:tc>
      </w:tr>
      <w:tr w:rsidR="00FF1E38" w:rsidRPr="00FF1E38" w14:paraId="16498C83" w14:textId="77777777" w:rsidTr="00DE0C9A">
        <w:trPr>
          <w:cantSplit/>
        </w:trPr>
        <w:tc>
          <w:tcPr>
            <w:tcW w:w="9059" w:type="dxa"/>
            <w:tcBorders>
              <w:top w:val="single" w:sz="4" w:space="0" w:color="54883D"/>
              <w:left w:val="single" w:sz="4" w:space="0" w:color="54883D"/>
              <w:bottom w:val="single" w:sz="4" w:space="0" w:color="54883D"/>
              <w:right w:val="single" w:sz="4" w:space="0" w:color="54883D"/>
            </w:tcBorders>
          </w:tcPr>
          <w:p w14:paraId="0013E51F"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color w:val="auto"/>
                <w:sz w:val="24"/>
              </w:rPr>
            </w:pPr>
            <w:r w:rsidRPr="00FF1E38">
              <w:rPr>
                <w:rFonts w:ascii="Times New Roman" w:eastAsia="Times New Roman" w:hAnsi="Times New Roman" w:cs="Times New Roman"/>
                <w:color w:val="auto"/>
                <w:sz w:val="24"/>
              </w:rPr>
              <w:t xml:space="preserve">Pojava domino-efekta na području industrijske zone Žitnjak izazvana eksplozijom ukapljenog naftnog plina </w:t>
            </w:r>
          </w:p>
        </w:tc>
      </w:tr>
      <w:tr w:rsidR="00FF1E38" w:rsidRPr="00FF1E38" w14:paraId="057296E2" w14:textId="77777777" w:rsidTr="00DE0C9A">
        <w:trPr>
          <w:cantSplit/>
        </w:trPr>
        <w:tc>
          <w:tcPr>
            <w:tcW w:w="9059" w:type="dxa"/>
            <w:tcBorders>
              <w:top w:val="single" w:sz="4" w:space="0" w:color="54883D"/>
              <w:left w:val="single" w:sz="4" w:space="0" w:color="54883D"/>
              <w:bottom w:val="single" w:sz="4" w:space="0" w:color="54883D"/>
              <w:right w:val="single" w:sz="4" w:space="0" w:color="54883D"/>
            </w:tcBorders>
            <w:shd w:val="clear" w:color="auto" w:fill="FFC000"/>
          </w:tcPr>
          <w:p w14:paraId="1EA0448D"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color w:val="auto"/>
                <w:sz w:val="24"/>
              </w:rPr>
            </w:pPr>
            <w:r w:rsidRPr="00FF1E38">
              <w:rPr>
                <w:rFonts w:ascii="Times New Roman" w:eastAsia="Times New Roman" w:hAnsi="Times New Roman" w:cs="Times New Roman"/>
                <w:b/>
                <w:color w:val="auto"/>
                <w:sz w:val="24"/>
              </w:rPr>
              <w:t xml:space="preserve">Grupa rizika </w:t>
            </w:r>
          </w:p>
        </w:tc>
      </w:tr>
      <w:tr w:rsidR="00FF1E38" w:rsidRPr="00FF1E38" w14:paraId="2DC81842" w14:textId="77777777" w:rsidTr="00DE0C9A">
        <w:trPr>
          <w:cantSplit/>
        </w:trPr>
        <w:tc>
          <w:tcPr>
            <w:tcW w:w="9059" w:type="dxa"/>
            <w:tcBorders>
              <w:top w:val="single" w:sz="4" w:space="0" w:color="54883D"/>
              <w:left w:val="single" w:sz="4" w:space="0" w:color="54883D"/>
              <w:bottom w:val="single" w:sz="4" w:space="0" w:color="54883D"/>
              <w:right w:val="single" w:sz="4" w:space="0" w:color="54883D"/>
            </w:tcBorders>
          </w:tcPr>
          <w:p w14:paraId="18130C35"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color w:val="auto"/>
                <w:sz w:val="24"/>
              </w:rPr>
            </w:pPr>
            <w:r w:rsidRPr="00FF1E38">
              <w:rPr>
                <w:rFonts w:ascii="Times New Roman" w:eastAsia="Times New Roman" w:hAnsi="Times New Roman" w:cs="Times New Roman"/>
                <w:color w:val="auto"/>
                <w:sz w:val="24"/>
              </w:rPr>
              <w:t xml:space="preserve">Tehničko-tehnološke nesreće s opasnim tvarima </w:t>
            </w:r>
          </w:p>
        </w:tc>
      </w:tr>
      <w:tr w:rsidR="00FF1E38" w:rsidRPr="00FF1E38" w14:paraId="654A105D" w14:textId="77777777" w:rsidTr="00DE0C9A">
        <w:trPr>
          <w:cantSplit/>
        </w:trPr>
        <w:tc>
          <w:tcPr>
            <w:tcW w:w="9059" w:type="dxa"/>
            <w:tcBorders>
              <w:top w:val="single" w:sz="4" w:space="0" w:color="54883D"/>
              <w:left w:val="single" w:sz="4" w:space="0" w:color="54883D"/>
              <w:bottom w:val="single" w:sz="4" w:space="0" w:color="54883D"/>
              <w:right w:val="single" w:sz="4" w:space="0" w:color="54883D"/>
            </w:tcBorders>
            <w:shd w:val="clear" w:color="auto" w:fill="FFC000"/>
          </w:tcPr>
          <w:p w14:paraId="70576EFF"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color w:val="auto"/>
                <w:sz w:val="24"/>
              </w:rPr>
            </w:pPr>
            <w:r w:rsidRPr="00FF1E38">
              <w:rPr>
                <w:rFonts w:ascii="Times New Roman" w:eastAsia="Times New Roman" w:hAnsi="Times New Roman" w:cs="Times New Roman"/>
                <w:b/>
                <w:color w:val="auto"/>
                <w:sz w:val="24"/>
              </w:rPr>
              <w:t xml:space="preserve">Rizik </w:t>
            </w:r>
          </w:p>
        </w:tc>
      </w:tr>
      <w:tr w:rsidR="00FF1E38" w:rsidRPr="00FF1E38" w14:paraId="17132E1B" w14:textId="77777777" w:rsidTr="00DE0C9A">
        <w:trPr>
          <w:cantSplit/>
        </w:trPr>
        <w:tc>
          <w:tcPr>
            <w:tcW w:w="9059" w:type="dxa"/>
            <w:tcBorders>
              <w:top w:val="single" w:sz="4" w:space="0" w:color="54883D"/>
              <w:left w:val="single" w:sz="4" w:space="0" w:color="54883D"/>
              <w:bottom w:val="single" w:sz="4" w:space="0" w:color="54883D"/>
              <w:right w:val="single" w:sz="4" w:space="0" w:color="54883D"/>
            </w:tcBorders>
          </w:tcPr>
          <w:p w14:paraId="6562B6FE"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color w:val="auto"/>
                <w:sz w:val="24"/>
              </w:rPr>
            </w:pPr>
            <w:r w:rsidRPr="00FF1E38">
              <w:rPr>
                <w:rFonts w:ascii="Times New Roman" w:eastAsia="Times New Roman" w:hAnsi="Times New Roman" w:cs="Times New Roman"/>
                <w:color w:val="auto"/>
                <w:sz w:val="24"/>
              </w:rPr>
              <w:t xml:space="preserve">Industrijske nesreće </w:t>
            </w:r>
          </w:p>
        </w:tc>
      </w:tr>
      <w:tr w:rsidR="00FF1E38" w:rsidRPr="00FF1E38" w14:paraId="04DA0B37" w14:textId="77777777" w:rsidTr="00DE0C9A">
        <w:trPr>
          <w:cantSplit/>
        </w:trPr>
        <w:tc>
          <w:tcPr>
            <w:tcW w:w="9059" w:type="dxa"/>
            <w:tcBorders>
              <w:top w:val="single" w:sz="4" w:space="0" w:color="54883D"/>
              <w:left w:val="single" w:sz="4" w:space="0" w:color="54883D"/>
              <w:bottom w:val="single" w:sz="4" w:space="0" w:color="54883D"/>
              <w:right w:val="single" w:sz="4" w:space="0" w:color="54883D"/>
            </w:tcBorders>
            <w:shd w:val="clear" w:color="auto" w:fill="FFC000"/>
          </w:tcPr>
          <w:p w14:paraId="55DC70A3"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color w:val="auto"/>
                <w:sz w:val="24"/>
              </w:rPr>
            </w:pPr>
            <w:r w:rsidRPr="00FF1E38">
              <w:rPr>
                <w:rFonts w:ascii="Times New Roman" w:eastAsia="Times New Roman" w:hAnsi="Times New Roman" w:cs="Times New Roman"/>
                <w:b/>
                <w:color w:val="auto"/>
                <w:sz w:val="24"/>
              </w:rPr>
              <w:t xml:space="preserve">Radna skupina </w:t>
            </w:r>
          </w:p>
        </w:tc>
      </w:tr>
      <w:tr w:rsidR="00FF1E38" w:rsidRPr="00FF1E38" w14:paraId="772C456A" w14:textId="77777777" w:rsidTr="00DE0C9A">
        <w:trPr>
          <w:cantSplit/>
        </w:trPr>
        <w:tc>
          <w:tcPr>
            <w:tcW w:w="9059" w:type="dxa"/>
            <w:tcBorders>
              <w:top w:val="single" w:sz="4" w:space="0" w:color="54883D"/>
              <w:left w:val="single" w:sz="4" w:space="0" w:color="54883D"/>
              <w:bottom w:val="single" w:sz="4" w:space="0" w:color="54883D"/>
              <w:right w:val="single" w:sz="4" w:space="0" w:color="54883D"/>
            </w:tcBorders>
          </w:tcPr>
          <w:p w14:paraId="3BECE2F8"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color w:val="auto"/>
                <w:sz w:val="24"/>
              </w:rPr>
            </w:pPr>
            <w:r w:rsidRPr="00FF1E38">
              <w:rPr>
                <w:rFonts w:ascii="Times New Roman" w:eastAsia="Times New Roman" w:hAnsi="Times New Roman" w:cs="Times New Roman"/>
                <w:color w:val="auto"/>
                <w:sz w:val="24"/>
              </w:rPr>
              <w:t>Gradski ured za mjesnu samoupravu, civilnu zaštitu i sigurnost</w:t>
            </w:r>
          </w:p>
          <w:p w14:paraId="09CC2175" w14:textId="77777777" w:rsidR="00FF1E38" w:rsidRPr="00FF1E38" w:rsidRDefault="00FF1E38" w:rsidP="00FF1E38">
            <w:pPr>
              <w:spacing w:after="0" w:line="240" w:lineRule="auto"/>
              <w:ind w:left="0" w:right="0" w:firstLine="0"/>
              <w:jc w:val="left"/>
              <w:rPr>
                <w:rFonts w:ascii="Times New Roman" w:eastAsia="Times New Roman" w:hAnsi="Times New Roman" w:cs="Times New Roman"/>
                <w:color w:val="auto"/>
                <w:sz w:val="24"/>
              </w:rPr>
            </w:pPr>
            <w:r w:rsidRPr="00FF1E38">
              <w:rPr>
                <w:rFonts w:ascii="Times New Roman" w:eastAsia="Times New Roman" w:hAnsi="Times New Roman" w:cs="Times New Roman"/>
                <w:color w:val="auto"/>
                <w:sz w:val="24"/>
              </w:rPr>
              <w:t xml:space="preserve"> Gradski ured za gospodarstvo, ekološku održivost i strategijsko planiranje</w:t>
            </w:r>
          </w:p>
        </w:tc>
      </w:tr>
    </w:tbl>
    <w:tbl>
      <w:tblPr>
        <w:tblStyle w:val="TableGrid20"/>
        <w:tblW w:w="0" w:type="auto"/>
        <w:tblLook w:val="04A0" w:firstRow="1" w:lastRow="0" w:firstColumn="1" w:lastColumn="0" w:noHBand="0" w:noVBand="1"/>
      </w:tblPr>
      <w:tblGrid>
        <w:gridCol w:w="9062"/>
      </w:tblGrid>
      <w:tr w:rsidR="00FF1E38" w:rsidRPr="00FF1E38" w14:paraId="798C42CC" w14:textId="77777777" w:rsidTr="00DE0C9A">
        <w:tc>
          <w:tcPr>
            <w:tcW w:w="9062" w:type="dxa"/>
            <w:shd w:val="clear" w:color="auto" w:fill="FFC000"/>
          </w:tcPr>
          <w:p w14:paraId="786FF162" w14:textId="77777777" w:rsidR="00FF1E38" w:rsidRPr="00FF1E38" w:rsidRDefault="00FF1E38" w:rsidP="00FF1E38">
            <w:pPr>
              <w:spacing w:after="0" w:line="240" w:lineRule="auto"/>
              <w:ind w:left="0" w:right="0" w:firstLine="0"/>
              <w:jc w:val="left"/>
              <w:rPr>
                <w:rFonts w:ascii="Times New Roman" w:eastAsia="Calibri" w:hAnsi="Times New Roman" w:cs="Times New Roman"/>
                <w:b/>
                <w:color w:val="auto"/>
                <w:sz w:val="24"/>
                <w:szCs w:val="24"/>
              </w:rPr>
            </w:pPr>
            <w:r w:rsidRPr="00FF1E38">
              <w:rPr>
                <w:rFonts w:ascii="Times New Roman" w:eastAsia="Calibri" w:hAnsi="Times New Roman" w:cs="Times New Roman"/>
                <w:b/>
                <w:color w:val="auto"/>
                <w:sz w:val="24"/>
                <w:szCs w:val="24"/>
              </w:rPr>
              <w:t>Opis scenarija:</w:t>
            </w:r>
          </w:p>
        </w:tc>
      </w:tr>
      <w:tr w:rsidR="00FF1E38" w:rsidRPr="00FF1E38" w14:paraId="278A57D1" w14:textId="77777777" w:rsidTr="00DE0C9A">
        <w:tc>
          <w:tcPr>
            <w:tcW w:w="9062" w:type="dxa"/>
          </w:tcPr>
          <w:p w14:paraId="14EB723D" w14:textId="77777777" w:rsidR="00FF1E38" w:rsidRPr="00FF1E38" w:rsidRDefault="00FF1E38" w:rsidP="00FF1E38">
            <w:pPr>
              <w:spacing w:after="0" w:line="240" w:lineRule="auto"/>
              <w:ind w:left="0" w:right="0" w:firstLine="0"/>
              <w:rPr>
                <w:rFonts w:ascii="Times New Roman" w:eastAsia="Calibri" w:hAnsi="Times New Roman" w:cs="Times New Roman"/>
                <w:color w:val="auto"/>
                <w:sz w:val="24"/>
                <w:szCs w:val="24"/>
              </w:rPr>
            </w:pPr>
            <w:r w:rsidRPr="00FF1E38">
              <w:rPr>
                <w:rFonts w:ascii="Times New Roman" w:eastAsia="Calibri" w:hAnsi="Times New Roman" w:cs="Times New Roman"/>
                <w:color w:val="auto"/>
                <w:sz w:val="24"/>
                <w:szCs w:val="24"/>
              </w:rPr>
              <w:t>Scenarijem će se opisati situacija koja može nastati nakon pojave domino-efekta na području industrijske zone Žitnjak uzrokovanog eksplozijom ukapljenog naftnog plina u pregrijanom spremniku od 1000 m</w:t>
            </w:r>
            <w:r w:rsidRPr="00FF1E38">
              <w:rPr>
                <w:rFonts w:ascii="Times New Roman" w:eastAsia="Calibri" w:hAnsi="Times New Roman" w:cs="Times New Roman"/>
                <w:color w:val="auto"/>
                <w:sz w:val="24"/>
                <w:szCs w:val="24"/>
                <w:vertAlign w:val="superscript"/>
              </w:rPr>
              <w:t>3</w:t>
            </w:r>
            <w:r w:rsidRPr="00FF1E38">
              <w:rPr>
                <w:rFonts w:ascii="Times New Roman" w:eastAsia="Calibri" w:hAnsi="Times New Roman" w:cs="Times New Roman"/>
                <w:color w:val="auto"/>
                <w:sz w:val="24"/>
                <w:szCs w:val="24"/>
              </w:rPr>
              <w:t>. Takvim slijedom događaja uz određen broj mrtvih i ozlijeđenih osoba te onih izloženih opasnom djelovanju posljedica akcidenta te ekološku katastrofu, nastala bi i znatna materijalna šteta.</w:t>
            </w:r>
          </w:p>
        </w:tc>
      </w:tr>
    </w:tbl>
    <w:p w14:paraId="0157B59C" w14:textId="77777777" w:rsidR="00FF1E38" w:rsidRPr="00FF1E38" w:rsidRDefault="00FF1E38" w:rsidP="00FF1E38">
      <w:pPr>
        <w:spacing w:after="160" w:line="259" w:lineRule="auto"/>
        <w:ind w:left="0" w:right="0" w:firstLine="0"/>
        <w:jc w:val="left"/>
        <w:rPr>
          <w:rFonts w:ascii="Calibri" w:eastAsia="Calibri" w:hAnsi="Calibri" w:cs="Times New Roman"/>
          <w:color w:val="auto"/>
          <w:lang w:eastAsia="en-US"/>
        </w:rPr>
      </w:pPr>
    </w:p>
    <w:p w14:paraId="1CDEDC7E" w14:textId="77777777" w:rsidR="00FF1E38" w:rsidRPr="00FF1E38" w:rsidRDefault="00FF1E38" w:rsidP="00FF1E38">
      <w:pPr>
        <w:spacing w:after="0" w:line="240" w:lineRule="auto"/>
        <w:ind w:left="0" w:right="0" w:firstLine="709"/>
        <w:rPr>
          <w:rFonts w:ascii="Times New Roman" w:hAnsi="Times New Roman" w:cs="Times New Roman"/>
          <w:b/>
          <w:sz w:val="24"/>
        </w:rPr>
      </w:pPr>
      <w:bookmarkStart w:id="85" w:name="_Toc2938603"/>
      <w:r w:rsidRPr="00FF1E38">
        <w:rPr>
          <w:rFonts w:ascii="Times New Roman" w:hAnsi="Times New Roman" w:cs="Times New Roman"/>
          <w:b/>
          <w:sz w:val="24"/>
        </w:rPr>
        <w:t>6.3.2. Prikaz utjecaja na kritičnu infrastrukturu</w:t>
      </w:r>
      <w:bookmarkEnd w:id="85"/>
    </w:p>
    <w:p w14:paraId="2CBD97CE"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Moguće su štete na nepokretnoj i pokretnoj imovini, odnosno na kućama, osobnim vozilima, strojevima, uređajima i opremi te na infrastrukturnim građevinama u području industrijske zone Žitnjak, ali ipak se ne očekuju posljedice na objektima kritične infrastrukture koje bi uzrokovale prekid normalnog funkcioniranja Grada Zagreba. Zbog pojave domino-efekta moguć je prekid rada TE-TO na Žitnjaku što bi prouzročilo poremećaje u opskrbi električnom energijom. Jednako tako zbog eksplozije moguć je negativan utjecaj na prometni sektor (prekid prometa prometnicama koje se nalaze blizu zone negativnog djelovanja / eksplozije), zatim na zdravstveni sustav (zbrinjavanje većeg broja ozlijeđenih osoba), vodno gospodarstvo (moguće zagađenje vodotoka i pucanje vodovodnih cijevi) te javne službe.</w:t>
      </w:r>
    </w:p>
    <w:p w14:paraId="00758A80"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Veći broj osoba imat će prolazne zdravstvene poteškoće zbog istjecanja opasnih tvari odnosno zagađenja zraka, dok će osjetno manji broj osoba biti prisutan u zoni razornosti djelovanja eksplozije koja će se protezati do par kilometara uokolo postrojenja.</w:t>
      </w:r>
    </w:p>
    <w:p w14:paraId="384F055D" w14:textId="77777777" w:rsidR="00FF1E38" w:rsidRPr="00FF1E38" w:rsidRDefault="00FF1E38" w:rsidP="00FF1E38">
      <w:pPr>
        <w:spacing w:after="0" w:line="240" w:lineRule="auto"/>
        <w:ind w:right="0"/>
        <w:rPr>
          <w:rFonts w:ascii="Times New Roman" w:hAnsi="Times New Roman" w:cs="Times New Roman"/>
          <w:sz w:val="24"/>
        </w:rPr>
      </w:pPr>
    </w:p>
    <w:p w14:paraId="4A8D8D1A" w14:textId="4A2481E9" w:rsidR="00FF1E38" w:rsidRPr="00335833" w:rsidRDefault="00FF1E38" w:rsidP="00193BC6">
      <w:pPr>
        <w:spacing w:line="240" w:lineRule="auto"/>
        <w:ind w:left="0" w:right="0" w:firstLine="0"/>
        <w:jc w:val="center"/>
        <w:rPr>
          <w:rFonts w:ascii="Times New Roman" w:hAnsi="Times New Roman" w:cs="Times New Roman"/>
          <w:b/>
          <w:color w:val="auto"/>
          <w:sz w:val="24"/>
        </w:rPr>
      </w:pPr>
      <w:r w:rsidRPr="00335833">
        <w:rPr>
          <w:rFonts w:ascii="Times New Roman" w:hAnsi="Times New Roman" w:cs="Times New Roman"/>
          <w:b/>
          <w:color w:val="auto"/>
          <w:sz w:val="24"/>
        </w:rPr>
        <w:t xml:space="preserve">Tablica </w:t>
      </w:r>
      <w:r w:rsidR="00335833" w:rsidRPr="00335833">
        <w:rPr>
          <w:rFonts w:ascii="Times New Roman" w:hAnsi="Times New Roman" w:cs="Times New Roman"/>
          <w:b/>
          <w:color w:val="auto"/>
          <w:sz w:val="24"/>
        </w:rPr>
        <w:t>74</w:t>
      </w:r>
      <w:r w:rsidRPr="00335833">
        <w:rPr>
          <w:rFonts w:ascii="Times New Roman" w:hAnsi="Times New Roman" w:cs="Times New Roman"/>
          <w:b/>
          <w:color w:val="auto"/>
          <w:sz w:val="24"/>
        </w:rPr>
        <w:t xml:space="preserve">. Utjecaj industrijskih nesreća na sektore kritične infrastrukture </w:t>
      </w:r>
    </w:p>
    <w:tbl>
      <w:tblPr>
        <w:tblStyle w:val="TableGrid1"/>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18"/>
        <w:gridCol w:w="7654"/>
      </w:tblGrid>
      <w:tr w:rsidR="00FF1E38" w:rsidRPr="00FF1E38" w14:paraId="29002858" w14:textId="77777777" w:rsidTr="00DE0C9A">
        <w:trPr>
          <w:cantSplit/>
          <w:tblHeader/>
        </w:trPr>
        <w:tc>
          <w:tcPr>
            <w:tcW w:w="1418" w:type="dxa"/>
            <w:shd w:val="clear" w:color="auto" w:fill="FFC000"/>
            <w:vAlign w:val="center"/>
          </w:tcPr>
          <w:p w14:paraId="289EA762"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b/>
                <w:sz w:val="24"/>
              </w:rPr>
              <w:t>UTJECAJ</w:t>
            </w:r>
          </w:p>
        </w:tc>
        <w:tc>
          <w:tcPr>
            <w:tcW w:w="7654" w:type="dxa"/>
            <w:shd w:val="clear" w:color="auto" w:fill="FFC000"/>
            <w:vAlign w:val="center"/>
          </w:tcPr>
          <w:p w14:paraId="69883257"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b/>
                <w:sz w:val="24"/>
              </w:rPr>
              <w:t>SEKTOR</w:t>
            </w:r>
          </w:p>
        </w:tc>
      </w:tr>
      <w:tr w:rsidR="00FF1E38" w:rsidRPr="00FF1E38" w14:paraId="3AA9079F" w14:textId="77777777" w:rsidTr="00DE0C9A">
        <w:trPr>
          <w:cantSplit/>
        </w:trPr>
        <w:tc>
          <w:tcPr>
            <w:tcW w:w="1418" w:type="dxa"/>
            <w:vAlign w:val="center"/>
          </w:tcPr>
          <w:p w14:paraId="061891A9"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x</w:t>
            </w:r>
          </w:p>
        </w:tc>
        <w:tc>
          <w:tcPr>
            <w:tcW w:w="7654" w:type="dxa"/>
            <w:vAlign w:val="center"/>
          </w:tcPr>
          <w:p w14:paraId="7798C420"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Energetika (proizvodnja, uključujući akumulacije i brane, prijenos, skladištenje, transport energenata i energije, sustavi za distribuciju)</w:t>
            </w:r>
          </w:p>
        </w:tc>
      </w:tr>
      <w:tr w:rsidR="00FF1E38" w:rsidRPr="00FF1E38" w14:paraId="145AD9B9" w14:textId="77777777" w:rsidTr="00DE0C9A">
        <w:trPr>
          <w:cantSplit/>
        </w:trPr>
        <w:tc>
          <w:tcPr>
            <w:tcW w:w="1418" w:type="dxa"/>
            <w:shd w:val="clear" w:color="auto" w:fill="FFC000"/>
            <w:vAlign w:val="center"/>
          </w:tcPr>
          <w:p w14:paraId="01962C51" w14:textId="77777777" w:rsidR="00FF1E38" w:rsidRPr="00FF1E38" w:rsidRDefault="00FF1E38" w:rsidP="00FF1E38">
            <w:pPr>
              <w:spacing w:after="0" w:line="240" w:lineRule="auto"/>
              <w:ind w:left="0" w:right="0" w:firstLine="0"/>
              <w:jc w:val="center"/>
              <w:rPr>
                <w:rFonts w:ascii="Times New Roman" w:hAnsi="Times New Roman" w:cs="Times New Roman"/>
                <w:sz w:val="24"/>
              </w:rPr>
            </w:pPr>
          </w:p>
        </w:tc>
        <w:tc>
          <w:tcPr>
            <w:tcW w:w="7654" w:type="dxa"/>
            <w:shd w:val="clear" w:color="auto" w:fill="FFC000"/>
            <w:vAlign w:val="center"/>
          </w:tcPr>
          <w:p w14:paraId="792ED2D3"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Komunikacijska i informacijska tehnologija (elektroničke komunikacije, prijenos podataka, informacijski sustavi, pružanje audio i audiovizualnih medijskih usluga)</w:t>
            </w:r>
          </w:p>
        </w:tc>
      </w:tr>
      <w:tr w:rsidR="00FF1E38" w:rsidRPr="00FF1E38" w14:paraId="1CCAB420" w14:textId="77777777" w:rsidTr="00DE0C9A">
        <w:trPr>
          <w:cantSplit/>
        </w:trPr>
        <w:tc>
          <w:tcPr>
            <w:tcW w:w="1418" w:type="dxa"/>
            <w:vAlign w:val="center"/>
          </w:tcPr>
          <w:p w14:paraId="7C5F50F7"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x</w:t>
            </w:r>
          </w:p>
        </w:tc>
        <w:tc>
          <w:tcPr>
            <w:tcW w:w="7654" w:type="dxa"/>
            <w:vAlign w:val="center"/>
          </w:tcPr>
          <w:p w14:paraId="6FB20DDC"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Promet (cestovni, željeznički, zračni, pomorski i promet unutarnjim plovnim putevima)</w:t>
            </w:r>
          </w:p>
        </w:tc>
      </w:tr>
      <w:tr w:rsidR="00FF1E38" w:rsidRPr="00FF1E38" w14:paraId="3016A33A" w14:textId="77777777" w:rsidTr="00DE0C9A">
        <w:trPr>
          <w:cantSplit/>
        </w:trPr>
        <w:tc>
          <w:tcPr>
            <w:tcW w:w="1418" w:type="dxa"/>
            <w:shd w:val="clear" w:color="auto" w:fill="FFC000"/>
            <w:vAlign w:val="center"/>
          </w:tcPr>
          <w:p w14:paraId="276CE533"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x</w:t>
            </w:r>
          </w:p>
        </w:tc>
        <w:tc>
          <w:tcPr>
            <w:tcW w:w="7654" w:type="dxa"/>
            <w:shd w:val="clear" w:color="auto" w:fill="FFC000"/>
            <w:vAlign w:val="center"/>
          </w:tcPr>
          <w:p w14:paraId="17A1AA80"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Zdravstvo (zdravstvena zaštita, proizvodnja, promet i nadzor nad lijekovima)</w:t>
            </w:r>
          </w:p>
        </w:tc>
      </w:tr>
      <w:tr w:rsidR="00FF1E38" w:rsidRPr="00FF1E38" w14:paraId="34CC9D88" w14:textId="77777777" w:rsidTr="00DE0C9A">
        <w:trPr>
          <w:cantSplit/>
        </w:trPr>
        <w:tc>
          <w:tcPr>
            <w:tcW w:w="1418" w:type="dxa"/>
            <w:vAlign w:val="center"/>
          </w:tcPr>
          <w:p w14:paraId="6F80C0C8"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x</w:t>
            </w:r>
          </w:p>
        </w:tc>
        <w:tc>
          <w:tcPr>
            <w:tcW w:w="7654" w:type="dxa"/>
            <w:vAlign w:val="center"/>
          </w:tcPr>
          <w:p w14:paraId="3970BB42"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Vodno gospodarstvo (regulacijske i zaštitne vodne građevine i komunalne vodne građevine)</w:t>
            </w:r>
          </w:p>
        </w:tc>
      </w:tr>
      <w:tr w:rsidR="00FF1E38" w:rsidRPr="00FF1E38" w14:paraId="60A2FA51" w14:textId="77777777" w:rsidTr="00DE0C9A">
        <w:trPr>
          <w:cantSplit/>
        </w:trPr>
        <w:tc>
          <w:tcPr>
            <w:tcW w:w="1418" w:type="dxa"/>
            <w:shd w:val="clear" w:color="auto" w:fill="FFC000"/>
            <w:vAlign w:val="center"/>
          </w:tcPr>
          <w:p w14:paraId="28C439FB" w14:textId="77777777" w:rsidR="00FF1E38" w:rsidRPr="00FF1E38" w:rsidRDefault="00FF1E38" w:rsidP="00FF1E38">
            <w:pPr>
              <w:spacing w:after="0" w:line="240" w:lineRule="auto"/>
              <w:ind w:left="0" w:right="0" w:firstLine="0"/>
              <w:jc w:val="center"/>
              <w:rPr>
                <w:rFonts w:ascii="Times New Roman" w:hAnsi="Times New Roman" w:cs="Times New Roman"/>
                <w:sz w:val="24"/>
              </w:rPr>
            </w:pPr>
          </w:p>
        </w:tc>
        <w:tc>
          <w:tcPr>
            <w:tcW w:w="7654" w:type="dxa"/>
            <w:shd w:val="clear" w:color="auto" w:fill="FFC000"/>
            <w:vAlign w:val="center"/>
          </w:tcPr>
          <w:p w14:paraId="0AF12848"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Hrana (proizvodnja i opskrba hranom i sustav sigurnosti hrane, robne zalihe)</w:t>
            </w:r>
          </w:p>
        </w:tc>
      </w:tr>
      <w:tr w:rsidR="00FF1E38" w:rsidRPr="00FF1E38" w14:paraId="60459925" w14:textId="77777777" w:rsidTr="00DE0C9A">
        <w:trPr>
          <w:cantSplit/>
        </w:trPr>
        <w:tc>
          <w:tcPr>
            <w:tcW w:w="1418" w:type="dxa"/>
            <w:vAlign w:val="center"/>
          </w:tcPr>
          <w:p w14:paraId="6769DD0D"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lastRenderedPageBreak/>
              <w:t>x</w:t>
            </w:r>
          </w:p>
        </w:tc>
        <w:tc>
          <w:tcPr>
            <w:tcW w:w="7654" w:type="dxa"/>
            <w:vAlign w:val="center"/>
          </w:tcPr>
          <w:p w14:paraId="63521D94"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Financije (bankarstvo, burze, investicije, sustavi osiguranja i plaćanja)</w:t>
            </w:r>
          </w:p>
        </w:tc>
      </w:tr>
      <w:tr w:rsidR="00FF1E38" w:rsidRPr="00FF1E38" w14:paraId="7C3EDDBD" w14:textId="77777777" w:rsidTr="00DE0C9A">
        <w:trPr>
          <w:cantSplit/>
        </w:trPr>
        <w:tc>
          <w:tcPr>
            <w:tcW w:w="1418" w:type="dxa"/>
            <w:shd w:val="clear" w:color="auto" w:fill="FFC000"/>
            <w:vAlign w:val="center"/>
          </w:tcPr>
          <w:p w14:paraId="69110D3C"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x</w:t>
            </w:r>
          </w:p>
        </w:tc>
        <w:tc>
          <w:tcPr>
            <w:tcW w:w="7654" w:type="dxa"/>
            <w:shd w:val="clear" w:color="auto" w:fill="FFC000"/>
            <w:vAlign w:val="center"/>
          </w:tcPr>
          <w:p w14:paraId="4E35AD1C"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Proizvodnja, skladištenje i prijevoz opasnih tvari (kemijski, biološki, radiološki i nuklearni materijal)</w:t>
            </w:r>
          </w:p>
        </w:tc>
      </w:tr>
      <w:tr w:rsidR="00FF1E38" w:rsidRPr="00FF1E38" w14:paraId="0BE388DD" w14:textId="77777777" w:rsidTr="00DE0C9A">
        <w:trPr>
          <w:cantSplit/>
        </w:trPr>
        <w:tc>
          <w:tcPr>
            <w:tcW w:w="1418" w:type="dxa"/>
            <w:vAlign w:val="center"/>
          </w:tcPr>
          <w:p w14:paraId="12CDA24F"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x</w:t>
            </w:r>
          </w:p>
        </w:tc>
        <w:tc>
          <w:tcPr>
            <w:tcW w:w="7654" w:type="dxa"/>
            <w:vAlign w:val="center"/>
          </w:tcPr>
          <w:p w14:paraId="75D873E8"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Javne službe (osiguranje javnog reda i mira, zaštita i spašavanje, hitna medicinska pomoć)</w:t>
            </w:r>
          </w:p>
        </w:tc>
      </w:tr>
      <w:tr w:rsidR="00FF1E38" w:rsidRPr="00FF1E38" w14:paraId="2A5CDDED" w14:textId="77777777" w:rsidTr="00DE0C9A">
        <w:trPr>
          <w:cantSplit/>
        </w:trPr>
        <w:tc>
          <w:tcPr>
            <w:tcW w:w="1418" w:type="dxa"/>
            <w:shd w:val="clear" w:color="auto" w:fill="FFC000"/>
            <w:vAlign w:val="center"/>
          </w:tcPr>
          <w:p w14:paraId="33064A3F" w14:textId="77777777" w:rsidR="00FF1E38" w:rsidRPr="00FF1E38" w:rsidRDefault="00FF1E38" w:rsidP="00FF1E38">
            <w:pPr>
              <w:spacing w:after="0" w:line="240" w:lineRule="auto"/>
              <w:ind w:left="0" w:right="0" w:firstLine="0"/>
              <w:jc w:val="center"/>
              <w:rPr>
                <w:rFonts w:ascii="Times New Roman" w:hAnsi="Times New Roman" w:cs="Times New Roman"/>
                <w:sz w:val="24"/>
              </w:rPr>
            </w:pPr>
          </w:p>
        </w:tc>
        <w:tc>
          <w:tcPr>
            <w:tcW w:w="7654" w:type="dxa"/>
            <w:shd w:val="clear" w:color="auto" w:fill="FFC000"/>
            <w:vAlign w:val="center"/>
          </w:tcPr>
          <w:p w14:paraId="135B2310"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Nacionalni spomenici i vrijednosti</w:t>
            </w:r>
          </w:p>
        </w:tc>
      </w:tr>
    </w:tbl>
    <w:p w14:paraId="47BAA104"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5DC00113" w14:textId="77777777" w:rsidR="00FF1E38" w:rsidRPr="00FF1E38" w:rsidRDefault="00FF1E38" w:rsidP="00FF1E38">
      <w:pPr>
        <w:spacing w:after="0" w:line="240" w:lineRule="auto"/>
        <w:ind w:left="0" w:right="0" w:firstLine="709"/>
        <w:rPr>
          <w:rFonts w:ascii="Times New Roman" w:hAnsi="Times New Roman" w:cs="Times New Roman"/>
          <w:b/>
          <w:sz w:val="24"/>
        </w:rPr>
      </w:pPr>
      <w:bookmarkStart w:id="86" w:name="_Toc2938604"/>
      <w:r w:rsidRPr="00FF1E38">
        <w:rPr>
          <w:rFonts w:ascii="Times New Roman" w:hAnsi="Times New Roman" w:cs="Times New Roman"/>
          <w:b/>
          <w:sz w:val="24"/>
        </w:rPr>
        <w:t>6.3.3. Kontekst</w:t>
      </w:r>
      <w:bookmarkEnd w:id="86"/>
    </w:p>
    <w:p w14:paraId="29F621F3"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Mogućnost nastanka tehničko-tehnoloških nesreća za koje postoji opasnost prerastanja u veliku nesreću ili katastrofu ovisi o vrsti, koncentraciji i količini opasnih tvari na lokaciji. Posljedice i utjecaji ovakvih katastrofa na okolinu mogu biti raznovrsne. Najvažniji utjecaj koji mogu imati je ponajprije na život i zdravlje ljudi nastanjenih u bližoj i daljoj okolini, zatim na stanje u okolišu te na okolno gospodarstvo i objekte kritične infrastrukture. Jačina utjecaja katastrofe ovisi o vrsti, koncentraciji i količini opasne tvari u postrojenju, geofizičkom položaju, njegovoj udaljenosti od najbližeg naselja te brzini reagiranja snaga zaštite i spašavanja.</w:t>
      </w:r>
    </w:p>
    <w:p w14:paraId="62813E44"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Na području Grada Zagreba nalaze se 2 velike industrijske zone (Žitnjak i Jankomir). U ovim zonama su planovima predviđene industrijske, zanatske, trgovačke i komunalno-servisne namjene te skladištenje.</w:t>
      </w:r>
    </w:p>
    <w:p w14:paraId="133EB27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Sukladno Uredbi o sprječavanju velikih nesreća koje uključuju opasne tvari (Narodne novine 44/14, 78/15, 31/17 i 45/17 - ispravak), utvrđena je obveza izvještavanja gospodarskih subjekata o proizvodnji, skladištenju, preradi, rukovanju, prijevozu i skupljanju opasnih tvari. Registar postrojenja u kojima je utvrđena prisutnost opasnih tvari je skup podataka o vrsti opasnih tvari koje su u postrojenjima, a koje mogu uzrokovati veliku nesreću; zatim dopuštenim količinama opasnih tvari te kriterijima prema kojima se te tvari klasificiraju kao opasne. Registar sadrži podatke i o mogućnosti pojave domino-efekta; veličini zone ugroženosti u slučaju iznenadnog događaja te procjeni eventualnog broja žrtava u slučaju iznenadnog događaja. Prema </w:t>
      </w:r>
      <w:r w:rsidRPr="00FF1E38">
        <w:rPr>
          <w:rFonts w:ascii="Times New Roman" w:hAnsi="Times New Roman" w:cs="Times New Roman"/>
          <w:i/>
          <w:sz w:val="24"/>
        </w:rPr>
        <w:t>Registru postrojenja u kojima je utvrđena prisutnost opasnih tvari</w:t>
      </w:r>
      <w:r w:rsidRPr="00FF1E38">
        <w:rPr>
          <w:rFonts w:ascii="Times New Roman" w:hAnsi="Times New Roman" w:cs="Times New Roman"/>
          <w:sz w:val="24"/>
        </w:rPr>
        <w:t xml:space="preserve"> koji vodi Zavod za zaštitu okoliša i prirode, na području Grada Zagreba postoji 126 lokacija na kojima je utvrđena prisutnost opasnih tvari, od toga 4 postrojenja na kojima postoji opasnost od pojave domino-efekta.</w:t>
      </w:r>
    </w:p>
    <w:p w14:paraId="67521B95" w14:textId="733B50F5"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Od navedenih lokacija na kojima je moguća pojava domino-efekta čak njih 4 smješteno je na području Gradske četvrti Peščenica - Žitnjak (odnosno na jugoistočnom području Grada Zagreba). Po ukupnoj količini opasnih tvari (u tonama) na prvom mjestu je Pogon TE-TO HEP-a na lokaciji Kuševačka 10a (radi se o naftnim proizvodima koji se skladište u nadzemnom spremniku) i Pogon EL-TO HEP-a na adresi Zagorska 1 (naftni proizvodi i lakozapaljive te kancerogene tvari i tvari opasne po okoliš). U prilozima 1. i 2. prikazani su maksimalni učinci događaja za 16 postrojenja na području Grada Zagreba.</w:t>
      </w:r>
    </w:p>
    <w:p w14:paraId="53F9097B"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Veličina radijusa dosega ugroženosti u najgorem slučaju (maksimalan doseg učinka iznenadnog događaja u metrima) najveća je u slučaju akcidenta u postrojenju tvrtke HEP - Proizvodnja d.o.o. za proizvodnju električne i toplinske energije objekt TE-TO Zagreb (vrsta opasnosti - požar i eksplozija) i iznosi 5866 m za trajne posljedice i 19 820 m za privremene posljedice. Zona ugroženosti vidljiva je na Karti 12.</w:t>
      </w:r>
    </w:p>
    <w:p w14:paraId="1C0D5756" w14:textId="17163D26" w:rsidR="00FF1E38" w:rsidRDefault="00FF1E38" w:rsidP="00B50664">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Većina subjekata u proizvodnom procesu na području Grada Zagreba koristi klor, amonijak, kloridnu kiselinu, ukapljeni plin, prirodni plin i naftne derivate što je ozbiljna prijetnja po okolno područje koja bi mogla nastati zbog izlijevanja većih količina opasnih tvari iz spremnika. Događaji koji bi mogli imati najizraženije posljedice po okoliš i stanovništvo odnose se na ispuštanje i požar naftnih proizvoda, zatim na eksploziju ili ispuštanje toksičnih tvari, vrlo lako zapaljivih tvari, tvari koje izazivaju teške opekline, kancerogenih tvari, tvari opasnih za okoliš i sl. Kada je riječ o smještaju navedenih postrojenja, objekti smješteni u </w:t>
      </w:r>
      <w:r w:rsidRPr="00FF1E38">
        <w:rPr>
          <w:rFonts w:ascii="Times New Roman" w:hAnsi="Times New Roman" w:cs="Times New Roman"/>
          <w:sz w:val="24"/>
        </w:rPr>
        <w:lastRenderedPageBreak/>
        <w:t>industrijskoj zoni Žitnjak uglavnom su okruženi drugim gospodarskim objektima, s manjim udjelom stambenih objekata u njihovoj bližoj okolici. Oko pogona TE-TO Zagreb najugroženiji su stambeni objekti u Kuševačkoj i Mraclinskoj ulici, zatim dijelovi Ferenščice, Resnika i Kozari Boka. Na području Trešnjevke uz objekt EL-TO najugroženije je područje Grada blizu Zapadnog kolodvora.</w:t>
      </w:r>
    </w:p>
    <w:p w14:paraId="4B34A416" w14:textId="77777777" w:rsidR="00B50664" w:rsidRPr="00B50664" w:rsidRDefault="00B50664" w:rsidP="00B50664">
      <w:pPr>
        <w:spacing w:after="0" w:line="240" w:lineRule="auto"/>
        <w:ind w:left="0" w:right="0" w:firstLine="709"/>
        <w:rPr>
          <w:rFonts w:ascii="Times New Roman" w:hAnsi="Times New Roman" w:cs="Times New Roman"/>
          <w:sz w:val="24"/>
        </w:rPr>
      </w:pPr>
    </w:p>
    <w:p w14:paraId="46DC3E4E" w14:textId="77777777" w:rsidR="00FF1E38" w:rsidRPr="00FF1E38" w:rsidRDefault="00FF1E38" w:rsidP="00193BC6">
      <w:pPr>
        <w:spacing w:line="240" w:lineRule="auto"/>
        <w:ind w:left="0" w:right="0" w:firstLine="0"/>
        <w:jc w:val="center"/>
        <w:rPr>
          <w:rFonts w:ascii="Times New Roman" w:hAnsi="Times New Roman" w:cs="Times New Roman"/>
          <w:b/>
          <w:sz w:val="24"/>
        </w:rPr>
      </w:pPr>
      <w:r w:rsidRPr="00FF1E38">
        <w:rPr>
          <w:rFonts w:ascii="Times New Roman" w:hAnsi="Times New Roman" w:cs="Times New Roman"/>
          <w:b/>
          <w:sz w:val="24"/>
        </w:rPr>
        <w:t>Karta 12. Maksimalan doseg učinka iznenadnog događaja za objekt TE-TO Zagreb</w:t>
      </w:r>
    </w:p>
    <w:p w14:paraId="17E9EBFA" w14:textId="77777777" w:rsidR="00FF1E38" w:rsidRPr="00FF1E38" w:rsidRDefault="00FF1E38" w:rsidP="00FF1E38">
      <w:pPr>
        <w:spacing w:after="0" w:line="240" w:lineRule="auto"/>
        <w:ind w:left="0" w:right="0" w:firstLine="0"/>
        <w:jc w:val="right"/>
        <w:rPr>
          <w:rFonts w:ascii="Times New Roman" w:hAnsi="Times New Roman" w:cs="Times New Roman"/>
          <w:b/>
          <w:sz w:val="24"/>
        </w:rPr>
      </w:pPr>
      <w:r w:rsidRPr="00FF1E38">
        <w:rPr>
          <w:rFonts w:ascii="Times New Roman" w:hAnsi="Times New Roman" w:cs="Times New Roman"/>
          <w:noProof/>
          <w:sz w:val="24"/>
        </w:rPr>
        <w:drawing>
          <wp:inline distT="0" distB="0" distL="0" distR="0" wp14:anchorId="6229D3A7" wp14:editId="79A9AA7F">
            <wp:extent cx="5716270" cy="3781425"/>
            <wp:effectExtent l="0" t="0" r="0" b="9525"/>
            <wp:docPr id="49601" name="Picture 49601"/>
            <wp:cNvGraphicFramePr/>
            <a:graphic xmlns:a="http://schemas.openxmlformats.org/drawingml/2006/main">
              <a:graphicData uri="http://schemas.openxmlformats.org/drawingml/2006/picture">
                <pic:pic xmlns:pic="http://schemas.openxmlformats.org/drawingml/2006/picture">
                  <pic:nvPicPr>
                    <pic:cNvPr id="49601" name="Picture 49601"/>
                    <pic:cNvPicPr/>
                  </pic:nvPicPr>
                  <pic:blipFill>
                    <a:blip r:embed="rId132"/>
                    <a:stretch>
                      <a:fillRect/>
                    </a:stretch>
                  </pic:blipFill>
                  <pic:spPr>
                    <a:xfrm>
                      <a:off x="0" y="0"/>
                      <a:ext cx="5716272" cy="3781426"/>
                    </a:xfrm>
                    <a:prstGeom prst="rect">
                      <a:avLst/>
                    </a:prstGeom>
                  </pic:spPr>
                </pic:pic>
              </a:graphicData>
            </a:graphic>
          </wp:inline>
        </w:drawing>
      </w:r>
    </w:p>
    <w:p w14:paraId="040E9643" w14:textId="77777777" w:rsidR="00FF1E38" w:rsidRPr="00FF1E38" w:rsidRDefault="00FF1E38" w:rsidP="00FF1E38">
      <w:pPr>
        <w:spacing w:after="0" w:line="240" w:lineRule="auto"/>
        <w:ind w:left="0" w:right="0" w:firstLine="0"/>
        <w:jc w:val="center"/>
        <w:rPr>
          <w:rFonts w:ascii="Times New Roman" w:eastAsia="Calibri" w:hAnsi="Times New Roman" w:cs="Times New Roman"/>
          <w:i/>
          <w:sz w:val="20"/>
          <w:szCs w:val="20"/>
        </w:rPr>
      </w:pPr>
      <w:r w:rsidRPr="00FF1E38">
        <w:rPr>
          <w:rFonts w:ascii="Times New Roman" w:eastAsia="Calibri" w:hAnsi="Times New Roman" w:cs="Times New Roman"/>
          <w:i/>
          <w:sz w:val="20"/>
          <w:szCs w:val="20"/>
        </w:rPr>
        <w:t>Izvor: Gradski ured za mjesnu samoupravu, civilnu zaštitu i sigurnost prema podacima iz Izvješća o sigurnosti</w:t>
      </w:r>
    </w:p>
    <w:p w14:paraId="3EA743E9" w14:textId="77777777" w:rsidR="00FF1E38" w:rsidRPr="00FF1E38" w:rsidRDefault="00FF1E38" w:rsidP="00FF1E38">
      <w:pPr>
        <w:spacing w:after="0" w:line="240" w:lineRule="auto"/>
        <w:ind w:right="0"/>
        <w:rPr>
          <w:rFonts w:ascii="Times New Roman" w:hAnsi="Times New Roman" w:cs="Times New Roman"/>
          <w:sz w:val="24"/>
        </w:rPr>
      </w:pPr>
    </w:p>
    <w:p w14:paraId="31E504A2" w14:textId="77777777" w:rsidR="00FF1E38" w:rsidRP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sz w:val="24"/>
          <w:u w:val="single"/>
        </w:rPr>
        <w:t>Opis okruženja postrojenja s opasnosti od domino-efekta u industrijskoj zoni Žitnjak</w:t>
      </w:r>
    </w:p>
    <w:p w14:paraId="1D41B5AF" w14:textId="3D87AC32" w:rsidR="00193BC6" w:rsidRDefault="00FF1E38" w:rsidP="00B50664">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Poslovni prostor UNP Terminala Zagreb (prema scenariju "inicijator" rizika) nalazi se na istočnom dijelu Grada Zagreba u industrijskoj zoni Žitnjak, na adresi Radnička cesta 216. S jugoistočne strane poslovnog prostora nalaze se objekti i poslovni prostor poduzeća Sila d.o.o. S ostale tri strane poslovni je prostor okružen asfaltiranim putovima Radničke ceste i Mičevečke ulice. Sa sjeverno-zapadne strane u neposrednoj blizini smješten je Centar male privrede Savica Šanci. Tvornica papira PAN d.o.o. u stečaju nalazi se sjeveroistočno od postrojenja, dok je jugozapadno Grafički zavod Hrvatske. UNP Zagreb u Radničkoj cesti okružen je industrijskim objektima koji imaju veći broj ljudi u prvoj smjeni. Radnička cesta koja prolazi sjeverno od prostora UNP Zagreb vrlo je prometna u vrijeme dolaska na posao (u jutarnjim satima) i odlaska s posla (u popodnevnim satima). Radi se o cesti visokog opterećenja kojom se obavlja promet teretnim vozilima, promet kemikalija prema tvornicama Scott Bader, Labud i Maziva Zagreb.</w:t>
      </w:r>
    </w:p>
    <w:p w14:paraId="18E5C997" w14:textId="42736E03" w:rsidR="00B50664" w:rsidRDefault="00B50664" w:rsidP="00B50664">
      <w:pPr>
        <w:spacing w:after="0" w:line="240" w:lineRule="auto"/>
        <w:ind w:left="0" w:right="0" w:firstLine="709"/>
        <w:rPr>
          <w:rFonts w:ascii="Times New Roman" w:hAnsi="Times New Roman" w:cs="Times New Roman"/>
          <w:sz w:val="24"/>
        </w:rPr>
      </w:pPr>
    </w:p>
    <w:p w14:paraId="61503FDB" w14:textId="5EAE9B6F" w:rsidR="00B50664" w:rsidRDefault="00B50664" w:rsidP="00B50664">
      <w:pPr>
        <w:spacing w:after="0" w:line="240" w:lineRule="auto"/>
        <w:ind w:left="0" w:right="0" w:firstLine="709"/>
        <w:rPr>
          <w:rFonts w:ascii="Times New Roman" w:hAnsi="Times New Roman" w:cs="Times New Roman"/>
          <w:sz w:val="24"/>
        </w:rPr>
      </w:pPr>
    </w:p>
    <w:p w14:paraId="6B8DDA39" w14:textId="3BF9A1F0" w:rsidR="00B50664" w:rsidRDefault="00B50664" w:rsidP="00B50664">
      <w:pPr>
        <w:spacing w:after="0" w:line="240" w:lineRule="auto"/>
        <w:ind w:left="0" w:right="0" w:firstLine="709"/>
        <w:rPr>
          <w:rFonts w:ascii="Times New Roman" w:hAnsi="Times New Roman" w:cs="Times New Roman"/>
          <w:sz w:val="24"/>
        </w:rPr>
      </w:pPr>
    </w:p>
    <w:p w14:paraId="72C636F2" w14:textId="3936DC0C" w:rsidR="00B50664" w:rsidRDefault="00B50664" w:rsidP="00B50664">
      <w:pPr>
        <w:spacing w:after="0" w:line="240" w:lineRule="auto"/>
        <w:ind w:left="0" w:right="0" w:firstLine="709"/>
        <w:rPr>
          <w:rFonts w:ascii="Times New Roman" w:hAnsi="Times New Roman" w:cs="Times New Roman"/>
          <w:sz w:val="24"/>
        </w:rPr>
      </w:pPr>
    </w:p>
    <w:p w14:paraId="08A49533" w14:textId="77777777" w:rsidR="00B50664" w:rsidRDefault="00B50664" w:rsidP="00B50664">
      <w:pPr>
        <w:spacing w:after="0" w:line="240" w:lineRule="auto"/>
        <w:ind w:left="0" w:right="0" w:firstLine="709"/>
        <w:rPr>
          <w:rFonts w:ascii="Times New Roman" w:hAnsi="Times New Roman" w:cs="Times New Roman"/>
          <w:sz w:val="24"/>
        </w:rPr>
      </w:pPr>
    </w:p>
    <w:p w14:paraId="6DFE609A" w14:textId="77777777" w:rsidR="00B50664" w:rsidRPr="00FF1E38" w:rsidRDefault="00B50664" w:rsidP="00B50664">
      <w:pPr>
        <w:spacing w:after="0" w:line="240" w:lineRule="auto"/>
        <w:ind w:left="0" w:right="0" w:firstLine="709"/>
        <w:rPr>
          <w:rFonts w:ascii="Times New Roman" w:hAnsi="Times New Roman" w:cs="Times New Roman"/>
          <w:sz w:val="24"/>
        </w:rPr>
      </w:pPr>
    </w:p>
    <w:p w14:paraId="5668172D" w14:textId="0D94C10A" w:rsidR="00FF1E38" w:rsidRPr="00025DB7" w:rsidRDefault="00FF1E38" w:rsidP="00193BC6">
      <w:pPr>
        <w:spacing w:line="240" w:lineRule="auto"/>
        <w:ind w:left="0" w:right="0" w:firstLine="0"/>
        <w:jc w:val="center"/>
        <w:rPr>
          <w:rFonts w:ascii="Times New Roman" w:hAnsi="Times New Roman" w:cs="Times New Roman"/>
          <w:b/>
          <w:color w:val="auto"/>
          <w:sz w:val="24"/>
        </w:rPr>
      </w:pPr>
      <w:r w:rsidRPr="00025DB7">
        <w:rPr>
          <w:rFonts w:ascii="Times New Roman" w:hAnsi="Times New Roman" w:cs="Times New Roman"/>
          <w:b/>
          <w:color w:val="auto"/>
          <w:sz w:val="24"/>
        </w:rPr>
        <w:lastRenderedPageBreak/>
        <w:t xml:space="preserve">Tablica </w:t>
      </w:r>
      <w:r w:rsidR="00025DB7" w:rsidRPr="00025DB7">
        <w:rPr>
          <w:rFonts w:ascii="Times New Roman" w:hAnsi="Times New Roman" w:cs="Times New Roman"/>
          <w:b/>
          <w:color w:val="auto"/>
          <w:sz w:val="24"/>
        </w:rPr>
        <w:t>75</w:t>
      </w:r>
      <w:r w:rsidRPr="00025DB7">
        <w:rPr>
          <w:rFonts w:ascii="Times New Roman" w:hAnsi="Times New Roman" w:cs="Times New Roman"/>
          <w:b/>
          <w:color w:val="auto"/>
          <w:sz w:val="24"/>
        </w:rPr>
        <w:t>. Popis područja postrojenja s opasnosti od domino-efekta</w:t>
      </w:r>
    </w:p>
    <w:tbl>
      <w:tblPr>
        <w:tblStyle w:val="TableGrid"/>
        <w:tblW w:w="9072" w:type="dxa"/>
        <w:tblInd w:w="0" w:type="dxa"/>
        <w:tblLayout w:type="fixed"/>
        <w:tblCellMar>
          <w:top w:w="57" w:type="dxa"/>
          <w:left w:w="57" w:type="dxa"/>
          <w:bottom w:w="57" w:type="dxa"/>
          <w:right w:w="57" w:type="dxa"/>
        </w:tblCellMar>
        <w:tblLook w:val="04A0" w:firstRow="1" w:lastRow="0" w:firstColumn="1" w:lastColumn="0" w:noHBand="0" w:noVBand="1"/>
      </w:tblPr>
      <w:tblGrid>
        <w:gridCol w:w="1984"/>
        <w:gridCol w:w="1984"/>
        <w:gridCol w:w="1985"/>
        <w:gridCol w:w="1701"/>
        <w:gridCol w:w="1418"/>
      </w:tblGrid>
      <w:tr w:rsidR="00FF1E38" w:rsidRPr="00FF1E38" w14:paraId="14C61132" w14:textId="77777777" w:rsidTr="00DE0C9A">
        <w:trPr>
          <w:cantSplit/>
          <w:tblHeader/>
        </w:trPr>
        <w:tc>
          <w:tcPr>
            <w:tcW w:w="1984"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717C057"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b/>
                <w:color w:val="auto"/>
              </w:rPr>
              <w:t>Naziv operatera</w:t>
            </w:r>
          </w:p>
        </w:tc>
        <w:tc>
          <w:tcPr>
            <w:tcW w:w="1984"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53A8853"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b/>
                <w:color w:val="auto"/>
              </w:rPr>
              <w:t>Naziv područja postrojenja</w:t>
            </w:r>
          </w:p>
        </w:tc>
        <w:tc>
          <w:tcPr>
            <w:tcW w:w="1985"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18C8CE7"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b/>
                <w:color w:val="auto"/>
              </w:rPr>
              <w:t>Adresa</w:t>
            </w:r>
          </w:p>
        </w:tc>
        <w:tc>
          <w:tcPr>
            <w:tcW w:w="170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8064EF7"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b/>
                <w:color w:val="auto"/>
              </w:rPr>
              <w:t>NKD</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510136D"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b/>
                <w:color w:val="auto"/>
              </w:rPr>
              <w:t>Razred</w:t>
            </w:r>
          </w:p>
        </w:tc>
      </w:tr>
      <w:tr w:rsidR="00FF1E38" w:rsidRPr="00FF1E38" w14:paraId="65E9AE5E" w14:textId="77777777" w:rsidTr="00DE0C9A">
        <w:trPr>
          <w:cantSplit/>
          <w:tblHeader/>
        </w:trPr>
        <w:tc>
          <w:tcPr>
            <w:tcW w:w="1984" w:type="dxa"/>
            <w:tcBorders>
              <w:top w:val="single" w:sz="4" w:space="0" w:color="000000"/>
              <w:left w:val="single" w:sz="4" w:space="0" w:color="000000"/>
              <w:bottom w:val="single" w:sz="4" w:space="0" w:color="000000"/>
              <w:right w:val="single" w:sz="4" w:space="0" w:color="000000"/>
            </w:tcBorders>
            <w:vAlign w:val="center"/>
          </w:tcPr>
          <w:p w14:paraId="0D8E616A"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color w:val="auto"/>
              </w:rPr>
              <w:t>INA - INDUSTRIJA NAFTE, d.d.</w:t>
            </w:r>
          </w:p>
        </w:tc>
        <w:tc>
          <w:tcPr>
            <w:tcW w:w="1984" w:type="dxa"/>
            <w:tcBorders>
              <w:top w:val="single" w:sz="4" w:space="0" w:color="000000"/>
              <w:left w:val="single" w:sz="4" w:space="0" w:color="000000"/>
              <w:bottom w:val="single" w:sz="4" w:space="0" w:color="000000"/>
              <w:right w:val="single" w:sz="4" w:space="0" w:color="000000"/>
            </w:tcBorders>
            <w:vAlign w:val="center"/>
          </w:tcPr>
          <w:p w14:paraId="2A3BE677"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color w:val="auto"/>
              </w:rPr>
              <w:t>Logistika, Logistički terminali, Regija Zagreb, UNP 1 Zagreb</w:t>
            </w:r>
          </w:p>
        </w:tc>
        <w:tc>
          <w:tcPr>
            <w:tcW w:w="1985" w:type="dxa"/>
            <w:tcBorders>
              <w:top w:val="single" w:sz="4" w:space="0" w:color="000000"/>
              <w:left w:val="single" w:sz="4" w:space="0" w:color="000000"/>
              <w:bottom w:val="single" w:sz="4" w:space="0" w:color="000000"/>
              <w:right w:val="single" w:sz="4" w:space="0" w:color="000000"/>
            </w:tcBorders>
            <w:vAlign w:val="center"/>
          </w:tcPr>
          <w:p w14:paraId="57053D98"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color w:val="auto"/>
              </w:rPr>
              <w:t>Radnička cesta 216, 10000 ZAGREB</w:t>
            </w:r>
          </w:p>
        </w:tc>
        <w:tc>
          <w:tcPr>
            <w:tcW w:w="1701" w:type="dxa"/>
            <w:tcBorders>
              <w:top w:val="single" w:sz="4" w:space="0" w:color="000000"/>
              <w:left w:val="single" w:sz="4" w:space="0" w:color="000000"/>
              <w:bottom w:val="single" w:sz="4" w:space="0" w:color="000000"/>
              <w:right w:val="single" w:sz="4" w:space="0" w:color="000000"/>
            </w:tcBorders>
            <w:vAlign w:val="center"/>
          </w:tcPr>
          <w:p w14:paraId="7F18CC4D"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color w:val="auto"/>
              </w:rPr>
              <w:t>19.20 Proizvodnja rafiniranih naftnih proizvoda</w:t>
            </w:r>
          </w:p>
        </w:tc>
        <w:tc>
          <w:tcPr>
            <w:tcW w:w="1418" w:type="dxa"/>
            <w:tcBorders>
              <w:top w:val="single" w:sz="4" w:space="0" w:color="000000"/>
              <w:left w:val="single" w:sz="4" w:space="0" w:color="000000"/>
              <w:bottom w:val="single" w:sz="4" w:space="0" w:color="000000"/>
              <w:right w:val="single" w:sz="4" w:space="0" w:color="000000"/>
            </w:tcBorders>
            <w:vAlign w:val="center"/>
          </w:tcPr>
          <w:p w14:paraId="7562AF3D"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color w:val="auto"/>
              </w:rPr>
              <w:t>Prilog II.B - viši razred</w:t>
            </w:r>
          </w:p>
        </w:tc>
      </w:tr>
      <w:tr w:rsidR="00FF1E38" w:rsidRPr="00FF1E38" w14:paraId="7A9EB0B2" w14:textId="77777777" w:rsidTr="00DE0C9A">
        <w:trPr>
          <w:cantSplit/>
          <w:tblHeader/>
        </w:trPr>
        <w:tc>
          <w:tcPr>
            <w:tcW w:w="1984" w:type="dxa"/>
            <w:tcBorders>
              <w:top w:val="single" w:sz="4" w:space="0" w:color="000000"/>
              <w:left w:val="single" w:sz="4" w:space="0" w:color="000000"/>
              <w:bottom w:val="single" w:sz="4" w:space="0" w:color="000000"/>
              <w:right w:val="single" w:sz="4" w:space="0" w:color="000000"/>
            </w:tcBorders>
            <w:vAlign w:val="center"/>
          </w:tcPr>
          <w:p w14:paraId="50D34C0D"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color w:val="auto"/>
              </w:rPr>
              <w:t>JADRANSKI NAFTOVOD, dioničko društvo</w:t>
            </w:r>
          </w:p>
        </w:tc>
        <w:tc>
          <w:tcPr>
            <w:tcW w:w="1984" w:type="dxa"/>
            <w:tcBorders>
              <w:top w:val="single" w:sz="4" w:space="0" w:color="000000"/>
              <w:left w:val="single" w:sz="4" w:space="0" w:color="000000"/>
              <w:bottom w:val="single" w:sz="4" w:space="0" w:color="000000"/>
              <w:right w:val="single" w:sz="4" w:space="0" w:color="000000"/>
            </w:tcBorders>
            <w:vAlign w:val="center"/>
          </w:tcPr>
          <w:p w14:paraId="55196AE2"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color w:val="auto"/>
              </w:rPr>
              <w:t>Terminal Žitnjak</w:t>
            </w:r>
          </w:p>
        </w:tc>
        <w:tc>
          <w:tcPr>
            <w:tcW w:w="1985" w:type="dxa"/>
            <w:tcBorders>
              <w:top w:val="single" w:sz="4" w:space="0" w:color="000000"/>
              <w:left w:val="single" w:sz="4" w:space="0" w:color="000000"/>
              <w:bottom w:val="single" w:sz="4" w:space="0" w:color="000000"/>
              <w:right w:val="single" w:sz="4" w:space="0" w:color="000000"/>
            </w:tcBorders>
            <w:vAlign w:val="center"/>
          </w:tcPr>
          <w:p w14:paraId="4B2649FA"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color w:val="auto"/>
              </w:rPr>
              <w:t>Slavonska Avenija 64, 10000 ZAGREB</w:t>
            </w:r>
          </w:p>
        </w:tc>
        <w:tc>
          <w:tcPr>
            <w:tcW w:w="1701" w:type="dxa"/>
            <w:tcBorders>
              <w:top w:val="single" w:sz="4" w:space="0" w:color="000000"/>
              <w:left w:val="single" w:sz="4" w:space="0" w:color="000000"/>
              <w:bottom w:val="single" w:sz="4" w:space="0" w:color="000000"/>
              <w:right w:val="single" w:sz="4" w:space="0" w:color="000000"/>
            </w:tcBorders>
            <w:vAlign w:val="center"/>
          </w:tcPr>
          <w:p w14:paraId="16F0C88D"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color w:val="auto"/>
              </w:rPr>
              <w:t>49.50 Cjevovodni transport</w:t>
            </w:r>
          </w:p>
        </w:tc>
        <w:tc>
          <w:tcPr>
            <w:tcW w:w="1418" w:type="dxa"/>
            <w:tcBorders>
              <w:top w:val="single" w:sz="4" w:space="0" w:color="000000"/>
              <w:left w:val="single" w:sz="4" w:space="0" w:color="000000"/>
              <w:bottom w:val="single" w:sz="4" w:space="0" w:color="000000"/>
              <w:right w:val="single" w:sz="4" w:space="0" w:color="000000"/>
            </w:tcBorders>
            <w:vAlign w:val="center"/>
          </w:tcPr>
          <w:p w14:paraId="2E4A7CB3"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color w:val="auto"/>
              </w:rPr>
              <w:t>Prilog II.B - viši razred</w:t>
            </w:r>
          </w:p>
        </w:tc>
      </w:tr>
      <w:tr w:rsidR="00FF1E38" w:rsidRPr="00FF1E38" w14:paraId="2DA87C76" w14:textId="77777777" w:rsidTr="00DE0C9A">
        <w:trPr>
          <w:cantSplit/>
          <w:tblHeader/>
        </w:trPr>
        <w:tc>
          <w:tcPr>
            <w:tcW w:w="1984" w:type="dxa"/>
            <w:tcBorders>
              <w:top w:val="single" w:sz="4" w:space="0" w:color="000000"/>
              <w:left w:val="single" w:sz="4" w:space="0" w:color="000000"/>
              <w:bottom w:val="single" w:sz="4" w:space="0" w:color="000000"/>
              <w:right w:val="single" w:sz="4" w:space="0" w:color="000000"/>
            </w:tcBorders>
            <w:vAlign w:val="center"/>
          </w:tcPr>
          <w:p w14:paraId="34ED9C6B"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color w:val="auto"/>
              </w:rPr>
              <w:t>TIFON, društvo s ograničenom odgovornošću za trgovinu i usluge</w:t>
            </w:r>
          </w:p>
        </w:tc>
        <w:tc>
          <w:tcPr>
            <w:tcW w:w="1984" w:type="dxa"/>
            <w:tcBorders>
              <w:top w:val="single" w:sz="4" w:space="0" w:color="000000"/>
              <w:left w:val="single" w:sz="4" w:space="0" w:color="000000"/>
              <w:bottom w:val="single" w:sz="4" w:space="0" w:color="000000"/>
              <w:right w:val="single" w:sz="4" w:space="0" w:color="000000"/>
            </w:tcBorders>
            <w:vAlign w:val="center"/>
          </w:tcPr>
          <w:p w14:paraId="1A96832C"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color w:val="auto"/>
              </w:rPr>
              <w:t>BP Jarun</w:t>
            </w:r>
          </w:p>
        </w:tc>
        <w:tc>
          <w:tcPr>
            <w:tcW w:w="1985" w:type="dxa"/>
            <w:tcBorders>
              <w:top w:val="single" w:sz="4" w:space="0" w:color="000000"/>
              <w:left w:val="single" w:sz="4" w:space="0" w:color="000000"/>
              <w:bottom w:val="single" w:sz="4" w:space="0" w:color="000000"/>
              <w:right w:val="single" w:sz="4" w:space="0" w:color="000000"/>
            </w:tcBorders>
            <w:vAlign w:val="center"/>
          </w:tcPr>
          <w:p w14:paraId="1B3301B5"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color w:val="auto"/>
              </w:rPr>
              <w:t>Horvaćanska 71, 10000 ZAGREB</w:t>
            </w:r>
          </w:p>
        </w:tc>
        <w:tc>
          <w:tcPr>
            <w:tcW w:w="1701" w:type="dxa"/>
            <w:tcBorders>
              <w:top w:val="single" w:sz="4" w:space="0" w:color="000000"/>
              <w:left w:val="single" w:sz="4" w:space="0" w:color="000000"/>
              <w:bottom w:val="single" w:sz="4" w:space="0" w:color="000000"/>
              <w:right w:val="single" w:sz="4" w:space="0" w:color="000000"/>
            </w:tcBorders>
            <w:vAlign w:val="center"/>
          </w:tcPr>
          <w:p w14:paraId="0ED5449D"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color w:val="auto"/>
              </w:rPr>
              <w:t>46.71 Trgovina na veliko krutim, tekućim i plinovitim gorivima i srodnim proizvodima</w:t>
            </w:r>
          </w:p>
        </w:tc>
        <w:tc>
          <w:tcPr>
            <w:tcW w:w="1418" w:type="dxa"/>
            <w:tcBorders>
              <w:top w:val="single" w:sz="4" w:space="0" w:color="000000"/>
              <w:left w:val="single" w:sz="4" w:space="0" w:color="000000"/>
              <w:bottom w:val="single" w:sz="4" w:space="0" w:color="000000"/>
              <w:right w:val="single" w:sz="4" w:space="0" w:color="000000"/>
            </w:tcBorders>
            <w:vAlign w:val="center"/>
          </w:tcPr>
          <w:p w14:paraId="26B5F5EE"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color w:val="auto"/>
              </w:rPr>
              <w:t>Prilog II.A</w:t>
            </w:r>
          </w:p>
        </w:tc>
      </w:tr>
      <w:tr w:rsidR="00FF1E38" w:rsidRPr="00FF1E38" w14:paraId="7C2C2ACB" w14:textId="77777777" w:rsidTr="00DE0C9A">
        <w:trPr>
          <w:cantSplit/>
          <w:tblHeader/>
        </w:trPr>
        <w:tc>
          <w:tcPr>
            <w:tcW w:w="1984" w:type="dxa"/>
            <w:tcBorders>
              <w:top w:val="single" w:sz="4" w:space="0" w:color="000000"/>
              <w:left w:val="single" w:sz="4" w:space="0" w:color="000000"/>
              <w:bottom w:val="single" w:sz="4" w:space="0" w:color="000000"/>
              <w:right w:val="single" w:sz="4" w:space="0" w:color="000000"/>
            </w:tcBorders>
            <w:vAlign w:val="center"/>
          </w:tcPr>
          <w:p w14:paraId="33BB7BE8"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color w:val="auto"/>
              </w:rPr>
              <w:t>LEDO plus, društvo s ograničenom odgovornošću za proizvodnju i promet sladoleda i smrznute hrane</w:t>
            </w:r>
          </w:p>
        </w:tc>
        <w:tc>
          <w:tcPr>
            <w:tcW w:w="1984" w:type="dxa"/>
            <w:tcBorders>
              <w:top w:val="single" w:sz="4" w:space="0" w:color="000000"/>
              <w:left w:val="single" w:sz="4" w:space="0" w:color="000000"/>
              <w:bottom w:val="single" w:sz="4" w:space="0" w:color="000000"/>
              <w:right w:val="single" w:sz="4" w:space="0" w:color="000000"/>
            </w:tcBorders>
            <w:vAlign w:val="center"/>
          </w:tcPr>
          <w:p w14:paraId="3A8D403C"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color w:val="auto"/>
              </w:rPr>
              <w:t>LEDO plus d.o.o.</w:t>
            </w:r>
          </w:p>
        </w:tc>
        <w:tc>
          <w:tcPr>
            <w:tcW w:w="1985" w:type="dxa"/>
            <w:tcBorders>
              <w:top w:val="single" w:sz="4" w:space="0" w:color="000000"/>
              <w:left w:val="single" w:sz="4" w:space="0" w:color="000000"/>
              <w:bottom w:val="single" w:sz="4" w:space="0" w:color="000000"/>
              <w:right w:val="single" w:sz="4" w:space="0" w:color="000000"/>
            </w:tcBorders>
            <w:vAlign w:val="center"/>
          </w:tcPr>
          <w:p w14:paraId="57E6062D"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color w:val="auto"/>
              </w:rPr>
              <w:t xml:space="preserve">Čavićeva 9, </w:t>
            </w:r>
          </w:p>
          <w:p w14:paraId="2E87D805"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color w:val="auto"/>
              </w:rPr>
              <w:t>10000 ZAGREB</w:t>
            </w:r>
          </w:p>
        </w:tc>
        <w:tc>
          <w:tcPr>
            <w:tcW w:w="1701" w:type="dxa"/>
            <w:tcBorders>
              <w:top w:val="single" w:sz="4" w:space="0" w:color="000000"/>
              <w:left w:val="single" w:sz="4" w:space="0" w:color="000000"/>
              <w:bottom w:val="single" w:sz="4" w:space="0" w:color="000000"/>
              <w:right w:val="single" w:sz="4" w:space="0" w:color="000000"/>
            </w:tcBorders>
            <w:vAlign w:val="center"/>
          </w:tcPr>
          <w:p w14:paraId="2C771255"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color w:val="auto"/>
              </w:rPr>
              <w:t>10.52 Proizvodnja sladoleda</w:t>
            </w:r>
          </w:p>
        </w:tc>
        <w:tc>
          <w:tcPr>
            <w:tcW w:w="1418" w:type="dxa"/>
            <w:tcBorders>
              <w:top w:val="single" w:sz="4" w:space="0" w:color="000000"/>
              <w:left w:val="single" w:sz="4" w:space="0" w:color="000000"/>
              <w:bottom w:val="single" w:sz="4" w:space="0" w:color="000000"/>
              <w:right w:val="single" w:sz="4" w:space="0" w:color="000000"/>
            </w:tcBorders>
            <w:vAlign w:val="center"/>
          </w:tcPr>
          <w:p w14:paraId="6F070A89"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rPr>
            </w:pPr>
            <w:r w:rsidRPr="00FF1E38">
              <w:rPr>
                <w:rFonts w:ascii="Times New Roman" w:eastAsia="Times New Roman" w:hAnsi="Times New Roman" w:cs="Times New Roman"/>
                <w:color w:val="auto"/>
              </w:rPr>
              <w:t>Prilog II.A</w:t>
            </w:r>
          </w:p>
        </w:tc>
      </w:tr>
    </w:tbl>
    <w:p w14:paraId="4572A5DB" w14:textId="77777777" w:rsidR="00FF1E38" w:rsidRPr="00FF1E38" w:rsidRDefault="00FF1E38" w:rsidP="00FF1E38">
      <w:pPr>
        <w:spacing w:after="0" w:line="240" w:lineRule="auto"/>
        <w:ind w:left="0" w:right="0" w:firstLine="0"/>
        <w:jc w:val="center"/>
        <w:rPr>
          <w:rFonts w:ascii="Times New Roman" w:eastAsia="Calibri" w:hAnsi="Times New Roman" w:cs="Times New Roman"/>
          <w:i/>
          <w:color w:val="auto"/>
          <w:sz w:val="20"/>
          <w:szCs w:val="20"/>
          <w:lang w:eastAsia="en-US"/>
        </w:rPr>
      </w:pPr>
      <w:r w:rsidRPr="00FF1E38">
        <w:rPr>
          <w:rFonts w:ascii="Times New Roman" w:eastAsia="Calibri" w:hAnsi="Times New Roman" w:cs="Times New Roman"/>
          <w:i/>
          <w:color w:val="auto"/>
          <w:sz w:val="20"/>
          <w:szCs w:val="20"/>
          <w:lang w:eastAsia="en-US"/>
        </w:rPr>
        <w:t>Izvor: RPOT registar</w:t>
      </w:r>
    </w:p>
    <w:p w14:paraId="5A51A2FD" w14:textId="77777777" w:rsidR="00FF1E38" w:rsidRPr="00FF1E38" w:rsidRDefault="00FF1E38" w:rsidP="00FF1E38">
      <w:pPr>
        <w:spacing w:after="0" w:line="240" w:lineRule="auto"/>
        <w:ind w:left="0" w:right="0" w:firstLine="0"/>
        <w:rPr>
          <w:rFonts w:ascii="Times New Roman" w:hAnsi="Times New Roman" w:cs="Times New Roman"/>
          <w:sz w:val="24"/>
        </w:rPr>
      </w:pPr>
    </w:p>
    <w:p w14:paraId="08E6BB59"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Najvažniji meteorološki faktori koji utječu na širenje opasnih tvari u atmosferi su: vjetar, turbulencija i visina sloja miješanja. Na području istočnog dijela Grada Zagreba prevladavaju sjeverno-istočni vjetrovi. Na mjernoj postaji Peščenica vjetrovi su uglavnom slabi do umjereni. Prosječne godišnje brzine vjetra, ovisno o smjeru, kreću se između 1 i 3 m/s. Zbog kanaliziranja strujanja u smjeru pružanja Medvednice, najveće prosječne brzine imaju vjetrovi sjeveroistočnog i jugozapadnog smjera. Lokacija Terminala Žitnjak nalazi se u području s maksimalnim očekivanim intenzitetom potresa od 8° MSC skale. Postrojenja se nalaze u aluvijalnoj dolini rijeke Save koja zbog pucanja zaštitnog Savskog nasipa može biti poplavljena (zona s malom vjerojatnosti poplavljivanja).</w:t>
      </w:r>
    </w:p>
    <w:p w14:paraId="16AE0D57"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sz w:val="24"/>
        </w:rPr>
        <w:t>Najbliža vodocrpilišta na području Grada Zagreba postrojenjima na području Žitnjaka su crpilišta Sašnjak (kapaciteta 900 l/s), Žitnjak (kapaciteta 120 l/s), Petruševec (kapaciteta 2000 l/s) i Ivanja Reka (kapaciteta 250 l/s za zahvaćanje tehnološke vode).</w:t>
      </w:r>
      <w:r w:rsidRPr="00FF1E38">
        <w:rPr>
          <w:rFonts w:ascii="Times New Roman" w:hAnsi="Times New Roman" w:cs="Times New Roman"/>
          <w:b/>
          <w:sz w:val="24"/>
        </w:rPr>
        <w:t xml:space="preserve"> </w:t>
      </w:r>
      <w:r w:rsidRPr="00FF1E38">
        <w:rPr>
          <w:rFonts w:ascii="Times New Roman" w:hAnsi="Times New Roman" w:cs="Times New Roman"/>
          <w:sz w:val="24"/>
        </w:rPr>
        <w:t>Najbliže izvorište postrojenjima operatera je II. vodozaštitna zona strogog ograničenja izvorišta Petruševec. Lokacije postrojenja nalaze se u III. zoni zaštite navedenih izvorišta, u zoni ograničenja i kontrole. Zbog navedenoga, nužno je poduzeti sve mjere zaštite kojima bi se mogućnost ugroze izvorišta vode svela na najmanju moguću mjeru.</w:t>
      </w:r>
    </w:p>
    <w:p w14:paraId="2E428B70"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Na Žitnjaku, u predjelu Savica Šanci, smjestila se skupina manjih jezera, ostataka nekadašnjih savskih rukavaca i šljunčara, ukupne površine od 131,05 ha. To je zaštićeni krajobraz Savica, u smislu osobito vrijednog močvarnog staništa i dijela savskog priobalja. Na području Savice obitavaju 24 zaštićene vrste sisavaca (6 strogo zaštićenih vrsta šišmiša), 76 zaštićenih vrsta ptica, 6 strogo zaštićenih i 3 zaštićene vrste gmazova, 8 strogo zaštićenih i 8 zaštićenih vrsta vodozemaca i 2 vrste zaštićenih kukaca. U okruženju (zona od 1000 m) nalazi se zona zaštite A. Ova zona je područje iznimno dobro očuvane i osobito vrijedne povijesne strukture. Zona zaštite "A" valorizacijom je utvrđena za gradska naselja ili njihove dijelove </w:t>
      </w:r>
      <w:r w:rsidRPr="00FF1E38">
        <w:rPr>
          <w:rFonts w:ascii="Times New Roman" w:hAnsi="Times New Roman" w:cs="Times New Roman"/>
          <w:sz w:val="24"/>
        </w:rPr>
        <w:lastRenderedPageBreak/>
        <w:t>izraženih urbanističko-arhitektonskih, kulturno-povijesnih, pejsažnih ili ambijentalnih vrijednosti, naglašenog značenja za užu i širu sliku grada, s očuvanom graditeljskom strukturom visoke spomeničke vrijednosti. Na području zone zaštite 'A' primjenjuje se potpuna konzervatorska zaštita povijesne urbane strukture, prostornih i pejsažnih obilježja te pojedinačnih građevina. Od nepokretnih kulturnih dobara na području gradske četvrti Peščenica - Žitnjak u Registru kulturnih dobara Republike Hrvatske Ministarstva kulture zabilježeni su na adresi III. Petruševec 10 i Martinci 23 tradicijski stambeni objekti, a na adresi Martinci 57 zgrada stare škole. Područje očuvanog karaktera i pojedinačnih elemenata povijesne strukture udaljeno je oko 1900 m od postrojenja.</w:t>
      </w:r>
    </w:p>
    <w:p w14:paraId="49EC1071" w14:textId="77777777" w:rsidR="00FF1E38" w:rsidRPr="00FF1E38" w:rsidRDefault="00FF1E38" w:rsidP="00FF1E38">
      <w:pPr>
        <w:spacing w:after="0" w:line="240" w:lineRule="auto"/>
        <w:ind w:right="0"/>
        <w:rPr>
          <w:rFonts w:ascii="Times New Roman" w:hAnsi="Times New Roman" w:cs="Times New Roman"/>
          <w:sz w:val="24"/>
        </w:rPr>
      </w:pPr>
    </w:p>
    <w:p w14:paraId="003FA735" w14:textId="77777777" w:rsidR="00FF1E38" w:rsidRPr="00FF1E38" w:rsidRDefault="00FF1E38" w:rsidP="00FF1E38">
      <w:pPr>
        <w:spacing w:after="0" w:line="240" w:lineRule="auto"/>
        <w:ind w:left="0" w:right="0" w:firstLine="709"/>
        <w:rPr>
          <w:rFonts w:ascii="Times New Roman" w:hAnsi="Times New Roman" w:cs="Times New Roman"/>
          <w:b/>
          <w:sz w:val="24"/>
        </w:rPr>
      </w:pPr>
      <w:bookmarkStart w:id="87" w:name="_Toc2938605"/>
      <w:r w:rsidRPr="00FF1E38">
        <w:rPr>
          <w:rFonts w:ascii="Times New Roman" w:hAnsi="Times New Roman" w:cs="Times New Roman"/>
          <w:b/>
          <w:sz w:val="24"/>
        </w:rPr>
        <w:t>6.3.4. Uzrok</w:t>
      </w:r>
      <w:bookmarkEnd w:id="87"/>
    </w:p>
    <w:p w14:paraId="24FE3BC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Tehničko-tehnološka nesreća može nastati zbog istjecanja opasne tvari i/ili eksplozije u pogonu/postrojenju s opasnom tvari, što može rezultirati požarom, disperzijom toksičnog plina ili oblaka, ovisno o smjeru vjetra, na okolno područje, te zagađenjima tla, zraka i vode. Ovisno o vrsti, količini i maksimalnoj koncentraciji opasnih tvari te udaljenosti gospodarskih objekata od naseljenih područja, odnosno pogona/postrojenja koji obavljaju djelatnost povezanu s opasnim tvarima, moguć je nastanak tehničko-tehnoloških nesreća s mogućnošću prerastanja u veliku nesreću i katastrofu, posljedica koje može biti ugrožavanje života i zdravlja ljudi, okoliša, okolnog gospodarstva i mreža, sustava i objekata kritične infrastrukture.</w:t>
      </w:r>
    </w:p>
    <w:p w14:paraId="4848ED0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Uzrokom opasnosti smatra se događaj, smetnja u funkciji ili pak propust zaposlenika, a zbog kojih se može osloboditi opasna tvar iz izvora opasnosti te može doći do povezivanja u uzročno-posljedični lanac događaja koji, iako svaki sam za sebe nije dovoljan uzrok ugrožavanja, zbog pretpostavljenog povezivanja događaja realna su opasnost.</w:t>
      </w:r>
    </w:p>
    <w:p w14:paraId="30B93D2B"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Rizici koji iz ovih okolnosti proizlaze, a mogu uzrokovati veliku nesreću, kategorizirani su na sljedeći način:</w:t>
      </w:r>
    </w:p>
    <w:p w14:paraId="4D6C737C" w14:textId="77777777" w:rsidR="00FF1E38" w:rsidRPr="00FF1E38" w:rsidRDefault="00FF1E38" w:rsidP="00FF1E38">
      <w:pPr>
        <w:spacing w:after="0" w:line="240" w:lineRule="auto"/>
        <w:ind w:left="1049" w:right="0" w:hanging="340"/>
        <w:rPr>
          <w:rFonts w:ascii="Times New Roman" w:hAnsi="Times New Roman" w:cs="Times New Roman"/>
          <w:sz w:val="24"/>
        </w:rPr>
      </w:pPr>
      <w:r w:rsidRPr="00FF1E38">
        <w:rPr>
          <w:rFonts w:ascii="Times New Roman" w:hAnsi="Times New Roman" w:cs="Times New Roman"/>
          <w:sz w:val="24"/>
        </w:rPr>
        <w:t>a)</w:t>
      </w:r>
      <w:r w:rsidRPr="00FF1E38">
        <w:rPr>
          <w:rFonts w:ascii="Times New Roman" w:hAnsi="Times New Roman" w:cs="Times New Roman"/>
          <w:sz w:val="24"/>
        </w:rPr>
        <w:tab/>
        <w:t>Ljudski faktor:</w:t>
      </w:r>
    </w:p>
    <w:p w14:paraId="54974638" w14:textId="77777777" w:rsidR="00FF1E38" w:rsidRPr="00FF1E38" w:rsidRDefault="00FF1E38" w:rsidP="00FF1E38">
      <w:pPr>
        <w:spacing w:after="0" w:line="240" w:lineRule="auto"/>
        <w:ind w:left="1191"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nepridržavanje radne discipline i nepoštivanje radnih propisa o rukovanju i održavanju postrojenja; nepažnja, nemar ili nebriga na radu, nepravilno rukovanje;</w:t>
      </w:r>
    </w:p>
    <w:p w14:paraId="4A6DBAF1" w14:textId="77777777" w:rsidR="00FF1E38" w:rsidRPr="00FF1E38" w:rsidRDefault="00FF1E38" w:rsidP="00FF1E38">
      <w:pPr>
        <w:spacing w:after="0" w:line="240" w:lineRule="auto"/>
        <w:ind w:left="1191"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nepridržavanje mjera sigurnosti;</w:t>
      </w:r>
    </w:p>
    <w:p w14:paraId="6EA99F44" w14:textId="77777777" w:rsidR="00FF1E38" w:rsidRPr="00FF1E38" w:rsidRDefault="00FF1E38" w:rsidP="00FF1E38">
      <w:pPr>
        <w:spacing w:after="0" w:line="240" w:lineRule="auto"/>
        <w:ind w:left="1191"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nepridržavanje mjera sigurnosti pri izvođenju radova u krugu postrojenja od strane izvođača radova;</w:t>
      </w:r>
    </w:p>
    <w:p w14:paraId="7C4FED3C" w14:textId="77777777" w:rsidR="00FF1E38" w:rsidRPr="00FF1E38" w:rsidRDefault="00FF1E38" w:rsidP="00FF1E38">
      <w:pPr>
        <w:spacing w:after="0" w:line="240" w:lineRule="auto"/>
        <w:ind w:left="1191"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neprovođenje mjera protueksplozijske zaštite na tehnološkim postrojenjima; - nepridržavanje zakonskih odredbi, uputa i pravila struke općenito.</w:t>
      </w:r>
    </w:p>
    <w:p w14:paraId="214D089D" w14:textId="77777777" w:rsidR="00FF1E38" w:rsidRPr="00FF1E38" w:rsidRDefault="00FF1E38" w:rsidP="00FF1E38">
      <w:pPr>
        <w:spacing w:after="0" w:line="240" w:lineRule="auto"/>
        <w:ind w:left="1049" w:right="0" w:hanging="340"/>
        <w:rPr>
          <w:rFonts w:ascii="Times New Roman" w:hAnsi="Times New Roman" w:cs="Times New Roman"/>
          <w:sz w:val="24"/>
        </w:rPr>
      </w:pPr>
      <w:r w:rsidRPr="00FF1E38">
        <w:rPr>
          <w:rFonts w:ascii="Times New Roman" w:hAnsi="Times New Roman" w:cs="Times New Roman"/>
          <w:sz w:val="24"/>
        </w:rPr>
        <w:t>b)</w:t>
      </w:r>
      <w:r w:rsidRPr="00FF1E38">
        <w:rPr>
          <w:rFonts w:ascii="Times New Roman" w:hAnsi="Times New Roman" w:cs="Times New Roman"/>
          <w:sz w:val="24"/>
        </w:rPr>
        <w:tab/>
        <w:t>Poremećaji tehnološkog procesa</w:t>
      </w:r>
    </w:p>
    <w:p w14:paraId="23504594" w14:textId="77777777" w:rsidR="00FF1E38" w:rsidRPr="00FF1E38" w:rsidRDefault="00FF1E38" w:rsidP="00FF1E38">
      <w:pPr>
        <w:spacing w:after="0" w:line="240" w:lineRule="auto"/>
        <w:ind w:left="1191"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neispravnost strojeva, uređaja i/ili opreme;</w:t>
      </w:r>
    </w:p>
    <w:p w14:paraId="598A10BC" w14:textId="77777777" w:rsidR="00FF1E38" w:rsidRPr="00FF1E38" w:rsidRDefault="00FF1E38" w:rsidP="00FF1E38">
      <w:pPr>
        <w:spacing w:after="0" w:line="240" w:lineRule="auto"/>
        <w:ind w:left="1191"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neurednost i nečistoće puteva i ostalih radnih i manipulativnih površina;</w:t>
      </w:r>
    </w:p>
    <w:p w14:paraId="20B0F190" w14:textId="77777777" w:rsidR="00FF1E38" w:rsidRPr="00FF1E38" w:rsidRDefault="00FF1E38" w:rsidP="00FF1E38">
      <w:pPr>
        <w:spacing w:after="0" w:line="240" w:lineRule="auto"/>
        <w:ind w:left="1191"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oštećenje električnih instalacija;</w:t>
      </w:r>
    </w:p>
    <w:p w14:paraId="3F2FDF0E" w14:textId="77777777" w:rsidR="00FF1E38" w:rsidRPr="00FF1E38" w:rsidRDefault="00FF1E38" w:rsidP="00FF1E38">
      <w:pPr>
        <w:spacing w:after="0" w:line="240" w:lineRule="auto"/>
        <w:ind w:left="1191"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oštećenje, propuštanje i/ili pucanje stjenke / plašta spremnika;</w:t>
      </w:r>
    </w:p>
    <w:p w14:paraId="2A8CE957" w14:textId="77777777" w:rsidR="00FF1E38" w:rsidRPr="00FF1E38" w:rsidRDefault="00FF1E38" w:rsidP="00FF1E38">
      <w:pPr>
        <w:spacing w:after="0" w:line="240" w:lineRule="auto"/>
        <w:ind w:left="1191"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propuštanje medija na ventilima, brtvama i spojevima;</w:t>
      </w:r>
    </w:p>
    <w:p w14:paraId="7AE06C7E" w14:textId="77777777" w:rsidR="00FF1E38" w:rsidRPr="00FF1E38" w:rsidRDefault="00FF1E38" w:rsidP="00FF1E38">
      <w:pPr>
        <w:spacing w:after="0" w:line="240" w:lineRule="auto"/>
        <w:ind w:left="1191"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propuštanje i/ili pucanje cjevovoda;</w:t>
      </w:r>
    </w:p>
    <w:p w14:paraId="0EAF1F54" w14:textId="77777777" w:rsidR="00FF1E38" w:rsidRPr="00FF1E38" w:rsidRDefault="00FF1E38" w:rsidP="00FF1E38">
      <w:pPr>
        <w:spacing w:after="0" w:line="240" w:lineRule="auto"/>
        <w:ind w:left="1191"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neispravnost mjernih instrumenata, detekcijskih i alarmnih uređaja;</w:t>
      </w:r>
    </w:p>
    <w:p w14:paraId="6F518F3D" w14:textId="77777777" w:rsidR="00FF1E38" w:rsidRPr="00FF1E38" w:rsidRDefault="00FF1E38" w:rsidP="00FF1E38">
      <w:pPr>
        <w:spacing w:after="0" w:line="240" w:lineRule="auto"/>
        <w:ind w:left="1191"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neispravnost opreme općenito;</w:t>
      </w:r>
    </w:p>
    <w:p w14:paraId="26F0FA11" w14:textId="77777777" w:rsidR="00FF1E38" w:rsidRPr="00FF1E38" w:rsidRDefault="00FF1E38" w:rsidP="00FF1E38">
      <w:pPr>
        <w:spacing w:after="0" w:line="240" w:lineRule="auto"/>
        <w:ind w:left="1191"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neispravna ili neodgovarajuća zaštita od previsokog dodirnog napona;</w:t>
      </w:r>
    </w:p>
    <w:p w14:paraId="05B62F07" w14:textId="77777777" w:rsidR="00FF1E38" w:rsidRPr="00FF1E38" w:rsidRDefault="00FF1E38" w:rsidP="00FF1E38">
      <w:pPr>
        <w:spacing w:after="0" w:line="240" w:lineRule="auto"/>
        <w:ind w:left="1191"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oštećenje/neispravnost transportnih sredstava zbog slabe antikorozivne zaštite, preopterećenja ili mehaničkim putem;</w:t>
      </w:r>
    </w:p>
    <w:p w14:paraId="3936D2A5" w14:textId="77777777" w:rsidR="00FF1E38" w:rsidRPr="00FF1E38" w:rsidRDefault="00FF1E38" w:rsidP="00FF1E38">
      <w:pPr>
        <w:spacing w:after="0" w:line="240" w:lineRule="auto"/>
        <w:ind w:left="1191"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požar na objektu ili u skladišnom prostoru.</w:t>
      </w:r>
    </w:p>
    <w:p w14:paraId="073BD923" w14:textId="77777777" w:rsidR="00FF1E38" w:rsidRPr="00FF1E38" w:rsidRDefault="00FF1E38" w:rsidP="00FF1E38">
      <w:pPr>
        <w:spacing w:after="0" w:line="240" w:lineRule="auto"/>
        <w:ind w:left="1049" w:right="0" w:hanging="340"/>
        <w:rPr>
          <w:rFonts w:ascii="Times New Roman" w:hAnsi="Times New Roman" w:cs="Times New Roman"/>
          <w:sz w:val="24"/>
        </w:rPr>
      </w:pPr>
      <w:r w:rsidRPr="00FF1E38">
        <w:rPr>
          <w:rFonts w:ascii="Times New Roman" w:hAnsi="Times New Roman" w:cs="Times New Roman"/>
          <w:sz w:val="24"/>
          <w:u w:color="000000"/>
        </w:rPr>
        <w:t>c)</w:t>
      </w:r>
      <w:r w:rsidRPr="00FF1E38">
        <w:rPr>
          <w:rFonts w:ascii="Times New Roman" w:hAnsi="Times New Roman" w:cs="Times New Roman"/>
          <w:sz w:val="24"/>
          <w:u w:color="000000"/>
        </w:rPr>
        <w:tab/>
      </w:r>
      <w:r w:rsidRPr="00FF1E38">
        <w:rPr>
          <w:rFonts w:ascii="Times New Roman" w:hAnsi="Times New Roman" w:cs="Times New Roman"/>
          <w:sz w:val="24"/>
        </w:rPr>
        <w:t>Elementarne nepogode jačeg intenziteta: potres, požar, olujno nevrijeme, udar groma, ekstremni snježni nanosi, poplava.</w:t>
      </w:r>
    </w:p>
    <w:p w14:paraId="1E05DB59" w14:textId="77777777" w:rsidR="00FF1E38" w:rsidRPr="00FF1E38" w:rsidRDefault="00FF1E38" w:rsidP="00FF1E38">
      <w:pPr>
        <w:spacing w:after="0" w:line="240" w:lineRule="auto"/>
        <w:ind w:left="1049" w:right="0" w:hanging="340"/>
        <w:rPr>
          <w:rFonts w:ascii="Times New Roman" w:hAnsi="Times New Roman" w:cs="Times New Roman"/>
          <w:sz w:val="24"/>
        </w:rPr>
      </w:pPr>
      <w:r w:rsidRPr="00FF1E38">
        <w:rPr>
          <w:rFonts w:ascii="Times New Roman" w:hAnsi="Times New Roman" w:cs="Times New Roman"/>
          <w:sz w:val="24"/>
          <w:u w:color="000000"/>
        </w:rPr>
        <w:t>d)</w:t>
      </w:r>
      <w:r w:rsidRPr="00FF1E38">
        <w:rPr>
          <w:rFonts w:ascii="Times New Roman" w:hAnsi="Times New Roman" w:cs="Times New Roman"/>
          <w:sz w:val="24"/>
          <w:u w:color="000000"/>
        </w:rPr>
        <w:tab/>
      </w:r>
      <w:r w:rsidRPr="00FF1E38">
        <w:rPr>
          <w:rFonts w:ascii="Times New Roman" w:hAnsi="Times New Roman" w:cs="Times New Roman"/>
          <w:sz w:val="24"/>
        </w:rPr>
        <w:t>Neovlašteno djelovanje treće strane: organizirani kriminal, terorizam, sabotaže, ratno stanje.</w:t>
      </w:r>
    </w:p>
    <w:p w14:paraId="61BCB1AF"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lastRenderedPageBreak/>
        <w:t>6.3.4.1. Razvoj događaja koji prethodi velikoj nesreći</w:t>
      </w:r>
    </w:p>
    <w:p w14:paraId="1EF963F0"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spremniku s ukapljenim naftnim plinom rastu temperatura i tlak te ukapljeni naftni plin postaje "prezasićen" energijom. Mjerni instrumenti ne prikazuju ispravno razvoj situacije te hlađenje spremnika i odvođenje viška tlaka kroz sigurnosni ventil nisu dovoljni. Pare ukapljenog naftnog plina (u kuglastim spremnicima smjesa propan-butan; u valjkastima komercijalni propan) teže su od zraka te se mogu proširiti prateći konfiguraciju terena na znatne udaljenosti od mjesta propuštanja. Ukapljeni naftni plin sa zrakom stvara eksplozivne smjese (već kod koncentracije 1,9 % volumnih u smjesi sa zrakom) koje lako eksplodiraju u dodiru s vrućim predmetima, iskrom ili otvorenim plamenom. Prilikom dodira nezaštićenih dijelova tijela s tekućom fazom ukapljenog naftnog plina može doći do oštećenja kože i očiju sličnih opeklinama.</w:t>
      </w:r>
    </w:p>
    <w:p w14:paraId="607BAE1A" w14:textId="77777777" w:rsidR="00FF1E38" w:rsidRPr="00FF1E38" w:rsidRDefault="00FF1E38" w:rsidP="00FF1E38">
      <w:pPr>
        <w:spacing w:after="0" w:line="240" w:lineRule="auto"/>
        <w:ind w:right="0"/>
        <w:rPr>
          <w:rFonts w:ascii="Times New Roman" w:hAnsi="Times New Roman" w:cs="Times New Roman"/>
          <w:sz w:val="24"/>
        </w:rPr>
      </w:pPr>
    </w:p>
    <w:p w14:paraId="03D2F2F7"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t>6.3.4.2. Okidač koji je uzrokovao veliku nesreću</w:t>
      </w:r>
    </w:p>
    <w:p w14:paraId="4EBFA733"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Ako na kuglastom spremniku na visini od 1 m probije sadržaj, iz bilo kojeg razloga i ako ne uslijedi tehnička intervencija koja bi to širenje spriječila, dolazi do istjecanja kapljevine i istodobne disperzije plinovite faze ukapljenog naftnog plina. Kako se oblak širi, kapljice isparavaju i tekuća faza se</w:t>
      </w:r>
      <w:r w:rsidRPr="00FF1E38">
        <w:rPr>
          <w:rFonts w:ascii="Times New Roman" w:hAnsi="Times New Roman" w:cs="Times New Roman"/>
          <w:b/>
          <w:sz w:val="24"/>
        </w:rPr>
        <w:t xml:space="preserve"> </w:t>
      </w:r>
      <w:r w:rsidRPr="00FF1E38">
        <w:rPr>
          <w:rFonts w:ascii="Times New Roman" w:hAnsi="Times New Roman" w:cs="Times New Roman"/>
          <w:sz w:val="24"/>
        </w:rPr>
        <w:t>smanjuje. Isparavanje uzrokuje hlađenje tekuće faze. Smanjenjem udjela tekuće faze raste temperatura plinovite (klasa atmosferske stabilnosti F, temperatura 25°C, brzina vjetra 1,5 m/s). Isparavanje iz lokve je moguće smanjiti njezinim prekrivanjem slojem zračne pjene visoke ekspanzije, a stvoreni oblak je moguće razrijediti/razbiti primjenom vodenog spreja. Kasna eksplozija se događa na fronti proširenog oblaka. Količina zapaljive tvari koja sudjeluje u eksploziji zadana je granicama eksplozivnosti u vrijeme zapaljenja.</w:t>
      </w:r>
    </w:p>
    <w:p w14:paraId="297E3595"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Slijedom navedenoga, može se zaključiti da je razaranje spremnika zbog izvanrednog događaja te ispuštanje cjelokupne količine opasne tvari iz spremnika okidač koji je uzrokovao veliku nesreću.</w:t>
      </w:r>
    </w:p>
    <w:p w14:paraId="69DA57BD" w14:textId="77777777" w:rsidR="00FF1E38" w:rsidRPr="00FF1E38" w:rsidRDefault="00FF1E38" w:rsidP="00FF1E38">
      <w:pPr>
        <w:spacing w:after="0" w:line="240" w:lineRule="auto"/>
        <w:ind w:right="0"/>
        <w:rPr>
          <w:rFonts w:ascii="Times New Roman" w:hAnsi="Times New Roman" w:cs="Times New Roman"/>
          <w:sz w:val="24"/>
        </w:rPr>
      </w:pPr>
    </w:p>
    <w:p w14:paraId="7864D9DA" w14:textId="77777777" w:rsidR="00FF1E38" w:rsidRPr="00FF1E38" w:rsidRDefault="00FF1E38" w:rsidP="00FF1E38">
      <w:pPr>
        <w:spacing w:after="0" w:line="240" w:lineRule="auto"/>
        <w:ind w:left="0" w:right="0" w:firstLine="709"/>
        <w:rPr>
          <w:rFonts w:ascii="Times New Roman" w:hAnsi="Times New Roman" w:cs="Times New Roman"/>
          <w:b/>
          <w:sz w:val="24"/>
        </w:rPr>
      </w:pPr>
      <w:bookmarkStart w:id="88" w:name="_Toc2938606"/>
      <w:r w:rsidRPr="00FF1E38">
        <w:rPr>
          <w:rFonts w:ascii="Times New Roman" w:hAnsi="Times New Roman" w:cs="Times New Roman"/>
          <w:b/>
          <w:sz w:val="24"/>
        </w:rPr>
        <w:t>6.3.5. Opis događaja</w:t>
      </w:r>
      <w:bookmarkEnd w:id="88"/>
    </w:p>
    <w:p w14:paraId="50068B7D" w14:textId="77777777" w:rsidR="00FF1E38" w:rsidRPr="00FF1E38" w:rsidRDefault="00FF1E38" w:rsidP="00FF1E38">
      <w:pPr>
        <w:spacing w:after="0" w:line="240" w:lineRule="auto"/>
        <w:ind w:left="0" w:right="0" w:firstLine="709"/>
        <w:rPr>
          <w:rFonts w:ascii="Times New Roman" w:hAnsi="Times New Roman" w:cs="Times New Roman"/>
          <w:i/>
          <w:sz w:val="24"/>
        </w:rPr>
      </w:pPr>
      <w:r w:rsidRPr="00FF1E38">
        <w:rPr>
          <w:rFonts w:ascii="Times New Roman" w:hAnsi="Times New Roman" w:cs="Times New Roman"/>
          <w:i/>
          <w:sz w:val="24"/>
          <w:u w:val="single" w:color="000000"/>
        </w:rPr>
        <w:t>Napomena</w:t>
      </w:r>
      <w:r w:rsidRPr="00FF1E38">
        <w:rPr>
          <w:rFonts w:ascii="Times New Roman" w:hAnsi="Times New Roman" w:cs="Times New Roman"/>
          <w:i/>
          <w:sz w:val="24"/>
        </w:rPr>
        <w:t>:</w:t>
      </w:r>
      <w:r w:rsidRPr="00FF1E38">
        <w:rPr>
          <w:rFonts w:ascii="Times New Roman" w:hAnsi="Times New Roman" w:cs="Times New Roman"/>
          <w:b/>
          <w:i/>
          <w:sz w:val="24"/>
        </w:rPr>
        <w:t xml:space="preserve"> </w:t>
      </w:r>
      <w:r w:rsidRPr="00FF1E38">
        <w:rPr>
          <w:rFonts w:ascii="Times New Roman" w:hAnsi="Times New Roman" w:cs="Times New Roman"/>
          <w:i/>
          <w:sz w:val="24"/>
        </w:rPr>
        <w:t>Scenarij je orijentacijski i opisuje najgoru moguću situaciju. Mala je vjerojatnost da sve okolnosti budu najnepovoljnije, ali se u scenariju opisuje skup svih mogućih a malo izglednih događaja povezanih s prijetnjom. Cilj tako postavljenog scenarija je potaknuti na promišljanje o preventivnim mjerama koje je potrebno poduzeti kako bi se smanjio rizik i ojačala spremnost. Izborom određenih postrojenja kao inicijatora neželjenih događaja ne insinuira se da su navedeni objekti nesigurni ili da se loše ili nedovoljno održavaju. Scenarij je izrađen na temelju Izvješća o sigurnosti pravnih osoba i scenarija najgorih mogućih događaja vrlo male vjerojatnosti pojavljivanja. Ne očekuje se domino-efekt između postrojenja UNP Terminal i HEP TE-TO Zagreb iako se drugo postrojenje nalazi unutar zone utjecaja eksplozije</w:t>
      </w:r>
      <w:r w:rsidRPr="00FF1E38">
        <w:rPr>
          <w:rFonts w:ascii="Times New Roman" w:eastAsia="Calibri" w:hAnsi="Times New Roman" w:cs="Times New Roman"/>
          <w:sz w:val="24"/>
        </w:rPr>
        <w:t xml:space="preserve"> </w:t>
      </w:r>
      <w:r w:rsidRPr="00FF1E38">
        <w:rPr>
          <w:rFonts w:ascii="Times New Roman" w:hAnsi="Times New Roman" w:cs="Times New Roman"/>
          <w:i/>
          <w:sz w:val="24"/>
        </w:rPr>
        <w:t>spremnika</w:t>
      </w:r>
      <w:r w:rsidRPr="00FF1E38">
        <w:rPr>
          <w:rFonts w:ascii="Times New Roman" w:hAnsi="Times New Roman" w:cs="Times New Roman"/>
          <w:i/>
          <w:sz w:val="24"/>
          <w:vertAlign w:val="superscript"/>
        </w:rPr>
        <w:t xml:space="preserve"> </w:t>
      </w:r>
      <w:r w:rsidRPr="00FF1E38">
        <w:rPr>
          <w:rFonts w:ascii="Times New Roman" w:hAnsi="Times New Roman" w:cs="Times New Roman"/>
          <w:i/>
          <w:sz w:val="24"/>
        </w:rPr>
        <w:t>prvog postrojenja, ali po proračunima eksplozija na toj udaljenosti ne bi trebala biti toliko razorna da uništi spremnik na drugom postrojenju. Ipak, kako bi se dobila cjelovitija slika posljedica industrijskih nesreća na području Grada Zagreba, a s obzirom na to da će akcident na postrojenju TE-TO imati najveće negativne posljedice na području Grada Zagreba, u ovom scenariju se do promjene/nadopune Smjernica na temelju kojih se ovaj dokument izrađuje, taj utjecaj prikazuje kao da ima razornu moć na toj udaljenosti (smatra se domino-efektom).</w:t>
      </w:r>
    </w:p>
    <w:p w14:paraId="262207AA"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U spremniku s ukapljenim naftnim plinom postrojenja OBJEKT UNP 1 Zagreb rastu temperatura i tlak. Mjerni instrumenti su otkazali pa hlađenje spremnika i odvođenje viška tlaka kroz sigurnosni ventil nisu dovoljni. Neželjeni proces započinje širenjem početnog volumena ukapljenog naftnog plina i povećanjem djelovanja tlaka na stjenke spremnika. Spremnik puca, a udarni val koji se stvara putuje brže od zraka. Fluid se širi sferno i u početku se miješa sa zrakom zbog čega nastaju mjehuraste površine. Nakon inicijalnog udarnog vala stvara se vakuum, odnosno vrlo razrijeđeni zrak u središtu eksplozije, a zatim vrlo snažan povratni udarni </w:t>
      </w:r>
      <w:r w:rsidRPr="00FF1E38">
        <w:rPr>
          <w:rFonts w:ascii="Times New Roman" w:hAnsi="Times New Roman" w:cs="Times New Roman"/>
          <w:sz w:val="24"/>
        </w:rPr>
        <w:lastRenderedPageBreak/>
        <w:t>val. Kada energijom prezasićeni ukapljeni naftni plin naglo isparava, uz pojavu električnih iskri ili otvorenog plamena, pali se i stvara vatrenu loptu koja se penje u visinu (s izgledom "gljive" atomske eksplozije) te dolazi do eksplozije oblaka para. Nakon što je dostignut maksimalan radijus, sustav nastavlja oscilirati stvarajući sve manje udarne valove do potpunog smirivanja. Vatrena lopta osim djelovanja na okoliš udarnim tlakom, intenzivno isijava toplinsku energiju. Uzgonske struje povlače sitnije predmete koji se pale i razbacuju uokrug šireći požar. Izračunati radijus vatrene lopte je 212 m na visini od 425 m; trajanja 24 sekundi i emitirane snage 315 kW/m</w:t>
      </w:r>
      <w:r w:rsidRPr="00FF1E38">
        <w:rPr>
          <w:rFonts w:ascii="Times New Roman" w:hAnsi="Times New Roman" w:cs="Times New Roman"/>
          <w:sz w:val="24"/>
          <w:vertAlign w:val="superscript"/>
        </w:rPr>
        <w:t>2</w:t>
      </w:r>
      <w:r w:rsidRPr="00FF1E38">
        <w:rPr>
          <w:rFonts w:ascii="Times New Roman" w:hAnsi="Times New Roman" w:cs="Times New Roman"/>
          <w:sz w:val="24"/>
        </w:rPr>
        <w:t>. Intenzitet toplinskog zračenja nastalog događajem osjeća se na udaljenosti od 1310 m. Radijus zone razornosti udarnog vala</w:t>
      </w:r>
      <w:r w:rsidRPr="00FF1E38">
        <w:rPr>
          <w:rFonts w:ascii="Times New Roman" w:eastAsia="Times New Roman" w:hAnsi="Times New Roman" w:cs="Times New Roman"/>
          <w:sz w:val="24"/>
        </w:rPr>
        <w:t xml:space="preserve"> </w:t>
      </w:r>
      <w:r w:rsidRPr="00FF1E38">
        <w:rPr>
          <w:rFonts w:ascii="Times New Roman" w:hAnsi="Times New Roman" w:cs="Times New Roman"/>
          <w:sz w:val="24"/>
        </w:rPr>
        <w:t>eksplozije pregrijanog spremnika s plinom proteže se na udaljenost od 1803 m</w:t>
      </w:r>
      <w:r w:rsidRPr="00FF1E38">
        <w:rPr>
          <w:rFonts w:ascii="Times New Roman" w:hAnsi="Times New Roman" w:cs="Times New Roman"/>
          <w:sz w:val="24"/>
          <w:vertAlign w:val="superscript"/>
        </w:rPr>
        <w:footnoteReference w:id="45"/>
      </w:r>
      <w:r w:rsidRPr="00FF1E38">
        <w:rPr>
          <w:rFonts w:ascii="Times New Roman" w:hAnsi="Times New Roman" w:cs="Times New Roman"/>
          <w:sz w:val="24"/>
        </w:rPr>
        <w:t>.</w:t>
      </w:r>
    </w:p>
    <w:p w14:paraId="028CC2A7"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slučaju eksplozije ukapljenog plina, koji je iz tekuće faze smanjenjem tlaka prešao u plinovitu fazu, javlja se:</w:t>
      </w:r>
    </w:p>
    <w:p w14:paraId="6D14357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u w:color="000000"/>
        </w:rPr>
        <w:t xml:space="preserve">- </w:t>
      </w:r>
      <w:r w:rsidRPr="00FF1E38">
        <w:rPr>
          <w:rFonts w:ascii="Times New Roman" w:hAnsi="Times New Roman" w:cs="Times New Roman"/>
          <w:sz w:val="24"/>
        </w:rPr>
        <w:t>zračni udarni val,</w:t>
      </w:r>
    </w:p>
    <w:p w14:paraId="3B54FECA"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u w:color="000000"/>
        </w:rPr>
        <w:t xml:space="preserve">- </w:t>
      </w:r>
      <w:r w:rsidRPr="00FF1E38">
        <w:rPr>
          <w:rFonts w:ascii="Times New Roman" w:hAnsi="Times New Roman" w:cs="Times New Roman"/>
          <w:sz w:val="24"/>
        </w:rPr>
        <w:t>seizmičko djelovanje,</w:t>
      </w:r>
    </w:p>
    <w:p w14:paraId="46BF5809"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u w:color="000000"/>
        </w:rPr>
        <w:t xml:space="preserve">- </w:t>
      </w:r>
      <w:r w:rsidRPr="00FF1E38">
        <w:rPr>
          <w:rFonts w:ascii="Times New Roman" w:hAnsi="Times New Roman" w:cs="Times New Roman"/>
          <w:sz w:val="24"/>
        </w:rPr>
        <w:t>rasprskavanje sredstava i okolnog materijala,</w:t>
      </w:r>
    </w:p>
    <w:p w14:paraId="35A12424"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u w:color="000000"/>
        </w:rPr>
        <w:t xml:space="preserve">- </w:t>
      </w:r>
      <w:r w:rsidRPr="00FF1E38">
        <w:rPr>
          <w:rFonts w:ascii="Times New Roman" w:hAnsi="Times New Roman" w:cs="Times New Roman"/>
          <w:sz w:val="24"/>
        </w:rPr>
        <w:t>stvaranje određene količine plinovitih produkata.</w:t>
      </w:r>
    </w:p>
    <w:p w14:paraId="01F44EE0" w14:textId="77777777" w:rsidR="00FF1E38" w:rsidRPr="00FF1E38" w:rsidRDefault="00FF1E38" w:rsidP="00FF1E38">
      <w:pPr>
        <w:spacing w:after="0" w:line="240" w:lineRule="auto"/>
        <w:ind w:left="0" w:right="0" w:firstLine="709"/>
        <w:rPr>
          <w:rFonts w:ascii="Times New Roman" w:hAnsi="Times New Roman" w:cs="Times New Roman"/>
          <w:sz w:val="24"/>
        </w:rPr>
      </w:pPr>
      <w:bookmarkStart w:id="89" w:name="zadnji"/>
      <w:r w:rsidRPr="00FF1E38">
        <w:rPr>
          <w:rFonts w:ascii="Times New Roman" w:hAnsi="Times New Roman" w:cs="Times New Roman"/>
          <w:sz w:val="24"/>
        </w:rPr>
        <w:t>Pri ekspl</w:t>
      </w:r>
      <w:bookmarkEnd w:id="89"/>
      <w:r w:rsidRPr="00FF1E38">
        <w:rPr>
          <w:rFonts w:ascii="Times New Roman" w:hAnsi="Times New Roman" w:cs="Times New Roman"/>
          <w:sz w:val="24"/>
        </w:rPr>
        <w:t>oziji zbog naglog povećanja tlaka plinova nastaje zračni udarni val. Možemo ga podijeliti u fazu kompresije, odn. predtlaka i na fazu podtlaka. Zračni udarni val može prouzročiti znatna oštećenja organizma ako se osoba nalazi na udaljenosti od središta eksplozije na kojoj je nadtlak takav da uzrokuje navedena oštećenja. Jednako tako, zračni udarni val može oštetiti i građevne objekte u okruženju. Tijekom eksplozije ukapljenog plina formiranog u aerosolnom oblaku, dio oslobođene energije pretvara se u kinetičku energiju seizmičkih valova, koji se od mjesta detonacije šire radijalno na sve strane te uzrokuju razne vrste šteta. Seizmičko djelovanje iznimno je opasno za podzemnu infrastrukturu. Nastala oštećenja na objektima mogu biti izazvana kombinacijom različitih parametara - količinom ukapljenog plina koji je "pobjegao", veličinom aerosolnog oblaka i uvjetovanim vremenskim prilikama. U biti, eksplozija u tlu je umjetno izazvan potres s razlikom da pri standardnom potresu nema pojave rasprskavanja, zračnog udarnog vala i toplinskog djelovanja.</w:t>
      </w:r>
    </w:p>
    <w:p w14:paraId="14829A08"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Utjecaj nesreće doveo je do domino-efekta</w:t>
      </w:r>
      <w:r w:rsidRPr="00FF1E38">
        <w:rPr>
          <w:rFonts w:ascii="Times New Roman" w:hAnsi="Times New Roman" w:cs="Times New Roman"/>
          <w:sz w:val="24"/>
          <w:vertAlign w:val="superscript"/>
        </w:rPr>
        <w:footnoteReference w:id="46"/>
      </w:r>
      <w:r w:rsidRPr="00FF1E38">
        <w:rPr>
          <w:rFonts w:ascii="Times New Roman" w:hAnsi="Times New Roman" w:cs="Times New Roman"/>
          <w:sz w:val="24"/>
        </w:rPr>
        <w:t xml:space="preserve"> jer se u okruženju skladište zapaljive/eksplozivne tvari. Došlo je do međusobnog utjecaja spremnika JANAF</w:t>
      </w:r>
      <w:r w:rsidRPr="00FF1E38">
        <w:rPr>
          <w:rFonts w:ascii="Times New Roman" w:hAnsi="Times New Roman" w:cs="Times New Roman"/>
          <w:sz w:val="24"/>
        </w:rPr>
        <w:noBreakHyphen/>
        <w:t>a na Terminalu Žitnjak i spremnika tvrtke INA d.d. te naknadnih eksplozija. Budući da je udaljenost TE-TO Zagreb od postrojenja UNP-a 1557 m, a prema proračunima kasna eksplozija koja se događa na fronti proširenog oblaka djeluje razarajuće na zgrade u krugu od 1182 m (ukupna zona djelovanja eksplozije je 1803 m), udarni val i naknadne eksplozije oštećuju spremnik s loživim uljem, što zatim dovodi do ispuštanja ukupne količine loživog ulja iz jednog od spremnika na lokaciji. Zatim nastaje požar unutar zaštitnog zemljanog bazena spremnika. Razvijanjem požara raspada se loživo ulje te nastaju štetni opasni spojevi (plinovi) ugljikovi oksidi (CO, CO</w:t>
      </w:r>
      <w:r w:rsidRPr="00FF1E38">
        <w:rPr>
          <w:rFonts w:ascii="Times New Roman" w:hAnsi="Times New Roman" w:cs="Times New Roman"/>
          <w:sz w:val="24"/>
          <w:vertAlign w:val="subscript"/>
        </w:rPr>
        <w:t>2</w:t>
      </w:r>
      <w:r w:rsidRPr="00FF1E38">
        <w:rPr>
          <w:rFonts w:ascii="Times New Roman" w:hAnsi="Times New Roman" w:cs="Times New Roman"/>
          <w:sz w:val="24"/>
        </w:rPr>
        <w:t>) i sumporov dioksid (SO</w:t>
      </w:r>
      <w:r w:rsidRPr="00FF1E38">
        <w:rPr>
          <w:rFonts w:ascii="Times New Roman" w:hAnsi="Times New Roman" w:cs="Times New Roman"/>
          <w:sz w:val="24"/>
          <w:vertAlign w:val="subscript"/>
        </w:rPr>
        <w:t>2</w:t>
      </w:r>
      <w:r w:rsidRPr="00FF1E38">
        <w:rPr>
          <w:rFonts w:ascii="Times New Roman" w:hAnsi="Times New Roman" w:cs="Times New Roman"/>
          <w:sz w:val="24"/>
        </w:rPr>
        <w:t>). Širenjem produkta izgaranja u požaru nastaju zone ugrožavanja toksičnom dozom nastalih opasnih spojeva. Područje u kojem postoji visoka smrtnost proteže se do 1967 m od mjesta požara. Područje trajnih posljedica proteže se na području od 5866 m, a na udaljenosti od 19 820 m osjećaju se privremene posljedice</w:t>
      </w:r>
      <w:r w:rsidRPr="00FF1E38">
        <w:rPr>
          <w:rFonts w:ascii="Times New Roman" w:hAnsi="Times New Roman" w:cs="Times New Roman"/>
          <w:sz w:val="24"/>
          <w:vertAlign w:val="superscript"/>
        </w:rPr>
        <w:footnoteReference w:id="47"/>
      </w:r>
      <w:r w:rsidRPr="00FF1E38">
        <w:rPr>
          <w:rFonts w:ascii="Times New Roman" w:hAnsi="Times New Roman" w:cs="Times New Roman"/>
          <w:sz w:val="24"/>
        </w:rPr>
        <w:t xml:space="preserve"> (glavobolja, pospanost, mučnina). Zbog požara vjetar nosi zagađenje u smjeru jugozapada, dakle na prvom udaru je gusto naseljena zona Novog Zagreba.</w:t>
      </w:r>
    </w:p>
    <w:p w14:paraId="715BD04A"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lastRenderedPageBreak/>
        <w:t>6.3.5.1. Posljedice</w:t>
      </w:r>
    </w:p>
    <w:p w14:paraId="6A529E3E"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Očekuju se velike štete na opremi, prevrtanje vagona i autocisterni te rušenje zidova i pucanje prozora u zoni najbližoj inicijalnim događajima, zatim oštećenje opreme i objekata u zoni eksplozije. Moguća su i puknuća vodovodnih cijevi. Posebno su izloženi dijelovi naselja: Savica, Kozari put, Petruševec, Žitnjak. Posljedice po zdravlje i život ljudi bile bi smrtonosne u zoni eksplozije. Moguće je oštećenje pluća i bubnjića ljudi koji se nalaze blizu zone eksplozije. Po procjenama 2350 je izravno ugroženih osoba</w:t>
      </w:r>
      <w:r w:rsidRPr="00FF1E38">
        <w:rPr>
          <w:rFonts w:ascii="Times New Roman" w:hAnsi="Times New Roman" w:cs="Times New Roman"/>
          <w:sz w:val="24"/>
          <w:vertAlign w:val="superscript"/>
        </w:rPr>
        <w:footnoteReference w:id="48"/>
      </w:r>
      <w:r w:rsidRPr="00FF1E38">
        <w:rPr>
          <w:rFonts w:ascii="Times New Roman" w:hAnsi="Times New Roman" w:cs="Times New Roman"/>
          <w:sz w:val="24"/>
        </w:rPr>
        <w:t>, broj osoba koje bi trebalo evakuirati minimalno 1000, a broj osoba koje bi se trebale zakloniti ili ostati u svom domu uključuje populaciju od 120 000 građana Grada Zagreba u slučaju najgoreg scenarija (zona privremenih posljedica u slučaju oštećenja i zapaljenja spremnika s loživim uljem oblikovat će se ovisno o smjeru puhanja vjetra, temperaturi te padalinama). S obzirom na to da na području Grada najčešće puše sjeveroistočni vjetar, ugroženiji su južni dijelovi grada (gradske četvrti Novi Zagreb - istok i Novi Zagreb - zapad).</w:t>
      </w:r>
    </w:p>
    <w:p w14:paraId="7E8D97FF"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Od najugroženijih objekata u slučaju inicijalnog događaja izdvajaju se: objekt Sila d.o.o. (cca 230 osoba), objekt Grafičkog zavoda Hrvatske (cca 179 osoba), objekt A1 Hrvatska (cca 1030 osoba), Dječji vrtić Šuma Striborova (cca 83 djece), Centar male privrede Savica - Šanci (cca 300 ljudi), objekt PAN d.o.o, (502 ljudi), zatim objekti tvrtki Labud d.d.; Zagrebačke otpadne vode d.o.o.; Rijekatank d.o.o.; prostor trgovačkog centra Elgrad i INA spremnički prostor. Uz navedeno, vrlo je ugroženo i područje triju trgovačkih centra, područje dviju benzinskih postaja (INA i Petrol) te najbliži stambeni objekti u naseljima Resnik, Struge i Bogdani. Najbliža Osnovna škola dr. Vinka Žganca i Dječji vrtić "Zrno" udaljeni su od područja postrojenja cca 1466 m zračne linije. Broj izravno ugroženih stambenih građevina eksplozijom je 60, a broj poslovnih građevina 75. U udaljenijoj zoni od mjesta eksplozije i požara (do 19 km ovisno o smjeru i brzini vjetra), moguće su posljedice negativnog utjecaja na stanovništvo (zona ugrožavanja toksičnom dozom CO) koje se manifestiraju iritacijom dišnog sustava i vrtoglavicom zbog udisanja toksičnog dima. Ostale moguće posljedice odnose se na ugrožavanje sastavnica okoliša: zraka, tla, kontaminaciju vode i defolijaciju bilja.</w:t>
      </w:r>
    </w:p>
    <w:p w14:paraId="190D0BEC" w14:textId="77777777" w:rsidR="00FF1E38" w:rsidRPr="00FF1E38" w:rsidRDefault="00FF1E38" w:rsidP="00FF1E38">
      <w:pPr>
        <w:spacing w:after="0" w:line="240" w:lineRule="auto"/>
        <w:ind w:right="0"/>
        <w:rPr>
          <w:rFonts w:ascii="Times New Roman" w:hAnsi="Times New Roman" w:cs="Times New Roman"/>
          <w:sz w:val="24"/>
        </w:rPr>
      </w:pPr>
    </w:p>
    <w:p w14:paraId="248F20FF" w14:textId="77777777" w:rsidR="00FF1E38" w:rsidRPr="00FF1E38" w:rsidRDefault="00FF1E38" w:rsidP="00FF1E38">
      <w:pPr>
        <w:spacing w:after="0" w:line="240" w:lineRule="auto"/>
        <w:ind w:left="0" w:right="0" w:firstLine="709"/>
        <w:rPr>
          <w:rFonts w:ascii="Times New Roman" w:hAnsi="Times New Roman" w:cs="Times New Roman"/>
          <w:b/>
          <w:i/>
          <w:sz w:val="24"/>
        </w:rPr>
      </w:pPr>
      <w:r w:rsidRPr="00FF1E38">
        <w:rPr>
          <w:rFonts w:ascii="Times New Roman" w:hAnsi="Times New Roman" w:cs="Times New Roman"/>
          <w:b/>
          <w:i/>
          <w:sz w:val="24"/>
        </w:rPr>
        <w:t>6.3.5.1.1. Život i zdravlje ljudi</w:t>
      </w:r>
    </w:p>
    <w:p w14:paraId="21F19C5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Utjecaj na život i zdravlje ljudi u slučaju eksplozije spremnika ukapljenog naftnog plina a zatim i oštećenja spremnika loživog ulja zbog domino-efekta te požara, imao bi katastrofalne posljedice na stanovništvo na području Grada Zagreba. Izravno bi najgorim posljedicama (mrtvi, ozlijeđeni, veliki utjecaj na zdravlje) bila obuhvaćena populacija Gradske četvrti Peščenica - Žitnjak (56.487 stan.), dok bi stanovništvo na udaljenosti do 19 km (ovisno o brzini i smjeru vjetra) od zone eksplozije i požara bilo obuhvaćeno privremenim posljedicama (glavobolja, pospanost, mučnina).</w:t>
      </w:r>
    </w:p>
    <w:p w14:paraId="4D06CCC8"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18EAEA14" w14:textId="12D41EE7" w:rsidR="00FF1E38" w:rsidRPr="00FF1E38" w:rsidRDefault="00FF1E38" w:rsidP="00193BC6">
      <w:pPr>
        <w:spacing w:line="240" w:lineRule="auto"/>
        <w:ind w:left="0" w:right="0" w:firstLine="0"/>
        <w:jc w:val="center"/>
        <w:rPr>
          <w:rFonts w:ascii="Times New Roman" w:hAnsi="Times New Roman" w:cs="Times New Roman"/>
          <w:b/>
          <w:sz w:val="24"/>
        </w:rPr>
      </w:pPr>
      <w:r w:rsidRPr="00FF1E38">
        <w:rPr>
          <w:rFonts w:ascii="Times New Roman" w:hAnsi="Times New Roman" w:cs="Times New Roman"/>
          <w:b/>
          <w:sz w:val="24"/>
        </w:rPr>
        <w:t xml:space="preserve">Tablica </w:t>
      </w:r>
      <w:r w:rsidR="00215011">
        <w:rPr>
          <w:rFonts w:ascii="Times New Roman" w:hAnsi="Times New Roman" w:cs="Times New Roman"/>
          <w:b/>
          <w:sz w:val="24"/>
        </w:rPr>
        <w:t>76</w:t>
      </w:r>
      <w:r w:rsidRPr="00FF1E38">
        <w:rPr>
          <w:rFonts w:ascii="Times New Roman" w:hAnsi="Times New Roman" w:cs="Times New Roman"/>
          <w:b/>
          <w:sz w:val="24"/>
        </w:rPr>
        <w:t xml:space="preserve">. Vrijednost kriterija za posljedice na život i zdravlje ljudi po kategorijama </w:t>
      </w:r>
    </w:p>
    <w:tbl>
      <w:tblPr>
        <w:tblStyle w:val="TableGrid"/>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00"/>
        <w:gridCol w:w="2835"/>
        <w:gridCol w:w="2836"/>
        <w:gridCol w:w="1701"/>
      </w:tblGrid>
      <w:tr w:rsidR="00FF1E38" w:rsidRPr="00FF1E38" w14:paraId="59E42A0A" w14:textId="77777777" w:rsidTr="00DE0C9A">
        <w:trPr>
          <w:cantSplit/>
          <w:tblHeader/>
        </w:trPr>
        <w:tc>
          <w:tcPr>
            <w:tcW w:w="9072" w:type="dxa"/>
            <w:gridSpan w:val="4"/>
            <w:shd w:val="clear" w:color="auto" w:fill="FFC000"/>
            <w:vAlign w:val="center"/>
          </w:tcPr>
          <w:p w14:paraId="0722B771"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Život i zdravlje ljudi – industrijske nesreće</w:t>
            </w:r>
          </w:p>
        </w:tc>
      </w:tr>
      <w:tr w:rsidR="00FF1E38" w:rsidRPr="00FF1E38" w14:paraId="2EB4F43C" w14:textId="77777777" w:rsidTr="00DE0C9A">
        <w:trPr>
          <w:cantSplit/>
          <w:tblHeader/>
        </w:trPr>
        <w:tc>
          <w:tcPr>
            <w:tcW w:w="1700" w:type="dxa"/>
            <w:shd w:val="clear" w:color="auto" w:fill="FFC000"/>
            <w:vAlign w:val="center"/>
          </w:tcPr>
          <w:p w14:paraId="212DA01F"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Kategorija</w:t>
            </w:r>
          </w:p>
        </w:tc>
        <w:tc>
          <w:tcPr>
            <w:tcW w:w="2835" w:type="dxa"/>
            <w:shd w:val="clear" w:color="auto" w:fill="FFC000"/>
            <w:vAlign w:val="center"/>
          </w:tcPr>
          <w:p w14:paraId="6E647A9C"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Posljedice</w:t>
            </w:r>
          </w:p>
        </w:tc>
        <w:tc>
          <w:tcPr>
            <w:tcW w:w="2836" w:type="dxa"/>
            <w:shd w:val="clear" w:color="auto" w:fill="FFC000"/>
            <w:vAlign w:val="center"/>
          </w:tcPr>
          <w:p w14:paraId="1FC0991A"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Kriterij (br.st.)</w:t>
            </w:r>
          </w:p>
        </w:tc>
        <w:tc>
          <w:tcPr>
            <w:tcW w:w="1701" w:type="dxa"/>
            <w:shd w:val="clear" w:color="auto" w:fill="FFC000"/>
            <w:vAlign w:val="center"/>
          </w:tcPr>
          <w:p w14:paraId="3ABE399C"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ODABRANO</w:t>
            </w:r>
          </w:p>
        </w:tc>
      </w:tr>
      <w:tr w:rsidR="00FF1E38" w:rsidRPr="00FF1E38" w14:paraId="59F93C55" w14:textId="77777777" w:rsidTr="00DE0C9A">
        <w:trPr>
          <w:cantSplit/>
        </w:trPr>
        <w:tc>
          <w:tcPr>
            <w:tcW w:w="1700" w:type="dxa"/>
            <w:vAlign w:val="center"/>
          </w:tcPr>
          <w:p w14:paraId="6F0A5E1D"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1.</w:t>
            </w:r>
          </w:p>
        </w:tc>
        <w:tc>
          <w:tcPr>
            <w:tcW w:w="2835" w:type="dxa"/>
            <w:vAlign w:val="center"/>
          </w:tcPr>
          <w:p w14:paraId="7BC960D6"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Neznatne</w:t>
            </w:r>
          </w:p>
        </w:tc>
        <w:tc>
          <w:tcPr>
            <w:tcW w:w="2836" w:type="dxa"/>
            <w:vAlign w:val="center"/>
          </w:tcPr>
          <w:p w14:paraId="7794FDEE"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&lt;8</w:t>
            </w:r>
          </w:p>
        </w:tc>
        <w:tc>
          <w:tcPr>
            <w:tcW w:w="1701" w:type="dxa"/>
            <w:vAlign w:val="center"/>
          </w:tcPr>
          <w:p w14:paraId="29DE8DF8"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0818CB05" w14:textId="77777777" w:rsidTr="00DE0C9A">
        <w:trPr>
          <w:cantSplit/>
        </w:trPr>
        <w:tc>
          <w:tcPr>
            <w:tcW w:w="1700" w:type="dxa"/>
            <w:shd w:val="clear" w:color="auto" w:fill="FFC000"/>
            <w:vAlign w:val="center"/>
          </w:tcPr>
          <w:p w14:paraId="498C6F88"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2.</w:t>
            </w:r>
          </w:p>
        </w:tc>
        <w:tc>
          <w:tcPr>
            <w:tcW w:w="2835" w:type="dxa"/>
            <w:shd w:val="clear" w:color="auto" w:fill="FFC000"/>
            <w:vAlign w:val="center"/>
          </w:tcPr>
          <w:p w14:paraId="2B9F8867"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Malene</w:t>
            </w:r>
          </w:p>
        </w:tc>
        <w:tc>
          <w:tcPr>
            <w:tcW w:w="2836" w:type="dxa"/>
            <w:shd w:val="clear" w:color="auto" w:fill="FFC000"/>
            <w:vAlign w:val="center"/>
          </w:tcPr>
          <w:p w14:paraId="2240A2A6"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8-35</w:t>
            </w:r>
          </w:p>
        </w:tc>
        <w:tc>
          <w:tcPr>
            <w:tcW w:w="1701" w:type="dxa"/>
            <w:shd w:val="clear" w:color="auto" w:fill="FFC000"/>
            <w:vAlign w:val="center"/>
          </w:tcPr>
          <w:p w14:paraId="24AC7BDE"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26015DD1" w14:textId="77777777" w:rsidTr="00DE0C9A">
        <w:trPr>
          <w:cantSplit/>
        </w:trPr>
        <w:tc>
          <w:tcPr>
            <w:tcW w:w="1700" w:type="dxa"/>
            <w:vAlign w:val="center"/>
          </w:tcPr>
          <w:p w14:paraId="3A312A5A"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3.</w:t>
            </w:r>
          </w:p>
        </w:tc>
        <w:tc>
          <w:tcPr>
            <w:tcW w:w="2835" w:type="dxa"/>
            <w:vAlign w:val="center"/>
          </w:tcPr>
          <w:p w14:paraId="0B3286A1"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Umjerene</w:t>
            </w:r>
          </w:p>
        </w:tc>
        <w:tc>
          <w:tcPr>
            <w:tcW w:w="2836" w:type="dxa"/>
            <w:vAlign w:val="center"/>
          </w:tcPr>
          <w:p w14:paraId="2C63905A"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35-85</w:t>
            </w:r>
          </w:p>
        </w:tc>
        <w:tc>
          <w:tcPr>
            <w:tcW w:w="1701" w:type="dxa"/>
            <w:vAlign w:val="center"/>
          </w:tcPr>
          <w:p w14:paraId="02A59993"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7DFAEF26" w14:textId="77777777" w:rsidTr="00DE0C9A">
        <w:trPr>
          <w:cantSplit/>
        </w:trPr>
        <w:tc>
          <w:tcPr>
            <w:tcW w:w="1700" w:type="dxa"/>
            <w:shd w:val="clear" w:color="auto" w:fill="FFC000"/>
            <w:vAlign w:val="center"/>
          </w:tcPr>
          <w:p w14:paraId="1D78E45C"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4.</w:t>
            </w:r>
          </w:p>
        </w:tc>
        <w:tc>
          <w:tcPr>
            <w:tcW w:w="2835" w:type="dxa"/>
            <w:shd w:val="clear" w:color="auto" w:fill="FFC000"/>
            <w:vAlign w:val="center"/>
          </w:tcPr>
          <w:p w14:paraId="41DD6833"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Znatne</w:t>
            </w:r>
          </w:p>
        </w:tc>
        <w:tc>
          <w:tcPr>
            <w:tcW w:w="2836" w:type="dxa"/>
            <w:shd w:val="clear" w:color="auto" w:fill="FFC000"/>
            <w:vAlign w:val="center"/>
          </w:tcPr>
          <w:p w14:paraId="65F35101"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85-269</w:t>
            </w:r>
          </w:p>
        </w:tc>
        <w:tc>
          <w:tcPr>
            <w:tcW w:w="1701" w:type="dxa"/>
            <w:shd w:val="clear" w:color="auto" w:fill="FFC000"/>
            <w:vAlign w:val="center"/>
          </w:tcPr>
          <w:p w14:paraId="42778375"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2FE6809B" w14:textId="77777777" w:rsidTr="00DE0C9A">
        <w:trPr>
          <w:cantSplit/>
        </w:trPr>
        <w:tc>
          <w:tcPr>
            <w:tcW w:w="1700" w:type="dxa"/>
            <w:vAlign w:val="center"/>
          </w:tcPr>
          <w:p w14:paraId="1EB5883B"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5.</w:t>
            </w:r>
          </w:p>
        </w:tc>
        <w:tc>
          <w:tcPr>
            <w:tcW w:w="2835" w:type="dxa"/>
            <w:vAlign w:val="center"/>
          </w:tcPr>
          <w:p w14:paraId="353809FD"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Katastrofalne</w:t>
            </w:r>
          </w:p>
        </w:tc>
        <w:tc>
          <w:tcPr>
            <w:tcW w:w="2836" w:type="dxa"/>
            <w:vAlign w:val="center"/>
          </w:tcPr>
          <w:p w14:paraId="41E3FE7C"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&gt;269</w:t>
            </w:r>
          </w:p>
        </w:tc>
        <w:tc>
          <w:tcPr>
            <w:tcW w:w="1701" w:type="dxa"/>
            <w:vAlign w:val="center"/>
          </w:tcPr>
          <w:p w14:paraId="62A6B123"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x</w:t>
            </w:r>
          </w:p>
        </w:tc>
      </w:tr>
    </w:tbl>
    <w:p w14:paraId="38E07B92" w14:textId="07B4AC46" w:rsidR="00FF1E38" w:rsidRDefault="00FF1E38" w:rsidP="00FF1E38">
      <w:pPr>
        <w:spacing w:after="0" w:line="240" w:lineRule="auto"/>
        <w:ind w:left="0" w:right="0" w:firstLine="0"/>
        <w:jc w:val="left"/>
        <w:rPr>
          <w:rFonts w:ascii="Times New Roman" w:hAnsi="Times New Roman" w:cs="Times New Roman"/>
          <w:sz w:val="24"/>
        </w:rPr>
      </w:pPr>
    </w:p>
    <w:p w14:paraId="3941B7FF" w14:textId="293C7ED1" w:rsidR="00193BC6" w:rsidRDefault="00193BC6" w:rsidP="00FF1E38">
      <w:pPr>
        <w:spacing w:after="0" w:line="240" w:lineRule="auto"/>
        <w:ind w:left="0" w:right="0" w:firstLine="0"/>
        <w:jc w:val="left"/>
        <w:rPr>
          <w:rFonts w:ascii="Times New Roman" w:hAnsi="Times New Roman" w:cs="Times New Roman"/>
          <w:sz w:val="24"/>
        </w:rPr>
      </w:pPr>
    </w:p>
    <w:p w14:paraId="10D9CEDA" w14:textId="77777777" w:rsidR="00193BC6" w:rsidRPr="00FF1E38" w:rsidRDefault="00193BC6" w:rsidP="00FF1E38">
      <w:pPr>
        <w:spacing w:after="0" w:line="240" w:lineRule="auto"/>
        <w:ind w:left="0" w:right="0" w:firstLine="0"/>
        <w:jc w:val="left"/>
        <w:rPr>
          <w:rFonts w:ascii="Times New Roman" w:hAnsi="Times New Roman" w:cs="Times New Roman"/>
          <w:sz w:val="24"/>
        </w:rPr>
      </w:pPr>
    </w:p>
    <w:p w14:paraId="16F171E6" w14:textId="77777777" w:rsidR="00FF1E38" w:rsidRPr="00FF1E38" w:rsidRDefault="00FF1E38" w:rsidP="00FF1E38">
      <w:pPr>
        <w:spacing w:after="0" w:line="240" w:lineRule="auto"/>
        <w:ind w:left="0" w:right="0" w:firstLine="709"/>
        <w:rPr>
          <w:rFonts w:ascii="Times New Roman" w:hAnsi="Times New Roman" w:cs="Times New Roman"/>
          <w:b/>
          <w:i/>
          <w:sz w:val="24"/>
        </w:rPr>
      </w:pPr>
      <w:r w:rsidRPr="00FF1E38">
        <w:rPr>
          <w:rFonts w:ascii="Times New Roman" w:hAnsi="Times New Roman" w:cs="Times New Roman"/>
          <w:b/>
          <w:i/>
          <w:sz w:val="24"/>
        </w:rPr>
        <w:lastRenderedPageBreak/>
        <w:t>6.3.5.1.2. Gospodarstvo</w:t>
      </w:r>
    </w:p>
    <w:p w14:paraId="47AB409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Ukupne posljedice na gospodarstvo bile bi malene. Zona razaranja se svodi uglavnom na područje postrojenja u kojem je nastao događaj i postrojenja na koje se događaj proširio te na usku zonu uokolo tih objekata u kojoj su moguće smrtne posljedice, zatim oštećenje stambenih objekata (kuća, poslovnih prostora i trgovačkih centara). Štete bi bile do 471 milijun kuna, što su po kategoriji u odnosu na ukupan proračun Grada Zagreba malene posljedice.</w:t>
      </w:r>
    </w:p>
    <w:p w14:paraId="0FD90DD7" w14:textId="77777777" w:rsidR="00FF1E38" w:rsidRPr="00FF1E38" w:rsidRDefault="00FF1E38" w:rsidP="00FF1E38">
      <w:pPr>
        <w:spacing w:after="0" w:line="240" w:lineRule="auto"/>
        <w:ind w:left="0" w:right="0" w:firstLine="0"/>
        <w:rPr>
          <w:rFonts w:ascii="Times New Roman" w:hAnsi="Times New Roman" w:cs="Times New Roman"/>
          <w:sz w:val="24"/>
        </w:rPr>
      </w:pPr>
    </w:p>
    <w:p w14:paraId="14F49AB2" w14:textId="152C877E" w:rsidR="00FF1E38" w:rsidRPr="00FF1E38" w:rsidRDefault="00FF1E38" w:rsidP="00193BC6">
      <w:pPr>
        <w:spacing w:line="240" w:lineRule="auto"/>
        <w:ind w:left="0" w:right="0" w:firstLine="0"/>
        <w:jc w:val="center"/>
        <w:rPr>
          <w:rFonts w:ascii="Times New Roman" w:hAnsi="Times New Roman" w:cs="Times New Roman"/>
          <w:b/>
          <w:sz w:val="24"/>
        </w:rPr>
      </w:pPr>
      <w:r w:rsidRPr="00FF1E38">
        <w:rPr>
          <w:rFonts w:ascii="Times New Roman" w:hAnsi="Times New Roman" w:cs="Times New Roman"/>
          <w:b/>
          <w:sz w:val="24"/>
        </w:rPr>
        <w:t>Tablica 7</w:t>
      </w:r>
      <w:r w:rsidR="00BB072B">
        <w:rPr>
          <w:rFonts w:ascii="Times New Roman" w:hAnsi="Times New Roman" w:cs="Times New Roman"/>
          <w:b/>
          <w:sz w:val="24"/>
        </w:rPr>
        <w:t>7</w:t>
      </w:r>
      <w:r w:rsidRPr="00FF1E38">
        <w:rPr>
          <w:rFonts w:ascii="Times New Roman" w:hAnsi="Times New Roman" w:cs="Times New Roman"/>
          <w:b/>
          <w:sz w:val="24"/>
        </w:rPr>
        <w:t xml:space="preserve">. Vrijednost kriterija za posljedice na gospodarstvo po kategorijama </w:t>
      </w:r>
    </w:p>
    <w:tbl>
      <w:tblPr>
        <w:tblStyle w:val="TableGrid"/>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01"/>
        <w:gridCol w:w="2835"/>
        <w:gridCol w:w="2835"/>
        <w:gridCol w:w="1701"/>
      </w:tblGrid>
      <w:tr w:rsidR="00FF1E38" w:rsidRPr="00FF1E38" w14:paraId="4EFE7FBF" w14:textId="77777777" w:rsidTr="00DE0C9A">
        <w:trPr>
          <w:cantSplit/>
        </w:trPr>
        <w:tc>
          <w:tcPr>
            <w:tcW w:w="9072" w:type="dxa"/>
            <w:gridSpan w:val="4"/>
            <w:shd w:val="clear" w:color="auto" w:fill="FFC000"/>
            <w:vAlign w:val="center"/>
          </w:tcPr>
          <w:p w14:paraId="3F482D4C"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Gospodarstvo – industrijske nesreće</w:t>
            </w:r>
          </w:p>
        </w:tc>
      </w:tr>
      <w:tr w:rsidR="00FF1E38" w:rsidRPr="00FF1E38" w14:paraId="39AA80D2" w14:textId="77777777" w:rsidTr="00DE0C9A">
        <w:trPr>
          <w:cantSplit/>
        </w:trPr>
        <w:tc>
          <w:tcPr>
            <w:tcW w:w="1701" w:type="dxa"/>
            <w:shd w:val="clear" w:color="auto" w:fill="FFC000"/>
            <w:vAlign w:val="center"/>
          </w:tcPr>
          <w:p w14:paraId="147792A3"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Kategorija</w:t>
            </w:r>
          </w:p>
        </w:tc>
        <w:tc>
          <w:tcPr>
            <w:tcW w:w="2835" w:type="dxa"/>
            <w:shd w:val="clear" w:color="auto" w:fill="FFC000"/>
            <w:vAlign w:val="center"/>
          </w:tcPr>
          <w:p w14:paraId="4A413F4C"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Posljedice</w:t>
            </w:r>
          </w:p>
        </w:tc>
        <w:tc>
          <w:tcPr>
            <w:tcW w:w="2835" w:type="dxa"/>
            <w:shd w:val="clear" w:color="auto" w:fill="FFC000"/>
            <w:vAlign w:val="center"/>
          </w:tcPr>
          <w:p w14:paraId="44261668"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Kriteriji (kn)</w:t>
            </w:r>
          </w:p>
        </w:tc>
        <w:tc>
          <w:tcPr>
            <w:tcW w:w="1701" w:type="dxa"/>
            <w:shd w:val="clear" w:color="auto" w:fill="FFC000"/>
            <w:vAlign w:val="center"/>
          </w:tcPr>
          <w:p w14:paraId="04367EC8"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ODABRANO</w:t>
            </w:r>
          </w:p>
        </w:tc>
      </w:tr>
      <w:tr w:rsidR="00FF1E38" w:rsidRPr="00FF1E38" w14:paraId="0F5FD026" w14:textId="77777777" w:rsidTr="00DE0C9A">
        <w:trPr>
          <w:cantSplit/>
        </w:trPr>
        <w:tc>
          <w:tcPr>
            <w:tcW w:w="1701" w:type="dxa"/>
            <w:vAlign w:val="center"/>
          </w:tcPr>
          <w:p w14:paraId="5D1CBAAD"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1.</w:t>
            </w:r>
          </w:p>
        </w:tc>
        <w:tc>
          <w:tcPr>
            <w:tcW w:w="2835" w:type="dxa"/>
            <w:vAlign w:val="center"/>
          </w:tcPr>
          <w:p w14:paraId="32325624"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Neznatne</w:t>
            </w:r>
          </w:p>
        </w:tc>
        <w:tc>
          <w:tcPr>
            <w:tcW w:w="2835" w:type="dxa"/>
            <w:vAlign w:val="center"/>
          </w:tcPr>
          <w:p w14:paraId="501F6E01"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75.634.600 - 151.269.100</w:t>
            </w:r>
          </w:p>
        </w:tc>
        <w:tc>
          <w:tcPr>
            <w:tcW w:w="1701" w:type="dxa"/>
            <w:vAlign w:val="center"/>
          </w:tcPr>
          <w:p w14:paraId="60CC0EC7"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63628622" w14:textId="77777777" w:rsidTr="00DE0C9A">
        <w:trPr>
          <w:cantSplit/>
        </w:trPr>
        <w:tc>
          <w:tcPr>
            <w:tcW w:w="1701" w:type="dxa"/>
            <w:shd w:val="clear" w:color="auto" w:fill="FFC000"/>
            <w:vAlign w:val="center"/>
          </w:tcPr>
          <w:p w14:paraId="69C0EBD6"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2.</w:t>
            </w:r>
          </w:p>
        </w:tc>
        <w:tc>
          <w:tcPr>
            <w:tcW w:w="2835" w:type="dxa"/>
            <w:shd w:val="clear" w:color="auto" w:fill="FFC000"/>
            <w:vAlign w:val="center"/>
          </w:tcPr>
          <w:p w14:paraId="29246D20"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Malene</w:t>
            </w:r>
          </w:p>
        </w:tc>
        <w:tc>
          <w:tcPr>
            <w:tcW w:w="2835" w:type="dxa"/>
            <w:shd w:val="clear" w:color="auto" w:fill="FFC000"/>
            <w:vAlign w:val="center"/>
          </w:tcPr>
          <w:p w14:paraId="757B2C2E"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151.269.100 - 756.345.600</w:t>
            </w:r>
          </w:p>
        </w:tc>
        <w:tc>
          <w:tcPr>
            <w:tcW w:w="1701" w:type="dxa"/>
            <w:shd w:val="clear" w:color="auto" w:fill="FFC000"/>
            <w:vAlign w:val="center"/>
          </w:tcPr>
          <w:p w14:paraId="115ACC76"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x</w:t>
            </w:r>
          </w:p>
        </w:tc>
      </w:tr>
      <w:tr w:rsidR="00FF1E38" w:rsidRPr="00FF1E38" w14:paraId="55AEBABE" w14:textId="77777777" w:rsidTr="00DE0C9A">
        <w:trPr>
          <w:cantSplit/>
        </w:trPr>
        <w:tc>
          <w:tcPr>
            <w:tcW w:w="1701" w:type="dxa"/>
            <w:vAlign w:val="center"/>
          </w:tcPr>
          <w:p w14:paraId="55C0BA31"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3.</w:t>
            </w:r>
          </w:p>
        </w:tc>
        <w:tc>
          <w:tcPr>
            <w:tcW w:w="2835" w:type="dxa"/>
            <w:vAlign w:val="center"/>
          </w:tcPr>
          <w:p w14:paraId="5DB3BC98"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Umjerene</w:t>
            </w:r>
          </w:p>
        </w:tc>
        <w:tc>
          <w:tcPr>
            <w:tcW w:w="2835" w:type="dxa"/>
            <w:vAlign w:val="center"/>
          </w:tcPr>
          <w:p w14:paraId="53570868"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756.345.600 - 2.269.036.800</w:t>
            </w:r>
          </w:p>
        </w:tc>
        <w:tc>
          <w:tcPr>
            <w:tcW w:w="1701" w:type="dxa"/>
            <w:vAlign w:val="center"/>
          </w:tcPr>
          <w:p w14:paraId="4CEA5AEB"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7712CD91" w14:textId="77777777" w:rsidTr="00DE0C9A">
        <w:trPr>
          <w:cantSplit/>
        </w:trPr>
        <w:tc>
          <w:tcPr>
            <w:tcW w:w="1701" w:type="dxa"/>
            <w:shd w:val="clear" w:color="auto" w:fill="FFC000"/>
            <w:vAlign w:val="center"/>
          </w:tcPr>
          <w:p w14:paraId="2B3EEEE8"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4.</w:t>
            </w:r>
          </w:p>
        </w:tc>
        <w:tc>
          <w:tcPr>
            <w:tcW w:w="2835" w:type="dxa"/>
            <w:shd w:val="clear" w:color="auto" w:fill="FFC000"/>
            <w:vAlign w:val="center"/>
          </w:tcPr>
          <w:p w14:paraId="285FF2A1"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Znatne</w:t>
            </w:r>
          </w:p>
        </w:tc>
        <w:tc>
          <w:tcPr>
            <w:tcW w:w="2835" w:type="dxa"/>
            <w:shd w:val="clear" w:color="auto" w:fill="FFC000"/>
            <w:vAlign w:val="center"/>
          </w:tcPr>
          <w:p w14:paraId="03EBD4BF"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2.269.036.800 - 3.781.727.900</w:t>
            </w:r>
          </w:p>
        </w:tc>
        <w:tc>
          <w:tcPr>
            <w:tcW w:w="1701" w:type="dxa"/>
            <w:shd w:val="clear" w:color="auto" w:fill="FFC000"/>
            <w:vAlign w:val="center"/>
          </w:tcPr>
          <w:p w14:paraId="094D5717"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1909141C" w14:textId="77777777" w:rsidTr="00DE0C9A">
        <w:trPr>
          <w:cantSplit/>
        </w:trPr>
        <w:tc>
          <w:tcPr>
            <w:tcW w:w="1701" w:type="dxa"/>
            <w:vAlign w:val="center"/>
          </w:tcPr>
          <w:p w14:paraId="27652711"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5.</w:t>
            </w:r>
          </w:p>
        </w:tc>
        <w:tc>
          <w:tcPr>
            <w:tcW w:w="2835" w:type="dxa"/>
            <w:vAlign w:val="center"/>
          </w:tcPr>
          <w:p w14:paraId="6E988686"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Katastrofalne</w:t>
            </w:r>
          </w:p>
        </w:tc>
        <w:tc>
          <w:tcPr>
            <w:tcW w:w="2835" w:type="dxa"/>
            <w:vAlign w:val="center"/>
          </w:tcPr>
          <w:p w14:paraId="6C6DAA3A"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&gt;3.781.727.900</w:t>
            </w:r>
          </w:p>
        </w:tc>
        <w:tc>
          <w:tcPr>
            <w:tcW w:w="1701" w:type="dxa"/>
            <w:vAlign w:val="center"/>
          </w:tcPr>
          <w:p w14:paraId="46287479"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bl>
    <w:p w14:paraId="0C553AF6" w14:textId="77777777" w:rsidR="00FF1E38" w:rsidRPr="00FF1E38" w:rsidRDefault="00FF1E38" w:rsidP="00FF1E38">
      <w:pPr>
        <w:spacing w:after="0" w:line="240" w:lineRule="auto"/>
        <w:ind w:left="0" w:right="0" w:firstLine="0"/>
        <w:rPr>
          <w:rFonts w:ascii="Times New Roman" w:hAnsi="Times New Roman" w:cs="Times New Roman"/>
          <w:sz w:val="24"/>
        </w:rPr>
      </w:pPr>
    </w:p>
    <w:p w14:paraId="3CC3991A" w14:textId="77777777" w:rsidR="00FF1E38" w:rsidRPr="00FF1E38" w:rsidRDefault="00FF1E38" w:rsidP="00FF1E38">
      <w:pPr>
        <w:spacing w:after="0" w:line="240" w:lineRule="auto"/>
        <w:ind w:left="0" w:right="0" w:firstLine="0"/>
        <w:rPr>
          <w:rFonts w:ascii="Times New Roman" w:hAnsi="Times New Roman" w:cs="Times New Roman"/>
          <w:sz w:val="24"/>
        </w:rPr>
      </w:pPr>
    </w:p>
    <w:p w14:paraId="36D55AF4" w14:textId="77777777" w:rsidR="00FF1E38" w:rsidRPr="00FF1E38" w:rsidRDefault="00FF1E38" w:rsidP="00FF1E38">
      <w:pPr>
        <w:spacing w:after="0" w:line="240" w:lineRule="auto"/>
        <w:ind w:left="0" w:right="0" w:firstLine="709"/>
        <w:rPr>
          <w:rFonts w:ascii="Times New Roman" w:hAnsi="Times New Roman" w:cs="Times New Roman"/>
          <w:b/>
          <w:i/>
          <w:sz w:val="24"/>
        </w:rPr>
      </w:pPr>
      <w:r w:rsidRPr="00FF1E38">
        <w:rPr>
          <w:rFonts w:ascii="Times New Roman" w:hAnsi="Times New Roman" w:cs="Times New Roman"/>
          <w:b/>
          <w:i/>
          <w:sz w:val="24"/>
        </w:rPr>
        <w:t>6.3.5.1.3. Društvena stabilnost i politika</w:t>
      </w:r>
    </w:p>
    <w:p w14:paraId="320F1AAF"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Kritična infrastruktura bit će oštećena u manjoj mjeri. Moguće su teškoće u opskrbi električnom i toplinskom energijom uzrokovane prestankom rada TE-TO na Žitnjaku zbog oštećenja pogona. Dok će se opskrba električnom energijom dosta brzo uspostaviti za sva kućanstva zbog alternativnih izvora, nestanak toplinske energije mogao bi trajati duže razdoblje, a to može biti opasno ako se eksplozija dogodi u zimskim mjesecima kada stanovništvo izrazito ovisi o opskrbi toplinskom energijom.</w:t>
      </w:r>
    </w:p>
    <w:p w14:paraId="087F6F77" w14:textId="77777777" w:rsidR="00FF1E38" w:rsidRPr="00FF1E38" w:rsidRDefault="00FF1E38" w:rsidP="00FF1E38">
      <w:pPr>
        <w:spacing w:after="0" w:line="240" w:lineRule="auto"/>
        <w:ind w:right="0"/>
        <w:rPr>
          <w:rFonts w:ascii="Times New Roman" w:hAnsi="Times New Roman" w:cs="Times New Roman"/>
          <w:sz w:val="24"/>
        </w:rPr>
      </w:pPr>
    </w:p>
    <w:p w14:paraId="1BE3CB13" w14:textId="606530DE" w:rsidR="00FF1E38" w:rsidRPr="00FF1E38" w:rsidRDefault="00FF1E38" w:rsidP="00193BC6">
      <w:pPr>
        <w:spacing w:line="240" w:lineRule="auto"/>
        <w:ind w:left="0" w:right="0" w:firstLine="0"/>
        <w:jc w:val="center"/>
        <w:rPr>
          <w:rFonts w:ascii="Times New Roman" w:hAnsi="Times New Roman" w:cs="Times New Roman"/>
          <w:b/>
          <w:sz w:val="24"/>
        </w:rPr>
      </w:pPr>
      <w:r w:rsidRPr="00FF1E38">
        <w:rPr>
          <w:rFonts w:ascii="Times New Roman" w:hAnsi="Times New Roman" w:cs="Times New Roman"/>
          <w:b/>
          <w:sz w:val="24"/>
        </w:rPr>
        <w:t>Tablica 7</w:t>
      </w:r>
      <w:r w:rsidR="00BB072B">
        <w:rPr>
          <w:rFonts w:ascii="Times New Roman" w:hAnsi="Times New Roman" w:cs="Times New Roman"/>
          <w:b/>
          <w:sz w:val="24"/>
        </w:rPr>
        <w:t>8</w:t>
      </w:r>
      <w:r w:rsidRPr="00FF1E38">
        <w:rPr>
          <w:rFonts w:ascii="Times New Roman" w:hAnsi="Times New Roman" w:cs="Times New Roman"/>
          <w:b/>
          <w:sz w:val="24"/>
        </w:rPr>
        <w:t>. Vrijednost kriterija za posljedice na društvenu stabilnost i politiku - oštećena kritična infrastruktura</w:t>
      </w:r>
    </w:p>
    <w:tbl>
      <w:tblPr>
        <w:tblStyle w:val="TableGrid"/>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60" w:type="dxa"/>
        </w:tblCellMar>
        <w:tblLook w:val="04A0" w:firstRow="1" w:lastRow="0" w:firstColumn="1" w:lastColumn="0" w:noHBand="0" w:noVBand="1"/>
      </w:tblPr>
      <w:tblGrid>
        <w:gridCol w:w="1700"/>
        <w:gridCol w:w="2690"/>
        <w:gridCol w:w="3118"/>
        <w:gridCol w:w="1564"/>
      </w:tblGrid>
      <w:tr w:rsidR="00FF1E38" w:rsidRPr="00FF1E38" w14:paraId="1B476120" w14:textId="77777777" w:rsidTr="00DE0C9A">
        <w:trPr>
          <w:cantSplit/>
          <w:tblHeader/>
        </w:trPr>
        <w:tc>
          <w:tcPr>
            <w:tcW w:w="9072" w:type="dxa"/>
            <w:gridSpan w:val="4"/>
            <w:shd w:val="clear" w:color="auto" w:fill="FFC000"/>
            <w:vAlign w:val="center"/>
          </w:tcPr>
          <w:p w14:paraId="48EBDB42"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Oštećena kritična infrastruktura – industrijske nesreće</w:t>
            </w:r>
          </w:p>
        </w:tc>
      </w:tr>
      <w:tr w:rsidR="00FF1E38" w:rsidRPr="00FF1E38" w14:paraId="66166223" w14:textId="77777777" w:rsidTr="00DE0C9A">
        <w:trPr>
          <w:cantSplit/>
          <w:tblHeader/>
        </w:trPr>
        <w:tc>
          <w:tcPr>
            <w:tcW w:w="1700" w:type="dxa"/>
            <w:shd w:val="clear" w:color="auto" w:fill="FFC000"/>
            <w:vAlign w:val="center"/>
          </w:tcPr>
          <w:p w14:paraId="1C65BC8E"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Kategorija</w:t>
            </w:r>
          </w:p>
        </w:tc>
        <w:tc>
          <w:tcPr>
            <w:tcW w:w="2690" w:type="dxa"/>
            <w:shd w:val="clear" w:color="auto" w:fill="FFC000"/>
            <w:vAlign w:val="center"/>
          </w:tcPr>
          <w:p w14:paraId="05FF4258"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Posljedice</w:t>
            </w:r>
          </w:p>
        </w:tc>
        <w:tc>
          <w:tcPr>
            <w:tcW w:w="3118" w:type="dxa"/>
            <w:shd w:val="clear" w:color="auto" w:fill="FFC000"/>
            <w:vAlign w:val="center"/>
          </w:tcPr>
          <w:p w14:paraId="2CA0EAA2"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Kriteriji (kn)</w:t>
            </w:r>
          </w:p>
        </w:tc>
        <w:tc>
          <w:tcPr>
            <w:tcW w:w="1564" w:type="dxa"/>
            <w:shd w:val="clear" w:color="auto" w:fill="FFC000"/>
            <w:vAlign w:val="center"/>
          </w:tcPr>
          <w:p w14:paraId="34561953"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ODABRANO</w:t>
            </w:r>
          </w:p>
        </w:tc>
      </w:tr>
      <w:tr w:rsidR="00FF1E38" w:rsidRPr="00FF1E38" w14:paraId="3D4527F7" w14:textId="77777777" w:rsidTr="00DE0C9A">
        <w:trPr>
          <w:cantSplit/>
        </w:trPr>
        <w:tc>
          <w:tcPr>
            <w:tcW w:w="1700" w:type="dxa"/>
            <w:vAlign w:val="center"/>
          </w:tcPr>
          <w:p w14:paraId="03BFC285"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1.</w:t>
            </w:r>
          </w:p>
        </w:tc>
        <w:tc>
          <w:tcPr>
            <w:tcW w:w="2690" w:type="dxa"/>
            <w:vAlign w:val="center"/>
          </w:tcPr>
          <w:p w14:paraId="6E9607B5"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Neznatne</w:t>
            </w:r>
          </w:p>
        </w:tc>
        <w:tc>
          <w:tcPr>
            <w:tcW w:w="3118" w:type="dxa"/>
            <w:vAlign w:val="center"/>
          </w:tcPr>
          <w:p w14:paraId="0CB2AF15"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75.634.600 - 151.269.100</w:t>
            </w:r>
          </w:p>
        </w:tc>
        <w:tc>
          <w:tcPr>
            <w:tcW w:w="1564" w:type="dxa"/>
            <w:vAlign w:val="center"/>
          </w:tcPr>
          <w:p w14:paraId="3DF363B7"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x</w:t>
            </w:r>
          </w:p>
        </w:tc>
      </w:tr>
      <w:tr w:rsidR="00FF1E38" w:rsidRPr="00FF1E38" w14:paraId="55617595" w14:textId="77777777" w:rsidTr="00DE0C9A">
        <w:trPr>
          <w:cantSplit/>
        </w:trPr>
        <w:tc>
          <w:tcPr>
            <w:tcW w:w="1700" w:type="dxa"/>
            <w:shd w:val="clear" w:color="auto" w:fill="FFC000"/>
            <w:vAlign w:val="center"/>
          </w:tcPr>
          <w:p w14:paraId="211B0952"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2.</w:t>
            </w:r>
          </w:p>
        </w:tc>
        <w:tc>
          <w:tcPr>
            <w:tcW w:w="2690" w:type="dxa"/>
            <w:shd w:val="clear" w:color="auto" w:fill="FFC000"/>
            <w:vAlign w:val="center"/>
          </w:tcPr>
          <w:p w14:paraId="2541596B"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Malene</w:t>
            </w:r>
          </w:p>
        </w:tc>
        <w:tc>
          <w:tcPr>
            <w:tcW w:w="3118" w:type="dxa"/>
            <w:shd w:val="clear" w:color="auto" w:fill="FFC000"/>
            <w:vAlign w:val="center"/>
          </w:tcPr>
          <w:p w14:paraId="5710346A"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151.269.100 - 756.345.600</w:t>
            </w:r>
          </w:p>
        </w:tc>
        <w:tc>
          <w:tcPr>
            <w:tcW w:w="1564" w:type="dxa"/>
            <w:shd w:val="clear" w:color="auto" w:fill="FFC000"/>
            <w:vAlign w:val="center"/>
          </w:tcPr>
          <w:p w14:paraId="23B7987B"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19C9F077" w14:textId="77777777" w:rsidTr="00DE0C9A">
        <w:trPr>
          <w:cantSplit/>
        </w:trPr>
        <w:tc>
          <w:tcPr>
            <w:tcW w:w="1700" w:type="dxa"/>
            <w:vAlign w:val="center"/>
          </w:tcPr>
          <w:p w14:paraId="16E8B93C"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3.</w:t>
            </w:r>
          </w:p>
        </w:tc>
        <w:tc>
          <w:tcPr>
            <w:tcW w:w="2690" w:type="dxa"/>
            <w:vAlign w:val="center"/>
          </w:tcPr>
          <w:p w14:paraId="7917000B"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Umjerene</w:t>
            </w:r>
          </w:p>
        </w:tc>
        <w:tc>
          <w:tcPr>
            <w:tcW w:w="3118" w:type="dxa"/>
            <w:vAlign w:val="center"/>
          </w:tcPr>
          <w:p w14:paraId="0269B09E"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756.345.600 - 2.269.036.800</w:t>
            </w:r>
          </w:p>
        </w:tc>
        <w:tc>
          <w:tcPr>
            <w:tcW w:w="1564" w:type="dxa"/>
            <w:vAlign w:val="center"/>
          </w:tcPr>
          <w:p w14:paraId="2BA95260"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0439A163" w14:textId="77777777" w:rsidTr="00DE0C9A">
        <w:trPr>
          <w:cantSplit/>
        </w:trPr>
        <w:tc>
          <w:tcPr>
            <w:tcW w:w="1700" w:type="dxa"/>
            <w:shd w:val="clear" w:color="auto" w:fill="FFC000"/>
            <w:vAlign w:val="center"/>
          </w:tcPr>
          <w:p w14:paraId="731AC990"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4.</w:t>
            </w:r>
          </w:p>
        </w:tc>
        <w:tc>
          <w:tcPr>
            <w:tcW w:w="2690" w:type="dxa"/>
            <w:shd w:val="clear" w:color="auto" w:fill="FFC000"/>
            <w:vAlign w:val="center"/>
          </w:tcPr>
          <w:p w14:paraId="65B38C53"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Znatne</w:t>
            </w:r>
          </w:p>
        </w:tc>
        <w:tc>
          <w:tcPr>
            <w:tcW w:w="3118" w:type="dxa"/>
            <w:shd w:val="clear" w:color="auto" w:fill="FFC000"/>
            <w:vAlign w:val="center"/>
          </w:tcPr>
          <w:p w14:paraId="341B4576"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2.269.036.800 - 3.781.727.900</w:t>
            </w:r>
          </w:p>
        </w:tc>
        <w:tc>
          <w:tcPr>
            <w:tcW w:w="1564" w:type="dxa"/>
            <w:shd w:val="clear" w:color="auto" w:fill="FFC000"/>
            <w:vAlign w:val="center"/>
          </w:tcPr>
          <w:p w14:paraId="15449CA2"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539B60F2" w14:textId="77777777" w:rsidTr="00DE0C9A">
        <w:trPr>
          <w:cantSplit/>
        </w:trPr>
        <w:tc>
          <w:tcPr>
            <w:tcW w:w="1700" w:type="dxa"/>
            <w:vAlign w:val="center"/>
          </w:tcPr>
          <w:p w14:paraId="31F0FEB9"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5.</w:t>
            </w:r>
          </w:p>
        </w:tc>
        <w:tc>
          <w:tcPr>
            <w:tcW w:w="2690" w:type="dxa"/>
            <w:vAlign w:val="center"/>
          </w:tcPr>
          <w:p w14:paraId="0568DC0C"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Katastrofalne</w:t>
            </w:r>
          </w:p>
        </w:tc>
        <w:tc>
          <w:tcPr>
            <w:tcW w:w="3118" w:type="dxa"/>
            <w:vAlign w:val="center"/>
          </w:tcPr>
          <w:p w14:paraId="22CE6DDC"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&gt;3.781.727.900</w:t>
            </w:r>
          </w:p>
        </w:tc>
        <w:tc>
          <w:tcPr>
            <w:tcW w:w="1564" w:type="dxa"/>
            <w:vAlign w:val="center"/>
          </w:tcPr>
          <w:p w14:paraId="64595EEC"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bl>
    <w:p w14:paraId="0AE2FC42" w14:textId="77777777" w:rsidR="00FF1E38" w:rsidRPr="00FF1E38" w:rsidRDefault="00FF1E38" w:rsidP="00FF1E38">
      <w:pPr>
        <w:spacing w:after="0" w:line="240" w:lineRule="auto"/>
        <w:ind w:left="0" w:right="0" w:firstLine="0"/>
        <w:rPr>
          <w:rFonts w:ascii="Times New Roman" w:hAnsi="Times New Roman" w:cs="Times New Roman"/>
          <w:sz w:val="24"/>
        </w:rPr>
      </w:pPr>
    </w:p>
    <w:p w14:paraId="40F4295F"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Štete/gubici na ustanovama/građevinama od javnog značaja bit će vrlo male zato što u blizini postrojenja nema takvih ustanova/građevina te one ne mogu biti zahvaćene razornom moći eksplozije.</w:t>
      </w:r>
    </w:p>
    <w:p w14:paraId="71E40098" w14:textId="77777777" w:rsidR="00FF1E38" w:rsidRPr="00FF1E38" w:rsidRDefault="00FF1E38" w:rsidP="00FF1E38">
      <w:pPr>
        <w:spacing w:after="0" w:line="240" w:lineRule="auto"/>
        <w:ind w:right="0"/>
        <w:rPr>
          <w:rFonts w:ascii="Times New Roman" w:hAnsi="Times New Roman" w:cs="Times New Roman"/>
          <w:sz w:val="24"/>
        </w:rPr>
      </w:pPr>
    </w:p>
    <w:p w14:paraId="52F7B450" w14:textId="0742A292" w:rsidR="00FF1E38" w:rsidRPr="00FF1E38" w:rsidRDefault="00FF1E38" w:rsidP="00193BC6">
      <w:pPr>
        <w:spacing w:line="240" w:lineRule="auto"/>
        <w:ind w:left="0" w:right="0" w:firstLine="0"/>
        <w:jc w:val="center"/>
        <w:rPr>
          <w:rFonts w:ascii="Times New Roman" w:hAnsi="Times New Roman" w:cs="Times New Roman"/>
          <w:b/>
          <w:sz w:val="24"/>
        </w:rPr>
      </w:pPr>
      <w:r w:rsidRPr="00FF1E38">
        <w:rPr>
          <w:rFonts w:ascii="Times New Roman" w:hAnsi="Times New Roman" w:cs="Times New Roman"/>
          <w:b/>
          <w:sz w:val="24"/>
        </w:rPr>
        <w:t>Tablica 7</w:t>
      </w:r>
      <w:r w:rsidR="00BB072B">
        <w:rPr>
          <w:rFonts w:ascii="Times New Roman" w:hAnsi="Times New Roman" w:cs="Times New Roman"/>
          <w:b/>
          <w:sz w:val="24"/>
        </w:rPr>
        <w:t>9</w:t>
      </w:r>
      <w:r w:rsidRPr="00FF1E38">
        <w:rPr>
          <w:rFonts w:ascii="Times New Roman" w:hAnsi="Times New Roman" w:cs="Times New Roman"/>
          <w:b/>
          <w:sz w:val="24"/>
        </w:rPr>
        <w:t xml:space="preserve">. Vrijednost kriterija za posljedice na društvenu stabilnost i politiku - štete/gubitci na ustanovama/građevinama javnog društvenog značaja </w:t>
      </w:r>
    </w:p>
    <w:tbl>
      <w:tblPr>
        <w:tblStyle w:val="TableGrid"/>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60" w:type="dxa"/>
        </w:tblCellMar>
        <w:tblLook w:val="04A0" w:firstRow="1" w:lastRow="0" w:firstColumn="1" w:lastColumn="0" w:noHBand="0" w:noVBand="1"/>
      </w:tblPr>
      <w:tblGrid>
        <w:gridCol w:w="1700"/>
        <w:gridCol w:w="2690"/>
        <w:gridCol w:w="3118"/>
        <w:gridCol w:w="1564"/>
      </w:tblGrid>
      <w:tr w:rsidR="00FF1E38" w:rsidRPr="00FF1E38" w14:paraId="2DD09D01" w14:textId="77777777" w:rsidTr="00DE0C9A">
        <w:trPr>
          <w:cantSplit/>
          <w:tblHeader/>
        </w:trPr>
        <w:tc>
          <w:tcPr>
            <w:tcW w:w="9072" w:type="dxa"/>
            <w:gridSpan w:val="4"/>
            <w:shd w:val="clear" w:color="auto" w:fill="FFC000"/>
            <w:vAlign w:val="center"/>
          </w:tcPr>
          <w:p w14:paraId="760B628C"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Štete/gubitci na građevinama od javnog društvenog značaja – industrijske nesreće</w:t>
            </w:r>
          </w:p>
        </w:tc>
      </w:tr>
      <w:tr w:rsidR="00FF1E38" w:rsidRPr="00FF1E38" w14:paraId="56C92023" w14:textId="77777777" w:rsidTr="00DE0C9A">
        <w:trPr>
          <w:cantSplit/>
          <w:tblHeader/>
        </w:trPr>
        <w:tc>
          <w:tcPr>
            <w:tcW w:w="1700" w:type="dxa"/>
            <w:shd w:val="clear" w:color="auto" w:fill="FFC000"/>
            <w:vAlign w:val="center"/>
          </w:tcPr>
          <w:p w14:paraId="37240ADA"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Kategorija</w:t>
            </w:r>
          </w:p>
        </w:tc>
        <w:tc>
          <w:tcPr>
            <w:tcW w:w="2690" w:type="dxa"/>
            <w:shd w:val="clear" w:color="auto" w:fill="FFC000"/>
            <w:vAlign w:val="center"/>
          </w:tcPr>
          <w:p w14:paraId="7CC11EB7"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Posljedice</w:t>
            </w:r>
          </w:p>
        </w:tc>
        <w:tc>
          <w:tcPr>
            <w:tcW w:w="3118" w:type="dxa"/>
            <w:shd w:val="clear" w:color="auto" w:fill="FFC000"/>
            <w:vAlign w:val="center"/>
          </w:tcPr>
          <w:p w14:paraId="17C4444D"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Kriteriji (kn)</w:t>
            </w:r>
          </w:p>
        </w:tc>
        <w:tc>
          <w:tcPr>
            <w:tcW w:w="1564" w:type="dxa"/>
            <w:shd w:val="clear" w:color="auto" w:fill="FFC000"/>
            <w:vAlign w:val="center"/>
          </w:tcPr>
          <w:p w14:paraId="5F7CEE26"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b/>
                <w:color w:val="auto"/>
                <w:sz w:val="24"/>
                <w:szCs w:val="24"/>
              </w:rPr>
              <w:t>ODABRANO</w:t>
            </w:r>
          </w:p>
        </w:tc>
      </w:tr>
      <w:tr w:rsidR="00FF1E38" w:rsidRPr="00FF1E38" w14:paraId="706205AD" w14:textId="77777777" w:rsidTr="00DE0C9A">
        <w:trPr>
          <w:cantSplit/>
        </w:trPr>
        <w:tc>
          <w:tcPr>
            <w:tcW w:w="1700" w:type="dxa"/>
            <w:vAlign w:val="center"/>
          </w:tcPr>
          <w:p w14:paraId="7CE2D3F9"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1.</w:t>
            </w:r>
          </w:p>
        </w:tc>
        <w:tc>
          <w:tcPr>
            <w:tcW w:w="2690" w:type="dxa"/>
            <w:vAlign w:val="center"/>
          </w:tcPr>
          <w:p w14:paraId="24EB01ED"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Neznatne</w:t>
            </w:r>
          </w:p>
        </w:tc>
        <w:tc>
          <w:tcPr>
            <w:tcW w:w="3118" w:type="dxa"/>
            <w:vAlign w:val="center"/>
          </w:tcPr>
          <w:p w14:paraId="66B5AE59"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75.634.600 - 151.269.100</w:t>
            </w:r>
          </w:p>
        </w:tc>
        <w:tc>
          <w:tcPr>
            <w:tcW w:w="1564" w:type="dxa"/>
            <w:vAlign w:val="center"/>
          </w:tcPr>
          <w:p w14:paraId="62EE7096"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x</w:t>
            </w:r>
          </w:p>
        </w:tc>
      </w:tr>
      <w:tr w:rsidR="00FF1E38" w:rsidRPr="00FF1E38" w14:paraId="6F8581E6" w14:textId="77777777" w:rsidTr="00DE0C9A">
        <w:trPr>
          <w:cantSplit/>
        </w:trPr>
        <w:tc>
          <w:tcPr>
            <w:tcW w:w="1700" w:type="dxa"/>
            <w:shd w:val="clear" w:color="auto" w:fill="FFC000"/>
            <w:vAlign w:val="center"/>
          </w:tcPr>
          <w:p w14:paraId="7B80C038"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2.</w:t>
            </w:r>
          </w:p>
        </w:tc>
        <w:tc>
          <w:tcPr>
            <w:tcW w:w="2690" w:type="dxa"/>
            <w:shd w:val="clear" w:color="auto" w:fill="FFC000"/>
            <w:vAlign w:val="center"/>
          </w:tcPr>
          <w:p w14:paraId="155B26A6"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Malene</w:t>
            </w:r>
          </w:p>
        </w:tc>
        <w:tc>
          <w:tcPr>
            <w:tcW w:w="3118" w:type="dxa"/>
            <w:shd w:val="clear" w:color="auto" w:fill="FFC000"/>
            <w:vAlign w:val="center"/>
          </w:tcPr>
          <w:p w14:paraId="64E65CFC"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151.269.100 - 756.345.600</w:t>
            </w:r>
          </w:p>
        </w:tc>
        <w:tc>
          <w:tcPr>
            <w:tcW w:w="1564" w:type="dxa"/>
            <w:shd w:val="clear" w:color="auto" w:fill="FFC000"/>
            <w:vAlign w:val="center"/>
          </w:tcPr>
          <w:p w14:paraId="748A0F9A"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594B4132" w14:textId="77777777" w:rsidTr="00DE0C9A">
        <w:trPr>
          <w:cantSplit/>
        </w:trPr>
        <w:tc>
          <w:tcPr>
            <w:tcW w:w="1700" w:type="dxa"/>
            <w:vAlign w:val="center"/>
          </w:tcPr>
          <w:p w14:paraId="6FD5579A"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3.</w:t>
            </w:r>
          </w:p>
        </w:tc>
        <w:tc>
          <w:tcPr>
            <w:tcW w:w="2690" w:type="dxa"/>
            <w:vAlign w:val="center"/>
          </w:tcPr>
          <w:p w14:paraId="668EA34F"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Umjerene</w:t>
            </w:r>
          </w:p>
        </w:tc>
        <w:tc>
          <w:tcPr>
            <w:tcW w:w="3118" w:type="dxa"/>
            <w:vAlign w:val="center"/>
          </w:tcPr>
          <w:p w14:paraId="091BEAFD"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756.345.600 - 2.269.036.800</w:t>
            </w:r>
          </w:p>
        </w:tc>
        <w:tc>
          <w:tcPr>
            <w:tcW w:w="1564" w:type="dxa"/>
            <w:vAlign w:val="center"/>
          </w:tcPr>
          <w:p w14:paraId="0F12A4DC"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117ED431" w14:textId="77777777" w:rsidTr="00DE0C9A">
        <w:trPr>
          <w:cantSplit/>
        </w:trPr>
        <w:tc>
          <w:tcPr>
            <w:tcW w:w="1700" w:type="dxa"/>
            <w:shd w:val="clear" w:color="auto" w:fill="FFC000"/>
            <w:vAlign w:val="center"/>
          </w:tcPr>
          <w:p w14:paraId="3710FAA0"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lastRenderedPageBreak/>
              <w:t>4.</w:t>
            </w:r>
          </w:p>
        </w:tc>
        <w:tc>
          <w:tcPr>
            <w:tcW w:w="2690" w:type="dxa"/>
            <w:shd w:val="clear" w:color="auto" w:fill="FFC000"/>
            <w:vAlign w:val="center"/>
          </w:tcPr>
          <w:p w14:paraId="216B8F56"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Znatne</w:t>
            </w:r>
          </w:p>
        </w:tc>
        <w:tc>
          <w:tcPr>
            <w:tcW w:w="3118" w:type="dxa"/>
            <w:shd w:val="clear" w:color="auto" w:fill="FFC000"/>
            <w:vAlign w:val="center"/>
          </w:tcPr>
          <w:p w14:paraId="3666AD76"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2.269.036.800 - 3.781.727.900</w:t>
            </w:r>
          </w:p>
        </w:tc>
        <w:tc>
          <w:tcPr>
            <w:tcW w:w="1564" w:type="dxa"/>
            <w:shd w:val="clear" w:color="auto" w:fill="FFC000"/>
            <w:vAlign w:val="center"/>
          </w:tcPr>
          <w:p w14:paraId="1C194BD4"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r w:rsidR="00FF1E38" w:rsidRPr="00FF1E38" w14:paraId="251155B1" w14:textId="77777777" w:rsidTr="00DE0C9A">
        <w:trPr>
          <w:cantSplit/>
        </w:trPr>
        <w:tc>
          <w:tcPr>
            <w:tcW w:w="1700" w:type="dxa"/>
            <w:vAlign w:val="center"/>
          </w:tcPr>
          <w:p w14:paraId="499F1CEA"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5.</w:t>
            </w:r>
          </w:p>
        </w:tc>
        <w:tc>
          <w:tcPr>
            <w:tcW w:w="2690" w:type="dxa"/>
            <w:vAlign w:val="center"/>
          </w:tcPr>
          <w:p w14:paraId="782510ED"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Katastrofalne</w:t>
            </w:r>
          </w:p>
        </w:tc>
        <w:tc>
          <w:tcPr>
            <w:tcW w:w="3118" w:type="dxa"/>
            <w:vAlign w:val="center"/>
          </w:tcPr>
          <w:p w14:paraId="41073EB9"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r w:rsidRPr="00FF1E38">
              <w:rPr>
                <w:rFonts w:ascii="Times New Roman" w:eastAsia="Times New Roman" w:hAnsi="Times New Roman" w:cs="Times New Roman"/>
                <w:color w:val="auto"/>
                <w:sz w:val="24"/>
                <w:szCs w:val="24"/>
              </w:rPr>
              <w:t>&gt;3.781.727.900</w:t>
            </w:r>
          </w:p>
        </w:tc>
        <w:tc>
          <w:tcPr>
            <w:tcW w:w="1564" w:type="dxa"/>
            <w:vAlign w:val="center"/>
          </w:tcPr>
          <w:p w14:paraId="4DFE04F7" w14:textId="77777777" w:rsidR="00FF1E38" w:rsidRPr="00FF1E38" w:rsidRDefault="00FF1E38" w:rsidP="00FF1E38">
            <w:pPr>
              <w:spacing w:after="0" w:line="240" w:lineRule="auto"/>
              <w:ind w:left="0" w:right="0" w:firstLine="0"/>
              <w:jc w:val="center"/>
              <w:rPr>
                <w:rFonts w:ascii="Times New Roman" w:eastAsia="Times New Roman" w:hAnsi="Times New Roman" w:cs="Times New Roman"/>
                <w:color w:val="auto"/>
                <w:sz w:val="24"/>
                <w:szCs w:val="24"/>
              </w:rPr>
            </w:pPr>
          </w:p>
        </w:tc>
      </w:tr>
    </w:tbl>
    <w:p w14:paraId="2511389A" w14:textId="77777777" w:rsidR="00FF1E38" w:rsidRPr="00FF1E38" w:rsidRDefault="00FF1E38" w:rsidP="00FF1E38">
      <w:pPr>
        <w:spacing w:after="0" w:line="240" w:lineRule="auto"/>
        <w:ind w:left="0" w:right="0" w:firstLine="0"/>
        <w:rPr>
          <w:rFonts w:ascii="Times New Roman" w:hAnsi="Times New Roman" w:cs="Times New Roman"/>
          <w:sz w:val="24"/>
        </w:rPr>
      </w:pPr>
    </w:p>
    <w:p w14:paraId="20B5227F" w14:textId="4D7A8338" w:rsidR="00FF1E38" w:rsidRPr="00FF1E38" w:rsidRDefault="00BB072B" w:rsidP="00193BC6">
      <w:pPr>
        <w:spacing w:line="240" w:lineRule="auto"/>
        <w:ind w:left="0" w:right="0" w:firstLine="0"/>
        <w:jc w:val="center"/>
        <w:rPr>
          <w:rFonts w:ascii="Times New Roman" w:hAnsi="Times New Roman" w:cs="Times New Roman"/>
          <w:b/>
          <w:sz w:val="24"/>
        </w:rPr>
      </w:pPr>
      <w:r>
        <w:rPr>
          <w:rFonts w:ascii="Times New Roman" w:hAnsi="Times New Roman" w:cs="Times New Roman"/>
          <w:b/>
          <w:sz w:val="24"/>
        </w:rPr>
        <w:t>Tablica 80</w:t>
      </w:r>
      <w:r w:rsidR="00FF1E38" w:rsidRPr="00FF1E38">
        <w:rPr>
          <w:rFonts w:ascii="Times New Roman" w:hAnsi="Times New Roman" w:cs="Times New Roman"/>
          <w:b/>
          <w:sz w:val="24"/>
        </w:rPr>
        <w:t xml:space="preserve">. Vrijednost kriterija za društvenu stabilnost i politiku - zbirno </w:t>
      </w:r>
    </w:p>
    <w:tbl>
      <w:tblPr>
        <w:tblStyle w:val="TableGrid1"/>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01"/>
        <w:gridCol w:w="2835"/>
        <w:gridCol w:w="2835"/>
        <w:gridCol w:w="1701"/>
      </w:tblGrid>
      <w:tr w:rsidR="00FF1E38" w:rsidRPr="00FF1E38" w14:paraId="66938134" w14:textId="77777777" w:rsidTr="00DE0C9A">
        <w:trPr>
          <w:cantSplit/>
        </w:trPr>
        <w:tc>
          <w:tcPr>
            <w:tcW w:w="1701" w:type="dxa"/>
            <w:shd w:val="clear" w:color="auto" w:fill="FFC000"/>
            <w:vAlign w:val="center"/>
          </w:tcPr>
          <w:p w14:paraId="7317EA2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POSLJEDICE</w:t>
            </w:r>
          </w:p>
        </w:tc>
        <w:tc>
          <w:tcPr>
            <w:tcW w:w="2835" w:type="dxa"/>
            <w:shd w:val="clear" w:color="auto" w:fill="FFC000"/>
            <w:vAlign w:val="center"/>
          </w:tcPr>
          <w:p w14:paraId="7780110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KRITIČNA INFRASTRUKTURA</w:t>
            </w:r>
          </w:p>
        </w:tc>
        <w:tc>
          <w:tcPr>
            <w:tcW w:w="2835" w:type="dxa"/>
            <w:shd w:val="clear" w:color="auto" w:fill="FFC000"/>
            <w:vAlign w:val="center"/>
          </w:tcPr>
          <w:p w14:paraId="0719E814" w14:textId="77777777" w:rsidR="00FF1E38" w:rsidRPr="00FF1E38" w:rsidRDefault="00FF1E38" w:rsidP="00FF1E38">
            <w:pPr>
              <w:spacing w:after="0" w:line="240" w:lineRule="auto"/>
              <w:ind w:left="0" w:right="0" w:firstLine="0"/>
              <w:jc w:val="center"/>
              <w:rPr>
                <w:rFonts w:ascii="Times New Roman" w:hAnsi="Times New Roman" w:cs="Times New Roman"/>
                <w:b/>
              </w:rPr>
            </w:pPr>
            <w:r w:rsidRPr="00FF1E38">
              <w:rPr>
                <w:rFonts w:ascii="Times New Roman" w:hAnsi="Times New Roman" w:cs="Times New Roman"/>
                <w:b/>
              </w:rPr>
              <w:t>USTANOVE/GRAĐEVINE</w:t>
            </w:r>
          </w:p>
          <w:p w14:paraId="07E8F31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JAVNOG DRUŠTVENOG ZNAČAJA</w:t>
            </w:r>
          </w:p>
        </w:tc>
        <w:tc>
          <w:tcPr>
            <w:tcW w:w="1701" w:type="dxa"/>
            <w:shd w:val="clear" w:color="auto" w:fill="FFC000"/>
            <w:vAlign w:val="center"/>
          </w:tcPr>
          <w:p w14:paraId="0EC2E9E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ODABRANO</w:t>
            </w:r>
          </w:p>
        </w:tc>
      </w:tr>
      <w:tr w:rsidR="00FF1E38" w:rsidRPr="00FF1E38" w14:paraId="4A2E7AD6" w14:textId="77777777" w:rsidTr="00DE0C9A">
        <w:trPr>
          <w:cantSplit/>
        </w:trPr>
        <w:tc>
          <w:tcPr>
            <w:tcW w:w="1701" w:type="dxa"/>
            <w:vAlign w:val="center"/>
          </w:tcPr>
          <w:p w14:paraId="43D09CA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Neznatne</w:t>
            </w:r>
          </w:p>
        </w:tc>
        <w:tc>
          <w:tcPr>
            <w:tcW w:w="2835" w:type="dxa"/>
            <w:vAlign w:val="center"/>
          </w:tcPr>
          <w:p w14:paraId="3515A62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c>
          <w:tcPr>
            <w:tcW w:w="2835" w:type="dxa"/>
            <w:vAlign w:val="center"/>
          </w:tcPr>
          <w:p w14:paraId="1A94F67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c>
          <w:tcPr>
            <w:tcW w:w="1701" w:type="dxa"/>
            <w:vAlign w:val="center"/>
          </w:tcPr>
          <w:p w14:paraId="5FBF550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r>
      <w:tr w:rsidR="00FF1E38" w:rsidRPr="00FF1E38" w14:paraId="637973A8" w14:textId="77777777" w:rsidTr="00DE0C9A">
        <w:trPr>
          <w:cantSplit/>
        </w:trPr>
        <w:tc>
          <w:tcPr>
            <w:tcW w:w="1701" w:type="dxa"/>
            <w:shd w:val="clear" w:color="auto" w:fill="FFC000"/>
            <w:vAlign w:val="center"/>
          </w:tcPr>
          <w:p w14:paraId="742B368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Malene</w:t>
            </w:r>
          </w:p>
        </w:tc>
        <w:tc>
          <w:tcPr>
            <w:tcW w:w="2835" w:type="dxa"/>
            <w:shd w:val="clear" w:color="auto" w:fill="FFC000"/>
            <w:vAlign w:val="center"/>
          </w:tcPr>
          <w:p w14:paraId="38D81AF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835" w:type="dxa"/>
            <w:shd w:val="clear" w:color="auto" w:fill="FFC000"/>
            <w:vAlign w:val="center"/>
          </w:tcPr>
          <w:p w14:paraId="558F062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01" w:type="dxa"/>
            <w:shd w:val="clear" w:color="auto" w:fill="FFC000"/>
            <w:vAlign w:val="center"/>
          </w:tcPr>
          <w:p w14:paraId="6AEB6473"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71DEA11B" w14:textId="77777777" w:rsidTr="00DE0C9A">
        <w:trPr>
          <w:cantSplit/>
        </w:trPr>
        <w:tc>
          <w:tcPr>
            <w:tcW w:w="1701" w:type="dxa"/>
            <w:vAlign w:val="center"/>
          </w:tcPr>
          <w:p w14:paraId="4556D2D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Umjerene</w:t>
            </w:r>
          </w:p>
        </w:tc>
        <w:tc>
          <w:tcPr>
            <w:tcW w:w="2835" w:type="dxa"/>
            <w:vAlign w:val="center"/>
          </w:tcPr>
          <w:p w14:paraId="2EE26D26"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835" w:type="dxa"/>
            <w:vAlign w:val="center"/>
          </w:tcPr>
          <w:p w14:paraId="3F8220BF"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01" w:type="dxa"/>
            <w:vAlign w:val="center"/>
          </w:tcPr>
          <w:p w14:paraId="7E2F2656"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432A2183" w14:textId="77777777" w:rsidTr="00DE0C9A">
        <w:trPr>
          <w:cantSplit/>
        </w:trPr>
        <w:tc>
          <w:tcPr>
            <w:tcW w:w="1701" w:type="dxa"/>
            <w:shd w:val="clear" w:color="auto" w:fill="FFC000"/>
            <w:vAlign w:val="center"/>
          </w:tcPr>
          <w:p w14:paraId="04D7905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Znatne</w:t>
            </w:r>
          </w:p>
        </w:tc>
        <w:tc>
          <w:tcPr>
            <w:tcW w:w="2835" w:type="dxa"/>
            <w:shd w:val="clear" w:color="auto" w:fill="FFC000"/>
            <w:vAlign w:val="center"/>
          </w:tcPr>
          <w:p w14:paraId="5CC9BD29"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835" w:type="dxa"/>
            <w:shd w:val="clear" w:color="auto" w:fill="FFC000"/>
            <w:vAlign w:val="center"/>
          </w:tcPr>
          <w:p w14:paraId="426AC063"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01" w:type="dxa"/>
            <w:shd w:val="clear" w:color="auto" w:fill="FFC000"/>
            <w:vAlign w:val="center"/>
          </w:tcPr>
          <w:p w14:paraId="14635E6C"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27982FAE" w14:textId="77777777" w:rsidTr="00DE0C9A">
        <w:trPr>
          <w:cantSplit/>
        </w:trPr>
        <w:tc>
          <w:tcPr>
            <w:tcW w:w="1701" w:type="dxa"/>
            <w:vAlign w:val="center"/>
          </w:tcPr>
          <w:p w14:paraId="425474F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Katastrofalne</w:t>
            </w:r>
          </w:p>
        </w:tc>
        <w:tc>
          <w:tcPr>
            <w:tcW w:w="2835" w:type="dxa"/>
            <w:vAlign w:val="center"/>
          </w:tcPr>
          <w:p w14:paraId="3D18AB9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835" w:type="dxa"/>
            <w:vAlign w:val="center"/>
          </w:tcPr>
          <w:p w14:paraId="767B4A4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01" w:type="dxa"/>
            <w:vAlign w:val="center"/>
          </w:tcPr>
          <w:p w14:paraId="72DD1C6B" w14:textId="77777777" w:rsidR="00FF1E38" w:rsidRPr="00FF1E38" w:rsidRDefault="00FF1E38" w:rsidP="00FF1E38">
            <w:pPr>
              <w:spacing w:after="0" w:line="240" w:lineRule="auto"/>
              <w:ind w:left="0" w:right="0" w:firstLine="0"/>
              <w:jc w:val="center"/>
              <w:rPr>
                <w:rFonts w:ascii="Times New Roman" w:hAnsi="Times New Roman" w:cs="Times New Roman"/>
              </w:rPr>
            </w:pPr>
          </w:p>
        </w:tc>
      </w:tr>
    </w:tbl>
    <w:p w14:paraId="1469F4F7" w14:textId="77777777" w:rsidR="00FF1E38" w:rsidRPr="00FF1E38" w:rsidRDefault="00FF1E38" w:rsidP="00FF1E38">
      <w:pPr>
        <w:spacing w:after="0" w:line="240" w:lineRule="auto"/>
        <w:ind w:left="0" w:right="0" w:firstLine="0"/>
        <w:jc w:val="left"/>
        <w:rPr>
          <w:rFonts w:ascii="Times New Roman" w:hAnsi="Times New Roman" w:cs="Times New Roman"/>
          <w:i/>
          <w:sz w:val="24"/>
        </w:rPr>
      </w:pPr>
    </w:p>
    <w:p w14:paraId="3FE75789" w14:textId="77777777" w:rsidR="00FF1E38" w:rsidRPr="00FF1E38" w:rsidRDefault="00FF1E38" w:rsidP="00FF1E38">
      <w:pPr>
        <w:spacing w:after="0" w:line="240" w:lineRule="auto"/>
        <w:ind w:left="0" w:right="0" w:firstLine="709"/>
        <w:jc w:val="left"/>
        <w:rPr>
          <w:rFonts w:ascii="Times New Roman" w:hAnsi="Times New Roman" w:cs="Times New Roman"/>
          <w:i/>
          <w:sz w:val="24"/>
        </w:rPr>
      </w:pPr>
      <w:r w:rsidRPr="00FF1E38">
        <w:rPr>
          <w:rFonts w:ascii="Times New Roman" w:hAnsi="Times New Roman" w:cs="Times New Roman"/>
          <w:i/>
          <w:sz w:val="24"/>
          <w:u w:val="single" w:color="000000"/>
        </w:rPr>
        <w:t>Zaključak</w:t>
      </w:r>
    </w:p>
    <w:p w14:paraId="2915F844"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Eksplozija ukapljenog naftnog plina u pregrijanom spremniku od 1000 m</w:t>
      </w:r>
      <w:r w:rsidRPr="00FF1E38">
        <w:rPr>
          <w:rFonts w:ascii="Times New Roman" w:hAnsi="Times New Roman" w:cs="Times New Roman"/>
          <w:sz w:val="24"/>
          <w:vertAlign w:val="superscript"/>
        </w:rPr>
        <w:t xml:space="preserve">3 </w:t>
      </w:r>
      <w:r w:rsidRPr="00FF1E38">
        <w:rPr>
          <w:rFonts w:ascii="Times New Roman" w:hAnsi="Times New Roman" w:cs="Times New Roman"/>
          <w:sz w:val="24"/>
        </w:rPr>
        <w:t>i kao rezultat toga oštećenje i zapaljenje spremnika loživog ulja na području industrijske zone Žitnjak, imalo bi katastrofalne posljedice na stanovništvo i malene posljedice na gospodarstvo na području Grada Zagreba. Najizraženije bi bile posljedice na ljudsko zdravlje i okoliš.</w:t>
      </w:r>
    </w:p>
    <w:p w14:paraId="4AE205D8" w14:textId="77777777" w:rsidR="00FF1E38" w:rsidRPr="00FF1E38" w:rsidRDefault="00FF1E38" w:rsidP="00FF1E38">
      <w:pPr>
        <w:spacing w:after="0" w:line="240" w:lineRule="auto"/>
        <w:ind w:right="0"/>
        <w:rPr>
          <w:rFonts w:ascii="Times New Roman" w:hAnsi="Times New Roman" w:cs="Times New Roman"/>
          <w:sz w:val="24"/>
        </w:rPr>
      </w:pPr>
    </w:p>
    <w:p w14:paraId="5C0711B3" w14:textId="77777777" w:rsidR="00FF1E38" w:rsidRPr="00FF1E38" w:rsidRDefault="00FF1E38" w:rsidP="00FF1E38">
      <w:pPr>
        <w:spacing w:after="0" w:line="240" w:lineRule="auto"/>
        <w:ind w:left="0" w:right="0" w:firstLine="709"/>
        <w:jc w:val="left"/>
        <w:rPr>
          <w:rFonts w:ascii="Times New Roman" w:hAnsi="Times New Roman" w:cs="Times New Roman"/>
          <w:i/>
          <w:sz w:val="24"/>
        </w:rPr>
      </w:pPr>
      <w:r w:rsidRPr="00FF1E38">
        <w:rPr>
          <w:rFonts w:ascii="Times New Roman" w:hAnsi="Times New Roman" w:cs="Times New Roman"/>
          <w:i/>
          <w:sz w:val="24"/>
          <w:u w:val="single" w:color="000000"/>
        </w:rPr>
        <w:t>Vjerojatnost događaja</w:t>
      </w:r>
    </w:p>
    <w:p w14:paraId="163EDEE4"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Za mogućnost nastanka opisanog scenarija s obzirom na dosadašnje pokazatelje može se procijeniti vjerojatnost: kategorija 1. iznimno mala.</w:t>
      </w:r>
    </w:p>
    <w:p w14:paraId="04F982A9" w14:textId="77777777" w:rsidR="00FF1E38" w:rsidRPr="00FF1E38" w:rsidRDefault="00FF1E38" w:rsidP="00FF1E38">
      <w:pPr>
        <w:spacing w:after="0" w:line="240" w:lineRule="auto"/>
        <w:ind w:right="0"/>
        <w:rPr>
          <w:rFonts w:ascii="Times New Roman" w:hAnsi="Times New Roman" w:cs="Times New Roman"/>
          <w:sz w:val="24"/>
        </w:rPr>
      </w:pPr>
    </w:p>
    <w:p w14:paraId="731638DA" w14:textId="03F4F219" w:rsidR="00FF1E38" w:rsidRPr="00FF1E38" w:rsidRDefault="00FF1E38" w:rsidP="00193BC6">
      <w:pPr>
        <w:spacing w:line="240" w:lineRule="auto"/>
        <w:ind w:left="0" w:right="0" w:firstLine="0"/>
        <w:jc w:val="center"/>
        <w:rPr>
          <w:rFonts w:ascii="Times New Roman" w:hAnsi="Times New Roman" w:cs="Times New Roman"/>
          <w:b/>
          <w:sz w:val="24"/>
        </w:rPr>
      </w:pPr>
      <w:r w:rsidRPr="00FF1E38">
        <w:rPr>
          <w:rFonts w:ascii="Times New Roman" w:hAnsi="Times New Roman" w:cs="Times New Roman"/>
          <w:b/>
          <w:sz w:val="24"/>
        </w:rPr>
        <w:t xml:space="preserve">Tablica </w:t>
      </w:r>
      <w:r w:rsidR="00BB072B">
        <w:rPr>
          <w:rFonts w:ascii="Times New Roman" w:hAnsi="Times New Roman" w:cs="Times New Roman"/>
          <w:b/>
          <w:sz w:val="24"/>
        </w:rPr>
        <w:t>81</w:t>
      </w:r>
      <w:r w:rsidRPr="00FF1E38">
        <w:rPr>
          <w:rFonts w:ascii="Times New Roman" w:hAnsi="Times New Roman" w:cs="Times New Roman"/>
          <w:b/>
          <w:sz w:val="24"/>
        </w:rPr>
        <w:t xml:space="preserve">. Vjerojatnost/frekvencija događaja </w:t>
      </w:r>
    </w:p>
    <w:tbl>
      <w:tblPr>
        <w:tblStyle w:val="TableGrid1"/>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129"/>
        <w:gridCol w:w="1560"/>
        <w:gridCol w:w="1417"/>
        <w:gridCol w:w="3544"/>
        <w:gridCol w:w="1422"/>
      </w:tblGrid>
      <w:tr w:rsidR="00FF1E38" w:rsidRPr="00FF1E38" w14:paraId="2605632B" w14:textId="77777777" w:rsidTr="00DE0C9A">
        <w:trPr>
          <w:cantSplit/>
        </w:trPr>
        <w:tc>
          <w:tcPr>
            <w:tcW w:w="1129" w:type="dxa"/>
            <w:vMerge w:val="restart"/>
            <w:shd w:val="clear" w:color="auto" w:fill="FFC000"/>
            <w:vAlign w:val="center"/>
          </w:tcPr>
          <w:p w14:paraId="4A24DCB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Kategorija</w:t>
            </w:r>
          </w:p>
        </w:tc>
        <w:tc>
          <w:tcPr>
            <w:tcW w:w="7943" w:type="dxa"/>
            <w:gridSpan w:val="4"/>
            <w:shd w:val="clear" w:color="auto" w:fill="FFC000"/>
            <w:vAlign w:val="center"/>
          </w:tcPr>
          <w:p w14:paraId="0335122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VJEROJATNOST/FREKVENCIJA</w:t>
            </w:r>
          </w:p>
        </w:tc>
      </w:tr>
      <w:tr w:rsidR="00FF1E38" w:rsidRPr="00FF1E38" w14:paraId="34CEF59E" w14:textId="77777777" w:rsidTr="00DE0C9A">
        <w:trPr>
          <w:cantSplit/>
        </w:trPr>
        <w:tc>
          <w:tcPr>
            <w:tcW w:w="1129" w:type="dxa"/>
            <w:vMerge/>
            <w:vAlign w:val="center"/>
          </w:tcPr>
          <w:p w14:paraId="37BA20A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560" w:type="dxa"/>
            <w:shd w:val="clear" w:color="auto" w:fill="FFC000"/>
            <w:vAlign w:val="center"/>
          </w:tcPr>
          <w:p w14:paraId="7A842BD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Kvalitativno</w:t>
            </w:r>
          </w:p>
        </w:tc>
        <w:tc>
          <w:tcPr>
            <w:tcW w:w="1417" w:type="dxa"/>
            <w:shd w:val="clear" w:color="auto" w:fill="FFC000"/>
            <w:vAlign w:val="center"/>
          </w:tcPr>
          <w:p w14:paraId="3B93C52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Vjerojatnost</w:t>
            </w:r>
          </w:p>
        </w:tc>
        <w:tc>
          <w:tcPr>
            <w:tcW w:w="3544" w:type="dxa"/>
            <w:shd w:val="clear" w:color="auto" w:fill="FFC000"/>
            <w:vAlign w:val="center"/>
          </w:tcPr>
          <w:p w14:paraId="2EFE68F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Frekvencija</w:t>
            </w:r>
          </w:p>
        </w:tc>
        <w:tc>
          <w:tcPr>
            <w:tcW w:w="1422" w:type="dxa"/>
            <w:shd w:val="clear" w:color="auto" w:fill="FFC000"/>
            <w:vAlign w:val="center"/>
          </w:tcPr>
          <w:p w14:paraId="710DADB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ODABRANO</w:t>
            </w:r>
          </w:p>
        </w:tc>
      </w:tr>
      <w:tr w:rsidR="00FF1E38" w:rsidRPr="00FF1E38" w14:paraId="7DAAB07D" w14:textId="77777777" w:rsidTr="00DE0C9A">
        <w:trPr>
          <w:cantSplit/>
        </w:trPr>
        <w:tc>
          <w:tcPr>
            <w:tcW w:w="1129" w:type="dxa"/>
            <w:vAlign w:val="center"/>
          </w:tcPr>
          <w:p w14:paraId="02B16CA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w:t>
            </w:r>
          </w:p>
        </w:tc>
        <w:tc>
          <w:tcPr>
            <w:tcW w:w="1560" w:type="dxa"/>
            <w:vAlign w:val="center"/>
          </w:tcPr>
          <w:p w14:paraId="6BA28D6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Iznimno mala</w:t>
            </w:r>
          </w:p>
        </w:tc>
        <w:tc>
          <w:tcPr>
            <w:tcW w:w="1417" w:type="dxa"/>
            <w:vAlign w:val="center"/>
          </w:tcPr>
          <w:p w14:paraId="5618560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&lt;1 %</w:t>
            </w:r>
          </w:p>
        </w:tc>
        <w:tc>
          <w:tcPr>
            <w:tcW w:w="3544" w:type="dxa"/>
            <w:vAlign w:val="center"/>
          </w:tcPr>
          <w:p w14:paraId="7EA8592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u 100 godina i rjeđe</w:t>
            </w:r>
          </w:p>
        </w:tc>
        <w:tc>
          <w:tcPr>
            <w:tcW w:w="1422" w:type="dxa"/>
            <w:vAlign w:val="center"/>
          </w:tcPr>
          <w:p w14:paraId="1B71F40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r>
      <w:tr w:rsidR="00FF1E38" w:rsidRPr="00FF1E38" w14:paraId="3C7AF957" w14:textId="77777777" w:rsidTr="00DE0C9A">
        <w:trPr>
          <w:cantSplit/>
        </w:trPr>
        <w:tc>
          <w:tcPr>
            <w:tcW w:w="1129" w:type="dxa"/>
            <w:shd w:val="clear" w:color="auto" w:fill="FFC000"/>
            <w:vAlign w:val="center"/>
          </w:tcPr>
          <w:p w14:paraId="18419B5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w:t>
            </w:r>
          </w:p>
        </w:tc>
        <w:tc>
          <w:tcPr>
            <w:tcW w:w="1560" w:type="dxa"/>
            <w:shd w:val="clear" w:color="auto" w:fill="FFC000"/>
            <w:vAlign w:val="center"/>
          </w:tcPr>
          <w:p w14:paraId="27F1B3E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Mala</w:t>
            </w:r>
          </w:p>
        </w:tc>
        <w:tc>
          <w:tcPr>
            <w:tcW w:w="1417" w:type="dxa"/>
            <w:shd w:val="clear" w:color="auto" w:fill="FFC000"/>
            <w:vAlign w:val="center"/>
          </w:tcPr>
          <w:p w14:paraId="7E90319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1 - 5 %</w:t>
            </w:r>
          </w:p>
        </w:tc>
        <w:tc>
          <w:tcPr>
            <w:tcW w:w="3544" w:type="dxa"/>
            <w:shd w:val="clear" w:color="auto" w:fill="FFC000"/>
            <w:vAlign w:val="center"/>
          </w:tcPr>
          <w:p w14:paraId="7CCC157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u razdoblju 20 - 100 godina</w:t>
            </w:r>
          </w:p>
        </w:tc>
        <w:tc>
          <w:tcPr>
            <w:tcW w:w="1422" w:type="dxa"/>
            <w:shd w:val="clear" w:color="auto" w:fill="FFC000"/>
            <w:vAlign w:val="center"/>
          </w:tcPr>
          <w:p w14:paraId="3C5FA648"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03E0694A" w14:textId="77777777" w:rsidTr="00DE0C9A">
        <w:trPr>
          <w:cantSplit/>
        </w:trPr>
        <w:tc>
          <w:tcPr>
            <w:tcW w:w="1129" w:type="dxa"/>
            <w:vAlign w:val="center"/>
          </w:tcPr>
          <w:p w14:paraId="54BC48A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w:t>
            </w:r>
          </w:p>
        </w:tc>
        <w:tc>
          <w:tcPr>
            <w:tcW w:w="1560" w:type="dxa"/>
            <w:vAlign w:val="center"/>
          </w:tcPr>
          <w:p w14:paraId="563B5A5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Umjerena</w:t>
            </w:r>
          </w:p>
        </w:tc>
        <w:tc>
          <w:tcPr>
            <w:tcW w:w="1417" w:type="dxa"/>
            <w:vAlign w:val="center"/>
          </w:tcPr>
          <w:p w14:paraId="3E06E17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5 - 50 %</w:t>
            </w:r>
          </w:p>
        </w:tc>
        <w:tc>
          <w:tcPr>
            <w:tcW w:w="3544" w:type="dxa"/>
            <w:vAlign w:val="center"/>
          </w:tcPr>
          <w:p w14:paraId="2903EB0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u razdoblju 2 - 20 godina</w:t>
            </w:r>
          </w:p>
        </w:tc>
        <w:tc>
          <w:tcPr>
            <w:tcW w:w="1422" w:type="dxa"/>
            <w:vAlign w:val="center"/>
          </w:tcPr>
          <w:p w14:paraId="165CDEEA"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54622BE2" w14:textId="77777777" w:rsidTr="00DE0C9A">
        <w:trPr>
          <w:cantSplit/>
        </w:trPr>
        <w:tc>
          <w:tcPr>
            <w:tcW w:w="1129" w:type="dxa"/>
            <w:shd w:val="clear" w:color="auto" w:fill="FFC000"/>
            <w:vAlign w:val="center"/>
          </w:tcPr>
          <w:p w14:paraId="5333EAC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w:t>
            </w:r>
          </w:p>
        </w:tc>
        <w:tc>
          <w:tcPr>
            <w:tcW w:w="1560" w:type="dxa"/>
            <w:shd w:val="clear" w:color="auto" w:fill="FFC000"/>
            <w:vAlign w:val="center"/>
          </w:tcPr>
          <w:p w14:paraId="09C315F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Velika</w:t>
            </w:r>
          </w:p>
        </w:tc>
        <w:tc>
          <w:tcPr>
            <w:tcW w:w="1417" w:type="dxa"/>
            <w:shd w:val="clear" w:color="auto" w:fill="FFC000"/>
            <w:vAlign w:val="center"/>
          </w:tcPr>
          <w:p w14:paraId="1C2F2CC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51 - 98 %</w:t>
            </w:r>
          </w:p>
        </w:tc>
        <w:tc>
          <w:tcPr>
            <w:tcW w:w="3544" w:type="dxa"/>
            <w:shd w:val="clear" w:color="auto" w:fill="FFC000"/>
            <w:vAlign w:val="center"/>
          </w:tcPr>
          <w:p w14:paraId="58D5AC0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u razdoblju 1 - 2 godine</w:t>
            </w:r>
          </w:p>
        </w:tc>
        <w:tc>
          <w:tcPr>
            <w:tcW w:w="1422" w:type="dxa"/>
            <w:shd w:val="clear" w:color="auto" w:fill="FFC000"/>
            <w:vAlign w:val="center"/>
          </w:tcPr>
          <w:p w14:paraId="18356B4D"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16F6DF4C" w14:textId="77777777" w:rsidTr="00DE0C9A">
        <w:trPr>
          <w:cantSplit/>
        </w:trPr>
        <w:tc>
          <w:tcPr>
            <w:tcW w:w="1129" w:type="dxa"/>
            <w:vAlign w:val="center"/>
          </w:tcPr>
          <w:p w14:paraId="553A5EC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w:t>
            </w:r>
          </w:p>
        </w:tc>
        <w:tc>
          <w:tcPr>
            <w:tcW w:w="1560" w:type="dxa"/>
            <w:vAlign w:val="center"/>
          </w:tcPr>
          <w:p w14:paraId="3B53FFA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Iznimno velika</w:t>
            </w:r>
          </w:p>
        </w:tc>
        <w:tc>
          <w:tcPr>
            <w:tcW w:w="1417" w:type="dxa"/>
            <w:vAlign w:val="center"/>
          </w:tcPr>
          <w:p w14:paraId="20832B9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&gt; 98 %</w:t>
            </w:r>
          </w:p>
        </w:tc>
        <w:tc>
          <w:tcPr>
            <w:tcW w:w="3544" w:type="dxa"/>
            <w:vAlign w:val="center"/>
          </w:tcPr>
          <w:p w14:paraId="632D1B9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godišnje ili češće</w:t>
            </w:r>
          </w:p>
        </w:tc>
        <w:tc>
          <w:tcPr>
            <w:tcW w:w="1422" w:type="dxa"/>
            <w:vAlign w:val="center"/>
          </w:tcPr>
          <w:p w14:paraId="54889632" w14:textId="77777777" w:rsidR="00FF1E38" w:rsidRPr="00FF1E38" w:rsidRDefault="00FF1E38" w:rsidP="00FF1E38">
            <w:pPr>
              <w:spacing w:after="0" w:line="240" w:lineRule="auto"/>
              <w:ind w:left="0" w:right="0" w:firstLine="0"/>
              <w:jc w:val="center"/>
              <w:rPr>
                <w:rFonts w:ascii="Times New Roman" w:hAnsi="Times New Roman" w:cs="Times New Roman"/>
              </w:rPr>
            </w:pPr>
          </w:p>
        </w:tc>
      </w:tr>
    </w:tbl>
    <w:p w14:paraId="17E12600" w14:textId="77777777" w:rsidR="00FF1E38" w:rsidRPr="00FF1E38" w:rsidRDefault="00FF1E38" w:rsidP="00FF1E38">
      <w:pPr>
        <w:spacing w:after="0" w:line="240" w:lineRule="auto"/>
        <w:ind w:left="0" w:right="0" w:firstLine="0"/>
        <w:rPr>
          <w:rFonts w:ascii="Times New Roman" w:hAnsi="Times New Roman" w:cs="Times New Roman"/>
          <w:sz w:val="24"/>
        </w:rPr>
      </w:pPr>
    </w:p>
    <w:p w14:paraId="337B9B1A"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t>6.3.5.2. Podaci, izvori i metode izračuna</w:t>
      </w:r>
    </w:p>
    <w:p w14:paraId="27FA0AC4"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Za izradu scenarija: Eksplozija ukapljenog naftnog plina u pregrijanom spremniku od 1000 m</w:t>
      </w:r>
      <w:r w:rsidRPr="00FF1E38">
        <w:rPr>
          <w:rFonts w:ascii="Times New Roman" w:hAnsi="Times New Roman" w:cs="Times New Roman"/>
          <w:sz w:val="24"/>
          <w:vertAlign w:val="superscript"/>
        </w:rPr>
        <w:t xml:space="preserve">3 </w:t>
      </w:r>
      <w:r w:rsidRPr="00FF1E38">
        <w:rPr>
          <w:rFonts w:ascii="Times New Roman" w:hAnsi="Times New Roman" w:cs="Times New Roman"/>
          <w:sz w:val="24"/>
        </w:rPr>
        <w:t>rezultira pojavom domino-efekta na području industrijske zone Žitnjak iz grupe rizika - Industrijske nesreće, korišteni su podaci, izvori i metode izračuna prema sljedećoj dokumentaciji:</w:t>
      </w:r>
    </w:p>
    <w:p w14:paraId="3E7BBE45"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Procjena rizika od katastrofa za Republiku Hrvatsku;</w:t>
      </w:r>
    </w:p>
    <w:p w14:paraId="2C3F3855"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Vanjski plan zaštite i spašavanja za područje Grada Zagreba;</w:t>
      </w:r>
    </w:p>
    <w:p w14:paraId="1060D180"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Procjena ugroženosti stanovništva, materijalnih i kulturnih dobara te okoliša od katastrofa i velikih nesreća na području Grada Zagreba;</w:t>
      </w:r>
    </w:p>
    <w:p w14:paraId="6D51CCF3"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Plan zaštite i spašavanja na području Republike Hrvatske (Narodne novine 96/10);</w:t>
      </w:r>
    </w:p>
    <w:p w14:paraId="763081FB"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rPr>
        <w:t>-</w:t>
      </w:r>
      <w:r w:rsidRPr="00FF1E38">
        <w:rPr>
          <w:rFonts w:ascii="Times New Roman" w:hAnsi="Times New Roman" w:cs="Times New Roman"/>
          <w:sz w:val="24"/>
        </w:rPr>
        <w:tab/>
        <w:t>Plan zaštite i spašavanja za područje Grada Zagreba, prosinac 2011.</w:t>
      </w:r>
    </w:p>
    <w:p w14:paraId="3DF77631" w14:textId="77777777" w:rsidR="00FF1E38" w:rsidRPr="00FF1E38" w:rsidRDefault="00FF1E38" w:rsidP="00FF1E38">
      <w:pPr>
        <w:spacing w:after="0" w:line="240" w:lineRule="auto"/>
        <w:ind w:right="0"/>
        <w:rPr>
          <w:rFonts w:ascii="Times New Roman" w:hAnsi="Times New Roman" w:cs="Times New Roman"/>
          <w:sz w:val="24"/>
        </w:rPr>
      </w:pPr>
    </w:p>
    <w:p w14:paraId="597E00F4"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Izvješća o sigurnosti i unutarnji planovi zaštite i spašavanja:</w:t>
      </w:r>
    </w:p>
    <w:p w14:paraId="51F77199"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JANAF d.d. - Terminal Žitnjak d.d. - Terminal Žitnjak, Žitnjak bb, Zagreb;</w:t>
      </w:r>
    </w:p>
    <w:p w14:paraId="1CCDD612"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HEP Proizvodnja d.o.o. - Termoelektrana-Toplana Zagreb, Kuševačka 10a, Zagreb;</w:t>
      </w:r>
    </w:p>
    <w:p w14:paraId="1F9A4210"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lastRenderedPageBreak/>
        <w:t>-</w:t>
      </w:r>
      <w:r w:rsidRPr="00FF1E38">
        <w:rPr>
          <w:rFonts w:ascii="Times New Roman" w:hAnsi="Times New Roman" w:cs="Times New Roman"/>
          <w:sz w:val="24"/>
          <w:u w:color="000000"/>
        </w:rPr>
        <w:tab/>
      </w:r>
      <w:r w:rsidRPr="00FF1E38">
        <w:rPr>
          <w:rFonts w:ascii="Times New Roman" w:hAnsi="Times New Roman" w:cs="Times New Roman"/>
          <w:sz w:val="24"/>
        </w:rPr>
        <w:t>INA Industrija nafte d.d. - Služba skladištenja, PJ UNP Terminali - Lokacija Zagreb, Radnička cesta 216, Zagreb.</w:t>
      </w:r>
      <w:bookmarkStart w:id="90" w:name="_Toc2938607"/>
    </w:p>
    <w:p w14:paraId="7BE52B43" w14:textId="77777777" w:rsidR="00FF1E38" w:rsidRPr="00FF1E38" w:rsidRDefault="00FF1E38" w:rsidP="00FF1E38">
      <w:pPr>
        <w:spacing w:after="0" w:line="240" w:lineRule="auto"/>
        <w:ind w:left="879" w:right="0" w:hanging="170"/>
        <w:rPr>
          <w:rFonts w:ascii="Times New Roman" w:hAnsi="Times New Roman" w:cs="Times New Roman"/>
          <w:sz w:val="24"/>
        </w:rPr>
      </w:pPr>
    </w:p>
    <w:p w14:paraId="21B9A62C"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t>6.3.6. Matrice rizika</w:t>
      </w:r>
      <w:bookmarkEnd w:id="90"/>
    </w:p>
    <w:p w14:paraId="6A28B123"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u w:val="single" w:color="000000"/>
        </w:rPr>
        <w:t>RIZIK:</w:t>
      </w:r>
      <w:r w:rsidRPr="00FF1E38">
        <w:rPr>
          <w:rFonts w:ascii="Times New Roman" w:hAnsi="Times New Roman" w:cs="Times New Roman"/>
          <w:sz w:val="24"/>
        </w:rPr>
        <w:t xml:space="preserve"> Industrijske nesreće</w:t>
      </w:r>
    </w:p>
    <w:p w14:paraId="36206CAC"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u w:val="single" w:color="000000"/>
        </w:rPr>
        <w:t>NAZIV SCENARIJA</w:t>
      </w:r>
      <w:r w:rsidRPr="00FF1E38">
        <w:rPr>
          <w:rFonts w:ascii="Times New Roman" w:hAnsi="Times New Roman" w:cs="Times New Roman"/>
          <w:sz w:val="24"/>
        </w:rPr>
        <w:t>: Eksplozija ukapljenog naftnog plina u pregrijanom spremniku od 1000 m</w:t>
      </w:r>
      <w:r w:rsidRPr="00FF1E38">
        <w:rPr>
          <w:rFonts w:ascii="Times New Roman" w:hAnsi="Times New Roman" w:cs="Times New Roman"/>
          <w:sz w:val="24"/>
          <w:vertAlign w:val="superscript"/>
        </w:rPr>
        <w:t xml:space="preserve">3 </w:t>
      </w:r>
      <w:r w:rsidRPr="00FF1E38">
        <w:rPr>
          <w:rFonts w:ascii="Times New Roman" w:hAnsi="Times New Roman" w:cs="Times New Roman"/>
          <w:sz w:val="24"/>
        </w:rPr>
        <w:t>rezultira pojavom domino-efekta na području industrijske zone Žitnjak.</w:t>
      </w:r>
    </w:p>
    <w:p w14:paraId="14F5DDFA"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Na temelju kombinacije dobivenih vrijednosti posljedica za sve tri kategorije (život i zdravlje ljudi, gospodarstvo i društvena stabilnost i politika) i vjerojatnosti izrađene su matrice rizika za prijetnju.</w:t>
      </w:r>
    </w:p>
    <w:p w14:paraId="37516AFB" w14:textId="1EB209D1" w:rsidR="00FF1E38" w:rsidRDefault="00FF1E38" w:rsidP="00FF1E38">
      <w:pPr>
        <w:spacing w:after="0" w:line="240" w:lineRule="auto"/>
        <w:ind w:left="0" w:right="0" w:firstLine="0"/>
        <w:jc w:val="left"/>
        <w:rPr>
          <w:rFonts w:ascii="Times New Roman" w:hAnsi="Times New Roman" w:cs="Times New Roman"/>
          <w:sz w:val="24"/>
        </w:rPr>
      </w:pPr>
    </w:p>
    <w:p w14:paraId="2F2F49CE" w14:textId="442F2420" w:rsidR="00193BC6" w:rsidRDefault="00193BC6" w:rsidP="00FF1E38">
      <w:pPr>
        <w:spacing w:after="0" w:line="240" w:lineRule="auto"/>
        <w:ind w:left="0" w:right="0" w:firstLine="0"/>
        <w:jc w:val="left"/>
        <w:rPr>
          <w:rFonts w:ascii="Times New Roman" w:hAnsi="Times New Roman" w:cs="Times New Roman"/>
          <w:sz w:val="24"/>
        </w:rPr>
      </w:pPr>
    </w:p>
    <w:p w14:paraId="5F89B39E" w14:textId="40BCA5FD" w:rsidR="00193BC6" w:rsidRDefault="00193BC6" w:rsidP="00FF1E38">
      <w:pPr>
        <w:spacing w:after="0" w:line="240" w:lineRule="auto"/>
        <w:ind w:left="0" w:right="0" w:firstLine="0"/>
        <w:jc w:val="left"/>
        <w:rPr>
          <w:rFonts w:ascii="Times New Roman" w:hAnsi="Times New Roman" w:cs="Times New Roman"/>
          <w:sz w:val="24"/>
        </w:rPr>
      </w:pPr>
    </w:p>
    <w:p w14:paraId="2038C2D7" w14:textId="77777777" w:rsidR="00193BC6" w:rsidRPr="00FF1E38" w:rsidRDefault="00193BC6" w:rsidP="00FF1E38">
      <w:pPr>
        <w:spacing w:after="0" w:line="240" w:lineRule="auto"/>
        <w:ind w:left="0" w:right="0" w:firstLine="0"/>
        <w:jc w:val="left"/>
        <w:rPr>
          <w:rFonts w:ascii="Times New Roman" w:hAnsi="Times New Roman" w:cs="Times New Roman"/>
          <w:sz w:val="24"/>
        </w:rPr>
      </w:pPr>
    </w:p>
    <w:p w14:paraId="4981EAA3" w14:textId="77777777" w:rsidR="00FF1E38" w:rsidRPr="00FF1E38" w:rsidRDefault="00FF1E38" w:rsidP="00FF1E38">
      <w:pPr>
        <w:spacing w:after="0" w:line="240" w:lineRule="auto"/>
        <w:ind w:left="0" w:right="0" w:firstLine="0"/>
        <w:jc w:val="center"/>
        <w:rPr>
          <w:rFonts w:ascii="Times New Roman" w:hAnsi="Times New Roman" w:cs="Times New Roman"/>
          <w:b/>
          <w:sz w:val="24"/>
        </w:rPr>
      </w:pPr>
      <w:r w:rsidRPr="00FF1E38">
        <w:rPr>
          <w:rFonts w:ascii="Times New Roman" w:hAnsi="Times New Roman" w:cs="Times New Roman"/>
          <w:b/>
          <w:sz w:val="24"/>
        </w:rPr>
        <w:t>Ukupni rizik za INDUSTRIJSKE NESREĆE - umjeren rizik</w:t>
      </w:r>
    </w:p>
    <w:p w14:paraId="181345AF" w14:textId="1C316D2B" w:rsidR="00FF1E38" w:rsidRDefault="00FF1E38" w:rsidP="00FF1E38">
      <w:pPr>
        <w:spacing w:after="0" w:line="240" w:lineRule="auto"/>
        <w:ind w:left="0" w:right="0" w:firstLine="0"/>
        <w:jc w:val="right"/>
        <w:rPr>
          <w:rFonts w:ascii="Times New Roman" w:hAnsi="Times New Roman" w:cs="Times New Roman"/>
          <w:b/>
          <w:sz w:val="24"/>
        </w:rPr>
      </w:pPr>
      <w:r w:rsidRPr="00FF1E38">
        <w:rPr>
          <w:rFonts w:ascii="Times New Roman" w:hAnsi="Times New Roman" w:cs="Times New Roman"/>
          <w:noProof/>
          <w:sz w:val="24"/>
        </w:rPr>
        <w:drawing>
          <wp:inline distT="0" distB="0" distL="0" distR="0" wp14:anchorId="7CFEBB80" wp14:editId="536C16F5">
            <wp:extent cx="5759449" cy="4724400"/>
            <wp:effectExtent l="0" t="0" r="0" b="0"/>
            <wp:docPr id="52245" name="Picture 52245"/>
            <wp:cNvGraphicFramePr/>
            <a:graphic xmlns:a="http://schemas.openxmlformats.org/drawingml/2006/main">
              <a:graphicData uri="http://schemas.openxmlformats.org/drawingml/2006/picture">
                <pic:pic xmlns:pic="http://schemas.openxmlformats.org/drawingml/2006/picture">
                  <pic:nvPicPr>
                    <pic:cNvPr id="52245" name="Picture 52245"/>
                    <pic:cNvPicPr/>
                  </pic:nvPicPr>
                  <pic:blipFill rotWithShape="1">
                    <a:blip r:embed="rId133"/>
                    <a:srcRect b="2580"/>
                    <a:stretch/>
                  </pic:blipFill>
                  <pic:spPr bwMode="auto">
                    <a:xfrm>
                      <a:off x="0" y="0"/>
                      <a:ext cx="5759450" cy="4724401"/>
                    </a:xfrm>
                    <a:prstGeom prst="rect">
                      <a:avLst/>
                    </a:prstGeom>
                    <a:ln>
                      <a:noFill/>
                    </a:ln>
                    <a:extLst>
                      <a:ext uri="{53640926-AAD7-44D8-BBD7-CCE9431645EC}">
                        <a14:shadowObscured xmlns:a14="http://schemas.microsoft.com/office/drawing/2010/main"/>
                      </a:ext>
                    </a:extLst>
                  </pic:spPr>
                </pic:pic>
              </a:graphicData>
            </a:graphic>
          </wp:inline>
        </w:drawing>
      </w:r>
    </w:p>
    <w:p w14:paraId="2F35CC09" w14:textId="3DE13EB3" w:rsidR="00193BC6" w:rsidRDefault="00193BC6" w:rsidP="00FF1E38">
      <w:pPr>
        <w:spacing w:after="0" w:line="240" w:lineRule="auto"/>
        <w:ind w:left="0" w:right="0" w:firstLine="0"/>
        <w:jc w:val="right"/>
        <w:rPr>
          <w:rFonts w:ascii="Times New Roman" w:hAnsi="Times New Roman" w:cs="Times New Roman"/>
          <w:b/>
          <w:sz w:val="24"/>
        </w:rPr>
      </w:pPr>
    </w:p>
    <w:p w14:paraId="052F332C" w14:textId="25869D4C" w:rsidR="00193BC6" w:rsidRDefault="00193BC6" w:rsidP="00FF1E38">
      <w:pPr>
        <w:spacing w:after="0" w:line="240" w:lineRule="auto"/>
        <w:ind w:left="0" w:right="0" w:firstLine="0"/>
        <w:jc w:val="right"/>
        <w:rPr>
          <w:rFonts w:ascii="Times New Roman" w:hAnsi="Times New Roman" w:cs="Times New Roman"/>
          <w:b/>
          <w:sz w:val="24"/>
        </w:rPr>
      </w:pPr>
    </w:p>
    <w:p w14:paraId="384D3D4F" w14:textId="0635CB3B" w:rsidR="00193BC6" w:rsidRDefault="00193BC6" w:rsidP="00FF1E38">
      <w:pPr>
        <w:spacing w:after="0" w:line="240" w:lineRule="auto"/>
        <w:ind w:left="0" w:right="0" w:firstLine="0"/>
        <w:jc w:val="right"/>
        <w:rPr>
          <w:rFonts w:ascii="Times New Roman" w:hAnsi="Times New Roman" w:cs="Times New Roman"/>
          <w:b/>
          <w:sz w:val="24"/>
        </w:rPr>
      </w:pPr>
    </w:p>
    <w:p w14:paraId="58C24D81" w14:textId="31243B1C" w:rsidR="00193BC6" w:rsidRDefault="00193BC6" w:rsidP="00FF1E38">
      <w:pPr>
        <w:spacing w:after="0" w:line="240" w:lineRule="auto"/>
        <w:ind w:left="0" w:right="0" w:firstLine="0"/>
        <w:jc w:val="right"/>
        <w:rPr>
          <w:rFonts w:ascii="Times New Roman" w:hAnsi="Times New Roman" w:cs="Times New Roman"/>
          <w:b/>
          <w:sz w:val="24"/>
        </w:rPr>
      </w:pPr>
    </w:p>
    <w:p w14:paraId="55FC7491" w14:textId="5110BEE2" w:rsidR="00193BC6" w:rsidRDefault="00193BC6" w:rsidP="00FF1E38">
      <w:pPr>
        <w:spacing w:after="0" w:line="240" w:lineRule="auto"/>
        <w:ind w:left="0" w:right="0" w:firstLine="0"/>
        <w:jc w:val="right"/>
        <w:rPr>
          <w:rFonts w:ascii="Times New Roman" w:hAnsi="Times New Roman" w:cs="Times New Roman"/>
          <w:b/>
          <w:sz w:val="24"/>
        </w:rPr>
      </w:pPr>
    </w:p>
    <w:p w14:paraId="0A77C6A3" w14:textId="300C0939" w:rsidR="00193BC6" w:rsidRDefault="00193BC6" w:rsidP="00FF1E38">
      <w:pPr>
        <w:spacing w:after="0" w:line="240" w:lineRule="auto"/>
        <w:ind w:left="0" w:right="0" w:firstLine="0"/>
        <w:jc w:val="right"/>
        <w:rPr>
          <w:rFonts w:ascii="Times New Roman" w:hAnsi="Times New Roman" w:cs="Times New Roman"/>
          <w:b/>
          <w:sz w:val="24"/>
        </w:rPr>
      </w:pPr>
    </w:p>
    <w:p w14:paraId="58CA976A" w14:textId="77777777" w:rsidR="00193BC6" w:rsidRDefault="00193BC6" w:rsidP="00FF1E38">
      <w:pPr>
        <w:spacing w:after="0" w:line="240" w:lineRule="auto"/>
        <w:ind w:left="0" w:right="0" w:firstLine="0"/>
        <w:jc w:val="right"/>
        <w:rPr>
          <w:rFonts w:ascii="Times New Roman" w:hAnsi="Times New Roman" w:cs="Times New Roman"/>
          <w:b/>
          <w:sz w:val="24"/>
        </w:rPr>
      </w:pPr>
    </w:p>
    <w:p w14:paraId="432D0ABE" w14:textId="77777777" w:rsidR="00193BC6" w:rsidRPr="00FF1E38" w:rsidRDefault="00193BC6" w:rsidP="00FF1E38">
      <w:pPr>
        <w:spacing w:after="0" w:line="240" w:lineRule="auto"/>
        <w:ind w:left="0" w:right="0" w:firstLine="0"/>
        <w:jc w:val="right"/>
        <w:rPr>
          <w:rFonts w:ascii="Times New Roman" w:hAnsi="Times New Roman" w:cs="Times New Roman"/>
          <w:b/>
          <w:sz w:val="24"/>
        </w:rPr>
      </w:pPr>
    </w:p>
    <w:tbl>
      <w:tblPr>
        <w:tblStyle w:val="TableGrid10"/>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0" w:type="dxa"/>
        </w:tblCellMar>
        <w:tblLook w:val="04A0" w:firstRow="1" w:lastRow="0" w:firstColumn="1" w:lastColumn="0" w:noHBand="0" w:noVBand="1"/>
      </w:tblPr>
      <w:tblGrid>
        <w:gridCol w:w="3175"/>
        <w:gridCol w:w="2892"/>
        <w:gridCol w:w="3005"/>
      </w:tblGrid>
      <w:tr w:rsidR="00FF1E38" w:rsidRPr="00FF1E38" w14:paraId="58F1B986" w14:textId="77777777" w:rsidTr="00DE0C9A">
        <w:trPr>
          <w:cantSplit/>
        </w:trPr>
        <w:tc>
          <w:tcPr>
            <w:tcW w:w="3175" w:type="dxa"/>
          </w:tcPr>
          <w:p w14:paraId="36651594" w14:textId="5914F731" w:rsidR="00FF1E38" w:rsidRPr="00FF1E38" w:rsidRDefault="00193BC6" w:rsidP="00193BC6">
            <w:pPr>
              <w:spacing w:after="0" w:line="240" w:lineRule="auto"/>
              <w:ind w:left="0" w:right="0" w:firstLine="0"/>
              <w:jc w:val="left"/>
              <w:rPr>
                <w:rFonts w:ascii="Times New Roman" w:hAnsi="Times New Roman" w:cs="Times New Roman"/>
                <w:b/>
              </w:rPr>
            </w:pPr>
            <w:r>
              <w:rPr>
                <w:rFonts w:ascii="Times New Roman" w:hAnsi="Times New Roman" w:cs="Times New Roman"/>
                <w:b/>
              </w:rPr>
              <w:lastRenderedPageBreak/>
              <w:t xml:space="preserve">        </w:t>
            </w:r>
            <w:r w:rsidR="00FF1E38" w:rsidRPr="00FF1E38">
              <w:rPr>
                <w:rFonts w:ascii="Times New Roman" w:hAnsi="Times New Roman" w:cs="Times New Roman"/>
                <w:b/>
              </w:rPr>
              <w:t>Život i zdravlje ljudi</w:t>
            </w:r>
          </w:p>
        </w:tc>
        <w:tc>
          <w:tcPr>
            <w:tcW w:w="2892" w:type="dxa"/>
          </w:tcPr>
          <w:p w14:paraId="5EF9A1C9" w14:textId="77777777" w:rsidR="00FF1E38" w:rsidRPr="00FF1E38" w:rsidRDefault="00FF1E38" w:rsidP="00FF1E38">
            <w:pPr>
              <w:spacing w:after="0" w:line="240" w:lineRule="auto"/>
              <w:ind w:left="0" w:right="0" w:firstLine="0"/>
              <w:jc w:val="center"/>
              <w:rPr>
                <w:rFonts w:ascii="Times New Roman" w:hAnsi="Times New Roman" w:cs="Times New Roman"/>
                <w:b/>
              </w:rPr>
            </w:pPr>
            <w:r w:rsidRPr="00FF1E38">
              <w:rPr>
                <w:rFonts w:ascii="Times New Roman" w:hAnsi="Times New Roman" w:cs="Times New Roman"/>
                <w:b/>
              </w:rPr>
              <w:t>Gospodarstvo</w:t>
            </w:r>
          </w:p>
        </w:tc>
        <w:tc>
          <w:tcPr>
            <w:tcW w:w="3005" w:type="dxa"/>
          </w:tcPr>
          <w:p w14:paraId="29C07FC0" w14:textId="4250B7F8" w:rsidR="00FF1E38" w:rsidRPr="00FF1E38" w:rsidRDefault="00FF1E38" w:rsidP="00FF1E38">
            <w:pPr>
              <w:spacing w:after="0" w:line="240" w:lineRule="auto"/>
              <w:ind w:left="0" w:right="0" w:firstLine="0"/>
              <w:jc w:val="center"/>
              <w:rPr>
                <w:rFonts w:ascii="Times New Roman" w:hAnsi="Times New Roman" w:cs="Times New Roman"/>
                <w:b/>
              </w:rPr>
            </w:pPr>
            <w:r w:rsidRPr="00FF1E38">
              <w:rPr>
                <w:rFonts w:ascii="Times New Roman" w:hAnsi="Times New Roman" w:cs="Times New Roman"/>
                <w:b/>
              </w:rPr>
              <w:t>Društvena stabilnost i politika</w:t>
            </w:r>
          </w:p>
        </w:tc>
      </w:tr>
      <w:tr w:rsidR="00FF1E38" w:rsidRPr="00FF1E38" w14:paraId="27592154" w14:textId="77777777" w:rsidTr="00DE0C9A">
        <w:trPr>
          <w:cantSplit/>
        </w:trPr>
        <w:tc>
          <w:tcPr>
            <w:tcW w:w="3175" w:type="dxa"/>
          </w:tcPr>
          <w:p w14:paraId="4C671C2D" w14:textId="77777777" w:rsidR="00FF1E38" w:rsidRPr="00FF1E38" w:rsidRDefault="00FF1E38" w:rsidP="00FF1E38">
            <w:pPr>
              <w:spacing w:after="0" w:line="240" w:lineRule="auto"/>
              <w:ind w:left="0" w:right="0" w:firstLine="0"/>
              <w:rPr>
                <w:rFonts w:ascii="Times New Roman" w:hAnsi="Times New Roman" w:cs="Times New Roman"/>
                <w:b/>
              </w:rPr>
            </w:pPr>
            <w:r w:rsidRPr="00FF1E38">
              <w:rPr>
                <w:noProof/>
              </w:rPr>
              <w:drawing>
                <wp:inline distT="0" distB="0" distL="0" distR="0" wp14:anchorId="74B99FC6" wp14:editId="103368EB">
                  <wp:extent cx="1533525" cy="1771815"/>
                  <wp:effectExtent l="0" t="0" r="0" b="0"/>
                  <wp:docPr id="52258" name="Picture 52258"/>
                  <wp:cNvGraphicFramePr/>
                  <a:graphic xmlns:a="http://schemas.openxmlformats.org/drawingml/2006/main">
                    <a:graphicData uri="http://schemas.openxmlformats.org/drawingml/2006/picture">
                      <pic:pic xmlns:pic="http://schemas.openxmlformats.org/drawingml/2006/picture">
                        <pic:nvPicPr>
                          <pic:cNvPr id="52258" name="Picture 52258"/>
                          <pic:cNvPicPr/>
                        </pic:nvPicPr>
                        <pic:blipFill>
                          <a:blip r:embed="rId130">
                            <a:extLst>
                              <a:ext uri="{28A0092B-C50C-407E-A947-70E740481C1C}">
                                <a14:useLocalDpi xmlns:a14="http://schemas.microsoft.com/office/drawing/2010/main" val="0"/>
                              </a:ext>
                            </a:extLst>
                          </a:blip>
                          <a:stretch>
                            <a:fillRect/>
                          </a:stretch>
                        </pic:blipFill>
                        <pic:spPr>
                          <a:xfrm>
                            <a:off x="0" y="0"/>
                            <a:ext cx="1533525" cy="1771815"/>
                          </a:xfrm>
                          <a:prstGeom prst="rect">
                            <a:avLst/>
                          </a:prstGeom>
                        </pic:spPr>
                      </pic:pic>
                    </a:graphicData>
                  </a:graphic>
                </wp:inline>
              </w:drawing>
            </w:r>
          </w:p>
        </w:tc>
        <w:tc>
          <w:tcPr>
            <w:tcW w:w="2892" w:type="dxa"/>
          </w:tcPr>
          <w:p w14:paraId="2AB0C3AA" w14:textId="77777777" w:rsidR="00FF1E38" w:rsidRPr="00FF1E38" w:rsidRDefault="00FF1E38" w:rsidP="00FF1E38">
            <w:pPr>
              <w:spacing w:after="0" w:line="240" w:lineRule="auto"/>
              <w:ind w:left="0" w:right="0" w:firstLine="0"/>
              <w:rPr>
                <w:rFonts w:ascii="Times New Roman" w:hAnsi="Times New Roman" w:cs="Times New Roman"/>
                <w:b/>
              </w:rPr>
            </w:pPr>
            <w:r w:rsidRPr="00FF1E38">
              <w:rPr>
                <w:noProof/>
              </w:rPr>
              <w:drawing>
                <wp:inline distT="0" distB="0" distL="0" distR="0" wp14:anchorId="1F4CA7C3" wp14:editId="5ACC93A5">
                  <wp:extent cx="1570933" cy="1808473"/>
                  <wp:effectExtent l="0" t="0" r="0" b="1905"/>
                  <wp:docPr id="52261" name="Picture 52261"/>
                  <wp:cNvGraphicFramePr/>
                  <a:graphic xmlns:a="http://schemas.openxmlformats.org/drawingml/2006/main">
                    <a:graphicData uri="http://schemas.openxmlformats.org/drawingml/2006/picture">
                      <pic:pic xmlns:pic="http://schemas.openxmlformats.org/drawingml/2006/picture">
                        <pic:nvPicPr>
                          <pic:cNvPr id="52261" name="Picture 52261"/>
                          <pic:cNvPicPr/>
                        </pic:nvPicPr>
                        <pic:blipFill>
                          <a:blip r:embed="rId134">
                            <a:extLst>
                              <a:ext uri="{28A0092B-C50C-407E-A947-70E740481C1C}">
                                <a14:useLocalDpi xmlns:a14="http://schemas.microsoft.com/office/drawing/2010/main" val="0"/>
                              </a:ext>
                            </a:extLst>
                          </a:blip>
                          <a:stretch>
                            <a:fillRect/>
                          </a:stretch>
                        </pic:blipFill>
                        <pic:spPr>
                          <a:xfrm>
                            <a:off x="0" y="0"/>
                            <a:ext cx="1570933" cy="1808473"/>
                          </a:xfrm>
                          <a:prstGeom prst="rect">
                            <a:avLst/>
                          </a:prstGeom>
                        </pic:spPr>
                      </pic:pic>
                    </a:graphicData>
                  </a:graphic>
                </wp:inline>
              </w:drawing>
            </w:r>
          </w:p>
        </w:tc>
        <w:tc>
          <w:tcPr>
            <w:tcW w:w="3005" w:type="dxa"/>
          </w:tcPr>
          <w:p w14:paraId="5A4F1803" w14:textId="77777777" w:rsidR="00FF1E38" w:rsidRPr="00FF1E38" w:rsidRDefault="00FF1E38" w:rsidP="00FF1E38">
            <w:pPr>
              <w:spacing w:after="0" w:line="240" w:lineRule="auto"/>
              <w:ind w:left="0" w:right="0" w:firstLine="0"/>
              <w:rPr>
                <w:rFonts w:ascii="Times New Roman" w:hAnsi="Times New Roman" w:cs="Times New Roman"/>
                <w:b/>
              </w:rPr>
            </w:pPr>
            <w:r w:rsidRPr="00FF1E38">
              <w:rPr>
                <w:noProof/>
              </w:rPr>
              <w:drawing>
                <wp:inline distT="0" distB="0" distL="0" distR="0" wp14:anchorId="7548F66F" wp14:editId="0B22E3D5">
                  <wp:extent cx="1725232" cy="1785613"/>
                  <wp:effectExtent l="0" t="0" r="8890" b="5715"/>
                  <wp:docPr id="52263" name="Picture 52263"/>
                  <wp:cNvGraphicFramePr/>
                  <a:graphic xmlns:a="http://schemas.openxmlformats.org/drawingml/2006/main">
                    <a:graphicData uri="http://schemas.openxmlformats.org/drawingml/2006/picture">
                      <pic:pic xmlns:pic="http://schemas.openxmlformats.org/drawingml/2006/picture">
                        <pic:nvPicPr>
                          <pic:cNvPr id="52263" name="Picture 52263"/>
                          <pic:cNvPicPr/>
                        </pic:nvPicPr>
                        <pic:blipFill>
                          <a:blip r:embed="rId135">
                            <a:extLst>
                              <a:ext uri="{28A0092B-C50C-407E-A947-70E740481C1C}">
                                <a14:useLocalDpi xmlns:a14="http://schemas.microsoft.com/office/drawing/2010/main" val="0"/>
                              </a:ext>
                            </a:extLst>
                          </a:blip>
                          <a:stretch>
                            <a:fillRect/>
                          </a:stretch>
                        </pic:blipFill>
                        <pic:spPr>
                          <a:xfrm>
                            <a:off x="0" y="0"/>
                            <a:ext cx="1725232" cy="1785613"/>
                          </a:xfrm>
                          <a:prstGeom prst="rect">
                            <a:avLst/>
                          </a:prstGeom>
                        </pic:spPr>
                      </pic:pic>
                    </a:graphicData>
                  </a:graphic>
                </wp:inline>
              </w:drawing>
            </w:r>
          </w:p>
        </w:tc>
      </w:tr>
    </w:tbl>
    <w:p w14:paraId="21605F1F"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092DE64E" w14:textId="77777777" w:rsidR="00FF1E38" w:rsidRPr="00FF1E38" w:rsidRDefault="00FF1E38" w:rsidP="00FF1E38">
      <w:pPr>
        <w:spacing w:after="0" w:line="240" w:lineRule="auto"/>
        <w:ind w:left="0" w:right="0" w:firstLine="709"/>
        <w:rPr>
          <w:rFonts w:ascii="Times New Roman" w:hAnsi="Times New Roman" w:cs="Times New Roman"/>
          <w:b/>
          <w:sz w:val="24"/>
        </w:rPr>
      </w:pPr>
      <w:bookmarkStart w:id="91" w:name="_Toc2938608"/>
      <w:r w:rsidRPr="00FF1E38">
        <w:rPr>
          <w:rFonts w:ascii="Times New Roman" w:hAnsi="Times New Roman" w:cs="Times New Roman"/>
          <w:b/>
          <w:sz w:val="24"/>
        </w:rPr>
        <w:t>6.3.7. Karte rizika</w:t>
      </w:r>
      <w:bookmarkEnd w:id="91"/>
    </w:p>
    <w:p w14:paraId="40E90119"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Najniža teritorijalna jedinica za procjenu rizika na području Grada Zagreba je gradska četvrt. Unutar svake gradske četvrti rizik je procijenjen na osnovi dvaju parametara (kriterija): stupanj zagađenja zraka / negativnog utjecaja na stanovništvo (to uključuje posljedice po zdravlje stanovništva izloženog udisanju opasnih tvari kao nusprodukta istjecanja iz spremnika/pogona ili produkata požara) i ranjive skupine (uključuje udio ranjivih skupina unutar gradske četvrti koje se otežano evakuiraju). Svaki parametar (kriterij) ima četiri vrijednosti: nizak rizik (zelena boja), umjeren rizik (žuta boja), visok rizik (narančasta boja) i vrlo visok rizik (crvena boja).</w:t>
      </w:r>
    </w:p>
    <w:p w14:paraId="45DBEFDA"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Najgore posljedice u slučaju industrijskih nesreća se očekuju na području Gradske četvrti Peščenica - Žitnjak. U toj gradskoj četvrti najveća je koncentracija postrojenja s opasnim tvarima, ali su i posljedice najrazornije (moguće su razorne eksplozije koje će prouzročiti osim smrti radnika/posjetitelja/građana i uništenje građevina u području najbližem industrijskim postrojenjima) pa se nalazi u zoni vrlo visokog rizika.</w:t>
      </w:r>
    </w:p>
    <w:p w14:paraId="218D5AE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Područja visokog rizika su područja gradskih četvrti Novi Zagreb - istok i Novi Zagreb - zapad. Te gradske četvrti nalaze se u radijusu štetnog djelovanja nusprodukata požara u postrojenju TE-TO, a analizirajući ružu vjetrova za područje Grada Zagreba, najveća je vjerojatnost da će u slučaju negativnog događaja štetne čestice vjetar nositi prema tim gradskim dijelovima. Osim navedenih gradskih četvrti vrlo su ugrožena i područja gradskih četvrti Trnje, Donja Dubrava i Donji grad. Riječ je o četvrtima u kojima će se zbog požara u postrojenju TE-TO morati provesti evakuacija ako će vjetar puhati u tom smjeru, jer izloženost štetnim plinovima može ozbiljno ugroziti zdravlje izloženih osoba.</w:t>
      </w:r>
    </w:p>
    <w:p w14:paraId="46E45E07"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gradskim četvrtima Črnomerec i Trešnjevka - sjever procijenjen je jednako tako visok rizik zbog mogućeg utjecaja drugih postrojenja s opasnim tvarima poput EL-TO i Zagrebačke pivovare iako u manjem području. Područja gradskih četvrti Gornja Dubrava, Gornji grad - Medveščak, Maksimir i Trešnjevka - jug bit će djelomično izložena najgorim posljedicama (djelomična potreba evakuacije stanovništva) pa je zato u tim četvrtima rizik procijenjen kao umjeren.</w:t>
      </w:r>
    </w:p>
    <w:p w14:paraId="2D25EC64" w14:textId="1C1E8B7C" w:rsidR="00193BC6" w:rsidRPr="00FF1E38" w:rsidRDefault="00FF1E38" w:rsidP="00193BC6">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gradskim četvrtima Brezovica, Podsljeme, Podsused - Vrapče, Sesvete i Stenjevec nizak je rizik jer iako se ta područja nalaze u zoni negativnog djelovanja u slučaju požara u postrojenju TE-TO, zbog udaljenosti od postrojenja posljedice na zdravstveno stanje stanovništva bit će privremene a ne trajne (osjet smrada, vrtoglavica i sl.), dakle stanovništvo neće biti ozbiljnije zdravstveno ugroženo te trpjeti trajne posljedice kao u drugim zonama u slučaju izloženosti.</w:t>
      </w:r>
    </w:p>
    <w:p w14:paraId="6375E37B" w14:textId="2DAE8394" w:rsidR="00FF1E38" w:rsidRDefault="00FF1E38" w:rsidP="00FF1E38">
      <w:pPr>
        <w:spacing w:after="0" w:line="240" w:lineRule="auto"/>
        <w:ind w:left="0" w:right="0" w:firstLine="0"/>
        <w:jc w:val="left"/>
        <w:rPr>
          <w:rFonts w:ascii="Times New Roman" w:hAnsi="Times New Roman" w:cs="Times New Roman"/>
          <w:sz w:val="24"/>
        </w:rPr>
      </w:pPr>
    </w:p>
    <w:p w14:paraId="1AFAA07B" w14:textId="1BEB4EC0" w:rsidR="00193BC6" w:rsidRDefault="00193BC6" w:rsidP="00FF1E38">
      <w:pPr>
        <w:spacing w:after="0" w:line="240" w:lineRule="auto"/>
        <w:ind w:left="0" w:right="0" w:firstLine="0"/>
        <w:jc w:val="left"/>
        <w:rPr>
          <w:rFonts w:ascii="Times New Roman" w:hAnsi="Times New Roman" w:cs="Times New Roman"/>
          <w:sz w:val="24"/>
        </w:rPr>
      </w:pPr>
    </w:p>
    <w:p w14:paraId="2D38DAD7" w14:textId="793041B2" w:rsidR="00193BC6" w:rsidRDefault="00193BC6" w:rsidP="00FF1E38">
      <w:pPr>
        <w:spacing w:after="0" w:line="240" w:lineRule="auto"/>
        <w:ind w:left="0" w:right="0" w:firstLine="0"/>
        <w:jc w:val="left"/>
        <w:rPr>
          <w:rFonts w:ascii="Times New Roman" w:hAnsi="Times New Roman" w:cs="Times New Roman"/>
          <w:sz w:val="24"/>
        </w:rPr>
      </w:pPr>
    </w:p>
    <w:p w14:paraId="4B553077" w14:textId="77777777" w:rsidR="00193BC6" w:rsidRPr="00FF1E38" w:rsidRDefault="00193BC6" w:rsidP="00FF1E38">
      <w:pPr>
        <w:spacing w:after="0" w:line="240" w:lineRule="auto"/>
        <w:ind w:left="0" w:right="0" w:firstLine="0"/>
        <w:jc w:val="left"/>
        <w:rPr>
          <w:rFonts w:ascii="Times New Roman" w:hAnsi="Times New Roman" w:cs="Times New Roman"/>
          <w:sz w:val="24"/>
        </w:rPr>
      </w:pPr>
    </w:p>
    <w:p w14:paraId="3CA4C511" w14:textId="1750DF0B" w:rsidR="00FF1E38" w:rsidRPr="00FF1E38" w:rsidRDefault="00FF1E38" w:rsidP="00193BC6">
      <w:pPr>
        <w:spacing w:line="240" w:lineRule="auto"/>
        <w:ind w:left="0" w:right="0" w:firstLine="0"/>
        <w:jc w:val="center"/>
        <w:rPr>
          <w:rFonts w:ascii="Times New Roman" w:hAnsi="Times New Roman" w:cs="Times New Roman"/>
          <w:b/>
          <w:sz w:val="24"/>
        </w:rPr>
      </w:pPr>
      <w:r w:rsidRPr="00FF1E38">
        <w:rPr>
          <w:rFonts w:ascii="Times New Roman" w:hAnsi="Times New Roman" w:cs="Times New Roman"/>
          <w:b/>
          <w:sz w:val="24"/>
        </w:rPr>
        <w:lastRenderedPageBreak/>
        <w:t xml:space="preserve">Tablica </w:t>
      </w:r>
      <w:r w:rsidR="00496D7E">
        <w:rPr>
          <w:rFonts w:ascii="Times New Roman" w:hAnsi="Times New Roman" w:cs="Times New Roman"/>
          <w:b/>
          <w:sz w:val="24"/>
        </w:rPr>
        <w:t>82</w:t>
      </w:r>
      <w:r w:rsidRPr="00FF1E38">
        <w:rPr>
          <w:rFonts w:ascii="Times New Roman" w:hAnsi="Times New Roman" w:cs="Times New Roman"/>
          <w:b/>
          <w:sz w:val="24"/>
        </w:rPr>
        <w:t>. Procjena rizika na razini gradskih četvrti</w:t>
      </w:r>
    </w:p>
    <w:tbl>
      <w:tblPr>
        <w:tblStyle w:val="TableGrid1"/>
        <w:tblW w:w="9072" w:type="dxa"/>
        <w:tblInd w:w="0" w:type="dxa"/>
        <w:tblLayout w:type="fixed"/>
        <w:tblCellMar>
          <w:top w:w="5" w:type="dxa"/>
          <w:left w:w="57" w:type="dxa"/>
          <w:right w:w="56" w:type="dxa"/>
        </w:tblCellMar>
        <w:tblLook w:val="04A0" w:firstRow="1" w:lastRow="0" w:firstColumn="1" w:lastColumn="0" w:noHBand="0" w:noVBand="1"/>
      </w:tblPr>
      <w:tblGrid>
        <w:gridCol w:w="799"/>
        <w:gridCol w:w="3047"/>
        <w:gridCol w:w="1742"/>
        <w:gridCol w:w="1742"/>
        <w:gridCol w:w="1742"/>
      </w:tblGrid>
      <w:tr w:rsidR="00FF1E38" w:rsidRPr="00FF1E38" w14:paraId="1CAEDA1E" w14:textId="77777777" w:rsidTr="00193BC6">
        <w:trPr>
          <w:cantSplit/>
          <w:trHeight w:val="680"/>
          <w:tblHeader/>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7E976FE"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b/>
                <w:color w:val="FFFFFF"/>
              </w:rPr>
              <w:t>R.br.</w:t>
            </w:r>
          </w:p>
        </w:tc>
        <w:tc>
          <w:tcPr>
            <w:tcW w:w="304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286D839"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b/>
                <w:color w:val="FFFFFF"/>
              </w:rPr>
              <w:t>Gradska četvrt</w:t>
            </w:r>
          </w:p>
        </w:tc>
        <w:tc>
          <w:tcPr>
            <w:tcW w:w="1742"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A21D68E"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b/>
                <w:color w:val="FFFFFF"/>
              </w:rPr>
              <w:t>Zagađenje zraka / opasne tvari</w:t>
            </w:r>
          </w:p>
        </w:tc>
        <w:tc>
          <w:tcPr>
            <w:tcW w:w="1742"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F30C2E1"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b/>
                <w:color w:val="FFFFFF"/>
              </w:rPr>
              <w:t>Ranjivost stanovništva</w:t>
            </w:r>
          </w:p>
        </w:tc>
        <w:tc>
          <w:tcPr>
            <w:tcW w:w="1742"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2CB0FB8B"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b/>
                <w:color w:val="FFFFFF"/>
              </w:rPr>
              <w:t>UKUPNO</w:t>
            </w:r>
          </w:p>
        </w:tc>
      </w:tr>
      <w:tr w:rsidR="00FF1E38" w:rsidRPr="00FF1E38" w14:paraId="6C86DF68"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AF26379"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w:t>
            </w:r>
          </w:p>
        </w:tc>
        <w:tc>
          <w:tcPr>
            <w:tcW w:w="3047" w:type="dxa"/>
            <w:tcBorders>
              <w:top w:val="single" w:sz="4" w:space="0" w:color="000000"/>
              <w:left w:val="single" w:sz="4" w:space="0" w:color="000000"/>
              <w:bottom w:val="single" w:sz="4" w:space="0" w:color="000000"/>
              <w:right w:val="single" w:sz="4" w:space="0" w:color="000000"/>
            </w:tcBorders>
            <w:vAlign w:val="center"/>
          </w:tcPr>
          <w:p w14:paraId="3FDF0A1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Brezovica</w:t>
            </w:r>
          </w:p>
        </w:tc>
        <w:tc>
          <w:tcPr>
            <w:tcW w:w="174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6A9345B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EE62EC9"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4F9D9C6D"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1A6615BE"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0D358282"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2.</w:t>
            </w:r>
          </w:p>
        </w:tc>
        <w:tc>
          <w:tcPr>
            <w:tcW w:w="3047" w:type="dxa"/>
            <w:tcBorders>
              <w:top w:val="single" w:sz="4" w:space="0" w:color="000000"/>
              <w:left w:val="single" w:sz="4" w:space="0" w:color="000000"/>
              <w:bottom w:val="single" w:sz="4" w:space="0" w:color="000000"/>
              <w:right w:val="single" w:sz="4" w:space="0" w:color="000000"/>
            </w:tcBorders>
            <w:vAlign w:val="center"/>
          </w:tcPr>
          <w:p w14:paraId="58DC741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Črnomerec</w:t>
            </w: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C5E7F68"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04A859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5F385EF"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6C303494"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95CCD7F"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3.</w:t>
            </w:r>
          </w:p>
        </w:tc>
        <w:tc>
          <w:tcPr>
            <w:tcW w:w="3047" w:type="dxa"/>
            <w:tcBorders>
              <w:top w:val="single" w:sz="4" w:space="0" w:color="000000"/>
              <w:left w:val="single" w:sz="4" w:space="0" w:color="000000"/>
              <w:bottom w:val="single" w:sz="4" w:space="0" w:color="000000"/>
              <w:right w:val="single" w:sz="4" w:space="0" w:color="000000"/>
            </w:tcBorders>
            <w:vAlign w:val="center"/>
          </w:tcPr>
          <w:p w14:paraId="5844792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Donja Dubrava</w:t>
            </w: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5E9665F"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6093F19"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BC69432"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6DCB5CE9"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05DF99F"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4.</w:t>
            </w:r>
          </w:p>
        </w:tc>
        <w:tc>
          <w:tcPr>
            <w:tcW w:w="3047" w:type="dxa"/>
            <w:tcBorders>
              <w:top w:val="single" w:sz="4" w:space="0" w:color="000000"/>
              <w:left w:val="single" w:sz="4" w:space="0" w:color="000000"/>
              <w:bottom w:val="single" w:sz="4" w:space="0" w:color="000000"/>
              <w:right w:val="single" w:sz="4" w:space="0" w:color="000000"/>
            </w:tcBorders>
            <w:vAlign w:val="center"/>
          </w:tcPr>
          <w:p w14:paraId="003DF2F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Donji grad</w:t>
            </w: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39E11DE"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4220575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6DC30608"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49A2357A"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2DB8482A"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5.</w:t>
            </w:r>
          </w:p>
        </w:tc>
        <w:tc>
          <w:tcPr>
            <w:tcW w:w="3047" w:type="dxa"/>
            <w:tcBorders>
              <w:top w:val="single" w:sz="4" w:space="0" w:color="000000"/>
              <w:left w:val="single" w:sz="4" w:space="0" w:color="000000"/>
              <w:bottom w:val="single" w:sz="4" w:space="0" w:color="000000"/>
              <w:right w:val="single" w:sz="4" w:space="0" w:color="000000"/>
            </w:tcBorders>
            <w:vAlign w:val="center"/>
          </w:tcPr>
          <w:p w14:paraId="11B52DE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Gornja Dubrava</w:t>
            </w: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6EAFBF8D"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75477F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E8BF0D0"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7C3E4FDC"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6EEA61F5"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6.</w:t>
            </w:r>
          </w:p>
        </w:tc>
        <w:tc>
          <w:tcPr>
            <w:tcW w:w="3047" w:type="dxa"/>
            <w:tcBorders>
              <w:top w:val="single" w:sz="4" w:space="0" w:color="000000"/>
              <w:left w:val="single" w:sz="4" w:space="0" w:color="000000"/>
              <w:bottom w:val="single" w:sz="4" w:space="0" w:color="000000"/>
              <w:right w:val="single" w:sz="4" w:space="0" w:color="000000"/>
            </w:tcBorders>
            <w:vAlign w:val="center"/>
          </w:tcPr>
          <w:p w14:paraId="30BCEFA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Gornji grad - Medveščak</w:t>
            </w: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B420EF7"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1044EFE7"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FB4200C"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12D24EBA"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D8AB383"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7.</w:t>
            </w:r>
          </w:p>
        </w:tc>
        <w:tc>
          <w:tcPr>
            <w:tcW w:w="3047" w:type="dxa"/>
            <w:tcBorders>
              <w:top w:val="single" w:sz="4" w:space="0" w:color="000000"/>
              <w:left w:val="single" w:sz="4" w:space="0" w:color="000000"/>
              <w:bottom w:val="single" w:sz="4" w:space="0" w:color="000000"/>
              <w:right w:val="single" w:sz="4" w:space="0" w:color="000000"/>
            </w:tcBorders>
            <w:vAlign w:val="center"/>
          </w:tcPr>
          <w:p w14:paraId="4D15ADE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Maksimir</w:t>
            </w: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3BCBCB3"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A9FF3B3"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3554D73F"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6CC5A7FD"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2922E9F2"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8.</w:t>
            </w:r>
          </w:p>
        </w:tc>
        <w:tc>
          <w:tcPr>
            <w:tcW w:w="3047" w:type="dxa"/>
            <w:tcBorders>
              <w:top w:val="single" w:sz="4" w:space="0" w:color="000000"/>
              <w:left w:val="single" w:sz="4" w:space="0" w:color="000000"/>
              <w:bottom w:val="single" w:sz="4" w:space="0" w:color="000000"/>
              <w:right w:val="single" w:sz="4" w:space="0" w:color="000000"/>
            </w:tcBorders>
            <w:vAlign w:val="center"/>
          </w:tcPr>
          <w:p w14:paraId="3B75C17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Novi Zagreb - istok</w:t>
            </w: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F8C59F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664EB4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8A27DEC"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7F30075A"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5CA8C45"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9.</w:t>
            </w:r>
          </w:p>
        </w:tc>
        <w:tc>
          <w:tcPr>
            <w:tcW w:w="3047" w:type="dxa"/>
            <w:tcBorders>
              <w:top w:val="single" w:sz="4" w:space="0" w:color="000000"/>
              <w:left w:val="single" w:sz="4" w:space="0" w:color="000000"/>
              <w:bottom w:val="single" w:sz="4" w:space="0" w:color="000000"/>
              <w:right w:val="single" w:sz="4" w:space="0" w:color="000000"/>
            </w:tcBorders>
            <w:vAlign w:val="center"/>
          </w:tcPr>
          <w:p w14:paraId="76741A8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Novi Zagreb - zapad</w:t>
            </w: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F2B1A7D"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13A41F1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A490ACD"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35CB3037"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0970054"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10.</w:t>
            </w:r>
          </w:p>
        </w:tc>
        <w:tc>
          <w:tcPr>
            <w:tcW w:w="3047" w:type="dxa"/>
            <w:tcBorders>
              <w:top w:val="single" w:sz="4" w:space="0" w:color="000000"/>
              <w:left w:val="single" w:sz="4" w:space="0" w:color="000000"/>
              <w:bottom w:val="single" w:sz="4" w:space="0" w:color="000000"/>
              <w:right w:val="single" w:sz="4" w:space="0" w:color="000000"/>
            </w:tcBorders>
            <w:vAlign w:val="center"/>
          </w:tcPr>
          <w:p w14:paraId="6BF4817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Peščenica - Žitnjak</w:t>
            </w:r>
          </w:p>
        </w:tc>
        <w:tc>
          <w:tcPr>
            <w:tcW w:w="174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1E168752"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1522257"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26FC3D5F"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1387C457"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4F058B7E"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11.</w:t>
            </w:r>
          </w:p>
        </w:tc>
        <w:tc>
          <w:tcPr>
            <w:tcW w:w="3047" w:type="dxa"/>
            <w:tcBorders>
              <w:top w:val="single" w:sz="4" w:space="0" w:color="000000"/>
              <w:left w:val="single" w:sz="4" w:space="0" w:color="000000"/>
              <w:bottom w:val="single" w:sz="4" w:space="0" w:color="000000"/>
              <w:right w:val="single" w:sz="4" w:space="0" w:color="000000"/>
            </w:tcBorders>
            <w:vAlign w:val="center"/>
          </w:tcPr>
          <w:p w14:paraId="22C52EA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Podsljeme</w:t>
            </w:r>
          </w:p>
        </w:tc>
        <w:tc>
          <w:tcPr>
            <w:tcW w:w="174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019A7F67"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1F164CA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3586E83A"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4F701469"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A83EF82"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12.</w:t>
            </w:r>
          </w:p>
        </w:tc>
        <w:tc>
          <w:tcPr>
            <w:tcW w:w="3047" w:type="dxa"/>
            <w:tcBorders>
              <w:top w:val="single" w:sz="4" w:space="0" w:color="000000"/>
              <w:left w:val="single" w:sz="4" w:space="0" w:color="000000"/>
              <w:bottom w:val="single" w:sz="4" w:space="0" w:color="000000"/>
              <w:right w:val="single" w:sz="4" w:space="0" w:color="000000"/>
            </w:tcBorders>
            <w:vAlign w:val="center"/>
          </w:tcPr>
          <w:p w14:paraId="1288270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Podsused - Vrapče</w:t>
            </w:r>
          </w:p>
        </w:tc>
        <w:tc>
          <w:tcPr>
            <w:tcW w:w="174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0C4DA7A9"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1A25C4C1"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35F9E918"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00CCFEBA"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9CBE00E"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13.</w:t>
            </w:r>
          </w:p>
        </w:tc>
        <w:tc>
          <w:tcPr>
            <w:tcW w:w="3047" w:type="dxa"/>
            <w:tcBorders>
              <w:top w:val="single" w:sz="4" w:space="0" w:color="000000"/>
              <w:left w:val="single" w:sz="4" w:space="0" w:color="000000"/>
              <w:bottom w:val="single" w:sz="4" w:space="0" w:color="000000"/>
              <w:right w:val="single" w:sz="4" w:space="0" w:color="000000"/>
            </w:tcBorders>
            <w:vAlign w:val="center"/>
          </w:tcPr>
          <w:p w14:paraId="3D5F3FB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Sesvete</w:t>
            </w:r>
          </w:p>
        </w:tc>
        <w:tc>
          <w:tcPr>
            <w:tcW w:w="174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0A1D40E1"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F4EBDF3"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2AD9CE53"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5FB49C62"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354DE5D"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14.</w:t>
            </w:r>
          </w:p>
        </w:tc>
        <w:tc>
          <w:tcPr>
            <w:tcW w:w="3047" w:type="dxa"/>
            <w:tcBorders>
              <w:top w:val="single" w:sz="4" w:space="0" w:color="000000"/>
              <w:left w:val="single" w:sz="4" w:space="0" w:color="000000"/>
              <w:bottom w:val="single" w:sz="4" w:space="0" w:color="000000"/>
              <w:right w:val="single" w:sz="4" w:space="0" w:color="000000"/>
            </w:tcBorders>
            <w:vAlign w:val="center"/>
          </w:tcPr>
          <w:p w14:paraId="79E389D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Stenjevec</w:t>
            </w:r>
          </w:p>
        </w:tc>
        <w:tc>
          <w:tcPr>
            <w:tcW w:w="174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292C3D00"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212CE38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522139D6"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03D19E05"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2EE04D0B"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15.</w:t>
            </w:r>
          </w:p>
        </w:tc>
        <w:tc>
          <w:tcPr>
            <w:tcW w:w="3047" w:type="dxa"/>
            <w:tcBorders>
              <w:top w:val="single" w:sz="4" w:space="0" w:color="000000"/>
              <w:left w:val="single" w:sz="4" w:space="0" w:color="000000"/>
              <w:bottom w:val="single" w:sz="4" w:space="0" w:color="000000"/>
              <w:right w:val="single" w:sz="4" w:space="0" w:color="000000"/>
            </w:tcBorders>
            <w:vAlign w:val="center"/>
          </w:tcPr>
          <w:p w14:paraId="6DF878F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Trešnjevka - jug</w:t>
            </w: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70463B27"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1583EAE"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1696843"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24C65B8C"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BA7EAD4"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16.</w:t>
            </w:r>
          </w:p>
        </w:tc>
        <w:tc>
          <w:tcPr>
            <w:tcW w:w="3047" w:type="dxa"/>
            <w:tcBorders>
              <w:top w:val="single" w:sz="4" w:space="0" w:color="000000"/>
              <w:left w:val="single" w:sz="4" w:space="0" w:color="000000"/>
              <w:bottom w:val="single" w:sz="4" w:space="0" w:color="000000"/>
              <w:right w:val="single" w:sz="4" w:space="0" w:color="000000"/>
            </w:tcBorders>
            <w:vAlign w:val="center"/>
          </w:tcPr>
          <w:p w14:paraId="13E885A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Trešnjevka - sjever</w:t>
            </w: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A5C522D"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2C9618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2AEBE46"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50F5F06E" w14:textId="77777777" w:rsidTr="00193BC6">
        <w:trPr>
          <w:cantSplit/>
          <w:trHeight w:val="680"/>
        </w:trPr>
        <w:tc>
          <w:tcPr>
            <w:tcW w:w="7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68B2D4B6"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17.</w:t>
            </w:r>
          </w:p>
        </w:tc>
        <w:tc>
          <w:tcPr>
            <w:tcW w:w="3047" w:type="dxa"/>
            <w:tcBorders>
              <w:top w:val="single" w:sz="4" w:space="0" w:color="000000"/>
              <w:left w:val="single" w:sz="4" w:space="0" w:color="000000"/>
              <w:bottom w:val="single" w:sz="4" w:space="0" w:color="000000"/>
              <w:right w:val="single" w:sz="4" w:space="0" w:color="000000"/>
            </w:tcBorders>
            <w:vAlign w:val="center"/>
          </w:tcPr>
          <w:p w14:paraId="2F97359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Trnje</w:t>
            </w: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6EEC148"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079DD8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E34F708" w14:textId="77777777" w:rsidR="00FF1E38" w:rsidRPr="00FF1E38" w:rsidRDefault="00FF1E38" w:rsidP="00FF1E38">
            <w:pPr>
              <w:spacing w:after="0" w:line="240" w:lineRule="auto"/>
              <w:ind w:left="0" w:right="0" w:firstLine="0"/>
              <w:jc w:val="center"/>
              <w:rPr>
                <w:rFonts w:ascii="Times New Roman" w:hAnsi="Times New Roman" w:cs="Times New Roman"/>
              </w:rPr>
            </w:pPr>
          </w:p>
        </w:tc>
      </w:tr>
    </w:tbl>
    <w:p w14:paraId="061595FD" w14:textId="3A97DD1B" w:rsidR="00FF1E38" w:rsidRDefault="00FF1E38" w:rsidP="00FF1E38">
      <w:pPr>
        <w:spacing w:after="0" w:line="240" w:lineRule="auto"/>
        <w:ind w:left="0" w:right="0" w:firstLine="0"/>
        <w:rPr>
          <w:rFonts w:ascii="Times New Roman" w:hAnsi="Times New Roman" w:cs="Times New Roman"/>
          <w:sz w:val="24"/>
        </w:rPr>
      </w:pPr>
    </w:p>
    <w:p w14:paraId="6F0A1924" w14:textId="71736D17" w:rsidR="00D2785F" w:rsidRDefault="00D2785F" w:rsidP="00FF1E38">
      <w:pPr>
        <w:spacing w:after="0" w:line="240" w:lineRule="auto"/>
        <w:ind w:left="0" w:right="0" w:firstLine="0"/>
        <w:rPr>
          <w:rFonts w:ascii="Times New Roman" w:hAnsi="Times New Roman" w:cs="Times New Roman"/>
          <w:sz w:val="24"/>
        </w:rPr>
      </w:pPr>
    </w:p>
    <w:p w14:paraId="742D04A9" w14:textId="7E18CA97" w:rsidR="00D2785F" w:rsidRDefault="00D2785F" w:rsidP="00FF1E38">
      <w:pPr>
        <w:spacing w:after="0" w:line="240" w:lineRule="auto"/>
        <w:ind w:left="0" w:right="0" w:firstLine="0"/>
        <w:rPr>
          <w:rFonts w:ascii="Times New Roman" w:hAnsi="Times New Roman" w:cs="Times New Roman"/>
          <w:sz w:val="24"/>
        </w:rPr>
      </w:pPr>
    </w:p>
    <w:p w14:paraId="18210529" w14:textId="45CFA493" w:rsidR="00D2785F" w:rsidRDefault="00D2785F" w:rsidP="00FF1E38">
      <w:pPr>
        <w:spacing w:after="0" w:line="240" w:lineRule="auto"/>
        <w:ind w:left="0" w:right="0" w:firstLine="0"/>
        <w:rPr>
          <w:rFonts w:ascii="Times New Roman" w:hAnsi="Times New Roman" w:cs="Times New Roman"/>
          <w:sz w:val="24"/>
        </w:rPr>
      </w:pPr>
    </w:p>
    <w:p w14:paraId="49E97B76" w14:textId="77777777" w:rsidR="00D2785F" w:rsidRPr="00FF1E38" w:rsidRDefault="00D2785F" w:rsidP="00FF1E38">
      <w:pPr>
        <w:spacing w:after="0" w:line="240" w:lineRule="auto"/>
        <w:ind w:left="0" w:right="0" w:firstLine="0"/>
        <w:rPr>
          <w:rFonts w:ascii="Times New Roman" w:hAnsi="Times New Roman" w:cs="Times New Roman"/>
          <w:sz w:val="24"/>
        </w:rPr>
      </w:pPr>
    </w:p>
    <w:p w14:paraId="0527BF37"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noProof/>
          <w:sz w:val="24"/>
        </w:rPr>
        <w:drawing>
          <wp:inline distT="0" distB="0" distL="0" distR="0" wp14:anchorId="548B1E3F" wp14:editId="781435BE">
            <wp:extent cx="5536565" cy="5679440"/>
            <wp:effectExtent l="0" t="0" r="0" b="0"/>
            <wp:docPr id="53058" name="Picture 53058"/>
            <wp:cNvGraphicFramePr/>
            <a:graphic xmlns:a="http://schemas.openxmlformats.org/drawingml/2006/main">
              <a:graphicData uri="http://schemas.openxmlformats.org/drawingml/2006/picture">
                <pic:pic xmlns:pic="http://schemas.openxmlformats.org/drawingml/2006/picture">
                  <pic:nvPicPr>
                    <pic:cNvPr id="53058" name="Picture 53058"/>
                    <pic:cNvPicPr/>
                  </pic:nvPicPr>
                  <pic:blipFill>
                    <a:blip r:embed="rId136"/>
                    <a:stretch>
                      <a:fillRect/>
                    </a:stretch>
                  </pic:blipFill>
                  <pic:spPr>
                    <a:xfrm>
                      <a:off x="0" y="0"/>
                      <a:ext cx="5536565" cy="5679440"/>
                    </a:xfrm>
                    <a:prstGeom prst="rect">
                      <a:avLst/>
                    </a:prstGeom>
                  </pic:spPr>
                </pic:pic>
              </a:graphicData>
            </a:graphic>
          </wp:inline>
        </w:drawing>
      </w:r>
    </w:p>
    <w:p w14:paraId="60DF4C36"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717BAC66"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3091BDC4" w14:textId="77777777" w:rsidR="00FF1E38" w:rsidRPr="00FF1E38" w:rsidRDefault="00FF1E38" w:rsidP="00FF1E38">
      <w:pPr>
        <w:spacing w:after="160" w:line="259" w:lineRule="auto"/>
        <w:ind w:left="0" w:right="0" w:firstLine="0"/>
        <w:jc w:val="left"/>
        <w:rPr>
          <w:rFonts w:ascii="Calibri" w:eastAsia="Calibri" w:hAnsi="Calibri" w:cs="Times New Roman"/>
          <w:color w:val="auto"/>
          <w:lang w:eastAsia="en-US"/>
        </w:rPr>
      </w:pPr>
    </w:p>
    <w:p w14:paraId="4B607CEB" w14:textId="13140C21" w:rsidR="00FF1E38" w:rsidRDefault="00FF1E38" w:rsidP="00FF1E38">
      <w:pPr>
        <w:rPr>
          <w:rFonts w:ascii="Times New Roman" w:hAnsi="Times New Roman" w:cs="Times New Roman"/>
          <w:sz w:val="24"/>
        </w:rPr>
      </w:pPr>
    </w:p>
    <w:p w14:paraId="0322176C" w14:textId="4DE93E02" w:rsidR="00FF1E38" w:rsidRPr="00FF1E38" w:rsidRDefault="00FF1E38" w:rsidP="00FF1E38">
      <w:pPr>
        <w:rPr>
          <w:rFonts w:ascii="Times New Roman" w:hAnsi="Times New Roman" w:cs="Times New Roman"/>
          <w:sz w:val="24"/>
        </w:rPr>
      </w:pPr>
    </w:p>
    <w:p w14:paraId="07FCC047" w14:textId="06691D57" w:rsidR="00FF1E38" w:rsidRPr="00FF1E38" w:rsidRDefault="00FF1E38" w:rsidP="00FF1E38">
      <w:pPr>
        <w:rPr>
          <w:rFonts w:ascii="Times New Roman" w:hAnsi="Times New Roman" w:cs="Times New Roman"/>
          <w:sz w:val="24"/>
        </w:rPr>
      </w:pPr>
    </w:p>
    <w:p w14:paraId="09975944" w14:textId="0E484432" w:rsidR="00FF1E38" w:rsidRPr="00FF1E38" w:rsidRDefault="00FF1E38" w:rsidP="00FF1E38">
      <w:pPr>
        <w:rPr>
          <w:rFonts w:ascii="Times New Roman" w:hAnsi="Times New Roman" w:cs="Times New Roman"/>
          <w:sz w:val="24"/>
        </w:rPr>
      </w:pPr>
    </w:p>
    <w:p w14:paraId="056CF860" w14:textId="408135EB" w:rsidR="00FF1E38" w:rsidRDefault="00FF1E38" w:rsidP="00FF1E38">
      <w:pPr>
        <w:rPr>
          <w:rFonts w:ascii="Times New Roman" w:hAnsi="Times New Roman" w:cs="Times New Roman"/>
          <w:sz w:val="24"/>
        </w:rPr>
      </w:pPr>
    </w:p>
    <w:p w14:paraId="37FE574E" w14:textId="33682A7F" w:rsidR="00FF1E38" w:rsidRDefault="00FF1E38" w:rsidP="00FF1E38">
      <w:pPr>
        <w:rPr>
          <w:rFonts w:ascii="Times New Roman" w:hAnsi="Times New Roman" w:cs="Times New Roman"/>
          <w:sz w:val="24"/>
        </w:rPr>
      </w:pPr>
    </w:p>
    <w:p w14:paraId="3E3317D6" w14:textId="1D323277" w:rsidR="00FF1E38" w:rsidRDefault="00FF1E38">
      <w:pPr>
        <w:spacing w:after="160" w:line="259" w:lineRule="auto"/>
        <w:ind w:left="0" w:right="0" w:firstLine="0"/>
        <w:jc w:val="left"/>
        <w:rPr>
          <w:rFonts w:ascii="Times New Roman" w:hAnsi="Times New Roman" w:cs="Times New Roman"/>
          <w:sz w:val="24"/>
        </w:rPr>
      </w:pPr>
    </w:p>
    <w:p w14:paraId="74F6F6C3" w14:textId="77777777" w:rsidR="00FF1E38" w:rsidRPr="00FF1E38" w:rsidRDefault="00FF1E38" w:rsidP="00097718">
      <w:pPr>
        <w:spacing w:after="0" w:line="240" w:lineRule="auto"/>
        <w:ind w:left="0" w:right="0" w:firstLine="709"/>
        <w:jc w:val="left"/>
        <w:rPr>
          <w:rFonts w:ascii="Times New Roman" w:hAnsi="Times New Roman" w:cs="Times New Roman"/>
          <w:b/>
          <w:sz w:val="24"/>
        </w:rPr>
      </w:pPr>
      <w:r w:rsidRPr="00FF1E38">
        <w:rPr>
          <w:rFonts w:ascii="Times New Roman" w:hAnsi="Times New Roman" w:cs="Times New Roman"/>
          <w:b/>
          <w:sz w:val="24"/>
        </w:rPr>
        <w:lastRenderedPageBreak/>
        <w:t>6.4. Ekstremne temperature - opis scenarija</w:t>
      </w:r>
    </w:p>
    <w:p w14:paraId="41658236" w14:textId="77777777" w:rsidR="00FF1E38" w:rsidRPr="00FF1E38" w:rsidRDefault="00FF1E38" w:rsidP="00FF1E38">
      <w:pPr>
        <w:spacing w:after="0" w:line="240" w:lineRule="auto"/>
        <w:ind w:left="0" w:right="0" w:firstLine="0"/>
        <w:jc w:val="left"/>
        <w:rPr>
          <w:rFonts w:ascii="Times New Roman" w:hAnsi="Times New Roman" w:cs="Times New Roman"/>
          <w:sz w:val="24"/>
        </w:rPr>
      </w:pPr>
      <w:bookmarkStart w:id="92" w:name="_Toc2938610"/>
    </w:p>
    <w:p w14:paraId="6E4136B1" w14:textId="77777777" w:rsidR="00FF1E38" w:rsidRPr="00FF1E38" w:rsidRDefault="00FF1E38" w:rsidP="00FF1E38">
      <w:pPr>
        <w:spacing w:after="0" w:line="240" w:lineRule="auto"/>
        <w:ind w:left="0" w:right="0" w:firstLine="709"/>
        <w:jc w:val="left"/>
        <w:rPr>
          <w:rFonts w:ascii="Times New Roman" w:hAnsi="Times New Roman" w:cs="Times New Roman"/>
          <w:b/>
          <w:sz w:val="24"/>
        </w:rPr>
      </w:pPr>
      <w:r w:rsidRPr="00FF1E38">
        <w:rPr>
          <w:rFonts w:ascii="Times New Roman" w:hAnsi="Times New Roman" w:cs="Times New Roman"/>
          <w:b/>
          <w:sz w:val="24"/>
        </w:rPr>
        <w:t>6.4.1. Naziv scenarija, rizik</w:t>
      </w:r>
      <w:bookmarkEnd w:id="92"/>
      <w:r w:rsidRPr="00FF1E38">
        <w:rPr>
          <w:rFonts w:ascii="Times New Roman" w:hAnsi="Times New Roman" w:cs="Times New Roman"/>
          <w:b/>
          <w:sz w:val="24"/>
        </w:rPr>
        <w:t xml:space="preserve"> </w:t>
      </w:r>
    </w:p>
    <w:p w14:paraId="56DC25C7" w14:textId="77777777" w:rsidR="00FF1E38" w:rsidRPr="00FF1E38" w:rsidRDefault="00FF1E38" w:rsidP="00FF1E38">
      <w:pPr>
        <w:spacing w:after="0" w:line="240" w:lineRule="auto"/>
        <w:ind w:left="0" w:right="0" w:firstLine="709"/>
        <w:jc w:val="left"/>
        <w:rPr>
          <w:rFonts w:ascii="Times New Roman" w:hAnsi="Times New Roman" w:cs="Times New Roman"/>
          <w:b/>
          <w:sz w:val="24"/>
        </w:rPr>
      </w:pPr>
    </w:p>
    <w:tbl>
      <w:tblPr>
        <w:tblStyle w:val="TableGrid12"/>
        <w:tblpPr w:leftFromText="180" w:rightFromText="180" w:vertAnchor="page" w:horzAnchor="margin" w:tblpY="2401"/>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2" w:type="dxa"/>
        </w:tblCellMar>
        <w:tblLook w:val="04A0" w:firstRow="1" w:lastRow="0" w:firstColumn="1" w:lastColumn="0" w:noHBand="0" w:noVBand="1"/>
      </w:tblPr>
      <w:tblGrid>
        <w:gridCol w:w="9072"/>
      </w:tblGrid>
      <w:tr w:rsidR="00FF1E38" w:rsidRPr="00FF1E38" w14:paraId="238C7B4D" w14:textId="77777777" w:rsidTr="00DE0C9A">
        <w:trPr>
          <w:cantSplit/>
        </w:trPr>
        <w:tc>
          <w:tcPr>
            <w:tcW w:w="9072" w:type="dxa"/>
            <w:shd w:val="clear" w:color="auto" w:fill="FFC000"/>
          </w:tcPr>
          <w:p w14:paraId="56A21856" w14:textId="77777777" w:rsidR="00FF1E38" w:rsidRPr="00FF1E38" w:rsidRDefault="00FF1E38" w:rsidP="00FF1E38">
            <w:pPr>
              <w:spacing w:after="0" w:line="240" w:lineRule="auto"/>
              <w:ind w:left="0" w:right="0" w:firstLine="0"/>
              <w:jc w:val="left"/>
              <w:rPr>
                <w:rFonts w:ascii="Times New Roman" w:hAnsi="Times New Roman" w:cs="Times New Roman"/>
                <w:sz w:val="24"/>
                <w:szCs w:val="24"/>
              </w:rPr>
            </w:pPr>
            <w:r w:rsidRPr="00FF1E38">
              <w:rPr>
                <w:rFonts w:ascii="Times New Roman" w:hAnsi="Times New Roman" w:cs="Times New Roman"/>
                <w:b/>
                <w:sz w:val="24"/>
                <w:szCs w:val="24"/>
              </w:rPr>
              <w:t>Naziv scenarija</w:t>
            </w:r>
          </w:p>
        </w:tc>
      </w:tr>
      <w:tr w:rsidR="00FF1E38" w:rsidRPr="00FF1E38" w14:paraId="760C5049" w14:textId="77777777" w:rsidTr="00DE0C9A">
        <w:trPr>
          <w:cantSplit/>
        </w:trPr>
        <w:tc>
          <w:tcPr>
            <w:tcW w:w="9072" w:type="dxa"/>
          </w:tcPr>
          <w:p w14:paraId="5F630D91" w14:textId="77777777" w:rsidR="00FF1E38" w:rsidRPr="00FF1E38" w:rsidRDefault="00FF1E38" w:rsidP="00FF1E38">
            <w:pPr>
              <w:spacing w:after="0" w:line="240" w:lineRule="auto"/>
              <w:ind w:left="0" w:right="0" w:firstLine="0"/>
              <w:jc w:val="left"/>
              <w:rPr>
                <w:rFonts w:ascii="Times New Roman" w:hAnsi="Times New Roman" w:cs="Times New Roman"/>
                <w:sz w:val="24"/>
                <w:szCs w:val="24"/>
              </w:rPr>
            </w:pPr>
            <w:r w:rsidRPr="00FF1E38">
              <w:rPr>
                <w:rFonts w:ascii="Times New Roman" w:hAnsi="Times New Roman" w:cs="Times New Roman"/>
                <w:sz w:val="24"/>
                <w:szCs w:val="24"/>
              </w:rPr>
              <w:t>Dugotrajni toplinski val na području Grada Zagreba</w:t>
            </w:r>
          </w:p>
        </w:tc>
      </w:tr>
      <w:tr w:rsidR="00FF1E38" w:rsidRPr="00FF1E38" w14:paraId="74612B8B" w14:textId="77777777" w:rsidTr="00DE0C9A">
        <w:trPr>
          <w:cantSplit/>
        </w:trPr>
        <w:tc>
          <w:tcPr>
            <w:tcW w:w="9072" w:type="dxa"/>
            <w:shd w:val="clear" w:color="auto" w:fill="FFC000"/>
          </w:tcPr>
          <w:p w14:paraId="5170EDD7" w14:textId="77777777" w:rsidR="00FF1E38" w:rsidRPr="00FF1E38" w:rsidRDefault="00FF1E38" w:rsidP="00FF1E38">
            <w:pPr>
              <w:spacing w:after="0" w:line="240" w:lineRule="auto"/>
              <w:ind w:left="0" w:right="0" w:firstLine="0"/>
              <w:jc w:val="left"/>
              <w:rPr>
                <w:rFonts w:ascii="Times New Roman" w:hAnsi="Times New Roman" w:cs="Times New Roman"/>
                <w:sz w:val="24"/>
                <w:szCs w:val="24"/>
              </w:rPr>
            </w:pPr>
            <w:r w:rsidRPr="00FF1E38">
              <w:rPr>
                <w:rFonts w:ascii="Times New Roman" w:hAnsi="Times New Roman" w:cs="Times New Roman"/>
                <w:b/>
                <w:sz w:val="24"/>
                <w:szCs w:val="24"/>
              </w:rPr>
              <w:t>Grupa rizika</w:t>
            </w:r>
          </w:p>
        </w:tc>
      </w:tr>
      <w:tr w:rsidR="00FF1E38" w:rsidRPr="00FF1E38" w14:paraId="29953E29" w14:textId="77777777" w:rsidTr="00DE0C9A">
        <w:trPr>
          <w:cantSplit/>
        </w:trPr>
        <w:tc>
          <w:tcPr>
            <w:tcW w:w="9072" w:type="dxa"/>
          </w:tcPr>
          <w:p w14:paraId="4ED0568D" w14:textId="77777777" w:rsidR="00FF1E38" w:rsidRPr="00FF1E38" w:rsidRDefault="00FF1E38" w:rsidP="00FF1E38">
            <w:pPr>
              <w:spacing w:after="0" w:line="240" w:lineRule="auto"/>
              <w:ind w:left="0" w:right="0" w:firstLine="0"/>
              <w:jc w:val="left"/>
              <w:rPr>
                <w:rFonts w:ascii="Times New Roman" w:hAnsi="Times New Roman" w:cs="Times New Roman"/>
                <w:sz w:val="24"/>
                <w:szCs w:val="24"/>
              </w:rPr>
            </w:pPr>
            <w:r w:rsidRPr="00FF1E38">
              <w:rPr>
                <w:rFonts w:ascii="Times New Roman" w:hAnsi="Times New Roman" w:cs="Times New Roman"/>
                <w:sz w:val="24"/>
                <w:szCs w:val="24"/>
              </w:rPr>
              <w:t>Ekstremne vremenske pojave</w:t>
            </w:r>
          </w:p>
        </w:tc>
      </w:tr>
      <w:tr w:rsidR="00FF1E38" w:rsidRPr="00FF1E38" w14:paraId="54C34B00" w14:textId="77777777" w:rsidTr="00DE0C9A">
        <w:trPr>
          <w:cantSplit/>
        </w:trPr>
        <w:tc>
          <w:tcPr>
            <w:tcW w:w="9072" w:type="dxa"/>
            <w:shd w:val="clear" w:color="auto" w:fill="FFC000"/>
          </w:tcPr>
          <w:p w14:paraId="5D7E63B0" w14:textId="77777777" w:rsidR="00FF1E38" w:rsidRPr="00FF1E38" w:rsidRDefault="00FF1E38" w:rsidP="00FF1E38">
            <w:pPr>
              <w:spacing w:after="0" w:line="240" w:lineRule="auto"/>
              <w:ind w:left="0" w:right="0" w:firstLine="0"/>
              <w:jc w:val="left"/>
              <w:rPr>
                <w:rFonts w:ascii="Times New Roman" w:hAnsi="Times New Roman" w:cs="Times New Roman"/>
                <w:sz w:val="24"/>
                <w:szCs w:val="24"/>
              </w:rPr>
            </w:pPr>
            <w:r w:rsidRPr="00FF1E38">
              <w:rPr>
                <w:rFonts w:ascii="Times New Roman" w:hAnsi="Times New Roman" w:cs="Times New Roman"/>
                <w:b/>
                <w:sz w:val="24"/>
                <w:szCs w:val="24"/>
              </w:rPr>
              <w:t>Rizik</w:t>
            </w:r>
          </w:p>
        </w:tc>
      </w:tr>
      <w:tr w:rsidR="00FF1E38" w:rsidRPr="00FF1E38" w14:paraId="09D689DB" w14:textId="77777777" w:rsidTr="00DE0C9A">
        <w:trPr>
          <w:cantSplit/>
        </w:trPr>
        <w:tc>
          <w:tcPr>
            <w:tcW w:w="9072" w:type="dxa"/>
          </w:tcPr>
          <w:p w14:paraId="632126B3" w14:textId="77777777" w:rsidR="00FF1E38" w:rsidRPr="00FF1E38" w:rsidRDefault="00FF1E38" w:rsidP="00FF1E38">
            <w:pPr>
              <w:spacing w:after="0" w:line="240" w:lineRule="auto"/>
              <w:ind w:left="0" w:right="0" w:firstLine="0"/>
              <w:jc w:val="left"/>
              <w:rPr>
                <w:rFonts w:ascii="Times New Roman" w:hAnsi="Times New Roman" w:cs="Times New Roman"/>
                <w:sz w:val="24"/>
                <w:szCs w:val="24"/>
              </w:rPr>
            </w:pPr>
            <w:r w:rsidRPr="00FF1E38">
              <w:rPr>
                <w:rFonts w:ascii="Times New Roman" w:hAnsi="Times New Roman" w:cs="Times New Roman"/>
                <w:sz w:val="24"/>
                <w:szCs w:val="24"/>
              </w:rPr>
              <w:t>Ekstremne temperature</w:t>
            </w:r>
          </w:p>
        </w:tc>
      </w:tr>
      <w:tr w:rsidR="00FF1E38" w:rsidRPr="00FF1E38" w14:paraId="1095A550" w14:textId="77777777" w:rsidTr="00DE0C9A">
        <w:trPr>
          <w:cantSplit/>
        </w:trPr>
        <w:tc>
          <w:tcPr>
            <w:tcW w:w="9072" w:type="dxa"/>
            <w:shd w:val="clear" w:color="auto" w:fill="FFC000"/>
          </w:tcPr>
          <w:p w14:paraId="06734E75" w14:textId="77777777" w:rsidR="00FF1E38" w:rsidRPr="00FF1E38" w:rsidRDefault="00FF1E38" w:rsidP="00FF1E38">
            <w:pPr>
              <w:spacing w:after="0" w:line="240" w:lineRule="auto"/>
              <w:ind w:left="0" w:right="0" w:firstLine="0"/>
              <w:jc w:val="left"/>
              <w:rPr>
                <w:rFonts w:ascii="Times New Roman" w:hAnsi="Times New Roman" w:cs="Times New Roman"/>
                <w:sz w:val="24"/>
                <w:szCs w:val="24"/>
              </w:rPr>
            </w:pPr>
            <w:r w:rsidRPr="00FF1E38">
              <w:rPr>
                <w:rFonts w:ascii="Times New Roman" w:hAnsi="Times New Roman" w:cs="Times New Roman"/>
                <w:b/>
                <w:sz w:val="24"/>
                <w:szCs w:val="24"/>
              </w:rPr>
              <w:t>Radna skupina</w:t>
            </w:r>
          </w:p>
        </w:tc>
      </w:tr>
      <w:tr w:rsidR="00FF1E38" w:rsidRPr="00FF1E38" w14:paraId="6BEF01D0" w14:textId="77777777" w:rsidTr="00DE0C9A">
        <w:trPr>
          <w:cantSplit/>
        </w:trPr>
        <w:tc>
          <w:tcPr>
            <w:tcW w:w="9072" w:type="dxa"/>
          </w:tcPr>
          <w:p w14:paraId="57F3BA7D" w14:textId="77777777" w:rsidR="00FF1E38" w:rsidRPr="00FF1E38" w:rsidRDefault="00FF1E38" w:rsidP="00FF1E38">
            <w:pPr>
              <w:spacing w:after="0" w:line="240" w:lineRule="auto"/>
              <w:ind w:left="0" w:right="0" w:firstLine="0"/>
              <w:jc w:val="left"/>
              <w:rPr>
                <w:rFonts w:ascii="Times New Roman" w:hAnsi="Times New Roman" w:cs="Times New Roman"/>
                <w:sz w:val="24"/>
                <w:szCs w:val="24"/>
              </w:rPr>
            </w:pPr>
            <w:r w:rsidRPr="00FF1E38">
              <w:rPr>
                <w:rFonts w:ascii="Times New Roman" w:hAnsi="Times New Roman" w:cs="Times New Roman"/>
                <w:sz w:val="24"/>
                <w:szCs w:val="24"/>
              </w:rPr>
              <w:t>Gradski ured za mjesnu samoupravu, civilnu zaštitu i sigurnost</w:t>
            </w:r>
          </w:p>
          <w:p w14:paraId="3C4631BD" w14:textId="77777777" w:rsidR="00FF1E38" w:rsidRPr="00FF1E38" w:rsidRDefault="00FF1E38" w:rsidP="00FF1E38">
            <w:pPr>
              <w:spacing w:after="0" w:line="240" w:lineRule="auto"/>
              <w:ind w:left="0" w:right="0" w:firstLine="0"/>
              <w:jc w:val="left"/>
              <w:rPr>
                <w:rFonts w:ascii="Times New Roman" w:hAnsi="Times New Roman" w:cs="Times New Roman"/>
                <w:sz w:val="24"/>
                <w:szCs w:val="24"/>
              </w:rPr>
            </w:pPr>
            <w:r w:rsidRPr="00FF1E38">
              <w:rPr>
                <w:rFonts w:ascii="Times New Roman" w:hAnsi="Times New Roman" w:cs="Times New Roman"/>
                <w:sz w:val="24"/>
                <w:szCs w:val="24"/>
              </w:rPr>
              <w:t>Nastavni zavod za javno zdravstvo "Dr. Andrija Štampar"</w:t>
            </w:r>
          </w:p>
        </w:tc>
      </w:tr>
      <w:tr w:rsidR="00FF1E38" w:rsidRPr="00FF1E38" w14:paraId="79B1DC4F" w14:textId="77777777" w:rsidTr="00DE0C9A">
        <w:trPr>
          <w:cantSplit/>
        </w:trPr>
        <w:tc>
          <w:tcPr>
            <w:tcW w:w="9072" w:type="dxa"/>
            <w:shd w:val="clear" w:color="auto" w:fill="FFC000"/>
          </w:tcPr>
          <w:p w14:paraId="4B2586D1" w14:textId="77777777" w:rsidR="00FF1E38" w:rsidRPr="00FF1E38" w:rsidRDefault="00FF1E38" w:rsidP="00FF1E38">
            <w:pPr>
              <w:spacing w:after="0" w:line="240" w:lineRule="auto"/>
              <w:ind w:left="0" w:right="0" w:firstLine="0"/>
              <w:jc w:val="left"/>
              <w:rPr>
                <w:rFonts w:ascii="Times New Roman" w:hAnsi="Times New Roman" w:cs="Times New Roman"/>
                <w:sz w:val="24"/>
                <w:szCs w:val="24"/>
              </w:rPr>
            </w:pPr>
            <w:r w:rsidRPr="00FF1E38">
              <w:rPr>
                <w:rFonts w:ascii="Times New Roman" w:hAnsi="Times New Roman" w:cs="Times New Roman"/>
                <w:b/>
                <w:sz w:val="24"/>
                <w:szCs w:val="24"/>
              </w:rPr>
              <w:t>Opis scenarija:</w:t>
            </w:r>
          </w:p>
        </w:tc>
      </w:tr>
      <w:tr w:rsidR="00FF1E38" w:rsidRPr="00FF1E38" w14:paraId="22D44C0D" w14:textId="77777777" w:rsidTr="00DE0C9A">
        <w:trPr>
          <w:cantSplit/>
        </w:trPr>
        <w:tc>
          <w:tcPr>
            <w:tcW w:w="9072" w:type="dxa"/>
          </w:tcPr>
          <w:p w14:paraId="375DC17B" w14:textId="77777777" w:rsidR="00FF1E38" w:rsidRPr="00FF1E38" w:rsidRDefault="00FF1E38" w:rsidP="00FF1E38">
            <w:pPr>
              <w:spacing w:after="0" w:line="240" w:lineRule="auto"/>
              <w:ind w:left="0" w:right="0" w:firstLine="0"/>
              <w:rPr>
                <w:rFonts w:ascii="Times New Roman" w:hAnsi="Times New Roman" w:cs="Times New Roman"/>
                <w:sz w:val="24"/>
                <w:szCs w:val="24"/>
              </w:rPr>
            </w:pPr>
            <w:r w:rsidRPr="00FF1E38">
              <w:rPr>
                <w:rFonts w:ascii="Times New Roman" w:hAnsi="Times New Roman" w:cs="Times New Roman"/>
                <w:sz w:val="24"/>
                <w:szCs w:val="24"/>
              </w:rPr>
              <w:t>Scenarijem će se opisati situacija koja može nastati nakon pojave dugotrajnog toplinskog vala na području Grada Zagreba praćenog visokim postotkom vlage u zraku. Takav slijed događaja prouzročio bi određene zdravstvene teškoće stanovništvu te povećao broj smrtnih ishoda posebno osoba starije životne dobi i kroničnih bolesnika.</w:t>
            </w:r>
          </w:p>
        </w:tc>
      </w:tr>
    </w:tbl>
    <w:p w14:paraId="65018E42" w14:textId="77777777" w:rsidR="00FF1E38" w:rsidRPr="00FF1E38" w:rsidRDefault="00FF1E38" w:rsidP="00FF1E38">
      <w:pPr>
        <w:spacing w:after="0" w:line="240" w:lineRule="auto"/>
        <w:ind w:left="0" w:right="0" w:firstLine="709"/>
        <w:rPr>
          <w:rFonts w:ascii="Times New Roman" w:hAnsi="Times New Roman" w:cs="Times New Roman"/>
          <w:b/>
          <w:sz w:val="24"/>
        </w:rPr>
      </w:pPr>
      <w:bookmarkStart w:id="93" w:name="_Toc2938611"/>
      <w:r w:rsidRPr="00FF1E38">
        <w:rPr>
          <w:rFonts w:ascii="Times New Roman" w:hAnsi="Times New Roman" w:cs="Times New Roman"/>
          <w:b/>
          <w:sz w:val="24"/>
        </w:rPr>
        <w:t>6.4.2. Prikaz utjecaja na kritičnu infrastrukturu</w:t>
      </w:r>
      <w:bookmarkEnd w:id="93"/>
    </w:p>
    <w:p w14:paraId="07BB6248"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Negativan utjecaj ekstremnih temperatura u obliku toplinskog vala na </w:t>
      </w:r>
      <w:r w:rsidRPr="00FF1E38">
        <w:rPr>
          <w:rFonts w:ascii="Times New Roman" w:hAnsi="Times New Roman" w:cs="Times New Roman"/>
          <w:b/>
          <w:sz w:val="24"/>
        </w:rPr>
        <w:t>energetski sektor</w:t>
      </w:r>
      <w:r w:rsidRPr="00FF1E38">
        <w:rPr>
          <w:rFonts w:ascii="Times New Roman" w:hAnsi="Times New Roman" w:cs="Times New Roman"/>
          <w:sz w:val="24"/>
        </w:rPr>
        <w:t xml:space="preserve"> kritične infrastrukture postoji zbog naglog rasta potrošnje usluga u situaciji nepovoljne proizvodnje (npr. niska razina vodostaja koja je najčešća u ljetnim mjesecima kada se javljaju toplinski valovi, a što se manifestira smanjenom proizvodnjom električne energije uz povećanu potrošnju električne energije zbog rada klimatizacijskih uređaja koji su veliki potrošači).</w:t>
      </w:r>
    </w:p>
    <w:p w14:paraId="3AB611A3"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Na </w:t>
      </w:r>
      <w:r w:rsidRPr="00FF1E38">
        <w:rPr>
          <w:rFonts w:ascii="Times New Roman" w:hAnsi="Times New Roman" w:cs="Times New Roman"/>
          <w:b/>
          <w:sz w:val="24"/>
        </w:rPr>
        <w:t>sektor komunikacijske i informacijske tehnologije</w:t>
      </w:r>
      <w:r w:rsidRPr="00FF1E38">
        <w:rPr>
          <w:rFonts w:ascii="Times New Roman" w:hAnsi="Times New Roman" w:cs="Times New Roman"/>
          <w:sz w:val="24"/>
        </w:rPr>
        <w:t xml:space="preserve"> ekstremne temperature negativno utječu pojavom većeg broja kvarova baznih postaja, TV i radioodašiljača zbog pregrijavanja odašiljačke opreme. Na </w:t>
      </w:r>
      <w:r w:rsidRPr="00FF1E38">
        <w:rPr>
          <w:rFonts w:ascii="Times New Roman" w:hAnsi="Times New Roman" w:cs="Times New Roman"/>
          <w:b/>
          <w:sz w:val="24"/>
        </w:rPr>
        <w:t>zdravstveni sektor</w:t>
      </w:r>
      <w:r w:rsidRPr="00FF1E38">
        <w:rPr>
          <w:rFonts w:ascii="Times New Roman" w:hAnsi="Times New Roman" w:cs="Times New Roman"/>
          <w:sz w:val="24"/>
        </w:rPr>
        <w:t xml:space="preserve"> negativan utjecaj se manifestira povećanim brojem osoba koje je potrebno zdravstveno zbrinuti zbog tegoba povezanih s pojavom toplinskih valova (posebno osjetljive skupine ljudi su starije stanovništvo i kronični bolesnici, a zbog nepovoljne demografske situacije udio navedenih skupina u ukupnoj populaciji je znatan). Dugotrajne toplinske valove često prate sušna razdoblja i povećana potrošnja vode pa utječu i na </w:t>
      </w:r>
      <w:r w:rsidRPr="00FF1E38">
        <w:rPr>
          <w:rFonts w:ascii="Times New Roman" w:hAnsi="Times New Roman" w:cs="Times New Roman"/>
          <w:b/>
          <w:sz w:val="24"/>
        </w:rPr>
        <w:t>vodno gospodarstvo</w:t>
      </w:r>
      <w:r w:rsidRPr="00FF1E38">
        <w:rPr>
          <w:rFonts w:ascii="Times New Roman" w:hAnsi="Times New Roman" w:cs="Times New Roman"/>
          <w:sz w:val="24"/>
        </w:rPr>
        <w:t xml:space="preserve"> što se može manifestirati smanjenjem razine podzemnih voda i otežanom vodoopskrbom odnosno znatnim utjecajem na sigurnost vode za ljudsku potrošnju.</w:t>
      </w:r>
    </w:p>
    <w:p w14:paraId="75CF7DDE"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Na </w:t>
      </w:r>
      <w:r w:rsidRPr="00FF1E38">
        <w:rPr>
          <w:rFonts w:ascii="Times New Roman" w:hAnsi="Times New Roman" w:cs="Times New Roman"/>
          <w:b/>
          <w:sz w:val="24"/>
        </w:rPr>
        <w:t>sektor proizvodnje i opskrbe hranom</w:t>
      </w:r>
      <w:r w:rsidRPr="00FF1E38">
        <w:rPr>
          <w:rFonts w:ascii="Times New Roman" w:hAnsi="Times New Roman" w:cs="Times New Roman"/>
          <w:sz w:val="24"/>
        </w:rPr>
        <w:t xml:space="preserve"> ekstremne temperature imaju negativan utjecaj zbog povećanog rizika prilikom skladištenja, obrade i pripremanja hrane što može rezultirati povećanim brojem oboljelih od crijevnih zaraznih bolesti (npr. salmoneloze i sl.). Visoke ljetne temperature pogoduju razmnožavanju uzročnika u hrani, stoga se crijevne zarazne bolesti osobito bakterijske, ali i neki virusi (norovirus), češće javljaju ljeti. Pojedine namirnice, poput mesa (osobito peradi i mljevenog mesa) i mesnih prerađevina, mlijeka i mliječnih proizvoda, zatim sva jela pripremljena od jaja koja nisu dovoljno termički obrađena, poput kremastih kolača, sladoleda i majoneze, osobito su prikladni za razmnožavanje različitih uzročnika akutnih bolesti probavnog sustava.</w:t>
      </w:r>
    </w:p>
    <w:p w14:paraId="341C9DD1"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Produžena razdoblja i učestalost pojavnosti ekstremnih temperatura, znatno utječu na učestaliju pojavnost bolesti koje se prenose vektorima (pojedinim vrstama insekata kao što su komarci, krpelji i sl.), te pojavnost bolesti i simptoma radi proširene izloženosti alergenoj peludi specifičnih biljnih vrsta.</w:t>
      </w:r>
    </w:p>
    <w:p w14:paraId="48DF319E"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lastRenderedPageBreak/>
        <w:t xml:space="preserve">Ekstremne temperature znatno utječu na </w:t>
      </w:r>
      <w:r w:rsidRPr="00FF1E38">
        <w:rPr>
          <w:rFonts w:ascii="Times New Roman" w:hAnsi="Times New Roman" w:cs="Times New Roman"/>
          <w:b/>
          <w:sz w:val="24"/>
        </w:rPr>
        <w:t>rad javnih službi</w:t>
      </w:r>
      <w:r w:rsidRPr="00FF1E38">
        <w:rPr>
          <w:rFonts w:ascii="Times New Roman" w:hAnsi="Times New Roman" w:cs="Times New Roman"/>
          <w:sz w:val="24"/>
        </w:rPr>
        <w:t xml:space="preserve"> zbog povećanja broja zahtjeva za djelovanjem hitnih službi (posebno hitne medicinske pomoći), povećanja broja dana bolovanja i posljedičnih nedostatnih kapaciteta, te imaju nezanemarive ekonomske posljedice.</w:t>
      </w:r>
    </w:p>
    <w:p w14:paraId="357F5A4F" w14:textId="77777777" w:rsidR="00FF1E38" w:rsidRPr="00FF1E38" w:rsidRDefault="00FF1E38" w:rsidP="00FF1E38">
      <w:pPr>
        <w:spacing w:after="0" w:line="240" w:lineRule="auto"/>
        <w:ind w:right="0"/>
        <w:rPr>
          <w:rFonts w:ascii="Times New Roman" w:hAnsi="Times New Roman" w:cs="Times New Roman"/>
          <w:sz w:val="24"/>
        </w:rPr>
      </w:pPr>
    </w:p>
    <w:p w14:paraId="71B84F5B" w14:textId="4B34F178" w:rsidR="00FF1E38" w:rsidRPr="00B630DC" w:rsidRDefault="00FF1E38" w:rsidP="002F1B29">
      <w:pPr>
        <w:spacing w:line="240" w:lineRule="auto"/>
        <w:ind w:left="0" w:right="0" w:firstLine="0"/>
        <w:jc w:val="center"/>
        <w:rPr>
          <w:rFonts w:ascii="Times New Roman" w:hAnsi="Times New Roman" w:cs="Times New Roman"/>
          <w:b/>
          <w:color w:val="auto"/>
          <w:sz w:val="24"/>
        </w:rPr>
      </w:pPr>
      <w:r w:rsidRPr="00B630DC">
        <w:rPr>
          <w:rFonts w:ascii="Times New Roman" w:hAnsi="Times New Roman" w:cs="Times New Roman"/>
          <w:b/>
          <w:color w:val="auto"/>
          <w:sz w:val="24"/>
        </w:rPr>
        <w:t xml:space="preserve">Tablica </w:t>
      </w:r>
      <w:r w:rsidR="00B630DC" w:rsidRPr="00B630DC">
        <w:rPr>
          <w:rFonts w:ascii="Times New Roman" w:hAnsi="Times New Roman" w:cs="Times New Roman"/>
          <w:b/>
          <w:color w:val="auto"/>
          <w:sz w:val="24"/>
        </w:rPr>
        <w:t>83</w:t>
      </w:r>
      <w:r w:rsidRPr="00B630DC">
        <w:rPr>
          <w:rFonts w:ascii="Times New Roman" w:hAnsi="Times New Roman" w:cs="Times New Roman"/>
          <w:b/>
          <w:color w:val="auto"/>
          <w:sz w:val="24"/>
        </w:rPr>
        <w:t xml:space="preserve">. Utjecaj toplinskih valova na sektore kritične infrastrukture </w:t>
      </w:r>
    </w:p>
    <w:tbl>
      <w:tblPr>
        <w:tblStyle w:val="TableGrid"/>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3" w:type="dxa"/>
        </w:tblCellMar>
        <w:tblLook w:val="04A0" w:firstRow="1" w:lastRow="0" w:firstColumn="1" w:lastColumn="0" w:noHBand="0" w:noVBand="1"/>
      </w:tblPr>
      <w:tblGrid>
        <w:gridCol w:w="1418"/>
        <w:gridCol w:w="7654"/>
      </w:tblGrid>
      <w:tr w:rsidR="00FF1E38" w:rsidRPr="00FF1E38" w14:paraId="6977BCAE" w14:textId="77777777" w:rsidTr="002F1B29">
        <w:trPr>
          <w:cantSplit/>
          <w:tblHeader/>
        </w:trPr>
        <w:tc>
          <w:tcPr>
            <w:tcW w:w="1418" w:type="dxa"/>
            <w:shd w:val="clear" w:color="auto" w:fill="FFC000"/>
            <w:vAlign w:val="center"/>
          </w:tcPr>
          <w:p w14:paraId="30E5E95E"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b/>
                <w:sz w:val="24"/>
              </w:rPr>
              <w:t>UTJECAJ</w:t>
            </w:r>
          </w:p>
        </w:tc>
        <w:tc>
          <w:tcPr>
            <w:tcW w:w="7654" w:type="dxa"/>
            <w:shd w:val="clear" w:color="auto" w:fill="FFC000"/>
            <w:vAlign w:val="center"/>
          </w:tcPr>
          <w:p w14:paraId="7F368420"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b/>
                <w:sz w:val="24"/>
              </w:rPr>
              <w:t>SEKTOR</w:t>
            </w:r>
          </w:p>
        </w:tc>
      </w:tr>
      <w:tr w:rsidR="00FF1E38" w:rsidRPr="00FF1E38" w14:paraId="62DEDC1D" w14:textId="77777777" w:rsidTr="002F1B29">
        <w:trPr>
          <w:cantSplit/>
        </w:trPr>
        <w:tc>
          <w:tcPr>
            <w:tcW w:w="1418" w:type="dxa"/>
            <w:vAlign w:val="center"/>
          </w:tcPr>
          <w:p w14:paraId="318E3F32"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x</w:t>
            </w:r>
          </w:p>
        </w:tc>
        <w:tc>
          <w:tcPr>
            <w:tcW w:w="7654" w:type="dxa"/>
            <w:vAlign w:val="center"/>
          </w:tcPr>
          <w:p w14:paraId="391B2ECA"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Energetika (proizvodnja, uključujući akumulacije i brane, prijenos, skladištenje, transport energenata i energije, sustave za distribuciju)</w:t>
            </w:r>
          </w:p>
        </w:tc>
      </w:tr>
      <w:tr w:rsidR="00FF1E38" w:rsidRPr="00FF1E38" w14:paraId="7483C05D" w14:textId="77777777" w:rsidTr="002F1B29">
        <w:trPr>
          <w:cantSplit/>
        </w:trPr>
        <w:tc>
          <w:tcPr>
            <w:tcW w:w="1418" w:type="dxa"/>
            <w:shd w:val="clear" w:color="auto" w:fill="FFC000"/>
            <w:vAlign w:val="center"/>
          </w:tcPr>
          <w:p w14:paraId="1AAF317C"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x</w:t>
            </w:r>
          </w:p>
        </w:tc>
        <w:tc>
          <w:tcPr>
            <w:tcW w:w="7654" w:type="dxa"/>
            <w:shd w:val="clear" w:color="auto" w:fill="FFC000"/>
            <w:vAlign w:val="center"/>
          </w:tcPr>
          <w:p w14:paraId="4E0A1991"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Komunikacijska i informacijska tehnologija (elektroničke komunikacije, prijenos podataka, informacijski sustavi, pružanje audio i audiovizualnih medijskih usluga)</w:t>
            </w:r>
          </w:p>
        </w:tc>
      </w:tr>
      <w:tr w:rsidR="00FF1E38" w:rsidRPr="00FF1E38" w14:paraId="4EE918F8" w14:textId="77777777" w:rsidTr="002F1B29">
        <w:trPr>
          <w:cantSplit/>
        </w:trPr>
        <w:tc>
          <w:tcPr>
            <w:tcW w:w="1418" w:type="dxa"/>
          </w:tcPr>
          <w:p w14:paraId="7D77B72D" w14:textId="77777777" w:rsidR="00FF1E38" w:rsidRPr="00FF1E38" w:rsidRDefault="00FF1E38" w:rsidP="00FF1E38">
            <w:pPr>
              <w:spacing w:after="0" w:line="240" w:lineRule="auto"/>
              <w:ind w:left="0" w:right="0" w:firstLine="0"/>
              <w:jc w:val="left"/>
              <w:rPr>
                <w:rFonts w:ascii="Times New Roman" w:hAnsi="Times New Roman" w:cs="Times New Roman"/>
                <w:sz w:val="24"/>
              </w:rPr>
            </w:pPr>
          </w:p>
        </w:tc>
        <w:tc>
          <w:tcPr>
            <w:tcW w:w="7654" w:type="dxa"/>
            <w:vAlign w:val="center"/>
          </w:tcPr>
          <w:p w14:paraId="74BB423D"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Promet (cestovni, željeznički, zračni, pomorski i promet unutarnjim plovnim putevima)</w:t>
            </w:r>
          </w:p>
        </w:tc>
      </w:tr>
      <w:tr w:rsidR="00FF1E38" w:rsidRPr="00FF1E38" w14:paraId="63EA56B5" w14:textId="77777777" w:rsidTr="002F1B29">
        <w:trPr>
          <w:cantSplit/>
        </w:trPr>
        <w:tc>
          <w:tcPr>
            <w:tcW w:w="1418" w:type="dxa"/>
            <w:shd w:val="clear" w:color="auto" w:fill="FFC000"/>
          </w:tcPr>
          <w:p w14:paraId="5F6FB0D7"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x</w:t>
            </w:r>
          </w:p>
        </w:tc>
        <w:tc>
          <w:tcPr>
            <w:tcW w:w="7654" w:type="dxa"/>
            <w:shd w:val="clear" w:color="auto" w:fill="FFC000"/>
            <w:vAlign w:val="center"/>
          </w:tcPr>
          <w:p w14:paraId="5AE024A3"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Zdravstvo (zdravstvena zaštita, proizvodnja, promet i nadzor nad lijekovima)</w:t>
            </w:r>
          </w:p>
        </w:tc>
      </w:tr>
      <w:tr w:rsidR="00FF1E38" w:rsidRPr="00FF1E38" w14:paraId="5623C71D" w14:textId="77777777" w:rsidTr="002F1B29">
        <w:trPr>
          <w:cantSplit/>
        </w:trPr>
        <w:tc>
          <w:tcPr>
            <w:tcW w:w="1418" w:type="dxa"/>
            <w:vAlign w:val="center"/>
          </w:tcPr>
          <w:p w14:paraId="300D4143"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x</w:t>
            </w:r>
          </w:p>
        </w:tc>
        <w:tc>
          <w:tcPr>
            <w:tcW w:w="7654" w:type="dxa"/>
            <w:vAlign w:val="center"/>
          </w:tcPr>
          <w:p w14:paraId="078D6336"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Vodno gospodarstvo (regulacijske i zaštitne vodne građevine i komunalne vodne građevine)</w:t>
            </w:r>
          </w:p>
        </w:tc>
      </w:tr>
      <w:tr w:rsidR="00FF1E38" w:rsidRPr="00FF1E38" w14:paraId="6B43C3A7" w14:textId="77777777" w:rsidTr="002F1B29">
        <w:trPr>
          <w:cantSplit/>
        </w:trPr>
        <w:tc>
          <w:tcPr>
            <w:tcW w:w="1418" w:type="dxa"/>
            <w:shd w:val="clear" w:color="auto" w:fill="FFC000"/>
          </w:tcPr>
          <w:p w14:paraId="359A7BBA"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x</w:t>
            </w:r>
          </w:p>
        </w:tc>
        <w:tc>
          <w:tcPr>
            <w:tcW w:w="7654" w:type="dxa"/>
            <w:shd w:val="clear" w:color="auto" w:fill="FFC000"/>
            <w:vAlign w:val="center"/>
          </w:tcPr>
          <w:p w14:paraId="02896065"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Hrana (proizvodnja i opskrba hranom i sustav sigurnosti hrane, robne zalihe)</w:t>
            </w:r>
          </w:p>
        </w:tc>
      </w:tr>
      <w:tr w:rsidR="00FF1E38" w:rsidRPr="00FF1E38" w14:paraId="53601F1B" w14:textId="77777777" w:rsidTr="002F1B29">
        <w:trPr>
          <w:cantSplit/>
        </w:trPr>
        <w:tc>
          <w:tcPr>
            <w:tcW w:w="1418" w:type="dxa"/>
          </w:tcPr>
          <w:p w14:paraId="21B5CA05" w14:textId="77777777" w:rsidR="00FF1E38" w:rsidRPr="00FF1E38" w:rsidRDefault="00FF1E38" w:rsidP="00FF1E38">
            <w:pPr>
              <w:spacing w:after="0" w:line="240" w:lineRule="auto"/>
              <w:ind w:left="0" w:right="0" w:firstLine="0"/>
              <w:jc w:val="left"/>
              <w:rPr>
                <w:rFonts w:ascii="Times New Roman" w:hAnsi="Times New Roman" w:cs="Times New Roman"/>
                <w:sz w:val="24"/>
              </w:rPr>
            </w:pPr>
          </w:p>
        </w:tc>
        <w:tc>
          <w:tcPr>
            <w:tcW w:w="7654" w:type="dxa"/>
            <w:vAlign w:val="center"/>
          </w:tcPr>
          <w:p w14:paraId="5613DF08"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Financije (bankarstvo, burze, investicije, sustavi osiguranja i plaćanja)</w:t>
            </w:r>
          </w:p>
        </w:tc>
      </w:tr>
      <w:tr w:rsidR="00FF1E38" w:rsidRPr="00FF1E38" w14:paraId="15E3FBE7" w14:textId="77777777" w:rsidTr="002F1B29">
        <w:trPr>
          <w:cantSplit/>
        </w:trPr>
        <w:tc>
          <w:tcPr>
            <w:tcW w:w="1418" w:type="dxa"/>
            <w:shd w:val="clear" w:color="auto" w:fill="FFC000"/>
          </w:tcPr>
          <w:p w14:paraId="2996298C" w14:textId="77777777" w:rsidR="00FF1E38" w:rsidRPr="00FF1E38" w:rsidRDefault="00FF1E38" w:rsidP="00FF1E38">
            <w:pPr>
              <w:spacing w:after="0" w:line="240" w:lineRule="auto"/>
              <w:ind w:left="0" w:right="0" w:firstLine="0"/>
              <w:jc w:val="center"/>
              <w:rPr>
                <w:rFonts w:ascii="Times New Roman" w:hAnsi="Times New Roman" w:cs="Times New Roman"/>
                <w:sz w:val="24"/>
              </w:rPr>
            </w:pPr>
          </w:p>
        </w:tc>
        <w:tc>
          <w:tcPr>
            <w:tcW w:w="7654" w:type="dxa"/>
            <w:shd w:val="clear" w:color="auto" w:fill="FFC000"/>
            <w:vAlign w:val="center"/>
          </w:tcPr>
          <w:p w14:paraId="00C4B86E"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Proizvodnja, skladištenje i prijevoz opasnih tvari (kemijski, biološki, radiološki i nuklearni materijal)</w:t>
            </w:r>
          </w:p>
        </w:tc>
      </w:tr>
      <w:tr w:rsidR="00FF1E38" w:rsidRPr="00FF1E38" w14:paraId="5091DDBF" w14:textId="77777777" w:rsidTr="002F1B29">
        <w:trPr>
          <w:cantSplit/>
        </w:trPr>
        <w:tc>
          <w:tcPr>
            <w:tcW w:w="1418" w:type="dxa"/>
            <w:vAlign w:val="center"/>
          </w:tcPr>
          <w:p w14:paraId="66437946"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sz w:val="24"/>
              </w:rPr>
              <w:t>x</w:t>
            </w:r>
          </w:p>
        </w:tc>
        <w:tc>
          <w:tcPr>
            <w:tcW w:w="7654" w:type="dxa"/>
            <w:vAlign w:val="center"/>
          </w:tcPr>
          <w:p w14:paraId="45906C27"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Javne službe (osiguranje javnog reda i mira, zaštita i spašavanje, hitna medicinska pomoć, javnozdravstvena služba)</w:t>
            </w:r>
          </w:p>
        </w:tc>
      </w:tr>
      <w:tr w:rsidR="00FF1E38" w:rsidRPr="00FF1E38" w14:paraId="62EE75A3" w14:textId="77777777" w:rsidTr="002F1B29">
        <w:trPr>
          <w:cantSplit/>
        </w:trPr>
        <w:tc>
          <w:tcPr>
            <w:tcW w:w="1418" w:type="dxa"/>
            <w:shd w:val="clear" w:color="auto" w:fill="FFC000"/>
          </w:tcPr>
          <w:p w14:paraId="06F4D077" w14:textId="77777777" w:rsidR="00FF1E38" w:rsidRPr="00FF1E38" w:rsidRDefault="00FF1E38" w:rsidP="00FF1E38">
            <w:pPr>
              <w:spacing w:after="0" w:line="240" w:lineRule="auto"/>
              <w:ind w:left="0" w:right="0" w:firstLine="0"/>
              <w:jc w:val="center"/>
              <w:rPr>
                <w:rFonts w:ascii="Times New Roman" w:hAnsi="Times New Roman" w:cs="Times New Roman"/>
                <w:sz w:val="24"/>
              </w:rPr>
            </w:pPr>
          </w:p>
        </w:tc>
        <w:tc>
          <w:tcPr>
            <w:tcW w:w="7654" w:type="dxa"/>
            <w:shd w:val="clear" w:color="auto" w:fill="FFC000"/>
            <w:vAlign w:val="center"/>
          </w:tcPr>
          <w:p w14:paraId="78EE242B"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Nacionalni spomenici i vrijednosti</w:t>
            </w:r>
          </w:p>
        </w:tc>
      </w:tr>
    </w:tbl>
    <w:p w14:paraId="7123DD55"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07EEEE08" w14:textId="77777777" w:rsidR="00FF1E38" w:rsidRPr="00FF1E38" w:rsidRDefault="00FF1E38" w:rsidP="00FF1E38">
      <w:pPr>
        <w:spacing w:after="0" w:line="240" w:lineRule="auto"/>
        <w:ind w:left="0" w:right="0" w:firstLine="709"/>
        <w:rPr>
          <w:rFonts w:ascii="Times New Roman" w:hAnsi="Times New Roman" w:cs="Times New Roman"/>
          <w:b/>
          <w:sz w:val="24"/>
        </w:rPr>
      </w:pPr>
      <w:bookmarkStart w:id="94" w:name="_Toc2938612"/>
      <w:r w:rsidRPr="00FF1E38">
        <w:rPr>
          <w:rFonts w:ascii="Times New Roman" w:hAnsi="Times New Roman" w:cs="Times New Roman"/>
          <w:b/>
          <w:sz w:val="24"/>
        </w:rPr>
        <w:t>6.4.3. Kontekst</w:t>
      </w:r>
      <w:bookmarkEnd w:id="94"/>
    </w:p>
    <w:p w14:paraId="742E6EF6"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Grad Zagreb je smješten na krajnjem jugu Srednje Europe, na prijelazu prema europskom Sredozemlju i udaljen je 170 km od Jadranskog mora. Zauzima krajnji jugozapadni dio Panonske nizine. Nalazi se na sjeveru Republike Hrvatske na obroncima gore Medvednice i u nizini uz rijeku Savu. Veći dio grada nalazi se na 112 metara nadmorske visine. Navedeni položaj gradu pruža uvjete vlažne umjerene</w:t>
      </w:r>
      <w:r w:rsidRPr="00FF1E38">
        <w:rPr>
          <w:rFonts w:ascii="Times New Roman" w:hAnsi="Times New Roman" w:cs="Times New Roman"/>
          <w:b/>
          <w:sz w:val="24"/>
        </w:rPr>
        <w:t xml:space="preserve"> </w:t>
      </w:r>
      <w:r w:rsidRPr="00FF1E38">
        <w:rPr>
          <w:rFonts w:ascii="Times New Roman" w:hAnsi="Times New Roman" w:cs="Times New Roman"/>
          <w:sz w:val="24"/>
        </w:rPr>
        <w:t>kontinentalne klime. Ekstremno visoke temperature su rizik za stanovništvo Grada Zagreba u ljetnom djelu godine kad su najizrazitije. Grad Zagreb se prostire na površini od 641,24 km</w:t>
      </w:r>
      <w:r w:rsidRPr="00FF1E38">
        <w:rPr>
          <w:rFonts w:ascii="Times New Roman" w:hAnsi="Times New Roman" w:cs="Times New Roman"/>
          <w:sz w:val="24"/>
          <w:vertAlign w:val="superscript"/>
        </w:rPr>
        <w:t>2</w:t>
      </w:r>
      <w:r w:rsidRPr="00FF1E38">
        <w:rPr>
          <w:rFonts w:ascii="Times New Roman" w:hAnsi="Times New Roman" w:cs="Times New Roman"/>
          <w:sz w:val="24"/>
        </w:rPr>
        <w:t xml:space="preserve"> s populacijom od 769 944 ljudi.</w:t>
      </w:r>
    </w:p>
    <w:p w14:paraId="3463CD34"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Godišnje na području Hrvatske ima 3,5 % umjerenih, 2,5 % jakih i 1,5 % ekstremnih toplinskih valova, odnosno oko 13 umjerenih, 9 jakih i 5-6 ekstremnih. S obzirom na to da se takvi događaji ne javljaju tijekom cijele godine već uglavnom u 4 mjeseca (120 dana) od 15. svibnja do 15. rujna onda bi to značilo da se u tom razdoblju umjereni toplinski valovi u prosjeku mogu očekivati jednom u cca 9 dana, jaki jednom u 13 dana i ekstremni jednom u 22 dana.</w:t>
      </w:r>
    </w:p>
    <w:p w14:paraId="73C404DA"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Pojava toplinskog vala utječe na zdravlje najugroženijih - ranjivih skupina izloženog stanovništva, a to su mala djeca i starije dobne skupine, bolesnici sa smanjenim imunološkim odgovorom (radi lijekova, akutnih ili kroničnih bolesti) te osobe s invaliditetom koje su nepokretne. Najugroženijoj skupini bolesnika zbog vjerojatne potrebe za stručnom medicinskom pomoći ili hospitalizacijom pripadaju osobe s već postojećim kroničnim bolestima (hipertoničari, šećeraši, bubrežni bolesnici, oboljeli od mentalnih bolesti, posebno od depresije). Također, u posebno osjetljivu skupinu pripadaju i pretile osobe radi otežanog hlađenja znojenjem i isparavanjem. U Gradu Zagrebu udio osoba s prekomjernom tjelesnom težinom je 19,25 % (ITM≥30kg/m</w:t>
      </w:r>
      <w:r w:rsidRPr="00FF1E38">
        <w:rPr>
          <w:rFonts w:ascii="Times New Roman" w:hAnsi="Times New Roman" w:cs="Times New Roman"/>
          <w:sz w:val="24"/>
          <w:vertAlign w:val="superscript"/>
        </w:rPr>
        <w:t>2</w:t>
      </w:r>
      <w:r w:rsidRPr="00FF1E38">
        <w:rPr>
          <w:rFonts w:ascii="Times New Roman" w:hAnsi="Times New Roman" w:cs="Times New Roman"/>
          <w:sz w:val="24"/>
        </w:rPr>
        <w:t>).</w:t>
      </w:r>
    </w:p>
    <w:p w14:paraId="41FB0B8B"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U Gradu Zagrebu se izdvaja skupina posebno ugroženih 23.878 osoba u djelatnosti građevinarstva koji su izravno izloženi toplinskom valu zbog rada na otvorenome. Najviše </w:t>
      </w:r>
      <w:r w:rsidRPr="00FF1E38">
        <w:rPr>
          <w:rFonts w:ascii="Times New Roman" w:hAnsi="Times New Roman" w:cs="Times New Roman"/>
          <w:sz w:val="24"/>
        </w:rPr>
        <w:lastRenderedPageBreak/>
        <w:t>prekomjernih smrtnih slučajeva uzrokovanih visokim temperaturama zraka u Zagrebu je zabilježeno tijekom 2005. kada je bilo manje od 10 dana u kojima je temperatura zraka premašila granične vrijednosti.</w:t>
      </w:r>
    </w:p>
    <w:p w14:paraId="56F6A026"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Gradu Zagrebu nalazi se 19,9 % djece i mladeži od 0 do 19 godina; 68 % radno sposobnog stanovništva (od 15 do 64 godina); te 47 % osoba treće životne dobi (starost 60 i više godina). Osoba s invaliditetom je 90.853 što je 11,66 % gradskog stanovništva. Broj aktivnog stanovništva u Zagrebu je 356.186 stanovnika, što je udio od 45,7 % u ukupnom stanovništvu. Ekonomski neaktivnog stanovništva je 54,3 % odnosno 422.959 stanovnika, a postotak uzdržavanog stanovništva iznosi 26,8 %. Ističe se povećanje broja umirovljenika.</w:t>
      </w:r>
    </w:p>
    <w:p w14:paraId="4E6AA4A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Kratkotrajna aklimatizacija od toplinskog vala obično traje 3-12 dana, ali potpuna aklimatizacija osoba nenaviknutih na intenzivni toplinski okoliš može potrajati nekoliko godina (Babayev 1986., Frisancho 1991.). Duljina boravka u bolnici može se računati po danu hospitalizacije prema međunarodnoj DTS šifri dijagnoze T62A - vrućica nepoznatog uzroka s KK koja iznosi 5.700,00 kn, a s umanjenim koeficijentom 0,3800 iznosi 2.850,00 kn. U Hrvatskoj je broj umrlih osoba u 2014. iznosio 51.710 od toga je u Gradu Zagrebu registrirano 8.359 smrti, a broj hospitaliziranih iznosi 1.049.752 osobe. Ukupni trošak bolovanja ako pomnožimo broj dana liječenih hospitaliziranih s iznosom 2.850,00 kn je 19.524.751.500,00 kn.</w:t>
      </w:r>
    </w:p>
    <w:p w14:paraId="6C3C56A3"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Prema Državnom statističkom zavodu i popisu stanovništva iz 2011. bruto domaći proizvod (BDP) prema Nacionalnoj klasifikaciji prostornih jedinica za statistiku 2012. (NKPJS 2012.) - 2. razina u Republici Hrvatskoj je 328.737 milijuna kuna. Po stanovniku BDP za 2012. je iznosio 76.755 kuna (10.325 eura). Ako se uzme (Hutton 2012) da je vrijednost izgubljenog produktivnog vremena 30 % od BDP kao trošak bolovanja to je 98.621,1 milijuna kuna odnosno 23.026,5 kuna po glavi stanovnika. U Gradu Zagrebu živi 779.145 građana od čega je radno aktivno 356.186 osoba. Umirovljenih građana je 207.985 koji su potencijalno kronični bolesnici s potrebom stručne medicinske zaštite i pomoći u doba ekstremno visokih temperatura.</w:t>
      </w:r>
    </w:p>
    <w:p w14:paraId="61D4AA97"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Godina 2012. bila je s iznadprosječno toplom ljetnom sezonom u Zagrebu, stoga se daje kao primjer utjecaja iznadprosječno toplog ljeta na pobol ljudi koji su se javili u hitnu medicinsku službu i zatražili medicinsku pomoć za područje Grada Zagreba. Epidemiološke analize prijema iz hitnih medicinskih službi u Zagrebu 2012. pokazale su da je tijekom tjedna toplinskog vala broj prijema porastao na 10.000 prijema prema 6.000 prijema tijekom tjedana bez toplinskog ekstrema što je razlika od 4.000 prijema više osoba koje su zatražile hitnu medicinsku pomoć tijekom toplinskog vala. Prema skupinama dijagnoza po organskim sustavima vidljiv je porast svih pobola nakon naglog povišenja temperatura zraka. Najveći broj smrti događa se u prva dva dana nakon pojave visoke temperature i kada razdoblje "opasnih razina" temperatura potraje dulje vrijeme. Analize praćenja smrtnosti u Hrvatskom zavodu za javno zdravstvo pokazale su da je u 2012. u Zagrebu tijekom tjedna (krajem srpnja i početkom kolovoza) u kojem je toplinski val zadesio grad, višak smrtnih ishoda bio 5 % u odnosu na tjedne bez toplinskog ekstrema. Taj se podatak podudara s procjenom iz Državnog hidrometeorološkog zavoda o umjerenoj opasnosti tj. kad je smrtnost 5 % viša od prosječne.</w:t>
      </w:r>
    </w:p>
    <w:p w14:paraId="36A15AF7" w14:textId="0CD53193" w:rsidR="00FF1E38" w:rsidRPr="00F93276" w:rsidRDefault="00FF1E38" w:rsidP="00FF1E38">
      <w:pPr>
        <w:spacing w:after="0" w:line="240" w:lineRule="auto"/>
        <w:ind w:left="0" w:right="0" w:firstLine="709"/>
        <w:rPr>
          <w:rFonts w:ascii="Times New Roman" w:hAnsi="Times New Roman" w:cs="Times New Roman"/>
          <w:color w:val="auto"/>
          <w:sz w:val="24"/>
        </w:rPr>
      </w:pPr>
      <w:r w:rsidRPr="00FF1E38">
        <w:rPr>
          <w:rFonts w:ascii="Times New Roman" w:hAnsi="Times New Roman" w:cs="Times New Roman"/>
          <w:sz w:val="24"/>
        </w:rPr>
        <w:t xml:space="preserve">Naglo povišenje temperature zraka na ekstremno visoke razine pogađa sve organske sustave s posljedicom pogoršanja simptoma postojećih kroničnih bolesti ili razvojem novih simptoma, posebno srčano-krvožilnih. Povećanje broja slučajeva u izravnoj je vezi s porastom temperature zraka. Više je prijavljenih slučajeva dobne skupine 7 - 19 godina i među starijim stanovnicima 65+ godina. U više slučajeva žene traže medicinsku pomoć u odnosu na muškarce za vrijeme toplinskih valova. Učestalost toplinskih valova povezanih s povećanom smrtnosti pod utjecajem je odstupanja smrtnosti ovisno o maksimalnoj temperaturi zraka i kumulativnog odstupanja smrtnosti od prosjeka u danima nakon jakog i ekstremnog toplinskog stresa u </w:t>
      </w:r>
      <w:r w:rsidRPr="00F93276">
        <w:rPr>
          <w:rFonts w:ascii="Times New Roman" w:hAnsi="Times New Roman" w:cs="Times New Roman"/>
          <w:color w:val="auto"/>
          <w:sz w:val="24"/>
        </w:rPr>
        <w:t xml:space="preserve">Zagrebu. Ovi podatci praćeni su tijekom razdoblja 1983. - 2008. (Grafikon </w:t>
      </w:r>
      <w:r w:rsidR="00F93276" w:rsidRPr="00F93276">
        <w:rPr>
          <w:rFonts w:ascii="Times New Roman" w:hAnsi="Times New Roman" w:cs="Times New Roman"/>
          <w:color w:val="auto"/>
          <w:sz w:val="24"/>
        </w:rPr>
        <w:t>7.</w:t>
      </w:r>
      <w:r w:rsidRPr="00F93276">
        <w:rPr>
          <w:rFonts w:ascii="Times New Roman" w:hAnsi="Times New Roman" w:cs="Times New Roman"/>
          <w:color w:val="auto"/>
          <w:sz w:val="24"/>
        </w:rPr>
        <w:t>).</w:t>
      </w:r>
    </w:p>
    <w:p w14:paraId="672B9616"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lastRenderedPageBreak/>
        <w:t xml:space="preserve">Kao osnovni kriterij za pojavu opasnosti od toplinskog vala je </w:t>
      </w:r>
      <w:r w:rsidRPr="00FF1E38">
        <w:rPr>
          <w:rFonts w:ascii="Times New Roman" w:hAnsi="Times New Roman" w:cs="Times New Roman"/>
          <w:i/>
          <w:sz w:val="24"/>
        </w:rPr>
        <w:t>heat cut point</w:t>
      </w:r>
      <w:r w:rsidRPr="00FF1E38">
        <w:rPr>
          <w:rFonts w:ascii="Times New Roman" w:hAnsi="Times New Roman" w:cs="Times New Roman"/>
          <w:sz w:val="24"/>
        </w:rPr>
        <w:t xml:space="preserve"> kritična temperatura koja je određena za sve mjerne postaje prema raspoloživim podacima. Porast temperature za porast smrtnosti određen je pomoću regresije između temperature i smrtnosti. Dobivenim rezultatima pridruženi su percentili te je usporedbom dobivenih kritičnih vrijednosti i izmjerenih maksimuma odlučeno da se kritične vrijednosti odrede za 96,5, 97,5 i 98,5 %. Stupnjevi rizika od toplinskih valova za maksimalnu i minimalnu temperaturu zraka te za biometeorološki indeks izračunavaju se za fiziološku ekvivalentnu temperaturu. Kritična temperatura (eng. </w:t>
      </w:r>
      <w:r w:rsidRPr="00FF1E38">
        <w:rPr>
          <w:rFonts w:ascii="Times New Roman" w:hAnsi="Times New Roman" w:cs="Times New Roman"/>
          <w:i/>
          <w:sz w:val="24"/>
        </w:rPr>
        <w:t>heat cut point</w:t>
      </w:r>
      <w:r w:rsidRPr="00FF1E38">
        <w:rPr>
          <w:rFonts w:ascii="Times New Roman" w:hAnsi="Times New Roman" w:cs="Times New Roman"/>
          <w:sz w:val="24"/>
        </w:rPr>
        <w:t>) je temperatura iznad koje se pojavljuje povećana smrtnost, umjerena opasnost - smrtnost 5 % viša od prosječne, velika opasnost - smrtnost 7,5 % viša od prosječne i vrlo velika (ekstremna) opasnost - smrtnost 10 % viša od prosječne.</w:t>
      </w:r>
    </w:p>
    <w:p w14:paraId="0E29BA77"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Svaka zemlja utvrđuje parametre koji definiraju pojavu toplinskih valova. Državni hidrometeorološki zavod (u daljnjem tekstu: DHMZ) prati klimatologiju toplinskih valova, učestalost njihovog pojavljivanja, intenzitet i trajanje te je odredio kriterije termičkog opterećenja pri kojima se pojavljuje povećani rizik po zdravlje ljudi u različitim klimatskim područjima Hrvatske. </w:t>
      </w:r>
    </w:p>
    <w:p w14:paraId="71E30CFE"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Prema „</w:t>
      </w:r>
      <w:r w:rsidRPr="00FF1E38">
        <w:rPr>
          <w:rFonts w:ascii="Times New Roman" w:hAnsi="Times New Roman" w:cs="Times New Roman"/>
          <w:i/>
          <w:sz w:val="24"/>
        </w:rPr>
        <w:t>Protokolu o postupanju i preporuke za zaštitu od vrućine</w:t>
      </w:r>
      <w:r w:rsidRPr="00FF1E38">
        <w:rPr>
          <w:rFonts w:ascii="Times New Roman" w:hAnsi="Times New Roman" w:cs="Times New Roman"/>
          <w:sz w:val="24"/>
        </w:rPr>
        <w:t xml:space="preserve">“ na području Republike Hrvatske u razdoblju od 15. svibnja do 15. rujna se prema hitnim medicinskim intervencijama prati pobol i smrtnost stanovništva prema riziku pojave toplinskog vala. Veza između zdravstvenih posljedica po stanovništvo i izloženosti toplinskom stresu pokazuje povećan pobol i smrtnost u praćenom periodu. DHMZ, u navedenom razdoblju, kontinuirano prati temperature i u slučaju kada postoji 70% vjerojatnosti za prijelaz praga temperature, izvještava Ministarstvo zdravstva i Hrvatski zavod za javno zdravstvo (u daljnjem tekstu: HZJZ) o nastupanju toplinskog vala tj. da je dosegnut prag visokih temperatura u jednoj ili više regija. Kriteriji za izdavanje najava i upozorenja na opasnost od toplinskih valova koji mogu djelovati na zdravlje prikazuju se po klimatskim regijama temperaturama zraka za različite stupnjeve rizika, odnosno opasnosti od toplinskih valova za maksimalnu i minimalnu temperaturu zraka: </w:t>
      </w:r>
    </w:p>
    <w:p w14:paraId="2E765B18" w14:textId="77777777" w:rsidR="00FF1E38" w:rsidRPr="00FF1E38" w:rsidRDefault="00FF1E38" w:rsidP="00FF1E38">
      <w:pPr>
        <w:spacing w:after="0" w:line="240" w:lineRule="auto"/>
        <w:ind w:left="0" w:right="0" w:firstLine="709"/>
        <w:rPr>
          <w:rFonts w:ascii="Times New Roman" w:hAnsi="Times New Roman" w:cs="Times New Roman"/>
          <w:strike/>
          <w:sz w:val="24"/>
        </w:rPr>
      </w:pPr>
    </w:p>
    <w:p w14:paraId="0D917413" w14:textId="113AB08D" w:rsidR="00FF1E38" w:rsidRPr="00B630DC" w:rsidRDefault="00FF1E38" w:rsidP="00FF1E38">
      <w:pPr>
        <w:spacing w:after="160" w:line="259" w:lineRule="auto"/>
        <w:ind w:left="0" w:right="0" w:firstLine="0"/>
        <w:jc w:val="center"/>
        <w:rPr>
          <w:rFonts w:ascii="Times New Roman" w:hAnsi="Times New Roman" w:cs="Times New Roman"/>
          <w:b/>
          <w:color w:val="auto"/>
          <w:sz w:val="24"/>
        </w:rPr>
      </w:pPr>
      <w:r w:rsidRPr="00B630DC">
        <w:rPr>
          <w:rFonts w:ascii="Times New Roman" w:hAnsi="Times New Roman" w:cs="Times New Roman"/>
          <w:b/>
          <w:color w:val="auto"/>
          <w:sz w:val="24"/>
        </w:rPr>
        <w:t xml:space="preserve">Tablica </w:t>
      </w:r>
      <w:r w:rsidR="00B630DC" w:rsidRPr="00B630DC">
        <w:rPr>
          <w:rFonts w:ascii="Times New Roman" w:hAnsi="Times New Roman" w:cs="Times New Roman"/>
          <w:b/>
          <w:color w:val="auto"/>
          <w:sz w:val="24"/>
        </w:rPr>
        <w:t>84</w:t>
      </w:r>
      <w:r w:rsidRPr="00B630DC">
        <w:rPr>
          <w:rFonts w:ascii="Times New Roman" w:hAnsi="Times New Roman" w:cs="Times New Roman"/>
          <w:b/>
          <w:color w:val="auto"/>
          <w:sz w:val="24"/>
        </w:rPr>
        <w:t>. Temperature pri kojima nastupa toplinski val - kriteriji za Grad Zagreb</w:t>
      </w:r>
    </w:p>
    <w:tbl>
      <w:tblPr>
        <w:tblW w:w="8816" w:type="dxa"/>
        <w:tblInd w:w="612" w:type="dxa"/>
        <w:tblLook w:val="04A0" w:firstRow="1" w:lastRow="0" w:firstColumn="1" w:lastColumn="0" w:noHBand="0" w:noVBand="1"/>
      </w:tblPr>
      <w:tblGrid>
        <w:gridCol w:w="4211"/>
        <w:gridCol w:w="4605"/>
      </w:tblGrid>
      <w:tr w:rsidR="00FF1E38" w:rsidRPr="00FF1E38" w14:paraId="3969401E" w14:textId="77777777" w:rsidTr="00DE0C9A">
        <w:trPr>
          <w:trHeight w:val="2464"/>
        </w:trPr>
        <w:tc>
          <w:tcPr>
            <w:tcW w:w="4211" w:type="dxa"/>
            <w:tcBorders>
              <w:top w:val="nil"/>
              <w:left w:val="nil"/>
              <w:bottom w:val="nil"/>
              <w:right w:val="nil"/>
            </w:tcBorders>
          </w:tcPr>
          <w:tbl>
            <w:tblPr>
              <w:tblW w:w="3981" w:type="dxa"/>
              <w:tblInd w:w="1" w:type="dxa"/>
              <w:tblCellMar>
                <w:top w:w="35" w:type="dxa"/>
                <w:right w:w="73" w:type="dxa"/>
              </w:tblCellMar>
              <w:tblLook w:val="04A0" w:firstRow="1" w:lastRow="0" w:firstColumn="1" w:lastColumn="0" w:noHBand="0" w:noVBand="1"/>
            </w:tblPr>
            <w:tblGrid>
              <w:gridCol w:w="1401"/>
              <w:gridCol w:w="859"/>
              <w:gridCol w:w="861"/>
              <w:gridCol w:w="860"/>
            </w:tblGrid>
            <w:tr w:rsidR="00FF1E38" w:rsidRPr="00FF1E38" w14:paraId="77882F06" w14:textId="77777777" w:rsidTr="00DE0C9A">
              <w:trPr>
                <w:trHeight w:val="137"/>
              </w:trPr>
              <w:tc>
                <w:tcPr>
                  <w:tcW w:w="1401" w:type="dxa"/>
                  <w:tcBorders>
                    <w:top w:val="single" w:sz="4" w:space="0" w:color="000000"/>
                    <w:left w:val="single" w:sz="4" w:space="0" w:color="000000"/>
                    <w:bottom w:val="single" w:sz="4" w:space="0" w:color="000000"/>
                    <w:right w:val="single" w:sz="4" w:space="0" w:color="000000"/>
                  </w:tcBorders>
                </w:tcPr>
                <w:p w14:paraId="54E864D5"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r w:rsidRPr="00FF1E38">
                    <w:rPr>
                      <w:rFonts w:ascii="Times New Roman" w:hAnsi="Times New Roman" w:cs="Times New Roman"/>
                      <w:b/>
                      <w:sz w:val="24"/>
                    </w:rPr>
                    <w:t xml:space="preserve"> </w:t>
                  </w:r>
                </w:p>
              </w:tc>
              <w:tc>
                <w:tcPr>
                  <w:tcW w:w="2580" w:type="dxa"/>
                  <w:gridSpan w:val="3"/>
                  <w:tcBorders>
                    <w:top w:val="single" w:sz="4" w:space="0" w:color="000000"/>
                    <w:left w:val="single" w:sz="4" w:space="0" w:color="000000"/>
                    <w:bottom w:val="single" w:sz="4" w:space="0" w:color="000000"/>
                    <w:right w:val="single" w:sz="4" w:space="0" w:color="000000"/>
                  </w:tcBorders>
                </w:tcPr>
                <w:p w14:paraId="727116E4"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r w:rsidRPr="00FF1E38">
                    <w:rPr>
                      <w:rFonts w:ascii="Times New Roman" w:hAnsi="Times New Roman" w:cs="Times New Roman"/>
                      <w:b/>
                      <w:sz w:val="24"/>
                    </w:rPr>
                    <w:t xml:space="preserve">Maksimalna temperatura </w:t>
                  </w:r>
                </w:p>
              </w:tc>
            </w:tr>
            <w:tr w:rsidR="00FF1E38" w:rsidRPr="00FF1E38" w14:paraId="19E3A13E" w14:textId="77777777" w:rsidTr="00DE0C9A">
              <w:trPr>
                <w:trHeight w:val="136"/>
              </w:trPr>
              <w:tc>
                <w:tcPr>
                  <w:tcW w:w="1401" w:type="dxa"/>
                  <w:tcBorders>
                    <w:top w:val="single" w:sz="4" w:space="0" w:color="000000"/>
                    <w:left w:val="single" w:sz="4" w:space="0" w:color="000000"/>
                    <w:bottom w:val="single" w:sz="4" w:space="0" w:color="000000"/>
                    <w:right w:val="single" w:sz="4" w:space="0" w:color="000000"/>
                  </w:tcBorders>
                </w:tcPr>
                <w:p w14:paraId="3E80DF4F"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r w:rsidRPr="00FF1E38">
                    <w:rPr>
                      <w:rFonts w:ascii="Times New Roman" w:hAnsi="Times New Roman" w:cs="Times New Roman"/>
                      <w:b/>
                      <w:sz w:val="24"/>
                    </w:rPr>
                    <w:t xml:space="preserve">Zagreb </w:t>
                  </w:r>
                </w:p>
              </w:tc>
              <w:tc>
                <w:tcPr>
                  <w:tcW w:w="859" w:type="dxa"/>
                  <w:tcBorders>
                    <w:top w:val="single" w:sz="4" w:space="0" w:color="000000"/>
                    <w:left w:val="single" w:sz="4" w:space="0" w:color="000000"/>
                    <w:bottom w:val="single" w:sz="4" w:space="0" w:color="000000"/>
                    <w:right w:val="single" w:sz="4" w:space="0" w:color="000000"/>
                  </w:tcBorders>
                  <w:shd w:val="clear" w:color="auto" w:fill="FFFF00"/>
                </w:tcPr>
                <w:p w14:paraId="7103A35A"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r w:rsidRPr="00FF1E38">
                    <w:rPr>
                      <w:rFonts w:ascii="Times New Roman" w:hAnsi="Times New Roman" w:cs="Times New Roman"/>
                      <w:b/>
                      <w:sz w:val="24"/>
                    </w:rPr>
                    <w:t xml:space="preserve">33.7 </w:t>
                  </w:r>
                </w:p>
              </w:tc>
              <w:tc>
                <w:tcPr>
                  <w:tcW w:w="861" w:type="dxa"/>
                  <w:tcBorders>
                    <w:top w:val="single" w:sz="4" w:space="0" w:color="000000"/>
                    <w:left w:val="single" w:sz="4" w:space="0" w:color="000000"/>
                    <w:bottom w:val="single" w:sz="4" w:space="0" w:color="000000"/>
                    <w:right w:val="single" w:sz="4" w:space="0" w:color="000000"/>
                  </w:tcBorders>
                  <w:shd w:val="clear" w:color="auto" w:fill="FFC000"/>
                </w:tcPr>
                <w:p w14:paraId="339EA2BD"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r w:rsidRPr="00FF1E38">
                    <w:rPr>
                      <w:rFonts w:ascii="Times New Roman" w:hAnsi="Times New Roman" w:cs="Times New Roman"/>
                      <w:b/>
                      <w:sz w:val="24"/>
                    </w:rPr>
                    <w:t xml:space="preserve">35.1 </w:t>
                  </w:r>
                </w:p>
              </w:tc>
              <w:tc>
                <w:tcPr>
                  <w:tcW w:w="860" w:type="dxa"/>
                  <w:tcBorders>
                    <w:top w:val="single" w:sz="4" w:space="0" w:color="000000"/>
                    <w:left w:val="single" w:sz="4" w:space="0" w:color="000000"/>
                    <w:bottom w:val="single" w:sz="4" w:space="0" w:color="000000"/>
                    <w:right w:val="single" w:sz="4" w:space="0" w:color="000000"/>
                  </w:tcBorders>
                  <w:shd w:val="clear" w:color="auto" w:fill="FF0000"/>
                </w:tcPr>
                <w:p w14:paraId="67D60DFD"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r w:rsidRPr="00FF1E38">
                    <w:rPr>
                      <w:rFonts w:ascii="Times New Roman" w:hAnsi="Times New Roman" w:cs="Times New Roman"/>
                      <w:b/>
                      <w:sz w:val="24"/>
                    </w:rPr>
                    <w:t xml:space="preserve">37.1 </w:t>
                  </w:r>
                </w:p>
              </w:tc>
            </w:tr>
            <w:tr w:rsidR="00FF1E38" w:rsidRPr="00FF1E38" w14:paraId="29813E19" w14:textId="77777777" w:rsidTr="00DE0C9A">
              <w:trPr>
                <w:trHeight w:val="138"/>
              </w:trPr>
              <w:tc>
                <w:tcPr>
                  <w:tcW w:w="1401" w:type="dxa"/>
                  <w:tcBorders>
                    <w:top w:val="single" w:sz="4" w:space="0" w:color="000000"/>
                    <w:left w:val="single" w:sz="4" w:space="0" w:color="000000"/>
                    <w:bottom w:val="single" w:sz="4" w:space="0" w:color="000000"/>
                    <w:right w:val="single" w:sz="4" w:space="0" w:color="000000"/>
                  </w:tcBorders>
                </w:tcPr>
                <w:p w14:paraId="4CAD8471"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r w:rsidRPr="00FF1E38">
                    <w:rPr>
                      <w:rFonts w:ascii="Times New Roman" w:hAnsi="Times New Roman" w:cs="Times New Roman"/>
                      <w:b/>
                      <w:sz w:val="24"/>
                    </w:rPr>
                    <w:t xml:space="preserve"> </w:t>
                  </w:r>
                </w:p>
              </w:tc>
              <w:tc>
                <w:tcPr>
                  <w:tcW w:w="2580" w:type="dxa"/>
                  <w:gridSpan w:val="3"/>
                  <w:tcBorders>
                    <w:top w:val="single" w:sz="4" w:space="0" w:color="000000"/>
                    <w:left w:val="single" w:sz="4" w:space="0" w:color="000000"/>
                    <w:bottom w:val="single" w:sz="4" w:space="0" w:color="000000"/>
                    <w:right w:val="single" w:sz="4" w:space="0" w:color="000000"/>
                  </w:tcBorders>
                </w:tcPr>
                <w:p w14:paraId="37BEB061"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r w:rsidRPr="00FF1E38">
                    <w:rPr>
                      <w:rFonts w:ascii="Times New Roman" w:hAnsi="Times New Roman" w:cs="Times New Roman"/>
                      <w:b/>
                      <w:sz w:val="24"/>
                    </w:rPr>
                    <w:t xml:space="preserve">Minimalna temperatura </w:t>
                  </w:r>
                </w:p>
              </w:tc>
            </w:tr>
            <w:tr w:rsidR="00FF1E38" w:rsidRPr="00FF1E38" w14:paraId="1ED760CB" w14:textId="77777777" w:rsidTr="00DE0C9A">
              <w:trPr>
                <w:trHeight w:val="136"/>
              </w:trPr>
              <w:tc>
                <w:tcPr>
                  <w:tcW w:w="1401" w:type="dxa"/>
                  <w:tcBorders>
                    <w:top w:val="single" w:sz="4" w:space="0" w:color="000000"/>
                    <w:left w:val="single" w:sz="4" w:space="0" w:color="000000"/>
                    <w:bottom w:val="single" w:sz="4" w:space="0" w:color="000000"/>
                    <w:right w:val="single" w:sz="4" w:space="0" w:color="000000"/>
                  </w:tcBorders>
                </w:tcPr>
                <w:p w14:paraId="5E381C26"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r w:rsidRPr="00FF1E38">
                    <w:rPr>
                      <w:rFonts w:ascii="Times New Roman" w:hAnsi="Times New Roman" w:cs="Times New Roman"/>
                      <w:b/>
                      <w:sz w:val="24"/>
                    </w:rPr>
                    <w:t xml:space="preserve">Zagreb </w:t>
                  </w:r>
                </w:p>
              </w:tc>
              <w:tc>
                <w:tcPr>
                  <w:tcW w:w="859" w:type="dxa"/>
                  <w:tcBorders>
                    <w:top w:val="single" w:sz="4" w:space="0" w:color="000000"/>
                    <w:left w:val="single" w:sz="4" w:space="0" w:color="000000"/>
                    <w:bottom w:val="single" w:sz="4" w:space="0" w:color="000000"/>
                    <w:right w:val="single" w:sz="4" w:space="0" w:color="000000"/>
                  </w:tcBorders>
                  <w:shd w:val="clear" w:color="auto" w:fill="FFFF00"/>
                </w:tcPr>
                <w:p w14:paraId="299CBA31"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r w:rsidRPr="00FF1E38">
                    <w:rPr>
                      <w:rFonts w:ascii="Times New Roman" w:hAnsi="Times New Roman" w:cs="Times New Roman"/>
                      <w:b/>
                      <w:sz w:val="24"/>
                    </w:rPr>
                    <w:t xml:space="preserve">20.2 </w:t>
                  </w:r>
                </w:p>
              </w:tc>
              <w:tc>
                <w:tcPr>
                  <w:tcW w:w="861" w:type="dxa"/>
                  <w:tcBorders>
                    <w:top w:val="single" w:sz="4" w:space="0" w:color="000000"/>
                    <w:left w:val="single" w:sz="4" w:space="0" w:color="000000"/>
                    <w:bottom w:val="single" w:sz="4" w:space="0" w:color="000000"/>
                    <w:right w:val="single" w:sz="4" w:space="0" w:color="000000"/>
                  </w:tcBorders>
                  <w:shd w:val="clear" w:color="auto" w:fill="FFC000"/>
                </w:tcPr>
                <w:p w14:paraId="7C9FC236"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r w:rsidRPr="00FF1E38">
                    <w:rPr>
                      <w:rFonts w:ascii="Times New Roman" w:hAnsi="Times New Roman" w:cs="Times New Roman"/>
                      <w:b/>
                      <w:sz w:val="24"/>
                    </w:rPr>
                    <w:t xml:space="preserve">21.3 </w:t>
                  </w:r>
                </w:p>
              </w:tc>
              <w:tc>
                <w:tcPr>
                  <w:tcW w:w="860" w:type="dxa"/>
                  <w:tcBorders>
                    <w:top w:val="single" w:sz="4" w:space="0" w:color="000000"/>
                    <w:left w:val="single" w:sz="4" w:space="0" w:color="000000"/>
                    <w:bottom w:val="single" w:sz="4" w:space="0" w:color="000000"/>
                    <w:right w:val="single" w:sz="4" w:space="0" w:color="000000"/>
                  </w:tcBorders>
                  <w:shd w:val="clear" w:color="auto" w:fill="FF0000"/>
                </w:tcPr>
                <w:p w14:paraId="17EA9EB6"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r w:rsidRPr="00FF1E38">
                    <w:rPr>
                      <w:rFonts w:ascii="Times New Roman" w:hAnsi="Times New Roman" w:cs="Times New Roman"/>
                      <w:b/>
                      <w:sz w:val="24"/>
                    </w:rPr>
                    <w:t xml:space="preserve">22.9 </w:t>
                  </w:r>
                </w:p>
              </w:tc>
            </w:tr>
          </w:tbl>
          <w:p w14:paraId="47A919D2"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p>
        </w:tc>
        <w:tc>
          <w:tcPr>
            <w:tcW w:w="4605" w:type="dxa"/>
            <w:tcBorders>
              <w:top w:val="nil"/>
              <w:left w:val="nil"/>
              <w:bottom w:val="nil"/>
              <w:right w:val="nil"/>
            </w:tcBorders>
          </w:tcPr>
          <w:tbl>
            <w:tblPr>
              <w:tblW w:w="3615" w:type="dxa"/>
              <w:tblInd w:w="218" w:type="dxa"/>
              <w:tblCellMar>
                <w:top w:w="34" w:type="dxa"/>
                <w:left w:w="107" w:type="dxa"/>
                <w:right w:w="115" w:type="dxa"/>
              </w:tblCellMar>
              <w:tblLook w:val="04A0" w:firstRow="1" w:lastRow="0" w:firstColumn="1" w:lastColumn="0" w:noHBand="0" w:noVBand="1"/>
            </w:tblPr>
            <w:tblGrid>
              <w:gridCol w:w="495"/>
              <w:gridCol w:w="3120"/>
            </w:tblGrid>
            <w:tr w:rsidR="00FF1E38" w:rsidRPr="00FF1E38" w14:paraId="2CA7433A" w14:textId="77777777" w:rsidTr="00DE0C9A">
              <w:trPr>
                <w:trHeight w:val="144"/>
              </w:trPr>
              <w:tc>
                <w:tcPr>
                  <w:tcW w:w="495" w:type="dxa"/>
                  <w:tcBorders>
                    <w:top w:val="single" w:sz="4" w:space="0" w:color="000000"/>
                    <w:left w:val="single" w:sz="4" w:space="0" w:color="000000"/>
                    <w:bottom w:val="single" w:sz="4" w:space="0" w:color="000000"/>
                    <w:right w:val="single" w:sz="4" w:space="0" w:color="000000"/>
                  </w:tcBorders>
                  <w:shd w:val="clear" w:color="auto" w:fill="FFFF00"/>
                </w:tcPr>
                <w:p w14:paraId="521DDCD0"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r w:rsidRPr="00FF1E38">
                    <w:rPr>
                      <w:rFonts w:ascii="Times New Roman" w:hAnsi="Times New Roman" w:cs="Times New Roman"/>
                      <w:b/>
                      <w:sz w:val="24"/>
                    </w:rPr>
                    <w:t xml:space="preserve"> </w:t>
                  </w:r>
                </w:p>
              </w:tc>
              <w:tc>
                <w:tcPr>
                  <w:tcW w:w="3120" w:type="dxa"/>
                  <w:tcBorders>
                    <w:top w:val="single" w:sz="4" w:space="0" w:color="000000"/>
                    <w:left w:val="single" w:sz="4" w:space="0" w:color="000000"/>
                    <w:bottom w:val="single" w:sz="4" w:space="0" w:color="000000"/>
                    <w:right w:val="single" w:sz="4" w:space="0" w:color="000000"/>
                  </w:tcBorders>
                </w:tcPr>
                <w:p w14:paraId="5EACF7B2"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r w:rsidRPr="00FF1E38">
                    <w:rPr>
                      <w:rFonts w:ascii="Times New Roman" w:hAnsi="Times New Roman" w:cs="Times New Roman"/>
                      <w:b/>
                      <w:sz w:val="24"/>
                    </w:rPr>
                    <w:t xml:space="preserve">Umjerena opasnost (rizik) </w:t>
                  </w:r>
                </w:p>
              </w:tc>
            </w:tr>
            <w:tr w:rsidR="00FF1E38" w:rsidRPr="00FF1E38" w14:paraId="35CC7FC9" w14:textId="77777777" w:rsidTr="00DE0C9A">
              <w:trPr>
                <w:trHeight w:val="144"/>
              </w:trPr>
              <w:tc>
                <w:tcPr>
                  <w:tcW w:w="495" w:type="dxa"/>
                  <w:tcBorders>
                    <w:top w:val="single" w:sz="4" w:space="0" w:color="000000"/>
                    <w:left w:val="single" w:sz="4" w:space="0" w:color="000000"/>
                    <w:bottom w:val="single" w:sz="4" w:space="0" w:color="000000"/>
                    <w:right w:val="single" w:sz="4" w:space="0" w:color="000000"/>
                  </w:tcBorders>
                  <w:shd w:val="clear" w:color="auto" w:fill="FFC000"/>
                </w:tcPr>
                <w:p w14:paraId="27CAE090"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r w:rsidRPr="00FF1E38">
                    <w:rPr>
                      <w:rFonts w:ascii="Times New Roman" w:hAnsi="Times New Roman" w:cs="Times New Roman"/>
                      <w:b/>
                      <w:sz w:val="24"/>
                    </w:rPr>
                    <w:t xml:space="preserve"> </w:t>
                  </w:r>
                </w:p>
              </w:tc>
              <w:tc>
                <w:tcPr>
                  <w:tcW w:w="3120" w:type="dxa"/>
                  <w:tcBorders>
                    <w:top w:val="single" w:sz="4" w:space="0" w:color="000000"/>
                    <w:left w:val="single" w:sz="4" w:space="0" w:color="000000"/>
                    <w:bottom w:val="single" w:sz="4" w:space="0" w:color="000000"/>
                    <w:right w:val="single" w:sz="4" w:space="0" w:color="000000"/>
                  </w:tcBorders>
                </w:tcPr>
                <w:p w14:paraId="2D15BBA5"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r w:rsidRPr="00FF1E38">
                    <w:rPr>
                      <w:rFonts w:ascii="Times New Roman" w:hAnsi="Times New Roman" w:cs="Times New Roman"/>
                      <w:b/>
                      <w:sz w:val="24"/>
                    </w:rPr>
                    <w:t xml:space="preserve">Velika opasnost (rizik) </w:t>
                  </w:r>
                </w:p>
              </w:tc>
            </w:tr>
            <w:tr w:rsidR="00FF1E38" w:rsidRPr="00FF1E38" w14:paraId="50438165" w14:textId="77777777" w:rsidTr="00DE0C9A">
              <w:trPr>
                <w:trHeight w:val="144"/>
              </w:trPr>
              <w:tc>
                <w:tcPr>
                  <w:tcW w:w="495" w:type="dxa"/>
                  <w:tcBorders>
                    <w:top w:val="single" w:sz="4" w:space="0" w:color="000000"/>
                    <w:left w:val="single" w:sz="4" w:space="0" w:color="000000"/>
                    <w:bottom w:val="single" w:sz="4" w:space="0" w:color="000000"/>
                    <w:right w:val="single" w:sz="4" w:space="0" w:color="000000"/>
                  </w:tcBorders>
                  <w:shd w:val="clear" w:color="auto" w:fill="FF0000"/>
                </w:tcPr>
                <w:p w14:paraId="014F0981"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r w:rsidRPr="00FF1E38">
                    <w:rPr>
                      <w:rFonts w:ascii="Times New Roman" w:hAnsi="Times New Roman" w:cs="Times New Roman"/>
                      <w:b/>
                      <w:sz w:val="24"/>
                    </w:rPr>
                    <w:t xml:space="preserve"> </w:t>
                  </w:r>
                </w:p>
              </w:tc>
              <w:tc>
                <w:tcPr>
                  <w:tcW w:w="3120" w:type="dxa"/>
                  <w:tcBorders>
                    <w:top w:val="single" w:sz="4" w:space="0" w:color="000000"/>
                    <w:left w:val="single" w:sz="4" w:space="0" w:color="000000"/>
                    <w:bottom w:val="single" w:sz="4" w:space="0" w:color="000000"/>
                    <w:right w:val="single" w:sz="4" w:space="0" w:color="000000"/>
                  </w:tcBorders>
                </w:tcPr>
                <w:p w14:paraId="502C5847"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r w:rsidRPr="00FF1E38">
                    <w:rPr>
                      <w:rFonts w:ascii="Times New Roman" w:hAnsi="Times New Roman" w:cs="Times New Roman"/>
                      <w:b/>
                      <w:sz w:val="24"/>
                    </w:rPr>
                    <w:t xml:space="preserve">Vrlo velika opasnost (rizik) </w:t>
                  </w:r>
                </w:p>
              </w:tc>
            </w:tr>
          </w:tbl>
          <w:p w14:paraId="48C7F0AF"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p>
        </w:tc>
      </w:tr>
    </w:tbl>
    <w:p w14:paraId="15CD90DF" w14:textId="77777777" w:rsidR="00FF1E38" w:rsidRPr="00E87BEB" w:rsidRDefault="00FF1E38" w:rsidP="00FF1E38">
      <w:pPr>
        <w:spacing w:after="160" w:line="259" w:lineRule="auto"/>
        <w:ind w:left="0" w:right="0" w:firstLine="0"/>
        <w:jc w:val="center"/>
        <w:rPr>
          <w:rFonts w:ascii="Times New Roman" w:hAnsi="Times New Roman" w:cs="Times New Roman"/>
          <w:i/>
          <w:sz w:val="20"/>
          <w:szCs w:val="20"/>
        </w:rPr>
      </w:pPr>
      <w:r w:rsidRPr="00E87BEB">
        <w:rPr>
          <w:rFonts w:ascii="Times New Roman" w:hAnsi="Times New Roman" w:cs="Times New Roman"/>
          <w:i/>
          <w:sz w:val="20"/>
          <w:szCs w:val="20"/>
        </w:rPr>
        <w:t>Izvor: Procjena rizika od katastrofa za Republiku Hrvatsku</w:t>
      </w:r>
    </w:p>
    <w:p w14:paraId="0A3B89EA"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Stupanj rizika podiže se na višu razinu ukoliko temperatura premašuje navedene granice dulje od četiri dana i ukoliko su istovremeno ispunjeni uvjeti za minimalnu i maksimalnu temperaturu. </w:t>
      </w:r>
    </w:p>
    <w:p w14:paraId="292693C0"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p>
    <w:p w14:paraId="47FEFA00"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p>
    <w:p w14:paraId="1BC9B642"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p>
    <w:p w14:paraId="2461B6CE" w14:textId="640B39A5" w:rsidR="00FF1E38" w:rsidRPr="00FF1E38" w:rsidRDefault="0059173A" w:rsidP="002F1B29">
      <w:pPr>
        <w:spacing w:line="240" w:lineRule="auto"/>
        <w:ind w:left="0" w:right="0" w:firstLine="0"/>
        <w:jc w:val="center"/>
        <w:rPr>
          <w:rFonts w:ascii="Times New Roman" w:hAnsi="Times New Roman" w:cs="Times New Roman"/>
          <w:b/>
          <w:sz w:val="24"/>
        </w:rPr>
      </w:pPr>
      <w:r w:rsidRPr="0059173A">
        <w:rPr>
          <w:rFonts w:ascii="Times New Roman" w:hAnsi="Times New Roman" w:cs="Times New Roman"/>
          <w:b/>
          <w:color w:val="auto"/>
          <w:sz w:val="24"/>
        </w:rPr>
        <w:lastRenderedPageBreak/>
        <w:t>Grafikon 7</w:t>
      </w:r>
      <w:r w:rsidR="00FF1E38" w:rsidRPr="0059173A">
        <w:rPr>
          <w:rFonts w:ascii="Times New Roman" w:hAnsi="Times New Roman" w:cs="Times New Roman"/>
          <w:b/>
          <w:color w:val="auto"/>
          <w:sz w:val="24"/>
        </w:rPr>
        <w:t xml:space="preserve">. Broj dana u kojima je temperatura zraka premašila granične vrijednosti za </w:t>
      </w:r>
      <w:r w:rsidR="00FF1E38" w:rsidRPr="00FF1E38">
        <w:rPr>
          <w:rFonts w:ascii="Times New Roman" w:hAnsi="Times New Roman" w:cs="Times New Roman"/>
          <w:b/>
          <w:sz w:val="24"/>
        </w:rPr>
        <w:t>pojavu povećane smrtnosti i kumulativno odstupanje smrtnosti u tim danima u Zagrebu u razdoblju 1983. - 2008.</w:t>
      </w:r>
    </w:p>
    <w:p w14:paraId="70021AFB"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noProof/>
          <w:sz w:val="24"/>
        </w:rPr>
        <w:drawing>
          <wp:inline distT="0" distB="0" distL="0" distR="0" wp14:anchorId="2C924AE4" wp14:editId="034FD177">
            <wp:extent cx="4554221" cy="2416810"/>
            <wp:effectExtent l="0" t="0" r="0" b="0"/>
            <wp:docPr id="53784" name="Picture 53784"/>
            <wp:cNvGraphicFramePr/>
            <a:graphic xmlns:a="http://schemas.openxmlformats.org/drawingml/2006/main">
              <a:graphicData uri="http://schemas.openxmlformats.org/drawingml/2006/picture">
                <pic:pic xmlns:pic="http://schemas.openxmlformats.org/drawingml/2006/picture">
                  <pic:nvPicPr>
                    <pic:cNvPr id="53784" name="Picture 53784"/>
                    <pic:cNvPicPr/>
                  </pic:nvPicPr>
                  <pic:blipFill>
                    <a:blip r:embed="rId137"/>
                    <a:stretch>
                      <a:fillRect/>
                    </a:stretch>
                  </pic:blipFill>
                  <pic:spPr>
                    <a:xfrm>
                      <a:off x="0" y="0"/>
                      <a:ext cx="4554221" cy="2416810"/>
                    </a:xfrm>
                    <a:prstGeom prst="rect">
                      <a:avLst/>
                    </a:prstGeom>
                  </pic:spPr>
                </pic:pic>
              </a:graphicData>
            </a:graphic>
          </wp:inline>
        </w:drawing>
      </w:r>
    </w:p>
    <w:p w14:paraId="1BD20A85" w14:textId="77777777" w:rsidR="00FF1E38" w:rsidRPr="00FF1E38" w:rsidRDefault="00FF1E38" w:rsidP="00FF1E38">
      <w:pPr>
        <w:spacing w:after="0" w:line="240" w:lineRule="auto"/>
        <w:ind w:left="0" w:right="0" w:firstLine="0"/>
        <w:jc w:val="center"/>
        <w:rPr>
          <w:rFonts w:ascii="Times New Roman" w:eastAsia="Calibri" w:hAnsi="Times New Roman" w:cs="Times New Roman"/>
          <w:i/>
          <w:sz w:val="20"/>
          <w:szCs w:val="20"/>
        </w:rPr>
      </w:pPr>
      <w:r w:rsidRPr="00FF1E38">
        <w:rPr>
          <w:rFonts w:ascii="Times New Roman" w:eastAsia="Calibri" w:hAnsi="Times New Roman" w:cs="Times New Roman"/>
          <w:i/>
          <w:sz w:val="20"/>
          <w:szCs w:val="20"/>
        </w:rPr>
        <w:t>Izvor: Procjena rizika od katastrofa za Republiku Hrvatsku (K. Zaninović)</w:t>
      </w:r>
    </w:p>
    <w:p w14:paraId="63EA4331" w14:textId="77777777" w:rsidR="00FF1E38" w:rsidRPr="00FF1E38" w:rsidRDefault="00FF1E38" w:rsidP="00FF1E38">
      <w:pPr>
        <w:spacing w:after="0" w:line="240" w:lineRule="auto"/>
        <w:ind w:left="0" w:right="0" w:firstLine="0"/>
        <w:rPr>
          <w:rFonts w:ascii="Times New Roman" w:hAnsi="Times New Roman" w:cs="Times New Roman"/>
          <w:sz w:val="24"/>
        </w:rPr>
      </w:pPr>
    </w:p>
    <w:p w14:paraId="2D209574" w14:textId="76A6E065" w:rsidR="00FF1E38" w:rsidRPr="0036714A" w:rsidRDefault="00FF1E38" w:rsidP="002F1B29">
      <w:pPr>
        <w:spacing w:line="240" w:lineRule="auto"/>
        <w:ind w:left="0" w:right="0" w:firstLine="0"/>
        <w:jc w:val="center"/>
        <w:rPr>
          <w:rFonts w:ascii="Times New Roman" w:hAnsi="Times New Roman" w:cs="Times New Roman"/>
          <w:b/>
          <w:color w:val="auto"/>
          <w:sz w:val="24"/>
        </w:rPr>
      </w:pPr>
      <w:r w:rsidRPr="0036714A">
        <w:rPr>
          <w:rFonts w:ascii="Times New Roman" w:hAnsi="Times New Roman" w:cs="Times New Roman"/>
          <w:b/>
          <w:color w:val="auto"/>
          <w:sz w:val="24"/>
        </w:rPr>
        <w:t xml:space="preserve">Tablica </w:t>
      </w:r>
      <w:r w:rsidR="0036714A" w:rsidRPr="0036714A">
        <w:rPr>
          <w:rFonts w:ascii="Times New Roman" w:hAnsi="Times New Roman" w:cs="Times New Roman"/>
          <w:b/>
          <w:color w:val="auto"/>
          <w:sz w:val="24"/>
        </w:rPr>
        <w:t>85</w:t>
      </w:r>
      <w:r w:rsidRPr="0036714A">
        <w:rPr>
          <w:rFonts w:ascii="Times New Roman" w:hAnsi="Times New Roman" w:cs="Times New Roman"/>
          <w:b/>
          <w:color w:val="auto"/>
          <w:sz w:val="24"/>
        </w:rPr>
        <w:t>. Kritične temperature zraka za Grad Zagreb i porast smrtnosti</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659"/>
        <w:gridCol w:w="1970"/>
        <w:gridCol w:w="1814"/>
        <w:gridCol w:w="1813"/>
        <w:gridCol w:w="1816"/>
      </w:tblGrid>
      <w:tr w:rsidR="00FF1E38" w:rsidRPr="00FF1E38" w14:paraId="513E80B5" w14:textId="77777777" w:rsidTr="002F1B29">
        <w:trPr>
          <w:trHeight w:hRule="exact" w:val="353"/>
        </w:trPr>
        <w:tc>
          <w:tcPr>
            <w:tcW w:w="1659" w:type="dxa"/>
            <w:vMerge w:val="restart"/>
            <w:shd w:val="clear" w:color="auto" w:fill="FFC000"/>
            <w:vAlign w:val="center"/>
          </w:tcPr>
          <w:p w14:paraId="18A5A4F2"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6"/>
                <w:lang w:eastAsia="en-US"/>
              </w:rPr>
            </w:pPr>
            <w:r w:rsidRPr="00FF1E38">
              <w:rPr>
                <w:rFonts w:ascii="Times New Roman" w:eastAsia="Calibri" w:hAnsi="Times New Roman" w:cs="Times New Roman"/>
                <w:b/>
                <w:color w:val="auto"/>
                <w:sz w:val="18"/>
                <w:szCs w:val="16"/>
                <w:lang w:eastAsia="en-US"/>
              </w:rPr>
              <w:t>Temperatura</w:t>
            </w:r>
          </w:p>
        </w:tc>
        <w:tc>
          <w:tcPr>
            <w:tcW w:w="1970" w:type="dxa"/>
            <w:shd w:val="clear" w:color="auto" w:fill="00B050"/>
            <w:vAlign w:val="center"/>
          </w:tcPr>
          <w:p w14:paraId="25B5997A"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FFFFFF"/>
                <w:sz w:val="18"/>
                <w:szCs w:val="16"/>
                <w:lang w:eastAsia="en-US"/>
              </w:rPr>
            </w:pPr>
            <w:r w:rsidRPr="00FF1E38">
              <w:rPr>
                <w:rFonts w:ascii="Times New Roman" w:eastAsia="Calibri" w:hAnsi="Times New Roman" w:cs="Times New Roman"/>
                <w:color w:val="FFFFFF"/>
                <w:sz w:val="18"/>
                <w:szCs w:val="16"/>
                <w:lang w:eastAsia="en-US"/>
              </w:rPr>
              <w:t>30.0 °C</w:t>
            </w:r>
          </w:p>
        </w:tc>
        <w:tc>
          <w:tcPr>
            <w:tcW w:w="1814" w:type="dxa"/>
            <w:shd w:val="clear" w:color="auto" w:fill="FFFF00"/>
            <w:vAlign w:val="center"/>
          </w:tcPr>
          <w:p w14:paraId="42CDB4B0"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6"/>
                <w:lang w:eastAsia="en-US"/>
              </w:rPr>
            </w:pPr>
            <w:r w:rsidRPr="00FF1E38">
              <w:rPr>
                <w:rFonts w:ascii="Times New Roman" w:eastAsia="Calibri" w:hAnsi="Times New Roman" w:cs="Times New Roman"/>
                <w:color w:val="auto"/>
                <w:sz w:val="18"/>
                <w:szCs w:val="16"/>
                <w:lang w:eastAsia="en-US"/>
              </w:rPr>
              <w:t>33.7 °C</w:t>
            </w:r>
          </w:p>
        </w:tc>
        <w:tc>
          <w:tcPr>
            <w:tcW w:w="1813" w:type="dxa"/>
            <w:shd w:val="clear" w:color="auto" w:fill="F79546"/>
            <w:vAlign w:val="center"/>
          </w:tcPr>
          <w:p w14:paraId="689995D5"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FFFFFF"/>
                <w:sz w:val="18"/>
                <w:szCs w:val="16"/>
                <w:lang w:eastAsia="en-US"/>
              </w:rPr>
            </w:pPr>
            <w:r w:rsidRPr="00FF1E38">
              <w:rPr>
                <w:rFonts w:ascii="Times New Roman" w:eastAsia="Calibri" w:hAnsi="Times New Roman" w:cs="Times New Roman"/>
                <w:color w:val="FFFFFF"/>
                <w:sz w:val="18"/>
                <w:szCs w:val="16"/>
                <w:lang w:eastAsia="en-US"/>
              </w:rPr>
              <w:t>35.1 °C</w:t>
            </w:r>
          </w:p>
        </w:tc>
        <w:tc>
          <w:tcPr>
            <w:tcW w:w="1816" w:type="dxa"/>
            <w:shd w:val="clear" w:color="auto" w:fill="C00000"/>
            <w:vAlign w:val="center"/>
          </w:tcPr>
          <w:p w14:paraId="6715FAAC"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6"/>
                <w:lang w:eastAsia="en-US"/>
              </w:rPr>
            </w:pPr>
            <w:r w:rsidRPr="00FF1E38">
              <w:rPr>
                <w:rFonts w:ascii="Times New Roman" w:eastAsia="Calibri" w:hAnsi="Times New Roman" w:cs="Times New Roman"/>
                <w:color w:val="FFFFFF"/>
                <w:sz w:val="18"/>
                <w:szCs w:val="16"/>
                <w:lang w:eastAsia="en-US"/>
              </w:rPr>
              <w:t>37.1 °C</w:t>
            </w:r>
          </w:p>
        </w:tc>
      </w:tr>
      <w:tr w:rsidR="00FF1E38" w:rsidRPr="00FF1E38" w14:paraId="307EC002" w14:textId="77777777" w:rsidTr="002F1B29">
        <w:trPr>
          <w:trHeight w:hRule="exact" w:val="235"/>
        </w:trPr>
        <w:tc>
          <w:tcPr>
            <w:tcW w:w="1659" w:type="dxa"/>
            <w:vMerge/>
            <w:shd w:val="clear" w:color="auto" w:fill="FFC000"/>
            <w:vAlign w:val="center"/>
          </w:tcPr>
          <w:p w14:paraId="65DC92FE" w14:textId="77777777" w:rsidR="00FF1E38" w:rsidRPr="00FF1E38" w:rsidRDefault="00FF1E38" w:rsidP="00FF1E38">
            <w:pPr>
              <w:spacing w:after="0" w:line="240" w:lineRule="auto"/>
              <w:ind w:left="0" w:right="0"/>
              <w:jc w:val="center"/>
              <w:rPr>
                <w:rFonts w:ascii="Times New Roman" w:hAnsi="Times New Roman" w:cs="Times New Roman"/>
                <w:sz w:val="18"/>
                <w:szCs w:val="16"/>
              </w:rPr>
            </w:pPr>
          </w:p>
        </w:tc>
        <w:tc>
          <w:tcPr>
            <w:tcW w:w="1970" w:type="dxa"/>
            <w:shd w:val="clear" w:color="auto" w:fill="00B050"/>
            <w:vAlign w:val="center"/>
          </w:tcPr>
          <w:p w14:paraId="5A00020C"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FFFFFF"/>
                <w:sz w:val="18"/>
                <w:szCs w:val="16"/>
                <w:lang w:eastAsia="en-US"/>
              </w:rPr>
            </w:pPr>
            <w:r w:rsidRPr="00FF1E38">
              <w:rPr>
                <w:rFonts w:ascii="Times New Roman" w:eastAsia="Calibri" w:hAnsi="Times New Roman" w:cs="Times New Roman"/>
                <w:color w:val="FFFFFF"/>
                <w:sz w:val="18"/>
                <w:szCs w:val="16"/>
                <w:lang w:eastAsia="en-US"/>
              </w:rPr>
              <w:t>kritična temperatura</w:t>
            </w:r>
          </w:p>
        </w:tc>
        <w:tc>
          <w:tcPr>
            <w:tcW w:w="1814" w:type="dxa"/>
            <w:shd w:val="clear" w:color="auto" w:fill="FFFF00"/>
            <w:vAlign w:val="center"/>
          </w:tcPr>
          <w:p w14:paraId="4D5B7627"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6"/>
                <w:lang w:eastAsia="en-US"/>
              </w:rPr>
            </w:pPr>
            <w:r w:rsidRPr="00FF1E38">
              <w:rPr>
                <w:rFonts w:ascii="Times New Roman" w:eastAsia="Calibri" w:hAnsi="Times New Roman" w:cs="Times New Roman"/>
                <w:color w:val="auto"/>
                <w:sz w:val="18"/>
                <w:szCs w:val="16"/>
                <w:highlight w:val="yellow"/>
                <w:lang w:eastAsia="en-US"/>
              </w:rPr>
              <w:t>umjerena opasnost</w:t>
            </w:r>
          </w:p>
        </w:tc>
        <w:tc>
          <w:tcPr>
            <w:tcW w:w="1813" w:type="dxa"/>
            <w:shd w:val="clear" w:color="auto" w:fill="F79546"/>
            <w:vAlign w:val="center"/>
          </w:tcPr>
          <w:p w14:paraId="48D0904E"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FFFFFF"/>
                <w:sz w:val="18"/>
                <w:szCs w:val="16"/>
                <w:lang w:eastAsia="en-US"/>
              </w:rPr>
            </w:pPr>
            <w:r w:rsidRPr="00FF1E38">
              <w:rPr>
                <w:rFonts w:ascii="Times New Roman" w:eastAsia="Calibri" w:hAnsi="Times New Roman" w:cs="Times New Roman"/>
                <w:color w:val="FFFFFF"/>
                <w:sz w:val="18"/>
                <w:szCs w:val="16"/>
                <w:lang w:eastAsia="en-US"/>
              </w:rPr>
              <w:t>velika opasnost</w:t>
            </w:r>
          </w:p>
        </w:tc>
        <w:tc>
          <w:tcPr>
            <w:tcW w:w="1816" w:type="dxa"/>
            <w:shd w:val="clear" w:color="auto" w:fill="C00000"/>
            <w:vAlign w:val="center"/>
          </w:tcPr>
          <w:p w14:paraId="043CEDE3"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6"/>
                <w:lang w:eastAsia="en-US"/>
              </w:rPr>
            </w:pPr>
            <w:r w:rsidRPr="00FF1E38">
              <w:rPr>
                <w:rFonts w:ascii="Times New Roman" w:eastAsia="Calibri" w:hAnsi="Times New Roman" w:cs="Times New Roman"/>
                <w:color w:val="FFFFFF"/>
                <w:sz w:val="18"/>
                <w:szCs w:val="16"/>
                <w:lang w:eastAsia="en-US"/>
              </w:rPr>
              <w:t>vrlo velika opasnost</w:t>
            </w:r>
          </w:p>
        </w:tc>
      </w:tr>
      <w:tr w:rsidR="00FF1E38" w:rsidRPr="00FF1E38" w14:paraId="62DF7CBE" w14:textId="77777777" w:rsidTr="002F1B29">
        <w:trPr>
          <w:trHeight w:hRule="exact" w:val="295"/>
        </w:trPr>
        <w:tc>
          <w:tcPr>
            <w:tcW w:w="1659" w:type="dxa"/>
            <w:shd w:val="clear" w:color="auto" w:fill="FFC000"/>
            <w:vAlign w:val="center"/>
          </w:tcPr>
          <w:p w14:paraId="0998DC74"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6"/>
                <w:lang w:eastAsia="en-US"/>
              </w:rPr>
            </w:pPr>
            <w:r w:rsidRPr="00FF1E38">
              <w:rPr>
                <w:rFonts w:ascii="Times New Roman" w:eastAsia="Calibri" w:hAnsi="Times New Roman" w:cs="Times New Roman"/>
                <w:b/>
                <w:color w:val="auto"/>
                <w:sz w:val="18"/>
                <w:szCs w:val="16"/>
                <w:lang w:eastAsia="en-US"/>
              </w:rPr>
              <w:t>Porast smrtnosti</w:t>
            </w:r>
          </w:p>
        </w:tc>
        <w:tc>
          <w:tcPr>
            <w:tcW w:w="1970" w:type="dxa"/>
            <w:shd w:val="clear" w:color="auto" w:fill="00B050"/>
            <w:vAlign w:val="center"/>
          </w:tcPr>
          <w:p w14:paraId="484E0BCE" w14:textId="77777777" w:rsidR="00FF1E38" w:rsidRPr="00FF1E38" w:rsidRDefault="00FF1E38" w:rsidP="00FF1E38">
            <w:pPr>
              <w:spacing w:after="0" w:line="240" w:lineRule="auto"/>
              <w:ind w:left="0" w:right="0"/>
              <w:jc w:val="center"/>
              <w:rPr>
                <w:rFonts w:ascii="Times New Roman" w:hAnsi="Times New Roman" w:cs="Times New Roman"/>
                <w:color w:val="FFFFFF"/>
                <w:sz w:val="18"/>
                <w:szCs w:val="16"/>
              </w:rPr>
            </w:pPr>
          </w:p>
        </w:tc>
        <w:tc>
          <w:tcPr>
            <w:tcW w:w="1814" w:type="dxa"/>
            <w:shd w:val="clear" w:color="auto" w:fill="FFFF00"/>
            <w:vAlign w:val="center"/>
          </w:tcPr>
          <w:p w14:paraId="7527CA7B"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6"/>
                <w:lang w:eastAsia="en-US"/>
              </w:rPr>
            </w:pPr>
            <w:r w:rsidRPr="00FF1E38">
              <w:rPr>
                <w:rFonts w:ascii="Times New Roman" w:eastAsia="Calibri" w:hAnsi="Times New Roman" w:cs="Times New Roman"/>
                <w:color w:val="auto"/>
                <w:sz w:val="18"/>
                <w:szCs w:val="16"/>
                <w:highlight w:val="yellow"/>
                <w:lang w:eastAsia="en-US"/>
              </w:rPr>
              <w:t>5 %</w:t>
            </w:r>
          </w:p>
        </w:tc>
        <w:tc>
          <w:tcPr>
            <w:tcW w:w="1813" w:type="dxa"/>
            <w:shd w:val="clear" w:color="auto" w:fill="F79546"/>
            <w:vAlign w:val="center"/>
          </w:tcPr>
          <w:p w14:paraId="128FB910"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FFFFFF"/>
                <w:sz w:val="18"/>
                <w:szCs w:val="16"/>
                <w:lang w:eastAsia="en-US"/>
              </w:rPr>
            </w:pPr>
            <w:r w:rsidRPr="00FF1E38">
              <w:rPr>
                <w:rFonts w:ascii="Times New Roman" w:eastAsia="Calibri" w:hAnsi="Times New Roman" w:cs="Times New Roman"/>
                <w:color w:val="FFFFFF"/>
                <w:sz w:val="18"/>
                <w:szCs w:val="16"/>
                <w:lang w:eastAsia="en-US"/>
              </w:rPr>
              <w:t>7,5 %</w:t>
            </w:r>
          </w:p>
        </w:tc>
        <w:tc>
          <w:tcPr>
            <w:tcW w:w="1816" w:type="dxa"/>
            <w:shd w:val="clear" w:color="auto" w:fill="C00000"/>
            <w:vAlign w:val="center"/>
          </w:tcPr>
          <w:p w14:paraId="2EBB4F57"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18"/>
                <w:szCs w:val="16"/>
                <w:lang w:eastAsia="en-US"/>
              </w:rPr>
            </w:pPr>
            <w:r w:rsidRPr="00FF1E38">
              <w:rPr>
                <w:rFonts w:ascii="Times New Roman" w:eastAsia="Calibri" w:hAnsi="Times New Roman" w:cs="Times New Roman"/>
                <w:color w:val="FFFFFF"/>
                <w:sz w:val="18"/>
                <w:szCs w:val="16"/>
                <w:lang w:eastAsia="en-US"/>
              </w:rPr>
              <w:t>10 %</w:t>
            </w:r>
          </w:p>
        </w:tc>
      </w:tr>
    </w:tbl>
    <w:p w14:paraId="32C17172" w14:textId="77777777" w:rsidR="00FF1E38" w:rsidRPr="00FF1E38" w:rsidRDefault="00FF1E38" w:rsidP="00FF1E38">
      <w:pPr>
        <w:spacing w:after="0" w:line="240" w:lineRule="auto"/>
        <w:ind w:left="0" w:right="0" w:firstLine="0"/>
        <w:jc w:val="center"/>
        <w:rPr>
          <w:rFonts w:ascii="Times New Roman" w:eastAsia="Calibri" w:hAnsi="Times New Roman" w:cs="Times New Roman"/>
          <w:i/>
          <w:sz w:val="20"/>
          <w:szCs w:val="20"/>
        </w:rPr>
      </w:pPr>
      <w:r w:rsidRPr="00FF1E38">
        <w:rPr>
          <w:rFonts w:ascii="Times New Roman" w:eastAsia="Calibri" w:hAnsi="Times New Roman" w:cs="Times New Roman"/>
          <w:i/>
          <w:sz w:val="20"/>
          <w:szCs w:val="20"/>
        </w:rPr>
        <w:t>Izvor: K. Zaninović. Utjecaj ekstremnih termičkih prilika na smrtnost u Hrvatskoj, disertacija 2011.</w:t>
      </w:r>
    </w:p>
    <w:p w14:paraId="4229F5E2" w14:textId="77777777" w:rsidR="00FF1E38" w:rsidRPr="00FF1E38" w:rsidRDefault="00FF1E38" w:rsidP="00FF1E38">
      <w:pPr>
        <w:spacing w:after="0" w:line="240" w:lineRule="auto"/>
        <w:ind w:left="0" w:right="0" w:firstLine="0"/>
        <w:rPr>
          <w:rFonts w:ascii="Times New Roman" w:hAnsi="Times New Roman" w:cs="Times New Roman"/>
          <w:sz w:val="24"/>
        </w:rPr>
      </w:pPr>
    </w:p>
    <w:p w14:paraId="5ECAC647"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Opasnost od ekstremnih toplina su dulja razdoblja s temperaturama iznad kritičnih vrijednosti. Za određivanje relacije između trajanja toplinskog vala i porasta smrtnosti najvažnija su petodnevna razdoblja u kojima je u pravilu porast smrtnosti najveći jer se može pojaviti "efekt žetve" (eng. </w:t>
      </w:r>
      <w:r w:rsidRPr="00FF1E38">
        <w:rPr>
          <w:rFonts w:ascii="Times New Roman" w:hAnsi="Times New Roman" w:cs="Times New Roman"/>
          <w:i/>
          <w:sz w:val="24"/>
        </w:rPr>
        <w:t>harvest effect</w:t>
      </w:r>
      <w:r w:rsidRPr="00FF1E38">
        <w:rPr>
          <w:rFonts w:ascii="Times New Roman" w:hAnsi="Times New Roman" w:cs="Times New Roman"/>
          <w:sz w:val="24"/>
        </w:rPr>
        <w:t xml:space="preserve">) s manjom smrtnošću u duljim razdobljima. </w:t>
      </w:r>
    </w:p>
    <w:p w14:paraId="24257034" w14:textId="77777777" w:rsidR="00FF1E38" w:rsidRPr="00FF1E38" w:rsidRDefault="00FF1E38" w:rsidP="00FF1E38">
      <w:pPr>
        <w:spacing w:after="0" w:line="240" w:lineRule="auto"/>
        <w:ind w:right="0"/>
        <w:rPr>
          <w:rFonts w:ascii="Times New Roman" w:hAnsi="Times New Roman" w:cs="Times New Roman"/>
          <w:sz w:val="24"/>
        </w:rPr>
      </w:pPr>
    </w:p>
    <w:p w14:paraId="4B4E4FA2" w14:textId="03FDE3A9" w:rsidR="00FF1E38" w:rsidRPr="00FF1E38" w:rsidRDefault="0059173A" w:rsidP="00FF1E38">
      <w:pPr>
        <w:spacing w:after="160" w:line="259" w:lineRule="auto"/>
        <w:ind w:left="0" w:right="0" w:firstLine="0"/>
        <w:jc w:val="center"/>
        <w:rPr>
          <w:rFonts w:ascii="Times New Roman" w:hAnsi="Times New Roman" w:cs="Times New Roman"/>
          <w:sz w:val="24"/>
          <w:szCs w:val="20"/>
        </w:rPr>
      </w:pPr>
      <w:r w:rsidRPr="0059173A">
        <w:rPr>
          <w:rFonts w:ascii="Times New Roman" w:hAnsi="Times New Roman" w:cs="Times New Roman"/>
          <w:b/>
          <w:color w:val="auto"/>
          <w:sz w:val="24"/>
        </w:rPr>
        <w:t>Grafikon 8</w:t>
      </w:r>
      <w:r w:rsidR="00FF1E38" w:rsidRPr="0059173A">
        <w:rPr>
          <w:rFonts w:ascii="Times New Roman" w:hAnsi="Times New Roman" w:cs="Times New Roman"/>
          <w:b/>
          <w:color w:val="auto"/>
          <w:sz w:val="24"/>
        </w:rPr>
        <w:t xml:space="preserve">. Veza relativnog odstupanja smrtnosti od prosjeka i maksimalne </w:t>
      </w:r>
      <w:r w:rsidR="00FF1E38" w:rsidRPr="00FF1E38">
        <w:rPr>
          <w:rFonts w:ascii="Times New Roman" w:hAnsi="Times New Roman" w:cs="Times New Roman"/>
          <w:b/>
          <w:sz w:val="24"/>
        </w:rPr>
        <w:t>temperature zraka za Zagreb, razdoblje 1983. - 2008.</w:t>
      </w:r>
    </w:p>
    <w:p w14:paraId="1651E467"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noProof/>
          <w:sz w:val="24"/>
        </w:rPr>
        <w:drawing>
          <wp:inline distT="0" distB="0" distL="0" distR="0" wp14:anchorId="28238465" wp14:editId="759AD914">
            <wp:extent cx="4224020" cy="2171700"/>
            <wp:effectExtent l="0" t="0" r="5080" b="0"/>
            <wp:docPr id="53863" name="Picture 53863"/>
            <wp:cNvGraphicFramePr/>
            <a:graphic xmlns:a="http://schemas.openxmlformats.org/drawingml/2006/main">
              <a:graphicData uri="http://schemas.openxmlformats.org/drawingml/2006/picture">
                <pic:pic xmlns:pic="http://schemas.openxmlformats.org/drawingml/2006/picture">
                  <pic:nvPicPr>
                    <pic:cNvPr id="53863" name="Picture 53863"/>
                    <pic:cNvPicPr/>
                  </pic:nvPicPr>
                  <pic:blipFill>
                    <a:blip r:embed="rId138"/>
                    <a:stretch>
                      <a:fillRect/>
                    </a:stretch>
                  </pic:blipFill>
                  <pic:spPr>
                    <a:xfrm>
                      <a:off x="0" y="0"/>
                      <a:ext cx="4224022" cy="2171701"/>
                    </a:xfrm>
                    <a:prstGeom prst="rect">
                      <a:avLst/>
                    </a:prstGeom>
                  </pic:spPr>
                </pic:pic>
              </a:graphicData>
            </a:graphic>
          </wp:inline>
        </w:drawing>
      </w:r>
    </w:p>
    <w:p w14:paraId="5EB40222" w14:textId="77777777" w:rsidR="00FF1E38" w:rsidRPr="00FF1E38" w:rsidRDefault="00FF1E38" w:rsidP="00FF1E38">
      <w:pPr>
        <w:spacing w:after="0" w:line="240" w:lineRule="auto"/>
        <w:ind w:left="0" w:right="0" w:firstLine="0"/>
        <w:jc w:val="center"/>
        <w:rPr>
          <w:rFonts w:ascii="Times New Roman" w:eastAsia="Calibri" w:hAnsi="Times New Roman" w:cs="Times New Roman"/>
          <w:i/>
          <w:sz w:val="20"/>
          <w:szCs w:val="20"/>
        </w:rPr>
      </w:pPr>
      <w:r w:rsidRPr="00FF1E38">
        <w:rPr>
          <w:rFonts w:ascii="Times New Roman" w:eastAsia="Calibri" w:hAnsi="Times New Roman" w:cs="Times New Roman"/>
          <w:i/>
          <w:sz w:val="20"/>
          <w:szCs w:val="20"/>
        </w:rPr>
        <w:t>Izvor: Procjena rizika od katastrofa za Republiku Hrvatsku</w:t>
      </w:r>
    </w:p>
    <w:p w14:paraId="3AC2AD77" w14:textId="77777777" w:rsidR="00FF1E38" w:rsidRPr="00FF1E38" w:rsidRDefault="00FF1E38" w:rsidP="00FF1E38">
      <w:pPr>
        <w:spacing w:after="0" w:line="240" w:lineRule="auto"/>
        <w:ind w:left="0" w:right="0" w:firstLine="0"/>
        <w:rPr>
          <w:rFonts w:ascii="Times New Roman" w:hAnsi="Times New Roman" w:cs="Times New Roman"/>
          <w:sz w:val="24"/>
        </w:rPr>
      </w:pPr>
    </w:p>
    <w:p w14:paraId="59858346"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Pri povećanoj učestalosti i intenzitetu ekstremnih toplinskih valova povećana je ukupna smrtnost i specifičan uzrok smrti, povećan je broj prijema u bolnicu, posebno za bolesti dišnog, </w:t>
      </w:r>
      <w:r w:rsidRPr="00FF1E38">
        <w:rPr>
          <w:rFonts w:ascii="Times New Roman" w:hAnsi="Times New Roman" w:cs="Times New Roman"/>
          <w:sz w:val="24"/>
        </w:rPr>
        <w:lastRenderedPageBreak/>
        <w:t>srčano-krvožilnog i bubrežnog sustava, dijabetesa, mentalne bolesti, i to ponajprije starijih osoba, djece te osoba s već postojećim kroničnim bolestima. Fizička i socijalna izolacija starijih osoba dodatno povećava opasnost od umiranja tijekom toplinskog vala. Neke studije su primijenile prosječnu vrijednost izgubljenog produktivnog vremena 30 % od prosječnog BDP-a po glavi stanovnika što je mogući ukupni trošak bolovanja za cjelokupno stanovništvo. To odražava prosjek radno aktivne populacije, radno neaktivne populacije i školske djece (Hutton 2012.</w:t>
      </w:r>
      <w:r w:rsidRPr="00FF1E38">
        <w:rPr>
          <w:rFonts w:ascii="Times New Roman" w:hAnsi="Times New Roman" w:cs="Times New Roman"/>
          <w:sz w:val="24"/>
          <w:vertAlign w:val="superscript"/>
        </w:rPr>
        <w:footnoteReference w:id="49"/>
      </w:r>
      <w:r w:rsidRPr="00FF1E38">
        <w:rPr>
          <w:rFonts w:ascii="Times New Roman" w:hAnsi="Times New Roman" w:cs="Times New Roman"/>
          <w:sz w:val="24"/>
        </w:rPr>
        <w:t>). Međutim, ako većina bolesnih ljudi radi, taj postotak bi podcijenio vrijednost produktivnih gubitaka.</w:t>
      </w:r>
    </w:p>
    <w:p w14:paraId="7209F47C" w14:textId="77777777" w:rsidR="00FF1E38" w:rsidRPr="00FF1E38" w:rsidRDefault="00FF1E38" w:rsidP="00FF1E38">
      <w:pPr>
        <w:spacing w:after="0" w:line="240" w:lineRule="auto"/>
        <w:ind w:right="0"/>
        <w:rPr>
          <w:rFonts w:ascii="Times New Roman" w:hAnsi="Times New Roman" w:cs="Times New Roman"/>
          <w:sz w:val="24"/>
        </w:rPr>
      </w:pPr>
    </w:p>
    <w:p w14:paraId="02F53402" w14:textId="62170BD7" w:rsidR="00FF1E38" w:rsidRPr="00FF1E38" w:rsidRDefault="003A7F76" w:rsidP="00FF1E38">
      <w:pPr>
        <w:spacing w:after="0" w:line="240" w:lineRule="auto"/>
        <w:ind w:left="0" w:right="0" w:firstLine="0"/>
        <w:jc w:val="center"/>
        <w:rPr>
          <w:rFonts w:ascii="Times New Roman" w:hAnsi="Times New Roman" w:cs="Times New Roman"/>
          <w:b/>
          <w:sz w:val="24"/>
        </w:rPr>
      </w:pPr>
      <w:r w:rsidRPr="003A7F76">
        <w:rPr>
          <w:rFonts w:ascii="Times New Roman" w:hAnsi="Times New Roman" w:cs="Times New Roman"/>
          <w:b/>
          <w:color w:val="auto"/>
          <w:sz w:val="24"/>
        </w:rPr>
        <w:t>Grafikon 9</w:t>
      </w:r>
      <w:r w:rsidR="00FF1E38" w:rsidRPr="003A7F76">
        <w:rPr>
          <w:rFonts w:ascii="Times New Roman" w:hAnsi="Times New Roman" w:cs="Times New Roman"/>
          <w:b/>
          <w:color w:val="auto"/>
          <w:sz w:val="24"/>
        </w:rPr>
        <w:t xml:space="preserve">. Kumulativno odstupanje smrtnosti u razdoblju 1 - 30 dana nakon početka </w:t>
      </w:r>
      <w:r w:rsidR="00FF1E38" w:rsidRPr="00FF1E38">
        <w:rPr>
          <w:rFonts w:ascii="Times New Roman" w:hAnsi="Times New Roman" w:cs="Times New Roman"/>
          <w:b/>
          <w:sz w:val="24"/>
        </w:rPr>
        <w:t>jakog i ekstremnog toplinskog stresa u Zagrebu, razdoblje 1983. - 2008.</w:t>
      </w:r>
    </w:p>
    <w:p w14:paraId="0324ABA8"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noProof/>
          <w:sz w:val="24"/>
        </w:rPr>
        <w:drawing>
          <wp:inline distT="0" distB="0" distL="0" distR="0" wp14:anchorId="5086C28F" wp14:editId="5CE2D02C">
            <wp:extent cx="3943847" cy="2154804"/>
            <wp:effectExtent l="0" t="0" r="0" b="0"/>
            <wp:docPr id="53937" name="Picture 53937"/>
            <wp:cNvGraphicFramePr/>
            <a:graphic xmlns:a="http://schemas.openxmlformats.org/drawingml/2006/main">
              <a:graphicData uri="http://schemas.openxmlformats.org/drawingml/2006/picture">
                <pic:pic xmlns:pic="http://schemas.openxmlformats.org/drawingml/2006/picture">
                  <pic:nvPicPr>
                    <pic:cNvPr id="53937" name="Picture 53937"/>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959812" cy="2163527"/>
                    </a:xfrm>
                    <a:prstGeom prst="rect">
                      <a:avLst/>
                    </a:prstGeom>
                  </pic:spPr>
                </pic:pic>
              </a:graphicData>
            </a:graphic>
          </wp:inline>
        </w:drawing>
      </w:r>
    </w:p>
    <w:p w14:paraId="30D9EC8D" w14:textId="77777777" w:rsidR="00FF1E38" w:rsidRPr="00FF1E38" w:rsidRDefault="00FF1E38" w:rsidP="00E87BEB">
      <w:pPr>
        <w:spacing w:line="240" w:lineRule="auto"/>
        <w:ind w:left="0" w:right="0" w:firstLine="0"/>
        <w:jc w:val="center"/>
        <w:rPr>
          <w:rFonts w:ascii="Times New Roman" w:eastAsia="Calibri" w:hAnsi="Times New Roman" w:cs="Times New Roman"/>
          <w:i/>
          <w:sz w:val="20"/>
          <w:szCs w:val="20"/>
        </w:rPr>
      </w:pPr>
      <w:r w:rsidRPr="00FF1E38">
        <w:rPr>
          <w:rFonts w:ascii="Times New Roman" w:eastAsia="Calibri" w:hAnsi="Times New Roman" w:cs="Times New Roman"/>
          <w:i/>
          <w:sz w:val="20"/>
          <w:szCs w:val="20"/>
        </w:rPr>
        <w:t>Izvor: Procjena rizika od katastrofa za Republiku Hrvatsku</w:t>
      </w:r>
    </w:p>
    <w:p w14:paraId="3354B09F" w14:textId="2D7EACA2" w:rsidR="00FF1E38" w:rsidRPr="00FF1E38" w:rsidRDefault="00FF1E38" w:rsidP="00FF1E38">
      <w:pPr>
        <w:spacing w:after="0" w:line="240" w:lineRule="auto"/>
        <w:ind w:left="0" w:right="0" w:firstLine="709"/>
        <w:rPr>
          <w:rFonts w:ascii="Times New Roman" w:hAnsi="Times New Roman" w:cs="Times New Roman"/>
          <w:sz w:val="24"/>
        </w:rPr>
      </w:pPr>
      <w:r w:rsidRPr="002C23F8">
        <w:rPr>
          <w:rFonts w:ascii="Times New Roman" w:hAnsi="Times New Roman" w:cs="Times New Roman"/>
          <w:color w:val="auto"/>
          <w:sz w:val="24"/>
        </w:rPr>
        <w:t xml:space="preserve">U Tablici </w:t>
      </w:r>
      <w:r w:rsidR="002C23F8" w:rsidRPr="002C23F8">
        <w:rPr>
          <w:rFonts w:ascii="Times New Roman" w:hAnsi="Times New Roman" w:cs="Times New Roman"/>
          <w:color w:val="auto"/>
          <w:sz w:val="24"/>
        </w:rPr>
        <w:t>86</w:t>
      </w:r>
      <w:r w:rsidRPr="002C23F8">
        <w:rPr>
          <w:rFonts w:ascii="Times New Roman" w:hAnsi="Times New Roman" w:cs="Times New Roman"/>
          <w:color w:val="auto"/>
          <w:sz w:val="24"/>
        </w:rPr>
        <w:t xml:space="preserve">. vidljiva je učestalost pojave toplinskog vala u Zagrebu u razdoblju od </w:t>
      </w:r>
      <w:r w:rsidRPr="00FF1E38">
        <w:rPr>
          <w:rFonts w:ascii="Times New Roman" w:hAnsi="Times New Roman" w:cs="Times New Roman"/>
          <w:sz w:val="24"/>
        </w:rPr>
        <w:t>2013. do 2017. u lipnju, srpnju i kolovozu i broj dana trajanja pojedinog toplinskog vala.</w:t>
      </w:r>
    </w:p>
    <w:p w14:paraId="5308949C" w14:textId="77777777" w:rsidR="00FF1E38" w:rsidRPr="00FF1E38" w:rsidRDefault="00FF1E38" w:rsidP="00FF1E38">
      <w:pPr>
        <w:spacing w:after="0" w:line="240" w:lineRule="auto"/>
        <w:ind w:right="0"/>
        <w:rPr>
          <w:rFonts w:ascii="Times New Roman" w:hAnsi="Times New Roman" w:cs="Times New Roman"/>
          <w:sz w:val="24"/>
        </w:rPr>
      </w:pPr>
    </w:p>
    <w:p w14:paraId="0B39FE24" w14:textId="6282EA1D" w:rsidR="00FF1E38" w:rsidRPr="00FF1E38" w:rsidRDefault="00FF1E38" w:rsidP="002F1B29">
      <w:pPr>
        <w:spacing w:line="240" w:lineRule="auto"/>
        <w:ind w:left="0" w:right="0" w:firstLine="0"/>
        <w:jc w:val="center"/>
        <w:rPr>
          <w:rFonts w:ascii="Times New Roman" w:hAnsi="Times New Roman" w:cs="Times New Roman"/>
          <w:b/>
          <w:sz w:val="24"/>
        </w:rPr>
      </w:pPr>
      <w:r w:rsidRPr="00015133">
        <w:rPr>
          <w:rFonts w:ascii="Times New Roman" w:hAnsi="Times New Roman" w:cs="Times New Roman"/>
          <w:b/>
          <w:color w:val="auto"/>
          <w:sz w:val="24"/>
        </w:rPr>
        <w:t xml:space="preserve">Tablica </w:t>
      </w:r>
      <w:r w:rsidR="00015133" w:rsidRPr="00015133">
        <w:rPr>
          <w:rFonts w:ascii="Times New Roman" w:hAnsi="Times New Roman" w:cs="Times New Roman"/>
          <w:b/>
          <w:color w:val="auto"/>
          <w:sz w:val="24"/>
        </w:rPr>
        <w:t>86</w:t>
      </w:r>
      <w:r w:rsidRPr="00015133">
        <w:rPr>
          <w:rFonts w:ascii="Times New Roman" w:hAnsi="Times New Roman" w:cs="Times New Roman"/>
          <w:b/>
          <w:color w:val="auto"/>
          <w:sz w:val="24"/>
        </w:rPr>
        <w:t xml:space="preserve">. Učestalost pojave toplinskog vala u Zagrebu, razdoblje 2013. - 2017. u </w:t>
      </w:r>
      <w:r w:rsidRPr="00FF1E38">
        <w:rPr>
          <w:rFonts w:ascii="Times New Roman" w:hAnsi="Times New Roman" w:cs="Times New Roman"/>
          <w:b/>
          <w:sz w:val="24"/>
        </w:rPr>
        <w:t>lipnju, srpnju i kolovozu i broj dana trajanja pojedinog toplinskog vala</w:t>
      </w:r>
    </w:p>
    <w:p w14:paraId="42A10747"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noProof/>
          <w:sz w:val="24"/>
        </w:rPr>
        <w:drawing>
          <wp:inline distT="0" distB="0" distL="0" distR="0" wp14:anchorId="04591B3A" wp14:editId="6976417B">
            <wp:extent cx="4883150" cy="1530420"/>
            <wp:effectExtent l="0" t="0" r="0" b="0"/>
            <wp:docPr id="53961" name="Picture 53961"/>
            <wp:cNvGraphicFramePr/>
            <a:graphic xmlns:a="http://schemas.openxmlformats.org/drawingml/2006/main">
              <a:graphicData uri="http://schemas.openxmlformats.org/drawingml/2006/picture">
                <pic:pic xmlns:pic="http://schemas.openxmlformats.org/drawingml/2006/picture">
                  <pic:nvPicPr>
                    <pic:cNvPr id="53961" name="Picture 5396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883150" cy="1530420"/>
                    </a:xfrm>
                    <a:prstGeom prst="rect">
                      <a:avLst/>
                    </a:prstGeom>
                  </pic:spPr>
                </pic:pic>
              </a:graphicData>
            </a:graphic>
          </wp:inline>
        </w:drawing>
      </w:r>
    </w:p>
    <w:p w14:paraId="36A0FB25" w14:textId="77777777" w:rsidR="00FF1E38" w:rsidRPr="00FF1E38" w:rsidRDefault="00FF1E38" w:rsidP="00FF1E38">
      <w:pPr>
        <w:spacing w:after="0" w:line="240" w:lineRule="auto"/>
        <w:ind w:left="0" w:right="0" w:firstLine="0"/>
        <w:jc w:val="center"/>
        <w:rPr>
          <w:rFonts w:ascii="Times New Roman" w:hAnsi="Times New Roman" w:cs="Times New Roman"/>
          <w:i/>
          <w:sz w:val="20"/>
          <w:szCs w:val="20"/>
        </w:rPr>
      </w:pPr>
      <w:r w:rsidRPr="00FF1E38">
        <w:rPr>
          <w:rFonts w:ascii="Times New Roman" w:hAnsi="Times New Roman" w:cs="Times New Roman"/>
          <w:i/>
          <w:sz w:val="20"/>
          <w:szCs w:val="20"/>
        </w:rPr>
        <w:t>Izvor:http://globe.pomsk.hr/smotra2018/projekti/Marina/ss_petrinja_zagreb_toplinski_valovi.pdf</w:t>
      </w:r>
    </w:p>
    <w:p w14:paraId="58CF97CD" w14:textId="77777777" w:rsidR="00FF1E38" w:rsidRPr="00FF1E38" w:rsidRDefault="00FF1E38" w:rsidP="00FF1E38">
      <w:pPr>
        <w:spacing w:after="0" w:line="240" w:lineRule="auto"/>
        <w:ind w:left="0" w:right="0" w:firstLine="0"/>
        <w:rPr>
          <w:rFonts w:ascii="Times New Roman" w:hAnsi="Times New Roman" w:cs="Times New Roman"/>
          <w:sz w:val="24"/>
        </w:rPr>
      </w:pPr>
    </w:p>
    <w:p w14:paraId="2EFF79C0"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Analizirajući vremenski niz odstupanja srednje godišnje temperature zraka u Zagrebu od referentnog klimatskog razdoblja, vidljivo je da je 10 najtoplijih godina od 1900. zabilježeno u posljednja dva desetljeća (1990.-2010.) te da je značajno povećana učestalost suhih dana i srednjih godišnjih sušnih razdoblja.</w:t>
      </w:r>
    </w:p>
    <w:p w14:paraId="19EE9245"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Ukupnom negativnom utjecaju toplinskih valova na stanovništvo treba pridodati i utjecaj toplinskih otoka. Toplinski otok je gradsko područje koje je znatno toplije od okolnih </w:t>
      </w:r>
      <w:r w:rsidRPr="00FF1E38">
        <w:rPr>
          <w:rFonts w:ascii="Times New Roman" w:hAnsi="Times New Roman" w:cs="Times New Roman"/>
          <w:sz w:val="24"/>
        </w:rPr>
        <w:lastRenderedPageBreak/>
        <w:t>ruralnih područja, a uglavnom je uzrokovano ljudskim djelovanjem. Glavni uzroci su veća gustoća kuća i zgrada, oslobađanje topline trošenjem fosilnih goriva, promet te smanjenje prirodne ventilacije.</w:t>
      </w:r>
      <w:r w:rsidRPr="00FF1E38">
        <w:rPr>
          <w:rFonts w:ascii="Times New Roman" w:eastAsia="Calibri" w:hAnsi="Times New Roman" w:cs="Times New Roman"/>
          <w:sz w:val="24"/>
        </w:rPr>
        <w:t xml:space="preserve"> </w:t>
      </w:r>
      <w:r w:rsidRPr="00FF1E38">
        <w:rPr>
          <w:rFonts w:ascii="Times New Roman" w:hAnsi="Times New Roman" w:cs="Times New Roman"/>
          <w:sz w:val="24"/>
        </w:rPr>
        <w:t>Toplinski otoci nastaju kada zelene površine zamijene zgrade i ceste, jer su one građene od materijala s drugačijim svojstvima od okolnog područja. Ti materijali nemaju dobru sposobnost refleksije, tj. apsorbiraju više energije Sunca, te se ona na taj način zadržava i zagrijava površinu.</w:t>
      </w:r>
      <w:r w:rsidRPr="00FF1E38">
        <w:rPr>
          <w:rFonts w:ascii="Times New Roman" w:eastAsia="Calibri" w:hAnsi="Times New Roman" w:cs="Times New Roman"/>
          <w:sz w:val="24"/>
        </w:rPr>
        <w:t xml:space="preserve"> </w:t>
      </w:r>
      <w:r w:rsidRPr="00FF1E38">
        <w:rPr>
          <w:rFonts w:ascii="Times New Roman" w:hAnsi="Times New Roman" w:cs="Times New Roman"/>
          <w:sz w:val="24"/>
        </w:rPr>
        <w:t>Toplinski otok ima izravan utjecaj na ljudsko zdravlje. Zbog povišenih dnevnih temperatura, smanjenja hlađenja tijekom noći i viših razina onečišćenih tvari u zraku, efekt toplinskog otoka utječe na probleme s disanjem, iscrpljenost, toplinski udar i smrtnost povezanu s toplinom. Povećane temperature mogu povećati jačinu i trajanje toplinskih valova koji su posebno opasni za starije osobe, djecu i novorođenčad, kronične bolesnike, atletičare, ljude koji rade na otvorenome, kućanstva s niskim prihodima.</w:t>
      </w:r>
    </w:p>
    <w:p w14:paraId="706E1A89" w14:textId="77777777" w:rsidR="00FF1E38" w:rsidRPr="00FF1E38" w:rsidRDefault="00FF1E38" w:rsidP="00FF1E38">
      <w:pPr>
        <w:spacing w:after="0" w:line="240" w:lineRule="auto"/>
        <w:ind w:left="0" w:right="0" w:firstLine="709"/>
        <w:rPr>
          <w:rFonts w:ascii="Times New Roman" w:hAnsi="Times New Roman" w:cs="Times New Roman"/>
          <w:sz w:val="24"/>
        </w:rPr>
      </w:pPr>
    </w:p>
    <w:p w14:paraId="4AFCDFD2" w14:textId="399F4B85" w:rsidR="00FF1E38" w:rsidRPr="00FF1E38" w:rsidRDefault="00FF1E38" w:rsidP="00FF1E38">
      <w:pPr>
        <w:spacing w:after="0" w:line="240" w:lineRule="auto"/>
        <w:ind w:left="0" w:right="0" w:firstLine="0"/>
        <w:jc w:val="center"/>
        <w:rPr>
          <w:rFonts w:ascii="Times New Roman" w:hAnsi="Times New Roman" w:cs="Times New Roman"/>
          <w:b/>
          <w:sz w:val="24"/>
        </w:rPr>
      </w:pPr>
      <w:r w:rsidRPr="003A7F76">
        <w:rPr>
          <w:rFonts w:ascii="Times New Roman" w:hAnsi="Times New Roman" w:cs="Times New Roman"/>
          <w:b/>
          <w:color w:val="auto"/>
          <w:sz w:val="24"/>
        </w:rPr>
        <w:t xml:space="preserve">Grafikon </w:t>
      </w:r>
      <w:r w:rsidR="003A7F76" w:rsidRPr="003A7F76">
        <w:rPr>
          <w:rFonts w:ascii="Times New Roman" w:hAnsi="Times New Roman" w:cs="Times New Roman"/>
          <w:b/>
          <w:color w:val="auto"/>
          <w:sz w:val="24"/>
        </w:rPr>
        <w:t>10</w:t>
      </w:r>
      <w:r w:rsidRPr="003A7F76">
        <w:rPr>
          <w:rFonts w:ascii="Times New Roman" w:hAnsi="Times New Roman" w:cs="Times New Roman"/>
          <w:b/>
          <w:color w:val="auto"/>
          <w:sz w:val="24"/>
        </w:rPr>
        <w:t xml:space="preserve">. Vremenski niz odstupanja srednje godišnje temperature zraka u Zagrebu, </w:t>
      </w:r>
      <w:r w:rsidRPr="00FF1E38">
        <w:rPr>
          <w:rFonts w:ascii="Times New Roman" w:hAnsi="Times New Roman" w:cs="Times New Roman"/>
          <w:b/>
          <w:sz w:val="24"/>
        </w:rPr>
        <w:t>od referentnog klimatskog razdoblja (1961.-90.)</w:t>
      </w:r>
    </w:p>
    <w:p w14:paraId="62236469"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noProof/>
          <w:sz w:val="24"/>
        </w:rPr>
        <w:drawing>
          <wp:inline distT="0" distB="0" distL="0" distR="0" wp14:anchorId="78BAFB79" wp14:editId="384E5176">
            <wp:extent cx="5451475" cy="2266950"/>
            <wp:effectExtent l="0" t="0" r="0" b="0"/>
            <wp:docPr id="54056" name="Picture 54056"/>
            <wp:cNvGraphicFramePr/>
            <a:graphic xmlns:a="http://schemas.openxmlformats.org/drawingml/2006/main">
              <a:graphicData uri="http://schemas.openxmlformats.org/drawingml/2006/picture">
                <pic:pic xmlns:pic="http://schemas.openxmlformats.org/drawingml/2006/picture">
                  <pic:nvPicPr>
                    <pic:cNvPr id="54056" name="Picture 54056"/>
                    <pic:cNvPicPr/>
                  </pic:nvPicPr>
                  <pic:blipFill>
                    <a:blip r:embed="rId141">
                      <a:extLst>
                        <a:ext uri="{28A0092B-C50C-407E-A947-70E740481C1C}">
                          <a14:useLocalDpi xmlns:a14="http://schemas.microsoft.com/office/drawing/2010/main" val="0"/>
                        </a:ext>
                      </a:extLst>
                    </a:blip>
                    <a:stretch>
                      <a:fillRect/>
                    </a:stretch>
                  </pic:blipFill>
                  <pic:spPr>
                    <a:xfrm>
                      <a:off x="0" y="0"/>
                      <a:ext cx="5461140" cy="2270969"/>
                    </a:xfrm>
                    <a:prstGeom prst="rect">
                      <a:avLst/>
                    </a:prstGeom>
                  </pic:spPr>
                </pic:pic>
              </a:graphicData>
            </a:graphic>
          </wp:inline>
        </w:drawing>
      </w:r>
    </w:p>
    <w:p w14:paraId="02D00A48" w14:textId="515C8D1F" w:rsidR="00FF1E38" w:rsidRDefault="00FF1E38" w:rsidP="00FF1E38">
      <w:pPr>
        <w:spacing w:after="0" w:line="240" w:lineRule="auto"/>
        <w:ind w:left="0" w:right="0" w:firstLine="0"/>
        <w:jc w:val="center"/>
        <w:rPr>
          <w:rFonts w:ascii="Times New Roman" w:eastAsia="Calibri" w:hAnsi="Times New Roman" w:cs="Times New Roman"/>
          <w:i/>
          <w:sz w:val="20"/>
          <w:szCs w:val="20"/>
        </w:rPr>
      </w:pPr>
      <w:r w:rsidRPr="00FF1E38">
        <w:rPr>
          <w:rFonts w:ascii="Times New Roman" w:eastAsia="Calibri" w:hAnsi="Times New Roman" w:cs="Times New Roman"/>
          <w:i/>
          <w:sz w:val="20"/>
          <w:szCs w:val="20"/>
        </w:rPr>
        <w:t>Izvor: Plan prilagodbe klimatskim promjenama Grada Zagreba</w:t>
      </w:r>
    </w:p>
    <w:p w14:paraId="669EB780" w14:textId="77777777" w:rsidR="001111DF" w:rsidRPr="00FF1E38" w:rsidRDefault="001111DF" w:rsidP="00FF1E38">
      <w:pPr>
        <w:spacing w:after="0" w:line="240" w:lineRule="auto"/>
        <w:ind w:left="0" w:right="0" w:firstLine="0"/>
        <w:jc w:val="center"/>
        <w:rPr>
          <w:rFonts w:ascii="Times New Roman" w:eastAsia="Calibri" w:hAnsi="Times New Roman" w:cs="Times New Roman"/>
          <w:i/>
          <w:sz w:val="20"/>
          <w:szCs w:val="20"/>
        </w:rPr>
      </w:pPr>
    </w:p>
    <w:p w14:paraId="0227227C" w14:textId="63FE88AB"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Osim utjecaja na zdravlje ljudi, ekstremno visoke temperature znatno utječu i na potrošnju električne energije zbog rada klimatizacijskih uređaja koji su veliki potrošači. Grad Zagreb je imao godišnju potrošnju energije (prema podacima o nabavljenoj energiji) od 3.038 GWh u 2013., a najveća potrošnja u zadnjih deset godina je dosegnuta 2010. i iznosila je 3.287 </w:t>
      </w:r>
      <w:r w:rsidRPr="003A7F76">
        <w:rPr>
          <w:rFonts w:ascii="Times New Roman" w:hAnsi="Times New Roman" w:cs="Times New Roman"/>
          <w:color w:val="auto"/>
          <w:sz w:val="24"/>
        </w:rPr>
        <w:t xml:space="preserve">GWh. Grafikon </w:t>
      </w:r>
      <w:r w:rsidR="003A7F76" w:rsidRPr="003A7F76">
        <w:rPr>
          <w:rFonts w:ascii="Times New Roman" w:hAnsi="Times New Roman" w:cs="Times New Roman"/>
          <w:color w:val="auto"/>
          <w:sz w:val="24"/>
        </w:rPr>
        <w:t>11</w:t>
      </w:r>
      <w:r w:rsidRPr="003A7F76">
        <w:rPr>
          <w:rFonts w:ascii="Times New Roman" w:hAnsi="Times New Roman" w:cs="Times New Roman"/>
          <w:color w:val="auto"/>
          <w:sz w:val="24"/>
        </w:rPr>
        <w:t xml:space="preserve">. prikazuje ovisnost dnevnog vršnog opterećenja Zagreba o prosječnoj </w:t>
      </w:r>
      <w:r w:rsidRPr="00FF1E38">
        <w:rPr>
          <w:rFonts w:ascii="Times New Roman" w:hAnsi="Times New Roman" w:cs="Times New Roman"/>
          <w:sz w:val="24"/>
        </w:rPr>
        <w:t>dnevnoj temperaturi u 2013. godini.</w:t>
      </w:r>
    </w:p>
    <w:p w14:paraId="3262969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Zaključak je kako iznad 30°C dolazi do znatnijeg porasta opterećenja elektroenergetske mreže. Prema istraživanju, iznad te temperature opterećenje raste s koeficijentom 11,3 MW/°C (promatrano za radne dane). Ovi podaci su korisni kao pokazatelji dodatnog energetskog opterećenja prilikom rashlađivanja organizma pogođenog stanovništva u Zagrebu tijekom obolijevanja od toplinskog udara kad dolazi do zakazivanja termoregulacije, prestanka znojenja a unutarnja temperatura tijela se prilično poveća te se aktiviraju upalni kaskadni procesi i dolazi do vitalne ugroženosti ljudi s mogućim organskim zatajenjem. Stoga je iznimno važno pravovremeno i dovoljno dugotrajno osigurati optimalne mikroklimatske uvjete i najugroženijim skupinama građana.</w:t>
      </w:r>
    </w:p>
    <w:p w14:paraId="0B38CBEB" w14:textId="77777777" w:rsidR="00FF1E38" w:rsidRPr="00FF1E38" w:rsidRDefault="00FF1E38" w:rsidP="00FF1E38">
      <w:pPr>
        <w:spacing w:after="0" w:line="240" w:lineRule="auto"/>
        <w:ind w:left="0" w:right="0" w:firstLine="709"/>
        <w:rPr>
          <w:rFonts w:ascii="Times New Roman" w:hAnsi="Times New Roman" w:cs="Times New Roman"/>
          <w:sz w:val="24"/>
        </w:rPr>
      </w:pPr>
    </w:p>
    <w:p w14:paraId="1CF39BC3" w14:textId="77777777" w:rsidR="00FF1E38" w:rsidRPr="00FF1E38" w:rsidRDefault="00FF1E38" w:rsidP="00FF1E38">
      <w:pPr>
        <w:spacing w:after="0" w:line="240" w:lineRule="auto"/>
        <w:ind w:left="0" w:right="0" w:firstLine="709"/>
        <w:rPr>
          <w:rFonts w:ascii="Times New Roman" w:hAnsi="Times New Roman" w:cs="Times New Roman"/>
          <w:sz w:val="24"/>
        </w:rPr>
      </w:pPr>
    </w:p>
    <w:p w14:paraId="48AB53D1" w14:textId="77777777" w:rsidR="00FF1E38" w:rsidRPr="00FF1E38" w:rsidRDefault="00FF1E38" w:rsidP="00FF1E38">
      <w:pPr>
        <w:spacing w:after="0" w:line="240" w:lineRule="auto"/>
        <w:ind w:left="0" w:right="0" w:firstLine="709"/>
        <w:rPr>
          <w:rFonts w:ascii="Times New Roman" w:hAnsi="Times New Roman" w:cs="Times New Roman"/>
          <w:sz w:val="24"/>
        </w:rPr>
      </w:pPr>
    </w:p>
    <w:p w14:paraId="6FBB59CE" w14:textId="33E6889C" w:rsidR="00FF1E38" w:rsidRDefault="00FF1E38" w:rsidP="00FF1E38">
      <w:pPr>
        <w:spacing w:after="0" w:line="240" w:lineRule="auto"/>
        <w:ind w:left="0" w:right="0" w:firstLine="709"/>
        <w:rPr>
          <w:rFonts w:ascii="Times New Roman" w:hAnsi="Times New Roman" w:cs="Times New Roman"/>
          <w:sz w:val="24"/>
        </w:rPr>
      </w:pPr>
    </w:p>
    <w:p w14:paraId="2E139C12" w14:textId="41571862" w:rsidR="002F1B29" w:rsidRDefault="002F1B29" w:rsidP="00FF1E38">
      <w:pPr>
        <w:spacing w:after="0" w:line="240" w:lineRule="auto"/>
        <w:ind w:left="0" w:right="0" w:firstLine="709"/>
        <w:rPr>
          <w:rFonts w:ascii="Times New Roman" w:hAnsi="Times New Roman" w:cs="Times New Roman"/>
          <w:sz w:val="24"/>
        </w:rPr>
      </w:pPr>
    </w:p>
    <w:p w14:paraId="454F4A22" w14:textId="77777777" w:rsidR="002F1B29" w:rsidRPr="00FF1E38" w:rsidRDefault="002F1B29" w:rsidP="00FF1E38">
      <w:pPr>
        <w:spacing w:after="0" w:line="240" w:lineRule="auto"/>
        <w:ind w:left="0" w:right="0" w:firstLine="709"/>
        <w:rPr>
          <w:rFonts w:ascii="Times New Roman" w:hAnsi="Times New Roman" w:cs="Times New Roman"/>
          <w:sz w:val="24"/>
        </w:rPr>
      </w:pPr>
    </w:p>
    <w:p w14:paraId="01712EB9" w14:textId="18A3AF84" w:rsidR="00FF1E38" w:rsidRPr="00FF1E38" w:rsidRDefault="00FF1E38" w:rsidP="002F1B29">
      <w:pPr>
        <w:spacing w:line="240" w:lineRule="auto"/>
        <w:ind w:left="0" w:right="0" w:firstLine="709"/>
        <w:jc w:val="center"/>
        <w:rPr>
          <w:rFonts w:ascii="Times New Roman" w:hAnsi="Times New Roman" w:cs="Times New Roman"/>
          <w:sz w:val="24"/>
        </w:rPr>
      </w:pPr>
      <w:r w:rsidRPr="003A7F76">
        <w:rPr>
          <w:rFonts w:ascii="Times New Roman" w:hAnsi="Times New Roman" w:cs="Times New Roman"/>
          <w:b/>
          <w:color w:val="auto"/>
          <w:sz w:val="24"/>
        </w:rPr>
        <w:lastRenderedPageBreak/>
        <w:t>Grafikon 1</w:t>
      </w:r>
      <w:r w:rsidR="003A7F76" w:rsidRPr="003A7F76">
        <w:rPr>
          <w:rFonts w:ascii="Times New Roman" w:hAnsi="Times New Roman" w:cs="Times New Roman"/>
          <w:b/>
          <w:color w:val="auto"/>
          <w:sz w:val="24"/>
        </w:rPr>
        <w:t>1</w:t>
      </w:r>
      <w:r w:rsidRPr="003A7F76">
        <w:rPr>
          <w:rFonts w:ascii="Times New Roman" w:hAnsi="Times New Roman" w:cs="Times New Roman"/>
          <w:b/>
          <w:color w:val="auto"/>
          <w:sz w:val="24"/>
        </w:rPr>
        <w:t xml:space="preserve">. Dnevno vršno opterećenje Zagreba i ovisnost o prosječnoj dnevnoj </w:t>
      </w:r>
      <w:r w:rsidRPr="00FF1E38">
        <w:rPr>
          <w:rFonts w:ascii="Times New Roman" w:hAnsi="Times New Roman" w:cs="Times New Roman"/>
          <w:b/>
          <w:sz w:val="24"/>
        </w:rPr>
        <w:t>temperaturi u 2013.</w:t>
      </w:r>
    </w:p>
    <w:p w14:paraId="7B106C7C" w14:textId="77777777" w:rsidR="00FF1E38" w:rsidRPr="00FF1E38" w:rsidRDefault="00FF1E38" w:rsidP="00FF1E38">
      <w:pPr>
        <w:spacing w:after="0" w:line="240" w:lineRule="auto"/>
        <w:ind w:left="0" w:right="0" w:firstLine="0"/>
        <w:jc w:val="center"/>
        <w:rPr>
          <w:rFonts w:ascii="Times New Roman" w:hAnsi="Times New Roman" w:cs="Times New Roman"/>
          <w:b/>
          <w:sz w:val="24"/>
        </w:rPr>
      </w:pPr>
      <w:r w:rsidRPr="00FF1E38">
        <w:rPr>
          <w:rFonts w:ascii="Times New Roman" w:hAnsi="Times New Roman" w:cs="Times New Roman"/>
          <w:noProof/>
          <w:sz w:val="24"/>
        </w:rPr>
        <w:drawing>
          <wp:inline distT="0" distB="0" distL="0" distR="0" wp14:anchorId="2F97E320" wp14:editId="70F1127F">
            <wp:extent cx="4681221" cy="2910840"/>
            <wp:effectExtent l="0" t="0" r="0" b="0"/>
            <wp:docPr id="54117" name="Picture 54117"/>
            <wp:cNvGraphicFramePr/>
            <a:graphic xmlns:a="http://schemas.openxmlformats.org/drawingml/2006/main">
              <a:graphicData uri="http://schemas.openxmlformats.org/drawingml/2006/picture">
                <pic:pic xmlns:pic="http://schemas.openxmlformats.org/drawingml/2006/picture">
                  <pic:nvPicPr>
                    <pic:cNvPr id="54117" name="Picture 54117"/>
                    <pic:cNvPicPr/>
                  </pic:nvPicPr>
                  <pic:blipFill>
                    <a:blip r:embed="rId142"/>
                    <a:stretch>
                      <a:fillRect/>
                    </a:stretch>
                  </pic:blipFill>
                  <pic:spPr>
                    <a:xfrm>
                      <a:off x="0" y="0"/>
                      <a:ext cx="4681221" cy="2910840"/>
                    </a:xfrm>
                    <a:prstGeom prst="rect">
                      <a:avLst/>
                    </a:prstGeom>
                  </pic:spPr>
                </pic:pic>
              </a:graphicData>
            </a:graphic>
          </wp:inline>
        </w:drawing>
      </w:r>
    </w:p>
    <w:p w14:paraId="401EDCF0" w14:textId="77777777" w:rsidR="00FF1E38" w:rsidRPr="00FF1E38" w:rsidRDefault="00FF1E38" w:rsidP="00FF1E38">
      <w:pPr>
        <w:spacing w:after="0" w:line="240" w:lineRule="auto"/>
        <w:ind w:left="0" w:right="0" w:firstLine="0"/>
        <w:jc w:val="center"/>
        <w:rPr>
          <w:rFonts w:ascii="Times New Roman" w:eastAsia="Calibri" w:hAnsi="Times New Roman" w:cs="Times New Roman"/>
          <w:i/>
          <w:sz w:val="20"/>
          <w:szCs w:val="20"/>
        </w:rPr>
      </w:pPr>
      <w:r w:rsidRPr="00FF1E38">
        <w:rPr>
          <w:rFonts w:ascii="Times New Roman" w:eastAsia="Calibri" w:hAnsi="Times New Roman" w:cs="Times New Roman"/>
          <w:i/>
          <w:sz w:val="20"/>
          <w:szCs w:val="20"/>
        </w:rPr>
        <w:t>Izvor: Procjena rizika od katastrofa za Republiku Hrvatsku</w:t>
      </w:r>
    </w:p>
    <w:p w14:paraId="7B0EC1D2" w14:textId="77777777" w:rsidR="00FF1E38" w:rsidRPr="00FF1E38" w:rsidRDefault="00FF1E38" w:rsidP="00FF1E38">
      <w:pPr>
        <w:spacing w:after="0" w:line="240" w:lineRule="auto"/>
        <w:ind w:left="0" w:right="0" w:firstLine="0"/>
        <w:rPr>
          <w:rFonts w:ascii="Times New Roman" w:hAnsi="Times New Roman" w:cs="Times New Roman"/>
          <w:sz w:val="24"/>
        </w:rPr>
      </w:pPr>
    </w:p>
    <w:p w14:paraId="002E7EF1"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Sposobnost sustava zdravstvene zaštite u Gradu Zagrebu da odgovori na ukupnost krize koju toplinski val kao izvanredna okolnost može izazvati, ovisi o zdravstvenim kapacitetima u gradu. Primarna razina su:</w:t>
      </w:r>
    </w:p>
    <w:p w14:paraId="12C89B86"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t>1.</w:t>
      </w:r>
      <w:r w:rsidRPr="00FF1E38">
        <w:rPr>
          <w:rFonts w:ascii="Times New Roman" w:hAnsi="Times New Roman" w:cs="Times New Roman"/>
          <w:sz w:val="24"/>
          <w:u w:color="000000"/>
        </w:rPr>
        <w:tab/>
      </w:r>
      <w:r w:rsidRPr="00FF1E38">
        <w:rPr>
          <w:rFonts w:ascii="Times New Roman" w:hAnsi="Times New Roman" w:cs="Times New Roman"/>
          <w:sz w:val="24"/>
        </w:rPr>
        <w:t>domovi zdravlja i privatne prakse/ordinacije - opće/obiteljske medicine, pedijatrije, ginekologije, stomatologije (25-30 % u sustavu domova zdravlja, 70-75 % privatne prakse);</w:t>
      </w:r>
    </w:p>
    <w:p w14:paraId="35033175"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t>2.</w:t>
      </w:r>
      <w:r w:rsidRPr="00FF1E38">
        <w:rPr>
          <w:rFonts w:ascii="Times New Roman" w:hAnsi="Times New Roman" w:cs="Times New Roman"/>
          <w:sz w:val="24"/>
          <w:u w:color="000000"/>
        </w:rPr>
        <w:tab/>
      </w:r>
      <w:r w:rsidRPr="00FF1E38">
        <w:rPr>
          <w:rFonts w:ascii="Times New Roman" w:hAnsi="Times New Roman" w:cs="Times New Roman"/>
          <w:sz w:val="24"/>
        </w:rPr>
        <w:t>nastavni zavod za hitnu medicinu Grada Zagreba;</w:t>
      </w:r>
    </w:p>
    <w:p w14:paraId="568D2C2D"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t>3.</w:t>
      </w:r>
      <w:r w:rsidRPr="00FF1E38">
        <w:rPr>
          <w:rFonts w:ascii="Times New Roman" w:hAnsi="Times New Roman" w:cs="Times New Roman"/>
          <w:sz w:val="24"/>
          <w:u w:color="000000"/>
        </w:rPr>
        <w:tab/>
      </w:r>
      <w:r w:rsidRPr="00FF1E38">
        <w:rPr>
          <w:rFonts w:ascii="Times New Roman" w:hAnsi="Times New Roman" w:cs="Times New Roman"/>
          <w:sz w:val="24"/>
        </w:rPr>
        <w:t>nastavni zavod za javno zdravstvo "Dr. Andrija Štampar";</w:t>
      </w:r>
    </w:p>
    <w:p w14:paraId="00E4A221"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t>4.</w:t>
      </w:r>
      <w:r w:rsidRPr="00FF1E38">
        <w:rPr>
          <w:rFonts w:ascii="Times New Roman" w:hAnsi="Times New Roman" w:cs="Times New Roman"/>
          <w:sz w:val="24"/>
          <w:u w:color="000000"/>
        </w:rPr>
        <w:tab/>
      </w:r>
      <w:r w:rsidRPr="00FF1E38">
        <w:rPr>
          <w:rFonts w:ascii="Times New Roman" w:hAnsi="Times New Roman" w:cs="Times New Roman"/>
          <w:sz w:val="24"/>
        </w:rPr>
        <w:t>ustanove za medicinu rada i privatne prakse/ordinacije;</w:t>
      </w:r>
    </w:p>
    <w:p w14:paraId="5E2C6F0E"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t>5.</w:t>
      </w:r>
      <w:r w:rsidRPr="00FF1E38">
        <w:rPr>
          <w:rFonts w:ascii="Times New Roman" w:hAnsi="Times New Roman" w:cs="Times New Roman"/>
          <w:sz w:val="24"/>
          <w:u w:color="000000"/>
        </w:rPr>
        <w:tab/>
      </w:r>
      <w:r w:rsidRPr="00FF1E38">
        <w:rPr>
          <w:rFonts w:ascii="Times New Roman" w:hAnsi="Times New Roman" w:cs="Times New Roman"/>
          <w:sz w:val="24"/>
        </w:rPr>
        <w:t>ustanove za njegu bolesnika i privatne prakse za njegu bolesnika;</w:t>
      </w:r>
    </w:p>
    <w:p w14:paraId="69AD4639"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t>6.</w:t>
      </w:r>
      <w:r w:rsidRPr="00FF1E38">
        <w:rPr>
          <w:rFonts w:ascii="Times New Roman" w:hAnsi="Times New Roman" w:cs="Times New Roman"/>
          <w:sz w:val="24"/>
          <w:u w:color="000000"/>
        </w:rPr>
        <w:tab/>
      </w:r>
      <w:r w:rsidRPr="00FF1E38">
        <w:rPr>
          <w:rFonts w:ascii="Times New Roman" w:hAnsi="Times New Roman" w:cs="Times New Roman"/>
          <w:sz w:val="24"/>
        </w:rPr>
        <w:t>ljekarničke ustanove i ljekarne;</w:t>
      </w:r>
    </w:p>
    <w:p w14:paraId="376BF1B8"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t>7.</w:t>
      </w:r>
      <w:r w:rsidRPr="00FF1E38">
        <w:rPr>
          <w:rFonts w:ascii="Times New Roman" w:hAnsi="Times New Roman" w:cs="Times New Roman"/>
          <w:sz w:val="24"/>
          <w:u w:color="000000"/>
        </w:rPr>
        <w:tab/>
      </w:r>
      <w:r w:rsidRPr="00FF1E38">
        <w:rPr>
          <w:rFonts w:ascii="Times New Roman" w:hAnsi="Times New Roman" w:cs="Times New Roman"/>
          <w:sz w:val="24"/>
        </w:rPr>
        <w:t>ustanove za sanitetski prijevoz;</w:t>
      </w:r>
    </w:p>
    <w:p w14:paraId="4324E0BB"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t>8.</w:t>
      </w:r>
      <w:r w:rsidRPr="00FF1E38">
        <w:rPr>
          <w:rFonts w:ascii="Times New Roman" w:hAnsi="Times New Roman" w:cs="Times New Roman"/>
          <w:sz w:val="24"/>
          <w:u w:color="000000"/>
        </w:rPr>
        <w:tab/>
      </w:r>
      <w:r w:rsidRPr="00FF1E38">
        <w:rPr>
          <w:rFonts w:ascii="Times New Roman" w:hAnsi="Times New Roman" w:cs="Times New Roman"/>
          <w:sz w:val="24"/>
        </w:rPr>
        <w:t>medicinsko-biokemijski laboratoriji;</w:t>
      </w:r>
    </w:p>
    <w:p w14:paraId="78CE4B4F"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t>9.</w:t>
      </w:r>
      <w:r w:rsidRPr="00FF1E38">
        <w:rPr>
          <w:rFonts w:ascii="Times New Roman" w:hAnsi="Times New Roman" w:cs="Times New Roman"/>
          <w:sz w:val="24"/>
          <w:u w:color="000000"/>
        </w:rPr>
        <w:tab/>
      </w:r>
      <w:r w:rsidRPr="00FF1E38">
        <w:rPr>
          <w:rFonts w:ascii="Times New Roman" w:hAnsi="Times New Roman" w:cs="Times New Roman"/>
          <w:sz w:val="24"/>
        </w:rPr>
        <w:t>ustanove za zdravstvenu skrb.</w:t>
      </w:r>
    </w:p>
    <w:p w14:paraId="1D2C0CB0" w14:textId="77777777" w:rsidR="00FF1E38" w:rsidRPr="00FF1E38" w:rsidRDefault="00FF1E38" w:rsidP="00FF1E38">
      <w:pPr>
        <w:spacing w:after="0" w:line="240" w:lineRule="auto"/>
        <w:ind w:right="0"/>
        <w:rPr>
          <w:rFonts w:ascii="Times New Roman" w:hAnsi="Times New Roman" w:cs="Times New Roman"/>
          <w:sz w:val="24"/>
        </w:rPr>
      </w:pPr>
    </w:p>
    <w:p w14:paraId="3DEF807F"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Sekundarna razina su:</w:t>
      </w:r>
    </w:p>
    <w:p w14:paraId="282169B2"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t>1.</w:t>
      </w:r>
      <w:r w:rsidRPr="00FF1E38">
        <w:rPr>
          <w:rFonts w:ascii="Times New Roman" w:hAnsi="Times New Roman" w:cs="Times New Roman"/>
          <w:sz w:val="24"/>
          <w:u w:color="000000"/>
        </w:rPr>
        <w:tab/>
      </w:r>
      <w:r w:rsidRPr="00FF1E38">
        <w:rPr>
          <w:rFonts w:ascii="Times New Roman" w:hAnsi="Times New Roman" w:cs="Times New Roman"/>
          <w:sz w:val="24"/>
        </w:rPr>
        <w:t>poliklinike i specijalističke ordinacije;</w:t>
      </w:r>
    </w:p>
    <w:p w14:paraId="24E0982C"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t>2.</w:t>
      </w:r>
      <w:r w:rsidRPr="00FF1E38">
        <w:rPr>
          <w:rFonts w:ascii="Times New Roman" w:hAnsi="Times New Roman" w:cs="Times New Roman"/>
          <w:sz w:val="24"/>
          <w:u w:color="000000"/>
        </w:rPr>
        <w:tab/>
      </w:r>
      <w:r w:rsidRPr="00FF1E38">
        <w:rPr>
          <w:rFonts w:ascii="Times New Roman" w:hAnsi="Times New Roman" w:cs="Times New Roman"/>
          <w:sz w:val="24"/>
        </w:rPr>
        <w:t>trgovačka društva za obavljanje zdravstvene djelatnosti;</w:t>
      </w:r>
    </w:p>
    <w:p w14:paraId="573AA6E6"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t>3.</w:t>
      </w:r>
      <w:r w:rsidRPr="00FF1E38">
        <w:rPr>
          <w:rFonts w:ascii="Times New Roman" w:hAnsi="Times New Roman" w:cs="Times New Roman"/>
          <w:sz w:val="24"/>
          <w:u w:color="000000"/>
        </w:rPr>
        <w:tab/>
      </w:r>
      <w:r w:rsidRPr="00FF1E38">
        <w:rPr>
          <w:rFonts w:ascii="Times New Roman" w:hAnsi="Times New Roman" w:cs="Times New Roman"/>
          <w:sz w:val="24"/>
        </w:rPr>
        <w:t>specijalne bolnice.</w:t>
      </w:r>
    </w:p>
    <w:p w14:paraId="0021BA5F" w14:textId="77777777" w:rsidR="00FF1E38" w:rsidRPr="00FF1E38" w:rsidRDefault="00FF1E38" w:rsidP="00FF1E38">
      <w:pPr>
        <w:spacing w:after="0" w:line="240" w:lineRule="auto"/>
        <w:ind w:right="0"/>
        <w:rPr>
          <w:rFonts w:ascii="Times New Roman" w:hAnsi="Times New Roman" w:cs="Times New Roman"/>
          <w:sz w:val="24"/>
        </w:rPr>
      </w:pPr>
    </w:p>
    <w:p w14:paraId="28F788CF"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Tercijarnu razinu su:</w:t>
      </w:r>
    </w:p>
    <w:p w14:paraId="3B482CD1"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rPr>
        <w:t>1.</w:t>
      </w:r>
      <w:r w:rsidRPr="00FF1E38">
        <w:rPr>
          <w:rFonts w:ascii="Times New Roman" w:hAnsi="Times New Roman" w:cs="Times New Roman"/>
          <w:sz w:val="24"/>
        </w:rPr>
        <w:tab/>
        <w:t>klinike;</w:t>
      </w:r>
    </w:p>
    <w:p w14:paraId="5AEC17F4"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rPr>
        <w:t>2.</w:t>
      </w:r>
      <w:r w:rsidRPr="00FF1E38">
        <w:rPr>
          <w:rFonts w:ascii="Times New Roman" w:hAnsi="Times New Roman" w:cs="Times New Roman"/>
          <w:sz w:val="24"/>
        </w:rPr>
        <w:tab/>
        <w:t>kliničke bolnice;</w:t>
      </w:r>
    </w:p>
    <w:p w14:paraId="2E5FD72A"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rPr>
        <w:t>3.</w:t>
      </w:r>
      <w:r w:rsidRPr="00FF1E38">
        <w:rPr>
          <w:rFonts w:ascii="Times New Roman" w:hAnsi="Times New Roman" w:cs="Times New Roman"/>
          <w:sz w:val="24"/>
        </w:rPr>
        <w:tab/>
        <w:t>klinički bolnički centri;</w:t>
      </w:r>
    </w:p>
    <w:p w14:paraId="2DCE32D6"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t>4.</w:t>
      </w:r>
      <w:r w:rsidRPr="00FF1E38">
        <w:rPr>
          <w:rFonts w:ascii="Times New Roman" w:hAnsi="Times New Roman" w:cs="Times New Roman"/>
          <w:sz w:val="24"/>
          <w:u w:color="000000"/>
        </w:rPr>
        <w:tab/>
      </w:r>
      <w:r w:rsidRPr="00FF1E38">
        <w:rPr>
          <w:rFonts w:ascii="Times New Roman" w:hAnsi="Times New Roman" w:cs="Times New Roman"/>
          <w:sz w:val="24"/>
        </w:rPr>
        <w:t>državni zavodi.</w:t>
      </w:r>
    </w:p>
    <w:p w14:paraId="5A8107A5" w14:textId="77777777" w:rsidR="00FF1E38" w:rsidRPr="00FF1E38" w:rsidRDefault="00FF1E38" w:rsidP="00FF1E38">
      <w:pPr>
        <w:spacing w:after="0" w:line="240" w:lineRule="auto"/>
        <w:ind w:right="0"/>
        <w:rPr>
          <w:rFonts w:ascii="Times New Roman" w:hAnsi="Times New Roman" w:cs="Times New Roman"/>
          <w:sz w:val="24"/>
        </w:rPr>
      </w:pPr>
    </w:p>
    <w:p w14:paraId="230F1EDC" w14:textId="2236154E"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Ukupna površina bolničkih objekata u Gradu Zagrebu iznosi 128.489 m</w:t>
      </w:r>
      <w:r w:rsidRPr="00FF1E38">
        <w:rPr>
          <w:rFonts w:ascii="Times New Roman" w:hAnsi="Times New Roman" w:cs="Times New Roman"/>
          <w:sz w:val="24"/>
          <w:vertAlign w:val="superscript"/>
        </w:rPr>
        <w:t>2</w:t>
      </w:r>
      <w:r w:rsidRPr="00FF1E38">
        <w:rPr>
          <w:rFonts w:ascii="Times New Roman" w:hAnsi="Times New Roman" w:cs="Times New Roman"/>
          <w:sz w:val="24"/>
        </w:rPr>
        <w:t>. U njima se nalazi 6 </w:t>
      </w:r>
      <w:r w:rsidR="00E82F53">
        <w:rPr>
          <w:rFonts w:ascii="Times New Roman" w:hAnsi="Times New Roman" w:cs="Times New Roman"/>
          <w:sz w:val="24"/>
        </w:rPr>
        <w:t>780</w:t>
      </w:r>
      <w:r w:rsidRPr="00FF1E38">
        <w:rPr>
          <w:rFonts w:ascii="Times New Roman" w:hAnsi="Times New Roman" w:cs="Times New Roman"/>
          <w:sz w:val="24"/>
        </w:rPr>
        <w:t xml:space="preserve"> postelja za akutno liječenje. Postoji ukupno sedam bolnica, od toga je pet bolnica </w:t>
      </w:r>
      <w:r w:rsidRPr="00FF1E38">
        <w:rPr>
          <w:rFonts w:ascii="Times New Roman" w:hAnsi="Times New Roman" w:cs="Times New Roman"/>
          <w:sz w:val="24"/>
        </w:rPr>
        <w:lastRenderedPageBreak/>
        <w:t>osnovala država, a dvije Grad Zagreb. Pružanje hitne medicinske pomoći u vrijeme toplinskog vala ovisi o raspoloživim terenskim timovima Nastavnog zavoda za hitnu medicinu.</w:t>
      </w:r>
    </w:p>
    <w:p w14:paraId="161F9034" w14:textId="77777777" w:rsidR="00FF1E38" w:rsidRPr="00FF1E38" w:rsidRDefault="00FF1E38" w:rsidP="00FF1E38">
      <w:pPr>
        <w:spacing w:after="0" w:line="240" w:lineRule="auto"/>
        <w:ind w:left="0" w:right="0" w:firstLine="0"/>
        <w:rPr>
          <w:rFonts w:ascii="Times New Roman" w:hAnsi="Times New Roman" w:cs="Times New Roman"/>
          <w:sz w:val="24"/>
        </w:rPr>
      </w:pPr>
    </w:p>
    <w:p w14:paraId="53EBC9CB"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Zagreb se ubraja među glavne gradove EU-a koje će najviše pogoditi globalno zatopljenje. To pokazuju rezultati istraživanja</w:t>
      </w:r>
      <w:r w:rsidRPr="00FF1E38">
        <w:rPr>
          <w:rFonts w:ascii="Times New Roman" w:hAnsi="Times New Roman" w:cs="Times New Roman"/>
          <w:sz w:val="24"/>
          <w:vertAlign w:val="superscript"/>
        </w:rPr>
        <w:footnoteReference w:id="50"/>
      </w:r>
      <w:r w:rsidRPr="00FF1E38">
        <w:rPr>
          <w:rFonts w:ascii="Times New Roman" w:hAnsi="Times New Roman" w:cs="Times New Roman"/>
          <w:sz w:val="24"/>
        </w:rPr>
        <w:t xml:space="preserve"> kojim je obuhvaćeno 28 glavnih gradova svih država članica EU-a te Moskva, Oslo i švicarski Zürich. Pojavljivanje ekstremnih toplinskih valova u europskim se metropolama znatno povećalo u razdoblju od 1950.–2015. godine. Jaki, ekstremni i vrlo ekstremni toplinski valovi imat će povećanu vjerojatnost pojave u većini gradova od 2021. do 2050. te dalje do razdoblja 2071.-2100. godine. Vrlo ekstremnim toplinskim valovima može biti izložen i Zagreb.</w:t>
      </w:r>
    </w:p>
    <w:p w14:paraId="17A965B6" w14:textId="77777777" w:rsidR="00FF1E38" w:rsidRPr="00FF1E38" w:rsidRDefault="00FF1E38" w:rsidP="00FF1E38">
      <w:pPr>
        <w:spacing w:after="0" w:line="240" w:lineRule="auto"/>
        <w:ind w:left="0" w:right="0" w:firstLine="0"/>
        <w:rPr>
          <w:rFonts w:ascii="Times New Roman" w:hAnsi="Times New Roman" w:cs="Times New Roman"/>
          <w:sz w:val="24"/>
        </w:rPr>
      </w:pPr>
    </w:p>
    <w:p w14:paraId="58AFBF59" w14:textId="77777777" w:rsidR="00FF1E38" w:rsidRP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sz w:val="24"/>
          <w:u w:val="single"/>
        </w:rPr>
        <w:t>Zaključak</w:t>
      </w:r>
    </w:p>
    <w:p w14:paraId="694C9711"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Toplinski valovi zbog klimatskih promjena bit će sve češći i dugotrajniji. Od posljedica djelovanja toplinskih valova najugroženija skupina su djeca i osobe starije od 65 godina i osobe nižeg socioekonomskog statusa koje si ne mogu priuštiti nabavu klimatizacijskih uređaja (najčešće se radi o najrizičnijoj starijoj populaciji) te radnici koji rade na otvorenome (uglavnom građevinski radnici). Toplinski valovi negativno utječu i na elektroenergetski sustav znatno povećavajući potrošnju u ljetnim mjesecima kada je zbog suše i proizvodnja električne energije u pravilu najmanja. Negativan utjecaj toplinskih valova na stanovništvo u urbanim područjima dodatno povećavaju toplinski otoci, koji su detektirani i na području Grada Zagreba.</w:t>
      </w:r>
    </w:p>
    <w:p w14:paraId="3A4C49EF" w14:textId="77777777" w:rsidR="00FF1E38" w:rsidRPr="00FF1E38" w:rsidRDefault="00FF1E38" w:rsidP="00FF1E38">
      <w:pPr>
        <w:spacing w:after="0" w:line="240" w:lineRule="auto"/>
        <w:ind w:right="0"/>
        <w:rPr>
          <w:rFonts w:ascii="Times New Roman" w:hAnsi="Times New Roman" w:cs="Times New Roman"/>
          <w:sz w:val="24"/>
        </w:rPr>
      </w:pPr>
    </w:p>
    <w:p w14:paraId="1BBD18BD" w14:textId="77777777" w:rsidR="00FF1E38" w:rsidRPr="00FF1E38" w:rsidRDefault="00FF1E38" w:rsidP="00FF1E38">
      <w:pPr>
        <w:spacing w:after="0" w:line="240" w:lineRule="auto"/>
        <w:ind w:left="0" w:right="0" w:firstLine="709"/>
        <w:rPr>
          <w:rFonts w:ascii="Times New Roman" w:hAnsi="Times New Roman" w:cs="Times New Roman"/>
          <w:b/>
          <w:sz w:val="24"/>
        </w:rPr>
      </w:pPr>
      <w:bookmarkStart w:id="95" w:name="_Toc2938613"/>
      <w:r w:rsidRPr="00FF1E38">
        <w:rPr>
          <w:rFonts w:ascii="Times New Roman" w:hAnsi="Times New Roman" w:cs="Times New Roman"/>
          <w:b/>
          <w:sz w:val="24"/>
        </w:rPr>
        <w:t>6.4.4. Uzrok</w:t>
      </w:r>
      <w:bookmarkEnd w:id="95"/>
    </w:p>
    <w:p w14:paraId="406AC601" w14:textId="77777777" w:rsidR="00FF1E38" w:rsidRP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sz w:val="24"/>
          <w:u w:val="single"/>
        </w:rPr>
        <w:t>Uzrok pojave toplinskih valova</w:t>
      </w:r>
    </w:p>
    <w:p w14:paraId="5B3AE8CE"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Toplinski valovi su temperaturni ekstremi koji se pojavljuju na nekom području u određenom vremenu. Na ovom području karakteristike toplinskih valova su temperature više od 35°C. Jedan od ključnih faktora koji znatno pridonosi rekordnim vrućinama svakako je iznimno slaba visinska mlazna struja vjetra. Njezin intenzitet uobičajeno varira, međutim klimatske promjene mogu utjecati na njezino slabljenje. Klimatske promjene olakšavaju dublje prodore vrućeg zraka s juga na sjever te hladnoga sa sjevera na jug. Uzrok tome jest činjenica da se Arktik zagrijava brže od ostatka svijeta, što znači da se razlika u temperaturama između njega i suptropskih krajeva smanjuje. Budući da je spomenuta razlika u temperaturama glavni pokretač visinske struje zraka (</w:t>
      </w:r>
      <w:r w:rsidRPr="00FF1E38">
        <w:rPr>
          <w:rFonts w:ascii="Times New Roman" w:hAnsi="Times New Roman" w:cs="Times New Roman"/>
          <w:i/>
          <w:sz w:val="24"/>
        </w:rPr>
        <w:t>jet stream</w:t>
      </w:r>
      <w:r w:rsidRPr="00FF1E38">
        <w:rPr>
          <w:rFonts w:ascii="Times New Roman" w:hAnsi="Times New Roman" w:cs="Times New Roman"/>
          <w:sz w:val="24"/>
        </w:rPr>
        <w:t xml:space="preserve"> ili mlazna struja), ona slabi i usporava. To usporavanje uzrokuje njezino veće krivudanje. Budući da mlazna struja djeluje kao svojevrsna barijera dvaju utjecaja, polarnog i suptropskog, ovakvo krivudanje omogućava dublje prodore toplijeg zraka s juga na sjever ljeti te hladnijeg na jug zimi. Osim što su ti prodori dublji, oni su također i dugotrajniji zbog generalno sporijeg premještanja sustava sa zapada na istok.</w:t>
      </w:r>
    </w:p>
    <w:p w14:paraId="7E021BDF" w14:textId="77777777" w:rsidR="00FF1E38" w:rsidRPr="00FF1E38" w:rsidRDefault="00FF1E38" w:rsidP="00FF1E38">
      <w:pPr>
        <w:spacing w:after="0" w:line="240" w:lineRule="auto"/>
        <w:ind w:right="0"/>
        <w:rPr>
          <w:rFonts w:ascii="Times New Roman" w:hAnsi="Times New Roman" w:cs="Times New Roman"/>
          <w:sz w:val="24"/>
        </w:rPr>
      </w:pPr>
    </w:p>
    <w:p w14:paraId="31F42F93" w14:textId="77777777" w:rsidR="00FF1E38" w:rsidRP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sz w:val="24"/>
          <w:u w:val="single"/>
        </w:rPr>
        <w:t>Uzrok negativnog utjecaja toplinskih valova na stanovništvo</w:t>
      </w:r>
    </w:p>
    <w:p w14:paraId="7FD1F417"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Toplina može biti okidač mnogih zdravstvenih stanja i izazvati umor, srčani ili moždani udar ili konfuziju, te pogoršati postojeće stanje kroničnih bolesnika. Ekonomska analiza zdravstvenih učinaka i prilagodbe na klimatske promjene pokazuje izravne i neizravne posljedice na zdravlje pojave ekstremnih</w:t>
      </w:r>
      <w:r w:rsidRPr="00FF1E38">
        <w:rPr>
          <w:rFonts w:ascii="Times New Roman" w:hAnsi="Times New Roman" w:cs="Times New Roman"/>
          <w:b/>
          <w:sz w:val="24"/>
        </w:rPr>
        <w:t xml:space="preserve"> </w:t>
      </w:r>
      <w:r w:rsidRPr="00FF1E38">
        <w:rPr>
          <w:rFonts w:ascii="Times New Roman" w:hAnsi="Times New Roman" w:cs="Times New Roman"/>
          <w:sz w:val="24"/>
        </w:rPr>
        <w:t xml:space="preserve">temperatura zbog klimatskih promjena, a to su: povećana smrtnost i broj ozljeda, povećan rizik od akutnih zaraznih bolesti, utjecaj na prehranu i razvoj djece, negativan utjecaj na mentalno zdravlje te na pojavnost bolesti srčano-krvožilnog i dišnog sustava. Temperature veće od 35°C s velikim postotkom vlažnosti zraka mogu kod stanovnika izazvati zdravstvene smetnje, a kod osjetljivih ljudi i teže zdravstvene posljedice, pa čak i smrt. Uočen trend povećanja zdravstvenih rizika i povećanja stope smrtnosti tijekom ljetnih toplinskih valova, pokazuje nužnost provedbe preventivnih mjera kako bi se ublažile </w:t>
      </w:r>
      <w:r w:rsidRPr="00FF1E38">
        <w:rPr>
          <w:rFonts w:ascii="Times New Roman" w:hAnsi="Times New Roman" w:cs="Times New Roman"/>
          <w:sz w:val="24"/>
        </w:rPr>
        <w:lastRenderedPageBreak/>
        <w:t>moguće negativne posljedice po zdravlje te smanjio broj umrlih zbog vrućina. Izlaganje visokim temperaturama može izazvati blaže zdravstvene probleme u vidu toplinskih grčeva i toplinske iscrpljenosti ili može dovesti do teških, a ponekad i smrtonosnih stanja, sunčanice i toplinskog udara.</w:t>
      </w:r>
    </w:p>
    <w:p w14:paraId="348E0074"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Toplinski grčevi se manifestiraju bolnim grčevima u rukama, nogama i trbuhu. Zbog gubitka tekućine i soli iz organizma, daljnjim izlaganjem povišenim temperaturama dolazi do toplinske iscrpljenosti: hladna, vlažna koža, žeđ, nervoza, glavobolja, mučnina, povraćanje, ubrzanje pulsa i disanja te nesvjestica. Simptomi sunčanice su suha koža uz osjetno povišenu tjelesnu temperaturu. Osoba se žali na glavobolju, vrtoglavicu, nemir, smušenost. Vidljivo je crvenilo lica. Blagi ili umjereni simptomi su crvenilo, edemi, sinkopa, grčevi, iscrpljenost. Osobe koje zanemare ove simptome, ubrzo će osjetiti zujanje u ušima, probleme s vidom i malaksalost - a u teškim slučajevima osoba je omamljena, raširenih zjenica. Sunčanica je izravna posljedica djelovanja na mozak i krvne žile mozga. Najopasnije stanje je toplinski udar koji zahtijeva hitnu medicinsku intervenciju. Manifestira se povišenom tjelesnom temperaturom iznad 40°C, koža je suha, crvena i topla, prisutna je jaka glavobolja, mučnina, smetenost, gubitak svijesti, smanjenje količine urina.</w:t>
      </w:r>
    </w:p>
    <w:p w14:paraId="46B443C6"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Termoregulacijski mehanizam zdravih odraslih osoba donekle je u stanju prilagoditi se uvjetima okoline, ali mogućnost prilagođavanja je daleko niža za rizične skupine (starije osobe, djecu, ili osobe kompromitiranog zdravlja). Tijelo se hladi otpuštanjem topline preko kože (znojenjem), isijavanjem, isparavanjem. Kad se vanjska temperatura zraka približi tjelesnoj, uglavnom se tijelo hladi isparavanjem. Dugotrajno izlaganje toplini potiče fiziološke promjene kojima se tijelo prilagođava toplini - aklimatizira. To utječe i na protok krvi koji se prilikom toplinskog stresa povećava pa dolazi do tahikardije. Znojenje se povećava zbog čega tijelo brzo dehidrira te se elektroliti poremete.</w:t>
      </w:r>
    </w:p>
    <w:p w14:paraId="0C98D069"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Mala djeca od 0 do 6 godina starosti jako su osjetljiva na dehidraciju te stariji iznad 60 godina života kod kojih je smanjena kompenzatorna srčano-krvožilna sposobnost organizma. Među starijim osobama, razdoblja ekstremne vrućine su povezana s povećanim rizikom od hospitalizacije radi nadoknade tekućine zbog poremećaja elektrolita, zatajenja bubrega, infekcije urinarnog trakta, sepse i toplinskog udara. Ekstremna toplina povećava rizik starijim osobama na 18 % od hospitalizacije za nadoknadu tekućine i od poremećaje elektrolita; 14 % za zatajenje bubrega; 10 % za infekcije mokraćnog sustava i 6 % od sepse. Starije osobe imaju 2½ puta veću vjerojatnost da će biti hospitalizirane od toplinskog udara tijekom razdoblja toplinskog vala nego tijekom dana bez toplinskog vala. Za trošenje prekomjernog stvaranja topline, pretile osobe moraju protok krvi više usmjeriti kroz potkožne žile te stoga imaju veće kardiovaskularno naprezanje i s višim frekvencijama kada su izložene toplinskom stresu. Iz tih razloga, pretili ljudi su osjetljiviji na umjereni toplinski stres, ozljede i toplinski udar.</w:t>
      </w:r>
    </w:p>
    <w:p w14:paraId="5D7FF893"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Povećanje životne dobi najčešće rezultira i povećanjem simptoma kroničnih i akutnih bolesti, invalidnosti, te učestalosti uzimanja lijekova. Ujedno, tjelesna kondicija se smanjuje s povećanjem dobi jer prosječna razina fizičke aktivnosti opada. Kardiovaskularni sustav se više napreže i ostavlja manje srčano-krvožilnih rezervi, te obavljanje bilo kakve aktivnosti postaje stresno. Isto utječe na termoregulacijski kapacitet, odnosno sposobnost transporta topline iz stanica unutar tijela do krvotoka kože. Starenjem se smanjuje mišićna snaga i radna sposobnost, što uz ostalo pridonosi višoj razini rizika za starije osobe tijekom ekstremnih toplinskih uvjeta. Posebno su ranjiva skupina i osobe s invaliditetom kojih u Gradu Zagrebu ima 90.853 odnosno 11,66 % građana te nepokretne osobe, jer ne mogu samostalno i dovoljno učestalo konzumirati vodu.</w:t>
      </w:r>
    </w:p>
    <w:p w14:paraId="11701498" w14:textId="77777777" w:rsidR="00FF1E38" w:rsidRPr="00FF1E38" w:rsidRDefault="00FF1E38" w:rsidP="009926DA">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Hitna medicinska služba u Gradu Zagrebu prosječno ima 150-250 intervencija dnevno. Tijekom pojave toplinskog vala povećavaju se intervencije dnevno za oko 20 % što se procjenjuje na razliku od cca 4.000 prijma više osoba koje su zatražile hitnu medicinsku pomoć u doba trajanja toplinskog vala, a to je više od 3 milijuna kuna financijskog troška. Dan </w:t>
      </w:r>
      <w:r w:rsidRPr="00FF1E38">
        <w:rPr>
          <w:rFonts w:ascii="Times New Roman" w:hAnsi="Times New Roman" w:cs="Times New Roman"/>
          <w:sz w:val="24"/>
        </w:rPr>
        <w:lastRenderedPageBreak/>
        <w:t>hospitalizacije prema DTS šifra dijagnoze T62A vrućica nepoznatog uzroka s KK iznosi 5.700,00 kn a s umanjenim koeficijentom 0,3800 iznosi 2.850,00 kn. Radnik na otvorenome bez primjerene osobne zaštitne opreme, opskrbe tekućinom i dovoljno odmora, svih 8 sati vrlo teškog rada izložen je jakom i direktnom sunčevom svjetlu na kritičnoj temperaturi zraka &gt;30°C te je u opasnosti od toplinskog stresa. Ako radnik radi u kombinezonu od tkanog materijala duplog sloja na dobivenu IVGT</w:t>
      </w:r>
      <w:r w:rsidRPr="00FF1E38">
        <w:rPr>
          <w:rFonts w:ascii="Times New Roman" w:hAnsi="Times New Roman" w:cs="Times New Roman"/>
          <w:sz w:val="24"/>
          <w:vertAlign w:val="superscript"/>
        </w:rPr>
        <w:footnoteReference w:id="51"/>
      </w:r>
      <w:r w:rsidRPr="00FF1E38">
        <w:rPr>
          <w:rFonts w:ascii="Times New Roman" w:hAnsi="Times New Roman" w:cs="Times New Roman"/>
          <w:sz w:val="24"/>
        </w:rPr>
        <w:t xml:space="preserve"> vrijednost od 38°C dodaje se još korekcija od 3°C pa se vrijednost IVGT indeksa penje na 41°C, što znači da se radnik nalazi u kategoriji "opasno" gdje su mogući toplinski grčevi i bez daljeg nastavka rada. Pored Indeksa vlažne globusne temperature za analizu uvjeta rada na otvorenome, pri visokim temperaturama, upotrebljava se i </w:t>
      </w:r>
      <w:r w:rsidRPr="00FF1E38">
        <w:rPr>
          <w:rFonts w:ascii="Times New Roman" w:hAnsi="Times New Roman" w:cs="Times New Roman"/>
          <w:i/>
          <w:sz w:val="24"/>
        </w:rPr>
        <w:t>humidity index</w:t>
      </w:r>
      <w:r w:rsidRPr="00FF1E38">
        <w:rPr>
          <w:rFonts w:ascii="Times New Roman" w:hAnsi="Times New Roman" w:cs="Times New Roman"/>
          <w:sz w:val="24"/>
        </w:rPr>
        <w:t xml:space="preserve"> - HI. To je jednostavniji način izražavanja toplinskog stresa kojem su izloženi radnici. Ako je izmjerena temperatura zraka 31°C pri relativnoj vlazi od 65 % Humidex iznosi 42°C. Mogući su simptomi toplinskog stresa i obvezno je uzimanje dodatnih količina vode te radnika treba uputiti liječniku. Za rad na direktnom suncu dodaje se 1 do 2°C (ovisno o stupnju naoblake). Kratkotrajna aklimatizacija od toplinskog vala obično traje 3-12 dana.</w:t>
      </w:r>
    </w:p>
    <w:p w14:paraId="13D2C1FF"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Vrlo je važno pravodobno prepoznati simptome toplinskog udara te što prije započeti s hlađenjem tijela: hladni oblozi, prskanje vodom, hlađenje klimatizacijskim uređajem / ventilatorom. Rizični čimbenici koji utječu na posljedice zbog izloženosti toplinskim valovima su:</w:t>
      </w:r>
    </w:p>
    <w:p w14:paraId="1768FEA6" w14:textId="197C943E"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nedostatak klimatizacijskih uređaja u radnim i stambenim prostorima</w:t>
      </w:r>
    </w:p>
    <w:p w14:paraId="31FDE3D2" w14:textId="5B4FC1EC"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loša termoizolacija i stara infrastruktura zgrada</w:t>
      </w:r>
    </w:p>
    <w:p w14:paraId="7419CDFF" w14:textId="1DCF6BCE"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život u gradskim (urbanim) sredinama</w:t>
      </w:r>
    </w:p>
    <w:p w14:paraId="1D00A042"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nedostatak biljne vegetacije i zelenila u gradskim sredinama i</w:t>
      </w:r>
    </w:p>
    <w:p w14:paraId="3C10B7C1"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stanovanje (rad) na zadnjim katovima ili ispod samog krova zgrada gdje je utjecaj zagrijavanja najizraženiji.</w:t>
      </w:r>
    </w:p>
    <w:p w14:paraId="68662E4B" w14:textId="77777777" w:rsidR="00FF1E38" w:rsidRPr="00FF1E38" w:rsidRDefault="00FF1E38" w:rsidP="00FF1E38">
      <w:pPr>
        <w:spacing w:after="0" w:line="240" w:lineRule="auto"/>
        <w:ind w:left="879" w:right="0" w:hanging="170"/>
        <w:rPr>
          <w:rFonts w:ascii="Times New Roman" w:hAnsi="Times New Roman" w:cs="Times New Roman"/>
          <w:sz w:val="24"/>
        </w:rPr>
      </w:pPr>
    </w:p>
    <w:p w14:paraId="330AE284"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Kako bi se građani što bolje zaštitili, uveden je sustav upozoravanja na opasnost od vrućine koji se provodi u razdoblju od 15. svibnja do 15. rujna. Temeljem prognoze temperature zraka za tekući dan i sljedeća četiri dana, Državni hidrometeorološki zavod objavljuje upozorenja na opasnost od vrućine na sljedeće četiri razine: a) nema opasnosti, b) umjerena opasnost, c) velika opasnost, d) vrlo velika opasnost.</w:t>
      </w:r>
    </w:p>
    <w:p w14:paraId="43A0B1AD" w14:textId="77777777" w:rsidR="00FF1E38" w:rsidRPr="00FF1E38" w:rsidRDefault="00FF1E38" w:rsidP="00FF1E38">
      <w:pPr>
        <w:spacing w:after="0" w:line="240" w:lineRule="auto"/>
        <w:ind w:right="0"/>
        <w:rPr>
          <w:rFonts w:ascii="Times New Roman" w:hAnsi="Times New Roman" w:cs="Times New Roman"/>
          <w:sz w:val="24"/>
        </w:rPr>
      </w:pPr>
    </w:p>
    <w:p w14:paraId="06CD1DE1"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t>6.4.4.1. Razvoj događaja</w:t>
      </w:r>
    </w:p>
    <w:p w14:paraId="06000706"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Zdravstveni problemi uzrokovani visokim temperaturama javljaju se kada centar za regulaciju temperature koji se nalazi u mozgu, ne može održavati normalnu tjelesnu temperaturu. Visoke temperature i izlaganje suncu mogu nepovoljno djelovati na zdrave osobe, a posebno na osjetljive skupine kao što su mala djeca, starije osobe, pretili i kronični bolesnici, posebno srčano-žilni, plućni i psihički bolesnici. Uzimanje pojedinih lijekova može povećati osjetljivost na visoke temperature. Pojedini lijekovi sprječavaju i smanjuju znojenje (npr. lijekovi za liječenje Parkinsonove bolesti, antipsihotici, antidepresivi), a pojedini mogu dovesti do dehidracije i poremećaja elektrolita (diuretici). Općenito, pri višim temperaturama javlja se umor, tromost, težina u cijelom tijelu, pospanost, dekoncentracija i otežano disanje. Porast temperature zraka vrlo je često praćen i visokim postotkom vlage u zraku što dodatno otežava prilagodbu organizma na visoke temperature. Zdravstveni problemi uzrokovani visokim temperaturama javljaju se kada organizam više ne može održavati normalnu tjelesnu temperaturu.</w:t>
      </w:r>
    </w:p>
    <w:p w14:paraId="5D7B650A" w14:textId="3F72B0C2" w:rsidR="002F1B29" w:rsidRDefault="002F1B29" w:rsidP="008D74A2">
      <w:pPr>
        <w:spacing w:after="0" w:line="240" w:lineRule="auto"/>
        <w:ind w:left="0" w:right="0" w:firstLine="0"/>
        <w:rPr>
          <w:rFonts w:ascii="Times New Roman" w:hAnsi="Times New Roman" w:cs="Times New Roman"/>
          <w:sz w:val="24"/>
        </w:rPr>
      </w:pPr>
    </w:p>
    <w:p w14:paraId="2DF3C8D6" w14:textId="7C6C82B8" w:rsidR="008D74A2" w:rsidRDefault="008D74A2" w:rsidP="008D74A2">
      <w:pPr>
        <w:spacing w:after="0" w:line="240" w:lineRule="auto"/>
        <w:ind w:left="0" w:right="0" w:firstLine="0"/>
        <w:rPr>
          <w:rFonts w:ascii="Times New Roman" w:hAnsi="Times New Roman" w:cs="Times New Roman"/>
          <w:sz w:val="24"/>
        </w:rPr>
      </w:pPr>
    </w:p>
    <w:p w14:paraId="69DFC9E6" w14:textId="77777777" w:rsidR="008D74A2" w:rsidRPr="00FF1E38" w:rsidRDefault="008D74A2" w:rsidP="008D74A2">
      <w:pPr>
        <w:spacing w:after="0" w:line="240" w:lineRule="auto"/>
        <w:ind w:left="0" w:right="0" w:firstLine="0"/>
        <w:rPr>
          <w:rFonts w:ascii="Times New Roman" w:hAnsi="Times New Roman" w:cs="Times New Roman"/>
          <w:sz w:val="24"/>
        </w:rPr>
      </w:pPr>
    </w:p>
    <w:p w14:paraId="6A2AB99D"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lastRenderedPageBreak/>
        <w:t>6.4.4.2. Okidač koji je uzrokovao događaj</w:t>
      </w:r>
    </w:p>
    <w:p w14:paraId="041F9B93"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zadnjem desetljeću uočava se trend porasta temperature u ljetnom razdoblju koji utječe na zdravstveno stanje ljudi. Direktno izlaganje sunčanim zrakama te boravak u zatvorenim prostorijama koje nemaju adekvatan rashladni sistem, odnosno nema potrebnog prozračivanja ili provjetravanja te velika količina vlage u zraku nepovoljno djeluju na ljudski organizam. Neprovođenje pravodobnih mjera zaštite rezultira simptomima toplotnog udara koji može imati i smrtonosne posljedice. Također, nagli izlasci iz previše rashlađenih prostora, pogotovo automobila, dovode do stanja šoka organizma radi prekratkog vremena prilagodbe na nagle promjene temperature.</w:t>
      </w:r>
    </w:p>
    <w:p w14:paraId="4B9FFA38"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S obzirom na proljetne hladnije vremenske prilike koje prethode toplinskom ekstremu, osjetljivost ljudi na nagli temperaturni porast, nije prilagođena. Posebno nepovoljan učinak na ljudski organizam ovaj klimatski stres uzrokuje pri nagloj, iznenadnoj pojavi ekstremno visokih temperatura koje potraju dulje vrijeme. Cijeli grad Zagreb je jedna klimatska regija i toplinski val zahvaća cijelo stanovništvo. Iznenadni porast temperature zraka često je praćen i visokim postotkom vlage u zraku. Dakle izrazito toplo vrijeme u dugotrajnijem razdoblju mjereno u odnosu na uobičajen vremenski obrazac određenog područja (Grada Zagreba) u promatranom godišnjem dobu dovodi do toplinskog vala.</w:t>
      </w:r>
    </w:p>
    <w:p w14:paraId="534F0970" w14:textId="77777777" w:rsidR="00FF1E38" w:rsidRPr="00FF1E38" w:rsidRDefault="00FF1E38" w:rsidP="00FF1E38">
      <w:pPr>
        <w:spacing w:after="0" w:line="240" w:lineRule="auto"/>
        <w:ind w:right="0"/>
        <w:rPr>
          <w:rFonts w:ascii="Times New Roman" w:hAnsi="Times New Roman" w:cs="Times New Roman"/>
          <w:sz w:val="24"/>
        </w:rPr>
      </w:pPr>
    </w:p>
    <w:p w14:paraId="1A29F863" w14:textId="77777777" w:rsidR="00FF1E38" w:rsidRPr="00FF1E38" w:rsidRDefault="00FF1E38" w:rsidP="00FF1E38">
      <w:pPr>
        <w:spacing w:after="0" w:line="240" w:lineRule="auto"/>
        <w:ind w:left="0" w:right="0" w:firstLine="709"/>
        <w:rPr>
          <w:rFonts w:ascii="Times New Roman" w:hAnsi="Times New Roman" w:cs="Times New Roman"/>
          <w:b/>
          <w:sz w:val="24"/>
        </w:rPr>
      </w:pPr>
      <w:bookmarkStart w:id="96" w:name="_Toc2938614"/>
      <w:r w:rsidRPr="00FF1E38">
        <w:rPr>
          <w:rFonts w:ascii="Times New Roman" w:hAnsi="Times New Roman" w:cs="Times New Roman"/>
          <w:b/>
          <w:sz w:val="24"/>
        </w:rPr>
        <w:t>6.4.5. Opis događaja</w:t>
      </w:r>
      <w:bookmarkEnd w:id="96"/>
    </w:p>
    <w:p w14:paraId="572ABA9E" w14:textId="77777777" w:rsidR="00FF1E38" w:rsidRPr="00FF1E38" w:rsidRDefault="00FF1E38" w:rsidP="00FF1E38">
      <w:pPr>
        <w:spacing w:after="0" w:line="240" w:lineRule="auto"/>
        <w:ind w:left="0" w:right="0" w:firstLine="709"/>
        <w:rPr>
          <w:rFonts w:ascii="Times New Roman" w:hAnsi="Times New Roman" w:cs="Times New Roman"/>
          <w:i/>
          <w:sz w:val="24"/>
        </w:rPr>
      </w:pPr>
      <w:r w:rsidRPr="00FF1E38">
        <w:rPr>
          <w:rFonts w:ascii="Times New Roman" w:hAnsi="Times New Roman" w:cs="Times New Roman"/>
          <w:i/>
          <w:sz w:val="24"/>
          <w:u w:val="single" w:color="000000"/>
        </w:rPr>
        <w:t>Napomena</w:t>
      </w:r>
      <w:r w:rsidRPr="00FF1E38">
        <w:rPr>
          <w:rFonts w:ascii="Times New Roman" w:hAnsi="Times New Roman" w:cs="Times New Roman"/>
          <w:i/>
          <w:sz w:val="24"/>
        </w:rPr>
        <w:t>: Scenarij je orijentacijski i opisuje najgoru moguću situaciju. Mala je vjerojatnost da sve okolnosti budu najnepovoljnije, ali se u scenariju opisuje skup svih mogućih a malo izglednih događaja povezanih s prijetnjom. Cilj tako postavljenog scenarija je potaknuti na promišljanje o preventivnim mjerama koje je potrebno poduzeti kako bi se smanjio rizik i ojačala spremnost.</w:t>
      </w:r>
    </w:p>
    <w:p w14:paraId="1D461246"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Sredinom kolovoza, nakon klimatološki vrlo sušnog prvog dijela godine i kratkotrajnog razdoblja ispodprosječnih temperatura zraka, naglo je zatoplilo, odnosno pojavio se toplinski val s vrlo visokim postotkom vlage u zraku. Maksimalna dnevna temperatura zraka na meteorološkoj postaji Grič već je tjedan dana iznad 37°C, a minimalna temperatura ne spušta se ispod 22,9°C. Vrijeme je sparno, bez vjetra. Unatoč tome što su mediji prenijeli priopćenja da posebno osobe starije životne dobi piju puno tekućine, izbjegavaju boravak na otvorenome te po mogućnosti borave u klimatiziranim prostorima, velik je broj intervencija zbog ljudi koji kolabiraju po ulicama. Zbog ekstremno visokih temperatura i povećane potrošnje električne energije preopterećena su elektroenergetska postrojenja i vodovi što uzrokuje povremene kvarove i prekide isporuke električne energije</w:t>
      </w:r>
      <w:r w:rsidRPr="00FF1E38">
        <w:rPr>
          <w:rFonts w:ascii="Times New Roman" w:hAnsi="Times New Roman" w:cs="Times New Roman"/>
          <w:sz w:val="24"/>
          <w:vertAlign w:val="superscript"/>
        </w:rPr>
        <w:footnoteReference w:id="52"/>
      </w:r>
      <w:r w:rsidRPr="00FF1E38">
        <w:rPr>
          <w:rFonts w:ascii="Times New Roman" w:hAnsi="Times New Roman" w:cs="Times New Roman"/>
          <w:sz w:val="24"/>
        </w:rPr>
        <w:t>. Osim toga, dodatna teškoća uz toplinski val je dugotrajna suša. Još prije mjesec dana zbog suše HEP je izdao priopćenje u kojem najavljuju redukcije struje u slučaju da suša potraje još tridesetak dana, a nedavno su srušeni i rekordi potrošnje struje te se potrošnja unatoč upozorenjima o racionalnom trošenju ne smanjuje. Budući da je sušom zahvaćen veći dio Europe uvoz električne energije je otežan, a cijene su vrlo visoke zbog nedostatka prijenosnih kapaciteta</w:t>
      </w:r>
      <w:r w:rsidRPr="00FF1E38">
        <w:rPr>
          <w:rFonts w:ascii="Times New Roman" w:hAnsi="Times New Roman" w:cs="Times New Roman"/>
          <w:sz w:val="24"/>
          <w:vertAlign w:val="superscript"/>
        </w:rPr>
        <w:footnoteReference w:id="53"/>
      </w:r>
      <w:r w:rsidRPr="00FF1E38">
        <w:rPr>
          <w:rFonts w:ascii="Times New Roman" w:hAnsi="Times New Roman" w:cs="Times New Roman"/>
          <w:sz w:val="24"/>
        </w:rPr>
        <w:t>. Uz redukciju struje što rezultira nedolaskom radnika na posao zbog nemogućih uvjeta u radnim prostorima (ne rade klimatizacijski uređaji), došlo je i do problema s opskrbom pitkom vodom na području Grada zbog povećane potrošnje te dugotrajnog sušnog razdoblja.</w:t>
      </w:r>
    </w:p>
    <w:p w14:paraId="2437B6DC" w14:textId="54B7B801" w:rsidR="00FF1E38" w:rsidRDefault="00FF1E38" w:rsidP="00FF1E38">
      <w:pPr>
        <w:spacing w:after="0" w:line="240" w:lineRule="auto"/>
        <w:ind w:right="0"/>
        <w:rPr>
          <w:rFonts w:ascii="Times New Roman" w:hAnsi="Times New Roman" w:cs="Times New Roman"/>
          <w:sz w:val="24"/>
        </w:rPr>
      </w:pPr>
    </w:p>
    <w:p w14:paraId="271ADA27" w14:textId="4C2FD133" w:rsidR="002F1B29" w:rsidRDefault="002F1B29" w:rsidP="00FF1E38">
      <w:pPr>
        <w:spacing w:after="0" w:line="240" w:lineRule="auto"/>
        <w:ind w:right="0"/>
        <w:rPr>
          <w:rFonts w:ascii="Times New Roman" w:hAnsi="Times New Roman" w:cs="Times New Roman"/>
          <w:sz w:val="24"/>
        </w:rPr>
      </w:pPr>
    </w:p>
    <w:p w14:paraId="617972DC" w14:textId="77777777" w:rsidR="002F1B29" w:rsidRPr="00FF1E38" w:rsidRDefault="002F1B29" w:rsidP="00FF1E38">
      <w:pPr>
        <w:spacing w:after="0" w:line="240" w:lineRule="auto"/>
        <w:ind w:right="0"/>
        <w:rPr>
          <w:rFonts w:ascii="Times New Roman" w:hAnsi="Times New Roman" w:cs="Times New Roman"/>
          <w:sz w:val="24"/>
        </w:rPr>
      </w:pPr>
    </w:p>
    <w:p w14:paraId="086EEEF1"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lastRenderedPageBreak/>
        <w:t>6.4.5.1. Posljedice</w:t>
      </w:r>
    </w:p>
    <w:p w14:paraId="22D13EF0"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Toplinski valovi uzrokuju ozbiljne zdravstvene i socijalne posljedice zbog nagle pojave toplinskog vala s maksimalnom dnevnom temperaturom zraka iznad 37,1°C u trajanju od preko tjedan dana odnosno s minimalnom temperaturom zraka 22,9°C u trajanju od četiri i više uzastopnih dana. Nakon izlaganja ovim ekstremnim temperaturama ljudski organizam ulazi u stanje šoka tzv. toplinskog udara - stanje hipertermije (povišene tjelesne temperature) praćene sistemskim upalnim odgovorom tijela koji uzrokuje višestruko zatajenje organa i često smrt. Simptomi su temperatura &gt;40°C i</w:t>
      </w:r>
      <w:r w:rsidRPr="00FF1E38">
        <w:rPr>
          <w:rFonts w:ascii="Times New Roman" w:eastAsia="Calibri" w:hAnsi="Times New Roman" w:cs="Times New Roman"/>
          <w:sz w:val="24"/>
        </w:rPr>
        <w:t xml:space="preserve"> </w:t>
      </w:r>
      <w:r w:rsidRPr="00FF1E38">
        <w:rPr>
          <w:rFonts w:ascii="Times New Roman" w:hAnsi="Times New Roman" w:cs="Times New Roman"/>
          <w:sz w:val="24"/>
        </w:rPr>
        <w:t>promijenjeno psihičko stanje. Do toplinskog udara dolazi kad termoregulacijski mehanizmi ne funkcioniraju, a unutarnja temperatura se prilično poveća, aktiviraju se upalni citokini te dolazi do višestrukog zatajenja organa. Oko 20 % preživjelih ima oštećenje mozga.</w:t>
      </w:r>
    </w:p>
    <w:p w14:paraId="5068372E"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Takvim razvojem situacije pojačano bi se opteretile zdravstvene i socijalne službe i bilo bi potrebno osigurati organizacijske prilagodbe kao uključivanje timova HMP u odnosu na konkretnu situaciju. U tom smislu trebalo bi izraditi planove korištenja kapaciteta potrebnih za povećan priljev ugroženih osoba kako bi se osigurao nesmetan rad zdravstvenih službi. Potrebno bi bilo uključiti lokalnu zajednicu da dopusti korištenje klimatiziranih javnih ustanova kao što su trgovački centri, muzeji i slično kako bi volonteri Crvenog križa i civilne zaštite mogli preseliti pojedince iz najosjetljivijih skupina stanovništva u prostorije s klimatizacijom. U slučaju toplinskog vala ekstremnog rizika predviđa se veći broj terminalno oboljelih nego inače, posebice skupina s postojećom kroničnom bolešću, a ugrožena skupina su i radnici na otvorenome. S obzirom na nepostojanje prethodne metodologije ekonomske analize i procjene šteta za toplinski val ekstremnog rizika poslužila su dosadašnja stručna iskustva i prosudbe zaposlenika Nastavnog zavoda za hitnu medicinu Grada Zagreba. Pojava toplinskog vala ekstremnog rizika više od 4 dana očekuje se jednom u 22 dana u ljetnoj sezoni (120 dana) s porastom smrtnosti stanovništva za 10 %.</w:t>
      </w:r>
    </w:p>
    <w:p w14:paraId="4919D02E"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Pravovremene preventivne mjere mogu smanjiti broj umrlih odnosno oboljelih od toplinskog udara te su zbog toga vrlo bitne preporuke za zaštitu od velikih vrućina. Neke od preporuka za zaštitu od velikih vrućina su: rashlađenje privatnih i poslovnih prostorija, sklanjanje od vrućine, unos dovoljne količine tekućine i dr. U slučaju masovne ugroženosti uključuju se lokalni resursi - fontane, vodoskoci na javnim površinama, klimatizirani javni prostori kao knjižnice, trgovački centri i slično, ali opasnost postoji u slučaju redukcija struje i otežane vodoopskrbe jer toplinske valove često prati suša. Da bi se smanjila tjelesna temperatura, potrebno je osobu rashladiti npr. ventilatorom. Jedan ventilator od 100W koji treba raditi 24 sata u doba toplinskog vala troši 2,4 kWh a prema Hrvatskoj elektroprivredi d.d. (HEP d.d.) cijena 1 kWh s PDV= 0,561kn i ako to pomnožimo s 2,4 kWh rezultat je 1,344 kn / 24 sata.</w:t>
      </w:r>
    </w:p>
    <w:p w14:paraId="7E5440D6"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Epidemiološke analize prijma iz hitnih medicinskih službi u Zagrebu 2012. g. pokazale su kako je tijekom tjedna toplinskog vala broj prijema porastao na 10.000 prema 6.000 prijema tijekom tjedana bez toplinskog ekstrema. Razlika od 4.000 prijema više osoba koje su zatražile hitnu medicinsku pomoć u doba toplinskog vala iznosi cca 4,5 milijuna kuna financijskoga troška. Dulji i ekstremniji toplinski valovi donose veće rizike. Budući da su ostali rizici povišeni od jedan do pet dana nakon toplinskog vala, prevenciju i liječenje je važno provoditi ne samo za vrijeme toplinskog vala, nego i nakon njega. S obzirom na procjene da je pogođeno 5 % oboljelih koji zatraže zdravstvenu pomoć u tijeku toplinskog udara u terminalnoj fazi kroničnih bolesti s najtežom kliničkom slikom, što znači oko 3300 bolesnika, svaki treba terapiju od 10 doza trombocita, 3 doze svježe plazme i 6 doza 0,9 % fiziološke infuzijske otopine. 10 doza trombocita = 2.537,50 kn + 3 doze plazme = 553,80 kn + 6 doza 0,9 % fiziol. = 60,00 kn za osobu iznosi 3.137,50 kn + 1 amp. i. m. benzodijazepina = 20,00 kn. To je ukupno 3.171,30 kn x 3.300 (trogodišnji prosjek) najteže 5 % ugroženih osoba što je financijski trošak od 10.465.290,00 kn. U slučaju pojave dužeg najviše rizičnog toplinskog vala u Zagrebu u trajanju </w:t>
      </w:r>
      <w:r w:rsidRPr="00FF1E38">
        <w:rPr>
          <w:rFonts w:ascii="Times New Roman" w:hAnsi="Times New Roman" w:cs="Times New Roman"/>
          <w:sz w:val="24"/>
        </w:rPr>
        <w:lastRenderedPageBreak/>
        <w:t>od 4 i više uzastopnih dana bilo bi potrebno dodatnih 5 timova HMP</w:t>
      </w:r>
      <w:r w:rsidRPr="00FF1E38">
        <w:rPr>
          <w:rFonts w:ascii="Times New Roman" w:hAnsi="Times New Roman" w:cs="Times New Roman"/>
          <w:sz w:val="24"/>
        </w:rPr>
        <w:noBreakHyphen/>
        <w:t>a. Svaki tim je dodatni trošak od 50.000,00 kn.</w:t>
      </w:r>
    </w:p>
    <w:p w14:paraId="01484091" w14:textId="77777777" w:rsidR="00FF1E38" w:rsidRPr="00FF1E38" w:rsidRDefault="00FF1E38" w:rsidP="00FF1E38">
      <w:pPr>
        <w:spacing w:after="0" w:line="240" w:lineRule="auto"/>
        <w:ind w:right="0"/>
        <w:rPr>
          <w:rFonts w:ascii="Times New Roman" w:hAnsi="Times New Roman" w:cs="Times New Roman"/>
          <w:sz w:val="24"/>
        </w:rPr>
      </w:pPr>
    </w:p>
    <w:p w14:paraId="4BE1A0AA" w14:textId="77777777" w:rsidR="00FF1E38" w:rsidRPr="00FF1E38" w:rsidRDefault="00FF1E38" w:rsidP="00FF1E38">
      <w:pPr>
        <w:spacing w:after="0" w:line="240" w:lineRule="auto"/>
        <w:ind w:left="0" w:right="0" w:firstLine="709"/>
        <w:rPr>
          <w:rFonts w:ascii="Times New Roman" w:hAnsi="Times New Roman" w:cs="Times New Roman"/>
          <w:b/>
          <w:i/>
          <w:sz w:val="24"/>
        </w:rPr>
      </w:pPr>
      <w:r w:rsidRPr="00FF1E38">
        <w:rPr>
          <w:rFonts w:ascii="Times New Roman" w:hAnsi="Times New Roman" w:cs="Times New Roman"/>
          <w:b/>
          <w:i/>
          <w:sz w:val="24"/>
        </w:rPr>
        <w:t>6.4.5.1.1. Život i zdravlje ljudi</w:t>
      </w:r>
    </w:p>
    <w:p w14:paraId="29DD771F"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slučaju toplinskog vala ekstremnog rizika predviđa se veće obolijevanje stanovništva nego inače, posebice skupina s postojećom kroničnom bolešću, siromašnih, radnika na otvorenome. S obzirom na nepostojanje prethodne metodologije ekonomske analize i procjene šteta za toplinski val ekstremnog rizika poslužila su dosadašnja stručna iskustva i prosudbe zaposlenika Nastavnog zavoda za hitnu medicinu Grada Zagreba i Zavoda za transfuzijsku medicinu u Zagrebu. Očekuje se 5 % više najteže ugroženih osoba cca 1.100 u Zagrebu, viša stopa bolovanja radno aktivnog stanovništva te više komplikacija i smrtnih ishoda kod ranjivih skupina stanovništva i radnika na otvorenome. Pojava događaja toplinskog vala ekstremnog rizika više od 4 dana očekuje se jednom u 22 dana u ljetnoj sezoni (120 dana) s porastom smrtnosti stanovništva za 10 %. Osim navedenog degradirat će se kvaliteta života na području koje je pogođeno toplinskim valom zbog mogućih redukcija struje i vode.</w:t>
      </w:r>
    </w:p>
    <w:p w14:paraId="302FABA4"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2FD88214" w14:textId="47FF5B9C" w:rsidR="00FF1E38" w:rsidRPr="00360054" w:rsidRDefault="00FF1E38" w:rsidP="002F1B29">
      <w:pPr>
        <w:spacing w:line="240" w:lineRule="auto"/>
        <w:ind w:left="0" w:right="0" w:firstLine="0"/>
        <w:jc w:val="center"/>
        <w:rPr>
          <w:rFonts w:ascii="Times New Roman" w:hAnsi="Times New Roman" w:cs="Times New Roman"/>
          <w:b/>
          <w:color w:val="auto"/>
          <w:sz w:val="24"/>
        </w:rPr>
      </w:pPr>
      <w:r w:rsidRPr="00360054">
        <w:rPr>
          <w:rFonts w:ascii="Times New Roman" w:hAnsi="Times New Roman" w:cs="Times New Roman"/>
          <w:b/>
          <w:color w:val="auto"/>
          <w:sz w:val="24"/>
        </w:rPr>
        <w:t xml:space="preserve">Tablica </w:t>
      </w:r>
      <w:r w:rsidR="00360054" w:rsidRPr="00360054">
        <w:rPr>
          <w:rFonts w:ascii="Times New Roman" w:hAnsi="Times New Roman" w:cs="Times New Roman"/>
          <w:b/>
          <w:color w:val="auto"/>
          <w:sz w:val="24"/>
        </w:rPr>
        <w:t>87</w:t>
      </w:r>
      <w:r w:rsidRPr="00360054">
        <w:rPr>
          <w:rFonts w:ascii="Times New Roman" w:hAnsi="Times New Roman" w:cs="Times New Roman"/>
          <w:b/>
          <w:color w:val="auto"/>
          <w:sz w:val="24"/>
        </w:rPr>
        <w:t>. Vrijednost kriterija za posljedice na život i zdravlje ljudi po kategorijama</w:t>
      </w:r>
    </w:p>
    <w:tbl>
      <w:tblPr>
        <w:tblStyle w:val="TableGrid2"/>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00"/>
        <w:gridCol w:w="2835"/>
        <w:gridCol w:w="2836"/>
        <w:gridCol w:w="1701"/>
      </w:tblGrid>
      <w:tr w:rsidR="00FF1E38" w:rsidRPr="00FF1E38" w14:paraId="6C2955B5" w14:textId="77777777" w:rsidTr="00DE0C9A">
        <w:trPr>
          <w:cantSplit/>
          <w:tblHeader/>
        </w:trPr>
        <w:tc>
          <w:tcPr>
            <w:tcW w:w="9072" w:type="dxa"/>
            <w:gridSpan w:val="4"/>
            <w:shd w:val="clear" w:color="auto" w:fill="FFC000"/>
            <w:vAlign w:val="center"/>
          </w:tcPr>
          <w:p w14:paraId="2F65B6F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Život i zdravlje ljudi – toplinski val</w:t>
            </w:r>
          </w:p>
        </w:tc>
      </w:tr>
      <w:tr w:rsidR="00FF1E38" w:rsidRPr="00FF1E38" w14:paraId="6320CBD1" w14:textId="77777777" w:rsidTr="00DE0C9A">
        <w:trPr>
          <w:cantSplit/>
          <w:tblHeader/>
        </w:trPr>
        <w:tc>
          <w:tcPr>
            <w:tcW w:w="1700" w:type="dxa"/>
            <w:shd w:val="clear" w:color="auto" w:fill="FFC000"/>
            <w:vAlign w:val="center"/>
          </w:tcPr>
          <w:p w14:paraId="08C9E62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Kategorija</w:t>
            </w:r>
          </w:p>
        </w:tc>
        <w:tc>
          <w:tcPr>
            <w:tcW w:w="2835" w:type="dxa"/>
            <w:shd w:val="clear" w:color="auto" w:fill="FFC000"/>
            <w:vAlign w:val="center"/>
          </w:tcPr>
          <w:p w14:paraId="448E770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Posljedice</w:t>
            </w:r>
          </w:p>
        </w:tc>
        <w:tc>
          <w:tcPr>
            <w:tcW w:w="2836" w:type="dxa"/>
            <w:shd w:val="clear" w:color="auto" w:fill="FFC000"/>
            <w:vAlign w:val="center"/>
          </w:tcPr>
          <w:p w14:paraId="2879F94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Kriterij (br.st.)</w:t>
            </w:r>
          </w:p>
        </w:tc>
        <w:tc>
          <w:tcPr>
            <w:tcW w:w="1701" w:type="dxa"/>
            <w:shd w:val="clear" w:color="auto" w:fill="FFC000"/>
            <w:vAlign w:val="center"/>
          </w:tcPr>
          <w:p w14:paraId="6A5BE9A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ODABRANO</w:t>
            </w:r>
          </w:p>
        </w:tc>
      </w:tr>
      <w:tr w:rsidR="00FF1E38" w:rsidRPr="00FF1E38" w14:paraId="2B9637E8" w14:textId="77777777" w:rsidTr="00DE0C9A">
        <w:trPr>
          <w:cantSplit/>
        </w:trPr>
        <w:tc>
          <w:tcPr>
            <w:tcW w:w="1700" w:type="dxa"/>
            <w:vAlign w:val="center"/>
          </w:tcPr>
          <w:p w14:paraId="7C380AA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w:t>
            </w:r>
          </w:p>
        </w:tc>
        <w:tc>
          <w:tcPr>
            <w:tcW w:w="2835" w:type="dxa"/>
            <w:vAlign w:val="center"/>
          </w:tcPr>
          <w:p w14:paraId="0CFEBBC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Neznatne</w:t>
            </w:r>
          </w:p>
        </w:tc>
        <w:tc>
          <w:tcPr>
            <w:tcW w:w="2836" w:type="dxa"/>
            <w:vAlign w:val="center"/>
          </w:tcPr>
          <w:p w14:paraId="2376CA3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&lt;8</w:t>
            </w:r>
          </w:p>
        </w:tc>
        <w:tc>
          <w:tcPr>
            <w:tcW w:w="1701" w:type="dxa"/>
            <w:vAlign w:val="center"/>
          </w:tcPr>
          <w:p w14:paraId="1F3767CF"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01FE98FC" w14:textId="77777777" w:rsidTr="00DE0C9A">
        <w:trPr>
          <w:cantSplit/>
        </w:trPr>
        <w:tc>
          <w:tcPr>
            <w:tcW w:w="1700" w:type="dxa"/>
            <w:shd w:val="clear" w:color="auto" w:fill="FFC000"/>
            <w:vAlign w:val="center"/>
          </w:tcPr>
          <w:p w14:paraId="3CEB929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w:t>
            </w:r>
          </w:p>
        </w:tc>
        <w:tc>
          <w:tcPr>
            <w:tcW w:w="2835" w:type="dxa"/>
            <w:shd w:val="clear" w:color="auto" w:fill="FFC000"/>
            <w:vAlign w:val="center"/>
          </w:tcPr>
          <w:p w14:paraId="3463F73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Malene</w:t>
            </w:r>
          </w:p>
        </w:tc>
        <w:tc>
          <w:tcPr>
            <w:tcW w:w="2836" w:type="dxa"/>
            <w:shd w:val="clear" w:color="auto" w:fill="FFC000"/>
            <w:vAlign w:val="center"/>
          </w:tcPr>
          <w:p w14:paraId="7A0EACB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8-35</w:t>
            </w:r>
          </w:p>
        </w:tc>
        <w:tc>
          <w:tcPr>
            <w:tcW w:w="1701" w:type="dxa"/>
            <w:shd w:val="clear" w:color="auto" w:fill="FFC000"/>
            <w:vAlign w:val="center"/>
          </w:tcPr>
          <w:p w14:paraId="20052F91"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79CC42CA" w14:textId="77777777" w:rsidTr="00DE0C9A">
        <w:trPr>
          <w:cantSplit/>
        </w:trPr>
        <w:tc>
          <w:tcPr>
            <w:tcW w:w="1700" w:type="dxa"/>
            <w:vAlign w:val="center"/>
          </w:tcPr>
          <w:p w14:paraId="1F3F9DB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w:t>
            </w:r>
          </w:p>
        </w:tc>
        <w:tc>
          <w:tcPr>
            <w:tcW w:w="2835" w:type="dxa"/>
            <w:vAlign w:val="center"/>
          </w:tcPr>
          <w:p w14:paraId="669248B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Umjerene</w:t>
            </w:r>
          </w:p>
        </w:tc>
        <w:tc>
          <w:tcPr>
            <w:tcW w:w="2836" w:type="dxa"/>
            <w:vAlign w:val="center"/>
          </w:tcPr>
          <w:p w14:paraId="14FCF0D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35-85</w:t>
            </w:r>
          </w:p>
        </w:tc>
        <w:tc>
          <w:tcPr>
            <w:tcW w:w="1701" w:type="dxa"/>
            <w:vAlign w:val="center"/>
          </w:tcPr>
          <w:p w14:paraId="46B0702D"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0EF3D896" w14:textId="77777777" w:rsidTr="00DE0C9A">
        <w:trPr>
          <w:cantSplit/>
        </w:trPr>
        <w:tc>
          <w:tcPr>
            <w:tcW w:w="1700" w:type="dxa"/>
            <w:shd w:val="clear" w:color="auto" w:fill="FFC000"/>
            <w:vAlign w:val="center"/>
          </w:tcPr>
          <w:p w14:paraId="2C2B346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w:t>
            </w:r>
          </w:p>
        </w:tc>
        <w:tc>
          <w:tcPr>
            <w:tcW w:w="2835" w:type="dxa"/>
            <w:shd w:val="clear" w:color="auto" w:fill="FFC000"/>
            <w:vAlign w:val="center"/>
          </w:tcPr>
          <w:p w14:paraId="1086E29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Znatne</w:t>
            </w:r>
          </w:p>
        </w:tc>
        <w:tc>
          <w:tcPr>
            <w:tcW w:w="2836" w:type="dxa"/>
            <w:shd w:val="clear" w:color="auto" w:fill="FFC000"/>
            <w:vAlign w:val="center"/>
          </w:tcPr>
          <w:p w14:paraId="21AF55A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85-269</w:t>
            </w:r>
          </w:p>
        </w:tc>
        <w:tc>
          <w:tcPr>
            <w:tcW w:w="1701" w:type="dxa"/>
            <w:shd w:val="clear" w:color="auto" w:fill="FFC000"/>
            <w:vAlign w:val="center"/>
          </w:tcPr>
          <w:p w14:paraId="5E76CF19"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10BB39AE" w14:textId="77777777" w:rsidTr="00DE0C9A">
        <w:trPr>
          <w:cantSplit/>
        </w:trPr>
        <w:tc>
          <w:tcPr>
            <w:tcW w:w="1700" w:type="dxa"/>
            <w:vAlign w:val="center"/>
          </w:tcPr>
          <w:p w14:paraId="3BC8B88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w:t>
            </w:r>
          </w:p>
        </w:tc>
        <w:tc>
          <w:tcPr>
            <w:tcW w:w="2835" w:type="dxa"/>
            <w:vAlign w:val="center"/>
          </w:tcPr>
          <w:p w14:paraId="1E5CCCB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Katastrofalne</w:t>
            </w:r>
          </w:p>
        </w:tc>
        <w:tc>
          <w:tcPr>
            <w:tcW w:w="2836" w:type="dxa"/>
            <w:vAlign w:val="center"/>
          </w:tcPr>
          <w:p w14:paraId="6925897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&gt;269</w:t>
            </w:r>
          </w:p>
        </w:tc>
        <w:tc>
          <w:tcPr>
            <w:tcW w:w="1701" w:type="dxa"/>
            <w:vAlign w:val="center"/>
          </w:tcPr>
          <w:p w14:paraId="6017EBB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r>
    </w:tbl>
    <w:p w14:paraId="79A08C64" w14:textId="77777777" w:rsidR="00FF1E38" w:rsidRPr="00FF1E38" w:rsidRDefault="00FF1E38" w:rsidP="00FF1E38">
      <w:pPr>
        <w:spacing w:after="0" w:line="240" w:lineRule="auto"/>
        <w:ind w:left="0" w:right="0" w:firstLine="0"/>
        <w:jc w:val="left"/>
        <w:rPr>
          <w:rFonts w:ascii="Times New Roman" w:hAnsi="Times New Roman" w:cs="Times New Roman"/>
          <w:i/>
          <w:sz w:val="24"/>
        </w:rPr>
      </w:pPr>
    </w:p>
    <w:p w14:paraId="1F36E3C6" w14:textId="77777777" w:rsidR="00FF1E38" w:rsidRPr="00FF1E38" w:rsidRDefault="00FF1E38" w:rsidP="00FF1E38">
      <w:pPr>
        <w:spacing w:after="0" w:line="240" w:lineRule="auto"/>
        <w:ind w:left="0" w:right="0" w:firstLine="709"/>
        <w:rPr>
          <w:rFonts w:ascii="Times New Roman" w:hAnsi="Times New Roman" w:cs="Times New Roman"/>
          <w:b/>
          <w:i/>
          <w:sz w:val="24"/>
        </w:rPr>
      </w:pPr>
      <w:r w:rsidRPr="00FF1E38">
        <w:rPr>
          <w:rFonts w:ascii="Times New Roman" w:hAnsi="Times New Roman" w:cs="Times New Roman"/>
          <w:b/>
          <w:i/>
          <w:sz w:val="24"/>
        </w:rPr>
        <w:t>6.4.5.1.2. Gospodarstvo</w:t>
      </w:r>
    </w:p>
    <w:p w14:paraId="287DE321"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U ovom scenariju troškovi liječenja (hitne medicinske usluge i hospitalizacija oboljelih) iznosili bi 600.000.000,00 kuna, što ne uključuje troškove povećane potrošnje energenata struje u Gradu i vodenih resursa za simptomatsko liječenje i rashlađivanje cjelokupno zahvaćenog stanovništva u Gradu Zagrebu. Posljedice će stoga u odnosu na proračun Grada Zagreba biti malene. </w:t>
      </w:r>
    </w:p>
    <w:p w14:paraId="007F1E91" w14:textId="522A3BBE" w:rsidR="00FF1E38" w:rsidRPr="00360054" w:rsidRDefault="00FF1E38" w:rsidP="002F1B29">
      <w:pPr>
        <w:spacing w:line="240" w:lineRule="auto"/>
        <w:ind w:left="0" w:right="0" w:firstLine="0"/>
        <w:jc w:val="center"/>
        <w:rPr>
          <w:rFonts w:ascii="Times New Roman" w:hAnsi="Times New Roman" w:cs="Times New Roman"/>
          <w:b/>
          <w:color w:val="auto"/>
          <w:sz w:val="24"/>
        </w:rPr>
      </w:pPr>
      <w:r w:rsidRPr="00360054">
        <w:rPr>
          <w:rFonts w:ascii="Times New Roman" w:hAnsi="Times New Roman" w:cs="Times New Roman"/>
          <w:b/>
          <w:color w:val="auto"/>
          <w:sz w:val="24"/>
        </w:rPr>
        <w:t xml:space="preserve">Tablica </w:t>
      </w:r>
      <w:r w:rsidR="00360054" w:rsidRPr="00360054">
        <w:rPr>
          <w:rFonts w:ascii="Times New Roman" w:hAnsi="Times New Roman" w:cs="Times New Roman"/>
          <w:b/>
          <w:color w:val="auto"/>
          <w:sz w:val="24"/>
        </w:rPr>
        <w:t>88</w:t>
      </w:r>
      <w:r w:rsidRPr="00360054">
        <w:rPr>
          <w:rFonts w:ascii="Times New Roman" w:hAnsi="Times New Roman" w:cs="Times New Roman"/>
          <w:b/>
          <w:color w:val="auto"/>
          <w:sz w:val="24"/>
        </w:rPr>
        <w:t xml:space="preserve">. Vrijednost kriterija za posljedice na gospodarstvo po kategorijama </w:t>
      </w:r>
    </w:p>
    <w:tbl>
      <w:tblPr>
        <w:tblStyle w:val="TableGrid3"/>
        <w:tblW w:w="878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01"/>
        <w:gridCol w:w="2835"/>
        <w:gridCol w:w="2835"/>
        <w:gridCol w:w="1413"/>
      </w:tblGrid>
      <w:tr w:rsidR="00FF1E38" w:rsidRPr="00FF1E38" w14:paraId="0D53931B" w14:textId="77777777" w:rsidTr="00DE0C9A">
        <w:trPr>
          <w:cantSplit/>
        </w:trPr>
        <w:tc>
          <w:tcPr>
            <w:tcW w:w="8784" w:type="dxa"/>
            <w:gridSpan w:val="4"/>
            <w:shd w:val="clear" w:color="auto" w:fill="FFC000"/>
            <w:vAlign w:val="center"/>
          </w:tcPr>
          <w:p w14:paraId="3122564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Gospodarstvo – toplinski val</w:t>
            </w:r>
          </w:p>
        </w:tc>
      </w:tr>
      <w:tr w:rsidR="00FF1E38" w:rsidRPr="00FF1E38" w14:paraId="28B61ECC" w14:textId="77777777" w:rsidTr="00DE0C9A">
        <w:trPr>
          <w:cantSplit/>
        </w:trPr>
        <w:tc>
          <w:tcPr>
            <w:tcW w:w="1701" w:type="dxa"/>
            <w:shd w:val="clear" w:color="auto" w:fill="FFC000"/>
            <w:vAlign w:val="center"/>
          </w:tcPr>
          <w:p w14:paraId="5A3F375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Kategorija</w:t>
            </w:r>
          </w:p>
        </w:tc>
        <w:tc>
          <w:tcPr>
            <w:tcW w:w="2835" w:type="dxa"/>
            <w:shd w:val="clear" w:color="auto" w:fill="FFC000"/>
            <w:vAlign w:val="center"/>
          </w:tcPr>
          <w:p w14:paraId="463A82C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Posljedice</w:t>
            </w:r>
          </w:p>
        </w:tc>
        <w:tc>
          <w:tcPr>
            <w:tcW w:w="2835" w:type="dxa"/>
            <w:shd w:val="clear" w:color="auto" w:fill="FFC000"/>
            <w:vAlign w:val="center"/>
          </w:tcPr>
          <w:p w14:paraId="4DB79B4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Kriteriji (kn)</w:t>
            </w:r>
          </w:p>
        </w:tc>
        <w:tc>
          <w:tcPr>
            <w:tcW w:w="1413" w:type="dxa"/>
            <w:shd w:val="clear" w:color="auto" w:fill="FFC000"/>
            <w:vAlign w:val="center"/>
          </w:tcPr>
          <w:p w14:paraId="17CCD93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ODABRANO</w:t>
            </w:r>
          </w:p>
        </w:tc>
      </w:tr>
      <w:tr w:rsidR="00FF1E38" w:rsidRPr="00FF1E38" w14:paraId="12DEBE05" w14:textId="77777777" w:rsidTr="00DE0C9A">
        <w:trPr>
          <w:cantSplit/>
        </w:trPr>
        <w:tc>
          <w:tcPr>
            <w:tcW w:w="1701" w:type="dxa"/>
            <w:vAlign w:val="center"/>
          </w:tcPr>
          <w:p w14:paraId="6DC84FB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w:t>
            </w:r>
          </w:p>
        </w:tc>
        <w:tc>
          <w:tcPr>
            <w:tcW w:w="2835" w:type="dxa"/>
            <w:vAlign w:val="center"/>
          </w:tcPr>
          <w:p w14:paraId="38A66CD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Neznatne</w:t>
            </w:r>
          </w:p>
        </w:tc>
        <w:tc>
          <w:tcPr>
            <w:tcW w:w="2835" w:type="dxa"/>
            <w:vAlign w:val="center"/>
          </w:tcPr>
          <w:p w14:paraId="63A9E2F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75.634.600 - 151.269.100</w:t>
            </w:r>
          </w:p>
        </w:tc>
        <w:tc>
          <w:tcPr>
            <w:tcW w:w="1413" w:type="dxa"/>
            <w:vAlign w:val="center"/>
          </w:tcPr>
          <w:p w14:paraId="07744744"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1C8B69CF" w14:textId="77777777" w:rsidTr="00DE0C9A">
        <w:trPr>
          <w:cantSplit/>
        </w:trPr>
        <w:tc>
          <w:tcPr>
            <w:tcW w:w="1701" w:type="dxa"/>
            <w:shd w:val="clear" w:color="auto" w:fill="FFC000"/>
            <w:vAlign w:val="center"/>
          </w:tcPr>
          <w:p w14:paraId="062C6FC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w:t>
            </w:r>
          </w:p>
        </w:tc>
        <w:tc>
          <w:tcPr>
            <w:tcW w:w="2835" w:type="dxa"/>
            <w:shd w:val="clear" w:color="auto" w:fill="FFC000"/>
            <w:vAlign w:val="center"/>
          </w:tcPr>
          <w:p w14:paraId="71C8F45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Malene</w:t>
            </w:r>
          </w:p>
        </w:tc>
        <w:tc>
          <w:tcPr>
            <w:tcW w:w="2835" w:type="dxa"/>
            <w:shd w:val="clear" w:color="auto" w:fill="FFC000"/>
            <w:vAlign w:val="center"/>
          </w:tcPr>
          <w:p w14:paraId="45529FA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151.269.100 - 756.345.600</w:t>
            </w:r>
          </w:p>
        </w:tc>
        <w:tc>
          <w:tcPr>
            <w:tcW w:w="1413" w:type="dxa"/>
            <w:shd w:val="clear" w:color="auto" w:fill="FFC000"/>
            <w:vAlign w:val="center"/>
          </w:tcPr>
          <w:p w14:paraId="0DC3687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r>
      <w:tr w:rsidR="00FF1E38" w:rsidRPr="00FF1E38" w14:paraId="2772263B" w14:textId="77777777" w:rsidTr="00DE0C9A">
        <w:trPr>
          <w:cantSplit/>
        </w:trPr>
        <w:tc>
          <w:tcPr>
            <w:tcW w:w="1701" w:type="dxa"/>
            <w:vAlign w:val="center"/>
          </w:tcPr>
          <w:p w14:paraId="2B66F61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w:t>
            </w:r>
          </w:p>
        </w:tc>
        <w:tc>
          <w:tcPr>
            <w:tcW w:w="2835" w:type="dxa"/>
            <w:vAlign w:val="center"/>
          </w:tcPr>
          <w:p w14:paraId="27FC1D5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Umjerene</w:t>
            </w:r>
          </w:p>
        </w:tc>
        <w:tc>
          <w:tcPr>
            <w:tcW w:w="2835" w:type="dxa"/>
            <w:vAlign w:val="center"/>
          </w:tcPr>
          <w:p w14:paraId="0DFF2B1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756.345.600 - 2.269.036.800</w:t>
            </w:r>
          </w:p>
        </w:tc>
        <w:tc>
          <w:tcPr>
            <w:tcW w:w="1413" w:type="dxa"/>
            <w:vAlign w:val="center"/>
          </w:tcPr>
          <w:p w14:paraId="1123DA16"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6A0CAD21" w14:textId="77777777" w:rsidTr="00DE0C9A">
        <w:trPr>
          <w:cantSplit/>
        </w:trPr>
        <w:tc>
          <w:tcPr>
            <w:tcW w:w="1701" w:type="dxa"/>
            <w:shd w:val="clear" w:color="auto" w:fill="FFC000"/>
            <w:vAlign w:val="center"/>
          </w:tcPr>
          <w:p w14:paraId="61316DA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w:t>
            </w:r>
          </w:p>
        </w:tc>
        <w:tc>
          <w:tcPr>
            <w:tcW w:w="2835" w:type="dxa"/>
            <w:shd w:val="clear" w:color="auto" w:fill="FFC000"/>
            <w:vAlign w:val="center"/>
          </w:tcPr>
          <w:p w14:paraId="4048F07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Znatne</w:t>
            </w:r>
          </w:p>
        </w:tc>
        <w:tc>
          <w:tcPr>
            <w:tcW w:w="2835" w:type="dxa"/>
            <w:shd w:val="clear" w:color="auto" w:fill="FFC000"/>
            <w:vAlign w:val="center"/>
          </w:tcPr>
          <w:p w14:paraId="493EF48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2.269.036.800 - 3.781.727.900</w:t>
            </w:r>
          </w:p>
        </w:tc>
        <w:tc>
          <w:tcPr>
            <w:tcW w:w="1413" w:type="dxa"/>
            <w:shd w:val="clear" w:color="auto" w:fill="FFC000"/>
            <w:vAlign w:val="center"/>
          </w:tcPr>
          <w:p w14:paraId="0F37C852"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1E985623" w14:textId="77777777" w:rsidTr="00DE0C9A">
        <w:trPr>
          <w:cantSplit/>
          <w:trHeight w:val="70"/>
        </w:trPr>
        <w:tc>
          <w:tcPr>
            <w:tcW w:w="1701" w:type="dxa"/>
            <w:vAlign w:val="center"/>
          </w:tcPr>
          <w:p w14:paraId="035AC5C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w:t>
            </w:r>
          </w:p>
        </w:tc>
        <w:tc>
          <w:tcPr>
            <w:tcW w:w="2835" w:type="dxa"/>
            <w:vAlign w:val="center"/>
          </w:tcPr>
          <w:p w14:paraId="4C62F1C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Katastrofalne</w:t>
            </w:r>
          </w:p>
        </w:tc>
        <w:tc>
          <w:tcPr>
            <w:tcW w:w="2835" w:type="dxa"/>
            <w:vAlign w:val="center"/>
          </w:tcPr>
          <w:p w14:paraId="0AE27B3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&gt;3.781.727.900</w:t>
            </w:r>
          </w:p>
        </w:tc>
        <w:tc>
          <w:tcPr>
            <w:tcW w:w="1413" w:type="dxa"/>
            <w:vAlign w:val="center"/>
          </w:tcPr>
          <w:p w14:paraId="2D9DECF6" w14:textId="77777777" w:rsidR="00FF1E38" w:rsidRPr="00FF1E38" w:rsidRDefault="00FF1E38" w:rsidP="00FF1E38">
            <w:pPr>
              <w:spacing w:after="0" w:line="240" w:lineRule="auto"/>
              <w:ind w:left="0" w:right="0" w:firstLine="0"/>
              <w:jc w:val="center"/>
              <w:rPr>
                <w:rFonts w:ascii="Times New Roman" w:hAnsi="Times New Roman" w:cs="Times New Roman"/>
              </w:rPr>
            </w:pPr>
          </w:p>
        </w:tc>
      </w:tr>
    </w:tbl>
    <w:p w14:paraId="552D3C1A"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4367A4E9" w14:textId="77777777" w:rsidR="00FF1E38" w:rsidRPr="00FF1E38" w:rsidRDefault="00FF1E38" w:rsidP="00FF1E38">
      <w:pPr>
        <w:spacing w:after="0" w:line="240" w:lineRule="auto"/>
        <w:ind w:left="0" w:right="0" w:firstLine="709"/>
        <w:rPr>
          <w:rFonts w:ascii="Times New Roman" w:hAnsi="Times New Roman" w:cs="Times New Roman"/>
          <w:b/>
          <w:i/>
          <w:sz w:val="24"/>
        </w:rPr>
      </w:pPr>
      <w:r w:rsidRPr="00FF1E38">
        <w:rPr>
          <w:rFonts w:ascii="Times New Roman" w:hAnsi="Times New Roman" w:cs="Times New Roman"/>
          <w:b/>
          <w:i/>
          <w:sz w:val="24"/>
        </w:rPr>
        <w:t>6.4.5.1.3. Društvena stabilnost i politika</w:t>
      </w:r>
    </w:p>
    <w:p w14:paraId="7A2E54F5"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Postojeća organizacija Nastavnog zavoda za hitnu medicinu Grada Zagreba omogućuje dodatno uključenje jednog tima hitne medicinske pomoći da bi se održala potrebna razina aktivnosti prijeko potrebnih da se zadovolje hitne medicinske potrebe stanovništva u uvjetima ekstremnog toplinskog vala. Ne očekuju se znatnija oštećenja kritične infrastrukture i štete/gubitci na građevinama od javnog društvenog značaja, ali se očekuju poremećaji u radu kritične infrastrukture (opskrba električnom energijom) zbog povećane potrošnje.</w:t>
      </w:r>
    </w:p>
    <w:p w14:paraId="5E7E44CC"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Očekuju se problemi s kapacitetom medicinskog osoblja i mogući prekidi rada kritične infrastrukture radi duljih bolovanja i nemogućnosti brzog oporavljanja radnika i vraćanja na posao u tijeku toplinskog vala.</w:t>
      </w:r>
    </w:p>
    <w:p w14:paraId="2D222173"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lastRenderedPageBreak/>
        <w:t>Posljedice na društvenu stabilnost i politiku ocijenjene su kao neznatne jer sam toplinski val nema izraženog utjecaja na otkazivanje ili oštećivanje kritične infrastrukture.</w:t>
      </w:r>
    </w:p>
    <w:p w14:paraId="1169FC5E" w14:textId="77777777" w:rsidR="00FF1E38" w:rsidRPr="00FF1E38" w:rsidRDefault="00FF1E38" w:rsidP="00FF1E38">
      <w:pPr>
        <w:spacing w:after="0" w:line="240" w:lineRule="auto"/>
        <w:ind w:left="0" w:right="0" w:firstLine="709"/>
        <w:rPr>
          <w:rFonts w:ascii="Times New Roman" w:hAnsi="Times New Roman" w:cs="Times New Roman"/>
          <w:sz w:val="24"/>
        </w:rPr>
      </w:pPr>
    </w:p>
    <w:p w14:paraId="2A034F7B" w14:textId="39E45DB2" w:rsidR="00FF1E38" w:rsidRPr="00FF1E38" w:rsidRDefault="00FF1E38" w:rsidP="002F1B29">
      <w:pPr>
        <w:spacing w:line="240" w:lineRule="auto"/>
        <w:ind w:left="0" w:right="0" w:firstLine="0"/>
        <w:jc w:val="center"/>
        <w:rPr>
          <w:rFonts w:ascii="Times New Roman" w:hAnsi="Times New Roman" w:cs="Times New Roman"/>
          <w:b/>
          <w:sz w:val="24"/>
        </w:rPr>
      </w:pPr>
      <w:r w:rsidRPr="005438CC">
        <w:rPr>
          <w:rFonts w:ascii="Times New Roman" w:hAnsi="Times New Roman" w:cs="Times New Roman"/>
          <w:b/>
          <w:color w:val="auto"/>
          <w:sz w:val="24"/>
        </w:rPr>
        <w:t xml:space="preserve">Tablica </w:t>
      </w:r>
      <w:r w:rsidR="005438CC" w:rsidRPr="005438CC">
        <w:rPr>
          <w:rFonts w:ascii="Times New Roman" w:hAnsi="Times New Roman" w:cs="Times New Roman"/>
          <w:b/>
          <w:color w:val="auto"/>
          <w:sz w:val="24"/>
        </w:rPr>
        <w:t>89</w:t>
      </w:r>
      <w:r w:rsidRPr="005438CC">
        <w:rPr>
          <w:rFonts w:ascii="Times New Roman" w:hAnsi="Times New Roman" w:cs="Times New Roman"/>
          <w:b/>
          <w:color w:val="auto"/>
          <w:sz w:val="24"/>
        </w:rPr>
        <w:t xml:space="preserve">. Vrijednost kriterija za posljedice na društvenu stabilnost i politiku - </w:t>
      </w:r>
      <w:r w:rsidRPr="00FF1E38">
        <w:rPr>
          <w:rFonts w:ascii="Times New Roman" w:hAnsi="Times New Roman" w:cs="Times New Roman"/>
          <w:b/>
          <w:sz w:val="24"/>
        </w:rPr>
        <w:t>oštećena kritična infrastruktura</w:t>
      </w:r>
    </w:p>
    <w:tbl>
      <w:tblPr>
        <w:tblStyle w:val="TableGrid4"/>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60" w:type="dxa"/>
        </w:tblCellMar>
        <w:tblLook w:val="04A0" w:firstRow="1" w:lastRow="0" w:firstColumn="1" w:lastColumn="0" w:noHBand="0" w:noVBand="1"/>
      </w:tblPr>
      <w:tblGrid>
        <w:gridCol w:w="1700"/>
        <w:gridCol w:w="2690"/>
        <w:gridCol w:w="3118"/>
        <w:gridCol w:w="1564"/>
      </w:tblGrid>
      <w:tr w:rsidR="00FF1E38" w:rsidRPr="00FF1E38" w14:paraId="47913719" w14:textId="77777777" w:rsidTr="00DE0C9A">
        <w:trPr>
          <w:cantSplit/>
          <w:tblHeader/>
        </w:trPr>
        <w:tc>
          <w:tcPr>
            <w:tcW w:w="9072" w:type="dxa"/>
            <w:gridSpan w:val="4"/>
            <w:shd w:val="clear" w:color="auto" w:fill="FFC000"/>
            <w:vAlign w:val="center"/>
          </w:tcPr>
          <w:p w14:paraId="787BFC7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Oštećena kritična infrastruktura – toplinski val</w:t>
            </w:r>
          </w:p>
        </w:tc>
      </w:tr>
      <w:tr w:rsidR="00FF1E38" w:rsidRPr="00FF1E38" w14:paraId="0E82B15E" w14:textId="77777777" w:rsidTr="00DE0C9A">
        <w:trPr>
          <w:cantSplit/>
          <w:tblHeader/>
        </w:trPr>
        <w:tc>
          <w:tcPr>
            <w:tcW w:w="1700" w:type="dxa"/>
            <w:shd w:val="clear" w:color="auto" w:fill="FFC000"/>
            <w:vAlign w:val="center"/>
          </w:tcPr>
          <w:p w14:paraId="28FB9A3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Kategorija</w:t>
            </w:r>
          </w:p>
        </w:tc>
        <w:tc>
          <w:tcPr>
            <w:tcW w:w="2690" w:type="dxa"/>
            <w:shd w:val="clear" w:color="auto" w:fill="FFC000"/>
            <w:vAlign w:val="center"/>
          </w:tcPr>
          <w:p w14:paraId="57580B8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Posljedice</w:t>
            </w:r>
          </w:p>
        </w:tc>
        <w:tc>
          <w:tcPr>
            <w:tcW w:w="3118" w:type="dxa"/>
            <w:shd w:val="clear" w:color="auto" w:fill="FFC000"/>
            <w:vAlign w:val="center"/>
          </w:tcPr>
          <w:p w14:paraId="67BFABF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Kriteriji (kn)</w:t>
            </w:r>
          </w:p>
        </w:tc>
        <w:tc>
          <w:tcPr>
            <w:tcW w:w="1564" w:type="dxa"/>
            <w:shd w:val="clear" w:color="auto" w:fill="FFC000"/>
            <w:vAlign w:val="center"/>
          </w:tcPr>
          <w:p w14:paraId="3F35D03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ODABRANO</w:t>
            </w:r>
          </w:p>
        </w:tc>
      </w:tr>
      <w:tr w:rsidR="00FF1E38" w:rsidRPr="00FF1E38" w14:paraId="2D0CC6D9" w14:textId="77777777" w:rsidTr="00DE0C9A">
        <w:trPr>
          <w:cantSplit/>
        </w:trPr>
        <w:tc>
          <w:tcPr>
            <w:tcW w:w="1700" w:type="dxa"/>
            <w:vAlign w:val="center"/>
          </w:tcPr>
          <w:p w14:paraId="46DB2AA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w:t>
            </w:r>
          </w:p>
        </w:tc>
        <w:tc>
          <w:tcPr>
            <w:tcW w:w="2690" w:type="dxa"/>
            <w:vAlign w:val="center"/>
          </w:tcPr>
          <w:p w14:paraId="60FF474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Neznatne</w:t>
            </w:r>
          </w:p>
        </w:tc>
        <w:tc>
          <w:tcPr>
            <w:tcW w:w="3118" w:type="dxa"/>
            <w:vAlign w:val="center"/>
          </w:tcPr>
          <w:p w14:paraId="3C5DE14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75.634.600 - 151.269.100</w:t>
            </w:r>
          </w:p>
        </w:tc>
        <w:tc>
          <w:tcPr>
            <w:tcW w:w="1564" w:type="dxa"/>
            <w:vAlign w:val="center"/>
          </w:tcPr>
          <w:p w14:paraId="789952D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r>
      <w:tr w:rsidR="00FF1E38" w:rsidRPr="00FF1E38" w14:paraId="60E75279" w14:textId="77777777" w:rsidTr="00DE0C9A">
        <w:trPr>
          <w:cantSplit/>
        </w:trPr>
        <w:tc>
          <w:tcPr>
            <w:tcW w:w="1700" w:type="dxa"/>
            <w:shd w:val="clear" w:color="auto" w:fill="FFC000"/>
            <w:vAlign w:val="center"/>
          </w:tcPr>
          <w:p w14:paraId="5E352F4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w:t>
            </w:r>
          </w:p>
        </w:tc>
        <w:tc>
          <w:tcPr>
            <w:tcW w:w="2690" w:type="dxa"/>
            <w:shd w:val="clear" w:color="auto" w:fill="FFC000"/>
            <w:vAlign w:val="center"/>
          </w:tcPr>
          <w:p w14:paraId="396466D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Malene</w:t>
            </w:r>
          </w:p>
        </w:tc>
        <w:tc>
          <w:tcPr>
            <w:tcW w:w="3118" w:type="dxa"/>
            <w:shd w:val="clear" w:color="auto" w:fill="FFC000"/>
            <w:vAlign w:val="center"/>
          </w:tcPr>
          <w:p w14:paraId="5BCA96C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151.269.100 - 756.345.600</w:t>
            </w:r>
          </w:p>
        </w:tc>
        <w:tc>
          <w:tcPr>
            <w:tcW w:w="1564" w:type="dxa"/>
            <w:shd w:val="clear" w:color="auto" w:fill="FFC000"/>
            <w:vAlign w:val="center"/>
          </w:tcPr>
          <w:p w14:paraId="06074B7B"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037DCA61" w14:textId="77777777" w:rsidTr="00DE0C9A">
        <w:trPr>
          <w:cantSplit/>
        </w:trPr>
        <w:tc>
          <w:tcPr>
            <w:tcW w:w="1700" w:type="dxa"/>
            <w:vAlign w:val="center"/>
          </w:tcPr>
          <w:p w14:paraId="2553CCE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w:t>
            </w:r>
          </w:p>
        </w:tc>
        <w:tc>
          <w:tcPr>
            <w:tcW w:w="2690" w:type="dxa"/>
            <w:vAlign w:val="center"/>
          </w:tcPr>
          <w:p w14:paraId="1AE9087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Umjerene</w:t>
            </w:r>
          </w:p>
        </w:tc>
        <w:tc>
          <w:tcPr>
            <w:tcW w:w="3118" w:type="dxa"/>
            <w:vAlign w:val="center"/>
          </w:tcPr>
          <w:p w14:paraId="78F7C1A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756.345.600 - 2.269.036.800</w:t>
            </w:r>
          </w:p>
        </w:tc>
        <w:tc>
          <w:tcPr>
            <w:tcW w:w="1564" w:type="dxa"/>
            <w:vAlign w:val="center"/>
          </w:tcPr>
          <w:p w14:paraId="53CD3BD9"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01322D5C" w14:textId="77777777" w:rsidTr="00DE0C9A">
        <w:trPr>
          <w:cantSplit/>
        </w:trPr>
        <w:tc>
          <w:tcPr>
            <w:tcW w:w="1700" w:type="dxa"/>
            <w:shd w:val="clear" w:color="auto" w:fill="FFC000"/>
            <w:vAlign w:val="center"/>
          </w:tcPr>
          <w:p w14:paraId="0BC996D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w:t>
            </w:r>
          </w:p>
        </w:tc>
        <w:tc>
          <w:tcPr>
            <w:tcW w:w="2690" w:type="dxa"/>
            <w:shd w:val="clear" w:color="auto" w:fill="FFC000"/>
            <w:vAlign w:val="center"/>
          </w:tcPr>
          <w:p w14:paraId="4FACD1B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Znatne</w:t>
            </w:r>
          </w:p>
        </w:tc>
        <w:tc>
          <w:tcPr>
            <w:tcW w:w="3118" w:type="dxa"/>
            <w:shd w:val="clear" w:color="auto" w:fill="FFC000"/>
            <w:vAlign w:val="center"/>
          </w:tcPr>
          <w:p w14:paraId="33F6D70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2.269.036.800 - 3.781.727.900</w:t>
            </w:r>
          </w:p>
        </w:tc>
        <w:tc>
          <w:tcPr>
            <w:tcW w:w="1564" w:type="dxa"/>
            <w:shd w:val="clear" w:color="auto" w:fill="FFC000"/>
            <w:vAlign w:val="center"/>
          </w:tcPr>
          <w:p w14:paraId="1FA467E3"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61223125" w14:textId="77777777" w:rsidTr="00DE0C9A">
        <w:trPr>
          <w:cantSplit/>
        </w:trPr>
        <w:tc>
          <w:tcPr>
            <w:tcW w:w="1700" w:type="dxa"/>
            <w:vAlign w:val="center"/>
          </w:tcPr>
          <w:p w14:paraId="7D02D73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w:t>
            </w:r>
          </w:p>
        </w:tc>
        <w:tc>
          <w:tcPr>
            <w:tcW w:w="2690" w:type="dxa"/>
            <w:vAlign w:val="center"/>
          </w:tcPr>
          <w:p w14:paraId="710867E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Katastrofalne</w:t>
            </w:r>
          </w:p>
        </w:tc>
        <w:tc>
          <w:tcPr>
            <w:tcW w:w="3118" w:type="dxa"/>
            <w:vAlign w:val="center"/>
          </w:tcPr>
          <w:p w14:paraId="6A86CA0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&gt;3.781.727.900</w:t>
            </w:r>
          </w:p>
        </w:tc>
        <w:tc>
          <w:tcPr>
            <w:tcW w:w="1564" w:type="dxa"/>
            <w:vAlign w:val="center"/>
          </w:tcPr>
          <w:p w14:paraId="500168E6" w14:textId="77777777" w:rsidR="00FF1E38" w:rsidRPr="00FF1E38" w:rsidRDefault="00FF1E38" w:rsidP="00FF1E38">
            <w:pPr>
              <w:spacing w:after="0" w:line="240" w:lineRule="auto"/>
              <w:ind w:left="0" w:right="0" w:firstLine="0"/>
              <w:jc w:val="center"/>
              <w:rPr>
                <w:rFonts w:ascii="Times New Roman" w:hAnsi="Times New Roman" w:cs="Times New Roman"/>
              </w:rPr>
            </w:pPr>
          </w:p>
        </w:tc>
      </w:tr>
    </w:tbl>
    <w:p w14:paraId="77C4405D"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3EE62D84" w14:textId="60F1A713" w:rsidR="00FF1E38" w:rsidRPr="00FF1E38" w:rsidRDefault="00FF1E38" w:rsidP="002F1B29">
      <w:pPr>
        <w:spacing w:line="240" w:lineRule="auto"/>
        <w:ind w:left="0" w:right="0" w:firstLine="0"/>
        <w:jc w:val="center"/>
        <w:rPr>
          <w:rFonts w:ascii="Times New Roman" w:hAnsi="Times New Roman" w:cs="Times New Roman"/>
          <w:b/>
          <w:sz w:val="24"/>
        </w:rPr>
      </w:pPr>
      <w:r w:rsidRPr="005438CC">
        <w:rPr>
          <w:rFonts w:ascii="Times New Roman" w:hAnsi="Times New Roman" w:cs="Times New Roman"/>
          <w:b/>
          <w:color w:val="auto"/>
          <w:sz w:val="24"/>
        </w:rPr>
        <w:t xml:space="preserve">Tablica </w:t>
      </w:r>
      <w:r w:rsidR="005438CC" w:rsidRPr="005438CC">
        <w:rPr>
          <w:rFonts w:ascii="Times New Roman" w:hAnsi="Times New Roman" w:cs="Times New Roman"/>
          <w:b/>
          <w:color w:val="auto"/>
          <w:sz w:val="24"/>
        </w:rPr>
        <w:t>90</w:t>
      </w:r>
      <w:r w:rsidRPr="005438CC">
        <w:rPr>
          <w:rFonts w:ascii="Times New Roman" w:hAnsi="Times New Roman" w:cs="Times New Roman"/>
          <w:b/>
          <w:color w:val="auto"/>
          <w:sz w:val="24"/>
        </w:rPr>
        <w:t xml:space="preserve">. Vrijednost kriterija za posljedice na društvenu stabilnost i politiku - </w:t>
      </w:r>
      <w:r w:rsidRPr="00FF1E38">
        <w:rPr>
          <w:rFonts w:ascii="Times New Roman" w:hAnsi="Times New Roman" w:cs="Times New Roman"/>
          <w:b/>
          <w:sz w:val="24"/>
        </w:rPr>
        <w:t xml:space="preserve">štete/gubitci na ustanovama/građevinama javnog društvenog značaja </w:t>
      </w:r>
    </w:p>
    <w:tbl>
      <w:tblPr>
        <w:tblStyle w:val="TableGrid5"/>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60" w:type="dxa"/>
        </w:tblCellMar>
        <w:tblLook w:val="04A0" w:firstRow="1" w:lastRow="0" w:firstColumn="1" w:lastColumn="0" w:noHBand="0" w:noVBand="1"/>
      </w:tblPr>
      <w:tblGrid>
        <w:gridCol w:w="1700"/>
        <w:gridCol w:w="2690"/>
        <w:gridCol w:w="3118"/>
        <w:gridCol w:w="1564"/>
      </w:tblGrid>
      <w:tr w:rsidR="00FF1E38" w:rsidRPr="00FF1E38" w14:paraId="3F6750A2" w14:textId="77777777" w:rsidTr="00DE0C9A">
        <w:trPr>
          <w:cantSplit/>
          <w:tblHeader/>
        </w:trPr>
        <w:tc>
          <w:tcPr>
            <w:tcW w:w="9072" w:type="dxa"/>
            <w:gridSpan w:val="4"/>
            <w:shd w:val="clear" w:color="auto" w:fill="FFC000"/>
            <w:vAlign w:val="center"/>
          </w:tcPr>
          <w:p w14:paraId="31B31CD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Štete/gubitci na građevinama od javnog društvenog značaja – toplinski val</w:t>
            </w:r>
          </w:p>
        </w:tc>
      </w:tr>
      <w:tr w:rsidR="00FF1E38" w:rsidRPr="00FF1E38" w14:paraId="67AD8EF2" w14:textId="77777777" w:rsidTr="00DE0C9A">
        <w:trPr>
          <w:cantSplit/>
          <w:tblHeader/>
        </w:trPr>
        <w:tc>
          <w:tcPr>
            <w:tcW w:w="1700" w:type="dxa"/>
            <w:shd w:val="clear" w:color="auto" w:fill="FFC000"/>
            <w:vAlign w:val="center"/>
          </w:tcPr>
          <w:p w14:paraId="798D247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Kategorija</w:t>
            </w:r>
          </w:p>
        </w:tc>
        <w:tc>
          <w:tcPr>
            <w:tcW w:w="2690" w:type="dxa"/>
            <w:shd w:val="clear" w:color="auto" w:fill="FFC000"/>
            <w:vAlign w:val="center"/>
          </w:tcPr>
          <w:p w14:paraId="36BD3D0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Posljedice</w:t>
            </w:r>
          </w:p>
        </w:tc>
        <w:tc>
          <w:tcPr>
            <w:tcW w:w="3118" w:type="dxa"/>
            <w:shd w:val="clear" w:color="auto" w:fill="FFC000"/>
            <w:vAlign w:val="center"/>
          </w:tcPr>
          <w:p w14:paraId="14DC08B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Kriteriji (kn)</w:t>
            </w:r>
          </w:p>
        </w:tc>
        <w:tc>
          <w:tcPr>
            <w:tcW w:w="1564" w:type="dxa"/>
            <w:shd w:val="clear" w:color="auto" w:fill="FFC000"/>
            <w:vAlign w:val="center"/>
          </w:tcPr>
          <w:p w14:paraId="584845E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ODABRANO</w:t>
            </w:r>
          </w:p>
        </w:tc>
      </w:tr>
      <w:tr w:rsidR="00FF1E38" w:rsidRPr="00FF1E38" w14:paraId="586FAE88" w14:textId="77777777" w:rsidTr="00DE0C9A">
        <w:trPr>
          <w:cantSplit/>
        </w:trPr>
        <w:tc>
          <w:tcPr>
            <w:tcW w:w="1700" w:type="dxa"/>
            <w:vAlign w:val="center"/>
          </w:tcPr>
          <w:p w14:paraId="0851BB5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w:t>
            </w:r>
          </w:p>
        </w:tc>
        <w:tc>
          <w:tcPr>
            <w:tcW w:w="2690" w:type="dxa"/>
            <w:vAlign w:val="center"/>
          </w:tcPr>
          <w:p w14:paraId="428C17B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Neznatne</w:t>
            </w:r>
          </w:p>
        </w:tc>
        <w:tc>
          <w:tcPr>
            <w:tcW w:w="3118" w:type="dxa"/>
            <w:vAlign w:val="center"/>
          </w:tcPr>
          <w:p w14:paraId="1376F35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75.634.600 - 151.269.100</w:t>
            </w:r>
          </w:p>
        </w:tc>
        <w:tc>
          <w:tcPr>
            <w:tcW w:w="1564" w:type="dxa"/>
            <w:vAlign w:val="center"/>
          </w:tcPr>
          <w:p w14:paraId="55632AD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r>
      <w:tr w:rsidR="00FF1E38" w:rsidRPr="00FF1E38" w14:paraId="69805DEE" w14:textId="77777777" w:rsidTr="00DE0C9A">
        <w:trPr>
          <w:cantSplit/>
        </w:trPr>
        <w:tc>
          <w:tcPr>
            <w:tcW w:w="1700" w:type="dxa"/>
            <w:shd w:val="clear" w:color="auto" w:fill="FFC000"/>
            <w:vAlign w:val="center"/>
          </w:tcPr>
          <w:p w14:paraId="4F87803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w:t>
            </w:r>
          </w:p>
        </w:tc>
        <w:tc>
          <w:tcPr>
            <w:tcW w:w="2690" w:type="dxa"/>
            <w:shd w:val="clear" w:color="auto" w:fill="FFC000"/>
            <w:vAlign w:val="center"/>
          </w:tcPr>
          <w:p w14:paraId="1C4F35B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Malene</w:t>
            </w:r>
          </w:p>
        </w:tc>
        <w:tc>
          <w:tcPr>
            <w:tcW w:w="3118" w:type="dxa"/>
            <w:shd w:val="clear" w:color="auto" w:fill="FFC000"/>
            <w:vAlign w:val="center"/>
          </w:tcPr>
          <w:p w14:paraId="25CBB47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151.269.100 - 756.345.600</w:t>
            </w:r>
          </w:p>
        </w:tc>
        <w:tc>
          <w:tcPr>
            <w:tcW w:w="1564" w:type="dxa"/>
            <w:shd w:val="clear" w:color="auto" w:fill="FFC000"/>
            <w:vAlign w:val="center"/>
          </w:tcPr>
          <w:p w14:paraId="12D75263"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34713169" w14:textId="77777777" w:rsidTr="00DE0C9A">
        <w:trPr>
          <w:cantSplit/>
        </w:trPr>
        <w:tc>
          <w:tcPr>
            <w:tcW w:w="1700" w:type="dxa"/>
            <w:vAlign w:val="center"/>
          </w:tcPr>
          <w:p w14:paraId="7CA0559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w:t>
            </w:r>
          </w:p>
        </w:tc>
        <w:tc>
          <w:tcPr>
            <w:tcW w:w="2690" w:type="dxa"/>
            <w:vAlign w:val="center"/>
          </w:tcPr>
          <w:p w14:paraId="2E01664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Umjerene</w:t>
            </w:r>
          </w:p>
        </w:tc>
        <w:tc>
          <w:tcPr>
            <w:tcW w:w="3118" w:type="dxa"/>
            <w:vAlign w:val="center"/>
          </w:tcPr>
          <w:p w14:paraId="06BE014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756.345.600 - 2.269.036.800</w:t>
            </w:r>
          </w:p>
        </w:tc>
        <w:tc>
          <w:tcPr>
            <w:tcW w:w="1564" w:type="dxa"/>
            <w:vAlign w:val="center"/>
          </w:tcPr>
          <w:p w14:paraId="42438C7B"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6CFF6ABA" w14:textId="77777777" w:rsidTr="00DE0C9A">
        <w:trPr>
          <w:cantSplit/>
        </w:trPr>
        <w:tc>
          <w:tcPr>
            <w:tcW w:w="1700" w:type="dxa"/>
            <w:shd w:val="clear" w:color="auto" w:fill="FFC000"/>
            <w:vAlign w:val="center"/>
          </w:tcPr>
          <w:p w14:paraId="7581641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w:t>
            </w:r>
          </w:p>
        </w:tc>
        <w:tc>
          <w:tcPr>
            <w:tcW w:w="2690" w:type="dxa"/>
            <w:shd w:val="clear" w:color="auto" w:fill="FFC000"/>
            <w:vAlign w:val="center"/>
          </w:tcPr>
          <w:p w14:paraId="7FEA4D4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Znatne</w:t>
            </w:r>
          </w:p>
        </w:tc>
        <w:tc>
          <w:tcPr>
            <w:tcW w:w="3118" w:type="dxa"/>
            <w:shd w:val="clear" w:color="auto" w:fill="FFC000"/>
            <w:vAlign w:val="center"/>
          </w:tcPr>
          <w:p w14:paraId="5AA3852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2.269.036.800 - 3.781.727.900</w:t>
            </w:r>
          </w:p>
        </w:tc>
        <w:tc>
          <w:tcPr>
            <w:tcW w:w="1564" w:type="dxa"/>
            <w:shd w:val="clear" w:color="auto" w:fill="FFC000"/>
            <w:vAlign w:val="center"/>
          </w:tcPr>
          <w:p w14:paraId="4E389D82"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5E370235" w14:textId="77777777" w:rsidTr="00DE0C9A">
        <w:trPr>
          <w:cantSplit/>
        </w:trPr>
        <w:tc>
          <w:tcPr>
            <w:tcW w:w="1700" w:type="dxa"/>
            <w:vAlign w:val="center"/>
          </w:tcPr>
          <w:p w14:paraId="1DAE4DF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w:t>
            </w:r>
          </w:p>
        </w:tc>
        <w:tc>
          <w:tcPr>
            <w:tcW w:w="2690" w:type="dxa"/>
            <w:vAlign w:val="center"/>
          </w:tcPr>
          <w:p w14:paraId="42F2DCD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Katastrofalne</w:t>
            </w:r>
          </w:p>
        </w:tc>
        <w:tc>
          <w:tcPr>
            <w:tcW w:w="3118" w:type="dxa"/>
            <w:vAlign w:val="center"/>
          </w:tcPr>
          <w:p w14:paraId="7A0E2C1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&gt;3.781.727.900</w:t>
            </w:r>
          </w:p>
        </w:tc>
        <w:tc>
          <w:tcPr>
            <w:tcW w:w="1564" w:type="dxa"/>
            <w:vAlign w:val="center"/>
          </w:tcPr>
          <w:p w14:paraId="0CBD88D5" w14:textId="77777777" w:rsidR="00FF1E38" w:rsidRPr="00FF1E38" w:rsidRDefault="00FF1E38" w:rsidP="00FF1E38">
            <w:pPr>
              <w:spacing w:after="0" w:line="240" w:lineRule="auto"/>
              <w:ind w:left="0" w:right="0" w:firstLine="0"/>
              <w:jc w:val="center"/>
              <w:rPr>
                <w:rFonts w:ascii="Times New Roman" w:hAnsi="Times New Roman" w:cs="Times New Roman"/>
              </w:rPr>
            </w:pPr>
          </w:p>
        </w:tc>
      </w:tr>
    </w:tbl>
    <w:p w14:paraId="7F5C993F"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1E6FF89B" w14:textId="56D4BFC2" w:rsidR="00FF1E38" w:rsidRPr="00676F3A" w:rsidRDefault="00FF1E38" w:rsidP="002F1B29">
      <w:pPr>
        <w:spacing w:line="240" w:lineRule="auto"/>
        <w:ind w:left="0" w:right="0" w:firstLine="0"/>
        <w:jc w:val="center"/>
        <w:rPr>
          <w:rFonts w:ascii="Times New Roman" w:hAnsi="Times New Roman" w:cs="Times New Roman"/>
          <w:b/>
          <w:color w:val="auto"/>
          <w:sz w:val="24"/>
        </w:rPr>
      </w:pPr>
      <w:r w:rsidRPr="00676F3A">
        <w:rPr>
          <w:rFonts w:ascii="Times New Roman" w:hAnsi="Times New Roman" w:cs="Times New Roman"/>
          <w:b/>
          <w:color w:val="auto"/>
          <w:sz w:val="24"/>
        </w:rPr>
        <w:t xml:space="preserve">Tablica </w:t>
      </w:r>
      <w:r w:rsidR="00676F3A" w:rsidRPr="00676F3A">
        <w:rPr>
          <w:rFonts w:ascii="Times New Roman" w:hAnsi="Times New Roman" w:cs="Times New Roman"/>
          <w:b/>
          <w:color w:val="auto"/>
          <w:sz w:val="24"/>
        </w:rPr>
        <w:t>91</w:t>
      </w:r>
      <w:r w:rsidRPr="00676F3A">
        <w:rPr>
          <w:rFonts w:ascii="Times New Roman" w:hAnsi="Times New Roman" w:cs="Times New Roman"/>
          <w:b/>
          <w:color w:val="auto"/>
          <w:sz w:val="24"/>
        </w:rPr>
        <w:t xml:space="preserve">. Vrijednost kriterija za društvenu stabilnost i politiku - zbirno </w:t>
      </w:r>
    </w:p>
    <w:tbl>
      <w:tblPr>
        <w:tblStyle w:val="TableGrid"/>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05"/>
        <w:gridCol w:w="2841"/>
        <w:gridCol w:w="2821"/>
        <w:gridCol w:w="1705"/>
      </w:tblGrid>
      <w:tr w:rsidR="00FF1E38" w:rsidRPr="00FF1E38" w14:paraId="5990F04A" w14:textId="77777777" w:rsidTr="002F1B29">
        <w:trPr>
          <w:cantSplit/>
          <w:tblHeader/>
        </w:trPr>
        <w:tc>
          <w:tcPr>
            <w:tcW w:w="1705" w:type="dxa"/>
            <w:shd w:val="clear" w:color="auto" w:fill="FFC000"/>
            <w:vAlign w:val="center"/>
          </w:tcPr>
          <w:p w14:paraId="64F1BB7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POSLJEDICE</w:t>
            </w:r>
          </w:p>
        </w:tc>
        <w:tc>
          <w:tcPr>
            <w:tcW w:w="2841" w:type="dxa"/>
            <w:shd w:val="clear" w:color="auto" w:fill="FFC000"/>
            <w:vAlign w:val="center"/>
          </w:tcPr>
          <w:p w14:paraId="28B2577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KRITIČNA INFRASTRUKTURA</w:t>
            </w:r>
          </w:p>
        </w:tc>
        <w:tc>
          <w:tcPr>
            <w:tcW w:w="2821" w:type="dxa"/>
            <w:shd w:val="clear" w:color="auto" w:fill="FFC000"/>
            <w:vAlign w:val="center"/>
          </w:tcPr>
          <w:p w14:paraId="5CD16A42" w14:textId="77777777" w:rsidR="00FF1E38" w:rsidRPr="00FF1E38" w:rsidRDefault="00FF1E38" w:rsidP="00FF1E38">
            <w:pPr>
              <w:spacing w:after="0" w:line="240" w:lineRule="auto"/>
              <w:ind w:left="0" w:right="0" w:firstLine="0"/>
              <w:jc w:val="center"/>
              <w:rPr>
                <w:rFonts w:ascii="Times New Roman" w:hAnsi="Times New Roman" w:cs="Times New Roman"/>
                <w:b/>
              </w:rPr>
            </w:pPr>
            <w:r w:rsidRPr="00FF1E38">
              <w:rPr>
                <w:rFonts w:ascii="Times New Roman" w:hAnsi="Times New Roman" w:cs="Times New Roman"/>
                <w:b/>
              </w:rPr>
              <w:t>USTANOVE/GRAĐEVINE</w:t>
            </w:r>
          </w:p>
          <w:p w14:paraId="68E6488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JAVNOG DRUŠTVENOG ZNAČAJA</w:t>
            </w:r>
          </w:p>
        </w:tc>
        <w:tc>
          <w:tcPr>
            <w:tcW w:w="1705" w:type="dxa"/>
            <w:shd w:val="clear" w:color="auto" w:fill="FFC000"/>
            <w:vAlign w:val="center"/>
          </w:tcPr>
          <w:p w14:paraId="6578779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ODABRANO</w:t>
            </w:r>
          </w:p>
        </w:tc>
      </w:tr>
      <w:tr w:rsidR="00FF1E38" w:rsidRPr="00FF1E38" w14:paraId="671F43A1" w14:textId="77777777" w:rsidTr="002F1B29">
        <w:trPr>
          <w:cantSplit/>
        </w:trPr>
        <w:tc>
          <w:tcPr>
            <w:tcW w:w="1705" w:type="dxa"/>
            <w:vAlign w:val="center"/>
          </w:tcPr>
          <w:p w14:paraId="285F1A3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Neznatne</w:t>
            </w:r>
          </w:p>
        </w:tc>
        <w:tc>
          <w:tcPr>
            <w:tcW w:w="2841" w:type="dxa"/>
            <w:vAlign w:val="center"/>
          </w:tcPr>
          <w:p w14:paraId="637D162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c>
          <w:tcPr>
            <w:tcW w:w="2821" w:type="dxa"/>
            <w:vAlign w:val="center"/>
          </w:tcPr>
          <w:p w14:paraId="50C6D6A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c>
          <w:tcPr>
            <w:tcW w:w="1705" w:type="dxa"/>
            <w:vAlign w:val="center"/>
          </w:tcPr>
          <w:p w14:paraId="7725259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r>
      <w:tr w:rsidR="00FF1E38" w:rsidRPr="00FF1E38" w14:paraId="54028985" w14:textId="77777777" w:rsidTr="002F1B29">
        <w:trPr>
          <w:cantSplit/>
        </w:trPr>
        <w:tc>
          <w:tcPr>
            <w:tcW w:w="1705" w:type="dxa"/>
            <w:shd w:val="clear" w:color="auto" w:fill="FFC000"/>
            <w:vAlign w:val="center"/>
          </w:tcPr>
          <w:p w14:paraId="35725F6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Malene</w:t>
            </w:r>
          </w:p>
        </w:tc>
        <w:tc>
          <w:tcPr>
            <w:tcW w:w="2841" w:type="dxa"/>
            <w:shd w:val="clear" w:color="auto" w:fill="FFC000"/>
            <w:vAlign w:val="center"/>
          </w:tcPr>
          <w:p w14:paraId="7FC33CDF"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821" w:type="dxa"/>
            <w:shd w:val="clear" w:color="auto" w:fill="FFC000"/>
            <w:vAlign w:val="center"/>
          </w:tcPr>
          <w:p w14:paraId="00032F47"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05" w:type="dxa"/>
            <w:shd w:val="clear" w:color="auto" w:fill="FFC000"/>
            <w:vAlign w:val="center"/>
          </w:tcPr>
          <w:p w14:paraId="15395870"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30C1CADF" w14:textId="77777777" w:rsidTr="002F1B29">
        <w:trPr>
          <w:cantSplit/>
        </w:trPr>
        <w:tc>
          <w:tcPr>
            <w:tcW w:w="1705" w:type="dxa"/>
            <w:vAlign w:val="center"/>
          </w:tcPr>
          <w:p w14:paraId="006289E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Umjerene</w:t>
            </w:r>
          </w:p>
        </w:tc>
        <w:tc>
          <w:tcPr>
            <w:tcW w:w="2841" w:type="dxa"/>
            <w:vAlign w:val="center"/>
          </w:tcPr>
          <w:p w14:paraId="5F50FECA"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821" w:type="dxa"/>
            <w:vAlign w:val="center"/>
          </w:tcPr>
          <w:p w14:paraId="414B7B1A"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05" w:type="dxa"/>
            <w:vAlign w:val="center"/>
          </w:tcPr>
          <w:p w14:paraId="07BE7601"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244D6D49" w14:textId="77777777" w:rsidTr="002F1B29">
        <w:trPr>
          <w:cantSplit/>
        </w:trPr>
        <w:tc>
          <w:tcPr>
            <w:tcW w:w="1705" w:type="dxa"/>
            <w:shd w:val="clear" w:color="auto" w:fill="FFC000"/>
            <w:vAlign w:val="center"/>
          </w:tcPr>
          <w:p w14:paraId="1590A3E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Znatne</w:t>
            </w:r>
          </w:p>
        </w:tc>
        <w:tc>
          <w:tcPr>
            <w:tcW w:w="2841" w:type="dxa"/>
            <w:shd w:val="clear" w:color="auto" w:fill="FFC000"/>
            <w:vAlign w:val="center"/>
          </w:tcPr>
          <w:p w14:paraId="68EDAFE9"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821" w:type="dxa"/>
            <w:shd w:val="clear" w:color="auto" w:fill="FFC000"/>
            <w:vAlign w:val="center"/>
          </w:tcPr>
          <w:p w14:paraId="01825E4E"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05" w:type="dxa"/>
            <w:shd w:val="clear" w:color="auto" w:fill="FFC000"/>
            <w:vAlign w:val="center"/>
          </w:tcPr>
          <w:p w14:paraId="016895F4"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3743406B" w14:textId="77777777" w:rsidTr="002F1B29">
        <w:trPr>
          <w:cantSplit/>
        </w:trPr>
        <w:tc>
          <w:tcPr>
            <w:tcW w:w="1705" w:type="dxa"/>
            <w:vAlign w:val="center"/>
          </w:tcPr>
          <w:p w14:paraId="49665EF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Katastrofalne</w:t>
            </w:r>
          </w:p>
        </w:tc>
        <w:tc>
          <w:tcPr>
            <w:tcW w:w="2841" w:type="dxa"/>
            <w:vAlign w:val="center"/>
          </w:tcPr>
          <w:p w14:paraId="775652A7"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821" w:type="dxa"/>
            <w:vAlign w:val="center"/>
          </w:tcPr>
          <w:p w14:paraId="45ADD13F"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05" w:type="dxa"/>
            <w:vAlign w:val="center"/>
          </w:tcPr>
          <w:p w14:paraId="38412C0A" w14:textId="77777777" w:rsidR="00FF1E38" w:rsidRPr="00FF1E38" w:rsidRDefault="00FF1E38" w:rsidP="00FF1E38">
            <w:pPr>
              <w:spacing w:after="0" w:line="240" w:lineRule="auto"/>
              <w:ind w:left="0" w:right="0" w:firstLine="0"/>
              <w:jc w:val="center"/>
              <w:rPr>
                <w:rFonts w:ascii="Times New Roman" w:hAnsi="Times New Roman" w:cs="Times New Roman"/>
              </w:rPr>
            </w:pPr>
          </w:p>
        </w:tc>
      </w:tr>
    </w:tbl>
    <w:p w14:paraId="2A0B18F9" w14:textId="77777777" w:rsidR="00FF1E38" w:rsidRPr="00FF1E38" w:rsidRDefault="00FF1E38" w:rsidP="00FF1E38">
      <w:pPr>
        <w:spacing w:after="0" w:line="240" w:lineRule="auto"/>
        <w:ind w:left="0" w:right="0" w:firstLine="0"/>
        <w:jc w:val="left"/>
        <w:rPr>
          <w:rFonts w:ascii="Times New Roman" w:hAnsi="Times New Roman" w:cs="Times New Roman"/>
          <w:i/>
          <w:sz w:val="24"/>
        </w:rPr>
      </w:pPr>
    </w:p>
    <w:p w14:paraId="06C9C29B" w14:textId="77777777" w:rsidR="00FF1E38" w:rsidRPr="00FF1E38" w:rsidRDefault="00FF1E38" w:rsidP="00FF1E38">
      <w:pPr>
        <w:spacing w:after="0" w:line="240" w:lineRule="auto"/>
        <w:ind w:left="0" w:right="0" w:firstLine="709"/>
        <w:jc w:val="left"/>
        <w:rPr>
          <w:rFonts w:ascii="Times New Roman" w:hAnsi="Times New Roman" w:cs="Times New Roman"/>
          <w:i/>
          <w:sz w:val="24"/>
        </w:rPr>
      </w:pPr>
      <w:r w:rsidRPr="00FF1E38">
        <w:rPr>
          <w:rFonts w:ascii="Times New Roman" w:hAnsi="Times New Roman" w:cs="Times New Roman"/>
          <w:i/>
          <w:sz w:val="24"/>
          <w:u w:val="single" w:color="000000"/>
        </w:rPr>
        <w:t>Zaključak</w:t>
      </w:r>
    </w:p>
    <w:p w14:paraId="053B65F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Ekstremne temperature zraka mogu uzrokovati zdravstvene probleme i povećan broj smrtnih slučajeva i stoga su javnozdravstveni problem. Osobito ugrožene skupine ljudi su mala djeca, kronični bolesnici, starije osobe te ljudi koji rade na otvorenom prostoru (građevinski radnici, poljoprivrednici i dr.). Toplinske valove uz povećanu potrošnju električne energije često prati i suša pa kombinacija tih događaja može biti dodatan problem/izazov u opskrbi električnom energijom i u vodoopskrbi, ali izravni uzrok otežanog rada kritičnih infrastruktura u tom slučaju je suša a ne toplinski val, pa se te štete u ovom scenariju ne uzimaju u razmatranje.</w:t>
      </w:r>
    </w:p>
    <w:p w14:paraId="52C45ECB"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52758150" w14:textId="77777777" w:rsidR="00FF1E38" w:rsidRPr="00FF1E38" w:rsidRDefault="00FF1E38" w:rsidP="00FF1E38">
      <w:pPr>
        <w:spacing w:after="0" w:line="240" w:lineRule="auto"/>
        <w:ind w:left="0" w:right="0" w:firstLine="709"/>
        <w:jc w:val="left"/>
        <w:rPr>
          <w:rFonts w:ascii="Times New Roman" w:hAnsi="Times New Roman" w:cs="Times New Roman"/>
          <w:i/>
          <w:sz w:val="24"/>
        </w:rPr>
      </w:pPr>
      <w:r w:rsidRPr="00FF1E38">
        <w:rPr>
          <w:rFonts w:ascii="Times New Roman" w:hAnsi="Times New Roman" w:cs="Times New Roman"/>
          <w:i/>
          <w:sz w:val="24"/>
          <w:u w:val="single" w:color="000000"/>
        </w:rPr>
        <w:t>Vjerojatnost događaja</w:t>
      </w:r>
    </w:p>
    <w:p w14:paraId="00EEC5AA" w14:textId="1BB2D4CC" w:rsid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Višegodišnji temperaturni trendovi koje prati Državni hidrometeorološki zavod za klimatska područja u Republici Hrvatskoj pokazuju na vrlo velik rizik od ekstremno visokih temperatura.</w:t>
      </w:r>
    </w:p>
    <w:p w14:paraId="369A6084" w14:textId="5B756997" w:rsidR="007F15EF" w:rsidRDefault="007F15EF" w:rsidP="00FF1E38">
      <w:pPr>
        <w:spacing w:after="0" w:line="240" w:lineRule="auto"/>
        <w:ind w:left="0" w:right="0" w:firstLine="709"/>
        <w:rPr>
          <w:rFonts w:ascii="Times New Roman" w:hAnsi="Times New Roman" w:cs="Times New Roman"/>
          <w:sz w:val="24"/>
        </w:rPr>
      </w:pPr>
    </w:p>
    <w:p w14:paraId="4260A431" w14:textId="1087B994" w:rsidR="007F15EF" w:rsidRDefault="007F15EF" w:rsidP="00FF1E38">
      <w:pPr>
        <w:spacing w:after="0" w:line="240" w:lineRule="auto"/>
        <w:ind w:left="0" w:right="0" w:firstLine="709"/>
        <w:rPr>
          <w:rFonts w:ascii="Times New Roman" w:hAnsi="Times New Roman" w:cs="Times New Roman"/>
          <w:sz w:val="24"/>
        </w:rPr>
      </w:pPr>
    </w:p>
    <w:p w14:paraId="41E72B12" w14:textId="77777777" w:rsidR="007F15EF" w:rsidRPr="00FF1E38" w:rsidRDefault="007F15EF" w:rsidP="00FF1E38">
      <w:pPr>
        <w:spacing w:after="0" w:line="240" w:lineRule="auto"/>
        <w:ind w:left="0" w:right="0" w:firstLine="709"/>
        <w:rPr>
          <w:rFonts w:ascii="Times New Roman" w:hAnsi="Times New Roman" w:cs="Times New Roman"/>
          <w:sz w:val="24"/>
        </w:rPr>
      </w:pPr>
    </w:p>
    <w:p w14:paraId="006E82A3" w14:textId="1A2A200F" w:rsidR="00FF1E38" w:rsidRPr="004F6158" w:rsidRDefault="00FF1E38" w:rsidP="002F1B29">
      <w:pPr>
        <w:spacing w:line="240" w:lineRule="auto"/>
        <w:ind w:right="0"/>
        <w:jc w:val="center"/>
        <w:rPr>
          <w:rFonts w:ascii="Times New Roman" w:hAnsi="Times New Roman" w:cs="Times New Roman"/>
          <w:b/>
          <w:color w:val="auto"/>
          <w:sz w:val="24"/>
        </w:rPr>
      </w:pPr>
      <w:r w:rsidRPr="004F6158">
        <w:rPr>
          <w:rFonts w:ascii="Times New Roman" w:hAnsi="Times New Roman" w:cs="Times New Roman"/>
          <w:b/>
          <w:color w:val="auto"/>
          <w:sz w:val="24"/>
        </w:rPr>
        <w:lastRenderedPageBreak/>
        <w:t xml:space="preserve">Tablica </w:t>
      </w:r>
      <w:r w:rsidR="004F6158" w:rsidRPr="004F6158">
        <w:rPr>
          <w:rFonts w:ascii="Times New Roman" w:hAnsi="Times New Roman" w:cs="Times New Roman"/>
          <w:b/>
          <w:color w:val="auto"/>
          <w:sz w:val="24"/>
        </w:rPr>
        <w:t>92</w:t>
      </w:r>
      <w:r w:rsidRPr="004F6158">
        <w:rPr>
          <w:rFonts w:ascii="Times New Roman" w:hAnsi="Times New Roman" w:cs="Times New Roman"/>
          <w:b/>
          <w:color w:val="auto"/>
          <w:sz w:val="24"/>
        </w:rPr>
        <w:t>. Vjerojatnost/frekvencija</w:t>
      </w:r>
    </w:p>
    <w:tbl>
      <w:tblPr>
        <w:tblStyle w:val="TableGrid"/>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271"/>
        <w:gridCol w:w="1504"/>
        <w:gridCol w:w="1331"/>
        <w:gridCol w:w="3507"/>
        <w:gridCol w:w="1459"/>
      </w:tblGrid>
      <w:tr w:rsidR="00FF1E38" w:rsidRPr="00FF1E38" w14:paraId="27F2C4EB" w14:textId="77777777" w:rsidTr="00DE0C9A">
        <w:trPr>
          <w:cantSplit/>
          <w:tblHeader/>
        </w:trPr>
        <w:tc>
          <w:tcPr>
            <w:tcW w:w="1271" w:type="dxa"/>
            <w:vMerge w:val="restart"/>
            <w:shd w:val="clear" w:color="auto" w:fill="FFC000"/>
            <w:vAlign w:val="center"/>
          </w:tcPr>
          <w:p w14:paraId="63395FF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Kategorija</w:t>
            </w:r>
          </w:p>
        </w:tc>
        <w:tc>
          <w:tcPr>
            <w:tcW w:w="1504" w:type="dxa"/>
            <w:shd w:val="clear" w:color="auto" w:fill="FFC000"/>
            <w:vAlign w:val="center"/>
          </w:tcPr>
          <w:p w14:paraId="2B2328F0"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4838" w:type="dxa"/>
            <w:gridSpan w:val="2"/>
            <w:shd w:val="clear" w:color="auto" w:fill="FFC000"/>
            <w:vAlign w:val="center"/>
          </w:tcPr>
          <w:p w14:paraId="7EE642C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VJEROJATNOST/FREKVENCIJA</w:t>
            </w:r>
          </w:p>
        </w:tc>
        <w:tc>
          <w:tcPr>
            <w:tcW w:w="1459" w:type="dxa"/>
            <w:shd w:val="clear" w:color="auto" w:fill="FFC000"/>
            <w:vAlign w:val="center"/>
          </w:tcPr>
          <w:p w14:paraId="629C799F"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7850A3CE" w14:textId="77777777" w:rsidTr="00DE0C9A">
        <w:trPr>
          <w:cantSplit/>
          <w:tblHeader/>
        </w:trPr>
        <w:tc>
          <w:tcPr>
            <w:tcW w:w="1271" w:type="dxa"/>
            <w:vMerge/>
            <w:vAlign w:val="center"/>
          </w:tcPr>
          <w:p w14:paraId="27794463"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504" w:type="dxa"/>
            <w:shd w:val="clear" w:color="auto" w:fill="FFC000"/>
            <w:vAlign w:val="center"/>
          </w:tcPr>
          <w:p w14:paraId="72415BB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Kvalitativno</w:t>
            </w:r>
          </w:p>
        </w:tc>
        <w:tc>
          <w:tcPr>
            <w:tcW w:w="1331" w:type="dxa"/>
            <w:shd w:val="clear" w:color="auto" w:fill="FFC000"/>
            <w:vAlign w:val="center"/>
          </w:tcPr>
          <w:p w14:paraId="5068357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Vjerojatnost</w:t>
            </w:r>
          </w:p>
        </w:tc>
        <w:tc>
          <w:tcPr>
            <w:tcW w:w="3507" w:type="dxa"/>
            <w:shd w:val="clear" w:color="auto" w:fill="FFC000"/>
            <w:vAlign w:val="center"/>
          </w:tcPr>
          <w:p w14:paraId="48D8539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Frekvencija</w:t>
            </w:r>
          </w:p>
        </w:tc>
        <w:tc>
          <w:tcPr>
            <w:tcW w:w="1459" w:type="dxa"/>
            <w:shd w:val="clear" w:color="auto" w:fill="FFC000"/>
            <w:vAlign w:val="center"/>
          </w:tcPr>
          <w:p w14:paraId="2E0B087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ODABRANO</w:t>
            </w:r>
          </w:p>
        </w:tc>
      </w:tr>
      <w:tr w:rsidR="00FF1E38" w:rsidRPr="00FF1E38" w14:paraId="76920342" w14:textId="77777777" w:rsidTr="00DE0C9A">
        <w:trPr>
          <w:cantSplit/>
        </w:trPr>
        <w:tc>
          <w:tcPr>
            <w:tcW w:w="1271" w:type="dxa"/>
            <w:vAlign w:val="center"/>
          </w:tcPr>
          <w:p w14:paraId="48A9093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w:t>
            </w:r>
          </w:p>
        </w:tc>
        <w:tc>
          <w:tcPr>
            <w:tcW w:w="1504" w:type="dxa"/>
            <w:vAlign w:val="center"/>
          </w:tcPr>
          <w:p w14:paraId="17D3C56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Iznimno mala</w:t>
            </w:r>
          </w:p>
        </w:tc>
        <w:tc>
          <w:tcPr>
            <w:tcW w:w="1331" w:type="dxa"/>
            <w:vAlign w:val="center"/>
          </w:tcPr>
          <w:p w14:paraId="3249816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&lt;1 %</w:t>
            </w:r>
          </w:p>
        </w:tc>
        <w:tc>
          <w:tcPr>
            <w:tcW w:w="3507" w:type="dxa"/>
            <w:vAlign w:val="center"/>
          </w:tcPr>
          <w:p w14:paraId="48F6E71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u 100 godina i rjeđe</w:t>
            </w:r>
          </w:p>
        </w:tc>
        <w:tc>
          <w:tcPr>
            <w:tcW w:w="1459" w:type="dxa"/>
            <w:vAlign w:val="center"/>
          </w:tcPr>
          <w:p w14:paraId="430D76C4"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2BEF9210" w14:textId="77777777" w:rsidTr="00DE0C9A">
        <w:trPr>
          <w:cantSplit/>
        </w:trPr>
        <w:tc>
          <w:tcPr>
            <w:tcW w:w="1271" w:type="dxa"/>
            <w:shd w:val="clear" w:color="auto" w:fill="FFC000"/>
            <w:vAlign w:val="center"/>
          </w:tcPr>
          <w:p w14:paraId="5A93F4C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w:t>
            </w:r>
          </w:p>
        </w:tc>
        <w:tc>
          <w:tcPr>
            <w:tcW w:w="1504" w:type="dxa"/>
            <w:shd w:val="clear" w:color="auto" w:fill="FFC000"/>
            <w:vAlign w:val="center"/>
          </w:tcPr>
          <w:p w14:paraId="7923908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Mala</w:t>
            </w:r>
          </w:p>
        </w:tc>
        <w:tc>
          <w:tcPr>
            <w:tcW w:w="1331" w:type="dxa"/>
            <w:shd w:val="clear" w:color="auto" w:fill="FFC000"/>
            <w:vAlign w:val="center"/>
          </w:tcPr>
          <w:p w14:paraId="646C510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1 - 5 %</w:t>
            </w:r>
          </w:p>
        </w:tc>
        <w:tc>
          <w:tcPr>
            <w:tcW w:w="3507" w:type="dxa"/>
            <w:shd w:val="clear" w:color="auto" w:fill="FFC000"/>
            <w:vAlign w:val="center"/>
          </w:tcPr>
          <w:p w14:paraId="2A6D463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u razdoblju 20 - 100 godina</w:t>
            </w:r>
          </w:p>
        </w:tc>
        <w:tc>
          <w:tcPr>
            <w:tcW w:w="1459" w:type="dxa"/>
            <w:shd w:val="clear" w:color="auto" w:fill="FFC000"/>
            <w:vAlign w:val="center"/>
          </w:tcPr>
          <w:p w14:paraId="3D2ABF09"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52E7BC92" w14:textId="77777777" w:rsidTr="00DE0C9A">
        <w:trPr>
          <w:cantSplit/>
        </w:trPr>
        <w:tc>
          <w:tcPr>
            <w:tcW w:w="1271" w:type="dxa"/>
            <w:vAlign w:val="center"/>
          </w:tcPr>
          <w:p w14:paraId="20C348D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w:t>
            </w:r>
          </w:p>
        </w:tc>
        <w:tc>
          <w:tcPr>
            <w:tcW w:w="1504" w:type="dxa"/>
            <w:vAlign w:val="center"/>
          </w:tcPr>
          <w:p w14:paraId="7ECDBEC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Umjerena</w:t>
            </w:r>
          </w:p>
        </w:tc>
        <w:tc>
          <w:tcPr>
            <w:tcW w:w="1331" w:type="dxa"/>
            <w:vAlign w:val="center"/>
          </w:tcPr>
          <w:p w14:paraId="361C1F3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5 - 50 %</w:t>
            </w:r>
          </w:p>
        </w:tc>
        <w:tc>
          <w:tcPr>
            <w:tcW w:w="3507" w:type="dxa"/>
            <w:vAlign w:val="center"/>
          </w:tcPr>
          <w:p w14:paraId="6FE5B1C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u razdoblju 2 - 20 godina</w:t>
            </w:r>
          </w:p>
        </w:tc>
        <w:tc>
          <w:tcPr>
            <w:tcW w:w="1459" w:type="dxa"/>
            <w:vAlign w:val="center"/>
          </w:tcPr>
          <w:p w14:paraId="59E21FB8"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6F0D7AE6" w14:textId="77777777" w:rsidTr="00DE0C9A">
        <w:trPr>
          <w:cantSplit/>
        </w:trPr>
        <w:tc>
          <w:tcPr>
            <w:tcW w:w="1271" w:type="dxa"/>
            <w:shd w:val="clear" w:color="auto" w:fill="FFC000"/>
            <w:vAlign w:val="center"/>
          </w:tcPr>
          <w:p w14:paraId="1F3A080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w:t>
            </w:r>
          </w:p>
        </w:tc>
        <w:tc>
          <w:tcPr>
            <w:tcW w:w="1504" w:type="dxa"/>
            <w:shd w:val="clear" w:color="auto" w:fill="FFC000"/>
            <w:vAlign w:val="center"/>
          </w:tcPr>
          <w:p w14:paraId="1051D57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Velika</w:t>
            </w:r>
          </w:p>
        </w:tc>
        <w:tc>
          <w:tcPr>
            <w:tcW w:w="1331" w:type="dxa"/>
            <w:shd w:val="clear" w:color="auto" w:fill="FFC000"/>
            <w:vAlign w:val="center"/>
          </w:tcPr>
          <w:p w14:paraId="2E7744E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51 - 98 %</w:t>
            </w:r>
          </w:p>
        </w:tc>
        <w:tc>
          <w:tcPr>
            <w:tcW w:w="3507" w:type="dxa"/>
            <w:shd w:val="clear" w:color="auto" w:fill="FFC000"/>
            <w:vAlign w:val="center"/>
          </w:tcPr>
          <w:p w14:paraId="309AD90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u razdoblju 1 - 2 godine</w:t>
            </w:r>
          </w:p>
        </w:tc>
        <w:tc>
          <w:tcPr>
            <w:tcW w:w="1459" w:type="dxa"/>
            <w:shd w:val="clear" w:color="auto" w:fill="FFC000"/>
            <w:vAlign w:val="center"/>
          </w:tcPr>
          <w:p w14:paraId="3F8511ED"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13AC48D6" w14:textId="77777777" w:rsidTr="00DE0C9A">
        <w:trPr>
          <w:cantSplit/>
        </w:trPr>
        <w:tc>
          <w:tcPr>
            <w:tcW w:w="1271" w:type="dxa"/>
            <w:vAlign w:val="center"/>
          </w:tcPr>
          <w:p w14:paraId="7330C68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w:t>
            </w:r>
          </w:p>
        </w:tc>
        <w:tc>
          <w:tcPr>
            <w:tcW w:w="1504" w:type="dxa"/>
            <w:vAlign w:val="center"/>
          </w:tcPr>
          <w:p w14:paraId="313D4EB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Iznimno velika</w:t>
            </w:r>
          </w:p>
        </w:tc>
        <w:tc>
          <w:tcPr>
            <w:tcW w:w="1331" w:type="dxa"/>
            <w:vAlign w:val="center"/>
          </w:tcPr>
          <w:p w14:paraId="180166F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&gt; 98 %</w:t>
            </w:r>
          </w:p>
        </w:tc>
        <w:tc>
          <w:tcPr>
            <w:tcW w:w="3507" w:type="dxa"/>
            <w:vAlign w:val="center"/>
          </w:tcPr>
          <w:p w14:paraId="08D8238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godišnje ili češće</w:t>
            </w:r>
          </w:p>
        </w:tc>
        <w:tc>
          <w:tcPr>
            <w:tcW w:w="1459" w:type="dxa"/>
            <w:vAlign w:val="center"/>
          </w:tcPr>
          <w:p w14:paraId="66D8511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r>
    </w:tbl>
    <w:p w14:paraId="5372ECEB"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7AF7CF88"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t>6.4.5.2. Podaci, izvori i metode izračuna</w:t>
      </w:r>
    </w:p>
    <w:p w14:paraId="0FE17E48" w14:textId="77777777" w:rsidR="00FF1E38" w:rsidRP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sz w:val="24"/>
          <w:u w:val="single"/>
        </w:rPr>
        <w:t>Metodologija</w:t>
      </w:r>
    </w:p>
    <w:p w14:paraId="58B65CF5"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Prema podacima o umrlima Državnog zavoda za statistiku u 2012.; podacima HZJZ</w:t>
      </w:r>
      <w:r w:rsidRPr="00FF1E38">
        <w:rPr>
          <w:rFonts w:ascii="Times New Roman" w:hAnsi="Times New Roman" w:cs="Times New Roman"/>
          <w:sz w:val="24"/>
        </w:rPr>
        <w:noBreakHyphen/>
        <w:t>a iz Bolničkih statističkih obrazaca (BSO) redovitih prijava dnevne bolnice; podacima iz Dijagnostičko terapijskih skupina (DTS); parametrima iz dostupne osnovne liste lijekova Hrvatskog zavoda za zdravstveno osiguranje te na temelju novije objavljenih dokumenata Regionalnog europskog ureda Svjetske zdravstvene organizacije o klimatskim promjenama i zdravlju s alatima za procjenu zdravstvenih troškova i podršku planiranju prilagodbe zdravstvenog sustava zasnivanih na znanstvenim spoznajama, aproksimiran je i procijenjen rizik.</w:t>
      </w:r>
    </w:p>
    <w:p w14:paraId="671903CF" w14:textId="77777777" w:rsidR="00FF1E38" w:rsidRPr="00FF1E38" w:rsidRDefault="00FF1E38" w:rsidP="00FF1E38">
      <w:pPr>
        <w:spacing w:after="0" w:line="240" w:lineRule="auto"/>
        <w:ind w:right="0"/>
        <w:rPr>
          <w:rFonts w:ascii="Times New Roman" w:hAnsi="Times New Roman" w:cs="Times New Roman"/>
          <w:sz w:val="24"/>
        </w:rPr>
      </w:pPr>
    </w:p>
    <w:p w14:paraId="45B4101D" w14:textId="77777777" w:rsidR="00FF1E38" w:rsidRP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sz w:val="24"/>
          <w:u w:val="single"/>
        </w:rPr>
        <w:t>Nepouzdanost</w:t>
      </w:r>
    </w:p>
    <w:p w14:paraId="27DB024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Opseg pogođenog stanovništva nije moguće sa sigurnošću procijeniti s obzirom na to da nije moguće predvidjeti koliko će se turista zateći u Gradu Zagrebu u ljetno doba ekstremnih temperatura i nastupa toplinskog vala, kakva će biti osjetljivost (reakcije organizma) te koje će biti grupe/populacije jer će dolaziti iz različitih klimatskih regija. Turistička zajednica Grada Zagreba (TZGZ) navodi za 2014. da je Zagreb posjetilo gotovo 911.000 turista, koji su ostvarili 1,6 milijuna noćenja, što je 13 posto više nego u godini ranije. U ljetnim mjesecima bi se moglo zateći oko 300.000 turista u Zagrebu što također opterećuje sustav hitnih medicinskih intervencija u Gradu. Nadalje, radi recesije najsiromašniji sloj stanovnika brojčano raste i približuje se 1/3 stanovništva, a njih će najteže pogoditi vrućina jer im nedostaju sredstva za pripremu, zaštitu i oporavak od ekstremnih toplinskih uvjeta</w:t>
      </w:r>
      <w:r w:rsidRPr="00FF1E38">
        <w:rPr>
          <w:rFonts w:ascii="Times New Roman" w:hAnsi="Times New Roman" w:cs="Times New Roman"/>
          <w:sz w:val="24"/>
          <w:vertAlign w:val="superscript"/>
        </w:rPr>
        <w:footnoteReference w:id="54"/>
      </w:r>
      <w:r w:rsidRPr="00FF1E38">
        <w:rPr>
          <w:rFonts w:ascii="Times New Roman" w:hAnsi="Times New Roman" w:cs="Times New Roman"/>
          <w:sz w:val="24"/>
        </w:rPr>
        <w:t>. To potkrjepljuje tvrdnju da postoji hitna potreba za razvojem poboljšane metode i alata za procjenu klimatskih utjecaja, kao što je korištenje vjerojatnosti i Bayesian analize.</w:t>
      </w:r>
    </w:p>
    <w:p w14:paraId="17F40EAE"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Za izradu scenarija: Pojava toplinskih valova na području Grada Zagreba iz grupe rizika - Ekstremne temperature, korišteni su podaci, izvori i metode izračuna prema sljedećoj dokumentaciji:</w:t>
      </w:r>
    </w:p>
    <w:p w14:paraId="08E3E05D"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Procjena rizika od katastrofa za Republiku Hrvatsku;</w:t>
      </w:r>
    </w:p>
    <w:p w14:paraId="2922F746"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Protokol o postupanju i preporuka za zaštitu od vrućine, Zagreb, lipanj 2017;</w:t>
      </w:r>
    </w:p>
    <w:p w14:paraId="3D7507B4"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Gordana Hrabak Tumpa: Neke klimatske karakteristike toplinskog otoka Zagreba;</w:t>
      </w:r>
    </w:p>
    <w:p w14:paraId="4DB564F9"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Procjena ugroženosti stanovništva, materijalnih i kulturnih dobara i okoliša od katastrofa i velikih nesreća za Grad Zagreb, 2016.;</w:t>
      </w:r>
    </w:p>
    <w:p w14:paraId="42EF8377"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Popis stanovništva;</w:t>
      </w:r>
    </w:p>
    <w:p w14:paraId="7993525B"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Plan prilagodbe klimatskim promjenama Grada Zagreba;</w:t>
      </w:r>
    </w:p>
    <w:p w14:paraId="23CB5D01"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Državni hidrometeorološki zavod</w:t>
      </w:r>
    </w:p>
    <w:p w14:paraId="4BBBB13A" w14:textId="7282959F" w:rsid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rPr>
        <w:t>- M.Smid, S.Russo, A.C.Costa, C.Granell, E.Pebesma: Ranking European capitals by exposure to heat waves and cold waves, Urban Climate Volume 27, March 2019, Pages 388-402</w:t>
      </w:r>
    </w:p>
    <w:p w14:paraId="16B2F6B1" w14:textId="77777777" w:rsidR="00F02B3A" w:rsidRPr="00FF1E38" w:rsidRDefault="00F02B3A" w:rsidP="00FF1E38">
      <w:pPr>
        <w:spacing w:after="0" w:line="240" w:lineRule="auto"/>
        <w:ind w:left="879" w:right="0" w:hanging="170"/>
        <w:rPr>
          <w:rFonts w:ascii="Times New Roman" w:hAnsi="Times New Roman" w:cs="Times New Roman"/>
          <w:sz w:val="24"/>
        </w:rPr>
      </w:pPr>
    </w:p>
    <w:p w14:paraId="7A8ACAF2" w14:textId="77777777" w:rsidR="00FF1E38" w:rsidRPr="00FF1E38" w:rsidRDefault="00FF1E38" w:rsidP="00FF1E38">
      <w:pPr>
        <w:spacing w:after="0" w:line="240" w:lineRule="auto"/>
        <w:ind w:left="879" w:right="0" w:hanging="170"/>
        <w:rPr>
          <w:rFonts w:ascii="Times New Roman" w:hAnsi="Times New Roman" w:cs="Times New Roman"/>
          <w:b/>
          <w:sz w:val="24"/>
        </w:rPr>
      </w:pPr>
      <w:bookmarkStart w:id="97" w:name="_Toc2938615"/>
      <w:r w:rsidRPr="00FF1E38">
        <w:rPr>
          <w:rFonts w:ascii="Times New Roman" w:hAnsi="Times New Roman" w:cs="Times New Roman"/>
          <w:b/>
          <w:sz w:val="24"/>
        </w:rPr>
        <w:lastRenderedPageBreak/>
        <w:t>6.4.6. Matrice rizika</w:t>
      </w:r>
      <w:bookmarkEnd w:id="97"/>
    </w:p>
    <w:p w14:paraId="39988DB1"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u w:val="single" w:color="000000"/>
        </w:rPr>
        <w:t>RIZIK:</w:t>
      </w:r>
      <w:r w:rsidRPr="00FF1E38">
        <w:rPr>
          <w:rFonts w:ascii="Times New Roman" w:hAnsi="Times New Roman" w:cs="Times New Roman"/>
          <w:sz w:val="24"/>
        </w:rPr>
        <w:t xml:space="preserve"> Ekstremne temperature</w:t>
      </w:r>
    </w:p>
    <w:p w14:paraId="2C8088CF"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u w:val="single" w:color="000000"/>
        </w:rPr>
        <w:t>NAZIV SCENARIJA</w:t>
      </w:r>
      <w:r w:rsidRPr="00FF1E38">
        <w:rPr>
          <w:rFonts w:ascii="Times New Roman" w:hAnsi="Times New Roman" w:cs="Times New Roman"/>
          <w:sz w:val="24"/>
        </w:rPr>
        <w:t>: Dugotrajni toplinski val na području Grada Zagreba</w:t>
      </w:r>
    </w:p>
    <w:p w14:paraId="5A0D27F1"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Na temelju kombinacije dobivenih vrijednosti posljedica za sve tri kategorije (život i zdravlje ljudi, gospodarstvo i društvena stabilnost i politika) i vjerojatnosti izrađene su matrice rizika za prijetnju.</w:t>
      </w:r>
    </w:p>
    <w:p w14:paraId="45C231FA"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46040D1A" w14:textId="77777777" w:rsidR="00FF1E38" w:rsidRPr="00FF1E38" w:rsidRDefault="00FF1E38" w:rsidP="00FF1E38">
      <w:pPr>
        <w:spacing w:after="0" w:line="240" w:lineRule="auto"/>
        <w:ind w:left="0" w:right="0" w:firstLine="0"/>
        <w:jc w:val="center"/>
        <w:rPr>
          <w:rFonts w:ascii="Times New Roman" w:hAnsi="Times New Roman" w:cs="Times New Roman"/>
          <w:b/>
          <w:sz w:val="24"/>
        </w:rPr>
      </w:pPr>
      <w:r w:rsidRPr="00FF1E38">
        <w:rPr>
          <w:rFonts w:ascii="Times New Roman" w:hAnsi="Times New Roman" w:cs="Times New Roman"/>
          <w:b/>
          <w:sz w:val="24"/>
        </w:rPr>
        <w:t>Ukupni rizik za EKSTREMNE TEMPERATURE - visok rizik</w:t>
      </w:r>
    </w:p>
    <w:p w14:paraId="24776AA6" w14:textId="77777777" w:rsidR="00FF1E38" w:rsidRPr="00FF1E38" w:rsidRDefault="00FF1E38" w:rsidP="00FF1E38">
      <w:pPr>
        <w:spacing w:after="0" w:line="240" w:lineRule="auto"/>
        <w:ind w:left="0" w:right="0" w:firstLine="0"/>
        <w:jc w:val="right"/>
        <w:rPr>
          <w:rFonts w:ascii="Times New Roman" w:hAnsi="Times New Roman" w:cs="Times New Roman"/>
          <w:b/>
          <w:sz w:val="24"/>
        </w:rPr>
      </w:pPr>
      <w:r w:rsidRPr="00FF1E38">
        <w:rPr>
          <w:rFonts w:ascii="Times New Roman" w:hAnsi="Times New Roman" w:cs="Times New Roman"/>
          <w:noProof/>
          <w:sz w:val="24"/>
        </w:rPr>
        <w:drawing>
          <wp:inline distT="0" distB="0" distL="0" distR="0" wp14:anchorId="6B5F841A" wp14:editId="4A5BBDED">
            <wp:extent cx="5220971" cy="4160520"/>
            <wp:effectExtent l="0" t="0" r="0" b="0"/>
            <wp:docPr id="56582" name="Picture 56582"/>
            <wp:cNvGraphicFramePr/>
            <a:graphic xmlns:a="http://schemas.openxmlformats.org/drawingml/2006/main">
              <a:graphicData uri="http://schemas.openxmlformats.org/drawingml/2006/picture">
                <pic:pic xmlns:pic="http://schemas.openxmlformats.org/drawingml/2006/picture">
                  <pic:nvPicPr>
                    <pic:cNvPr id="56582" name="Picture 56582"/>
                    <pic:cNvPicPr/>
                  </pic:nvPicPr>
                  <pic:blipFill>
                    <a:blip r:embed="rId143"/>
                    <a:stretch>
                      <a:fillRect/>
                    </a:stretch>
                  </pic:blipFill>
                  <pic:spPr>
                    <a:xfrm>
                      <a:off x="0" y="0"/>
                      <a:ext cx="5220971" cy="4160520"/>
                    </a:xfrm>
                    <a:prstGeom prst="rect">
                      <a:avLst/>
                    </a:prstGeom>
                  </pic:spPr>
                </pic:pic>
              </a:graphicData>
            </a:graphic>
          </wp:inline>
        </w:drawing>
      </w:r>
    </w:p>
    <w:p w14:paraId="144331BB" w14:textId="77777777" w:rsidR="00FF1E38" w:rsidRPr="00FF1E38" w:rsidRDefault="00FF1E38" w:rsidP="00FF1E38">
      <w:pPr>
        <w:spacing w:after="0" w:line="240" w:lineRule="auto"/>
        <w:ind w:left="0" w:right="0" w:firstLine="0"/>
        <w:rPr>
          <w:rFonts w:ascii="Times New Roman" w:hAnsi="Times New Roman" w:cs="Times New Roman"/>
          <w:sz w:val="24"/>
        </w:rPr>
      </w:pPr>
    </w:p>
    <w:tbl>
      <w:tblPr>
        <w:tblStyle w:val="TableGrid0"/>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0" w:type="dxa"/>
        </w:tblCellMar>
        <w:tblLook w:val="04A0" w:firstRow="1" w:lastRow="0" w:firstColumn="1" w:lastColumn="0" w:noHBand="0" w:noVBand="1"/>
      </w:tblPr>
      <w:tblGrid>
        <w:gridCol w:w="3175"/>
        <w:gridCol w:w="2892"/>
        <w:gridCol w:w="3005"/>
      </w:tblGrid>
      <w:tr w:rsidR="00FF1E38" w:rsidRPr="00FF1E38" w14:paraId="2E3C1B5B" w14:textId="77777777" w:rsidTr="00DE0C9A">
        <w:trPr>
          <w:cantSplit/>
        </w:trPr>
        <w:tc>
          <w:tcPr>
            <w:tcW w:w="3175" w:type="dxa"/>
          </w:tcPr>
          <w:p w14:paraId="70D79B16" w14:textId="220ED9A3" w:rsidR="00FF1E38" w:rsidRPr="00FF1E38" w:rsidRDefault="002F1B29" w:rsidP="002F1B29">
            <w:pPr>
              <w:spacing w:after="0" w:line="240" w:lineRule="auto"/>
              <w:ind w:left="0" w:right="0" w:firstLine="0"/>
              <w:jc w:val="left"/>
              <w:rPr>
                <w:rFonts w:ascii="Times New Roman" w:hAnsi="Times New Roman" w:cs="Times New Roman"/>
                <w:b/>
              </w:rPr>
            </w:pPr>
            <w:r>
              <w:rPr>
                <w:rFonts w:ascii="Times New Roman" w:hAnsi="Times New Roman" w:cs="Times New Roman"/>
                <w:b/>
              </w:rPr>
              <w:t xml:space="preserve">              </w:t>
            </w:r>
            <w:r w:rsidR="00FF1E38" w:rsidRPr="00FF1E38">
              <w:rPr>
                <w:rFonts w:ascii="Times New Roman" w:hAnsi="Times New Roman" w:cs="Times New Roman"/>
                <w:b/>
              </w:rPr>
              <w:t>Život i zdravlje ljudi</w:t>
            </w:r>
          </w:p>
        </w:tc>
        <w:tc>
          <w:tcPr>
            <w:tcW w:w="2892" w:type="dxa"/>
          </w:tcPr>
          <w:p w14:paraId="1A659820" w14:textId="3751907B" w:rsidR="00FF1E38" w:rsidRPr="00FF1E38" w:rsidRDefault="002F1B29" w:rsidP="002F1B29">
            <w:pPr>
              <w:spacing w:after="0" w:line="240" w:lineRule="auto"/>
              <w:ind w:left="0" w:right="0" w:firstLine="0"/>
              <w:jc w:val="left"/>
              <w:rPr>
                <w:rFonts w:ascii="Times New Roman" w:hAnsi="Times New Roman" w:cs="Times New Roman"/>
                <w:b/>
              </w:rPr>
            </w:pPr>
            <w:r>
              <w:rPr>
                <w:rFonts w:ascii="Times New Roman" w:hAnsi="Times New Roman" w:cs="Times New Roman"/>
                <w:b/>
              </w:rPr>
              <w:t xml:space="preserve">                     </w:t>
            </w:r>
            <w:r w:rsidR="00FF1E38" w:rsidRPr="00FF1E38">
              <w:rPr>
                <w:rFonts w:ascii="Times New Roman" w:hAnsi="Times New Roman" w:cs="Times New Roman"/>
                <w:b/>
              </w:rPr>
              <w:t>Gospodarstvo</w:t>
            </w:r>
          </w:p>
        </w:tc>
        <w:tc>
          <w:tcPr>
            <w:tcW w:w="3005" w:type="dxa"/>
          </w:tcPr>
          <w:p w14:paraId="4689C44A" w14:textId="0C365AB7" w:rsidR="00FF1E38" w:rsidRPr="00FF1E38" w:rsidRDefault="002F1B29" w:rsidP="002F1B29">
            <w:pPr>
              <w:spacing w:after="0" w:line="240" w:lineRule="auto"/>
              <w:ind w:left="0" w:right="0" w:firstLine="0"/>
              <w:jc w:val="left"/>
              <w:rPr>
                <w:rFonts w:ascii="Times New Roman" w:hAnsi="Times New Roman" w:cs="Times New Roman"/>
                <w:b/>
              </w:rPr>
            </w:pPr>
            <w:r>
              <w:rPr>
                <w:rFonts w:ascii="Times New Roman" w:hAnsi="Times New Roman" w:cs="Times New Roman"/>
                <w:b/>
              </w:rPr>
              <w:t xml:space="preserve">  </w:t>
            </w:r>
            <w:r w:rsidR="00FF1E38" w:rsidRPr="00FF1E38">
              <w:rPr>
                <w:rFonts w:ascii="Times New Roman" w:hAnsi="Times New Roman" w:cs="Times New Roman"/>
                <w:b/>
              </w:rPr>
              <w:t>Društvena stabilnost i politika</w:t>
            </w:r>
          </w:p>
        </w:tc>
      </w:tr>
      <w:tr w:rsidR="00FF1E38" w:rsidRPr="00FF1E38" w14:paraId="214B8F9C" w14:textId="77777777" w:rsidTr="00DE0C9A">
        <w:trPr>
          <w:cantSplit/>
        </w:trPr>
        <w:tc>
          <w:tcPr>
            <w:tcW w:w="3175" w:type="dxa"/>
          </w:tcPr>
          <w:p w14:paraId="52F24F0B" w14:textId="77777777" w:rsidR="00FF1E38" w:rsidRPr="00FF1E38" w:rsidRDefault="00FF1E38" w:rsidP="00FF1E38">
            <w:pPr>
              <w:spacing w:after="0" w:line="240" w:lineRule="auto"/>
              <w:ind w:left="0" w:right="0" w:firstLine="0"/>
              <w:jc w:val="center"/>
              <w:rPr>
                <w:rFonts w:ascii="Times New Roman" w:hAnsi="Times New Roman" w:cs="Times New Roman"/>
                <w:b/>
              </w:rPr>
            </w:pPr>
            <w:r w:rsidRPr="00FF1E38">
              <w:rPr>
                <w:noProof/>
              </w:rPr>
              <w:drawing>
                <wp:inline distT="0" distB="0" distL="0" distR="0" wp14:anchorId="3C91F6E7" wp14:editId="46B9D289">
                  <wp:extent cx="1696085" cy="1647825"/>
                  <wp:effectExtent l="0" t="0" r="0" b="9525"/>
                  <wp:docPr id="56616" name="Picture 56616"/>
                  <wp:cNvGraphicFramePr/>
                  <a:graphic xmlns:a="http://schemas.openxmlformats.org/drawingml/2006/main">
                    <a:graphicData uri="http://schemas.openxmlformats.org/drawingml/2006/picture">
                      <pic:pic xmlns:pic="http://schemas.openxmlformats.org/drawingml/2006/picture">
                        <pic:nvPicPr>
                          <pic:cNvPr id="56616" name="Picture 56616"/>
                          <pic:cNvPicPr/>
                        </pic:nvPicPr>
                        <pic:blipFill>
                          <a:blip r:embed="rId144">
                            <a:extLst>
                              <a:ext uri="{28A0092B-C50C-407E-A947-70E740481C1C}">
                                <a14:useLocalDpi xmlns:a14="http://schemas.microsoft.com/office/drawing/2010/main" val="0"/>
                              </a:ext>
                            </a:extLst>
                          </a:blip>
                          <a:stretch>
                            <a:fillRect/>
                          </a:stretch>
                        </pic:blipFill>
                        <pic:spPr>
                          <a:xfrm>
                            <a:off x="0" y="0"/>
                            <a:ext cx="1696085" cy="1647825"/>
                          </a:xfrm>
                          <a:prstGeom prst="rect">
                            <a:avLst/>
                          </a:prstGeom>
                        </pic:spPr>
                      </pic:pic>
                    </a:graphicData>
                  </a:graphic>
                </wp:inline>
              </w:drawing>
            </w:r>
          </w:p>
        </w:tc>
        <w:tc>
          <w:tcPr>
            <w:tcW w:w="2892" w:type="dxa"/>
          </w:tcPr>
          <w:p w14:paraId="34CF42CC" w14:textId="77777777" w:rsidR="00FF1E38" w:rsidRPr="00FF1E38" w:rsidRDefault="00FF1E38" w:rsidP="00FF1E38">
            <w:pPr>
              <w:spacing w:after="0" w:line="240" w:lineRule="auto"/>
              <w:ind w:left="0" w:right="0" w:firstLine="0"/>
              <w:jc w:val="center"/>
              <w:rPr>
                <w:rFonts w:ascii="Times New Roman" w:hAnsi="Times New Roman" w:cs="Times New Roman"/>
                <w:b/>
              </w:rPr>
            </w:pPr>
            <w:r w:rsidRPr="00FF1E38">
              <w:rPr>
                <w:noProof/>
              </w:rPr>
              <w:drawing>
                <wp:inline distT="0" distB="0" distL="0" distR="0" wp14:anchorId="61CEAAB5" wp14:editId="5077D2E5">
                  <wp:extent cx="1819275" cy="1629410"/>
                  <wp:effectExtent l="0" t="0" r="9525"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27447" t="14111" r="36013" b="14732"/>
                          <a:stretch/>
                        </pic:blipFill>
                        <pic:spPr bwMode="auto">
                          <a:xfrm>
                            <a:off x="0" y="0"/>
                            <a:ext cx="1819275" cy="16294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05" w:type="dxa"/>
          </w:tcPr>
          <w:p w14:paraId="0E4251DF" w14:textId="77777777" w:rsidR="00FF1E38" w:rsidRPr="00FF1E38" w:rsidRDefault="00FF1E38" w:rsidP="00FF1E38">
            <w:pPr>
              <w:spacing w:after="0" w:line="240" w:lineRule="auto"/>
              <w:ind w:left="0" w:right="0" w:firstLine="0"/>
              <w:jc w:val="center"/>
              <w:rPr>
                <w:rFonts w:ascii="Times New Roman" w:hAnsi="Times New Roman" w:cs="Times New Roman"/>
                <w:b/>
              </w:rPr>
            </w:pPr>
            <w:r w:rsidRPr="00FF1E38">
              <w:rPr>
                <w:rFonts w:ascii="Times New Roman" w:hAnsi="Times New Roman" w:cs="Times New Roman"/>
                <w:b/>
                <w:noProof/>
                <w:sz w:val="24"/>
              </w:rPr>
              <w:drawing>
                <wp:inline distT="0" distB="0" distL="0" distR="0" wp14:anchorId="1FE27FAC" wp14:editId="4F48B337">
                  <wp:extent cx="1752600" cy="1629410"/>
                  <wp:effectExtent l="0" t="0" r="0" b="8890"/>
                  <wp:docPr id="56620" name="Picture 56620"/>
                  <wp:cNvGraphicFramePr/>
                  <a:graphic xmlns:a="http://schemas.openxmlformats.org/drawingml/2006/main">
                    <a:graphicData uri="http://schemas.openxmlformats.org/drawingml/2006/picture">
                      <pic:pic xmlns:pic="http://schemas.openxmlformats.org/drawingml/2006/picture">
                        <pic:nvPicPr>
                          <pic:cNvPr id="56620" name="Picture 56620"/>
                          <pic:cNvPicPr/>
                        </pic:nvPicPr>
                        <pic:blipFill>
                          <a:blip r:embed="rId146"/>
                          <a:stretch>
                            <a:fillRect/>
                          </a:stretch>
                        </pic:blipFill>
                        <pic:spPr>
                          <a:xfrm>
                            <a:off x="0" y="0"/>
                            <a:ext cx="1752600" cy="1629410"/>
                          </a:xfrm>
                          <a:prstGeom prst="rect">
                            <a:avLst/>
                          </a:prstGeom>
                        </pic:spPr>
                      </pic:pic>
                    </a:graphicData>
                  </a:graphic>
                </wp:inline>
              </w:drawing>
            </w:r>
          </w:p>
        </w:tc>
      </w:tr>
    </w:tbl>
    <w:p w14:paraId="6AD124F7"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74841B00" w14:textId="77777777" w:rsidR="00FF1E38" w:rsidRPr="00FF1E38" w:rsidRDefault="00FF1E38" w:rsidP="00FF1E38">
      <w:pPr>
        <w:spacing w:after="0" w:line="240" w:lineRule="auto"/>
        <w:ind w:left="0" w:right="0" w:firstLine="709"/>
        <w:rPr>
          <w:rFonts w:ascii="Times New Roman" w:hAnsi="Times New Roman" w:cs="Times New Roman"/>
          <w:b/>
          <w:sz w:val="24"/>
        </w:rPr>
      </w:pPr>
      <w:bookmarkStart w:id="98" w:name="_Toc2938616"/>
      <w:r w:rsidRPr="00FF1E38">
        <w:rPr>
          <w:rFonts w:ascii="Times New Roman" w:hAnsi="Times New Roman" w:cs="Times New Roman"/>
          <w:b/>
          <w:sz w:val="24"/>
        </w:rPr>
        <w:t>6.4.7. Karte rizika</w:t>
      </w:r>
      <w:bookmarkEnd w:id="98"/>
    </w:p>
    <w:p w14:paraId="0B0CD83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Najniža teritorijalna jedinica za procjenu rizika na području Grada Zagreba je gradska četvrt. Unutar svake gradske četvrti rizik je procijenjen na osnovi dvaju parametara (kriterija): pojava toplinskih otoka i ranjivost stanovništva. Što je veći ukupni rizik, teže su posljedice događaja unutar gradske četvrti. Procjena rizika na razinama gradskih četvrti pomaže da se detektiraju kritične točke u prostoru na koje je u slučaju pojave neželjenog događaja potrebno </w:t>
      </w:r>
      <w:r w:rsidRPr="00FF1E38">
        <w:rPr>
          <w:rFonts w:ascii="Times New Roman" w:hAnsi="Times New Roman" w:cs="Times New Roman"/>
          <w:sz w:val="24"/>
        </w:rPr>
        <w:lastRenderedPageBreak/>
        <w:t>obratiti posebnu pozornost ili područja na kojima je potrebno planirati dodatne preventivne mjere kako bi se smanjio rizik.</w:t>
      </w:r>
    </w:p>
    <w:p w14:paraId="06CEC01F"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Svaki parametar (kriterij) ima četiri vrijednosti: nizak rizik (zelena boja), umjeren rizik (žuta boja), visok rizik (narančasta boja) i vrlo visok rizik (crvena boja).</w:t>
      </w:r>
    </w:p>
    <w:p w14:paraId="44AD2374"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i/>
          <w:sz w:val="24"/>
        </w:rPr>
        <w:t>Rizik od pojave toplinskih otoka</w:t>
      </w:r>
      <w:r w:rsidRPr="00FF1E38">
        <w:rPr>
          <w:rFonts w:ascii="Times New Roman" w:hAnsi="Times New Roman" w:cs="Times New Roman"/>
          <w:sz w:val="24"/>
        </w:rPr>
        <w:t xml:space="preserve"> procjenjuje se na osnovi rezultata znanstvenih istraživanja o pojavi toplinskih otoka na području Grada Zagreba, podataka o odnosu izgrađenih i zelenih površina (parkova, perivoja i sl.) te uzimajući u obzir gustoću naseljenosti gradskih četvrti i prevladavajuće nadmorske visine unutar područja gradskih četvrti.</w:t>
      </w:r>
    </w:p>
    <w:p w14:paraId="4135E9D7"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i/>
          <w:sz w:val="24"/>
        </w:rPr>
        <w:t>Ranjivost stanovništva</w:t>
      </w:r>
      <w:r w:rsidRPr="00FF1E38">
        <w:rPr>
          <w:rFonts w:ascii="Times New Roman" w:hAnsi="Times New Roman" w:cs="Times New Roman"/>
          <w:sz w:val="24"/>
        </w:rPr>
        <w:t xml:space="preserve"> se procjenjuje na osnovi podataka o prosječnoj starosti stanovništva</w:t>
      </w:r>
      <w:r w:rsidRPr="00FF1E38">
        <w:rPr>
          <w:rFonts w:ascii="Times New Roman" w:hAnsi="Times New Roman" w:cs="Times New Roman"/>
          <w:sz w:val="24"/>
          <w:vertAlign w:val="superscript"/>
        </w:rPr>
        <w:footnoteReference w:id="55"/>
      </w:r>
      <w:r w:rsidRPr="00FF1E38">
        <w:rPr>
          <w:rFonts w:ascii="Times New Roman" w:hAnsi="Times New Roman" w:cs="Times New Roman"/>
          <w:sz w:val="24"/>
        </w:rPr>
        <w:t xml:space="preserve"> unutar svake od gradskih četvrti te broju kroničnih bolesnika i osoba s invaliditetom.</w:t>
      </w:r>
    </w:p>
    <w:p w14:paraId="4C58A8A2" w14:textId="77777777" w:rsidR="00FF1E38" w:rsidRPr="00FF1E38" w:rsidRDefault="00FF1E38" w:rsidP="00FF1E38">
      <w:pPr>
        <w:spacing w:after="0" w:line="240" w:lineRule="auto"/>
        <w:ind w:left="0" w:right="0" w:firstLine="0"/>
        <w:rPr>
          <w:rFonts w:ascii="Times New Roman" w:hAnsi="Times New Roman" w:cs="Times New Roman"/>
          <w:sz w:val="24"/>
        </w:rPr>
      </w:pPr>
    </w:p>
    <w:p w14:paraId="004A2C4B" w14:textId="74DEE995" w:rsidR="00FF1E38" w:rsidRPr="004F6158" w:rsidRDefault="00FF1E38" w:rsidP="002F1B29">
      <w:pPr>
        <w:spacing w:line="240" w:lineRule="auto"/>
        <w:ind w:left="0" w:right="0" w:firstLine="0"/>
        <w:jc w:val="center"/>
        <w:rPr>
          <w:rFonts w:ascii="Times New Roman" w:hAnsi="Times New Roman" w:cs="Times New Roman"/>
          <w:b/>
          <w:color w:val="auto"/>
          <w:sz w:val="24"/>
        </w:rPr>
      </w:pPr>
      <w:r w:rsidRPr="004F6158">
        <w:rPr>
          <w:rFonts w:ascii="Times New Roman" w:hAnsi="Times New Roman" w:cs="Times New Roman"/>
          <w:b/>
          <w:color w:val="auto"/>
          <w:sz w:val="24"/>
        </w:rPr>
        <w:t xml:space="preserve">Tablica </w:t>
      </w:r>
      <w:r w:rsidR="004F6158" w:rsidRPr="004F6158">
        <w:rPr>
          <w:rFonts w:ascii="Times New Roman" w:hAnsi="Times New Roman" w:cs="Times New Roman"/>
          <w:b/>
          <w:color w:val="auto"/>
          <w:sz w:val="24"/>
        </w:rPr>
        <w:t>93</w:t>
      </w:r>
      <w:r w:rsidRPr="004F6158">
        <w:rPr>
          <w:rFonts w:ascii="Times New Roman" w:hAnsi="Times New Roman" w:cs="Times New Roman"/>
          <w:b/>
          <w:color w:val="auto"/>
          <w:sz w:val="24"/>
        </w:rPr>
        <w:t xml:space="preserve">. Procjena rizika na razini gradskih četvrti </w:t>
      </w:r>
    </w:p>
    <w:tbl>
      <w:tblPr>
        <w:tblStyle w:val="TableGrid"/>
        <w:tblW w:w="9072" w:type="dxa"/>
        <w:tblInd w:w="0" w:type="dxa"/>
        <w:tblLayout w:type="fixed"/>
        <w:tblCellMar>
          <w:top w:w="8" w:type="dxa"/>
          <w:left w:w="57" w:type="dxa"/>
          <w:right w:w="57" w:type="dxa"/>
        </w:tblCellMar>
        <w:tblLook w:val="04A0" w:firstRow="1" w:lastRow="0" w:firstColumn="1" w:lastColumn="0" w:noHBand="0" w:noVBand="1"/>
      </w:tblPr>
      <w:tblGrid>
        <w:gridCol w:w="805"/>
        <w:gridCol w:w="2999"/>
        <w:gridCol w:w="1756"/>
        <w:gridCol w:w="1756"/>
        <w:gridCol w:w="1756"/>
      </w:tblGrid>
      <w:tr w:rsidR="00FF1E38" w:rsidRPr="00FF1E38" w14:paraId="7FABD5E5" w14:textId="77777777" w:rsidTr="002F1B29">
        <w:trPr>
          <w:cantSplit/>
          <w:trHeight w:val="680"/>
          <w:tblHeader/>
        </w:trPr>
        <w:tc>
          <w:tcPr>
            <w:tcW w:w="8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4E5C0799"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R.br.</w:t>
            </w:r>
          </w:p>
        </w:tc>
        <w:tc>
          <w:tcPr>
            <w:tcW w:w="29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3B9C672D"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Gradska četvrt</w:t>
            </w:r>
          </w:p>
        </w:tc>
        <w:tc>
          <w:tcPr>
            <w:tcW w:w="1756"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A2F0714"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Pojava toplinskih otoka</w:t>
            </w:r>
          </w:p>
        </w:tc>
        <w:tc>
          <w:tcPr>
            <w:tcW w:w="1756"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92F9362"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Ranjivost stanovništva</w:t>
            </w:r>
          </w:p>
        </w:tc>
        <w:tc>
          <w:tcPr>
            <w:tcW w:w="1756"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31360007"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UKUPNO</w:t>
            </w:r>
          </w:p>
        </w:tc>
      </w:tr>
      <w:tr w:rsidR="00FF1E38" w:rsidRPr="00FF1E38" w14:paraId="626F04C6" w14:textId="77777777" w:rsidTr="002F1B29">
        <w:trPr>
          <w:cantSplit/>
          <w:trHeight w:val="680"/>
        </w:trPr>
        <w:tc>
          <w:tcPr>
            <w:tcW w:w="8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E39ABB9"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w:t>
            </w:r>
          </w:p>
        </w:tc>
        <w:tc>
          <w:tcPr>
            <w:tcW w:w="2999" w:type="dxa"/>
            <w:tcBorders>
              <w:top w:val="single" w:sz="4" w:space="0" w:color="000000"/>
              <w:left w:val="single" w:sz="4" w:space="0" w:color="000000"/>
              <w:bottom w:val="single" w:sz="4" w:space="0" w:color="000000"/>
              <w:right w:val="single" w:sz="4" w:space="0" w:color="000000"/>
            </w:tcBorders>
            <w:vAlign w:val="center"/>
          </w:tcPr>
          <w:p w14:paraId="057DCA0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Brezovica</w:t>
            </w:r>
          </w:p>
        </w:tc>
        <w:tc>
          <w:tcPr>
            <w:tcW w:w="1756"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45BC1EB9"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CF3712D"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0249C09D"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4F400A7B" w14:textId="77777777" w:rsidTr="002F1B29">
        <w:trPr>
          <w:cantSplit/>
          <w:trHeight w:val="680"/>
        </w:trPr>
        <w:tc>
          <w:tcPr>
            <w:tcW w:w="8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817138C"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2.</w:t>
            </w:r>
          </w:p>
        </w:tc>
        <w:tc>
          <w:tcPr>
            <w:tcW w:w="2999" w:type="dxa"/>
            <w:tcBorders>
              <w:top w:val="single" w:sz="4" w:space="0" w:color="000000"/>
              <w:left w:val="single" w:sz="4" w:space="0" w:color="000000"/>
              <w:bottom w:val="single" w:sz="4" w:space="0" w:color="000000"/>
              <w:right w:val="single" w:sz="4" w:space="0" w:color="000000"/>
            </w:tcBorders>
            <w:vAlign w:val="center"/>
          </w:tcPr>
          <w:p w14:paraId="0855B6C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Črnomerec</w:t>
            </w:r>
          </w:p>
        </w:tc>
        <w:tc>
          <w:tcPr>
            <w:tcW w:w="175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B50DC3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81DC6A2"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95A10B7"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75033DD9" w14:textId="77777777" w:rsidTr="002F1B29">
        <w:trPr>
          <w:cantSplit/>
          <w:trHeight w:val="680"/>
        </w:trPr>
        <w:tc>
          <w:tcPr>
            <w:tcW w:w="8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66DEEDE4"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3.</w:t>
            </w:r>
          </w:p>
        </w:tc>
        <w:tc>
          <w:tcPr>
            <w:tcW w:w="2999" w:type="dxa"/>
            <w:tcBorders>
              <w:top w:val="single" w:sz="4" w:space="0" w:color="000000"/>
              <w:left w:val="single" w:sz="4" w:space="0" w:color="000000"/>
              <w:bottom w:val="single" w:sz="4" w:space="0" w:color="000000"/>
              <w:right w:val="single" w:sz="4" w:space="0" w:color="000000"/>
            </w:tcBorders>
            <w:vAlign w:val="center"/>
          </w:tcPr>
          <w:p w14:paraId="1159428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Donja Dubrava</w:t>
            </w:r>
          </w:p>
        </w:tc>
        <w:tc>
          <w:tcPr>
            <w:tcW w:w="1756"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85A3B2B"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89C9958"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AB38BB4"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2C5F5884" w14:textId="77777777" w:rsidTr="002F1B29">
        <w:trPr>
          <w:cantSplit/>
          <w:trHeight w:val="680"/>
        </w:trPr>
        <w:tc>
          <w:tcPr>
            <w:tcW w:w="8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8689649"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4.</w:t>
            </w:r>
          </w:p>
        </w:tc>
        <w:tc>
          <w:tcPr>
            <w:tcW w:w="2999" w:type="dxa"/>
            <w:tcBorders>
              <w:top w:val="single" w:sz="4" w:space="0" w:color="000000"/>
              <w:left w:val="single" w:sz="4" w:space="0" w:color="000000"/>
              <w:bottom w:val="single" w:sz="4" w:space="0" w:color="000000"/>
              <w:right w:val="single" w:sz="4" w:space="0" w:color="000000"/>
            </w:tcBorders>
            <w:vAlign w:val="center"/>
          </w:tcPr>
          <w:p w14:paraId="7F5A2A1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Donji grad</w:t>
            </w:r>
          </w:p>
        </w:tc>
        <w:tc>
          <w:tcPr>
            <w:tcW w:w="1756"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410D7757"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3CA82D6E"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1AE3B339"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59ABA1B0" w14:textId="77777777" w:rsidTr="002F1B29">
        <w:trPr>
          <w:cantSplit/>
          <w:trHeight w:val="680"/>
        </w:trPr>
        <w:tc>
          <w:tcPr>
            <w:tcW w:w="8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60D38C61"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5.</w:t>
            </w:r>
          </w:p>
        </w:tc>
        <w:tc>
          <w:tcPr>
            <w:tcW w:w="2999" w:type="dxa"/>
            <w:tcBorders>
              <w:top w:val="single" w:sz="4" w:space="0" w:color="000000"/>
              <w:left w:val="single" w:sz="4" w:space="0" w:color="000000"/>
              <w:bottom w:val="single" w:sz="4" w:space="0" w:color="000000"/>
              <w:right w:val="single" w:sz="4" w:space="0" w:color="000000"/>
            </w:tcBorders>
            <w:vAlign w:val="center"/>
          </w:tcPr>
          <w:p w14:paraId="2EBD499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Gornja Dubrava</w:t>
            </w:r>
          </w:p>
        </w:tc>
        <w:tc>
          <w:tcPr>
            <w:tcW w:w="1756"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EBC21D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26AC046"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45EF361"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2DB90F2E" w14:textId="77777777" w:rsidTr="002F1B29">
        <w:tblPrEx>
          <w:tblCellMar>
            <w:top w:w="9" w:type="dxa"/>
          </w:tblCellMar>
        </w:tblPrEx>
        <w:trPr>
          <w:cantSplit/>
          <w:trHeight w:val="680"/>
        </w:trPr>
        <w:tc>
          <w:tcPr>
            <w:tcW w:w="8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2866B86D"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6.</w:t>
            </w:r>
          </w:p>
        </w:tc>
        <w:tc>
          <w:tcPr>
            <w:tcW w:w="2999" w:type="dxa"/>
            <w:tcBorders>
              <w:top w:val="single" w:sz="4" w:space="0" w:color="000000"/>
              <w:left w:val="single" w:sz="4" w:space="0" w:color="000000"/>
              <w:bottom w:val="single" w:sz="4" w:space="0" w:color="000000"/>
              <w:right w:val="single" w:sz="4" w:space="0" w:color="000000"/>
            </w:tcBorders>
            <w:vAlign w:val="center"/>
          </w:tcPr>
          <w:p w14:paraId="07BDFF2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Gornji grad - Medveščak</w:t>
            </w:r>
          </w:p>
        </w:tc>
        <w:tc>
          <w:tcPr>
            <w:tcW w:w="1756"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1EF113B8"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218E29F3"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65EC1A47"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65E01017" w14:textId="77777777" w:rsidTr="002F1B29">
        <w:tblPrEx>
          <w:tblCellMar>
            <w:top w:w="9" w:type="dxa"/>
          </w:tblCellMar>
        </w:tblPrEx>
        <w:trPr>
          <w:cantSplit/>
          <w:trHeight w:val="680"/>
        </w:trPr>
        <w:tc>
          <w:tcPr>
            <w:tcW w:w="8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2F881514"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7.</w:t>
            </w:r>
          </w:p>
        </w:tc>
        <w:tc>
          <w:tcPr>
            <w:tcW w:w="2999" w:type="dxa"/>
            <w:tcBorders>
              <w:top w:val="single" w:sz="4" w:space="0" w:color="000000"/>
              <w:left w:val="single" w:sz="4" w:space="0" w:color="000000"/>
              <w:bottom w:val="single" w:sz="4" w:space="0" w:color="000000"/>
              <w:right w:val="single" w:sz="4" w:space="0" w:color="000000"/>
            </w:tcBorders>
            <w:vAlign w:val="center"/>
          </w:tcPr>
          <w:p w14:paraId="129D710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Maksimir</w:t>
            </w:r>
          </w:p>
        </w:tc>
        <w:tc>
          <w:tcPr>
            <w:tcW w:w="175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D065F21"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387C4E4E"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13D4CD99"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3FE4EF2B" w14:textId="77777777" w:rsidTr="002F1B29">
        <w:tblPrEx>
          <w:tblCellMar>
            <w:top w:w="9" w:type="dxa"/>
          </w:tblCellMar>
        </w:tblPrEx>
        <w:trPr>
          <w:cantSplit/>
          <w:trHeight w:val="680"/>
        </w:trPr>
        <w:tc>
          <w:tcPr>
            <w:tcW w:w="8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FD63452"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8.</w:t>
            </w:r>
          </w:p>
        </w:tc>
        <w:tc>
          <w:tcPr>
            <w:tcW w:w="2999" w:type="dxa"/>
            <w:tcBorders>
              <w:top w:val="single" w:sz="4" w:space="0" w:color="000000"/>
              <w:left w:val="single" w:sz="4" w:space="0" w:color="000000"/>
              <w:bottom w:val="single" w:sz="4" w:space="0" w:color="000000"/>
              <w:right w:val="single" w:sz="4" w:space="0" w:color="000000"/>
            </w:tcBorders>
            <w:vAlign w:val="center"/>
          </w:tcPr>
          <w:p w14:paraId="37A2123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Novi Zagreb - istok</w:t>
            </w:r>
          </w:p>
        </w:tc>
        <w:tc>
          <w:tcPr>
            <w:tcW w:w="1756"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FA0CAE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695B9DE"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9085656"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313644BD" w14:textId="77777777" w:rsidTr="002F1B29">
        <w:tblPrEx>
          <w:tblCellMar>
            <w:top w:w="9" w:type="dxa"/>
          </w:tblCellMar>
        </w:tblPrEx>
        <w:trPr>
          <w:cantSplit/>
          <w:trHeight w:val="680"/>
        </w:trPr>
        <w:tc>
          <w:tcPr>
            <w:tcW w:w="8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4CB81ADD"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9.</w:t>
            </w:r>
          </w:p>
        </w:tc>
        <w:tc>
          <w:tcPr>
            <w:tcW w:w="2999" w:type="dxa"/>
            <w:tcBorders>
              <w:top w:val="single" w:sz="4" w:space="0" w:color="000000"/>
              <w:left w:val="single" w:sz="4" w:space="0" w:color="000000"/>
              <w:bottom w:val="single" w:sz="4" w:space="0" w:color="000000"/>
              <w:right w:val="single" w:sz="4" w:space="0" w:color="000000"/>
            </w:tcBorders>
            <w:vAlign w:val="center"/>
          </w:tcPr>
          <w:p w14:paraId="4DEB6CB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Novi Zagreb - zapad</w:t>
            </w:r>
          </w:p>
        </w:tc>
        <w:tc>
          <w:tcPr>
            <w:tcW w:w="1756"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BB7BAC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284FA2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27E4553"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06F35D2E" w14:textId="77777777" w:rsidTr="002F1B29">
        <w:tblPrEx>
          <w:tblCellMar>
            <w:top w:w="9" w:type="dxa"/>
          </w:tblCellMar>
        </w:tblPrEx>
        <w:trPr>
          <w:cantSplit/>
          <w:trHeight w:val="680"/>
        </w:trPr>
        <w:tc>
          <w:tcPr>
            <w:tcW w:w="8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09F7DA5C"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10.</w:t>
            </w:r>
          </w:p>
        </w:tc>
        <w:tc>
          <w:tcPr>
            <w:tcW w:w="2999" w:type="dxa"/>
            <w:tcBorders>
              <w:top w:val="single" w:sz="4" w:space="0" w:color="000000"/>
              <w:left w:val="single" w:sz="4" w:space="0" w:color="000000"/>
              <w:bottom w:val="single" w:sz="4" w:space="0" w:color="000000"/>
              <w:right w:val="single" w:sz="4" w:space="0" w:color="000000"/>
            </w:tcBorders>
            <w:vAlign w:val="center"/>
          </w:tcPr>
          <w:p w14:paraId="0480AAC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Peščenica - Žitnjak</w:t>
            </w:r>
          </w:p>
        </w:tc>
        <w:tc>
          <w:tcPr>
            <w:tcW w:w="1756"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7246657"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A76ED7A"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F811AF1"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31F739D6" w14:textId="77777777" w:rsidTr="002F1B29">
        <w:tblPrEx>
          <w:tblCellMar>
            <w:top w:w="9" w:type="dxa"/>
          </w:tblCellMar>
        </w:tblPrEx>
        <w:trPr>
          <w:cantSplit/>
          <w:trHeight w:val="680"/>
        </w:trPr>
        <w:tc>
          <w:tcPr>
            <w:tcW w:w="8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414A6815"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11.</w:t>
            </w:r>
          </w:p>
        </w:tc>
        <w:tc>
          <w:tcPr>
            <w:tcW w:w="2999" w:type="dxa"/>
            <w:tcBorders>
              <w:top w:val="single" w:sz="4" w:space="0" w:color="000000"/>
              <w:left w:val="single" w:sz="4" w:space="0" w:color="000000"/>
              <w:bottom w:val="single" w:sz="4" w:space="0" w:color="000000"/>
              <w:right w:val="single" w:sz="4" w:space="0" w:color="000000"/>
            </w:tcBorders>
            <w:vAlign w:val="center"/>
          </w:tcPr>
          <w:p w14:paraId="5E87B43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Podsljeme</w:t>
            </w:r>
          </w:p>
        </w:tc>
        <w:tc>
          <w:tcPr>
            <w:tcW w:w="1756"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17195981"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28B7431"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7AF55CD4"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78C98E6F" w14:textId="77777777" w:rsidTr="002F1B29">
        <w:tblPrEx>
          <w:tblCellMar>
            <w:top w:w="9" w:type="dxa"/>
          </w:tblCellMar>
        </w:tblPrEx>
        <w:trPr>
          <w:cantSplit/>
          <w:trHeight w:val="680"/>
        </w:trPr>
        <w:tc>
          <w:tcPr>
            <w:tcW w:w="8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472944A"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12.</w:t>
            </w:r>
          </w:p>
        </w:tc>
        <w:tc>
          <w:tcPr>
            <w:tcW w:w="2999" w:type="dxa"/>
            <w:tcBorders>
              <w:top w:val="single" w:sz="4" w:space="0" w:color="000000"/>
              <w:left w:val="single" w:sz="4" w:space="0" w:color="000000"/>
              <w:bottom w:val="single" w:sz="4" w:space="0" w:color="000000"/>
              <w:right w:val="single" w:sz="4" w:space="0" w:color="000000"/>
            </w:tcBorders>
            <w:vAlign w:val="center"/>
          </w:tcPr>
          <w:p w14:paraId="6AAFDB0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Podsused - Vrapče</w:t>
            </w:r>
          </w:p>
        </w:tc>
        <w:tc>
          <w:tcPr>
            <w:tcW w:w="1756"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7771CCF1"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63D024FF"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32836C2"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180E7A06" w14:textId="77777777" w:rsidTr="002F1B29">
        <w:tblPrEx>
          <w:tblCellMar>
            <w:top w:w="9" w:type="dxa"/>
          </w:tblCellMar>
        </w:tblPrEx>
        <w:trPr>
          <w:cantSplit/>
          <w:trHeight w:val="680"/>
        </w:trPr>
        <w:tc>
          <w:tcPr>
            <w:tcW w:w="8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676A2FFC"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lastRenderedPageBreak/>
              <w:t>13.</w:t>
            </w:r>
          </w:p>
        </w:tc>
        <w:tc>
          <w:tcPr>
            <w:tcW w:w="2999" w:type="dxa"/>
            <w:tcBorders>
              <w:top w:val="single" w:sz="4" w:space="0" w:color="000000"/>
              <w:left w:val="single" w:sz="4" w:space="0" w:color="000000"/>
              <w:bottom w:val="single" w:sz="4" w:space="0" w:color="000000"/>
              <w:right w:val="single" w:sz="4" w:space="0" w:color="000000"/>
            </w:tcBorders>
            <w:vAlign w:val="center"/>
          </w:tcPr>
          <w:p w14:paraId="6FBFB38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Sesvete</w:t>
            </w:r>
          </w:p>
        </w:tc>
        <w:tc>
          <w:tcPr>
            <w:tcW w:w="1756"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857523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8F98103"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6D72E0D"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183186E8" w14:textId="77777777" w:rsidTr="002F1B29">
        <w:tblPrEx>
          <w:tblCellMar>
            <w:top w:w="9" w:type="dxa"/>
          </w:tblCellMar>
        </w:tblPrEx>
        <w:trPr>
          <w:cantSplit/>
          <w:trHeight w:val="680"/>
        </w:trPr>
        <w:tc>
          <w:tcPr>
            <w:tcW w:w="8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E6BEEB9"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14.</w:t>
            </w:r>
          </w:p>
        </w:tc>
        <w:tc>
          <w:tcPr>
            <w:tcW w:w="2999" w:type="dxa"/>
            <w:tcBorders>
              <w:top w:val="single" w:sz="4" w:space="0" w:color="000000"/>
              <w:left w:val="single" w:sz="4" w:space="0" w:color="000000"/>
              <w:bottom w:val="single" w:sz="4" w:space="0" w:color="000000"/>
              <w:right w:val="single" w:sz="4" w:space="0" w:color="000000"/>
            </w:tcBorders>
            <w:vAlign w:val="center"/>
          </w:tcPr>
          <w:p w14:paraId="0DB2386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Stenjevec</w:t>
            </w:r>
          </w:p>
        </w:tc>
        <w:tc>
          <w:tcPr>
            <w:tcW w:w="175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92A9160"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117CE11"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94932E0"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56FEED1D" w14:textId="77777777" w:rsidTr="002F1B29">
        <w:tblPrEx>
          <w:tblCellMar>
            <w:top w:w="9" w:type="dxa"/>
          </w:tblCellMar>
        </w:tblPrEx>
        <w:trPr>
          <w:cantSplit/>
          <w:trHeight w:val="680"/>
        </w:trPr>
        <w:tc>
          <w:tcPr>
            <w:tcW w:w="8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3F11295B"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15.</w:t>
            </w:r>
          </w:p>
        </w:tc>
        <w:tc>
          <w:tcPr>
            <w:tcW w:w="2999" w:type="dxa"/>
            <w:tcBorders>
              <w:top w:val="single" w:sz="4" w:space="0" w:color="000000"/>
              <w:left w:val="single" w:sz="4" w:space="0" w:color="000000"/>
              <w:bottom w:val="single" w:sz="4" w:space="0" w:color="000000"/>
              <w:right w:val="single" w:sz="4" w:space="0" w:color="000000"/>
            </w:tcBorders>
            <w:vAlign w:val="center"/>
          </w:tcPr>
          <w:p w14:paraId="106C4EF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Trešnjevka - jug</w:t>
            </w:r>
          </w:p>
        </w:tc>
        <w:tc>
          <w:tcPr>
            <w:tcW w:w="175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61D46F3"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C37921F"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AED91CC"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46D5CD9E" w14:textId="77777777" w:rsidTr="002F1B29">
        <w:tblPrEx>
          <w:tblCellMar>
            <w:top w:w="9" w:type="dxa"/>
          </w:tblCellMar>
        </w:tblPrEx>
        <w:trPr>
          <w:cantSplit/>
          <w:trHeight w:val="680"/>
        </w:trPr>
        <w:tc>
          <w:tcPr>
            <w:tcW w:w="8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0CDB5F9C"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16.</w:t>
            </w:r>
          </w:p>
        </w:tc>
        <w:tc>
          <w:tcPr>
            <w:tcW w:w="2999" w:type="dxa"/>
            <w:tcBorders>
              <w:top w:val="single" w:sz="4" w:space="0" w:color="000000"/>
              <w:left w:val="single" w:sz="4" w:space="0" w:color="000000"/>
              <w:bottom w:val="single" w:sz="4" w:space="0" w:color="000000"/>
              <w:right w:val="single" w:sz="4" w:space="0" w:color="000000"/>
            </w:tcBorders>
            <w:vAlign w:val="center"/>
          </w:tcPr>
          <w:p w14:paraId="56EF90A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Trešnjevka - sjever</w:t>
            </w:r>
          </w:p>
        </w:tc>
        <w:tc>
          <w:tcPr>
            <w:tcW w:w="1756"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3F8C49BA"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03F54B3A"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74539DB3"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077E1BE4" w14:textId="77777777" w:rsidTr="002F1B29">
        <w:tblPrEx>
          <w:tblCellMar>
            <w:top w:w="9" w:type="dxa"/>
          </w:tblCellMar>
        </w:tblPrEx>
        <w:trPr>
          <w:cantSplit/>
          <w:trHeight w:val="680"/>
        </w:trPr>
        <w:tc>
          <w:tcPr>
            <w:tcW w:w="8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33E0E54"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17.</w:t>
            </w:r>
          </w:p>
        </w:tc>
        <w:tc>
          <w:tcPr>
            <w:tcW w:w="2999" w:type="dxa"/>
            <w:tcBorders>
              <w:top w:val="single" w:sz="4" w:space="0" w:color="000000"/>
              <w:left w:val="single" w:sz="4" w:space="0" w:color="000000"/>
              <w:bottom w:val="single" w:sz="4" w:space="0" w:color="000000"/>
              <w:right w:val="single" w:sz="4" w:space="0" w:color="000000"/>
            </w:tcBorders>
            <w:vAlign w:val="center"/>
          </w:tcPr>
          <w:p w14:paraId="4EB85D8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Trnje</w:t>
            </w:r>
          </w:p>
        </w:tc>
        <w:tc>
          <w:tcPr>
            <w:tcW w:w="1756"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11E88937"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0E4CAEA"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56"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044934E0" w14:textId="77777777" w:rsidR="00FF1E38" w:rsidRPr="00FF1E38" w:rsidRDefault="00FF1E38" w:rsidP="00FF1E38">
            <w:pPr>
              <w:spacing w:after="0" w:line="240" w:lineRule="auto"/>
              <w:ind w:left="0" w:right="0" w:firstLine="0"/>
              <w:jc w:val="center"/>
              <w:rPr>
                <w:rFonts w:ascii="Times New Roman" w:hAnsi="Times New Roman" w:cs="Times New Roman"/>
              </w:rPr>
            </w:pPr>
          </w:p>
        </w:tc>
      </w:tr>
    </w:tbl>
    <w:p w14:paraId="0C00BB3E" w14:textId="77777777" w:rsidR="00FF1E38" w:rsidRPr="00FF1E38" w:rsidRDefault="00FF1E38" w:rsidP="00FF1E38">
      <w:pPr>
        <w:spacing w:after="0" w:line="240" w:lineRule="auto"/>
        <w:ind w:left="0" w:right="0" w:firstLine="0"/>
        <w:rPr>
          <w:rFonts w:ascii="Times New Roman" w:eastAsia="Calibri" w:hAnsi="Times New Roman" w:cs="Times New Roman"/>
          <w:sz w:val="24"/>
        </w:rPr>
      </w:pPr>
    </w:p>
    <w:p w14:paraId="131C02F5" w14:textId="77777777" w:rsidR="00FF1E38" w:rsidRPr="00FF1E38" w:rsidRDefault="00FF1E38" w:rsidP="00FF1E38">
      <w:pPr>
        <w:spacing w:after="0" w:line="240" w:lineRule="auto"/>
        <w:ind w:left="0" w:right="0" w:firstLine="0"/>
        <w:rPr>
          <w:rFonts w:ascii="Times New Roman" w:hAnsi="Times New Roman" w:cs="Times New Roman"/>
          <w:sz w:val="24"/>
        </w:rPr>
      </w:pPr>
    </w:p>
    <w:p w14:paraId="34AA24C8"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noProof/>
          <w:sz w:val="24"/>
        </w:rPr>
        <w:drawing>
          <wp:inline distT="0" distB="0" distL="0" distR="0" wp14:anchorId="331014A1" wp14:editId="0AF4418E">
            <wp:extent cx="5111750" cy="5283835"/>
            <wp:effectExtent l="0" t="0" r="0" b="0"/>
            <wp:docPr id="57391" name="Picture 57391"/>
            <wp:cNvGraphicFramePr/>
            <a:graphic xmlns:a="http://schemas.openxmlformats.org/drawingml/2006/main">
              <a:graphicData uri="http://schemas.openxmlformats.org/drawingml/2006/picture">
                <pic:pic xmlns:pic="http://schemas.openxmlformats.org/drawingml/2006/picture">
                  <pic:nvPicPr>
                    <pic:cNvPr id="57391" name="Picture 57391"/>
                    <pic:cNvPicPr/>
                  </pic:nvPicPr>
                  <pic:blipFill>
                    <a:blip r:embed="rId147"/>
                    <a:stretch>
                      <a:fillRect/>
                    </a:stretch>
                  </pic:blipFill>
                  <pic:spPr>
                    <a:xfrm>
                      <a:off x="0" y="0"/>
                      <a:ext cx="5111750" cy="5283835"/>
                    </a:xfrm>
                    <a:prstGeom prst="rect">
                      <a:avLst/>
                    </a:prstGeom>
                  </pic:spPr>
                </pic:pic>
              </a:graphicData>
            </a:graphic>
          </wp:inline>
        </w:drawing>
      </w:r>
    </w:p>
    <w:p w14:paraId="7E51D3D6" w14:textId="77777777" w:rsidR="00FF1E38" w:rsidRPr="00FF1E38" w:rsidRDefault="00FF1E38" w:rsidP="00FF1E38">
      <w:pPr>
        <w:spacing w:after="0" w:line="240" w:lineRule="auto"/>
        <w:ind w:right="0"/>
        <w:rPr>
          <w:rFonts w:ascii="Times New Roman" w:hAnsi="Times New Roman" w:cs="Times New Roman"/>
          <w:sz w:val="24"/>
        </w:rPr>
      </w:pPr>
    </w:p>
    <w:p w14:paraId="5E825BE0" w14:textId="5BAC47ED" w:rsidR="00FF1E38" w:rsidRDefault="00FF1E38">
      <w:pPr>
        <w:spacing w:after="160" w:line="259" w:lineRule="auto"/>
        <w:ind w:left="0" w:right="0" w:firstLine="0"/>
        <w:jc w:val="left"/>
        <w:rPr>
          <w:rFonts w:ascii="Times New Roman" w:hAnsi="Times New Roman" w:cs="Times New Roman"/>
          <w:b/>
          <w:sz w:val="24"/>
        </w:rPr>
      </w:pPr>
      <w:r>
        <w:rPr>
          <w:rFonts w:ascii="Times New Roman" w:hAnsi="Times New Roman" w:cs="Times New Roman"/>
          <w:b/>
          <w:sz w:val="24"/>
        </w:rPr>
        <w:br w:type="page"/>
      </w:r>
    </w:p>
    <w:p w14:paraId="107D6CAC" w14:textId="77777777" w:rsidR="00FF1E38" w:rsidRPr="00FF1E38" w:rsidRDefault="00FF1E38" w:rsidP="00097718">
      <w:pPr>
        <w:spacing w:after="0" w:line="240" w:lineRule="auto"/>
        <w:ind w:right="0" w:firstLine="699"/>
        <w:rPr>
          <w:rFonts w:ascii="Times New Roman" w:hAnsi="Times New Roman" w:cs="Times New Roman"/>
          <w:b/>
          <w:sz w:val="24"/>
        </w:rPr>
      </w:pPr>
      <w:r w:rsidRPr="00FF1E38">
        <w:rPr>
          <w:rFonts w:ascii="Times New Roman" w:hAnsi="Times New Roman" w:cs="Times New Roman"/>
          <w:b/>
          <w:sz w:val="24"/>
        </w:rPr>
        <w:lastRenderedPageBreak/>
        <w:t>6.5. Epidemije i pandemije - opis scenarija</w:t>
      </w:r>
    </w:p>
    <w:p w14:paraId="36BEB19D" w14:textId="77777777" w:rsidR="00FF1E38" w:rsidRPr="00FF1E38" w:rsidRDefault="00FF1E38" w:rsidP="00FF1E38">
      <w:pPr>
        <w:spacing w:after="0" w:line="240" w:lineRule="auto"/>
        <w:ind w:left="0" w:right="0" w:firstLine="0"/>
        <w:rPr>
          <w:rFonts w:ascii="Times New Roman" w:hAnsi="Times New Roman" w:cs="Times New Roman"/>
          <w:sz w:val="24"/>
        </w:rPr>
      </w:pPr>
      <w:bookmarkStart w:id="99" w:name="_Toc2938618"/>
    </w:p>
    <w:p w14:paraId="4CB0B78A"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t>6.5.1. Naziv scenarija, rizik</w:t>
      </w:r>
      <w:bookmarkEnd w:id="99"/>
    </w:p>
    <w:p w14:paraId="327E0B5D" w14:textId="77777777" w:rsidR="00FF1E38" w:rsidRPr="00FF1E38" w:rsidRDefault="00FF1E38" w:rsidP="00FF1E38">
      <w:pPr>
        <w:spacing w:after="0" w:line="240" w:lineRule="auto"/>
        <w:ind w:left="0" w:right="0" w:firstLine="0"/>
        <w:rPr>
          <w:rFonts w:ascii="Times New Roman" w:hAnsi="Times New Roman" w:cs="Times New Roman"/>
          <w:sz w:val="24"/>
        </w:rPr>
      </w:pPr>
    </w:p>
    <w:tbl>
      <w:tblPr>
        <w:tblStyle w:val="TableGrid6"/>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4" w:type="dxa"/>
        </w:tblCellMar>
        <w:tblLook w:val="04A0" w:firstRow="1" w:lastRow="0" w:firstColumn="1" w:lastColumn="0" w:noHBand="0" w:noVBand="1"/>
      </w:tblPr>
      <w:tblGrid>
        <w:gridCol w:w="9072"/>
      </w:tblGrid>
      <w:tr w:rsidR="00FF1E38" w:rsidRPr="00FF1E38" w14:paraId="568C0B22" w14:textId="77777777" w:rsidTr="00DE0C9A">
        <w:trPr>
          <w:cantSplit/>
        </w:trPr>
        <w:tc>
          <w:tcPr>
            <w:tcW w:w="9059" w:type="dxa"/>
            <w:shd w:val="clear" w:color="auto" w:fill="FFC000"/>
          </w:tcPr>
          <w:p w14:paraId="2886CDA5"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b/>
                <w:sz w:val="24"/>
              </w:rPr>
              <w:t xml:space="preserve">Naziv scenarija </w:t>
            </w:r>
          </w:p>
        </w:tc>
      </w:tr>
      <w:tr w:rsidR="00FF1E38" w:rsidRPr="00FF1E38" w14:paraId="26652450" w14:textId="77777777" w:rsidTr="00DE0C9A">
        <w:trPr>
          <w:cantSplit/>
        </w:trPr>
        <w:tc>
          <w:tcPr>
            <w:tcW w:w="9059" w:type="dxa"/>
          </w:tcPr>
          <w:p w14:paraId="5593E92C"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 xml:space="preserve">Pandemija influence </w:t>
            </w:r>
          </w:p>
        </w:tc>
      </w:tr>
      <w:tr w:rsidR="00FF1E38" w:rsidRPr="00FF1E38" w14:paraId="4CFCB3DC" w14:textId="77777777" w:rsidTr="00DE0C9A">
        <w:trPr>
          <w:cantSplit/>
        </w:trPr>
        <w:tc>
          <w:tcPr>
            <w:tcW w:w="9059" w:type="dxa"/>
            <w:shd w:val="clear" w:color="auto" w:fill="FFC000"/>
          </w:tcPr>
          <w:p w14:paraId="112ED70C"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b/>
                <w:sz w:val="24"/>
              </w:rPr>
              <w:t xml:space="preserve">Grupa rizika </w:t>
            </w:r>
          </w:p>
        </w:tc>
      </w:tr>
      <w:tr w:rsidR="00FF1E38" w:rsidRPr="00FF1E38" w14:paraId="5A024461" w14:textId="77777777" w:rsidTr="00DE0C9A">
        <w:trPr>
          <w:cantSplit/>
        </w:trPr>
        <w:tc>
          <w:tcPr>
            <w:tcW w:w="9059" w:type="dxa"/>
          </w:tcPr>
          <w:p w14:paraId="158CEA39"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 xml:space="preserve">Epidemije i pandemije </w:t>
            </w:r>
          </w:p>
        </w:tc>
      </w:tr>
      <w:tr w:rsidR="00FF1E38" w:rsidRPr="00FF1E38" w14:paraId="1873CEA8" w14:textId="77777777" w:rsidTr="00DE0C9A">
        <w:trPr>
          <w:cantSplit/>
        </w:trPr>
        <w:tc>
          <w:tcPr>
            <w:tcW w:w="9059" w:type="dxa"/>
            <w:shd w:val="clear" w:color="auto" w:fill="FFC000"/>
          </w:tcPr>
          <w:p w14:paraId="24061581"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b/>
                <w:sz w:val="24"/>
              </w:rPr>
              <w:t xml:space="preserve">Rizik </w:t>
            </w:r>
          </w:p>
        </w:tc>
      </w:tr>
      <w:tr w:rsidR="00FF1E38" w:rsidRPr="00FF1E38" w14:paraId="7C8CBABB" w14:textId="77777777" w:rsidTr="00DE0C9A">
        <w:trPr>
          <w:cantSplit/>
        </w:trPr>
        <w:tc>
          <w:tcPr>
            <w:tcW w:w="9059" w:type="dxa"/>
          </w:tcPr>
          <w:p w14:paraId="2DCBBFE0"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 xml:space="preserve">Epidemije i pandemije </w:t>
            </w:r>
          </w:p>
        </w:tc>
      </w:tr>
      <w:tr w:rsidR="00FF1E38" w:rsidRPr="00FF1E38" w14:paraId="032685A4" w14:textId="77777777" w:rsidTr="00DE0C9A">
        <w:trPr>
          <w:cantSplit/>
        </w:trPr>
        <w:tc>
          <w:tcPr>
            <w:tcW w:w="9059" w:type="dxa"/>
            <w:shd w:val="clear" w:color="auto" w:fill="FFC000"/>
          </w:tcPr>
          <w:p w14:paraId="3DE48747"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b/>
                <w:sz w:val="24"/>
              </w:rPr>
              <w:t xml:space="preserve">Radna skupina </w:t>
            </w:r>
          </w:p>
        </w:tc>
      </w:tr>
      <w:tr w:rsidR="00FF1E38" w:rsidRPr="00FF1E38" w14:paraId="324605A8" w14:textId="77777777" w:rsidTr="00DE0C9A">
        <w:trPr>
          <w:cantSplit/>
        </w:trPr>
        <w:tc>
          <w:tcPr>
            <w:tcW w:w="9059" w:type="dxa"/>
          </w:tcPr>
          <w:p w14:paraId="77E185B1"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Gradski ured za mjesnu samoupravu, civilnu zaštitu i sigurnost</w:t>
            </w:r>
          </w:p>
          <w:p w14:paraId="21D2E272"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sz w:val="24"/>
              </w:rPr>
              <w:t>Nastavni zavod za javno zdravstvo “Dr. Andrija Štampar“</w:t>
            </w:r>
          </w:p>
        </w:tc>
      </w:tr>
      <w:tr w:rsidR="00FF1E38" w:rsidRPr="00FF1E38" w14:paraId="02F1F329" w14:textId="77777777" w:rsidTr="00DE0C9A">
        <w:trPr>
          <w:cantSplit/>
        </w:trPr>
        <w:tc>
          <w:tcPr>
            <w:tcW w:w="9059" w:type="dxa"/>
            <w:shd w:val="clear" w:color="auto" w:fill="FFC000"/>
          </w:tcPr>
          <w:p w14:paraId="4353DA7E" w14:textId="77777777" w:rsidR="00FF1E38" w:rsidRPr="00FF1E38" w:rsidRDefault="00FF1E38" w:rsidP="00FF1E38">
            <w:pPr>
              <w:spacing w:after="0" w:line="240" w:lineRule="auto"/>
              <w:ind w:left="0" w:right="0" w:firstLine="0"/>
              <w:jc w:val="left"/>
              <w:rPr>
                <w:rFonts w:ascii="Times New Roman" w:hAnsi="Times New Roman" w:cs="Times New Roman"/>
                <w:sz w:val="24"/>
              </w:rPr>
            </w:pPr>
            <w:r w:rsidRPr="00FF1E38">
              <w:rPr>
                <w:rFonts w:ascii="Times New Roman" w:hAnsi="Times New Roman" w:cs="Times New Roman"/>
                <w:b/>
                <w:sz w:val="24"/>
              </w:rPr>
              <w:t xml:space="preserve">Opis scenarija: </w:t>
            </w:r>
          </w:p>
        </w:tc>
      </w:tr>
      <w:tr w:rsidR="00FF1E38" w:rsidRPr="00FF1E38" w14:paraId="7BB2A20D" w14:textId="77777777" w:rsidTr="00DE0C9A">
        <w:trPr>
          <w:cantSplit/>
        </w:trPr>
        <w:tc>
          <w:tcPr>
            <w:tcW w:w="9059" w:type="dxa"/>
          </w:tcPr>
          <w:p w14:paraId="170A2824" w14:textId="77777777" w:rsidR="00FF1E38" w:rsidRPr="00FF1E38" w:rsidRDefault="00FF1E38" w:rsidP="00FF1E38">
            <w:pPr>
              <w:spacing w:after="0" w:line="240" w:lineRule="auto"/>
              <w:ind w:left="0" w:right="0" w:firstLine="0"/>
              <w:rPr>
                <w:rFonts w:ascii="Times New Roman" w:hAnsi="Times New Roman" w:cs="Times New Roman"/>
                <w:sz w:val="24"/>
              </w:rPr>
            </w:pPr>
            <w:r w:rsidRPr="00FF1E38">
              <w:rPr>
                <w:rFonts w:ascii="Times New Roman" w:hAnsi="Times New Roman" w:cs="Times New Roman"/>
                <w:sz w:val="24"/>
              </w:rPr>
              <w:t xml:space="preserve">Scenarijem će se opisati situacija koja može nastati nakon pojave virusa influence koji je iznenada mutirao te nije bio sastavni dio uobičajenog sezonskog cjepiva protiv gripe tijekom vrlo povoljnih okolnosti za širenje patogena. </w:t>
            </w:r>
          </w:p>
        </w:tc>
      </w:tr>
    </w:tbl>
    <w:p w14:paraId="0EFFCDAD"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0682308E" w14:textId="77777777" w:rsidR="00FF1E38" w:rsidRPr="00FF1E38" w:rsidRDefault="00FF1E38" w:rsidP="00FF1E38">
      <w:pPr>
        <w:spacing w:after="0" w:line="240" w:lineRule="auto"/>
        <w:ind w:left="0" w:right="0" w:firstLine="709"/>
        <w:rPr>
          <w:rFonts w:ascii="Times New Roman" w:hAnsi="Times New Roman" w:cs="Times New Roman"/>
          <w:b/>
          <w:sz w:val="24"/>
        </w:rPr>
      </w:pPr>
      <w:bookmarkStart w:id="100" w:name="_Toc2938619"/>
      <w:r w:rsidRPr="00FF1E38">
        <w:rPr>
          <w:rFonts w:ascii="Times New Roman" w:hAnsi="Times New Roman" w:cs="Times New Roman"/>
          <w:b/>
          <w:sz w:val="24"/>
        </w:rPr>
        <w:t>6.5.2. Prikaz utjecaja na kritičnu infrastrukturu</w:t>
      </w:r>
      <w:bookmarkEnd w:id="100"/>
    </w:p>
    <w:p w14:paraId="4B8D6EBC"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Utjecaj epidemija i pandemija na kritičnu infrastrukturu nije izražen. Najveći utjecaj je na </w:t>
      </w:r>
      <w:r w:rsidRPr="00FF1E38">
        <w:rPr>
          <w:rFonts w:ascii="Times New Roman" w:hAnsi="Times New Roman" w:cs="Times New Roman"/>
          <w:b/>
          <w:sz w:val="24"/>
        </w:rPr>
        <w:t>zdravstvene kapacitete</w:t>
      </w:r>
      <w:r w:rsidRPr="00FF1E38">
        <w:rPr>
          <w:rFonts w:ascii="Times New Roman" w:hAnsi="Times New Roman" w:cs="Times New Roman"/>
          <w:sz w:val="24"/>
        </w:rPr>
        <w:t xml:space="preserve"> (povećan broj oboljelih) i </w:t>
      </w:r>
      <w:r w:rsidRPr="00FF1E38">
        <w:rPr>
          <w:rFonts w:ascii="Times New Roman" w:hAnsi="Times New Roman" w:cs="Times New Roman"/>
          <w:b/>
          <w:sz w:val="24"/>
        </w:rPr>
        <w:t>javne službe</w:t>
      </w:r>
      <w:r w:rsidRPr="00FF1E38">
        <w:rPr>
          <w:rFonts w:ascii="Times New Roman" w:hAnsi="Times New Roman" w:cs="Times New Roman"/>
          <w:sz w:val="24"/>
        </w:rPr>
        <w:t xml:space="preserve"> (djelovanje timova hitne medicinske pomoći), a jako negativno se može manifestirati i na gospodarstvo zbog povećanog broja bolovanja i turizma koji je vrlo značajna grana gospodarstva, a u slučaju pojave velikih pandemija izgledno je očekivati smanjenje turističkih dolazaka i na području Grada Zagreba koji je sve popularnija turistička destinacija, posebno u zimskim mjesecima.</w:t>
      </w:r>
    </w:p>
    <w:p w14:paraId="0BDDF027" w14:textId="77777777" w:rsidR="00FF1E38" w:rsidRPr="00FF1E38" w:rsidRDefault="00FF1E38" w:rsidP="00FF1E38">
      <w:pPr>
        <w:spacing w:after="0" w:line="240" w:lineRule="auto"/>
        <w:ind w:left="0" w:right="0" w:firstLine="0"/>
        <w:rPr>
          <w:rFonts w:ascii="Times New Roman" w:hAnsi="Times New Roman" w:cs="Times New Roman"/>
          <w:sz w:val="24"/>
        </w:rPr>
      </w:pPr>
    </w:p>
    <w:p w14:paraId="5C52B114" w14:textId="27D06FAB" w:rsidR="00FF1E38" w:rsidRPr="0091483A" w:rsidRDefault="00FF1E38" w:rsidP="00FF1E38">
      <w:pPr>
        <w:spacing w:after="0" w:line="240" w:lineRule="auto"/>
        <w:ind w:left="0" w:right="0" w:firstLine="0"/>
        <w:jc w:val="center"/>
        <w:rPr>
          <w:rFonts w:ascii="Times New Roman" w:hAnsi="Times New Roman" w:cs="Times New Roman"/>
          <w:b/>
          <w:color w:val="auto"/>
          <w:sz w:val="24"/>
        </w:rPr>
      </w:pPr>
      <w:r w:rsidRPr="0091483A">
        <w:rPr>
          <w:rFonts w:ascii="Times New Roman" w:hAnsi="Times New Roman" w:cs="Times New Roman"/>
          <w:b/>
          <w:color w:val="auto"/>
          <w:sz w:val="24"/>
        </w:rPr>
        <w:t xml:space="preserve">Tablica </w:t>
      </w:r>
      <w:r w:rsidR="0091483A" w:rsidRPr="0091483A">
        <w:rPr>
          <w:rFonts w:ascii="Times New Roman" w:hAnsi="Times New Roman" w:cs="Times New Roman"/>
          <w:b/>
          <w:color w:val="auto"/>
          <w:sz w:val="24"/>
        </w:rPr>
        <w:t>94</w:t>
      </w:r>
      <w:r w:rsidRPr="0091483A">
        <w:rPr>
          <w:rFonts w:ascii="Times New Roman" w:hAnsi="Times New Roman" w:cs="Times New Roman"/>
          <w:b/>
          <w:color w:val="auto"/>
          <w:sz w:val="24"/>
        </w:rPr>
        <w:t xml:space="preserve">. Utjecaj epidemija i pandemija na sektore kritične infrastrukture </w:t>
      </w:r>
    </w:p>
    <w:p w14:paraId="6B602CD9" w14:textId="77777777" w:rsidR="00FF1E38" w:rsidRPr="00FF1E38" w:rsidRDefault="00FF1E38" w:rsidP="00FF1E38">
      <w:pPr>
        <w:spacing w:after="0" w:line="240" w:lineRule="auto"/>
        <w:ind w:left="0" w:right="0" w:firstLine="0"/>
        <w:rPr>
          <w:rFonts w:ascii="Times New Roman" w:hAnsi="Times New Roman" w:cs="Times New Roman"/>
          <w:sz w:val="24"/>
        </w:rPr>
      </w:pPr>
    </w:p>
    <w:tbl>
      <w:tblPr>
        <w:tblStyle w:val="TableGrid6"/>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3" w:type="dxa"/>
        </w:tblCellMar>
        <w:tblLook w:val="04A0" w:firstRow="1" w:lastRow="0" w:firstColumn="1" w:lastColumn="0" w:noHBand="0" w:noVBand="1"/>
      </w:tblPr>
      <w:tblGrid>
        <w:gridCol w:w="1418"/>
        <w:gridCol w:w="7654"/>
      </w:tblGrid>
      <w:tr w:rsidR="00FF1E38" w:rsidRPr="00FF1E38" w14:paraId="61E84460" w14:textId="77777777" w:rsidTr="00DE0C9A">
        <w:trPr>
          <w:cantSplit/>
        </w:trPr>
        <w:tc>
          <w:tcPr>
            <w:tcW w:w="1418" w:type="dxa"/>
            <w:shd w:val="clear" w:color="auto" w:fill="FFC000"/>
            <w:vAlign w:val="center"/>
          </w:tcPr>
          <w:p w14:paraId="63A55FD7" w14:textId="77777777" w:rsidR="00FF1E38" w:rsidRPr="00FF1E38" w:rsidRDefault="00FF1E38" w:rsidP="00FF1E38">
            <w:pPr>
              <w:spacing w:after="0" w:line="240" w:lineRule="auto"/>
              <w:ind w:left="0" w:right="0" w:firstLine="0"/>
              <w:jc w:val="center"/>
              <w:rPr>
                <w:rFonts w:ascii="Times New Roman" w:hAnsi="Times New Roman" w:cs="Times New Roman"/>
                <w:sz w:val="24"/>
                <w:szCs w:val="24"/>
              </w:rPr>
            </w:pPr>
            <w:r w:rsidRPr="00FF1E38">
              <w:rPr>
                <w:rFonts w:ascii="Times New Roman" w:hAnsi="Times New Roman" w:cs="Times New Roman"/>
                <w:b/>
                <w:sz w:val="24"/>
                <w:szCs w:val="24"/>
              </w:rPr>
              <w:t>UTJECAJ</w:t>
            </w:r>
          </w:p>
        </w:tc>
        <w:tc>
          <w:tcPr>
            <w:tcW w:w="7655" w:type="dxa"/>
            <w:shd w:val="clear" w:color="auto" w:fill="FFC000"/>
            <w:vAlign w:val="center"/>
          </w:tcPr>
          <w:p w14:paraId="5A5AA13B" w14:textId="77777777" w:rsidR="00FF1E38" w:rsidRPr="00FF1E38" w:rsidRDefault="00FF1E38" w:rsidP="00FF1E38">
            <w:pPr>
              <w:spacing w:after="0" w:line="240" w:lineRule="auto"/>
              <w:ind w:left="0" w:right="0" w:firstLine="0"/>
              <w:jc w:val="center"/>
              <w:rPr>
                <w:rFonts w:ascii="Times New Roman" w:hAnsi="Times New Roman" w:cs="Times New Roman"/>
                <w:sz w:val="24"/>
                <w:szCs w:val="24"/>
              </w:rPr>
            </w:pPr>
            <w:r w:rsidRPr="00FF1E38">
              <w:rPr>
                <w:rFonts w:ascii="Times New Roman" w:hAnsi="Times New Roman" w:cs="Times New Roman"/>
                <w:b/>
                <w:sz w:val="24"/>
                <w:szCs w:val="24"/>
              </w:rPr>
              <w:t>SEKTOR</w:t>
            </w:r>
          </w:p>
        </w:tc>
      </w:tr>
      <w:tr w:rsidR="00FF1E38" w:rsidRPr="00FF1E38" w14:paraId="5C7F3EC8" w14:textId="77777777" w:rsidTr="00DE0C9A">
        <w:trPr>
          <w:cantSplit/>
        </w:trPr>
        <w:tc>
          <w:tcPr>
            <w:tcW w:w="1418" w:type="dxa"/>
            <w:vAlign w:val="center"/>
          </w:tcPr>
          <w:p w14:paraId="2693FEF4" w14:textId="77777777" w:rsidR="00FF1E38" w:rsidRPr="00FF1E38" w:rsidRDefault="00FF1E38" w:rsidP="00FF1E38">
            <w:pPr>
              <w:spacing w:after="0" w:line="240" w:lineRule="auto"/>
              <w:ind w:left="0" w:right="0" w:firstLine="0"/>
              <w:jc w:val="center"/>
              <w:rPr>
                <w:rFonts w:ascii="Times New Roman" w:hAnsi="Times New Roman" w:cs="Times New Roman"/>
                <w:sz w:val="24"/>
                <w:szCs w:val="24"/>
              </w:rPr>
            </w:pPr>
          </w:p>
        </w:tc>
        <w:tc>
          <w:tcPr>
            <w:tcW w:w="7655" w:type="dxa"/>
            <w:vAlign w:val="center"/>
          </w:tcPr>
          <w:p w14:paraId="16A89595" w14:textId="77777777" w:rsidR="00FF1E38" w:rsidRPr="00FF1E38" w:rsidRDefault="00FF1E38" w:rsidP="00FF1E38">
            <w:pPr>
              <w:spacing w:after="0" w:line="240" w:lineRule="auto"/>
              <w:ind w:left="0" w:right="0" w:firstLine="0"/>
              <w:jc w:val="left"/>
              <w:rPr>
                <w:rFonts w:ascii="Times New Roman" w:hAnsi="Times New Roman" w:cs="Times New Roman"/>
                <w:sz w:val="24"/>
                <w:szCs w:val="24"/>
              </w:rPr>
            </w:pPr>
            <w:r w:rsidRPr="00FF1E38">
              <w:rPr>
                <w:rFonts w:ascii="Times New Roman" w:hAnsi="Times New Roman" w:cs="Times New Roman"/>
                <w:sz w:val="24"/>
                <w:szCs w:val="24"/>
              </w:rPr>
              <w:t>Energetika (proizvodnja, uključivo akumulacije i brane, prijenos, skladištenje, transport energenata i energije, sustavi za distribuciju)</w:t>
            </w:r>
          </w:p>
        </w:tc>
      </w:tr>
      <w:tr w:rsidR="00FF1E38" w:rsidRPr="00FF1E38" w14:paraId="085FDAA6" w14:textId="77777777" w:rsidTr="00DE0C9A">
        <w:trPr>
          <w:cantSplit/>
        </w:trPr>
        <w:tc>
          <w:tcPr>
            <w:tcW w:w="1418" w:type="dxa"/>
            <w:shd w:val="clear" w:color="auto" w:fill="FFC000"/>
            <w:vAlign w:val="center"/>
          </w:tcPr>
          <w:p w14:paraId="18986DB4" w14:textId="77777777" w:rsidR="00FF1E38" w:rsidRPr="00FF1E38" w:rsidRDefault="00FF1E38" w:rsidP="00FF1E38">
            <w:pPr>
              <w:spacing w:after="0" w:line="240" w:lineRule="auto"/>
              <w:ind w:left="0" w:right="0" w:firstLine="0"/>
              <w:jc w:val="center"/>
              <w:rPr>
                <w:rFonts w:ascii="Times New Roman" w:hAnsi="Times New Roman" w:cs="Times New Roman"/>
                <w:sz w:val="24"/>
                <w:szCs w:val="24"/>
              </w:rPr>
            </w:pPr>
          </w:p>
        </w:tc>
        <w:tc>
          <w:tcPr>
            <w:tcW w:w="7655" w:type="dxa"/>
            <w:shd w:val="clear" w:color="auto" w:fill="FFC000"/>
            <w:vAlign w:val="center"/>
          </w:tcPr>
          <w:p w14:paraId="2AB54D36" w14:textId="77777777" w:rsidR="00FF1E38" w:rsidRPr="00FF1E38" w:rsidRDefault="00FF1E38" w:rsidP="00FF1E38">
            <w:pPr>
              <w:spacing w:after="0" w:line="240" w:lineRule="auto"/>
              <w:ind w:left="0" w:right="0" w:firstLine="0"/>
              <w:jc w:val="left"/>
              <w:rPr>
                <w:rFonts w:ascii="Times New Roman" w:hAnsi="Times New Roman" w:cs="Times New Roman"/>
                <w:sz w:val="24"/>
                <w:szCs w:val="24"/>
              </w:rPr>
            </w:pPr>
            <w:r w:rsidRPr="00FF1E38">
              <w:rPr>
                <w:rFonts w:ascii="Times New Roman" w:hAnsi="Times New Roman" w:cs="Times New Roman"/>
                <w:sz w:val="24"/>
                <w:szCs w:val="24"/>
              </w:rPr>
              <w:t>Komunikacijska i informacijska tehnologija (elektroničke komunikacije, prijenos podataka, informacijski sustavi, pružanje audio i audiovizualnih medijskih usluga)</w:t>
            </w:r>
          </w:p>
        </w:tc>
      </w:tr>
      <w:tr w:rsidR="00FF1E38" w:rsidRPr="00FF1E38" w14:paraId="71C11D19" w14:textId="77777777" w:rsidTr="00DE0C9A">
        <w:trPr>
          <w:cantSplit/>
        </w:trPr>
        <w:tc>
          <w:tcPr>
            <w:tcW w:w="1418" w:type="dxa"/>
            <w:vAlign w:val="center"/>
          </w:tcPr>
          <w:p w14:paraId="6053D776" w14:textId="77777777" w:rsidR="00FF1E38" w:rsidRPr="00FF1E38" w:rsidRDefault="00FF1E38" w:rsidP="00FF1E38">
            <w:pPr>
              <w:spacing w:after="0" w:line="240" w:lineRule="auto"/>
              <w:ind w:left="0" w:right="0" w:firstLine="0"/>
              <w:jc w:val="center"/>
              <w:rPr>
                <w:rFonts w:ascii="Times New Roman" w:hAnsi="Times New Roman" w:cs="Times New Roman"/>
                <w:sz w:val="24"/>
                <w:szCs w:val="24"/>
              </w:rPr>
            </w:pPr>
          </w:p>
        </w:tc>
        <w:tc>
          <w:tcPr>
            <w:tcW w:w="7655" w:type="dxa"/>
            <w:vAlign w:val="center"/>
          </w:tcPr>
          <w:p w14:paraId="0B7DBCD0" w14:textId="77777777" w:rsidR="00FF1E38" w:rsidRPr="00FF1E38" w:rsidRDefault="00FF1E38" w:rsidP="00FF1E38">
            <w:pPr>
              <w:spacing w:after="0" w:line="240" w:lineRule="auto"/>
              <w:ind w:left="0" w:right="0" w:firstLine="0"/>
              <w:jc w:val="left"/>
              <w:rPr>
                <w:rFonts w:ascii="Times New Roman" w:hAnsi="Times New Roman" w:cs="Times New Roman"/>
                <w:sz w:val="24"/>
                <w:szCs w:val="24"/>
              </w:rPr>
            </w:pPr>
            <w:r w:rsidRPr="00FF1E38">
              <w:rPr>
                <w:rFonts w:ascii="Times New Roman" w:hAnsi="Times New Roman" w:cs="Times New Roman"/>
                <w:sz w:val="24"/>
                <w:szCs w:val="24"/>
              </w:rPr>
              <w:t>Promet (cestovni, željeznički, zračni, pomorski i promet unutarnjim plovnim putevima)</w:t>
            </w:r>
          </w:p>
        </w:tc>
      </w:tr>
      <w:tr w:rsidR="00FF1E38" w:rsidRPr="00FF1E38" w14:paraId="045E9D16" w14:textId="77777777" w:rsidTr="00DE0C9A">
        <w:trPr>
          <w:cantSplit/>
        </w:trPr>
        <w:tc>
          <w:tcPr>
            <w:tcW w:w="1418" w:type="dxa"/>
            <w:shd w:val="clear" w:color="auto" w:fill="FFC000"/>
            <w:vAlign w:val="center"/>
          </w:tcPr>
          <w:p w14:paraId="1886485D" w14:textId="77777777" w:rsidR="00FF1E38" w:rsidRPr="00FF1E38" w:rsidRDefault="00FF1E38" w:rsidP="00FF1E38">
            <w:pPr>
              <w:spacing w:after="0" w:line="240" w:lineRule="auto"/>
              <w:ind w:left="0" w:right="0" w:firstLine="0"/>
              <w:jc w:val="center"/>
              <w:rPr>
                <w:rFonts w:ascii="Times New Roman" w:hAnsi="Times New Roman" w:cs="Times New Roman"/>
                <w:sz w:val="24"/>
                <w:szCs w:val="24"/>
              </w:rPr>
            </w:pPr>
            <w:r w:rsidRPr="00FF1E38">
              <w:rPr>
                <w:rFonts w:ascii="Times New Roman" w:hAnsi="Times New Roman" w:cs="Times New Roman"/>
                <w:sz w:val="24"/>
                <w:szCs w:val="24"/>
              </w:rPr>
              <w:t>x</w:t>
            </w:r>
          </w:p>
        </w:tc>
        <w:tc>
          <w:tcPr>
            <w:tcW w:w="7655" w:type="dxa"/>
            <w:shd w:val="clear" w:color="auto" w:fill="FFC000"/>
            <w:vAlign w:val="center"/>
          </w:tcPr>
          <w:p w14:paraId="7292CA0F" w14:textId="77777777" w:rsidR="00FF1E38" w:rsidRPr="00FF1E38" w:rsidRDefault="00FF1E38" w:rsidP="00FF1E38">
            <w:pPr>
              <w:spacing w:after="0" w:line="240" w:lineRule="auto"/>
              <w:ind w:left="0" w:right="0" w:firstLine="0"/>
              <w:jc w:val="left"/>
              <w:rPr>
                <w:rFonts w:ascii="Times New Roman" w:hAnsi="Times New Roman" w:cs="Times New Roman"/>
                <w:sz w:val="24"/>
                <w:szCs w:val="24"/>
              </w:rPr>
            </w:pPr>
            <w:r w:rsidRPr="00FF1E38">
              <w:rPr>
                <w:rFonts w:ascii="Times New Roman" w:hAnsi="Times New Roman" w:cs="Times New Roman"/>
                <w:sz w:val="24"/>
                <w:szCs w:val="24"/>
              </w:rPr>
              <w:t>Zdravstvo (zdravstvena zaštita, proizvodnja lijekova, promet i nadzor nad lijekovima)</w:t>
            </w:r>
          </w:p>
        </w:tc>
      </w:tr>
      <w:tr w:rsidR="00FF1E38" w:rsidRPr="00FF1E38" w14:paraId="7E539345" w14:textId="77777777" w:rsidTr="00DE0C9A">
        <w:trPr>
          <w:cantSplit/>
        </w:trPr>
        <w:tc>
          <w:tcPr>
            <w:tcW w:w="1418" w:type="dxa"/>
            <w:vAlign w:val="center"/>
          </w:tcPr>
          <w:p w14:paraId="3CBCFD61" w14:textId="77777777" w:rsidR="00FF1E38" w:rsidRPr="00FF1E38" w:rsidRDefault="00FF1E38" w:rsidP="00FF1E38">
            <w:pPr>
              <w:spacing w:after="0" w:line="240" w:lineRule="auto"/>
              <w:ind w:left="0" w:right="0" w:firstLine="0"/>
              <w:jc w:val="center"/>
              <w:rPr>
                <w:rFonts w:ascii="Times New Roman" w:hAnsi="Times New Roman" w:cs="Times New Roman"/>
                <w:sz w:val="24"/>
                <w:szCs w:val="24"/>
              </w:rPr>
            </w:pPr>
          </w:p>
        </w:tc>
        <w:tc>
          <w:tcPr>
            <w:tcW w:w="7655" w:type="dxa"/>
            <w:vAlign w:val="center"/>
          </w:tcPr>
          <w:p w14:paraId="39514868" w14:textId="77777777" w:rsidR="00FF1E38" w:rsidRPr="00FF1E38" w:rsidRDefault="00FF1E38" w:rsidP="00FF1E38">
            <w:pPr>
              <w:spacing w:after="0" w:line="240" w:lineRule="auto"/>
              <w:ind w:left="0" w:right="0" w:firstLine="0"/>
              <w:jc w:val="left"/>
              <w:rPr>
                <w:rFonts w:ascii="Times New Roman" w:hAnsi="Times New Roman" w:cs="Times New Roman"/>
                <w:sz w:val="24"/>
                <w:szCs w:val="24"/>
              </w:rPr>
            </w:pPr>
            <w:r w:rsidRPr="00FF1E38">
              <w:rPr>
                <w:rFonts w:ascii="Times New Roman" w:hAnsi="Times New Roman" w:cs="Times New Roman"/>
                <w:sz w:val="24"/>
                <w:szCs w:val="24"/>
              </w:rPr>
              <w:t>Vodno gospodarstvo (regulacijske i zaštitne vodne građevine i komunalne vodne građevine)</w:t>
            </w:r>
          </w:p>
        </w:tc>
      </w:tr>
      <w:tr w:rsidR="00FF1E38" w:rsidRPr="00FF1E38" w14:paraId="49063DF2" w14:textId="77777777" w:rsidTr="00DE0C9A">
        <w:trPr>
          <w:cantSplit/>
        </w:trPr>
        <w:tc>
          <w:tcPr>
            <w:tcW w:w="1418" w:type="dxa"/>
            <w:shd w:val="clear" w:color="auto" w:fill="FFC000"/>
            <w:vAlign w:val="center"/>
          </w:tcPr>
          <w:p w14:paraId="6745C7EF" w14:textId="77777777" w:rsidR="00FF1E38" w:rsidRPr="00FF1E38" w:rsidRDefault="00FF1E38" w:rsidP="00FF1E38">
            <w:pPr>
              <w:spacing w:after="0" w:line="240" w:lineRule="auto"/>
              <w:ind w:left="0" w:right="0" w:firstLine="0"/>
              <w:jc w:val="center"/>
              <w:rPr>
                <w:rFonts w:ascii="Times New Roman" w:hAnsi="Times New Roman" w:cs="Times New Roman"/>
                <w:sz w:val="24"/>
                <w:szCs w:val="24"/>
              </w:rPr>
            </w:pPr>
            <w:r w:rsidRPr="00FF1E38">
              <w:rPr>
                <w:rFonts w:ascii="Times New Roman" w:hAnsi="Times New Roman" w:cs="Times New Roman"/>
                <w:sz w:val="24"/>
                <w:szCs w:val="24"/>
              </w:rPr>
              <w:t>x</w:t>
            </w:r>
          </w:p>
        </w:tc>
        <w:tc>
          <w:tcPr>
            <w:tcW w:w="7655" w:type="dxa"/>
            <w:shd w:val="clear" w:color="auto" w:fill="FFC000"/>
            <w:vAlign w:val="center"/>
          </w:tcPr>
          <w:p w14:paraId="7B13FE0D" w14:textId="77777777" w:rsidR="00FF1E38" w:rsidRPr="00FF1E38" w:rsidRDefault="00FF1E38" w:rsidP="00FF1E38">
            <w:pPr>
              <w:spacing w:after="0" w:line="240" w:lineRule="auto"/>
              <w:ind w:left="0" w:right="0" w:firstLine="0"/>
              <w:jc w:val="left"/>
              <w:rPr>
                <w:rFonts w:ascii="Times New Roman" w:hAnsi="Times New Roman" w:cs="Times New Roman"/>
                <w:sz w:val="24"/>
                <w:szCs w:val="24"/>
              </w:rPr>
            </w:pPr>
            <w:r w:rsidRPr="00FF1E38">
              <w:rPr>
                <w:rFonts w:ascii="Times New Roman" w:hAnsi="Times New Roman" w:cs="Times New Roman"/>
                <w:sz w:val="24"/>
                <w:szCs w:val="24"/>
              </w:rPr>
              <w:t>Hrana (proizvodnja i opskrba hranom i sustav sigurnosti hrane, robne zalihe)</w:t>
            </w:r>
          </w:p>
        </w:tc>
      </w:tr>
      <w:tr w:rsidR="00FF1E38" w:rsidRPr="00FF1E38" w14:paraId="60A25198" w14:textId="77777777" w:rsidTr="00DE0C9A">
        <w:trPr>
          <w:cantSplit/>
        </w:trPr>
        <w:tc>
          <w:tcPr>
            <w:tcW w:w="1418" w:type="dxa"/>
            <w:vAlign w:val="center"/>
          </w:tcPr>
          <w:p w14:paraId="0F834542" w14:textId="77777777" w:rsidR="00FF1E38" w:rsidRPr="00FF1E38" w:rsidRDefault="00FF1E38" w:rsidP="00FF1E38">
            <w:pPr>
              <w:spacing w:after="0" w:line="240" w:lineRule="auto"/>
              <w:ind w:left="0" w:right="0" w:firstLine="0"/>
              <w:jc w:val="center"/>
              <w:rPr>
                <w:rFonts w:ascii="Times New Roman" w:hAnsi="Times New Roman" w:cs="Times New Roman"/>
                <w:sz w:val="24"/>
                <w:szCs w:val="24"/>
              </w:rPr>
            </w:pPr>
            <w:r w:rsidRPr="00FF1E38">
              <w:rPr>
                <w:rFonts w:ascii="Times New Roman" w:hAnsi="Times New Roman" w:cs="Times New Roman"/>
                <w:sz w:val="24"/>
                <w:szCs w:val="24"/>
              </w:rPr>
              <w:t>x</w:t>
            </w:r>
          </w:p>
        </w:tc>
        <w:tc>
          <w:tcPr>
            <w:tcW w:w="7655" w:type="dxa"/>
            <w:vAlign w:val="center"/>
          </w:tcPr>
          <w:p w14:paraId="3A04AE5F" w14:textId="77777777" w:rsidR="00FF1E38" w:rsidRPr="00FF1E38" w:rsidRDefault="00FF1E38" w:rsidP="00FF1E38">
            <w:pPr>
              <w:spacing w:after="0" w:line="240" w:lineRule="auto"/>
              <w:ind w:left="0" w:right="0" w:firstLine="0"/>
              <w:jc w:val="left"/>
              <w:rPr>
                <w:rFonts w:ascii="Times New Roman" w:hAnsi="Times New Roman" w:cs="Times New Roman"/>
                <w:sz w:val="24"/>
                <w:szCs w:val="24"/>
              </w:rPr>
            </w:pPr>
            <w:r w:rsidRPr="00FF1E38">
              <w:rPr>
                <w:rFonts w:ascii="Times New Roman" w:hAnsi="Times New Roman" w:cs="Times New Roman"/>
                <w:sz w:val="24"/>
                <w:szCs w:val="24"/>
              </w:rPr>
              <w:t>Financije (bankarstvo, burze, investicije, sustavi osiguranja i plaćanja)</w:t>
            </w:r>
          </w:p>
        </w:tc>
      </w:tr>
      <w:tr w:rsidR="00FF1E38" w:rsidRPr="00FF1E38" w14:paraId="120AF78E" w14:textId="77777777" w:rsidTr="00DE0C9A">
        <w:trPr>
          <w:cantSplit/>
        </w:trPr>
        <w:tc>
          <w:tcPr>
            <w:tcW w:w="1418" w:type="dxa"/>
            <w:shd w:val="clear" w:color="auto" w:fill="FFC000"/>
            <w:vAlign w:val="center"/>
          </w:tcPr>
          <w:p w14:paraId="4E212150" w14:textId="77777777" w:rsidR="00FF1E38" w:rsidRPr="00FF1E38" w:rsidRDefault="00FF1E38" w:rsidP="00FF1E38">
            <w:pPr>
              <w:spacing w:after="0" w:line="240" w:lineRule="auto"/>
              <w:ind w:left="0" w:right="0" w:firstLine="0"/>
              <w:jc w:val="center"/>
              <w:rPr>
                <w:rFonts w:ascii="Times New Roman" w:hAnsi="Times New Roman" w:cs="Times New Roman"/>
                <w:sz w:val="24"/>
                <w:szCs w:val="24"/>
              </w:rPr>
            </w:pPr>
          </w:p>
        </w:tc>
        <w:tc>
          <w:tcPr>
            <w:tcW w:w="7655" w:type="dxa"/>
            <w:shd w:val="clear" w:color="auto" w:fill="FFC000"/>
            <w:vAlign w:val="center"/>
          </w:tcPr>
          <w:p w14:paraId="6807E5E2" w14:textId="77777777" w:rsidR="00FF1E38" w:rsidRPr="00FF1E38" w:rsidRDefault="00FF1E38" w:rsidP="00FF1E38">
            <w:pPr>
              <w:spacing w:after="0" w:line="240" w:lineRule="auto"/>
              <w:ind w:left="0" w:right="0" w:firstLine="0"/>
              <w:jc w:val="left"/>
              <w:rPr>
                <w:rFonts w:ascii="Times New Roman" w:hAnsi="Times New Roman" w:cs="Times New Roman"/>
                <w:sz w:val="24"/>
                <w:szCs w:val="24"/>
              </w:rPr>
            </w:pPr>
            <w:r w:rsidRPr="00FF1E38">
              <w:rPr>
                <w:rFonts w:ascii="Times New Roman" w:hAnsi="Times New Roman" w:cs="Times New Roman"/>
                <w:sz w:val="24"/>
                <w:szCs w:val="24"/>
              </w:rPr>
              <w:t>Proizvodnja, skladištenje i prijevoz opasnih tvari (kemijski, biološki, radiološki i nuklearni materijal)</w:t>
            </w:r>
          </w:p>
        </w:tc>
      </w:tr>
      <w:tr w:rsidR="00FF1E38" w:rsidRPr="00FF1E38" w14:paraId="042427DA" w14:textId="77777777" w:rsidTr="00DE0C9A">
        <w:trPr>
          <w:cantSplit/>
        </w:trPr>
        <w:tc>
          <w:tcPr>
            <w:tcW w:w="1418" w:type="dxa"/>
            <w:vAlign w:val="center"/>
          </w:tcPr>
          <w:p w14:paraId="49C7BE01" w14:textId="77777777" w:rsidR="00FF1E38" w:rsidRPr="00FF1E38" w:rsidRDefault="00FF1E38" w:rsidP="00FF1E38">
            <w:pPr>
              <w:spacing w:after="0" w:line="240" w:lineRule="auto"/>
              <w:ind w:left="0" w:right="0" w:firstLine="0"/>
              <w:jc w:val="center"/>
              <w:rPr>
                <w:rFonts w:ascii="Times New Roman" w:hAnsi="Times New Roman" w:cs="Times New Roman"/>
                <w:sz w:val="24"/>
                <w:szCs w:val="24"/>
              </w:rPr>
            </w:pPr>
            <w:r w:rsidRPr="00FF1E38">
              <w:rPr>
                <w:rFonts w:ascii="Times New Roman" w:hAnsi="Times New Roman" w:cs="Times New Roman"/>
                <w:sz w:val="24"/>
                <w:szCs w:val="24"/>
              </w:rPr>
              <w:t>x</w:t>
            </w:r>
          </w:p>
        </w:tc>
        <w:tc>
          <w:tcPr>
            <w:tcW w:w="7655" w:type="dxa"/>
            <w:vAlign w:val="center"/>
          </w:tcPr>
          <w:p w14:paraId="0ED107C7" w14:textId="77777777" w:rsidR="00FF1E38" w:rsidRPr="00FF1E38" w:rsidRDefault="00FF1E38" w:rsidP="00FF1E38">
            <w:pPr>
              <w:spacing w:after="0" w:line="240" w:lineRule="auto"/>
              <w:ind w:left="0" w:right="0" w:firstLine="0"/>
              <w:jc w:val="left"/>
              <w:rPr>
                <w:rFonts w:ascii="Times New Roman" w:hAnsi="Times New Roman" w:cs="Times New Roman"/>
                <w:sz w:val="24"/>
                <w:szCs w:val="24"/>
              </w:rPr>
            </w:pPr>
            <w:r w:rsidRPr="00FF1E38">
              <w:rPr>
                <w:rFonts w:ascii="Times New Roman" w:hAnsi="Times New Roman" w:cs="Times New Roman"/>
                <w:sz w:val="24"/>
                <w:szCs w:val="24"/>
              </w:rPr>
              <w:t>Javne službe (osiguranje javnog reda i mira, zaštita i spašavanje, hitna medicinska pomoć)</w:t>
            </w:r>
          </w:p>
        </w:tc>
      </w:tr>
      <w:tr w:rsidR="00FF1E38" w:rsidRPr="00FF1E38" w14:paraId="1E2AF5FA" w14:textId="77777777" w:rsidTr="00DE0C9A">
        <w:trPr>
          <w:cantSplit/>
        </w:trPr>
        <w:tc>
          <w:tcPr>
            <w:tcW w:w="1418" w:type="dxa"/>
            <w:shd w:val="clear" w:color="auto" w:fill="FFC000"/>
            <w:vAlign w:val="center"/>
          </w:tcPr>
          <w:p w14:paraId="7A197F67" w14:textId="77777777" w:rsidR="00FF1E38" w:rsidRPr="00FF1E38" w:rsidRDefault="00FF1E38" w:rsidP="00FF1E38">
            <w:pPr>
              <w:spacing w:after="0" w:line="240" w:lineRule="auto"/>
              <w:ind w:left="0" w:right="0" w:firstLine="0"/>
              <w:jc w:val="center"/>
              <w:rPr>
                <w:rFonts w:ascii="Times New Roman" w:hAnsi="Times New Roman" w:cs="Times New Roman"/>
                <w:sz w:val="24"/>
                <w:szCs w:val="24"/>
              </w:rPr>
            </w:pPr>
          </w:p>
        </w:tc>
        <w:tc>
          <w:tcPr>
            <w:tcW w:w="7655" w:type="dxa"/>
            <w:shd w:val="clear" w:color="auto" w:fill="FFC000"/>
            <w:vAlign w:val="center"/>
          </w:tcPr>
          <w:p w14:paraId="3F398EE0" w14:textId="77777777" w:rsidR="00FF1E38" w:rsidRPr="00FF1E38" w:rsidRDefault="00FF1E38" w:rsidP="00FF1E38">
            <w:pPr>
              <w:spacing w:after="0" w:line="240" w:lineRule="auto"/>
              <w:ind w:left="0" w:right="0" w:firstLine="0"/>
              <w:jc w:val="left"/>
              <w:rPr>
                <w:rFonts w:ascii="Times New Roman" w:hAnsi="Times New Roman" w:cs="Times New Roman"/>
                <w:sz w:val="24"/>
                <w:szCs w:val="24"/>
              </w:rPr>
            </w:pPr>
            <w:r w:rsidRPr="00FF1E38">
              <w:rPr>
                <w:rFonts w:ascii="Times New Roman" w:hAnsi="Times New Roman" w:cs="Times New Roman"/>
                <w:sz w:val="24"/>
                <w:szCs w:val="24"/>
              </w:rPr>
              <w:t>Nacionalni spomenici i vrijednosti</w:t>
            </w:r>
          </w:p>
        </w:tc>
      </w:tr>
    </w:tbl>
    <w:p w14:paraId="712B400C" w14:textId="77777777" w:rsidR="00FF1E38" w:rsidRPr="00FF1E38" w:rsidRDefault="00FF1E38" w:rsidP="00FF1E38">
      <w:pPr>
        <w:spacing w:after="0" w:line="240" w:lineRule="auto"/>
        <w:ind w:left="0" w:right="0" w:firstLine="0"/>
        <w:rPr>
          <w:rFonts w:ascii="Times New Roman" w:hAnsi="Times New Roman" w:cs="Times New Roman"/>
          <w:sz w:val="24"/>
        </w:rPr>
      </w:pPr>
      <w:bookmarkStart w:id="101" w:name="_Toc2938620"/>
    </w:p>
    <w:p w14:paraId="23451076" w14:textId="77777777" w:rsidR="00FF1E38" w:rsidRPr="00FF1E38" w:rsidRDefault="00FF1E38" w:rsidP="00FF1E38">
      <w:pPr>
        <w:spacing w:after="160" w:line="259" w:lineRule="auto"/>
        <w:ind w:left="0" w:right="0" w:firstLine="0"/>
        <w:jc w:val="left"/>
        <w:rPr>
          <w:rFonts w:ascii="Times New Roman" w:hAnsi="Times New Roman" w:cs="Times New Roman"/>
          <w:b/>
          <w:sz w:val="24"/>
        </w:rPr>
      </w:pPr>
      <w:r w:rsidRPr="00FF1E38">
        <w:rPr>
          <w:rFonts w:ascii="Times New Roman" w:hAnsi="Times New Roman" w:cs="Times New Roman"/>
          <w:b/>
          <w:sz w:val="24"/>
        </w:rPr>
        <w:br w:type="page"/>
      </w:r>
    </w:p>
    <w:p w14:paraId="2B953B56"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lastRenderedPageBreak/>
        <w:t>6.5.3. Kontekst</w:t>
      </w:r>
      <w:bookmarkEnd w:id="101"/>
    </w:p>
    <w:p w14:paraId="17121C20" w14:textId="506A575B"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Grad Zagreb je zdravstveno središte Republike Hrvatske. U Gradu Zagrebu u 2020. zdravstvenu zaštitu pruža 18 bolnica (od toga osam kliničkih bolničkih centara, kliničkih bolnica i klinika), 169 poliklinika, četiri doma zdravlja, 231 ljekarna, dva zavoda za javno zdravstvo i 45 ustanova za njegu. Ukupno raspolaže se sa 6.</w:t>
      </w:r>
      <w:r w:rsidR="005F5224">
        <w:rPr>
          <w:rFonts w:ascii="Times New Roman" w:hAnsi="Times New Roman" w:cs="Times New Roman"/>
          <w:sz w:val="24"/>
        </w:rPr>
        <w:t>780</w:t>
      </w:r>
      <w:r w:rsidRPr="00FF1E38">
        <w:rPr>
          <w:rFonts w:ascii="Times New Roman" w:hAnsi="Times New Roman" w:cs="Times New Roman"/>
          <w:sz w:val="24"/>
        </w:rPr>
        <w:t xml:space="preserve"> bolničkih postelja. U vlasništvu Grada Zagreba nalaze se Klinička bolnica "Sveti Duh", Dječja bolnica Srebrnjak, Specijalna bolnica za plućne bolesti, Specijalna bolnica za zaštitu djece s neurorazvojnim i motoričkim smetnjama, Psihijatrijska bolnica za djecu i mladež, Psihijatrijska bolnica "Sveti Ivan", Klinika za psihijatriju Vrapče, Nastavni zavod za hitnu medicinu Grada Zagreba.</w:t>
      </w:r>
    </w:p>
    <w:p w14:paraId="2CCDAED9" w14:textId="77777777" w:rsidR="00FF1E38" w:rsidRPr="00FF1E38" w:rsidRDefault="00FF1E38" w:rsidP="00FF1E38">
      <w:pPr>
        <w:spacing w:after="0" w:line="240" w:lineRule="auto"/>
        <w:ind w:left="0" w:right="0" w:firstLine="709"/>
        <w:rPr>
          <w:rFonts w:ascii="Times New Roman" w:hAnsi="Times New Roman" w:cs="Times New Roman"/>
          <w:sz w:val="24"/>
        </w:rPr>
      </w:pPr>
    </w:p>
    <w:p w14:paraId="69B98FA6"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Broj ukupno oboljelih od zaraznih bolesti u 2020. iznosio je 48 285, što je povećanje od 141,5% u odnosu na 2019. Od bolesti COVID-19 bilo je 41 014 oboljelih, što je 84,9% ukupno oboljelih od zaraznih bolesti u 2020.</w:t>
      </w:r>
    </w:p>
    <w:p w14:paraId="0EC8C4D3" w14:textId="77777777" w:rsidR="00FF1E38" w:rsidRPr="00FF1E38" w:rsidRDefault="00FF1E38" w:rsidP="00FF1E38">
      <w:pPr>
        <w:spacing w:after="0" w:line="240" w:lineRule="auto"/>
        <w:ind w:right="0"/>
        <w:rPr>
          <w:rFonts w:ascii="Times New Roman" w:hAnsi="Times New Roman" w:cs="Times New Roman"/>
          <w:sz w:val="24"/>
        </w:rPr>
      </w:pPr>
    </w:p>
    <w:p w14:paraId="47338D3F" w14:textId="4A59A731" w:rsidR="00FF1E38" w:rsidRPr="0079263F" w:rsidRDefault="00FF1E38" w:rsidP="00FF1E38">
      <w:pPr>
        <w:spacing w:after="0" w:line="240" w:lineRule="auto"/>
        <w:ind w:left="0" w:right="0" w:firstLine="0"/>
        <w:jc w:val="center"/>
        <w:rPr>
          <w:rFonts w:ascii="Times New Roman" w:hAnsi="Times New Roman" w:cs="Times New Roman"/>
          <w:b/>
          <w:color w:val="auto"/>
          <w:sz w:val="24"/>
        </w:rPr>
      </w:pPr>
      <w:r w:rsidRPr="0079263F">
        <w:rPr>
          <w:rFonts w:ascii="Times New Roman" w:hAnsi="Times New Roman" w:cs="Times New Roman"/>
          <w:b/>
          <w:color w:val="auto"/>
          <w:sz w:val="24"/>
        </w:rPr>
        <w:t xml:space="preserve">Tablica </w:t>
      </w:r>
      <w:r w:rsidR="0079263F" w:rsidRPr="0079263F">
        <w:rPr>
          <w:rFonts w:ascii="Times New Roman" w:hAnsi="Times New Roman" w:cs="Times New Roman"/>
          <w:b/>
          <w:color w:val="auto"/>
          <w:sz w:val="24"/>
        </w:rPr>
        <w:t>95</w:t>
      </w:r>
      <w:r w:rsidRPr="0079263F">
        <w:rPr>
          <w:rFonts w:ascii="Times New Roman" w:hAnsi="Times New Roman" w:cs="Times New Roman"/>
          <w:b/>
          <w:color w:val="auto"/>
          <w:sz w:val="24"/>
        </w:rPr>
        <w:t>. Oboljeli od zaraznih bolesti na području Grada Zagreba</w:t>
      </w:r>
    </w:p>
    <w:p w14:paraId="1FBE8560" w14:textId="77777777" w:rsidR="00FF1E38" w:rsidRPr="00FF1E38" w:rsidRDefault="00FF1E38" w:rsidP="00FF1E38">
      <w:pPr>
        <w:spacing w:after="0" w:line="240" w:lineRule="auto"/>
        <w:ind w:left="0" w:right="0" w:firstLine="0"/>
        <w:rPr>
          <w:rFonts w:ascii="Times New Roman" w:hAnsi="Times New Roman" w:cs="Times New Roman"/>
          <w:sz w:val="24"/>
        </w:rPr>
      </w:pPr>
    </w:p>
    <w:p w14:paraId="6B0F8565" w14:textId="77777777" w:rsidR="00FF1E38" w:rsidRPr="00FF1E38" w:rsidRDefault="00FF1E38" w:rsidP="00FF1E38">
      <w:pPr>
        <w:spacing w:after="0" w:line="240" w:lineRule="auto"/>
        <w:ind w:left="0" w:right="0" w:firstLine="0"/>
        <w:jc w:val="center"/>
        <w:rPr>
          <w:rFonts w:ascii="Times New Roman" w:hAnsi="Times New Roman" w:cs="Times New Roman"/>
          <w:sz w:val="24"/>
        </w:rPr>
      </w:pPr>
      <w:r w:rsidRPr="00FF1E38">
        <w:rPr>
          <w:rFonts w:ascii="Times New Roman" w:hAnsi="Times New Roman" w:cs="Times New Roman"/>
          <w:noProof/>
          <w:sz w:val="24"/>
        </w:rPr>
        <w:drawing>
          <wp:inline distT="0" distB="0" distL="0" distR="0" wp14:anchorId="1DEF3295" wp14:editId="7C7440F6">
            <wp:extent cx="4474845" cy="5742940"/>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474845" cy="5742940"/>
                    </a:xfrm>
                    <a:prstGeom prst="rect">
                      <a:avLst/>
                    </a:prstGeom>
                    <a:noFill/>
                  </pic:spPr>
                </pic:pic>
              </a:graphicData>
            </a:graphic>
          </wp:inline>
        </w:drawing>
      </w:r>
    </w:p>
    <w:p w14:paraId="4D7D6582" w14:textId="77777777" w:rsidR="00FF1E38" w:rsidRPr="00FF1E38" w:rsidRDefault="00FF1E38" w:rsidP="00FF1E38">
      <w:pPr>
        <w:spacing w:after="0" w:line="240" w:lineRule="auto"/>
        <w:ind w:left="0" w:right="0" w:firstLine="0"/>
        <w:jc w:val="center"/>
        <w:rPr>
          <w:rFonts w:ascii="Times New Roman" w:eastAsia="Calibri" w:hAnsi="Times New Roman" w:cs="Times New Roman"/>
          <w:i/>
          <w:sz w:val="20"/>
          <w:szCs w:val="20"/>
        </w:rPr>
      </w:pPr>
      <w:r w:rsidRPr="00FF1E38">
        <w:rPr>
          <w:rFonts w:ascii="Times New Roman" w:eastAsia="Calibri" w:hAnsi="Times New Roman" w:cs="Times New Roman"/>
          <w:i/>
          <w:sz w:val="20"/>
          <w:szCs w:val="20"/>
        </w:rPr>
        <w:t>Izvor: Statistički ljetopis Grada Zagreba za 2021. godinu</w:t>
      </w:r>
    </w:p>
    <w:p w14:paraId="5EAC02C4"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lastRenderedPageBreak/>
        <w:t>Prema prvim rezultatima popisa stanovništva iz 2021. godine u Hrvatskoj živi 30 % stanovnika starijih od 65 godina. Demografske projekcije upućuju na porast udjela starije populacije na 21,31% u razdoblju od 2011. do 2020. godine (862.663 stanovnika). Stoga se predviđa da će uskoro u Gradu Zagrebu svaki četvrti stanovnik biti stariji od 65 godina. Pritom je udio muškaraca starije dobi (18% odnosno 354.105) manji od udjela žena starije dobi (24,4% odnosno 508.558). Udio dobne skupine iznad 65 godina u ukupnom broju stanovnika Grada Zagreba iznosi 19,67%, pri čemu udio muškaraca starije dobi iznosi 16,25% ukupne muške populacije, a udio žena starije dobi iznosi 22,74% ukupne ženske populacije</w:t>
      </w:r>
      <w:r w:rsidRPr="00FF1E38">
        <w:rPr>
          <w:rFonts w:ascii="Times New Roman" w:hAnsi="Times New Roman" w:cs="Times New Roman"/>
          <w:sz w:val="24"/>
          <w:vertAlign w:val="superscript"/>
        </w:rPr>
        <w:footnoteReference w:id="56"/>
      </w:r>
      <w:r w:rsidRPr="00FF1E38">
        <w:rPr>
          <w:rFonts w:ascii="Times New Roman" w:hAnsi="Times New Roman" w:cs="Times New Roman"/>
          <w:sz w:val="24"/>
        </w:rPr>
        <w:t>.</w:t>
      </w:r>
      <w:r w:rsidRPr="00FF1E38">
        <w:rPr>
          <w:rFonts w:ascii="Calibri" w:eastAsia="Calibri" w:hAnsi="Calibri" w:cs="Times New Roman"/>
          <w:color w:val="auto"/>
          <w:lang w:eastAsia="en-US"/>
        </w:rPr>
        <w:t xml:space="preserve"> </w:t>
      </w:r>
      <w:r w:rsidRPr="00FF1E38">
        <w:rPr>
          <w:rFonts w:ascii="Times New Roman" w:hAnsi="Times New Roman" w:cs="Times New Roman"/>
          <w:sz w:val="24"/>
        </w:rPr>
        <w:t>Demografska struktura raspodjele udjela osoba starijih od 65 godina po četvrtima Grada Zagreba pokazuje da je najveći udio osoba starijih od 65 godina u četvrti Novi Zagreb – istok (9,4%), potom na drugom mjestu u četvrti Trešnjevka – jug (8,5%), a na trećem mjestu u četvrti Maksimir (7,4%).</w:t>
      </w:r>
    </w:p>
    <w:p w14:paraId="07F3118B" w14:textId="77777777" w:rsidR="00FF1E38" w:rsidRPr="00FF1E38" w:rsidRDefault="00FF1E38" w:rsidP="00FF1E38">
      <w:pPr>
        <w:spacing w:after="0" w:line="240" w:lineRule="auto"/>
        <w:ind w:left="0" w:right="0" w:firstLine="0"/>
        <w:rPr>
          <w:rFonts w:ascii="Times New Roman" w:hAnsi="Times New Roman" w:cs="Times New Roman"/>
          <w:sz w:val="24"/>
        </w:rPr>
      </w:pPr>
    </w:p>
    <w:p w14:paraId="12F4AA09"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Gradu Zagrebu u 2017. u djelatnosti hitne medicinske pomoći bilo je ukupno 125 timova, od čega su 84 tima pružala hitnu medicinsku pomoć, a 41 tim sanitetski prijevoz. U Nastavnom zavodu za hitnu medicinu Grada Zagreba zaposlena su 84 liječnika (25 specijalista hitne medicinske pomoći i 59 doktora medicine) uz 146 zdravstvenih djelatnika s visokom, višom i srednjom stručnom spremom i 142 vozača sanitetskih i ostalih vozila. Zavod raspolaže s 94 sanitetska i četiri ostala vozila. U Gradu Zagrebu hitna medicinska pomoć osigurana je za 1.002.404 osobe. Prosječno je jedan tim hitne medicinske pomoći skrbio za 8.020 osoba.</w:t>
      </w:r>
    </w:p>
    <w:p w14:paraId="4F2BD903" w14:textId="77777777" w:rsidR="00FF1E38" w:rsidRPr="00FF1E38" w:rsidRDefault="00FF1E38" w:rsidP="00FF1E38">
      <w:pPr>
        <w:spacing w:after="0" w:line="240" w:lineRule="auto"/>
        <w:ind w:left="0" w:right="0" w:firstLine="0"/>
        <w:rPr>
          <w:rFonts w:ascii="Times New Roman" w:hAnsi="Times New Roman" w:cs="Times New Roman"/>
          <w:sz w:val="24"/>
        </w:rPr>
      </w:pPr>
    </w:p>
    <w:p w14:paraId="60311557" w14:textId="28895DA9" w:rsid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sz w:val="24"/>
          <w:u w:val="single"/>
        </w:rPr>
        <w:t>Pandemija 2009./2010.</w:t>
      </w:r>
    </w:p>
    <w:p w14:paraId="560C8EDC"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tijeku pandemije 2009./10. najviše su bile opterećene zdravstvene službe dok su druge esencijalne službe uredno funkcionirale. To se može pripisati specifičnosti zadnje pandemije u kojoj je zabilježen relativno mali broj manifestno oboljelih (oko 58.000) koji su se javili zdravstvenoj službi. Unutar zdravstvene službe, najveću opterećenost, posebice u prvom dijelu pandemije, podnijela je epidemiološka služba koja je nositelj koordinacije svih protuepidemijskih mjera prema svim dijelovima zdravstvene službe, a ujedno je i sama provodila protuepidemijske mjere obuzdavanja širenja zaraze uz aktivno traženje kontakata oboljelih i primjenu profilakse antivirusnim lijekovima. Osim toga Hrvatski zavod za javno zdravstvo koordinirao je rad svih epidemioloških službi na terenu i drugih dijelova zdravstvene zaštite uz praćenje međunarodne situacije i međunarodnu komunikaciju, dnevno praćenje kretanja bolesti u populaciji i podatke o virološkoj konfirmaciji oboljelih i dnevnu analizu epidemiološke situacije, procjenu rizika i predlaganje protuepidemijskih mjera. Također, unatoč relativno malom broju oboljelih, smještajni kapaciteti s izolacijskim uvjetima i potpomognutim održavanjem života pacijenata bili su brojčano nedostatni.</w:t>
      </w:r>
    </w:p>
    <w:p w14:paraId="3AD1691C"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Uz epidemiološku službu, najveći teret podnijela je infektološka djelatnost na čelu s Klinikom za infektivne bolesti "Dr. Fran Mihaljević", uz poseban napor djelatnika jedinica intenzivnog liječenja zbog liječenja teških komplikacija gripe poput virusne upale pluća što je bila posebnost pandemije. Dodatno, mnogi drugi bolnički odjeli pretrpjeli su opterećenost pandemijom s obzirom na to da se infekcija širila bolničkim odjelima. Pojačano je radila i primarna zdravstvena zaštita, a zbog nepostojanja dežurstva, bio je potreban i dodatan angažman hitne službe. Tijekom navedene pandemije može se identificirati glavni problem u provođenju protuepidemijskih mjera, a to je izostanak adekvatne suradnje državnih medija u prenošenju ključnih poruka populaciji. U svim medijima dominirale su poruke protivnika cijepljenja što je rezultiralo nezapamćeno niskom procijepljenošću stanovništva pandemijskim cjepivom (0,4 %).</w:t>
      </w:r>
    </w:p>
    <w:p w14:paraId="0EBA3330" w14:textId="2D01A8A0" w:rsidR="00FF1E38" w:rsidRDefault="00FF1E38" w:rsidP="00FF1E38">
      <w:pPr>
        <w:spacing w:after="0" w:line="240" w:lineRule="auto"/>
        <w:ind w:left="0" w:right="0" w:firstLine="709"/>
        <w:rPr>
          <w:rFonts w:ascii="Times New Roman" w:hAnsi="Times New Roman" w:cs="Times New Roman"/>
          <w:sz w:val="24"/>
        </w:rPr>
      </w:pPr>
    </w:p>
    <w:p w14:paraId="33AEE050" w14:textId="77777777" w:rsidR="003B5FD1" w:rsidRPr="00FF1E38" w:rsidRDefault="003B5FD1" w:rsidP="00FF1E38">
      <w:pPr>
        <w:spacing w:after="0" w:line="240" w:lineRule="auto"/>
        <w:ind w:left="0" w:right="0" w:firstLine="709"/>
        <w:rPr>
          <w:rFonts w:ascii="Times New Roman" w:hAnsi="Times New Roman" w:cs="Times New Roman"/>
          <w:sz w:val="24"/>
        </w:rPr>
      </w:pPr>
    </w:p>
    <w:p w14:paraId="7A6B3E0E" w14:textId="77777777" w:rsidR="00FF1E38" w:rsidRPr="00FF1E38" w:rsidRDefault="00FF1E38" w:rsidP="00FF1E38">
      <w:pPr>
        <w:spacing w:after="0" w:line="240" w:lineRule="auto"/>
        <w:ind w:left="0" w:right="0" w:firstLine="709"/>
        <w:rPr>
          <w:rFonts w:ascii="Times New Roman" w:hAnsi="Times New Roman" w:cs="Times New Roman"/>
          <w:sz w:val="24"/>
          <w:u w:val="single"/>
        </w:rPr>
      </w:pPr>
      <w:r w:rsidRPr="00FF1E38">
        <w:rPr>
          <w:rFonts w:ascii="Times New Roman" w:hAnsi="Times New Roman" w:cs="Times New Roman"/>
          <w:sz w:val="24"/>
          <w:u w:val="single"/>
        </w:rPr>
        <w:lastRenderedPageBreak/>
        <w:t>Pandemija 2020.-2022.</w:t>
      </w:r>
      <w:r w:rsidRPr="00FF1E38">
        <w:rPr>
          <w:rFonts w:ascii="Times New Roman" w:hAnsi="Times New Roman" w:cs="Times New Roman"/>
          <w:sz w:val="24"/>
          <w:u w:val="single"/>
          <w:vertAlign w:val="superscript"/>
        </w:rPr>
        <w:footnoteReference w:id="57"/>
      </w:r>
    </w:p>
    <w:p w14:paraId="3A26ECEC"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Nova zarazna bolest koju je Svjetska zdravstvena organizacija nazvala COVID-19 potekla je iz grada Wuhana u kineskoj provinciji Hubei u prosincu 2019. godine. Tada su kineske zdravstvene vlasti prijavile veći broj oboljelih s akutnim respiratornim sindromom nepoznatog uzročnika. U siječnju 2020. godine kineski su znanstvenici sekvencirali genom virusa i zaključili da se radi o novom soju koronavirusa do tada nezamijećenom u ljudi. Dana 25. veljače 2020. godine potvrđen je prvi slučaj zaraze virusom SARS-CoV-2 u Hrvatskoj. Ministar zdravstva odluku o proglašenju epidemije koronavirusa donio je 11. ožujka 2020. godine. Tada je i Svjetska zdravstvena organizacija službeno proglasila pandemiju bolesti COVID-19. Stožer civilne zaštite Republike Hrvatske donio je 19. ožujka 2020. godine prve Odluke kojima je na snagu stupio niz mjera u svrhu sprječavanja širenja zaraze virusom SARS-CoV-2. Zabranjena su javna okupljanja i sportski događaji, obustavljen je rad ugostiteljskih objekata i prodavaonica (osim prehrambenih i ljekarni) te rad sportskih i rekreacijskih centara. Obustavljena su i vjerska okupljanja. Na snazi je bila i privremena zabrana kretanja osoba preko graničnih prijelaza. S obzirom na tijek epidemije primjenjivane su preventivne epidemiološke mjere koje se razlikuju prema stupnju strogosti.</w:t>
      </w:r>
    </w:p>
    <w:p w14:paraId="025BFD05"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Svi virusi, pa tako i SARS-CoV-2, podložni su promjenama tijekom vremena. Većina promjena ima malen ili nikakav utjecaj na svojstva virusa. Međutim, neke promjene mogu utjecati na širenje, težinu komplikacija ili učinkovitosti cjepiva, lijekova, dijagnostičkih alata ili drugih preventivnih mjera. Zbog pojave varijanti virusa koje predstavljaju povećan rizik za javno zdravlje, Svjetska zdravstvena organizacija razlikuje varijante od interesa i zabrinjavajuće varijante virusa da bi se shodno tome moglo reagirati i donijeti odgovarajuće mjere.</w:t>
      </w:r>
    </w:p>
    <w:p w14:paraId="1E064FC8"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Zabrinjavajuće varijante virusa koje su se pojavljivale tijekom dosadašnjih pet valova pandemije jesu alfa koja je prva varijanta uopće, potekla iz Wuhana. Nakon nje slijedile su beta, gama i delta da bi se krajem 2021. pojavila varijanta omikron, odgovorna za eksplozivan rast broja pozitivnih slučajeva u Hrvatskoj. Prema podacima Hrvatskog zavoda za javno zdravstvo, zaključno s 27. srpnja 2022. godine, u Hrvatskoj je evidentirano ukupno 1.178.958 slučajeva zaraze virusom SARS-CoV-2, od čega je preminulo 16.249 osoba, dok su u samom Gradu Zagrebu evidentirana ukupno 264.709 slučaja zaraze.</w:t>
      </w:r>
    </w:p>
    <w:p w14:paraId="732F7084"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Promatrajući razdoblje otkad je službeno proglašena epidemija bolesti COVID-19 u Republici Hrvatskoj, broj umrlih od ožujka 2020. do studenoga 2021. porastao je za 14,8% u odnosu na petogodišnji prosjek za isto razdoblje, odnosno umrlih je bilo 13.474 više. U prosincu 2020. bilo je dosad najviše umrlih u Republici Hrvatskoj u jednom mjesecu, odnosno 7.608 umrlih. U odnosu na petogodišnji prosjek za isti mjesec, radi se o povećanju od 63,9% ili 2.967 umrlih osoba više.</w:t>
      </w:r>
    </w:p>
    <w:p w14:paraId="7DFC6605"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Hrvatskoj je provedena reorganizacija zdravstvenog sustava da bi se osigurali bolnički i drugi kapaciteti za liječenje oboljelih od bolesti COVID-19. Privremenim raspoređivanjem zdravstvenih radnika iz matičnih zdravstvenih ustanova u zdravstvene ustanove u kojima za to postoji potreba povećana je njihova dostupnost. Prve pacijente oboljele od bolesti COVID-19 zbrinjavala je Klinika za infektivne bolesti „Dr. Fran Mihaljević”. S obzirom na rast broja pacijenata oboljelih od bolesti COVID-19 ustrojeni su primarni respiratorno-intenzivistički centri kao središnji centri za prijem i liječenje oboljelih. Klinička bolnica Dubrava je Primarni respiratorno-intenzivistički centar za područje Grada Zagreba. U Kliničkoj bolnici Dubrava, uz teško oboljele od bolesti COVID-19, liječena je i novorođenčad iz Kliničkog bolničkog centra Zagreb s lokacije Petrova zbog razornog potresa u Gradu Zagrebu.</w:t>
      </w:r>
    </w:p>
    <w:p w14:paraId="56E2C793"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lastRenderedPageBreak/>
        <w:t>Uz simptomatsko liječenje bolesti COVID-19, prema smjernicama Ministarstva zdravstva RH za liječenje oboljelih od COVID-19 od 8. rujna 2020., dostupni su antivirusni i imunomodulacijski lijekovi, u skladu s postojećim znanstvenim dokazima i preporukama međunarodnih relevantnih institucija (Ministarstvo zdravstva, 2020; Ministarstvo zdravstva 2022)</w:t>
      </w:r>
      <w:r w:rsidRPr="00FF1E38">
        <w:rPr>
          <w:rFonts w:ascii="Times New Roman" w:hAnsi="Times New Roman" w:cs="Times New Roman"/>
          <w:sz w:val="24"/>
          <w:vertAlign w:val="superscript"/>
        </w:rPr>
        <w:footnoteReference w:id="58"/>
      </w:r>
      <w:r w:rsidRPr="00FF1E38">
        <w:rPr>
          <w:rFonts w:ascii="Times New Roman" w:hAnsi="Times New Roman" w:cs="Times New Roman"/>
          <w:sz w:val="24"/>
        </w:rPr>
        <w:t xml:space="preserve">. </w:t>
      </w:r>
    </w:p>
    <w:p w14:paraId="550F32AF"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Brojne države i svjetska znanstvena zajednica uložile su visoku razinu svih vrsta resursa i velike napore u istraživanje mogućnosti proizvodnje cjepiva protiv te bolesti. Rad brojnih istraživača u iznimno je kratkom roku rezultirao proizvodnjom cjepiva, no Hrvatska se ne može pohvaliti dobrim odazivom na cijepljenje. U Hrvatsku je 26. prosinca 2020. godine došlo prvih 9.750 doza cjepiva protiv bolesti COVID-19, a cijepljenje najugroženijih i najizloženijih osoba započelo je sljedećeg dana. Nakon početnog entuzijazma interes za cijepljenjem polako je opadao. Do kraja srpnja 2022. godine bile su dostupne tri vrste cjepiva: mRNA- (Comirnaty proizvođača Pfizer-BioNTech i Spikevax koji proizvodi Moderna), vektorska cjepiva (Vaxzevria proizvođača AstraZeneca i Janssen koji proizvodi Johnson &amp; Johnson), te proteinsko cjepivo Nuvaxovid proizvođača Niovavax.</w:t>
      </w:r>
      <w:r w:rsidRPr="00FF1E38" w:rsidDel="008411F0">
        <w:rPr>
          <w:rFonts w:ascii="Times New Roman" w:hAnsi="Times New Roman" w:cs="Times New Roman"/>
          <w:sz w:val="24"/>
        </w:rPr>
        <w:t xml:space="preserve"> </w:t>
      </w:r>
    </w:p>
    <w:p w14:paraId="43184D13" w14:textId="3644DE0F" w:rsid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Preporučuje se primarno cijepljenje protiv bolesti COVID-19 svima koji nemaju kontraindikacije za cijepljenje, a cjepivo Comirnaty čak je odobreno za djecu u dobi od pet godina i stariju. Također je preporučljivo docjepljivanje protiv bolesti COVID-19 svim osobama starijima od 18 godina. Unatoč takvim preporukama, prema podacima Hrvatskog zavoda za javno zdravstvo, zaključno s 9. siječnja 2022. godine, u Hrvatskoj je svega 53,32% stanovništva primilo dvije doze cjepiva ili jednu dozu cjepiva Janssen, a 55,91% stanovništva primilo je jednu dozu. Za Grad Zagreb statistika je donekle bolja pa je tako potpuno cijepljeno 61,8% stanovnika, a jednom dozom 65,7% stanovnika. Tablica </w:t>
      </w:r>
      <w:r w:rsidR="00FB6440">
        <w:rPr>
          <w:rFonts w:ascii="Times New Roman" w:hAnsi="Times New Roman" w:cs="Times New Roman"/>
          <w:sz w:val="24"/>
        </w:rPr>
        <w:t>96.</w:t>
      </w:r>
      <w:r w:rsidRPr="00FF1E38">
        <w:rPr>
          <w:rFonts w:ascii="Times New Roman" w:hAnsi="Times New Roman" w:cs="Times New Roman"/>
          <w:sz w:val="24"/>
        </w:rPr>
        <w:t xml:space="preserve"> prikazuje udio potpuno cijepljenog stanovništva u Hrvatskoj i pojedinim državama Europske unije, iz čega je vidljivo da je Hrvatska ispod prosjeka Europske unije po procijepljenosti.</w:t>
      </w:r>
      <w:r w:rsidRPr="00FF1E38">
        <w:rPr>
          <w:rFonts w:ascii="Calibri" w:eastAsia="Calibri" w:hAnsi="Calibri" w:cs="Times New Roman"/>
          <w:color w:val="auto"/>
          <w:lang w:eastAsia="en-US"/>
        </w:rPr>
        <w:t xml:space="preserve"> </w:t>
      </w:r>
      <w:r w:rsidRPr="00FF1E38">
        <w:rPr>
          <w:rFonts w:ascii="Times New Roman" w:hAnsi="Times New Roman" w:cs="Times New Roman"/>
          <w:sz w:val="24"/>
        </w:rPr>
        <w:t>U Hrvatskoj je do 17. kolovoza 2022. prvu docjepnu dozu (engl. booster) primilo 23,33% udio ukupnog stanovništva, što je značajno niže od prosjeka EU-a za prvi booster do 11. kolovoza 2022. koji iznosi 53,3%%.</w:t>
      </w:r>
      <w:r w:rsidRPr="00FF1E38">
        <w:rPr>
          <w:rFonts w:ascii="Times New Roman" w:hAnsi="Times New Roman" w:cs="Times New Roman"/>
          <w:sz w:val="24"/>
          <w:vertAlign w:val="superscript"/>
        </w:rPr>
        <w:footnoteReference w:id="59"/>
      </w:r>
      <w:r w:rsidRPr="00FF1E38">
        <w:rPr>
          <w:rFonts w:ascii="Calibri" w:eastAsia="Calibri" w:hAnsi="Calibri" w:cs="Times New Roman"/>
          <w:color w:val="auto"/>
          <w:lang w:eastAsia="en-US"/>
        </w:rPr>
        <w:t xml:space="preserve"> </w:t>
      </w:r>
    </w:p>
    <w:p w14:paraId="0B07B70D" w14:textId="77777777" w:rsidR="0021465A" w:rsidRPr="00FF1E38" w:rsidRDefault="0021465A" w:rsidP="00FF1E38">
      <w:pPr>
        <w:spacing w:after="0" w:line="240" w:lineRule="auto"/>
        <w:ind w:left="0" w:right="0" w:firstLine="709"/>
        <w:rPr>
          <w:rFonts w:ascii="Times New Roman" w:hAnsi="Times New Roman" w:cs="Times New Roman"/>
          <w:sz w:val="24"/>
        </w:rPr>
      </w:pPr>
    </w:p>
    <w:p w14:paraId="1651A227" w14:textId="77777777" w:rsidR="00FF1E38" w:rsidRPr="00FF1E38" w:rsidRDefault="00FF1E38" w:rsidP="00FF1E38">
      <w:pPr>
        <w:spacing w:after="0" w:line="240" w:lineRule="auto"/>
        <w:ind w:left="0" w:right="0" w:firstLine="709"/>
        <w:rPr>
          <w:rFonts w:ascii="Times New Roman" w:hAnsi="Times New Roman" w:cs="Times New Roman"/>
          <w:sz w:val="24"/>
          <w:u w:val="single"/>
        </w:rPr>
      </w:pPr>
    </w:p>
    <w:p w14:paraId="54C67A3F" w14:textId="6EEEA2B0" w:rsidR="00FF1E38" w:rsidRPr="00FF1E38" w:rsidRDefault="00FF1E38" w:rsidP="002F1B29">
      <w:pPr>
        <w:spacing w:line="240" w:lineRule="auto"/>
        <w:ind w:left="0" w:right="0" w:firstLine="0"/>
        <w:jc w:val="center"/>
        <w:rPr>
          <w:rFonts w:ascii="Times New Roman" w:hAnsi="Times New Roman" w:cs="Times New Roman"/>
          <w:sz w:val="24"/>
        </w:rPr>
      </w:pPr>
      <w:r w:rsidRPr="00182C66">
        <w:rPr>
          <w:rFonts w:ascii="Times New Roman" w:hAnsi="Times New Roman" w:cs="Times New Roman"/>
          <w:b/>
          <w:color w:val="auto"/>
          <w:sz w:val="24"/>
        </w:rPr>
        <w:t xml:space="preserve">Tablica </w:t>
      </w:r>
      <w:r w:rsidR="00182C66" w:rsidRPr="00182C66">
        <w:rPr>
          <w:rFonts w:ascii="Times New Roman" w:hAnsi="Times New Roman" w:cs="Times New Roman"/>
          <w:b/>
          <w:color w:val="auto"/>
          <w:sz w:val="24"/>
        </w:rPr>
        <w:t>96</w:t>
      </w:r>
      <w:r w:rsidRPr="00182C66">
        <w:rPr>
          <w:rFonts w:ascii="Times New Roman" w:hAnsi="Times New Roman" w:cs="Times New Roman"/>
          <w:b/>
          <w:color w:val="auto"/>
          <w:sz w:val="24"/>
        </w:rPr>
        <w:t xml:space="preserve">. Udio potpuno cijepljenog stanovništva protiv bolesti COVID-19 - kolovoz </w:t>
      </w:r>
      <w:r w:rsidRPr="00FF1E38">
        <w:rPr>
          <w:rFonts w:ascii="Times New Roman" w:hAnsi="Times New Roman" w:cs="Times New Roman"/>
          <w:b/>
          <w:color w:val="auto"/>
          <w:sz w:val="24"/>
        </w:rPr>
        <w:t>2022.</w:t>
      </w:r>
    </w:p>
    <w:tbl>
      <w:tblPr>
        <w:tblStyle w:val="TableGrid30"/>
        <w:tblW w:w="0" w:type="auto"/>
        <w:jc w:val="center"/>
        <w:tblLook w:val="04A0" w:firstRow="1" w:lastRow="0" w:firstColumn="1" w:lastColumn="0" w:noHBand="0" w:noVBand="1"/>
      </w:tblPr>
      <w:tblGrid>
        <w:gridCol w:w="1497"/>
        <w:gridCol w:w="1294"/>
        <w:gridCol w:w="1294"/>
        <w:gridCol w:w="1295"/>
        <w:gridCol w:w="1295"/>
        <w:gridCol w:w="1295"/>
      </w:tblGrid>
      <w:tr w:rsidR="00FF1E38" w:rsidRPr="00FF1E38" w14:paraId="68EB30CB" w14:textId="77777777" w:rsidTr="00DE0C9A">
        <w:trPr>
          <w:jc w:val="center"/>
        </w:trPr>
        <w:tc>
          <w:tcPr>
            <w:tcW w:w="1294" w:type="dxa"/>
            <w:shd w:val="clear" w:color="auto" w:fill="FFC000"/>
          </w:tcPr>
          <w:p w14:paraId="5D4CB90C" w14:textId="77777777" w:rsidR="00FF1E38" w:rsidRPr="00FF1E38" w:rsidRDefault="00FF1E38" w:rsidP="00FF1E38">
            <w:pPr>
              <w:spacing w:after="0" w:line="240" w:lineRule="auto"/>
              <w:ind w:left="0" w:right="0" w:firstLine="0"/>
              <w:jc w:val="center"/>
              <w:rPr>
                <w:rFonts w:ascii="Times New Roman" w:hAnsi="Times New Roman" w:cs="Times New Roman"/>
                <w:b/>
                <w:sz w:val="24"/>
                <w:szCs w:val="24"/>
              </w:rPr>
            </w:pPr>
            <w:bookmarkStart w:id="103" w:name="_Toc2938621"/>
            <w:r w:rsidRPr="00FF1E38">
              <w:rPr>
                <w:rFonts w:ascii="Times New Roman" w:hAnsi="Times New Roman" w:cs="Times New Roman"/>
                <w:b/>
                <w:sz w:val="24"/>
                <w:szCs w:val="24"/>
              </w:rPr>
              <w:t>Država</w:t>
            </w:r>
          </w:p>
        </w:tc>
        <w:tc>
          <w:tcPr>
            <w:tcW w:w="1294" w:type="dxa"/>
            <w:shd w:val="clear" w:color="auto" w:fill="FFC000"/>
          </w:tcPr>
          <w:p w14:paraId="6363EC5B" w14:textId="77777777" w:rsidR="00FF1E38" w:rsidRPr="00FF1E38" w:rsidRDefault="00FF1E38" w:rsidP="00FF1E38">
            <w:pPr>
              <w:spacing w:after="0" w:line="240" w:lineRule="auto"/>
              <w:ind w:left="0" w:right="0" w:firstLine="0"/>
              <w:jc w:val="center"/>
              <w:rPr>
                <w:rFonts w:ascii="Times New Roman" w:hAnsi="Times New Roman" w:cs="Times New Roman"/>
                <w:b/>
                <w:sz w:val="24"/>
                <w:szCs w:val="24"/>
              </w:rPr>
            </w:pPr>
            <w:r w:rsidRPr="00FF1E38">
              <w:rPr>
                <w:rFonts w:ascii="Times New Roman" w:hAnsi="Times New Roman" w:cs="Times New Roman"/>
                <w:b/>
                <w:sz w:val="24"/>
                <w:szCs w:val="24"/>
              </w:rPr>
              <w:t>Hrvatska</w:t>
            </w:r>
          </w:p>
        </w:tc>
        <w:tc>
          <w:tcPr>
            <w:tcW w:w="1294" w:type="dxa"/>
            <w:shd w:val="clear" w:color="auto" w:fill="FFC000"/>
          </w:tcPr>
          <w:p w14:paraId="0B6F4796" w14:textId="77777777" w:rsidR="00FF1E38" w:rsidRPr="00FF1E38" w:rsidRDefault="00FF1E38" w:rsidP="00FF1E38">
            <w:pPr>
              <w:spacing w:after="0" w:line="240" w:lineRule="auto"/>
              <w:ind w:left="0" w:right="0" w:firstLine="0"/>
              <w:jc w:val="center"/>
              <w:rPr>
                <w:rFonts w:ascii="Times New Roman" w:hAnsi="Times New Roman" w:cs="Times New Roman"/>
                <w:b/>
                <w:sz w:val="24"/>
                <w:szCs w:val="24"/>
              </w:rPr>
            </w:pPr>
            <w:r w:rsidRPr="00FF1E38">
              <w:rPr>
                <w:rFonts w:ascii="Times New Roman" w:hAnsi="Times New Roman" w:cs="Times New Roman"/>
                <w:b/>
                <w:sz w:val="24"/>
                <w:szCs w:val="24"/>
              </w:rPr>
              <w:t>Austrija</w:t>
            </w:r>
          </w:p>
        </w:tc>
        <w:tc>
          <w:tcPr>
            <w:tcW w:w="1295" w:type="dxa"/>
            <w:shd w:val="clear" w:color="auto" w:fill="FFC000"/>
          </w:tcPr>
          <w:p w14:paraId="471A07E1" w14:textId="77777777" w:rsidR="00FF1E38" w:rsidRPr="00FF1E38" w:rsidRDefault="00FF1E38" w:rsidP="00FF1E38">
            <w:pPr>
              <w:spacing w:after="0" w:line="240" w:lineRule="auto"/>
              <w:ind w:left="0" w:right="0" w:firstLine="0"/>
              <w:jc w:val="center"/>
              <w:rPr>
                <w:rFonts w:ascii="Times New Roman" w:hAnsi="Times New Roman" w:cs="Times New Roman"/>
                <w:b/>
                <w:sz w:val="24"/>
                <w:szCs w:val="24"/>
              </w:rPr>
            </w:pPr>
            <w:r w:rsidRPr="00FF1E38">
              <w:rPr>
                <w:rFonts w:ascii="Times New Roman" w:hAnsi="Times New Roman" w:cs="Times New Roman"/>
                <w:b/>
                <w:sz w:val="24"/>
                <w:szCs w:val="24"/>
              </w:rPr>
              <w:t>Njemačka</w:t>
            </w:r>
          </w:p>
        </w:tc>
        <w:tc>
          <w:tcPr>
            <w:tcW w:w="1295" w:type="dxa"/>
            <w:shd w:val="clear" w:color="auto" w:fill="FFC000"/>
          </w:tcPr>
          <w:p w14:paraId="4CAD1A07" w14:textId="77777777" w:rsidR="00FF1E38" w:rsidRPr="00FF1E38" w:rsidRDefault="00FF1E38" w:rsidP="00FF1E38">
            <w:pPr>
              <w:spacing w:after="0" w:line="240" w:lineRule="auto"/>
              <w:ind w:left="0" w:right="0" w:firstLine="0"/>
              <w:jc w:val="center"/>
              <w:rPr>
                <w:rFonts w:ascii="Times New Roman" w:hAnsi="Times New Roman" w:cs="Times New Roman"/>
                <w:b/>
                <w:sz w:val="24"/>
                <w:szCs w:val="24"/>
              </w:rPr>
            </w:pPr>
            <w:r w:rsidRPr="00FF1E38">
              <w:rPr>
                <w:rFonts w:ascii="Times New Roman" w:hAnsi="Times New Roman" w:cs="Times New Roman"/>
                <w:b/>
                <w:sz w:val="24"/>
                <w:szCs w:val="24"/>
              </w:rPr>
              <w:t>EU</w:t>
            </w:r>
          </w:p>
        </w:tc>
        <w:tc>
          <w:tcPr>
            <w:tcW w:w="1295" w:type="dxa"/>
            <w:shd w:val="clear" w:color="auto" w:fill="FFC000"/>
          </w:tcPr>
          <w:p w14:paraId="27CC6FD6" w14:textId="77777777" w:rsidR="00FF1E38" w:rsidRPr="00FF1E38" w:rsidRDefault="00FF1E38" w:rsidP="00FF1E38">
            <w:pPr>
              <w:spacing w:after="0" w:line="240" w:lineRule="auto"/>
              <w:ind w:left="0" w:right="0" w:firstLine="0"/>
              <w:jc w:val="center"/>
              <w:rPr>
                <w:rFonts w:ascii="Times New Roman" w:hAnsi="Times New Roman" w:cs="Times New Roman"/>
                <w:b/>
                <w:sz w:val="24"/>
                <w:szCs w:val="24"/>
              </w:rPr>
            </w:pPr>
            <w:r w:rsidRPr="00FF1E38">
              <w:rPr>
                <w:rFonts w:ascii="Times New Roman" w:hAnsi="Times New Roman" w:cs="Times New Roman"/>
                <w:b/>
                <w:sz w:val="24"/>
                <w:szCs w:val="24"/>
              </w:rPr>
              <w:t>Italija</w:t>
            </w:r>
          </w:p>
        </w:tc>
      </w:tr>
      <w:tr w:rsidR="00FF1E38" w:rsidRPr="00FF1E38" w14:paraId="6EE1FA5B" w14:textId="77777777" w:rsidTr="00DE0C9A">
        <w:trPr>
          <w:jc w:val="center"/>
        </w:trPr>
        <w:tc>
          <w:tcPr>
            <w:tcW w:w="1294" w:type="dxa"/>
            <w:shd w:val="clear" w:color="auto" w:fill="FFC000"/>
          </w:tcPr>
          <w:p w14:paraId="21BBC399" w14:textId="77777777" w:rsidR="00FF1E38" w:rsidRPr="00FF1E38" w:rsidRDefault="00FF1E38" w:rsidP="00FF1E38">
            <w:pPr>
              <w:spacing w:after="0" w:line="240" w:lineRule="auto"/>
              <w:ind w:left="0" w:right="0" w:firstLine="0"/>
              <w:jc w:val="center"/>
              <w:rPr>
                <w:rFonts w:ascii="Times New Roman" w:hAnsi="Times New Roman" w:cs="Times New Roman"/>
                <w:b/>
                <w:sz w:val="24"/>
                <w:szCs w:val="24"/>
              </w:rPr>
            </w:pPr>
            <w:r w:rsidRPr="00FF1E38">
              <w:rPr>
                <w:rFonts w:ascii="Times New Roman" w:hAnsi="Times New Roman" w:cs="Times New Roman"/>
                <w:b/>
                <w:sz w:val="24"/>
                <w:szCs w:val="24"/>
              </w:rPr>
              <w:t>Udio potpuno cijepljenog stanovništva</w:t>
            </w:r>
          </w:p>
        </w:tc>
        <w:tc>
          <w:tcPr>
            <w:tcW w:w="1294" w:type="dxa"/>
          </w:tcPr>
          <w:p w14:paraId="3B4B94FB" w14:textId="77777777" w:rsidR="00FF1E38" w:rsidRPr="00FF1E38" w:rsidRDefault="00FF1E38" w:rsidP="00FF1E38">
            <w:pPr>
              <w:spacing w:after="0" w:line="240" w:lineRule="auto"/>
              <w:ind w:left="0" w:right="0" w:firstLine="0"/>
              <w:jc w:val="center"/>
              <w:rPr>
                <w:rFonts w:ascii="Times New Roman" w:hAnsi="Times New Roman" w:cs="Times New Roman"/>
                <w:b/>
                <w:sz w:val="24"/>
                <w:szCs w:val="24"/>
              </w:rPr>
            </w:pPr>
          </w:p>
          <w:p w14:paraId="5D9F3733" w14:textId="77777777" w:rsidR="00FF1E38" w:rsidRPr="00FF1E38" w:rsidRDefault="00FF1E38" w:rsidP="00FF1E38">
            <w:pPr>
              <w:spacing w:after="0" w:line="240" w:lineRule="auto"/>
              <w:ind w:left="0" w:right="0" w:firstLine="0"/>
              <w:jc w:val="center"/>
              <w:rPr>
                <w:rFonts w:ascii="Times New Roman" w:hAnsi="Times New Roman" w:cs="Times New Roman"/>
                <w:b/>
                <w:sz w:val="24"/>
                <w:szCs w:val="24"/>
              </w:rPr>
            </w:pPr>
            <w:r w:rsidRPr="00FF1E38">
              <w:rPr>
                <w:rFonts w:ascii="Times New Roman" w:hAnsi="Times New Roman" w:cs="Times New Roman"/>
                <w:b/>
                <w:sz w:val="24"/>
                <w:szCs w:val="24"/>
              </w:rPr>
              <w:t>55,6%</w:t>
            </w:r>
          </w:p>
        </w:tc>
        <w:tc>
          <w:tcPr>
            <w:tcW w:w="1294" w:type="dxa"/>
          </w:tcPr>
          <w:p w14:paraId="40158D73" w14:textId="77777777" w:rsidR="00FF1E38" w:rsidRPr="00FF1E38" w:rsidRDefault="00FF1E38" w:rsidP="00FF1E38">
            <w:pPr>
              <w:spacing w:after="0" w:line="240" w:lineRule="auto"/>
              <w:ind w:left="0" w:right="0" w:firstLine="0"/>
              <w:jc w:val="center"/>
              <w:rPr>
                <w:rFonts w:ascii="Times New Roman" w:hAnsi="Times New Roman" w:cs="Times New Roman"/>
                <w:b/>
                <w:sz w:val="24"/>
                <w:szCs w:val="24"/>
              </w:rPr>
            </w:pPr>
          </w:p>
          <w:p w14:paraId="15E03A2A" w14:textId="77777777" w:rsidR="00FF1E38" w:rsidRPr="00FF1E38" w:rsidRDefault="00FF1E38" w:rsidP="00FF1E38">
            <w:pPr>
              <w:spacing w:after="0" w:line="240" w:lineRule="auto"/>
              <w:ind w:left="0" w:right="0" w:firstLine="0"/>
              <w:jc w:val="center"/>
              <w:rPr>
                <w:rFonts w:ascii="Times New Roman" w:hAnsi="Times New Roman" w:cs="Times New Roman"/>
                <w:b/>
                <w:sz w:val="24"/>
                <w:szCs w:val="24"/>
              </w:rPr>
            </w:pPr>
            <w:r w:rsidRPr="00FF1E38">
              <w:rPr>
                <w:rFonts w:ascii="Times New Roman" w:hAnsi="Times New Roman" w:cs="Times New Roman"/>
                <w:b/>
                <w:sz w:val="24"/>
                <w:szCs w:val="24"/>
              </w:rPr>
              <w:t>74,7%</w:t>
            </w:r>
          </w:p>
        </w:tc>
        <w:tc>
          <w:tcPr>
            <w:tcW w:w="1295" w:type="dxa"/>
          </w:tcPr>
          <w:p w14:paraId="56241860" w14:textId="77777777" w:rsidR="00FF1E38" w:rsidRPr="00FF1E38" w:rsidRDefault="00FF1E38" w:rsidP="00FF1E38">
            <w:pPr>
              <w:spacing w:after="0" w:line="240" w:lineRule="auto"/>
              <w:ind w:left="0" w:right="0" w:firstLine="0"/>
              <w:jc w:val="center"/>
              <w:rPr>
                <w:rFonts w:ascii="Times New Roman" w:hAnsi="Times New Roman" w:cs="Times New Roman"/>
                <w:b/>
                <w:sz w:val="24"/>
                <w:szCs w:val="24"/>
              </w:rPr>
            </w:pPr>
          </w:p>
          <w:p w14:paraId="41C800C7" w14:textId="77777777" w:rsidR="00FF1E38" w:rsidRPr="00FF1E38" w:rsidRDefault="00FF1E38" w:rsidP="00FF1E38">
            <w:pPr>
              <w:spacing w:after="0" w:line="240" w:lineRule="auto"/>
              <w:ind w:left="0" w:right="0" w:firstLine="0"/>
              <w:jc w:val="center"/>
              <w:rPr>
                <w:rFonts w:ascii="Times New Roman" w:hAnsi="Times New Roman" w:cs="Times New Roman"/>
                <w:b/>
                <w:sz w:val="24"/>
                <w:szCs w:val="24"/>
              </w:rPr>
            </w:pPr>
            <w:r w:rsidRPr="00FF1E38">
              <w:rPr>
                <w:rFonts w:ascii="Times New Roman" w:hAnsi="Times New Roman" w:cs="Times New Roman"/>
                <w:b/>
                <w:sz w:val="24"/>
                <w:szCs w:val="24"/>
              </w:rPr>
              <w:t>77,9%</w:t>
            </w:r>
          </w:p>
        </w:tc>
        <w:tc>
          <w:tcPr>
            <w:tcW w:w="1295" w:type="dxa"/>
          </w:tcPr>
          <w:p w14:paraId="30D2AD55" w14:textId="77777777" w:rsidR="00FF1E38" w:rsidRPr="00FF1E38" w:rsidRDefault="00FF1E38" w:rsidP="00FF1E38">
            <w:pPr>
              <w:spacing w:after="0" w:line="240" w:lineRule="auto"/>
              <w:ind w:left="0" w:right="0" w:firstLine="0"/>
              <w:jc w:val="center"/>
              <w:rPr>
                <w:rFonts w:ascii="Times New Roman" w:hAnsi="Times New Roman" w:cs="Times New Roman"/>
                <w:b/>
                <w:sz w:val="24"/>
                <w:szCs w:val="24"/>
              </w:rPr>
            </w:pPr>
          </w:p>
          <w:p w14:paraId="1D5063F5" w14:textId="77777777" w:rsidR="00FF1E38" w:rsidRPr="00FF1E38" w:rsidRDefault="00FF1E38" w:rsidP="00FF1E38">
            <w:pPr>
              <w:spacing w:after="0" w:line="240" w:lineRule="auto"/>
              <w:ind w:left="0" w:right="0" w:firstLine="0"/>
              <w:jc w:val="center"/>
              <w:rPr>
                <w:rFonts w:ascii="Times New Roman" w:hAnsi="Times New Roman" w:cs="Times New Roman"/>
                <w:b/>
                <w:sz w:val="24"/>
                <w:szCs w:val="24"/>
              </w:rPr>
            </w:pPr>
            <w:r w:rsidRPr="00FF1E38">
              <w:rPr>
                <w:rFonts w:ascii="Times New Roman" w:hAnsi="Times New Roman" w:cs="Times New Roman"/>
                <w:b/>
                <w:sz w:val="24"/>
                <w:szCs w:val="24"/>
              </w:rPr>
              <w:t>72,8%</w:t>
            </w:r>
          </w:p>
        </w:tc>
        <w:tc>
          <w:tcPr>
            <w:tcW w:w="1295" w:type="dxa"/>
          </w:tcPr>
          <w:p w14:paraId="30176BD2" w14:textId="77777777" w:rsidR="00FF1E38" w:rsidRPr="00FF1E38" w:rsidRDefault="00FF1E38" w:rsidP="00FF1E38">
            <w:pPr>
              <w:spacing w:after="0" w:line="240" w:lineRule="auto"/>
              <w:ind w:left="0" w:right="0" w:firstLine="0"/>
              <w:jc w:val="center"/>
              <w:rPr>
                <w:rFonts w:ascii="Times New Roman" w:hAnsi="Times New Roman" w:cs="Times New Roman"/>
                <w:b/>
                <w:sz w:val="24"/>
                <w:szCs w:val="24"/>
              </w:rPr>
            </w:pPr>
          </w:p>
          <w:p w14:paraId="0D902B83" w14:textId="77777777" w:rsidR="00FF1E38" w:rsidRPr="00FF1E38" w:rsidRDefault="00FF1E38" w:rsidP="00FF1E38">
            <w:pPr>
              <w:spacing w:after="0" w:line="240" w:lineRule="auto"/>
              <w:ind w:left="0" w:right="0" w:firstLine="0"/>
              <w:jc w:val="center"/>
              <w:rPr>
                <w:rFonts w:ascii="Times New Roman" w:hAnsi="Times New Roman" w:cs="Times New Roman"/>
                <w:b/>
                <w:sz w:val="24"/>
                <w:szCs w:val="24"/>
              </w:rPr>
            </w:pPr>
            <w:r w:rsidRPr="00FF1E38">
              <w:rPr>
                <w:rFonts w:ascii="Times New Roman" w:hAnsi="Times New Roman" w:cs="Times New Roman"/>
                <w:b/>
                <w:sz w:val="24"/>
                <w:szCs w:val="24"/>
              </w:rPr>
              <w:t>80,2%</w:t>
            </w:r>
          </w:p>
        </w:tc>
      </w:tr>
    </w:tbl>
    <w:p w14:paraId="6E4E76FB" w14:textId="77777777" w:rsidR="00FF1E38" w:rsidRPr="00FF1E38" w:rsidRDefault="00FF1E38" w:rsidP="00FF1E38">
      <w:pPr>
        <w:spacing w:after="0" w:line="240" w:lineRule="auto"/>
        <w:ind w:left="0" w:right="0" w:firstLine="709"/>
        <w:jc w:val="center"/>
        <w:rPr>
          <w:rFonts w:ascii="Times New Roman" w:hAnsi="Times New Roman" w:cs="Times New Roman"/>
          <w:b/>
          <w:i/>
          <w:sz w:val="20"/>
          <w:szCs w:val="20"/>
        </w:rPr>
      </w:pPr>
      <w:r w:rsidRPr="00FF1E38">
        <w:rPr>
          <w:rFonts w:ascii="Times New Roman" w:hAnsi="Times New Roman" w:cs="Times New Roman"/>
          <w:b/>
          <w:i/>
          <w:sz w:val="20"/>
          <w:szCs w:val="20"/>
        </w:rPr>
        <w:t>Izvor: ECDC, 2022. European Centre for Disease Prevention and Control, Covid-19 Vaccine tracker. https://qap.ecdc.europa.eu/public/extensions/COVID-19/vaccine-tracker.html#uptake-tab</w:t>
      </w:r>
    </w:p>
    <w:p w14:paraId="53377A30" w14:textId="77777777" w:rsidR="00FF1E38" w:rsidRPr="00FF1E38" w:rsidRDefault="00FF1E38" w:rsidP="00FF1E38">
      <w:pPr>
        <w:spacing w:after="0" w:line="240" w:lineRule="auto"/>
        <w:ind w:left="0" w:right="0" w:firstLine="709"/>
        <w:rPr>
          <w:rFonts w:ascii="Times New Roman" w:hAnsi="Times New Roman" w:cs="Times New Roman"/>
          <w:b/>
          <w:sz w:val="24"/>
        </w:rPr>
      </w:pPr>
    </w:p>
    <w:p w14:paraId="125758C9" w14:textId="77777777" w:rsidR="00FF1E38" w:rsidRPr="00FF1E38" w:rsidRDefault="00FF1E38" w:rsidP="00FF1E38">
      <w:pPr>
        <w:spacing w:after="0" w:line="240" w:lineRule="auto"/>
        <w:ind w:left="0" w:right="0" w:firstLine="709"/>
        <w:rPr>
          <w:rFonts w:ascii="Times New Roman" w:hAnsi="Times New Roman" w:cs="Times New Roman"/>
          <w:b/>
          <w:sz w:val="24"/>
        </w:rPr>
      </w:pPr>
    </w:p>
    <w:p w14:paraId="3BF5C63A"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lastRenderedPageBreak/>
        <w:t>6.5.4. Uzrok</w:t>
      </w:r>
      <w:bookmarkEnd w:id="103"/>
    </w:p>
    <w:p w14:paraId="5EC2632E"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Epidemija je pojavljivanje većeg broja oboljelih od iste bolesti na istom području. Pandemija je epidemija koja se širi na jedno ili više područja, npr. na više kontinenata. Virus influence ili gripe uzrokuje svake godine veći ili manji pobol stanovništva pretežito u zimskom razdoblju u obliku epidemije. Bolest se manifestira teškim općim simptomima i pretežito respiratornim smetnjama i razvojem eventualnih komplikacija pa čak i smrtnim ishodom. Bolest traje desetak dana, ponekad i duže. Pacijent tijekom bolesti nije radno sposoban. Virusi influence tijekom međupandemijskog razdoblja (epidemiološki je to razdoblje zadnjih nekoliko godina nakon posljednje epidemije), koji cirkuliraju među stanovništvom srodni su virusima iz proteklih pandemija. Svake 2-3 godine selektiraju se sojevi koji se dovoljno razlikuju od virusa na koji u stanovništvu postoji visoka razina kolektivnog imuniteta, te su sposobni uzrokovati epidemiju među stanovništvom.</w:t>
      </w:r>
    </w:p>
    <w:p w14:paraId="6263B9D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Kada se uspostavi cirkulacija virusa s posve različitim podtipom osnovnog površinskog antigena na koji stanovništvo nema ranije stečena protutijela, nastane pandemija. Ovakva se promjena virusa u cirkulaciji zove "</w:t>
      </w:r>
      <w:r w:rsidRPr="00FF1E38">
        <w:rPr>
          <w:rFonts w:ascii="Times New Roman" w:hAnsi="Times New Roman" w:cs="Times New Roman"/>
          <w:i/>
          <w:sz w:val="24"/>
        </w:rPr>
        <w:t>antigenski shift</w:t>
      </w:r>
      <w:r w:rsidRPr="00FF1E38">
        <w:rPr>
          <w:rFonts w:ascii="Times New Roman" w:hAnsi="Times New Roman" w:cs="Times New Roman"/>
          <w:sz w:val="24"/>
        </w:rPr>
        <w:t>". Nekada se smatralo da se pandemije javljaju u pravilnim intervalima, ali to mišljenje je prevladano. Vrijeme od otkrića novog podtipa virusa i punog razvoja pandemije može biti nedovoljno za razvoj cjepiva. Bez obzira na nemogućnost pravovremene nabave cjepiva za sprječavanje pandemije, svaka aktivnost na pripremanju za pandemiju je korisna. U pretpostavci za ovaj scenarij uzima se i povijesno iskustvo za pandemije 1918., tad je Belgija pretrpjela tri pandemijska vala sa stankama od tri mjeseca, odnosno u vrijeme pandemije Hongkonške gripe 1968./69. prošlo je osamnaest mjeseci od izolacije pandemijskog virusa u Hong Kongu do punog razvoja pandemije u Europi.</w:t>
      </w:r>
    </w:p>
    <w:p w14:paraId="26DC8C86"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Tipične epidemije gripe uzrokuju porast incidencije pneumonije, što se očituje većim brojem hospitalizacija i smrtnosti. Starije osobe i osobe s kroničnim bolestima najsklonije su razvoju komplikacija gripe te dojenčad. Prioritetna važnost nadzora nad zaraznim bolestima istaknuta je i u zakonskim dokumentima Europske unije, a još ju više naglašava najnovija globalna povećana opasnost od moguće zlonamjerne uporabe uzročnika zaraznih bolesti kao što je anthrax, variola i dr., a k tome još i pojava u Europi novih ili novootkrivenih bolesti npr. pandemijske gripe A(H1N)/pdm2009 ili tropskih arbovirusnih bolesti koje prenose novonaseljeni komarci (chikungunya, dengue i dr.), što se također u 2010. dogodilo i u Hrvatskoj, zatim pojava epidemije bolesti Zapadnog Nila 2012. i 2013. u Hrvatskoj. Godine 2014. i 2015. obilježile su zarazne bolesti koje su prekogranična prijetnja zdravlju kao što su Ebola virusna bolest i Zika virusna bolest koje su potakle brojne mjere pripravnosti u našoj zemlji. Najnovija pandemija bolesti COVID-19 koja je proglašena 2020. godine još uvijek traje i znanstvenici se ne usude prognozirati kada će završiti i koje će biti ukupne posljedice.</w:t>
      </w:r>
    </w:p>
    <w:p w14:paraId="7607C558"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Za potrebe izrade scenarija uzrok pandemije je virus influence koji je iznenada mutirao te nije bio sastavni dio uobičajenog sezonskog cjepiva protiv gripe koje je odlukom Ministarstva zdravstva nabavljeno za odgovarajuću sezonu gripe po preporuci Svjetske zdravstvene organizacije.</w:t>
      </w:r>
    </w:p>
    <w:p w14:paraId="232ACAEA" w14:textId="77777777" w:rsidR="00FF1E38" w:rsidRPr="00FF1E38" w:rsidRDefault="00FF1E38" w:rsidP="00FF1E38">
      <w:pPr>
        <w:spacing w:after="0" w:line="240" w:lineRule="auto"/>
        <w:ind w:right="0"/>
        <w:rPr>
          <w:rFonts w:ascii="Times New Roman" w:hAnsi="Times New Roman" w:cs="Times New Roman"/>
          <w:sz w:val="24"/>
        </w:rPr>
      </w:pPr>
    </w:p>
    <w:p w14:paraId="3BB735EB"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t>6.5.4.1. Razvoj događaja koji prethodi velikoj nesreći</w:t>
      </w:r>
    </w:p>
    <w:p w14:paraId="7E9C5A13"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S obzirom na epidemiološku situaciju u većem dijelu svijeta, farmaceutske tvrtke ne uspijevaju proizvesti dovoljne količine cjepiva, a dolazi i do nestašice lijekova za liječenje gripe i njezinih komplikacija. Ovakva situacija postavlja dodatne zahtjeve zdravstvenim službama. Prema postojećem Nacionalnom planu za pandemijsku gripu u Hrvatskoj je proglašen 6. stadij, te sukladno njemu pokrenute su sve predviđene aktivnosti. Radi lakšeg savladavanja "lažnih uzbuna", koje su posljedica poboljšanog virološkog nadzora nad kretanjem virusa influence, definirani su stadiji koji olakšavaju pripremu za pandemiju.</w:t>
      </w:r>
    </w:p>
    <w:p w14:paraId="4F3885B6"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S epidemiološkog stajališta negativne posljedice mogu se očekivati zbog: eventualnih masovnih migracija i masovnih okupljanja stanovništva; improviziranog i često skučenog </w:t>
      </w:r>
      <w:r w:rsidRPr="00FF1E38">
        <w:rPr>
          <w:rFonts w:ascii="Times New Roman" w:hAnsi="Times New Roman" w:cs="Times New Roman"/>
          <w:sz w:val="24"/>
        </w:rPr>
        <w:lastRenderedPageBreak/>
        <w:t>privremenog smještaja ljudi; oskudne opskrbe pitkom vodom; oskudne i nekvalitetne prehrane; improvizirane dispozicije ljudskih i ostalih otpadnih tvari i nedostatne osobne higijene. Jednako tako, neadekvatno odlaganje komunalnog otpada može biti uzročnik raznih zaraza. Epidemija može nastati samostalno, tj. da nije povezana s nikakvim drugim nepogodama, a može nastati i u kombinaciji s nekim drugim elementarnim nepogodama (potres, poplava i sl.). Dodatni negativni utjecaj na stanovništvo, uz sve ranije naznačeno, izazvao bi eventualni nedostatak dovoljnog broja medicinskog osoblja i lijekova za sprječavanje i saniranje posljedica zaraze.</w:t>
      </w:r>
    </w:p>
    <w:p w14:paraId="466E65DE" w14:textId="77777777" w:rsidR="00FF1E38" w:rsidRPr="00FF1E38" w:rsidRDefault="00FF1E38" w:rsidP="00FF1E38">
      <w:pPr>
        <w:spacing w:after="0" w:line="240" w:lineRule="auto"/>
        <w:ind w:right="0"/>
        <w:rPr>
          <w:rFonts w:ascii="Times New Roman" w:hAnsi="Times New Roman" w:cs="Times New Roman"/>
          <w:sz w:val="24"/>
        </w:rPr>
      </w:pPr>
    </w:p>
    <w:p w14:paraId="1446CBD2"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t>6.5.4.2. Okidač koji je uzrokovao veliku nesreću</w:t>
      </w:r>
    </w:p>
    <w:p w14:paraId="7B05E66A"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Iznenadna i neočekivana genska mutacija virusa influence i mogućnost njegova povoljnog i brzog širenja osnovna je pretpostavka kao okidač za nastanak pandemije koji u bilo kojem trenutku može izmaći kontroli i pretvoriti se u događaj katastrofalnih razmjera. Tri su teorije o nastanku pandemijskih virusa:</w:t>
      </w:r>
    </w:p>
    <w:p w14:paraId="2C657A61"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genetskom rekombinacijom između ljudskih i životinjskih virusa influence</w:t>
      </w:r>
    </w:p>
    <w:p w14:paraId="4C14971B"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izravnim prijenosom virusa sa životinja na ljude, te</w:t>
      </w:r>
    </w:p>
    <w:p w14:paraId="4CF5C5AB" w14:textId="77777777" w:rsidR="00FF1E38" w:rsidRPr="00FF1E38" w:rsidRDefault="00FF1E38" w:rsidP="00FF1E38">
      <w:pPr>
        <w:spacing w:after="0" w:line="240" w:lineRule="auto"/>
        <w:ind w:left="879" w:right="0" w:hanging="170"/>
        <w:rPr>
          <w:rFonts w:ascii="Times New Roman" w:hAnsi="Times New Roman" w:cs="Times New Roman"/>
          <w:sz w:val="24"/>
        </w:rPr>
      </w:pPr>
      <w:r w:rsidRPr="00FF1E38">
        <w:rPr>
          <w:rFonts w:ascii="Times New Roman" w:hAnsi="Times New Roman" w:cs="Times New Roman"/>
          <w:sz w:val="24"/>
          <w:u w:color="000000"/>
        </w:rPr>
        <w:t>-</w:t>
      </w:r>
      <w:r w:rsidRPr="00FF1E38">
        <w:rPr>
          <w:rFonts w:ascii="Times New Roman" w:hAnsi="Times New Roman" w:cs="Times New Roman"/>
          <w:sz w:val="24"/>
          <w:u w:color="000000"/>
        </w:rPr>
        <w:tab/>
      </w:r>
      <w:r w:rsidRPr="00FF1E38">
        <w:rPr>
          <w:rFonts w:ascii="Times New Roman" w:hAnsi="Times New Roman" w:cs="Times New Roman"/>
          <w:sz w:val="24"/>
        </w:rPr>
        <w:t>javljanjem novih virusa, odnosno ulaskom ranije postojećih virusa u stanovništvo s neprepoznatog rezervoara</w:t>
      </w:r>
      <w:r w:rsidRPr="00FF1E38">
        <w:rPr>
          <w:rFonts w:ascii="Times New Roman" w:hAnsi="Times New Roman" w:cs="Times New Roman"/>
          <w:sz w:val="24"/>
          <w:vertAlign w:val="superscript"/>
        </w:rPr>
        <w:footnoteReference w:id="60"/>
      </w:r>
      <w:r w:rsidRPr="00FF1E38">
        <w:rPr>
          <w:rFonts w:ascii="Times New Roman" w:hAnsi="Times New Roman" w:cs="Times New Roman"/>
          <w:sz w:val="24"/>
        </w:rPr>
        <w:t>.</w:t>
      </w:r>
    </w:p>
    <w:p w14:paraId="0BAD0951"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Teorija rekombinacije je najprihvatljivija za pojavu A(H3N2) virusa koji je uzrokovao pandemiju 1968./69. Teorija izravnog prijenosa najvjerojatnije je objašnjenje za pojavu A(H1N1) virusa koji je uzrokovao pandemiju 1918. (tzv. Španjolska gripa) dok je treća teorija najvjerojatnije objašnjenje za ponovnu pojavu A(H1N1) virusa, uzročnika "ruske pandemije" 1977. koji je gotovo identičan virusu izoliranom 1950.</w:t>
      </w:r>
      <w:r w:rsidRPr="00FF1E38">
        <w:rPr>
          <w:rFonts w:ascii="Times New Roman" w:hAnsi="Times New Roman" w:cs="Times New Roman"/>
          <w:strike/>
          <w:sz w:val="24"/>
        </w:rPr>
        <w:t xml:space="preserve"> </w:t>
      </w:r>
      <w:r w:rsidRPr="00FF1E38">
        <w:rPr>
          <w:rFonts w:ascii="Times New Roman" w:hAnsi="Times New Roman" w:cs="Times New Roman"/>
          <w:sz w:val="24"/>
        </w:rPr>
        <w:t>Čak i u odsutnosti epidemije, pojava novog podtipa virusa gripe, uz tek nekoliko inficiranih ljudi, može zbog straha od mogućnosti nastanka pandemije, postaviti ogromne zahtjeve pred zdravstveni sustav i državnu upravu.</w:t>
      </w:r>
    </w:p>
    <w:p w14:paraId="084B13E3"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Dodatna nepovoljna okolnost odnosi se na širenje lažnih vijesti o štetnosti cjepiva što dovodi do ponovne pojave davno iskorijenjenih bolesti u populaciji, ali i povećanja rizika od težih posljedica epidemija/pandemija zaraznih bolesti poput gripe (veća smrtnost, više komplikacija bolesti poput pneumonija).</w:t>
      </w:r>
    </w:p>
    <w:p w14:paraId="4346AC6E"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Pandemijska gripa prvo će se pojaviti izvan Hrvatske, pretpostavlja se najvjerojatnije na području Azije gdje stanovništvo živi u bliskom kontaktu sa životinjama i gdje će najvjerojatnije i nastati i početi se širiti pandemijski soj. Informacija o pojavi pandemijskog soja gripe bit će poznate prije pojave prvih slučajeva bolesti u Europi, a time i u Hrvatskoj. Pojava prvih slučajeva bolesti bila bi povezana s osobama, putnicima koje su u kontakt s uzročnikom bolesti došle izvan granica Hrvatske. Samim time prve pojave bolesti mogle bi se pojaviti u gradovima koji imaju zračne i pomorske luke s međunarodnim vezama.</w:t>
      </w:r>
    </w:p>
    <w:p w14:paraId="0951BDF3" w14:textId="77777777" w:rsidR="00FF1E38" w:rsidRPr="00FF1E38" w:rsidRDefault="00FF1E38" w:rsidP="00FF1E38">
      <w:pPr>
        <w:spacing w:after="0" w:line="240" w:lineRule="auto"/>
        <w:ind w:right="0"/>
        <w:rPr>
          <w:rFonts w:ascii="Times New Roman" w:hAnsi="Times New Roman" w:cs="Times New Roman"/>
          <w:sz w:val="24"/>
        </w:rPr>
      </w:pPr>
    </w:p>
    <w:p w14:paraId="1FF0B96B" w14:textId="77777777" w:rsidR="00FF1E38" w:rsidRPr="00FF1E38" w:rsidRDefault="00FF1E38" w:rsidP="00FF1E38">
      <w:pPr>
        <w:spacing w:after="0" w:line="240" w:lineRule="auto"/>
        <w:ind w:left="0" w:right="0" w:firstLine="709"/>
        <w:rPr>
          <w:rFonts w:ascii="Times New Roman" w:hAnsi="Times New Roman" w:cs="Times New Roman"/>
          <w:b/>
          <w:sz w:val="24"/>
        </w:rPr>
      </w:pPr>
      <w:bookmarkStart w:id="104" w:name="_Toc2938622"/>
      <w:r w:rsidRPr="00FF1E38">
        <w:rPr>
          <w:rFonts w:ascii="Times New Roman" w:hAnsi="Times New Roman" w:cs="Times New Roman"/>
          <w:b/>
          <w:sz w:val="24"/>
        </w:rPr>
        <w:t>6.5.5. Opis događaja</w:t>
      </w:r>
      <w:bookmarkEnd w:id="104"/>
    </w:p>
    <w:p w14:paraId="710602CD" w14:textId="77777777" w:rsidR="00FF1E38" w:rsidRPr="00FF1E38" w:rsidRDefault="00FF1E38" w:rsidP="00FF1E38">
      <w:pPr>
        <w:spacing w:after="0" w:line="240" w:lineRule="auto"/>
        <w:ind w:left="0" w:right="0" w:firstLine="709"/>
        <w:rPr>
          <w:rFonts w:ascii="Times New Roman" w:hAnsi="Times New Roman" w:cs="Times New Roman"/>
          <w:i/>
          <w:sz w:val="24"/>
        </w:rPr>
      </w:pPr>
      <w:r w:rsidRPr="00FF1E38">
        <w:rPr>
          <w:rFonts w:ascii="Times New Roman" w:hAnsi="Times New Roman" w:cs="Times New Roman"/>
          <w:i/>
          <w:sz w:val="24"/>
          <w:u w:val="single" w:color="000000"/>
        </w:rPr>
        <w:t>Napomena</w:t>
      </w:r>
      <w:r w:rsidRPr="00FF1E38">
        <w:rPr>
          <w:rFonts w:ascii="Times New Roman" w:hAnsi="Times New Roman" w:cs="Times New Roman"/>
          <w:i/>
          <w:sz w:val="24"/>
        </w:rPr>
        <w:t>:</w:t>
      </w:r>
      <w:r w:rsidRPr="00FF1E38">
        <w:rPr>
          <w:rFonts w:ascii="Times New Roman" w:hAnsi="Times New Roman" w:cs="Times New Roman"/>
          <w:b/>
          <w:i/>
          <w:sz w:val="24"/>
        </w:rPr>
        <w:t xml:space="preserve"> </w:t>
      </w:r>
      <w:r w:rsidRPr="00FF1E38">
        <w:rPr>
          <w:rFonts w:ascii="Times New Roman" w:hAnsi="Times New Roman" w:cs="Times New Roman"/>
          <w:i/>
          <w:sz w:val="24"/>
        </w:rPr>
        <w:t>Scenarij je orijentacijski i opisuje najgoru moguću situaciju. Mala je vjerojatnost da sve okolnosti budu najnepovoljnije, ali se u scenariju opisuje skup svih mogućih a malo izglednih događaja povezanih s prijetnjom. Cilj tako postavljenog scenarija je potaknuti na promišljanje o preventivnim mjerama koje je potrebno poduzeti kako bi se smanjio rizik i ojačala spremnost.</w:t>
      </w:r>
    </w:p>
    <w:p w14:paraId="0EA676E0"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Iznenadna i neočekivana genska mutacija virusa influence nedavno je zabilježena na području Azije odakle se vrlo brzo proširila na američki kontinent. Unatoč rizičnoj epidemiološkoj situaciji u većem dijelu svijeta, odlučeno je kako će se svjetsko prvenstvo u rukometu ipak održati na području Europe. Uspjeh hrvatskih rukometaša nije izostao, pa je dogovoreno da se zlatni rukometaši dočekaju na glavnom zagrebačkom trgu unatoč upozorenjima pojedinih epidemiologa da bi javni doček zbog epidemiološke situacije u </w:t>
      </w:r>
      <w:r w:rsidRPr="00FF1E38">
        <w:rPr>
          <w:rFonts w:ascii="Times New Roman" w:hAnsi="Times New Roman" w:cs="Times New Roman"/>
          <w:sz w:val="24"/>
        </w:rPr>
        <w:lastRenderedPageBreak/>
        <w:t>nastajanju trebalo otkazati. Na doček je osim ljudi iz čitave Hrvatske, došlo i puno Hrvata iz dijaspore, pa tako i s područja SAD-a u kojem je zabilježeno više slučajeva nove visokosmrtonosne gripe. Na dočeku se okupilo oko 100 000 ljudi.</w:t>
      </w:r>
    </w:p>
    <w:p w14:paraId="232B215B"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Nekoliko dana nakon dočeka, zabilježeno je stotinjak slučajeva teško oboljelih. Nakon četiri tjedna zarazni odjeli bolnica su puni, rad državnih službi je otežan zbog velikog broja ljudi na bolovanju, a i osnovne i srednje škole su zbog epidemije ispražnjene. Zbog novonastale situacije ukinuta je nastava, zabranjeno je održavanje javnih skupova (predstave, koncerti, sportski događaji) do poboljšanja epidemiološke situacije, a jednako tako građanima se preporučuje da nose osobnu zaštitnu opremu poput zaštitnih maski, izoliraju se u slučaju pojave simptoma bolesti, obavijeste o pojavi oboljenja bliske kontakte i/ili nadležne zdravstvene službe,  kako bi spriječili prijenos i daljnje širenje influence.</w:t>
      </w:r>
    </w:p>
    <w:p w14:paraId="48AB5974" w14:textId="77777777" w:rsidR="00FF1E38" w:rsidRPr="00FF1E38" w:rsidRDefault="00FF1E38" w:rsidP="00FF1E38">
      <w:pPr>
        <w:spacing w:after="0" w:line="240" w:lineRule="auto"/>
        <w:ind w:right="0"/>
        <w:rPr>
          <w:rFonts w:ascii="Times New Roman" w:hAnsi="Times New Roman" w:cs="Times New Roman"/>
          <w:sz w:val="24"/>
        </w:rPr>
      </w:pPr>
    </w:p>
    <w:p w14:paraId="70939639"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t>6.5.5.1. Posljedice</w:t>
      </w:r>
    </w:p>
    <w:p w14:paraId="68F6F5C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Epidemija pandemijske gripe pojavila se u siječnju i trajala je devet tjedana. S obzirom na to da bi pandemijsku epidemiju uzrokovao novi virus, s kojim stanovništvo prethodno nije bilo u kontaktu, može se očekivati veći pobol i smrtnost. Može se očekivati od 200.000 do 320.000 oboljelih na području Grada Zagreba. Od gripe i njenih posljedica moglo bi umrijeti od 200 do 650 ljudi. Broj osoba koje će se cijepiti ovisi i o nekim paramedicinskim čimbenicima, poput percepcije javnosti i zdravstvenih djelatnika o ozbiljnosti pandemije i percepciji učinkovitosti cjepiva što znatno utječe na odaziv stanovništva na cijepljenje. Dodatna otežavajuća okolnost uključuje uske kontakte oboljeloga od pandemijske gripe - osobe koje su njegovale oboljeloga, kućni kontakti, izravni kontakt sa sluznicama ili infektivnim izlučevinama dišnog ili probavnog sustava (kapljice sline uslijed kašlja, kihanja, stolica i dr.) visoko suspektnog ili potvrđenog slučaja.</w:t>
      </w:r>
    </w:p>
    <w:p w14:paraId="6540A54B"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Zdravstvene ustanove i odgovorno medicinsko osoblje treba voditi računa o potrebi stvaranja zaliha adekvatnih količina lijekova za simptomatsku terapiju i pribora poput igala, šprica. Također treba predvidjeti svu potrebnu opremu i lijekove za intenzivno liječenje bolesnika te pravovremeno planirati osobnu zaštitnu opremu. Osobna zaštitna oprema namijenjena je zdravstvenim radnicima koji pružaju neposrednu zdravstvenu zaštitu, uključujući epidemiološki tim koji će provoditi terenska ispitivanja. Procjenjuje se da za ovu i druge izvanredne situacije treba pohraniti 500.000 kompleta osobne zaštitne opreme za jednokratnu uporabu procijenjene vrijednosti 50.000.000,00 kn. </w:t>
      </w:r>
    </w:p>
    <w:p w14:paraId="7C1216B1"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Najveći broj oboljelih je u mlađim radno sposobnim dobnim skupinama (do 80 % oboljelih), za razliku od sezonske gripe koja pogađa starije, kronične bolesnike. Oboljelo je 30 % stanovništva tijekom trajanja epidemije, s vrhuncem epidemije otprilike 30 dana od početka epidemije, tj. sredinom mjeseca veljače, nakon čega slijedi postupan pad u obolijevanju. Tijekom epidemijskog događaja od 9 tjedana ukupno je oboljelo 320.000 osoba, od kojih je pomoć liječnika primarne zdravstvene zaštite zatražilo njih 25.000 (12 %). Zbog razvoja komplikacija bolesti, 7.500 (2,6 %) oboljelih zahtijevalo je bolničko liječenje. U jedinicama intenzivnog liječenja liječeno je 150 osoba oboljelih od gripe. Od gripe i njenih komplikacija kroz 9 tjedana umrlo je ukupno 580 od svih oboljelih osoba (smrtnost od 0,2 %).</w:t>
      </w:r>
    </w:p>
    <w:p w14:paraId="5CFD8C7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Posljedice proistekle iz pandemijskog scenarija gripe mogu se sagledati s aspekta:</w:t>
      </w:r>
    </w:p>
    <w:p w14:paraId="0601CCE8"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t>a)</w:t>
      </w:r>
      <w:r w:rsidRPr="00FF1E38">
        <w:rPr>
          <w:rFonts w:ascii="Times New Roman" w:hAnsi="Times New Roman" w:cs="Times New Roman"/>
          <w:sz w:val="24"/>
          <w:u w:color="000000"/>
        </w:rPr>
        <w:tab/>
      </w:r>
      <w:r w:rsidRPr="00FF1E38">
        <w:rPr>
          <w:rFonts w:ascii="Times New Roman" w:hAnsi="Times New Roman" w:cs="Times New Roman"/>
          <w:sz w:val="24"/>
        </w:rPr>
        <w:t>socijalnih faktora, koji uključuju veličinu naše populacije, distribuciju visokorizičnih grupa u njoj te ponašanje i životni stil određenih grupa u populaciji;</w:t>
      </w:r>
    </w:p>
    <w:p w14:paraId="0E1E8B71"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t>b)</w:t>
      </w:r>
      <w:r w:rsidRPr="00FF1E38">
        <w:rPr>
          <w:rFonts w:ascii="Times New Roman" w:hAnsi="Times New Roman" w:cs="Times New Roman"/>
          <w:sz w:val="24"/>
          <w:u w:color="000000"/>
        </w:rPr>
        <w:tab/>
      </w:r>
      <w:r w:rsidRPr="00FF1E38">
        <w:rPr>
          <w:rFonts w:ascii="Times New Roman" w:hAnsi="Times New Roman" w:cs="Times New Roman"/>
          <w:sz w:val="24"/>
        </w:rPr>
        <w:t>tehničkih i znanstvenih faktora, koji podrazumijevaju implementaciju nadzora i mogućnosti da se identificira sumnjivi slučaj koji bi mogao oboljeti, mogućnosti i mehanizmi pristupačnosti teško dostupnim određenim grupama ljudi i mogućnost i prihvatljivost efektivnih preventivnih mjera, odnosno provedba profilaktičke te kasnije potporne terapije;</w:t>
      </w:r>
    </w:p>
    <w:p w14:paraId="44D83981"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lastRenderedPageBreak/>
        <w:t>c)</w:t>
      </w:r>
      <w:r w:rsidRPr="00FF1E38">
        <w:rPr>
          <w:rFonts w:ascii="Times New Roman" w:hAnsi="Times New Roman" w:cs="Times New Roman"/>
          <w:sz w:val="24"/>
          <w:u w:color="000000"/>
        </w:rPr>
        <w:tab/>
      </w:r>
      <w:r w:rsidRPr="00FF1E38">
        <w:rPr>
          <w:rFonts w:ascii="Times New Roman" w:hAnsi="Times New Roman" w:cs="Times New Roman"/>
          <w:sz w:val="24"/>
        </w:rPr>
        <w:t>ekonomskih faktora, koji podrazumijevaju u opisu izravne i neizravne financijske troškove kao što su utjecaj na kućni proračun, utjecaj na gradski proračun, troškovi hospitalizacija te potencijalni utjecaj na trgovinu i turizam i ostale zavisne i nezavisne grane ekonomske struke;</w:t>
      </w:r>
    </w:p>
    <w:p w14:paraId="3622E055"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t>d)</w:t>
      </w:r>
      <w:r w:rsidRPr="00FF1E38">
        <w:rPr>
          <w:rFonts w:ascii="Times New Roman" w:hAnsi="Times New Roman" w:cs="Times New Roman"/>
          <w:sz w:val="24"/>
          <w:u w:color="000000"/>
        </w:rPr>
        <w:tab/>
      </w:r>
      <w:r w:rsidRPr="00FF1E38">
        <w:rPr>
          <w:rFonts w:ascii="Times New Roman" w:hAnsi="Times New Roman" w:cs="Times New Roman"/>
          <w:sz w:val="24"/>
        </w:rPr>
        <w:t>etičkih faktora, koji podrazumijevaju osobnu privatnost, upotrebu neodobrenih proizvoda, utjecaj na transparentnost; te</w:t>
      </w:r>
    </w:p>
    <w:p w14:paraId="7304E7E1"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t>e)</w:t>
      </w:r>
      <w:r w:rsidRPr="00FF1E38">
        <w:rPr>
          <w:rFonts w:ascii="Times New Roman" w:hAnsi="Times New Roman" w:cs="Times New Roman"/>
          <w:sz w:val="24"/>
          <w:u w:color="000000"/>
        </w:rPr>
        <w:tab/>
      </w:r>
      <w:r w:rsidRPr="00FF1E38">
        <w:rPr>
          <w:rFonts w:ascii="Times New Roman" w:hAnsi="Times New Roman" w:cs="Times New Roman"/>
          <w:sz w:val="24"/>
        </w:rPr>
        <w:t>političkih faktora, koji podrazumijevaju reakciju i odgovor zakonskih nosilaca u zdravstvu i medija, kapacitiranost Vlade i ostalih nižih struktura u odgovoru na upravljanje u krizi.</w:t>
      </w:r>
    </w:p>
    <w:p w14:paraId="1E409C20"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Ozbiljnost događaja pandemije te posljedice uvelike ovise o pitanjima koje svaka pandemija postavlja:</w:t>
      </w:r>
    </w:p>
    <w:p w14:paraId="2FB234FE"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t>a)</w:t>
      </w:r>
      <w:r w:rsidRPr="00FF1E38">
        <w:rPr>
          <w:rFonts w:ascii="Times New Roman" w:hAnsi="Times New Roman" w:cs="Times New Roman"/>
          <w:sz w:val="24"/>
          <w:u w:color="000000"/>
        </w:rPr>
        <w:tab/>
      </w:r>
      <w:r w:rsidRPr="00FF1E38">
        <w:rPr>
          <w:rFonts w:ascii="Times New Roman" w:hAnsi="Times New Roman" w:cs="Times New Roman"/>
          <w:sz w:val="24"/>
        </w:rPr>
        <w:t>Koliko učestalo se pojavljuju novi slučajevi ?</w:t>
      </w:r>
    </w:p>
    <w:p w14:paraId="62A7C50B"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t>b)</w:t>
      </w:r>
      <w:r w:rsidRPr="00FF1E38">
        <w:rPr>
          <w:rFonts w:ascii="Times New Roman" w:hAnsi="Times New Roman" w:cs="Times New Roman"/>
          <w:sz w:val="24"/>
          <w:u w:color="000000"/>
        </w:rPr>
        <w:tab/>
      </w:r>
      <w:r w:rsidRPr="00FF1E38">
        <w:rPr>
          <w:rFonts w:ascii="Times New Roman" w:hAnsi="Times New Roman" w:cs="Times New Roman"/>
          <w:sz w:val="24"/>
        </w:rPr>
        <w:t>Koje grupe ljudi će teže i ozbiljnije oboljeti ili imaju veći rizik za umiranje?</w:t>
      </w:r>
    </w:p>
    <w:p w14:paraId="593F2FDB"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t>c)</w:t>
      </w:r>
      <w:r w:rsidRPr="00FF1E38">
        <w:rPr>
          <w:rFonts w:ascii="Times New Roman" w:hAnsi="Times New Roman" w:cs="Times New Roman"/>
          <w:sz w:val="24"/>
          <w:u w:color="000000"/>
        </w:rPr>
        <w:tab/>
      </w:r>
      <w:r w:rsidRPr="00FF1E38">
        <w:rPr>
          <w:rFonts w:ascii="Times New Roman" w:hAnsi="Times New Roman" w:cs="Times New Roman"/>
          <w:sz w:val="24"/>
        </w:rPr>
        <w:t>Koji oblici oboljenja i komplikacija se javljaju tijekom epidemije?</w:t>
      </w:r>
    </w:p>
    <w:p w14:paraId="681BBDDF"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t>d)</w:t>
      </w:r>
      <w:r w:rsidRPr="00FF1E38">
        <w:rPr>
          <w:rFonts w:ascii="Times New Roman" w:hAnsi="Times New Roman" w:cs="Times New Roman"/>
          <w:sz w:val="24"/>
          <w:u w:color="000000"/>
        </w:rPr>
        <w:tab/>
        <w:t xml:space="preserve">Je </w:t>
      </w:r>
      <w:r w:rsidRPr="00FF1E38">
        <w:rPr>
          <w:rFonts w:ascii="Times New Roman" w:hAnsi="Times New Roman" w:cs="Times New Roman"/>
          <w:sz w:val="24"/>
        </w:rPr>
        <w:t>li virus influence osjetljiv na antiviralnu terapiju?</w:t>
      </w:r>
    </w:p>
    <w:p w14:paraId="0B5001A3"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t>e)</w:t>
      </w:r>
      <w:r w:rsidRPr="00FF1E38">
        <w:rPr>
          <w:rFonts w:ascii="Times New Roman" w:hAnsi="Times New Roman" w:cs="Times New Roman"/>
          <w:sz w:val="24"/>
          <w:u w:color="000000"/>
        </w:rPr>
        <w:tab/>
      </w:r>
      <w:r w:rsidRPr="00FF1E38">
        <w:rPr>
          <w:rFonts w:ascii="Times New Roman" w:hAnsi="Times New Roman" w:cs="Times New Roman"/>
          <w:sz w:val="24"/>
        </w:rPr>
        <w:t>Koliko će uopće po procjeni ljudi oboljeti od gripe?</w:t>
      </w:r>
    </w:p>
    <w:p w14:paraId="175B73BA"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t>f)</w:t>
      </w:r>
      <w:r w:rsidRPr="00FF1E38">
        <w:rPr>
          <w:rFonts w:ascii="Times New Roman" w:hAnsi="Times New Roman" w:cs="Times New Roman"/>
          <w:sz w:val="24"/>
          <w:u w:color="000000"/>
        </w:rPr>
        <w:tab/>
      </w:r>
      <w:r w:rsidRPr="00FF1E38">
        <w:rPr>
          <w:rFonts w:ascii="Times New Roman" w:hAnsi="Times New Roman" w:cs="Times New Roman"/>
          <w:sz w:val="24"/>
        </w:rPr>
        <w:t>Kakav će biti utjecaj na zdravstveni sektor u cjelini uključujući i cjelokupan angažman kompletnog zdravstvenog sustava?</w:t>
      </w:r>
    </w:p>
    <w:p w14:paraId="2A73722D" w14:textId="77777777" w:rsidR="00FF1E38" w:rsidRPr="00FF1E38" w:rsidRDefault="00FF1E38" w:rsidP="00FF1E38">
      <w:pPr>
        <w:spacing w:after="0" w:line="240" w:lineRule="auto"/>
        <w:ind w:left="993" w:right="0" w:hanging="284"/>
        <w:rPr>
          <w:rFonts w:ascii="Times New Roman" w:hAnsi="Times New Roman" w:cs="Times New Roman"/>
          <w:sz w:val="24"/>
        </w:rPr>
      </w:pPr>
      <w:r w:rsidRPr="00FF1E38">
        <w:rPr>
          <w:rFonts w:ascii="Times New Roman" w:hAnsi="Times New Roman" w:cs="Times New Roman"/>
          <w:sz w:val="24"/>
          <w:u w:color="000000"/>
        </w:rPr>
        <w:t>g)</w:t>
      </w:r>
      <w:r w:rsidRPr="00FF1E38">
        <w:rPr>
          <w:rFonts w:ascii="Times New Roman" w:hAnsi="Times New Roman" w:cs="Times New Roman"/>
          <w:sz w:val="24"/>
          <w:u w:color="000000"/>
        </w:rPr>
        <w:tab/>
      </w:r>
      <w:r w:rsidRPr="00FF1E38">
        <w:rPr>
          <w:rFonts w:ascii="Times New Roman" w:hAnsi="Times New Roman" w:cs="Times New Roman"/>
          <w:sz w:val="24"/>
        </w:rPr>
        <w:t>Utjecaj na proračun.</w:t>
      </w:r>
    </w:p>
    <w:p w14:paraId="29EFE664"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Tijekom zadnje pandemije može se identificirati glavni problem u provođenju protuepidemijskih mjera, a to je masovno širenje dezinformacija društvenim mrežama što je rezultiralo nepovjerenjem građana prema sigurnosti cjepiva. Očekivani broj osoba koje će primiti postekspozicijsku zaštitu na samom početku pandemije je oko 1.000 kontakata oboljelih. Međutim, postekspozicijsku profilaksu nije moguće provoditi kod svih kontakata tijekom cijelog trajanja pandemije te će se na temelju epidemiološke procjene situacije i preporuka epidemiologa u tijeku pandemije ona ograničiti na osobe s najvećim rizikom od smrti. Preekspozicijska profilaksa dolazi u obzir za one operativne službe koje nužno moraju funkcionirati u slučaju pandemije, posebice na početku. Provodi se do maksimalno 6 tjedana. Epidemiološka simulacija predviđa najmanje 62.000 osoba za provođenje nužnog antivirusnog liječenja. To je ukupno, najmanje 62.000 terapijskih doza koje treba držati u pričuvi.</w:t>
      </w:r>
    </w:p>
    <w:p w14:paraId="73664D16" w14:textId="75A8AFFC" w:rsidR="00FF1E38" w:rsidRPr="00F633B1" w:rsidRDefault="00FF1E38" w:rsidP="00FF1E38">
      <w:pPr>
        <w:spacing w:after="0" w:line="240" w:lineRule="auto"/>
        <w:ind w:left="0" w:right="0" w:firstLine="709"/>
        <w:rPr>
          <w:rFonts w:ascii="Times New Roman" w:hAnsi="Times New Roman" w:cs="Times New Roman"/>
          <w:color w:val="auto"/>
          <w:sz w:val="24"/>
        </w:rPr>
      </w:pPr>
      <w:r w:rsidRPr="00FF1E38">
        <w:rPr>
          <w:rFonts w:ascii="Times New Roman" w:hAnsi="Times New Roman" w:cs="Times New Roman"/>
          <w:sz w:val="24"/>
        </w:rPr>
        <w:t xml:space="preserve">Opterećenost postojećeg zdravstvenog sustava bremenom pandemijskog vala gripe zahtijevat će barem dvostruko veću angažiranost postojećeg kapaciteta ljudstva odnosno resursa. S obzirom na broj osoba oboljelih od gripe te broj osoba koje će koristiti zdravstvene resurse (liječnike opće medicine i bolnice), dolazi do pojačanog pritiska na zdravstvene (i socijalne službe), pa je potrebno osigurati organizacijske prilagodbe sukladno postojećim planovima korištenja kapaciteta potrebnih za povećan priljev oboljelih osoba. Bit će osiguran nesmetan rad najvažnijih službi (zdravstvo, vatrogasci, policija, vojska) sukladno planovima provedbe preventivnih mjera. Smještaj u bolnicama oboljelih od gripe je u trenutku pandemijskog vrhunca kapacitetom ograničen pa je potreban dodatan smještajni kapacitet u drugim ustanovama poput umirovljeničkih domova, dječjih vrtića, škola, hotela, poljskih bolnica i sličnih objekata u trenutku pandemijskog vrhunca gripe jer sam zdravstveni sektor ne može odgovoriti na pritisak i opterećenost koji je stvoren valom oboljelih. U kalkulaciji treba uzeti u obzir i angažman ovih dodatnih kapaciteta za smještaj oboljelih kojima je potrebna medicinska skrb. Nadalje, posljedice pandemije gripe obuhvaćaju i sve aspekte proizašle iz provedbe protuepidemijskih mjera koji se odnose na socijalne navike stanovništva poput restrikcije putovanja, zatvaranja granice za putovanja, zatvaranja škola i drugih ustanova te izračun posljedičnih šteta ovakvih događaja također treba uzeti u obzir. Budući da je Zagreb najveći grad i zdravstveno središte Republike Hrvatske i da tijekom epidemija četvrtina oboljelih pripada Gradu Zagrebu i Zagrebačkoj županiji, navode se prioritetne skupine </w:t>
      </w:r>
      <w:r w:rsidRPr="00F633B1">
        <w:rPr>
          <w:rFonts w:ascii="Times New Roman" w:hAnsi="Times New Roman" w:cs="Times New Roman"/>
          <w:color w:val="auto"/>
          <w:sz w:val="24"/>
        </w:rPr>
        <w:t xml:space="preserve">stanovništva na razini Republike Hrvatske (Tablica </w:t>
      </w:r>
      <w:r w:rsidR="00F633B1" w:rsidRPr="00F633B1">
        <w:rPr>
          <w:rFonts w:ascii="Times New Roman" w:hAnsi="Times New Roman" w:cs="Times New Roman"/>
          <w:color w:val="auto"/>
          <w:sz w:val="24"/>
        </w:rPr>
        <w:t>97</w:t>
      </w:r>
      <w:r w:rsidRPr="00F633B1">
        <w:rPr>
          <w:rFonts w:ascii="Times New Roman" w:hAnsi="Times New Roman" w:cs="Times New Roman"/>
          <w:color w:val="auto"/>
          <w:sz w:val="24"/>
        </w:rPr>
        <w:t>.)</w:t>
      </w:r>
    </w:p>
    <w:p w14:paraId="36A83F20" w14:textId="4C1CDC33" w:rsidR="00FF1E38" w:rsidRPr="00F633B1" w:rsidRDefault="00FF1E38" w:rsidP="002F1B29">
      <w:pPr>
        <w:spacing w:line="240" w:lineRule="auto"/>
        <w:ind w:left="0" w:right="0" w:firstLine="0"/>
        <w:jc w:val="center"/>
        <w:rPr>
          <w:rFonts w:ascii="Times New Roman" w:hAnsi="Times New Roman" w:cs="Times New Roman"/>
          <w:b/>
          <w:color w:val="auto"/>
          <w:sz w:val="24"/>
        </w:rPr>
      </w:pPr>
      <w:r w:rsidRPr="00F633B1">
        <w:rPr>
          <w:rFonts w:ascii="Times New Roman" w:hAnsi="Times New Roman" w:cs="Times New Roman"/>
          <w:b/>
          <w:color w:val="auto"/>
          <w:sz w:val="24"/>
        </w:rPr>
        <w:lastRenderedPageBreak/>
        <w:t xml:space="preserve">Tablica </w:t>
      </w:r>
      <w:r w:rsidR="00F633B1" w:rsidRPr="00F633B1">
        <w:rPr>
          <w:rFonts w:ascii="Times New Roman" w:hAnsi="Times New Roman" w:cs="Times New Roman"/>
          <w:b/>
          <w:color w:val="auto"/>
          <w:sz w:val="24"/>
        </w:rPr>
        <w:t>97</w:t>
      </w:r>
      <w:r w:rsidRPr="00F633B1">
        <w:rPr>
          <w:rFonts w:ascii="Times New Roman" w:hAnsi="Times New Roman" w:cs="Times New Roman"/>
          <w:b/>
          <w:color w:val="auto"/>
          <w:sz w:val="24"/>
        </w:rPr>
        <w:t>. Prioritetne skupine stanovništva na razini RH</w:t>
      </w:r>
    </w:p>
    <w:tbl>
      <w:tblPr>
        <w:tblW w:w="9072" w:type="dxa"/>
        <w:tblLayout w:type="fixed"/>
        <w:tblCellMar>
          <w:left w:w="57" w:type="dxa"/>
          <w:right w:w="57" w:type="dxa"/>
        </w:tblCellMar>
        <w:tblLook w:val="01E0" w:firstRow="1" w:lastRow="1" w:firstColumn="1" w:lastColumn="1" w:noHBand="0" w:noVBand="0"/>
      </w:tblPr>
      <w:tblGrid>
        <w:gridCol w:w="1044"/>
        <w:gridCol w:w="4825"/>
        <w:gridCol w:w="1418"/>
        <w:gridCol w:w="1785"/>
      </w:tblGrid>
      <w:tr w:rsidR="00FF1E38" w:rsidRPr="00FF1E38" w14:paraId="45641364" w14:textId="77777777" w:rsidTr="00DE0C9A">
        <w:trPr>
          <w:cantSplit/>
          <w:trHeight w:val="284"/>
          <w:tblHeader/>
        </w:trPr>
        <w:tc>
          <w:tcPr>
            <w:tcW w:w="1044"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6F8A8B75"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b/>
                <w:color w:val="auto"/>
                <w:sz w:val="21"/>
                <w:szCs w:val="21"/>
                <w:lang w:eastAsia="en-US"/>
              </w:rPr>
              <w:t>Prioritet</w:t>
            </w:r>
          </w:p>
        </w:tc>
        <w:tc>
          <w:tcPr>
            <w:tcW w:w="4825"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311509BB"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b/>
                <w:color w:val="auto"/>
                <w:sz w:val="21"/>
                <w:szCs w:val="21"/>
                <w:lang w:eastAsia="en-US"/>
              </w:rPr>
              <w:t>Skupina</w:t>
            </w:r>
          </w:p>
        </w:tc>
        <w:tc>
          <w:tcPr>
            <w:tcW w:w="1418"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0F231916"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b/>
                <w:color w:val="auto"/>
                <w:sz w:val="21"/>
                <w:szCs w:val="21"/>
                <w:lang w:eastAsia="en-US"/>
              </w:rPr>
              <w:t>Broj</w:t>
            </w:r>
          </w:p>
        </w:tc>
        <w:tc>
          <w:tcPr>
            <w:tcW w:w="1785" w:type="dxa"/>
            <w:tcBorders>
              <w:top w:val="single" w:sz="5" w:space="0" w:color="000000"/>
              <w:left w:val="single" w:sz="5" w:space="0" w:color="000000"/>
              <w:bottom w:val="single" w:sz="5" w:space="0" w:color="000000"/>
              <w:right w:val="single" w:sz="5" w:space="0" w:color="000000"/>
            </w:tcBorders>
            <w:shd w:val="clear" w:color="auto" w:fill="FFC000"/>
            <w:vAlign w:val="center"/>
          </w:tcPr>
          <w:p w14:paraId="508625C7"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b/>
                <w:color w:val="auto"/>
                <w:sz w:val="21"/>
                <w:szCs w:val="21"/>
                <w:lang w:eastAsia="en-US"/>
              </w:rPr>
              <w:t>Kumulativni broj</w:t>
            </w:r>
          </w:p>
        </w:tc>
      </w:tr>
      <w:tr w:rsidR="00FF1E38" w:rsidRPr="00FF1E38" w14:paraId="4B9DEBA5" w14:textId="77777777" w:rsidTr="00DE0C9A">
        <w:trPr>
          <w:cantSplit/>
          <w:trHeight w:val="284"/>
        </w:trPr>
        <w:tc>
          <w:tcPr>
            <w:tcW w:w="1044" w:type="dxa"/>
            <w:tcBorders>
              <w:top w:val="single" w:sz="5" w:space="0" w:color="000000"/>
              <w:left w:val="single" w:sz="5" w:space="0" w:color="000000"/>
              <w:bottom w:val="single" w:sz="5" w:space="0" w:color="000000"/>
              <w:right w:val="single" w:sz="5" w:space="0" w:color="000000"/>
            </w:tcBorders>
            <w:shd w:val="clear" w:color="auto" w:fill="FFC000"/>
          </w:tcPr>
          <w:p w14:paraId="2B48C3D6"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b/>
                <w:color w:val="auto"/>
                <w:sz w:val="21"/>
                <w:szCs w:val="21"/>
                <w:lang w:eastAsia="en-US"/>
              </w:rPr>
              <w:t>1.</w:t>
            </w:r>
          </w:p>
        </w:tc>
        <w:tc>
          <w:tcPr>
            <w:tcW w:w="4825" w:type="dxa"/>
            <w:tcBorders>
              <w:top w:val="single" w:sz="5" w:space="0" w:color="000000"/>
              <w:left w:val="single" w:sz="5" w:space="0" w:color="000000"/>
              <w:bottom w:val="single" w:sz="5" w:space="0" w:color="000000"/>
              <w:right w:val="single" w:sz="5" w:space="0" w:color="000000"/>
            </w:tcBorders>
          </w:tcPr>
          <w:p w14:paraId="218DC0C9"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Kronični bolesnici dobi 0-64 (hipertenzija isključena)</w:t>
            </w:r>
          </w:p>
        </w:tc>
        <w:tc>
          <w:tcPr>
            <w:tcW w:w="1418" w:type="dxa"/>
            <w:tcBorders>
              <w:top w:val="single" w:sz="5" w:space="0" w:color="000000"/>
              <w:left w:val="single" w:sz="5" w:space="0" w:color="000000"/>
              <w:bottom w:val="single" w:sz="5" w:space="0" w:color="000000"/>
              <w:right w:val="single" w:sz="5" w:space="0" w:color="000000"/>
            </w:tcBorders>
          </w:tcPr>
          <w:p w14:paraId="5629A2E7"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294.000</w:t>
            </w:r>
          </w:p>
        </w:tc>
        <w:tc>
          <w:tcPr>
            <w:tcW w:w="1785" w:type="dxa"/>
            <w:tcBorders>
              <w:top w:val="single" w:sz="5" w:space="0" w:color="000000"/>
              <w:left w:val="single" w:sz="5" w:space="0" w:color="000000"/>
              <w:bottom w:val="single" w:sz="5" w:space="0" w:color="000000"/>
              <w:right w:val="single" w:sz="5" w:space="0" w:color="000000"/>
            </w:tcBorders>
          </w:tcPr>
          <w:p w14:paraId="165B677D"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294.000</w:t>
            </w:r>
          </w:p>
        </w:tc>
      </w:tr>
      <w:tr w:rsidR="00FF1E38" w:rsidRPr="00FF1E38" w14:paraId="0C7750FD" w14:textId="77777777" w:rsidTr="00DE0C9A">
        <w:trPr>
          <w:cantSplit/>
          <w:trHeight w:val="284"/>
        </w:trPr>
        <w:tc>
          <w:tcPr>
            <w:tcW w:w="1044" w:type="dxa"/>
            <w:tcBorders>
              <w:top w:val="single" w:sz="5" w:space="0" w:color="000000"/>
              <w:left w:val="single" w:sz="5" w:space="0" w:color="000000"/>
              <w:bottom w:val="single" w:sz="5" w:space="0" w:color="000000"/>
              <w:right w:val="single" w:sz="5" w:space="0" w:color="000000"/>
            </w:tcBorders>
            <w:shd w:val="clear" w:color="auto" w:fill="FFC000"/>
          </w:tcPr>
          <w:p w14:paraId="0465EC7E"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b/>
                <w:color w:val="auto"/>
                <w:sz w:val="21"/>
                <w:szCs w:val="21"/>
                <w:lang w:eastAsia="en-US"/>
              </w:rPr>
              <w:t>2.</w:t>
            </w:r>
          </w:p>
        </w:tc>
        <w:tc>
          <w:tcPr>
            <w:tcW w:w="4825" w:type="dxa"/>
            <w:tcBorders>
              <w:top w:val="single" w:sz="5" w:space="0" w:color="000000"/>
              <w:left w:val="single" w:sz="5" w:space="0" w:color="000000"/>
              <w:bottom w:val="single" w:sz="5" w:space="0" w:color="000000"/>
              <w:right w:val="single" w:sz="5" w:space="0" w:color="000000"/>
            </w:tcBorders>
          </w:tcPr>
          <w:p w14:paraId="552E3F31"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Zdravstveni djelatnici (svi)</w:t>
            </w:r>
          </w:p>
        </w:tc>
        <w:tc>
          <w:tcPr>
            <w:tcW w:w="1418" w:type="dxa"/>
            <w:tcBorders>
              <w:top w:val="single" w:sz="5" w:space="0" w:color="000000"/>
              <w:left w:val="single" w:sz="5" w:space="0" w:color="000000"/>
              <w:bottom w:val="single" w:sz="5" w:space="0" w:color="000000"/>
              <w:right w:val="single" w:sz="5" w:space="0" w:color="000000"/>
            </w:tcBorders>
          </w:tcPr>
          <w:p w14:paraId="6A3B1516"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52.000</w:t>
            </w:r>
          </w:p>
        </w:tc>
        <w:tc>
          <w:tcPr>
            <w:tcW w:w="1785" w:type="dxa"/>
            <w:tcBorders>
              <w:top w:val="single" w:sz="5" w:space="0" w:color="000000"/>
              <w:left w:val="single" w:sz="5" w:space="0" w:color="000000"/>
              <w:bottom w:val="single" w:sz="5" w:space="0" w:color="000000"/>
              <w:right w:val="single" w:sz="5" w:space="0" w:color="000000"/>
            </w:tcBorders>
          </w:tcPr>
          <w:p w14:paraId="77A4E879"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356.000</w:t>
            </w:r>
          </w:p>
        </w:tc>
      </w:tr>
      <w:tr w:rsidR="00FF1E38" w:rsidRPr="00FF1E38" w14:paraId="2B265FC5" w14:textId="77777777" w:rsidTr="00DE0C9A">
        <w:trPr>
          <w:cantSplit/>
          <w:trHeight w:val="284"/>
        </w:trPr>
        <w:tc>
          <w:tcPr>
            <w:tcW w:w="1044" w:type="dxa"/>
            <w:tcBorders>
              <w:top w:val="single" w:sz="5" w:space="0" w:color="000000"/>
              <w:left w:val="single" w:sz="5" w:space="0" w:color="000000"/>
              <w:bottom w:val="single" w:sz="5" w:space="0" w:color="000000"/>
              <w:right w:val="single" w:sz="5" w:space="0" w:color="000000"/>
            </w:tcBorders>
            <w:shd w:val="clear" w:color="auto" w:fill="FFC000"/>
          </w:tcPr>
          <w:p w14:paraId="586AA418"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b/>
                <w:color w:val="auto"/>
                <w:sz w:val="21"/>
                <w:szCs w:val="21"/>
                <w:lang w:eastAsia="en-US"/>
              </w:rPr>
              <w:t>3.</w:t>
            </w:r>
          </w:p>
        </w:tc>
        <w:tc>
          <w:tcPr>
            <w:tcW w:w="4825" w:type="dxa"/>
            <w:tcBorders>
              <w:top w:val="single" w:sz="5" w:space="0" w:color="000000"/>
              <w:left w:val="single" w:sz="5" w:space="0" w:color="000000"/>
              <w:bottom w:val="single" w:sz="5" w:space="0" w:color="000000"/>
              <w:right w:val="single" w:sz="5" w:space="0" w:color="000000"/>
            </w:tcBorders>
          </w:tcPr>
          <w:p w14:paraId="0E2610AD"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Trudnice</w:t>
            </w:r>
          </w:p>
        </w:tc>
        <w:tc>
          <w:tcPr>
            <w:tcW w:w="1418" w:type="dxa"/>
            <w:tcBorders>
              <w:top w:val="single" w:sz="5" w:space="0" w:color="000000"/>
              <w:left w:val="single" w:sz="5" w:space="0" w:color="000000"/>
              <w:bottom w:val="single" w:sz="5" w:space="0" w:color="000000"/>
              <w:right w:val="single" w:sz="5" w:space="0" w:color="000000"/>
            </w:tcBorders>
          </w:tcPr>
          <w:p w14:paraId="655A7C29"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60.000</w:t>
            </w:r>
          </w:p>
        </w:tc>
        <w:tc>
          <w:tcPr>
            <w:tcW w:w="1785" w:type="dxa"/>
            <w:tcBorders>
              <w:top w:val="single" w:sz="5" w:space="0" w:color="000000"/>
              <w:left w:val="single" w:sz="5" w:space="0" w:color="000000"/>
              <w:bottom w:val="single" w:sz="5" w:space="0" w:color="000000"/>
              <w:right w:val="single" w:sz="5" w:space="0" w:color="000000"/>
            </w:tcBorders>
          </w:tcPr>
          <w:p w14:paraId="5B5A1D64"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416.000</w:t>
            </w:r>
          </w:p>
        </w:tc>
      </w:tr>
      <w:tr w:rsidR="00FF1E38" w:rsidRPr="00FF1E38" w14:paraId="497824F5" w14:textId="77777777" w:rsidTr="00DE0C9A">
        <w:trPr>
          <w:cantSplit/>
          <w:trHeight w:val="284"/>
        </w:trPr>
        <w:tc>
          <w:tcPr>
            <w:tcW w:w="1044" w:type="dxa"/>
            <w:tcBorders>
              <w:top w:val="single" w:sz="5" w:space="0" w:color="000000"/>
              <w:left w:val="single" w:sz="5" w:space="0" w:color="000000"/>
              <w:bottom w:val="single" w:sz="5" w:space="0" w:color="000000"/>
              <w:right w:val="single" w:sz="5" w:space="0" w:color="000000"/>
            </w:tcBorders>
            <w:shd w:val="clear" w:color="auto" w:fill="FFC000"/>
          </w:tcPr>
          <w:p w14:paraId="7A34C541"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b/>
                <w:color w:val="auto"/>
                <w:sz w:val="21"/>
                <w:szCs w:val="21"/>
                <w:lang w:eastAsia="en-US"/>
              </w:rPr>
              <w:t>4.</w:t>
            </w:r>
          </w:p>
        </w:tc>
        <w:tc>
          <w:tcPr>
            <w:tcW w:w="4825" w:type="dxa"/>
            <w:tcBorders>
              <w:top w:val="single" w:sz="5" w:space="0" w:color="000000"/>
              <w:left w:val="single" w:sz="5" w:space="0" w:color="000000"/>
              <w:bottom w:val="single" w:sz="5" w:space="0" w:color="000000"/>
              <w:right w:val="single" w:sz="5" w:space="0" w:color="000000"/>
            </w:tcBorders>
          </w:tcPr>
          <w:p w14:paraId="558053C3"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Djeca od 6 do23 mjeseca starosti</w:t>
            </w:r>
          </w:p>
        </w:tc>
        <w:tc>
          <w:tcPr>
            <w:tcW w:w="1418" w:type="dxa"/>
            <w:tcBorders>
              <w:top w:val="single" w:sz="5" w:space="0" w:color="000000"/>
              <w:left w:val="single" w:sz="5" w:space="0" w:color="000000"/>
              <w:bottom w:val="single" w:sz="5" w:space="0" w:color="000000"/>
              <w:right w:val="single" w:sz="5" w:space="0" w:color="000000"/>
            </w:tcBorders>
          </w:tcPr>
          <w:p w14:paraId="371A3123"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65.000</w:t>
            </w:r>
          </w:p>
        </w:tc>
        <w:tc>
          <w:tcPr>
            <w:tcW w:w="1785" w:type="dxa"/>
            <w:tcBorders>
              <w:top w:val="single" w:sz="5" w:space="0" w:color="000000"/>
              <w:left w:val="single" w:sz="5" w:space="0" w:color="000000"/>
              <w:bottom w:val="single" w:sz="5" w:space="0" w:color="000000"/>
              <w:right w:val="single" w:sz="5" w:space="0" w:color="000000"/>
            </w:tcBorders>
          </w:tcPr>
          <w:p w14:paraId="02DBE8A1"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481.000</w:t>
            </w:r>
          </w:p>
        </w:tc>
      </w:tr>
      <w:tr w:rsidR="00FF1E38" w:rsidRPr="00FF1E38" w14:paraId="336CC7B2" w14:textId="77777777" w:rsidTr="00DE0C9A">
        <w:trPr>
          <w:cantSplit/>
          <w:trHeight w:val="284"/>
        </w:trPr>
        <w:tc>
          <w:tcPr>
            <w:tcW w:w="1044" w:type="dxa"/>
            <w:tcBorders>
              <w:top w:val="single" w:sz="5" w:space="0" w:color="000000"/>
              <w:left w:val="single" w:sz="5" w:space="0" w:color="000000"/>
              <w:bottom w:val="single" w:sz="5" w:space="0" w:color="000000"/>
              <w:right w:val="single" w:sz="5" w:space="0" w:color="000000"/>
            </w:tcBorders>
            <w:shd w:val="clear" w:color="auto" w:fill="FFC000"/>
          </w:tcPr>
          <w:p w14:paraId="212E94E3"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b/>
                <w:color w:val="auto"/>
                <w:sz w:val="21"/>
                <w:szCs w:val="21"/>
                <w:lang w:eastAsia="en-US"/>
              </w:rPr>
              <w:t>5.</w:t>
            </w:r>
          </w:p>
        </w:tc>
        <w:tc>
          <w:tcPr>
            <w:tcW w:w="4825" w:type="dxa"/>
            <w:tcBorders>
              <w:top w:val="single" w:sz="5" w:space="0" w:color="000000"/>
              <w:left w:val="single" w:sz="5" w:space="0" w:color="000000"/>
              <w:bottom w:val="single" w:sz="5" w:space="0" w:color="000000"/>
              <w:right w:val="single" w:sz="5" w:space="0" w:color="000000"/>
            </w:tcBorders>
          </w:tcPr>
          <w:p w14:paraId="131296B1"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Djeca od 24 do 59 mjeseci starosti</w:t>
            </w:r>
          </w:p>
        </w:tc>
        <w:tc>
          <w:tcPr>
            <w:tcW w:w="1418" w:type="dxa"/>
            <w:tcBorders>
              <w:top w:val="single" w:sz="5" w:space="0" w:color="000000"/>
              <w:left w:val="single" w:sz="5" w:space="0" w:color="000000"/>
              <w:bottom w:val="single" w:sz="5" w:space="0" w:color="000000"/>
              <w:right w:val="single" w:sz="5" w:space="0" w:color="000000"/>
            </w:tcBorders>
          </w:tcPr>
          <w:p w14:paraId="4B2BD00E"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127.000</w:t>
            </w:r>
          </w:p>
        </w:tc>
        <w:tc>
          <w:tcPr>
            <w:tcW w:w="1785" w:type="dxa"/>
            <w:tcBorders>
              <w:top w:val="single" w:sz="5" w:space="0" w:color="000000"/>
              <w:left w:val="single" w:sz="5" w:space="0" w:color="000000"/>
              <w:bottom w:val="single" w:sz="5" w:space="0" w:color="000000"/>
              <w:right w:val="single" w:sz="5" w:space="0" w:color="000000"/>
            </w:tcBorders>
          </w:tcPr>
          <w:p w14:paraId="6AD97510"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608.000</w:t>
            </w:r>
          </w:p>
        </w:tc>
      </w:tr>
      <w:tr w:rsidR="00FF1E38" w:rsidRPr="00FF1E38" w14:paraId="4B373C0E" w14:textId="77777777" w:rsidTr="00DE0C9A">
        <w:trPr>
          <w:cantSplit/>
          <w:trHeight w:val="284"/>
        </w:trPr>
        <w:tc>
          <w:tcPr>
            <w:tcW w:w="1044" w:type="dxa"/>
            <w:tcBorders>
              <w:top w:val="single" w:sz="5" w:space="0" w:color="000000"/>
              <w:left w:val="single" w:sz="5" w:space="0" w:color="000000"/>
              <w:bottom w:val="single" w:sz="5" w:space="0" w:color="000000"/>
              <w:right w:val="single" w:sz="5" w:space="0" w:color="000000"/>
            </w:tcBorders>
            <w:shd w:val="clear" w:color="auto" w:fill="FFC000"/>
          </w:tcPr>
          <w:p w14:paraId="6F35CC41"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b/>
                <w:color w:val="auto"/>
                <w:sz w:val="21"/>
                <w:szCs w:val="21"/>
                <w:lang w:eastAsia="en-US"/>
              </w:rPr>
              <w:t>6.</w:t>
            </w:r>
          </w:p>
        </w:tc>
        <w:tc>
          <w:tcPr>
            <w:tcW w:w="4825" w:type="dxa"/>
            <w:tcBorders>
              <w:top w:val="single" w:sz="5" w:space="0" w:color="000000"/>
              <w:left w:val="single" w:sz="5" w:space="0" w:color="000000"/>
              <w:bottom w:val="single" w:sz="5" w:space="0" w:color="000000"/>
              <w:right w:val="single" w:sz="5" w:space="0" w:color="000000"/>
            </w:tcBorders>
          </w:tcPr>
          <w:p w14:paraId="7DE9DC96"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Zdravi kućni kontakti onih koji se ne mogu cijepiti (djece mlađe od 6 mjeseci)</w:t>
            </w:r>
          </w:p>
        </w:tc>
        <w:tc>
          <w:tcPr>
            <w:tcW w:w="1418" w:type="dxa"/>
            <w:tcBorders>
              <w:top w:val="single" w:sz="5" w:space="0" w:color="000000"/>
              <w:left w:val="single" w:sz="5" w:space="0" w:color="000000"/>
              <w:bottom w:val="single" w:sz="5" w:space="0" w:color="000000"/>
              <w:right w:val="single" w:sz="5" w:space="0" w:color="000000"/>
            </w:tcBorders>
          </w:tcPr>
          <w:p w14:paraId="0FC053D1"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30.000</w:t>
            </w:r>
          </w:p>
        </w:tc>
        <w:tc>
          <w:tcPr>
            <w:tcW w:w="1785" w:type="dxa"/>
            <w:tcBorders>
              <w:top w:val="single" w:sz="5" w:space="0" w:color="000000"/>
              <w:left w:val="single" w:sz="5" w:space="0" w:color="000000"/>
              <w:bottom w:val="single" w:sz="5" w:space="0" w:color="000000"/>
              <w:right w:val="single" w:sz="5" w:space="0" w:color="000000"/>
            </w:tcBorders>
          </w:tcPr>
          <w:p w14:paraId="605C2D00"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638.000</w:t>
            </w:r>
          </w:p>
        </w:tc>
      </w:tr>
      <w:tr w:rsidR="00FF1E38" w:rsidRPr="00FF1E38" w14:paraId="77100FB0" w14:textId="77777777" w:rsidTr="00DE0C9A">
        <w:trPr>
          <w:cantSplit/>
          <w:trHeight w:val="284"/>
        </w:trPr>
        <w:tc>
          <w:tcPr>
            <w:tcW w:w="1044" w:type="dxa"/>
            <w:tcBorders>
              <w:top w:val="single" w:sz="5" w:space="0" w:color="000000"/>
              <w:left w:val="single" w:sz="5" w:space="0" w:color="000000"/>
              <w:bottom w:val="single" w:sz="5" w:space="0" w:color="000000"/>
              <w:right w:val="single" w:sz="5" w:space="0" w:color="000000"/>
            </w:tcBorders>
            <w:shd w:val="clear" w:color="auto" w:fill="FFC000"/>
          </w:tcPr>
          <w:p w14:paraId="2107C3DF"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b/>
                <w:color w:val="auto"/>
                <w:sz w:val="21"/>
                <w:szCs w:val="21"/>
                <w:lang w:eastAsia="en-US"/>
              </w:rPr>
              <w:t>7.</w:t>
            </w:r>
          </w:p>
        </w:tc>
        <w:tc>
          <w:tcPr>
            <w:tcW w:w="4825" w:type="dxa"/>
            <w:tcBorders>
              <w:top w:val="single" w:sz="5" w:space="0" w:color="000000"/>
              <w:left w:val="single" w:sz="5" w:space="0" w:color="000000"/>
              <w:bottom w:val="single" w:sz="5" w:space="0" w:color="000000"/>
              <w:right w:val="single" w:sz="5" w:space="0" w:color="000000"/>
            </w:tcBorders>
          </w:tcPr>
          <w:p w14:paraId="41F2133C"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Kronični bolesnici u dobi 65+ (hipertenzija isključena)</w:t>
            </w:r>
          </w:p>
        </w:tc>
        <w:tc>
          <w:tcPr>
            <w:tcW w:w="1418" w:type="dxa"/>
            <w:tcBorders>
              <w:top w:val="single" w:sz="5" w:space="0" w:color="000000"/>
              <w:left w:val="single" w:sz="5" w:space="0" w:color="000000"/>
              <w:bottom w:val="single" w:sz="5" w:space="0" w:color="000000"/>
              <w:right w:val="single" w:sz="5" w:space="0" w:color="000000"/>
            </w:tcBorders>
          </w:tcPr>
          <w:p w14:paraId="7ED8BABC"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340.000</w:t>
            </w:r>
          </w:p>
        </w:tc>
        <w:tc>
          <w:tcPr>
            <w:tcW w:w="1785" w:type="dxa"/>
            <w:tcBorders>
              <w:top w:val="single" w:sz="5" w:space="0" w:color="000000"/>
              <w:left w:val="single" w:sz="5" w:space="0" w:color="000000"/>
              <w:bottom w:val="single" w:sz="5" w:space="0" w:color="000000"/>
              <w:right w:val="single" w:sz="5" w:space="0" w:color="000000"/>
            </w:tcBorders>
          </w:tcPr>
          <w:p w14:paraId="5B80CB9C"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978.000</w:t>
            </w:r>
          </w:p>
        </w:tc>
      </w:tr>
      <w:tr w:rsidR="00FF1E38" w:rsidRPr="00FF1E38" w14:paraId="694223FE" w14:textId="77777777" w:rsidTr="00DE0C9A">
        <w:trPr>
          <w:cantSplit/>
          <w:trHeight w:val="284"/>
        </w:trPr>
        <w:tc>
          <w:tcPr>
            <w:tcW w:w="1044" w:type="dxa"/>
            <w:tcBorders>
              <w:top w:val="single" w:sz="5" w:space="0" w:color="000000"/>
              <w:left w:val="single" w:sz="5" w:space="0" w:color="000000"/>
              <w:bottom w:val="single" w:sz="5" w:space="0" w:color="000000"/>
              <w:right w:val="single" w:sz="5" w:space="0" w:color="000000"/>
            </w:tcBorders>
            <w:shd w:val="clear" w:color="auto" w:fill="FFC000"/>
          </w:tcPr>
          <w:p w14:paraId="3E36C1FB"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b/>
                <w:color w:val="auto"/>
                <w:sz w:val="21"/>
                <w:szCs w:val="21"/>
                <w:lang w:eastAsia="en-US"/>
              </w:rPr>
              <w:t>8.</w:t>
            </w:r>
          </w:p>
        </w:tc>
        <w:tc>
          <w:tcPr>
            <w:tcW w:w="4825" w:type="dxa"/>
            <w:tcBorders>
              <w:top w:val="single" w:sz="5" w:space="0" w:color="000000"/>
              <w:left w:val="single" w:sz="5" w:space="0" w:color="000000"/>
              <w:bottom w:val="single" w:sz="5" w:space="0" w:color="000000"/>
              <w:right w:val="single" w:sz="5" w:space="0" w:color="000000"/>
            </w:tcBorders>
          </w:tcPr>
          <w:p w14:paraId="55BC9B84"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Zdrave osobe srednjoškolske dobi</w:t>
            </w:r>
          </w:p>
        </w:tc>
        <w:tc>
          <w:tcPr>
            <w:tcW w:w="1418" w:type="dxa"/>
            <w:tcBorders>
              <w:top w:val="single" w:sz="5" w:space="0" w:color="000000"/>
              <w:left w:val="single" w:sz="5" w:space="0" w:color="000000"/>
              <w:bottom w:val="single" w:sz="5" w:space="0" w:color="000000"/>
              <w:right w:val="single" w:sz="5" w:space="0" w:color="000000"/>
            </w:tcBorders>
          </w:tcPr>
          <w:p w14:paraId="3FA6EEEB"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182.000</w:t>
            </w:r>
          </w:p>
        </w:tc>
        <w:tc>
          <w:tcPr>
            <w:tcW w:w="1785" w:type="dxa"/>
            <w:tcBorders>
              <w:top w:val="single" w:sz="5" w:space="0" w:color="000000"/>
              <w:left w:val="single" w:sz="5" w:space="0" w:color="000000"/>
              <w:bottom w:val="single" w:sz="5" w:space="0" w:color="000000"/>
              <w:right w:val="single" w:sz="5" w:space="0" w:color="000000"/>
            </w:tcBorders>
          </w:tcPr>
          <w:p w14:paraId="022890A8"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1.160.000</w:t>
            </w:r>
          </w:p>
        </w:tc>
      </w:tr>
      <w:tr w:rsidR="00FF1E38" w:rsidRPr="00FF1E38" w14:paraId="1F6CDE3B" w14:textId="77777777" w:rsidTr="00DE0C9A">
        <w:trPr>
          <w:cantSplit/>
          <w:trHeight w:val="284"/>
        </w:trPr>
        <w:tc>
          <w:tcPr>
            <w:tcW w:w="1044" w:type="dxa"/>
            <w:tcBorders>
              <w:top w:val="single" w:sz="5" w:space="0" w:color="000000"/>
              <w:left w:val="single" w:sz="5" w:space="0" w:color="000000"/>
              <w:bottom w:val="single" w:sz="5" w:space="0" w:color="000000"/>
              <w:right w:val="single" w:sz="5" w:space="0" w:color="000000"/>
            </w:tcBorders>
            <w:shd w:val="clear" w:color="auto" w:fill="FFC000"/>
          </w:tcPr>
          <w:p w14:paraId="296BB280"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b/>
                <w:color w:val="auto"/>
                <w:sz w:val="21"/>
                <w:szCs w:val="21"/>
                <w:lang w:eastAsia="en-US"/>
              </w:rPr>
              <w:t>9.</w:t>
            </w:r>
          </w:p>
        </w:tc>
        <w:tc>
          <w:tcPr>
            <w:tcW w:w="4825" w:type="dxa"/>
            <w:tcBorders>
              <w:top w:val="single" w:sz="5" w:space="0" w:color="000000"/>
              <w:left w:val="single" w:sz="5" w:space="0" w:color="000000"/>
              <w:bottom w:val="single" w:sz="5" w:space="0" w:color="000000"/>
              <w:right w:val="single" w:sz="5" w:space="0" w:color="000000"/>
            </w:tcBorders>
          </w:tcPr>
          <w:p w14:paraId="23ABA035" w14:textId="77777777" w:rsidR="00FF1E38" w:rsidRPr="00FF1E38" w:rsidRDefault="00FF1E38" w:rsidP="00FF1E38">
            <w:pPr>
              <w:widowControl w:val="0"/>
              <w:spacing w:after="0" w:line="240" w:lineRule="auto"/>
              <w:ind w:left="0" w:right="0" w:firstLine="0"/>
              <w:jc w:val="left"/>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Zdrave osobe osnovnoškolske dobi</w:t>
            </w:r>
          </w:p>
        </w:tc>
        <w:tc>
          <w:tcPr>
            <w:tcW w:w="1418" w:type="dxa"/>
            <w:tcBorders>
              <w:top w:val="single" w:sz="5" w:space="0" w:color="000000"/>
              <w:left w:val="single" w:sz="5" w:space="0" w:color="000000"/>
              <w:bottom w:val="single" w:sz="5" w:space="0" w:color="000000"/>
              <w:right w:val="single" w:sz="5" w:space="0" w:color="000000"/>
            </w:tcBorders>
          </w:tcPr>
          <w:p w14:paraId="0A2DE494"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370.000</w:t>
            </w:r>
          </w:p>
        </w:tc>
        <w:tc>
          <w:tcPr>
            <w:tcW w:w="1785" w:type="dxa"/>
            <w:tcBorders>
              <w:top w:val="single" w:sz="5" w:space="0" w:color="000000"/>
              <w:left w:val="single" w:sz="5" w:space="0" w:color="000000"/>
              <w:bottom w:val="single" w:sz="5" w:space="0" w:color="000000"/>
              <w:right w:val="single" w:sz="5" w:space="0" w:color="000000"/>
            </w:tcBorders>
          </w:tcPr>
          <w:p w14:paraId="1DA6B4A5" w14:textId="77777777" w:rsidR="00FF1E38" w:rsidRPr="00FF1E38" w:rsidRDefault="00FF1E38" w:rsidP="00FF1E38">
            <w:pPr>
              <w:widowControl w:val="0"/>
              <w:spacing w:after="0" w:line="240" w:lineRule="auto"/>
              <w:ind w:left="0" w:right="0" w:firstLine="0"/>
              <w:jc w:val="center"/>
              <w:rPr>
                <w:rFonts w:ascii="Times New Roman" w:eastAsia="Cambria" w:hAnsi="Times New Roman" w:cs="Times New Roman"/>
                <w:color w:val="auto"/>
                <w:sz w:val="21"/>
                <w:szCs w:val="21"/>
                <w:lang w:eastAsia="en-US"/>
              </w:rPr>
            </w:pPr>
            <w:r w:rsidRPr="00FF1E38">
              <w:rPr>
                <w:rFonts w:ascii="Times New Roman" w:eastAsia="Calibri" w:hAnsi="Times New Roman" w:cs="Times New Roman"/>
                <w:color w:val="auto"/>
                <w:sz w:val="21"/>
                <w:szCs w:val="21"/>
                <w:lang w:eastAsia="en-US"/>
              </w:rPr>
              <w:t>1.530.000</w:t>
            </w:r>
          </w:p>
        </w:tc>
      </w:tr>
    </w:tbl>
    <w:p w14:paraId="2E96516E" w14:textId="0CAC5329" w:rsidR="00FF1E38" w:rsidRDefault="00FF1E38" w:rsidP="00FF1E38">
      <w:pPr>
        <w:spacing w:after="0" w:line="240" w:lineRule="auto"/>
        <w:ind w:left="0" w:right="0" w:firstLine="0"/>
        <w:jc w:val="center"/>
        <w:rPr>
          <w:rFonts w:ascii="Times New Roman" w:eastAsia="Calibri" w:hAnsi="Times New Roman" w:cs="Times New Roman"/>
          <w:i/>
          <w:sz w:val="20"/>
          <w:szCs w:val="20"/>
        </w:rPr>
      </w:pPr>
      <w:r w:rsidRPr="00FF1E38">
        <w:rPr>
          <w:rFonts w:ascii="Times New Roman" w:eastAsia="Calibri" w:hAnsi="Times New Roman" w:cs="Times New Roman"/>
          <w:i/>
          <w:sz w:val="20"/>
          <w:szCs w:val="20"/>
        </w:rPr>
        <w:t>Izvor: Procjena rizika od katastrofa Republike Hrvatske</w:t>
      </w:r>
    </w:p>
    <w:p w14:paraId="49FF1480" w14:textId="77777777" w:rsidR="002F1B29" w:rsidRPr="002F1B29" w:rsidRDefault="002F1B29" w:rsidP="00FF1E38">
      <w:pPr>
        <w:spacing w:after="0" w:line="240" w:lineRule="auto"/>
        <w:ind w:left="0" w:right="0" w:firstLine="0"/>
        <w:jc w:val="center"/>
        <w:rPr>
          <w:rFonts w:ascii="Times New Roman" w:eastAsia="Calibri" w:hAnsi="Times New Roman" w:cs="Times New Roman"/>
          <w:sz w:val="20"/>
          <w:szCs w:val="20"/>
        </w:rPr>
      </w:pPr>
    </w:p>
    <w:p w14:paraId="57BEB430"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Ako bi se prema procjeni ECDC-a odlučilo cijepiti zaposlene u najvažnijim službama i osobe s povećanim rizikom od komplikacija (kronične bolesnike, djecu od 6 do 24 mjeseca starosti, obiteljske kontakte djece mlađe od 6 mjeseci starosti i osobe starije od 65 godina), ciljna bi skupina bila 35 % stanovništva. To je nešto više od procjene iz Nacionalnog plana pripremljenosti za pandemiju gripe, prema kojoj u tim kategorijama ima na razini Republike Hrvatske oko 1.264.000 osoba, i to:</w:t>
      </w:r>
    </w:p>
    <w:p w14:paraId="4A137D5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esencijalne službe bez zdravstva 24.000</w:t>
      </w:r>
    </w:p>
    <w:p w14:paraId="68BD3026"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zdravstveni djelatnici 52.000</w:t>
      </w:r>
    </w:p>
    <w:p w14:paraId="3CED1A11"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djeca 6-24 mjeseca starosti 65.000</w:t>
      </w:r>
    </w:p>
    <w:p w14:paraId="6F0DC61B"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obiteljski kontakti djece do 6 mjeseci starosti 30.000</w:t>
      </w:r>
    </w:p>
    <w:p w14:paraId="7E75E208"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trudnice 60.000</w:t>
      </w:r>
    </w:p>
    <w:p w14:paraId="0B6D4039"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kronični bolesnici do 65 godina starosti 340.000</w:t>
      </w:r>
    </w:p>
    <w:p w14:paraId="79459329"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osobe starije od 65 godina 693.000.</w:t>
      </w:r>
    </w:p>
    <w:p w14:paraId="7D2B7E88"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slučaju nedostatnih količina cjepiva ili sukcesivnih pošiljki ukupnih količina cjepiva kroz dulje razdoblje, može se cijepiti ovisno o dostupnim količinama cjepiva prema prioritetnim skupinama počevši od kroničnih bolesnika u dobi od 0 do 64 godine, zatim zdravstvene djelatnike, trudnice itd. Redoslijed prioritetnih skupina može se mijenjati, ovisno o karakteristikama pandemije.</w:t>
      </w:r>
    </w:p>
    <w:p w14:paraId="08A22451"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Prema tome, samo za osiguravanje funkcioniranja zdravstvene i drugih najvažnijih službi te osoba pod povećanim rizikom za komplikacije, a prema ECDC podjeli prioritetnih skupina, ciljna skupina za cijepljenje je od 1.264.000 do 1.500.000 stanovnika Republike Hrvatske. Trošak nabave cjepiva ovisio bi o njegovoj cijeni na tržištu. Hrvatska bi cjepivo nabavljala kroz mehanizam zajedničke nabave zemalja EU-a koji je uspostavljen temeljem odluke o Prekograničnim prijetnjama zdravlju donesene krajem 2013. godine. Trošak nabave cjepiva mogao bi se kretati u rasponu od 6.000.000 do 10.000.000 kn.</w:t>
      </w:r>
    </w:p>
    <w:p w14:paraId="4F57E31C" w14:textId="77777777" w:rsidR="00FF1E38" w:rsidRPr="00FF1E38" w:rsidRDefault="00FF1E38" w:rsidP="00FF1E38">
      <w:pPr>
        <w:spacing w:after="0" w:line="240" w:lineRule="auto"/>
        <w:ind w:right="0"/>
        <w:rPr>
          <w:rFonts w:ascii="Times New Roman" w:hAnsi="Times New Roman" w:cs="Times New Roman"/>
          <w:sz w:val="24"/>
        </w:rPr>
      </w:pPr>
    </w:p>
    <w:p w14:paraId="79B07F09" w14:textId="77777777" w:rsidR="00FF1E38" w:rsidRPr="00FF1E38" w:rsidRDefault="00FF1E38" w:rsidP="00FF1E38">
      <w:pPr>
        <w:spacing w:after="0" w:line="240" w:lineRule="auto"/>
        <w:ind w:left="0" w:right="0" w:firstLine="709"/>
        <w:rPr>
          <w:rFonts w:ascii="Times New Roman" w:hAnsi="Times New Roman" w:cs="Times New Roman"/>
          <w:b/>
          <w:i/>
          <w:sz w:val="24"/>
        </w:rPr>
      </w:pPr>
      <w:r w:rsidRPr="00FF1E38">
        <w:rPr>
          <w:rFonts w:ascii="Times New Roman" w:hAnsi="Times New Roman" w:cs="Times New Roman"/>
          <w:b/>
          <w:i/>
          <w:sz w:val="24"/>
        </w:rPr>
        <w:t>6.5.5.1.1. Život i zdravlje ljudi</w:t>
      </w:r>
    </w:p>
    <w:p w14:paraId="0306829F"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 xml:space="preserve">Virus influence je izrazito zarazan virus koji izaziva epidemijsko obolijevanje tijekom uobičajene sezone gripe. U slučaju pandemije gripe predviđa se znatno veće obolijevanje stanovništva nego inače, s obzirom na nepostojanje prethodne imunosti na takav pandemijski soj. Može se očekivati znatno veća stopa bolovanja radno aktivnog stanovništva te veći stupanj komplikacija i smrtnih ishoda kod vulnerabilnih skupina stanovništva. Tijekom pandemije pratila bi se dinamika obolijevanja i umiranja na tjednoj osnovi, kao što se i inače prati kretanje sezonske gripe. Tijekom epidemijskog događaja od 9 tjedana procjena je da će na području Grada Zagreba ukupno oboljeti 292 500 osoba od kojih će pomoć liječnika primarne </w:t>
      </w:r>
      <w:r w:rsidRPr="00FF1E38">
        <w:rPr>
          <w:rFonts w:ascii="Times New Roman" w:hAnsi="Times New Roman" w:cs="Times New Roman"/>
          <w:sz w:val="24"/>
        </w:rPr>
        <w:lastRenderedPageBreak/>
        <w:t>zdravstvene zaštite zatražiti njih 34 630. Zbog razvoja komplikacija bolesti, 7 547 oboljelih bit će upućeno na bolničko liječenje. Od gripe i njezinih komplikacija kroz 9 tjedana na području Grada Zagreba umrijet će ukupno 581 osoba.</w:t>
      </w:r>
    </w:p>
    <w:p w14:paraId="2BCDB51A" w14:textId="77777777" w:rsidR="00FF1E38" w:rsidRPr="00FF1E38" w:rsidRDefault="00FF1E38" w:rsidP="00FF1E38">
      <w:pPr>
        <w:spacing w:after="0" w:line="240" w:lineRule="auto"/>
        <w:ind w:right="0"/>
        <w:rPr>
          <w:rFonts w:ascii="Times New Roman" w:hAnsi="Times New Roman" w:cs="Times New Roman"/>
          <w:sz w:val="24"/>
        </w:rPr>
      </w:pPr>
    </w:p>
    <w:p w14:paraId="0DA967CA" w14:textId="2C0D6621" w:rsidR="00FF1E38" w:rsidRPr="00FF1E38" w:rsidRDefault="00311052" w:rsidP="00C10FBE">
      <w:pPr>
        <w:spacing w:line="240" w:lineRule="auto"/>
        <w:ind w:left="0" w:right="0" w:firstLine="0"/>
        <w:jc w:val="center"/>
        <w:rPr>
          <w:rFonts w:ascii="Times New Roman" w:hAnsi="Times New Roman" w:cs="Times New Roman"/>
          <w:b/>
          <w:sz w:val="24"/>
        </w:rPr>
      </w:pPr>
      <w:r>
        <w:rPr>
          <w:rFonts w:ascii="Times New Roman" w:hAnsi="Times New Roman" w:cs="Times New Roman"/>
          <w:b/>
          <w:sz w:val="24"/>
        </w:rPr>
        <w:t>Tablica 98</w:t>
      </w:r>
      <w:r w:rsidR="00FF1E38" w:rsidRPr="00FF1E38">
        <w:rPr>
          <w:rFonts w:ascii="Times New Roman" w:hAnsi="Times New Roman" w:cs="Times New Roman"/>
          <w:b/>
          <w:sz w:val="24"/>
        </w:rPr>
        <w:t xml:space="preserve">. Vrijednost kriterija za posljedice na život i zdravlje ljudi po kategorijama </w:t>
      </w:r>
    </w:p>
    <w:tbl>
      <w:tblPr>
        <w:tblStyle w:val="TableGrid6"/>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00"/>
        <w:gridCol w:w="2835"/>
        <w:gridCol w:w="2836"/>
        <w:gridCol w:w="1701"/>
      </w:tblGrid>
      <w:tr w:rsidR="00FF1E38" w:rsidRPr="00FF1E38" w14:paraId="36D74F28" w14:textId="77777777" w:rsidTr="00DE0C9A">
        <w:trPr>
          <w:cantSplit/>
          <w:tblHeader/>
        </w:trPr>
        <w:tc>
          <w:tcPr>
            <w:tcW w:w="9072" w:type="dxa"/>
            <w:gridSpan w:val="4"/>
            <w:shd w:val="clear" w:color="auto" w:fill="FFC000"/>
            <w:vAlign w:val="center"/>
          </w:tcPr>
          <w:p w14:paraId="7E98613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Život i zdravlje ljudi - epidemije i pandemije</w:t>
            </w:r>
          </w:p>
        </w:tc>
      </w:tr>
      <w:tr w:rsidR="00FF1E38" w:rsidRPr="00FF1E38" w14:paraId="3BF2B59E" w14:textId="77777777" w:rsidTr="00DE0C9A">
        <w:trPr>
          <w:cantSplit/>
          <w:tblHeader/>
        </w:trPr>
        <w:tc>
          <w:tcPr>
            <w:tcW w:w="1700" w:type="dxa"/>
            <w:shd w:val="clear" w:color="auto" w:fill="FFC000"/>
            <w:vAlign w:val="center"/>
          </w:tcPr>
          <w:p w14:paraId="7D047DE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Kategorija</w:t>
            </w:r>
          </w:p>
        </w:tc>
        <w:tc>
          <w:tcPr>
            <w:tcW w:w="2835" w:type="dxa"/>
            <w:shd w:val="clear" w:color="auto" w:fill="FFC000"/>
            <w:vAlign w:val="center"/>
          </w:tcPr>
          <w:p w14:paraId="305E247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Posljedice</w:t>
            </w:r>
          </w:p>
        </w:tc>
        <w:tc>
          <w:tcPr>
            <w:tcW w:w="2836" w:type="dxa"/>
            <w:shd w:val="clear" w:color="auto" w:fill="FFC000"/>
            <w:vAlign w:val="center"/>
          </w:tcPr>
          <w:p w14:paraId="26A9A94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Kriterij (br.st.)</w:t>
            </w:r>
          </w:p>
        </w:tc>
        <w:tc>
          <w:tcPr>
            <w:tcW w:w="1701" w:type="dxa"/>
            <w:shd w:val="clear" w:color="auto" w:fill="FFC000"/>
            <w:vAlign w:val="center"/>
          </w:tcPr>
          <w:p w14:paraId="55D087B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ODABRANO</w:t>
            </w:r>
          </w:p>
        </w:tc>
      </w:tr>
      <w:tr w:rsidR="00FF1E38" w:rsidRPr="00FF1E38" w14:paraId="76FF5E55" w14:textId="77777777" w:rsidTr="00DE0C9A">
        <w:trPr>
          <w:cantSplit/>
        </w:trPr>
        <w:tc>
          <w:tcPr>
            <w:tcW w:w="1700" w:type="dxa"/>
            <w:vAlign w:val="center"/>
          </w:tcPr>
          <w:p w14:paraId="692E553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w:t>
            </w:r>
          </w:p>
        </w:tc>
        <w:tc>
          <w:tcPr>
            <w:tcW w:w="2835" w:type="dxa"/>
            <w:vAlign w:val="center"/>
          </w:tcPr>
          <w:p w14:paraId="3187677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Neznatne</w:t>
            </w:r>
          </w:p>
        </w:tc>
        <w:tc>
          <w:tcPr>
            <w:tcW w:w="2836" w:type="dxa"/>
            <w:vAlign w:val="center"/>
          </w:tcPr>
          <w:p w14:paraId="3298DCD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&lt; 8</w:t>
            </w:r>
          </w:p>
        </w:tc>
        <w:tc>
          <w:tcPr>
            <w:tcW w:w="1701" w:type="dxa"/>
            <w:vAlign w:val="center"/>
          </w:tcPr>
          <w:p w14:paraId="2D5D7FDF"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20D050E9" w14:textId="77777777" w:rsidTr="00DE0C9A">
        <w:trPr>
          <w:cantSplit/>
        </w:trPr>
        <w:tc>
          <w:tcPr>
            <w:tcW w:w="1700" w:type="dxa"/>
            <w:shd w:val="clear" w:color="auto" w:fill="FFC000"/>
            <w:vAlign w:val="center"/>
          </w:tcPr>
          <w:p w14:paraId="3DD2D84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w:t>
            </w:r>
          </w:p>
        </w:tc>
        <w:tc>
          <w:tcPr>
            <w:tcW w:w="2835" w:type="dxa"/>
            <w:shd w:val="clear" w:color="auto" w:fill="FFC000"/>
            <w:vAlign w:val="center"/>
          </w:tcPr>
          <w:p w14:paraId="5CC080F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Malene</w:t>
            </w:r>
          </w:p>
        </w:tc>
        <w:tc>
          <w:tcPr>
            <w:tcW w:w="2836" w:type="dxa"/>
            <w:shd w:val="clear" w:color="auto" w:fill="FFC000"/>
            <w:vAlign w:val="center"/>
          </w:tcPr>
          <w:p w14:paraId="6021A8F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8 - 37</w:t>
            </w:r>
          </w:p>
        </w:tc>
        <w:tc>
          <w:tcPr>
            <w:tcW w:w="1701" w:type="dxa"/>
            <w:shd w:val="clear" w:color="auto" w:fill="FFC000"/>
            <w:vAlign w:val="center"/>
          </w:tcPr>
          <w:p w14:paraId="065C5FB5"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1CD9630D" w14:textId="77777777" w:rsidTr="00DE0C9A">
        <w:trPr>
          <w:cantSplit/>
        </w:trPr>
        <w:tc>
          <w:tcPr>
            <w:tcW w:w="1700" w:type="dxa"/>
            <w:vAlign w:val="center"/>
          </w:tcPr>
          <w:p w14:paraId="72BCD04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w:t>
            </w:r>
          </w:p>
        </w:tc>
        <w:tc>
          <w:tcPr>
            <w:tcW w:w="2835" w:type="dxa"/>
            <w:vAlign w:val="center"/>
          </w:tcPr>
          <w:p w14:paraId="508F71F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Umjerene</w:t>
            </w:r>
          </w:p>
        </w:tc>
        <w:tc>
          <w:tcPr>
            <w:tcW w:w="2836" w:type="dxa"/>
            <w:vAlign w:val="center"/>
          </w:tcPr>
          <w:p w14:paraId="2A13C48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38 - 95</w:t>
            </w:r>
          </w:p>
        </w:tc>
        <w:tc>
          <w:tcPr>
            <w:tcW w:w="1701" w:type="dxa"/>
            <w:vAlign w:val="center"/>
          </w:tcPr>
          <w:p w14:paraId="53667668"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2ADA5473" w14:textId="77777777" w:rsidTr="00DE0C9A">
        <w:trPr>
          <w:cantSplit/>
        </w:trPr>
        <w:tc>
          <w:tcPr>
            <w:tcW w:w="1700" w:type="dxa"/>
            <w:shd w:val="clear" w:color="auto" w:fill="FFC000"/>
            <w:vAlign w:val="center"/>
          </w:tcPr>
          <w:p w14:paraId="5AB9B97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w:t>
            </w:r>
          </w:p>
        </w:tc>
        <w:tc>
          <w:tcPr>
            <w:tcW w:w="2835" w:type="dxa"/>
            <w:shd w:val="clear" w:color="auto" w:fill="FFC000"/>
            <w:vAlign w:val="center"/>
          </w:tcPr>
          <w:p w14:paraId="220C2E7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Znatne</w:t>
            </w:r>
          </w:p>
        </w:tc>
        <w:tc>
          <w:tcPr>
            <w:tcW w:w="2836" w:type="dxa"/>
            <w:shd w:val="clear" w:color="auto" w:fill="FFC000"/>
            <w:vAlign w:val="center"/>
          </w:tcPr>
          <w:p w14:paraId="485E91B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96 - 288</w:t>
            </w:r>
          </w:p>
        </w:tc>
        <w:tc>
          <w:tcPr>
            <w:tcW w:w="1701" w:type="dxa"/>
            <w:shd w:val="clear" w:color="auto" w:fill="FFC000"/>
            <w:vAlign w:val="center"/>
          </w:tcPr>
          <w:p w14:paraId="6F084209"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01377DD0" w14:textId="77777777" w:rsidTr="00DE0C9A">
        <w:trPr>
          <w:cantSplit/>
        </w:trPr>
        <w:tc>
          <w:tcPr>
            <w:tcW w:w="1700" w:type="dxa"/>
            <w:vAlign w:val="center"/>
          </w:tcPr>
          <w:p w14:paraId="14E678F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w:t>
            </w:r>
          </w:p>
        </w:tc>
        <w:tc>
          <w:tcPr>
            <w:tcW w:w="2835" w:type="dxa"/>
            <w:vAlign w:val="center"/>
          </w:tcPr>
          <w:p w14:paraId="68BACC7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Katastrofalne</w:t>
            </w:r>
          </w:p>
        </w:tc>
        <w:tc>
          <w:tcPr>
            <w:tcW w:w="2836" w:type="dxa"/>
            <w:vAlign w:val="center"/>
          </w:tcPr>
          <w:p w14:paraId="6142779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&gt;289</w:t>
            </w:r>
          </w:p>
        </w:tc>
        <w:tc>
          <w:tcPr>
            <w:tcW w:w="1701" w:type="dxa"/>
            <w:vAlign w:val="center"/>
          </w:tcPr>
          <w:p w14:paraId="4DF3134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r>
    </w:tbl>
    <w:p w14:paraId="48E24112"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2AE72556" w14:textId="77777777" w:rsidR="00FF1E38" w:rsidRPr="00FF1E38" w:rsidRDefault="00FF1E38" w:rsidP="00FF1E38">
      <w:pPr>
        <w:spacing w:after="0" w:line="240" w:lineRule="auto"/>
        <w:ind w:left="0" w:right="0" w:firstLine="709"/>
        <w:rPr>
          <w:rFonts w:ascii="Times New Roman" w:hAnsi="Times New Roman" w:cs="Times New Roman"/>
          <w:b/>
          <w:i/>
          <w:sz w:val="24"/>
        </w:rPr>
      </w:pPr>
      <w:r w:rsidRPr="00FF1E38">
        <w:rPr>
          <w:rFonts w:ascii="Times New Roman" w:hAnsi="Times New Roman" w:cs="Times New Roman"/>
          <w:b/>
          <w:i/>
          <w:sz w:val="24"/>
        </w:rPr>
        <w:t>6.5.5.1.2. Gospodarstvo</w:t>
      </w:r>
    </w:p>
    <w:p w14:paraId="0090125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2015. bilježi se približno 80.000 oboljelih od gripe na razini cijele Hrvatske. Približno četvrtina oboljelih pripada Gradu Zagrebu i Zagrebačkoj županiji. Posljedično za prvi kvartal 2015. Klinika za infektivne bolesti "Dr. Fran Mihaljević" u Zagrebu (kao primjer) na kompletno liječenje teških respiratorno insuficijentnih pacijenata, njih 16, potrošila je približno 4.000.000 kn što je 250.000 kn po pacijentu (službeni podaci Klinike za infektivne bolesti "Dr. Fran Mihaljević"). Približno 75 % cijene u kalkulaciji iznosi cijena lijekova odnosno tehničko održavanje sustava za potpomognutu respiraciju s pročišćavanjem krvi (ECMO sustav). U ovom vjerojatnom scenariju troškovi liječenja hospitaliziranih oboljelih, kojih se procjenjuje da bi bilo 22.360 iz čitave Hrvatske,</w:t>
      </w:r>
      <w:r w:rsidRPr="00FF1E38">
        <w:rPr>
          <w:rFonts w:ascii="Times New Roman" w:hAnsi="Times New Roman" w:cs="Times New Roman"/>
          <w:color w:val="FF0000"/>
          <w:sz w:val="24"/>
        </w:rPr>
        <w:t xml:space="preserve"> </w:t>
      </w:r>
      <w:r w:rsidRPr="00FF1E38">
        <w:rPr>
          <w:rFonts w:ascii="Times New Roman" w:hAnsi="Times New Roman" w:cs="Times New Roman"/>
          <w:sz w:val="24"/>
        </w:rPr>
        <w:t>bili bi 351.052.000,00 kn, što ne uključuje troškove liječenja 447 teško oboljelih pacijenata koji bi zahtijevali intenzivnu skrb (ECMO aparat). Predviđeni trošak njihova liječenja je 111.750.000 kn.</w:t>
      </w:r>
    </w:p>
    <w:p w14:paraId="321D1D27"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Posljedice pandemije influence primarno će se očitovati indirektnim troškovima kao posljedice apsentizma zaposlenih osoba i troškovima zdravstvenog sustava za liječenje oboljelih i provođenje preventivnih mjera radi suzbijanja i sprječavanja daljnjeg širenja pandemije. Na 292 500 oboljelih na području Grada Zagreba tijekom epidemije bit će hospitalizirano 7 547 osoba, s troškovima liječenja u iznosu od 118.480.000 kn. Među hospitaliziranim osobama bit će 151 teško oboljeli pacijent na intenzivnoj skrbi, čiji bi trošak liječenja iznosio 37.732.500,00 kn.</w:t>
      </w:r>
    </w:p>
    <w:p w14:paraId="21F430D2" w14:textId="77777777" w:rsidR="00FF1E38" w:rsidRPr="00FF1E38" w:rsidRDefault="00FF1E38" w:rsidP="00FF1E38">
      <w:pPr>
        <w:spacing w:after="0" w:line="240" w:lineRule="auto"/>
        <w:ind w:left="0" w:right="0" w:firstLine="709"/>
        <w:rPr>
          <w:rFonts w:ascii="Times New Roman" w:eastAsia="Calibri" w:hAnsi="Times New Roman" w:cs="Times New Roman"/>
          <w:color w:val="auto"/>
          <w:sz w:val="24"/>
          <w:szCs w:val="24"/>
          <w:lang w:eastAsia="en-US"/>
        </w:rPr>
      </w:pPr>
      <w:r w:rsidRPr="00FF1E38">
        <w:rPr>
          <w:rFonts w:ascii="Times New Roman" w:eastAsia="Calibri" w:hAnsi="Times New Roman" w:cs="Times New Roman"/>
          <w:color w:val="auto"/>
          <w:sz w:val="24"/>
          <w:szCs w:val="24"/>
          <w:lang w:eastAsia="en-US"/>
        </w:rPr>
        <w:t>Što se tiče troškova bolovanja, prosječan iznos novčane nadoknade po danu bolovanja iznosi 145,00 kuna. Na bolovanje zbog gripe će otići 116 100 radno aktivnih osoba u prosječnom trajanju bolovanja od 15 dana, s ukupnim troškovima u iznosu od 261.225.000,00 kn. Tome treba pribrojiti i troškove koji nastanu zbog otežanog odvijanja proizvodnih procesa u uvjetima odsutnosti dijela specijalizirane radne snage i neispunjenja ugovora, tako da se ukupni troškovi kreću između 321.300.000,00 i 1.575.000.000,00 kuna.</w:t>
      </w:r>
    </w:p>
    <w:p w14:paraId="3001AA7D" w14:textId="2B43F72B" w:rsidR="00FF1E38" w:rsidRDefault="00FF1E38" w:rsidP="00FF1E38">
      <w:pPr>
        <w:spacing w:after="0" w:line="240" w:lineRule="auto"/>
        <w:ind w:left="0" w:right="0" w:firstLine="709"/>
        <w:rPr>
          <w:rFonts w:ascii="Times New Roman" w:eastAsia="Calibri" w:hAnsi="Times New Roman" w:cs="Times New Roman"/>
          <w:color w:val="auto"/>
          <w:sz w:val="24"/>
          <w:szCs w:val="24"/>
          <w:lang w:eastAsia="en-US"/>
        </w:rPr>
      </w:pPr>
      <w:r w:rsidRPr="00FF1E38">
        <w:rPr>
          <w:rFonts w:ascii="Times New Roman" w:eastAsia="Calibri" w:hAnsi="Times New Roman" w:cs="Times New Roman"/>
          <w:color w:val="auto"/>
          <w:sz w:val="24"/>
          <w:szCs w:val="24"/>
          <w:lang w:eastAsia="en-US"/>
        </w:rPr>
        <w:t xml:space="preserve">Pet milijardi kuna cijena je troškova epidemije koronavirusa Hrvatskog zavoda za zdravstveno osiguranje, i to do veljače 2022. godine. Tu je riječ o samo četiri stavke koje se tiču epidemije: testiranju, liječenju i bolovanju te troškovima cijepljenja. Dakle, bez svih drugih gospodarskih troškova, kao i bez nove opreme, adaptacija bolnica i raznih drugih objekata koji su se u epidemiji koristili za prihvat bolesnika. Troškovi na razini Grada Zagreba do 11.05.2022. iznose 1.613,50 milijardi kuna. </w:t>
      </w:r>
    </w:p>
    <w:p w14:paraId="696E0722" w14:textId="3D148D60" w:rsidR="00C10FBE" w:rsidRDefault="00C10FBE" w:rsidP="00FF1E38">
      <w:pPr>
        <w:spacing w:after="0" w:line="240" w:lineRule="auto"/>
        <w:ind w:left="0" w:right="0" w:firstLine="709"/>
        <w:rPr>
          <w:rFonts w:ascii="Times New Roman" w:eastAsia="Calibri" w:hAnsi="Times New Roman" w:cs="Times New Roman"/>
          <w:color w:val="auto"/>
          <w:sz w:val="24"/>
          <w:szCs w:val="24"/>
          <w:lang w:eastAsia="en-US"/>
        </w:rPr>
      </w:pPr>
    </w:p>
    <w:p w14:paraId="58807689" w14:textId="53505DBB" w:rsidR="00C10FBE" w:rsidRDefault="00C10FBE" w:rsidP="00FF1E38">
      <w:pPr>
        <w:spacing w:after="0" w:line="240" w:lineRule="auto"/>
        <w:ind w:left="0" w:right="0" w:firstLine="709"/>
        <w:rPr>
          <w:rFonts w:ascii="Times New Roman" w:eastAsia="Calibri" w:hAnsi="Times New Roman" w:cs="Times New Roman"/>
          <w:color w:val="auto"/>
          <w:sz w:val="24"/>
          <w:szCs w:val="24"/>
          <w:lang w:eastAsia="en-US"/>
        </w:rPr>
      </w:pPr>
    </w:p>
    <w:p w14:paraId="4D28A15B" w14:textId="2AC2F268" w:rsidR="00C10FBE" w:rsidRDefault="00C10FBE" w:rsidP="00FF1E38">
      <w:pPr>
        <w:spacing w:after="0" w:line="240" w:lineRule="auto"/>
        <w:ind w:left="0" w:right="0" w:firstLine="709"/>
        <w:rPr>
          <w:rFonts w:ascii="Times New Roman" w:eastAsia="Calibri" w:hAnsi="Times New Roman" w:cs="Times New Roman"/>
          <w:color w:val="auto"/>
          <w:sz w:val="24"/>
          <w:szCs w:val="24"/>
          <w:lang w:eastAsia="en-US"/>
        </w:rPr>
      </w:pPr>
    </w:p>
    <w:p w14:paraId="13DA4B2A" w14:textId="38823365" w:rsidR="00C10FBE" w:rsidRDefault="00C10FBE" w:rsidP="00FF1E38">
      <w:pPr>
        <w:spacing w:after="0" w:line="240" w:lineRule="auto"/>
        <w:ind w:left="0" w:right="0" w:firstLine="709"/>
        <w:rPr>
          <w:rFonts w:ascii="Times New Roman" w:eastAsia="Calibri" w:hAnsi="Times New Roman" w:cs="Times New Roman"/>
          <w:color w:val="auto"/>
          <w:sz w:val="24"/>
          <w:szCs w:val="24"/>
          <w:lang w:eastAsia="en-US"/>
        </w:rPr>
      </w:pPr>
    </w:p>
    <w:p w14:paraId="75FA78D0" w14:textId="77777777" w:rsidR="00C10FBE" w:rsidRPr="00FF1E38" w:rsidRDefault="00C10FBE" w:rsidP="00FF1E38">
      <w:pPr>
        <w:spacing w:after="0" w:line="240" w:lineRule="auto"/>
        <w:ind w:left="0" w:right="0" w:firstLine="709"/>
        <w:rPr>
          <w:rFonts w:ascii="Times New Roman" w:hAnsi="Times New Roman" w:cs="Times New Roman"/>
          <w:sz w:val="24"/>
        </w:rPr>
      </w:pPr>
    </w:p>
    <w:p w14:paraId="4AF65676" w14:textId="77777777" w:rsidR="00FF1E38" w:rsidRPr="00FF1E38" w:rsidRDefault="00FF1E38" w:rsidP="00FF1E38">
      <w:pPr>
        <w:spacing w:after="0" w:line="240" w:lineRule="auto"/>
        <w:ind w:left="0" w:right="0" w:firstLine="0"/>
        <w:rPr>
          <w:rFonts w:ascii="Times New Roman" w:hAnsi="Times New Roman" w:cs="Times New Roman"/>
          <w:sz w:val="24"/>
        </w:rPr>
      </w:pPr>
    </w:p>
    <w:p w14:paraId="675FD547" w14:textId="1693C368" w:rsidR="00FF1E38" w:rsidRPr="00311052" w:rsidRDefault="00FF1E38" w:rsidP="00C10FBE">
      <w:pPr>
        <w:spacing w:line="240" w:lineRule="auto"/>
        <w:ind w:left="0" w:right="0" w:firstLine="0"/>
        <w:jc w:val="center"/>
        <w:rPr>
          <w:rFonts w:ascii="Times New Roman" w:hAnsi="Times New Roman" w:cs="Times New Roman"/>
          <w:b/>
          <w:color w:val="auto"/>
          <w:sz w:val="24"/>
        </w:rPr>
      </w:pPr>
      <w:r w:rsidRPr="00311052">
        <w:rPr>
          <w:rFonts w:ascii="Times New Roman" w:hAnsi="Times New Roman" w:cs="Times New Roman"/>
          <w:b/>
          <w:color w:val="auto"/>
          <w:sz w:val="24"/>
        </w:rPr>
        <w:lastRenderedPageBreak/>
        <w:t xml:space="preserve">Tablica </w:t>
      </w:r>
      <w:r w:rsidR="00311052" w:rsidRPr="00311052">
        <w:rPr>
          <w:rFonts w:ascii="Times New Roman" w:hAnsi="Times New Roman" w:cs="Times New Roman"/>
          <w:b/>
          <w:color w:val="auto"/>
          <w:sz w:val="24"/>
        </w:rPr>
        <w:t>99</w:t>
      </w:r>
      <w:r w:rsidRPr="00311052">
        <w:rPr>
          <w:rFonts w:ascii="Times New Roman" w:hAnsi="Times New Roman" w:cs="Times New Roman"/>
          <w:b/>
          <w:color w:val="auto"/>
          <w:sz w:val="24"/>
        </w:rPr>
        <w:t xml:space="preserve">. Vrijednost kriterija za posljedice na gospodarstvo po kategorijama </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01"/>
        <w:gridCol w:w="2835"/>
        <w:gridCol w:w="2835"/>
        <w:gridCol w:w="1701"/>
      </w:tblGrid>
      <w:tr w:rsidR="00FF1E38" w:rsidRPr="00FF1E38" w14:paraId="7BD03FA0" w14:textId="77777777" w:rsidTr="00DE0C9A">
        <w:trPr>
          <w:cantSplit/>
        </w:trPr>
        <w:tc>
          <w:tcPr>
            <w:tcW w:w="9072" w:type="dxa"/>
            <w:gridSpan w:val="4"/>
            <w:shd w:val="clear" w:color="auto" w:fill="FFC000"/>
            <w:vAlign w:val="center"/>
          </w:tcPr>
          <w:p w14:paraId="484435C9"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r w:rsidRPr="00FF1E38">
              <w:rPr>
                <w:rFonts w:ascii="Times New Roman" w:hAnsi="Times New Roman" w:cs="Times New Roman"/>
                <w:b/>
                <w:color w:val="auto"/>
              </w:rPr>
              <w:t>Gospodarstvo – epidemije i pandemije</w:t>
            </w:r>
          </w:p>
        </w:tc>
      </w:tr>
      <w:tr w:rsidR="00FF1E38" w:rsidRPr="00FF1E38" w14:paraId="4F7BEFB7" w14:textId="77777777" w:rsidTr="00DE0C9A">
        <w:trPr>
          <w:cantSplit/>
        </w:trPr>
        <w:tc>
          <w:tcPr>
            <w:tcW w:w="1701" w:type="dxa"/>
            <w:shd w:val="clear" w:color="auto" w:fill="FFC000"/>
            <w:vAlign w:val="center"/>
          </w:tcPr>
          <w:p w14:paraId="7F25D4A2"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r w:rsidRPr="00FF1E38">
              <w:rPr>
                <w:rFonts w:ascii="Times New Roman" w:hAnsi="Times New Roman" w:cs="Times New Roman"/>
                <w:b/>
                <w:color w:val="auto"/>
              </w:rPr>
              <w:t>Kategorija</w:t>
            </w:r>
          </w:p>
        </w:tc>
        <w:tc>
          <w:tcPr>
            <w:tcW w:w="2835" w:type="dxa"/>
            <w:shd w:val="clear" w:color="auto" w:fill="FFC000"/>
            <w:vAlign w:val="center"/>
          </w:tcPr>
          <w:p w14:paraId="695B4043"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r w:rsidRPr="00FF1E38">
              <w:rPr>
                <w:rFonts w:ascii="Times New Roman" w:hAnsi="Times New Roman" w:cs="Times New Roman"/>
                <w:b/>
                <w:color w:val="auto"/>
              </w:rPr>
              <w:t>Posljedice</w:t>
            </w:r>
          </w:p>
        </w:tc>
        <w:tc>
          <w:tcPr>
            <w:tcW w:w="2835" w:type="dxa"/>
            <w:shd w:val="clear" w:color="auto" w:fill="FFC000"/>
            <w:vAlign w:val="center"/>
          </w:tcPr>
          <w:p w14:paraId="6CBD3C74"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r w:rsidRPr="00FF1E38">
              <w:rPr>
                <w:rFonts w:ascii="Times New Roman" w:hAnsi="Times New Roman" w:cs="Times New Roman"/>
                <w:b/>
                <w:color w:val="auto"/>
              </w:rPr>
              <w:t>Kriteriji (kn)</w:t>
            </w:r>
          </w:p>
        </w:tc>
        <w:tc>
          <w:tcPr>
            <w:tcW w:w="1701" w:type="dxa"/>
            <w:shd w:val="clear" w:color="auto" w:fill="FFC000"/>
            <w:vAlign w:val="center"/>
          </w:tcPr>
          <w:p w14:paraId="32C5207B"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r w:rsidRPr="00FF1E38">
              <w:rPr>
                <w:rFonts w:ascii="Times New Roman" w:hAnsi="Times New Roman" w:cs="Times New Roman"/>
                <w:b/>
                <w:color w:val="auto"/>
              </w:rPr>
              <w:t>ODABRANO</w:t>
            </w:r>
          </w:p>
        </w:tc>
      </w:tr>
      <w:tr w:rsidR="00FF1E38" w:rsidRPr="00FF1E38" w14:paraId="2941B814" w14:textId="77777777" w:rsidTr="00DE0C9A">
        <w:trPr>
          <w:cantSplit/>
        </w:trPr>
        <w:tc>
          <w:tcPr>
            <w:tcW w:w="1701" w:type="dxa"/>
            <w:vAlign w:val="center"/>
          </w:tcPr>
          <w:p w14:paraId="60A821EF"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r w:rsidRPr="00FF1E38">
              <w:rPr>
                <w:rFonts w:ascii="Times New Roman" w:hAnsi="Times New Roman" w:cs="Times New Roman"/>
                <w:color w:val="auto"/>
              </w:rPr>
              <w:t>1.</w:t>
            </w:r>
          </w:p>
        </w:tc>
        <w:tc>
          <w:tcPr>
            <w:tcW w:w="2835" w:type="dxa"/>
            <w:vAlign w:val="center"/>
          </w:tcPr>
          <w:p w14:paraId="2D2AC197"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r w:rsidRPr="00FF1E38">
              <w:rPr>
                <w:rFonts w:ascii="Times New Roman" w:hAnsi="Times New Roman" w:cs="Times New Roman"/>
                <w:color w:val="auto"/>
              </w:rPr>
              <w:t>Neznatne</w:t>
            </w:r>
          </w:p>
        </w:tc>
        <w:tc>
          <w:tcPr>
            <w:tcW w:w="2835" w:type="dxa"/>
            <w:vAlign w:val="center"/>
          </w:tcPr>
          <w:p w14:paraId="5C5189AE"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r w:rsidRPr="00FF1E38">
              <w:rPr>
                <w:rFonts w:ascii="Times New Roman" w:hAnsi="Times New Roman" w:cs="Times New Roman"/>
                <w:color w:val="auto"/>
              </w:rPr>
              <w:t>75.634.600 - 151.269.100</w:t>
            </w:r>
          </w:p>
        </w:tc>
        <w:tc>
          <w:tcPr>
            <w:tcW w:w="1701" w:type="dxa"/>
            <w:vAlign w:val="center"/>
          </w:tcPr>
          <w:p w14:paraId="3F1BD185"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p>
        </w:tc>
      </w:tr>
      <w:tr w:rsidR="00FF1E38" w:rsidRPr="00FF1E38" w14:paraId="21011C43" w14:textId="77777777" w:rsidTr="00DE0C9A">
        <w:trPr>
          <w:cantSplit/>
        </w:trPr>
        <w:tc>
          <w:tcPr>
            <w:tcW w:w="1701" w:type="dxa"/>
            <w:shd w:val="clear" w:color="auto" w:fill="FFC000"/>
            <w:vAlign w:val="center"/>
          </w:tcPr>
          <w:p w14:paraId="593FAC28"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r w:rsidRPr="00FF1E38">
              <w:rPr>
                <w:rFonts w:ascii="Times New Roman" w:hAnsi="Times New Roman" w:cs="Times New Roman"/>
                <w:color w:val="auto"/>
              </w:rPr>
              <w:t>2.</w:t>
            </w:r>
          </w:p>
        </w:tc>
        <w:tc>
          <w:tcPr>
            <w:tcW w:w="2835" w:type="dxa"/>
            <w:shd w:val="clear" w:color="auto" w:fill="FFC000"/>
            <w:vAlign w:val="center"/>
          </w:tcPr>
          <w:p w14:paraId="7ABC7303"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r w:rsidRPr="00FF1E38">
              <w:rPr>
                <w:rFonts w:ascii="Times New Roman" w:hAnsi="Times New Roman" w:cs="Times New Roman"/>
                <w:color w:val="auto"/>
              </w:rPr>
              <w:t>Malene</w:t>
            </w:r>
          </w:p>
        </w:tc>
        <w:tc>
          <w:tcPr>
            <w:tcW w:w="2835" w:type="dxa"/>
            <w:shd w:val="clear" w:color="auto" w:fill="FFC000"/>
            <w:vAlign w:val="center"/>
          </w:tcPr>
          <w:p w14:paraId="2A953D4A"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r w:rsidRPr="00FF1E38">
              <w:rPr>
                <w:rFonts w:ascii="Times New Roman" w:hAnsi="Times New Roman" w:cs="Times New Roman"/>
                <w:color w:val="auto"/>
              </w:rPr>
              <w:t>151.269.100 - 756.345.600</w:t>
            </w:r>
          </w:p>
        </w:tc>
        <w:tc>
          <w:tcPr>
            <w:tcW w:w="1701" w:type="dxa"/>
            <w:shd w:val="clear" w:color="auto" w:fill="FFC000"/>
            <w:vAlign w:val="center"/>
          </w:tcPr>
          <w:p w14:paraId="3A5D1BD2"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p>
        </w:tc>
      </w:tr>
      <w:tr w:rsidR="00FF1E38" w:rsidRPr="00FF1E38" w14:paraId="4335BF82" w14:textId="77777777" w:rsidTr="00DE0C9A">
        <w:trPr>
          <w:cantSplit/>
        </w:trPr>
        <w:tc>
          <w:tcPr>
            <w:tcW w:w="1701" w:type="dxa"/>
            <w:vAlign w:val="center"/>
          </w:tcPr>
          <w:p w14:paraId="42A5E911"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r w:rsidRPr="00FF1E38">
              <w:rPr>
                <w:rFonts w:ascii="Times New Roman" w:hAnsi="Times New Roman" w:cs="Times New Roman"/>
                <w:color w:val="auto"/>
              </w:rPr>
              <w:t>3.</w:t>
            </w:r>
          </w:p>
        </w:tc>
        <w:tc>
          <w:tcPr>
            <w:tcW w:w="2835" w:type="dxa"/>
            <w:vAlign w:val="center"/>
          </w:tcPr>
          <w:p w14:paraId="71EB09E3"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r w:rsidRPr="00FF1E38">
              <w:rPr>
                <w:rFonts w:ascii="Times New Roman" w:hAnsi="Times New Roman" w:cs="Times New Roman"/>
                <w:color w:val="auto"/>
              </w:rPr>
              <w:t>Umjerene</w:t>
            </w:r>
          </w:p>
        </w:tc>
        <w:tc>
          <w:tcPr>
            <w:tcW w:w="2835" w:type="dxa"/>
            <w:vAlign w:val="center"/>
          </w:tcPr>
          <w:p w14:paraId="60E74C10"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r w:rsidRPr="00FF1E38">
              <w:rPr>
                <w:rFonts w:ascii="Times New Roman" w:hAnsi="Times New Roman" w:cs="Times New Roman"/>
                <w:color w:val="auto"/>
              </w:rPr>
              <w:t>756.345.600 - 2.269.036.800</w:t>
            </w:r>
          </w:p>
        </w:tc>
        <w:tc>
          <w:tcPr>
            <w:tcW w:w="1701" w:type="dxa"/>
            <w:vAlign w:val="center"/>
          </w:tcPr>
          <w:p w14:paraId="245DF2BB"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p>
        </w:tc>
      </w:tr>
      <w:tr w:rsidR="00FF1E38" w:rsidRPr="00FF1E38" w14:paraId="4440437B" w14:textId="77777777" w:rsidTr="00DE0C9A">
        <w:trPr>
          <w:cantSplit/>
        </w:trPr>
        <w:tc>
          <w:tcPr>
            <w:tcW w:w="1701" w:type="dxa"/>
            <w:shd w:val="clear" w:color="auto" w:fill="FFC000"/>
            <w:vAlign w:val="center"/>
          </w:tcPr>
          <w:p w14:paraId="0000B453"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r w:rsidRPr="00FF1E38">
              <w:rPr>
                <w:rFonts w:ascii="Times New Roman" w:hAnsi="Times New Roman" w:cs="Times New Roman"/>
                <w:color w:val="auto"/>
              </w:rPr>
              <w:t>4.</w:t>
            </w:r>
          </w:p>
        </w:tc>
        <w:tc>
          <w:tcPr>
            <w:tcW w:w="2835" w:type="dxa"/>
            <w:shd w:val="clear" w:color="auto" w:fill="FFC000"/>
            <w:vAlign w:val="center"/>
          </w:tcPr>
          <w:p w14:paraId="36127C51"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r w:rsidRPr="00FF1E38">
              <w:rPr>
                <w:rFonts w:ascii="Times New Roman" w:hAnsi="Times New Roman" w:cs="Times New Roman"/>
                <w:color w:val="auto"/>
              </w:rPr>
              <w:t>Znatne</w:t>
            </w:r>
          </w:p>
        </w:tc>
        <w:tc>
          <w:tcPr>
            <w:tcW w:w="2835" w:type="dxa"/>
            <w:shd w:val="clear" w:color="auto" w:fill="FFC000"/>
            <w:vAlign w:val="center"/>
          </w:tcPr>
          <w:p w14:paraId="7E37F0B0"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r w:rsidRPr="00FF1E38">
              <w:rPr>
                <w:rFonts w:ascii="Times New Roman" w:hAnsi="Times New Roman" w:cs="Times New Roman"/>
                <w:color w:val="auto"/>
              </w:rPr>
              <w:t>2.269.036.800 - 3.781.727.900</w:t>
            </w:r>
          </w:p>
        </w:tc>
        <w:tc>
          <w:tcPr>
            <w:tcW w:w="1701" w:type="dxa"/>
            <w:shd w:val="clear" w:color="auto" w:fill="FFC000"/>
            <w:vAlign w:val="center"/>
          </w:tcPr>
          <w:p w14:paraId="43197F95"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r w:rsidRPr="00FF1E38">
              <w:rPr>
                <w:rFonts w:ascii="Times New Roman" w:hAnsi="Times New Roman" w:cs="Times New Roman"/>
                <w:color w:val="auto"/>
              </w:rPr>
              <w:t>x</w:t>
            </w:r>
          </w:p>
        </w:tc>
      </w:tr>
      <w:tr w:rsidR="00FF1E38" w:rsidRPr="00FF1E38" w14:paraId="4F4C6954" w14:textId="77777777" w:rsidTr="00DE0C9A">
        <w:trPr>
          <w:cantSplit/>
        </w:trPr>
        <w:tc>
          <w:tcPr>
            <w:tcW w:w="1701" w:type="dxa"/>
            <w:vAlign w:val="center"/>
          </w:tcPr>
          <w:p w14:paraId="7069A30B"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r w:rsidRPr="00FF1E38">
              <w:rPr>
                <w:rFonts w:ascii="Times New Roman" w:hAnsi="Times New Roman" w:cs="Times New Roman"/>
                <w:color w:val="auto"/>
              </w:rPr>
              <w:t>5.</w:t>
            </w:r>
          </w:p>
        </w:tc>
        <w:tc>
          <w:tcPr>
            <w:tcW w:w="2835" w:type="dxa"/>
            <w:vAlign w:val="center"/>
          </w:tcPr>
          <w:p w14:paraId="1FA0C347"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r w:rsidRPr="00FF1E38">
              <w:rPr>
                <w:rFonts w:ascii="Times New Roman" w:hAnsi="Times New Roman" w:cs="Times New Roman"/>
                <w:color w:val="auto"/>
              </w:rPr>
              <w:t>Katastrofalne</w:t>
            </w:r>
          </w:p>
        </w:tc>
        <w:tc>
          <w:tcPr>
            <w:tcW w:w="2835" w:type="dxa"/>
            <w:vAlign w:val="center"/>
          </w:tcPr>
          <w:p w14:paraId="75702C05"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r w:rsidRPr="00FF1E38">
              <w:rPr>
                <w:rFonts w:ascii="Times New Roman" w:hAnsi="Times New Roman" w:cs="Times New Roman"/>
                <w:color w:val="auto"/>
              </w:rPr>
              <w:t>&gt;3.781.727.900</w:t>
            </w:r>
          </w:p>
        </w:tc>
        <w:tc>
          <w:tcPr>
            <w:tcW w:w="1701" w:type="dxa"/>
            <w:vAlign w:val="center"/>
          </w:tcPr>
          <w:p w14:paraId="6B55A29E" w14:textId="77777777" w:rsidR="00FF1E38" w:rsidRPr="00FF1E38" w:rsidRDefault="00FF1E38" w:rsidP="00FF1E38">
            <w:pPr>
              <w:spacing w:after="0" w:line="240" w:lineRule="auto"/>
              <w:ind w:left="0" w:right="0" w:firstLine="0"/>
              <w:jc w:val="center"/>
              <w:rPr>
                <w:rFonts w:ascii="Times New Roman" w:hAnsi="Times New Roman" w:cs="Times New Roman"/>
                <w:color w:val="auto"/>
              </w:rPr>
            </w:pPr>
          </w:p>
        </w:tc>
      </w:tr>
    </w:tbl>
    <w:p w14:paraId="4171A4F1"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3FD17AD5" w14:textId="77777777" w:rsidR="00FF1E38" w:rsidRPr="00FF1E38" w:rsidRDefault="00FF1E38" w:rsidP="00FF1E38">
      <w:pPr>
        <w:spacing w:after="0" w:line="240" w:lineRule="auto"/>
        <w:ind w:left="0" w:right="0" w:firstLine="709"/>
        <w:rPr>
          <w:rFonts w:ascii="Times New Roman" w:hAnsi="Times New Roman" w:cs="Times New Roman"/>
          <w:b/>
          <w:i/>
          <w:sz w:val="24"/>
        </w:rPr>
      </w:pPr>
      <w:r w:rsidRPr="00FF1E38">
        <w:rPr>
          <w:rFonts w:ascii="Times New Roman" w:hAnsi="Times New Roman" w:cs="Times New Roman"/>
          <w:b/>
          <w:i/>
          <w:sz w:val="24"/>
        </w:rPr>
        <w:t>6.5.5.1.3. Društvena stabilnost i politika</w:t>
      </w:r>
    </w:p>
    <w:p w14:paraId="62620994"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Iako se može očekivati prekid uobičajenog rada javnih službi, primjerenom organizacijom i ciljanim preventivnim mjerama sukladno navedenom planu, održala bi se potrebna razina aktivnosti prijeko potrebnih da se zadovolje elementarne potrebe stanovništva u takvim uvjetima. S obzirom na to da je dolazak pandemijskog vala gripe u Hrvatskoj uslijedio nekoliko mjeseci nakon pandemije u Aziji i prvih grupiranja gripe u nekim europskim zemljama, epidemiološka služba je kroz svoju mrežnu strukturu uspjela provesti organizaciju i ciljane preventivne mjere sukladno</w:t>
      </w:r>
      <w:r w:rsidRPr="00FF1E38">
        <w:rPr>
          <w:rFonts w:ascii="Times New Roman" w:eastAsia="Calibri" w:hAnsi="Times New Roman" w:cs="Times New Roman"/>
          <w:sz w:val="24"/>
        </w:rPr>
        <w:t xml:space="preserve"> </w:t>
      </w:r>
      <w:r w:rsidRPr="00FF1E38">
        <w:rPr>
          <w:rFonts w:ascii="Times New Roman" w:hAnsi="Times New Roman" w:cs="Times New Roman"/>
          <w:sz w:val="24"/>
        </w:rPr>
        <w:t>postojećem nacionalnom planu te se tako održala potrebna razina aktivnosti javnih službi prijeko potrebnih da se zadovolje elementarne potrebe stanovništva u takvim uvjetima.</w:t>
      </w:r>
    </w:p>
    <w:p w14:paraId="6616688D"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Nisu zabilježena znatnija oštećenja kritične infrastrukture, štete/gubici na građevinama od javnog društvenog značaja, niti prekid dulji od 10 dana u radu kritičnih infrastruktura. Također, nije bilo znatnih šteta i gubitaka na građevinama od javnog društvenog značaja. Iako je zbog povećanog broja bolovanja došlo do poteškoća u radu kritičnih službi koje su zahtijevale i prekovremeni rad i uvođenje dodatnih smjena, zbog provedbe preventivnih mjera i organizacijskih prilagodbi nisu prestale raditi dulje od 10 dana.</w:t>
      </w:r>
    </w:p>
    <w:p w14:paraId="04B5D7BF" w14:textId="77777777" w:rsidR="00FF1E38" w:rsidRPr="00FF1E38" w:rsidRDefault="00FF1E38" w:rsidP="00FF1E38">
      <w:pPr>
        <w:spacing w:after="0" w:line="240" w:lineRule="auto"/>
        <w:ind w:left="0" w:right="0" w:firstLine="709"/>
        <w:rPr>
          <w:rFonts w:ascii="Times New Roman" w:hAnsi="Times New Roman" w:cs="Times New Roman"/>
          <w:sz w:val="24"/>
        </w:rPr>
      </w:pPr>
    </w:p>
    <w:p w14:paraId="4F226ACA" w14:textId="73294133" w:rsidR="00FF1E38" w:rsidRPr="00FF1E38" w:rsidRDefault="00FF1E38" w:rsidP="00FF1E38">
      <w:pPr>
        <w:spacing w:after="160" w:line="259" w:lineRule="auto"/>
        <w:ind w:left="0" w:right="0" w:firstLine="0"/>
        <w:jc w:val="center"/>
        <w:rPr>
          <w:rFonts w:ascii="Times New Roman" w:hAnsi="Times New Roman" w:cs="Times New Roman"/>
          <w:b/>
          <w:sz w:val="24"/>
        </w:rPr>
      </w:pPr>
      <w:r w:rsidRPr="00311052">
        <w:rPr>
          <w:rFonts w:ascii="Times New Roman" w:hAnsi="Times New Roman" w:cs="Times New Roman"/>
          <w:b/>
          <w:color w:val="auto"/>
          <w:sz w:val="24"/>
        </w:rPr>
        <w:t xml:space="preserve">Tablica </w:t>
      </w:r>
      <w:r w:rsidR="00311052" w:rsidRPr="00311052">
        <w:rPr>
          <w:rFonts w:ascii="Times New Roman" w:hAnsi="Times New Roman" w:cs="Times New Roman"/>
          <w:b/>
          <w:color w:val="auto"/>
          <w:sz w:val="24"/>
        </w:rPr>
        <w:t>100</w:t>
      </w:r>
      <w:r w:rsidRPr="00311052">
        <w:rPr>
          <w:rFonts w:ascii="Times New Roman" w:hAnsi="Times New Roman" w:cs="Times New Roman"/>
          <w:b/>
          <w:color w:val="auto"/>
          <w:sz w:val="24"/>
        </w:rPr>
        <w:t xml:space="preserve">. Vrijednost kriterija za posljedice na društvenu stabilnost i politiku - </w:t>
      </w:r>
      <w:r w:rsidRPr="00FF1E38">
        <w:rPr>
          <w:rFonts w:ascii="Times New Roman" w:hAnsi="Times New Roman" w:cs="Times New Roman"/>
          <w:b/>
          <w:sz w:val="24"/>
        </w:rPr>
        <w:t>oštećena kritična infrastruktura</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60" w:type="dxa"/>
        </w:tblCellMar>
        <w:tblLook w:val="04A0" w:firstRow="1" w:lastRow="0" w:firstColumn="1" w:lastColumn="0" w:noHBand="0" w:noVBand="1"/>
      </w:tblPr>
      <w:tblGrid>
        <w:gridCol w:w="1700"/>
        <w:gridCol w:w="2690"/>
        <w:gridCol w:w="3118"/>
        <w:gridCol w:w="1564"/>
      </w:tblGrid>
      <w:tr w:rsidR="00FF1E38" w:rsidRPr="00FF1E38" w14:paraId="029502E1" w14:textId="77777777" w:rsidTr="00DE0C9A">
        <w:trPr>
          <w:cantSplit/>
          <w:tblHeader/>
          <w:jc w:val="center"/>
        </w:trPr>
        <w:tc>
          <w:tcPr>
            <w:tcW w:w="9072" w:type="dxa"/>
            <w:gridSpan w:val="4"/>
            <w:shd w:val="clear" w:color="auto" w:fill="FFC000"/>
            <w:vAlign w:val="center"/>
          </w:tcPr>
          <w:p w14:paraId="7667AE4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Oštećena kritična infrastruktura – epidemije i pandemije</w:t>
            </w:r>
          </w:p>
        </w:tc>
      </w:tr>
      <w:tr w:rsidR="00FF1E38" w:rsidRPr="00FF1E38" w14:paraId="0418AE20" w14:textId="77777777" w:rsidTr="00DE0C9A">
        <w:trPr>
          <w:cantSplit/>
          <w:tblHeader/>
          <w:jc w:val="center"/>
        </w:trPr>
        <w:tc>
          <w:tcPr>
            <w:tcW w:w="1700" w:type="dxa"/>
            <w:shd w:val="clear" w:color="auto" w:fill="FFC000"/>
            <w:vAlign w:val="center"/>
          </w:tcPr>
          <w:p w14:paraId="299C309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Kategorija</w:t>
            </w:r>
          </w:p>
        </w:tc>
        <w:tc>
          <w:tcPr>
            <w:tcW w:w="2690" w:type="dxa"/>
            <w:shd w:val="clear" w:color="auto" w:fill="FFC000"/>
            <w:vAlign w:val="center"/>
          </w:tcPr>
          <w:p w14:paraId="68016CF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Posljedice</w:t>
            </w:r>
          </w:p>
        </w:tc>
        <w:tc>
          <w:tcPr>
            <w:tcW w:w="3118" w:type="dxa"/>
            <w:shd w:val="clear" w:color="auto" w:fill="FFC000"/>
            <w:vAlign w:val="center"/>
          </w:tcPr>
          <w:p w14:paraId="19BF567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Kriteriji (kn)</w:t>
            </w:r>
          </w:p>
        </w:tc>
        <w:tc>
          <w:tcPr>
            <w:tcW w:w="1564" w:type="dxa"/>
            <w:shd w:val="clear" w:color="auto" w:fill="FFC000"/>
            <w:vAlign w:val="center"/>
          </w:tcPr>
          <w:p w14:paraId="5C6404C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ODABRANO</w:t>
            </w:r>
          </w:p>
        </w:tc>
      </w:tr>
      <w:tr w:rsidR="00FF1E38" w:rsidRPr="00FF1E38" w14:paraId="455FF030" w14:textId="77777777" w:rsidTr="00DE0C9A">
        <w:trPr>
          <w:cantSplit/>
          <w:jc w:val="center"/>
        </w:trPr>
        <w:tc>
          <w:tcPr>
            <w:tcW w:w="1700" w:type="dxa"/>
            <w:vAlign w:val="center"/>
          </w:tcPr>
          <w:p w14:paraId="41DCB4F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w:t>
            </w:r>
          </w:p>
        </w:tc>
        <w:tc>
          <w:tcPr>
            <w:tcW w:w="2690" w:type="dxa"/>
            <w:vAlign w:val="center"/>
          </w:tcPr>
          <w:p w14:paraId="4B16B86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Neznatne</w:t>
            </w:r>
          </w:p>
        </w:tc>
        <w:tc>
          <w:tcPr>
            <w:tcW w:w="3118" w:type="dxa"/>
            <w:vAlign w:val="center"/>
          </w:tcPr>
          <w:p w14:paraId="41AC1C8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75.634.600 - 151.269.100</w:t>
            </w:r>
          </w:p>
        </w:tc>
        <w:tc>
          <w:tcPr>
            <w:tcW w:w="1564" w:type="dxa"/>
            <w:vAlign w:val="center"/>
          </w:tcPr>
          <w:p w14:paraId="02CE74B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r>
      <w:tr w:rsidR="00FF1E38" w:rsidRPr="00FF1E38" w14:paraId="74D4C7AB" w14:textId="77777777" w:rsidTr="00DE0C9A">
        <w:trPr>
          <w:cantSplit/>
          <w:jc w:val="center"/>
        </w:trPr>
        <w:tc>
          <w:tcPr>
            <w:tcW w:w="1700" w:type="dxa"/>
            <w:shd w:val="clear" w:color="auto" w:fill="FFC000"/>
            <w:vAlign w:val="center"/>
          </w:tcPr>
          <w:p w14:paraId="0C8E304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w:t>
            </w:r>
          </w:p>
        </w:tc>
        <w:tc>
          <w:tcPr>
            <w:tcW w:w="2690" w:type="dxa"/>
            <w:shd w:val="clear" w:color="auto" w:fill="FFC000"/>
            <w:vAlign w:val="center"/>
          </w:tcPr>
          <w:p w14:paraId="45DE6E7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Malene</w:t>
            </w:r>
          </w:p>
        </w:tc>
        <w:tc>
          <w:tcPr>
            <w:tcW w:w="3118" w:type="dxa"/>
            <w:shd w:val="clear" w:color="auto" w:fill="FFC000"/>
            <w:vAlign w:val="center"/>
          </w:tcPr>
          <w:p w14:paraId="01412CF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151.269.100 - 756.345.600</w:t>
            </w:r>
          </w:p>
        </w:tc>
        <w:tc>
          <w:tcPr>
            <w:tcW w:w="1564" w:type="dxa"/>
            <w:shd w:val="clear" w:color="auto" w:fill="FFC000"/>
            <w:vAlign w:val="center"/>
          </w:tcPr>
          <w:p w14:paraId="3C67CA9D"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2CB45FCB" w14:textId="77777777" w:rsidTr="00DE0C9A">
        <w:trPr>
          <w:cantSplit/>
          <w:jc w:val="center"/>
        </w:trPr>
        <w:tc>
          <w:tcPr>
            <w:tcW w:w="1700" w:type="dxa"/>
            <w:vAlign w:val="center"/>
          </w:tcPr>
          <w:p w14:paraId="21FCE03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w:t>
            </w:r>
          </w:p>
        </w:tc>
        <w:tc>
          <w:tcPr>
            <w:tcW w:w="2690" w:type="dxa"/>
            <w:vAlign w:val="center"/>
          </w:tcPr>
          <w:p w14:paraId="7D33340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Umjerene</w:t>
            </w:r>
          </w:p>
        </w:tc>
        <w:tc>
          <w:tcPr>
            <w:tcW w:w="3118" w:type="dxa"/>
            <w:vAlign w:val="center"/>
          </w:tcPr>
          <w:p w14:paraId="3060401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756.345.600 - 2.269.036.800</w:t>
            </w:r>
          </w:p>
        </w:tc>
        <w:tc>
          <w:tcPr>
            <w:tcW w:w="1564" w:type="dxa"/>
            <w:vAlign w:val="center"/>
          </w:tcPr>
          <w:p w14:paraId="7787B840"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68DD62AF" w14:textId="77777777" w:rsidTr="00DE0C9A">
        <w:trPr>
          <w:cantSplit/>
          <w:jc w:val="center"/>
        </w:trPr>
        <w:tc>
          <w:tcPr>
            <w:tcW w:w="1700" w:type="dxa"/>
            <w:shd w:val="clear" w:color="auto" w:fill="FFC000"/>
            <w:vAlign w:val="center"/>
          </w:tcPr>
          <w:p w14:paraId="1ECBC1F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w:t>
            </w:r>
          </w:p>
        </w:tc>
        <w:tc>
          <w:tcPr>
            <w:tcW w:w="2690" w:type="dxa"/>
            <w:shd w:val="clear" w:color="auto" w:fill="FFC000"/>
            <w:vAlign w:val="center"/>
          </w:tcPr>
          <w:p w14:paraId="09DDFF8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Znatne</w:t>
            </w:r>
          </w:p>
        </w:tc>
        <w:tc>
          <w:tcPr>
            <w:tcW w:w="3118" w:type="dxa"/>
            <w:shd w:val="clear" w:color="auto" w:fill="FFC000"/>
            <w:vAlign w:val="center"/>
          </w:tcPr>
          <w:p w14:paraId="24A1624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2.269.036.800 - 3.781.727.900</w:t>
            </w:r>
          </w:p>
        </w:tc>
        <w:tc>
          <w:tcPr>
            <w:tcW w:w="1564" w:type="dxa"/>
            <w:shd w:val="clear" w:color="auto" w:fill="FFC000"/>
            <w:vAlign w:val="center"/>
          </w:tcPr>
          <w:p w14:paraId="5E43C4AF"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581C0C15" w14:textId="77777777" w:rsidTr="00DE0C9A">
        <w:trPr>
          <w:cantSplit/>
          <w:jc w:val="center"/>
        </w:trPr>
        <w:tc>
          <w:tcPr>
            <w:tcW w:w="1700" w:type="dxa"/>
            <w:vAlign w:val="center"/>
          </w:tcPr>
          <w:p w14:paraId="101FD01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w:t>
            </w:r>
          </w:p>
        </w:tc>
        <w:tc>
          <w:tcPr>
            <w:tcW w:w="2690" w:type="dxa"/>
            <w:vAlign w:val="center"/>
          </w:tcPr>
          <w:p w14:paraId="2F7F714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Katastrofalne</w:t>
            </w:r>
          </w:p>
        </w:tc>
        <w:tc>
          <w:tcPr>
            <w:tcW w:w="3118" w:type="dxa"/>
            <w:vAlign w:val="center"/>
          </w:tcPr>
          <w:p w14:paraId="472A7A7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&gt;3.781.727.900</w:t>
            </w:r>
          </w:p>
        </w:tc>
        <w:tc>
          <w:tcPr>
            <w:tcW w:w="1564" w:type="dxa"/>
            <w:vAlign w:val="center"/>
          </w:tcPr>
          <w:p w14:paraId="43A97C8D" w14:textId="77777777" w:rsidR="00FF1E38" w:rsidRPr="00FF1E38" w:rsidRDefault="00FF1E38" w:rsidP="00FF1E38">
            <w:pPr>
              <w:spacing w:after="0" w:line="240" w:lineRule="auto"/>
              <w:ind w:left="0" w:right="0" w:firstLine="0"/>
              <w:jc w:val="center"/>
              <w:rPr>
                <w:rFonts w:ascii="Times New Roman" w:hAnsi="Times New Roman" w:cs="Times New Roman"/>
              </w:rPr>
            </w:pPr>
          </w:p>
        </w:tc>
      </w:tr>
    </w:tbl>
    <w:p w14:paraId="470859D2"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266A9F1D" w14:textId="0CF3AE6F" w:rsidR="00FF1E38" w:rsidRPr="00FF1E38" w:rsidRDefault="00FF1E38" w:rsidP="00C10FBE">
      <w:pPr>
        <w:spacing w:line="240" w:lineRule="auto"/>
        <w:ind w:left="0" w:right="0" w:firstLine="0"/>
        <w:jc w:val="center"/>
        <w:rPr>
          <w:rFonts w:ascii="Times New Roman" w:hAnsi="Times New Roman" w:cs="Times New Roman"/>
          <w:b/>
          <w:sz w:val="24"/>
        </w:rPr>
      </w:pPr>
      <w:r w:rsidRPr="00311052">
        <w:rPr>
          <w:rFonts w:ascii="Times New Roman" w:hAnsi="Times New Roman" w:cs="Times New Roman"/>
          <w:b/>
          <w:color w:val="auto"/>
          <w:sz w:val="24"/>
        </w:rPr>
        <w:t xml:space="preserve">Tablica </w:t>
      </w:r>
      <w:r w:rsidR="00311052" w:rsidRPr="00311052">
        <w:rPr>
          <w:rFonts w:ascii="Times New Roman" w:hAnsi="Times New Roman" w:cs="Times New Roman"/>
          <w:b/>
          <w:color w:val="auto"/>
          <w:sz w:val="24"/>
        </w:rPr>
        <w:t>101</w:t>
      </w:r>
      <w:r w:rsidRPr="00311052">
        <w:rPr>
          <w:rFonts w:ascii="Times New Roman" w:hAnsi="Times New Roman" w:cs="Times New Roman"/>
          <w:b/>
          <w:color w:val="auto"/>
          <w:sz w:val="24"/>
        </w:rPr>
        <w:t xml:space="preserve">. Vrijednost kriterija za posljedice na društvenu stabilnost i politiku - </w:t>
      </w:r>
      <w:r w:rsidRPr="00FF1E38">
        <w:rPr>
          <w:rFonts w:ascii="Times New Roman" w:hAnsi="Times New Roman" w:cs="Times New Roman"/>
          <w:b/>
          <w:sz w:val="24"/>
        </w:rPr>
        <w:t xml:space="preserve">štete/gubitci na ustanovama/građevinama javnog društvenog značaja </w:t>
      </w:r>
    </w:p>
    <w:tbl>
      <w:tblPr>
        <w:tblStyle w:val="TableGrid13"/>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60" w:type="dxa"/>
        </w:tblCellMar>
        <w:tblLook w:val="04A0" w:firstRow="1" w:lastRow="0" w:firstColumn="1" w:lastColumn="0" w:noHBand="0" w:noVBand="1"/>
      </w:tblPr>
      <w:tblGrid>
        <w:gridCol w:w="1700"/>
        <w:gridCol w:w="2690"/>
        <w:gridCol w:w="3118"/>
        <w:gridCol w:w="1564"/>
      </w:tblGrid>
      <w:tr w:rsidR="00FF1E38" w:rsidRPr="00FF1E38" w14:paraId="5421C18C" w14:textId="77777777" w:rsidTr="00DE0C9A">
        <w:trPr>
          <w:cantSplit/>
          <w:tblHeader/>
        </w:trPr>
        <w:tc>
          <w:tcPr>
            <w:tcW w:w="9072" w:type="dxa"/>
            <w:gridSpan w:val="4"/>
            <w:shd w:val="clear" w:color="auto" w:fill="FFC000"/>
            <w:vAlign w:val="center"/>
          </w:tcPr>
          <w:p w14:paraId="7C25E07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Štete/gubitci na građevinama od javnog društvenog značaja – epidemije i pandemije</w:t>
            </w:r>
          </w:p>
        </w:tc>
      </w:tr>
      <w:tr w:rsidR="00FF1E38" w:rsidRPr="00FF1E38" w14:paraId="056A630E" w14:textId="77777777" w:rsidTr="00DE0C9A">
        <w:trPr>
          <w:cantSplit/>
          <w:tblHeader/>
        </w:trPr>
        <w:tc>
          <w:tcPr>
            <w:tcW w:w="1700" w:type="dxa"/>
            <w:shd w:val="clear" w:color="auto" w:fill="FFC000"/>
            <w:vAlign w:val="center"/>
          </w:tcPr>
          <w:p w14:paraId="2E0B033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Kategorija</w:t>
            </w:r>
          </w:p>
        </w:tc>
        <w:tc>
          <w:tcPr>
            <w:tcW w:w="2690" w:type="dxa"/>
            <w:shd w:val="clear" w:color="auto" w:fill="FFC000"/>
            <w:vAlign w:val="center"/>
          </w:tcPr>
          <w:p w14:paraId="7787D36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Posljedice</w:t>
            </w:r>
          </w:p>
        </w:tc>
        <w:tc>
          <w:tcPr>
            <w:tcW w:w="3118" w:type="dxa"/>
            <w:shd w:val="clear" w:color="auto" w:fill="FFC000"/>
            <w:vAlign w:val="center"/>
          </w:tcPr>
          <w:p w14:paraId="30C743D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Kriteriji (kn)</w:t>
            </w:r>
          </w:p>
        </w:tc>
        <w:tc>
          <w:tcPr>
            <w:tcW w:w="1564" w:type="dxa"/>
            <w:shd w:val="clear" w:color="auto" w:fill="FFC000"/>
            <w:vAlign w:val="center"/>
          </w:tcPr>
          <w:p w14:paraId="67821B9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ODABRANO</w:t>
            </w:r>
          </w:p>
        </w:tc>
      </w:tr>
      <w:tr w:rsidR="00FF1E38" w:rsidRPr="00FF1E38" w14:paraId="6EE7487A" w14:textId="77777777" w:rsidTr="00DE0C9A">
        <w:trPr>
          <w:cantSplit/>
        </w:trPr>
        <w:tc>
          <w:tcPr>
            <w:tcW w:w="1700" w:type="dxa"/>
            <w:vAlign w:val="center"/>
          </w:tcPr>
          <w:p w14:paraId="5D66BDB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w:t>
            </w:r>
          </w:p>
        </w:tc>
        <w:tc>
          <w:tcPr>
            <w:tcW w:w="2690" w:type="dxa"/>
            <w:vAlign w:val="center"/>
          </w:tcPr>
          <w:p w14:paraId="4989071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Neznatne</w:t>
            </w:r>
          </w:p>
        </w:tc>
        <w:tc>
          <w:tcPr>
            <w:tcW w:w="3118" w:type="dxa"/>
            <w:vAlign w:val="center"/>
          </w:tcPr>
          <w:p w14:paraId="28E1257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75.634.600 - 151.269.100</w:t>
            </w:r>
          </w:p>
        </w:tc>
        <w:tc>
          <w:tcPr>
            <w:tcW w:w="1564" w:type="dxa"/>
            <w:vAlign w:val="center"/>
          </w:tcPr>
          <w:p w14:paraId="60671D9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r>
      <w:tr w:rsidR="00FF1E38" w:rsidRPr="00FF1E38" w14:paraId="03A104E9" w14:textId="77777777" w:rsidTr="00DE0C9A">
        <w:trPr>
          <w:cantSplit/>
        </w:trPr>
        <w:tc>
          <w:tcPr>
            <w:tcW w:w="1700" w:type="dxa"/>
            <w:shd w:val="clear" w:color="auto" w:fill="FFC000"/>
            <w:vAlign w:val="center"/>
          </w:tcPr>
          <w:p w14:paraId="39D45E9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w:t>
            </w:r>
          </w:p>
        </w:tc>
        <w:tc>
          <w:tcPr>
            <w:tcW w:w="2690" w:type="dxa"/>
            <w:shd w:val="clear" w:color="auto" w:fill="FFC000"/>
            <w:vAlign w:val="center"/>
          </w:tcPr>
          <w:p w14:paraId="233E954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Malene</w:t>
            </w:r>
          </w:p>
        </w:tc>
        <w:tc>
          <w:tcPr>
            <w:tcW w:w="3118" w:type="dxa"/>
            <w:shd w:val="clear" w:color="auto" w:fill="FFC000"/>
            <w:vAlign w:val="center"/>
          </w:tcPr>
          <w:p w14:paraId="32F0F83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151.269.100 - 756.345.600</w:t>
            </w:r>
          </w:p>
        </w:tc>
        <w:tc>
          <w:tcPr>
            <w:tcW w:w="1564" w:type="dxa"/>
            <w:shd w:val="clear" w:color="auto" w:fill="FFC000"/>
            <w:vAlign w:val="center"/>
          </w:tcPr>
          <w:p w14:paraId="616F3DC1"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23B6F07C" w14:textId="77777777" w:rsidTr="00DE0C9A">
        <w:trPr>
          <w:cantSplit/>
        </w:trPr>
        <w:tc>
          <w:tcPr>
            <w:tcW w:w="1700" w:type="dxa"/>
            <w:vAlign w:val="center"/>
          </w:tcPr>
          <w:p w14:paraId="5346126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w:t>
            </w:r>
          </w:p>
        </w:tc>
        <w:tc>
          <w:tcPr>
            <w:tcW w:w="2690" w:type="dxa"/>
            <w:vAlign w:val="center"/>
          </w:tcPr>
          <w:p w14:paraId="423D806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Umjerene</w:t>
            </w:r>
          </w:p>
        </w:tc>
        <w:tc>
          <w:tcPr>
            <w:tcW w:w="3118" w:type="dxa"/>
            <w:vAlign w:val="center"/>
          </w:tcPr>
          <w:p w14:paraId="4C7451C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756.345.600 - 2.269.036.800</w:t>
            </w:r>
          </w:p>
        </w:tc>
        <w:tc>
          <w:tcPr>
            <w:tcW w:w="1564" w:type="dxa"/>
            <w:vAlign w:val="center"/>
          </w:tcPr>
          <w:p w14:paraId="25720F05"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471BC7B7" w14:textId="77777777" w:rsidTr="00DE0C9A">
        <w:trPr>
          <w:cantSplit/>
        </w:trPr>
        <w:tc>
          <w:tcPr>
            <w:tcW w:w="1700" w:type="dxa"/>
            <w:shd w:val="clear" w:color="auto" w:fill="FFC000"/>
            <w:vAlign w:val="center"/>
          </w:tcPr>
          <w:p w14:paraId="3C348B5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w:t>
            </w:r>
          </w:p>
        </w:tc>
        <w:tc>
          <w:tcPr>
            <w:tcW w:w="2690" w:type="dxa"/>
            <w:shd w:val="clear" w:color="auto" w:fill="FFC000"/>
            <w:vAlign w:val="center"/>
          </w:tcPr>
          <w:p w14:paraId="46D1FDE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Znatne</w:t>
            </w:r>
          </w:p>
        </w:tc>
        <w:tc>
          <w:tcPr>
            <w:tcW w:w="3118" w:type="dxa"/>
            <w:shd w:val="clear" w:color="auto" w:fill="FFC000"/>
            <w:vAlign w:val="center"/>
          </w:tcPr>
          <w:p w14:paraId="0105EEA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2.269.036.800 - 3.781.727.900</w:t>
            </w:r>
          </w:p>
        </w:tc>
        <w:tc>
          <w:tcPr>
            <w:tcW w:w="1564" w:type="dxa"/>
            <w:shd w:val="clear" w:color="auto" w:fill="FFC000"/>
            <w:vAlign w:val="center"/>
          </w:tcPr>
          <w:p w14:paraId="5BA0E91C"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4230F0E4" w14:textId="77777777" w:rsidTr="00DE0C9A">
        <w:trPr>
          <w:cantSplit/>
        </w:trPr>
        <w:tc>
          <w:tcPr>
            <w:tcW w:w="1700" w:type="dxa"/>
            <w:vAlign w:val="center"/>
          </w:tcPr>
          <w:p w14:paraId="0FC9960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w:t>
            </w:r>
          </w:p>
        </w:tc>
        <w:tc>
          <w:tcPr>
            <w:tcW w:w="2690" w:type="dxa"/>
            <w:vAlign w:val="center"/>
          </w:tcPr>
          <w:p w14:paraId="438DE05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Katastrofalne</w:t>
            </w:r>
          </w:p>
        </w:tc>
        <w:tc>
          <w:tcPr>
            <w:tcW w:w="3118" w:type="dxa"/>
            <w:vAlign w:val="center"/>
          </w:tcPr>
          <w:p w14:paraId="34E33F5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&gt;3.781.727.900</w:t>
            </w:r>
          </w:p>
        </w:tc>
        <w:tc>
          <w:tcPr>
            <w:tcW w:w="1564" w:type="dxa"/>
            <w:vAlign w:val="center"/>
          </w:tcPr>
          <w:p w14:paraId="0D02DEFB" w14:textId="77777777" w:rsidR="00FF1E38" w:rsidRPr="00FF1E38" w:rsidRDefault="00FF1E38" w:rsidP="00FF1E38">
            <w:pPr>
              <w:spacing w:after="0" w:line="240" w:lineRule="auto"/>
              <w:ind w:left="0" w:right="0" w:firstLine="0"/>
              <w:jc w:val="center"/>
              <w:rPr>
                <w:rFonts w:ascii="Times New Roman" w:hAnsi="Times New Roman" w:cs="Times New Roman"/>
              </w:rPr>
            </w:pPr>
          </w:p>
        </w:tc>
      </w:tr>
    </w:tbl>
    <w:p w14:paraId="6A962D06" w14:textId="5D0ED8FF" w:rsidR="00FF1E38" w:rsidRDefault="00FF1E38" w:rsidP="00FF1E38">
      <w:pPr>
        <w:spacing w:after="0" w:line="240" w:lineRule="auto"/>
        <w:ind w:left="0" w:right="0" w:firstLine="0"/>
        <w:jc w:val="left"/>
        <w:rPr>
          <w:rFonts w:ascii="Times New Roman" w:hAnsi="Times New Roman" w:cs="Times New Roman"/>
          <w:sz w:val="24"/>
        </w:rPr>
      </w:pPr>
    </w:p>
    <w:p w14:paraId="1DA792F8" w14:textId="40BDEFE3" w:rsidR="00C10FBE" w:rsidRDefault="00C10FBE" w:rsidP="00FF1E38">
      <w:pPr>
        <w:spacing w:after="0" w:line="240" w:lineRule="auto"/>
        <w:ind w:left="0" w:right="0" w:firstLine="0"/>
        <w:jc w:val="left"/>
        <w:rPr>
          <w:rFonts w:ascii="Times New Roman" w:hAnsi="Times New Roman" w:cs="Times New Roman"/>
          <w:sz w:val="24"/>
        </w:rPr>
      </w:pPr>
    </w:p>
    <w:p w14:paraId="51A8AF5B" w14:textId="4F5C125F" w:rsidR="00C10FBE" w:rsidRDefault="00C10FBE" w:rsidP="00FF1E38">
      <w:pPr>
        <w:spacing w:after="0" w:line="240" w:lineRule="auto"/>
        <w:ind w:left="0" w:right="0" w:firstLine="0"/>
        <w:jc w:val="left"/>
        <w:rPr>
          <w:rFonts w:ascii="Times New Roman" w:hAnsi="Times New Roman" w:cs="Times New Roman"/>
          <w:sz w:val="24"/>
        </w:rPr>
      </w:pPr>
    </w:p>
    <w:p w14:paraId="1A3997F6" w14:textId="77777777" w:rsidR="00C10FBE" w:rsidRPr="00FF1E38" w:rsidRDefault="00C10FBE" w:rsidP="00FF1E38">
      <w:pPr>
        <w:spacing w:after="0" w:line="240" w:lineRule="auto"/>
        <w:ind w:left="0" w:right="0" w:firstLine="0"/>
        <w:jc w:val="left"/>
        <w:rPr>
          <w:rFonts w:ascii="Times New Roman" w:hAnsi="Times New Roman" w:cs="Times New Roman"/>
          <w:sz w:val="24"/>
        </w:rPr>
      </w:pPr>
    </w:p>
    <w:p w14:paraId="1E4A22FD" w14:textId="1E5300DA" w:rsidR="00FF1E38" w:rsidRPr="002F4BE5" w:rsidRDefault="00FF1E38" w:rsidP="00C10FBE">
      <w:pPr>
        <w:spacing w:line="240" w:lineRule="auto"/>
        <w:ind w:left="0" w:right="0" w:firstLine="0"/>
        <w:jc w:val="center"/>
        <w:rPr>
          <w:rFonts w:ascii="Times New Roman" w:hAnsi="Times New Roman" w:cs="Times New Roman"/>
          <w:b/>
          <w:color w:val="auto"/>
          <w:sz w:val="24"/>
        </w:rPr>
      </w:pPr>
      <w:r w:rsidRPr="002F4BE5">
        <w:rPr>
          <w:rFonts w:ascii="Times New Roman" w:hAnsi="Times New Roman" w:cs="Times New Roman"/>
          <w:b/>
          <w:color w:val="auto"/>
          <w:sz w:val="24"/>
        </w:rPr>
        <w:lastRenderedPageBreak/>
        <w:t xml:space="preserve">Tablica </w:t>
      </w:r>
      <w:r w:rsidR="002F4BE5" w:rsidRPr="002F4BE5">
        <w:rPr>
          <w:rFonts w:ascii="Times New Roman" w:hAnsi="Times New Roman" w:cs="Times New Roman"/>
          <w:b/>
          <w:color w:val="auto"/>
          <w:sz w:val="24"/>
        </w:rPr>
        <w:t>102</w:t>
      </w:r>
      <w:r w:rsidRPr="002F4BE5">
        <w:rPr>
          <w:rFonts w:ascii="Times New Roman" w:hAnsi="Times New Roman" w:cs="Times New Roman"/>
          <w:b/>
          <w:color w:val="auto"/>
          <w:sz w:val="24"/>
        </w:rPr>
        <w:t>. Vrijednost kriterija za društvenu stabilnost i politiku - zbirno</w:t>
      </w:r>
    </w:p>
    <w:tbl>
      <w:tblPr>
        <w:tblStyle w:val="TableGrid6"/>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01"/>
        <w:gridCol w:w="2835"/>
        <w:gridCol w:w="2835"/>
        <w:gridCol w:w="1701"/>
      </w:tblGrid>
      <w:tr w:rsidR="00FF1E38" w:rsidRPr="00FF1E38" w14:paraId="02619C98" w14:textId="77777777" w:rsidTr="00DE0C9A">
        <w:trPr>
          <w:cantSplit/>
        </w:trPr>
        <w:tc>
          <w:tcPr>
            <w:tcW w:w="1701" w:type="dxa"/>
            <w:shd w:val="clear" w:color="auto" w:fill="FFC000"/>
            <w:vAlign w:val="center"/>
          </w:tcPr>
          <w:p w14:paraId="60CAE64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POSLJEDICE</w:t>
            </w:r>
          </w:p>
        </w:tc>
        <w:tc>
          <w:tcPr>
            <w:tcW w:w="2835" w:type="dxa"/>
            <w:shd w:val="clear" w:color="auto" w:fill="FFC000"/>
            <w:vAlign w:val="center"/>
          </w:tcPr>
          <w:p w14:paraId="62F04BA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KRITIČNA INFRASTRUKTURA</w:t>
            </w:r>
          </w:p>
        </w:tc>
        <w:tc>
          <w:tcPr>
            <w:tcW w:w="2835" w:type="dxa"/>
            <w:shd w:val="clear" w:color="auto" w:fill="FFC000"/>
            <w:vAlign w:val="center"/>
          </w:tcPr>
          <w:p w14:paraId="3793A2DB" w14:textId="77777777" w:rsidR="00FF1E38" w:rsidRPr="00FF1E38" w:rsidRDefault="00FF1E38" w:rsidP="00FF1E38">
            <w:pPr>
              <w:spacing w:after="0" w:line="240" w:lineRule="auto"/>
              <w:ind w:left="0" w:right="0" w:firstLine="0"/>
              <w:jc w:val="center"/>
              <w:rPr>
                <w:rFonts w:ascii="Times New Roman" w:hAnsi="Times New Roman" w:cs="Times New Roman"/>
                <w:b/>
              </w:rPr>
            </w:pPr>
            <w:r w:rsidRPr="00FF1E38">
              <w:rPr>
                <w:rFonts w:ascii="Times New Roman" w:hAnsi="Times New Roman" w:cs="Times New Roman"/>
                <w:b/>
              </w:rPr>
              <w:t>USTANOVE/GRAĐEVINE</w:t>
            </w:r>
          </w:p>
          <w:p w14:paraId="35DB8D3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JAVNOG DRUŠTVENOG ZNAČAJA</w:t>
            </w:r>
          </w:p>
        </w:tc>
        <w:tc>
          <w:tcPr>
            <w:tcW w:w="1701" w:type="dxa"/>
            <w:shd w:val="clear" w:color="auto" w:fill="FFC000"/>
            <w:vAlign w:val="center"/>
          </w:tcPr>
          <w:p w14:paraId="42C45E4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ODABRANO</w:t>
            </w:r>
          </w:p>
        </w:tc>
      </w:tr>
      <w:tr w:rsidR="00FF1E38" w:rsidRPr="00FF1E38" w14:paraId="48EBD536" w14:textId="77777777" w:rsidTr="00DE0C9A">
        <w:trPr>
          <w:cantSplit/>
        </w:trPr>
        <w:tc>
          <w:tcPr>
            <w:tcW w:w="1701" w:type="dxa"/>
            <w:vAlign w:val="center"/>
          </w:tcPr>
          <w:p w14:paraId="75C11BA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Neznatne</w:t>
            </w:r>
          </w:p>
        </w:tc>
        <w:tc>
          <w:tcPr>
            <w:tcW w:w="2835" w:type="dxa"/>
            <w:vAlign w:val="center"/>
          </w:tcPr>
          <w:p w14:paraId="0C4FBF5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c>
          <w:tcPr>
            <w:tcW w:w="2835" w:type="dxa"/>
            <w:vAlign w:val="center"/>
          </w:tcPr>
          <w:p w14:paraId="6A6CA1B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c>
          <w:tcPr>
            <w:tcW w:w="1701" w:type="dxa"/>
            <w:vAlign w:val="center"/>
          </w:tcPr>
          <w:p w14:paraId="6484779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r>
      <w:tr w:rsidR="00FF1E38" w:rsidRPr="00FF1E38" w14:paraId="1A23DF1A" w14:textId="77777777" w:rsidTr="00DE0C9A">
        <w:trPr>
          <w:cantSplit/>
        </w:trPr>
        <w:tc>
          <w:tcPr>
            <w:tcW w:w="1701" w:type="dxa"/>
            <w:shd w:val="clear" w:color="auto" w:fill="FFC000"/>
            <w:vAlign w:val="center"/>
          </w:tcPr>
          <w:p w14:paraId="1A5F42C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Malene</w:t>
            </w:r>
          </w:p>
        </w:tc>
        <w:tc>
          <w:tcPr>
            <w:tcW w:w="2835" w:type="dxa"/>
            <w:shd w:val="clear" w:color="auto" w:fill="FFC000"/>
            <w:vAlign w:val="center"/>
          </w:tcPr>
          <w:p w14:paraId="53925F3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835" w:type="dxa"/>
            <w:shd w:val="clear" w:color="auto" w:fill="FFC000"/>
            <w:vAlign w:val="center"/>
          </w:tcPr>
          <w:p w14:paraId="315B3897"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01" w:type="dxa"/>
            <w:shd w:val="clear" w:color="auto" w:fill="FFC000"/>
            <w:vAlign w:val="center"/>
          </w:tcPr>
          <w:p w14:paraId="1396C583"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50F42071" w14:textId="77777777" w:rsidTr="00DE0C9A">
        <w:trPr>
          <w:cantSplit/>
        </w:trPr>
        <w:tc>
          <w:tcPr>
            <w:tcW w:w="1701" w:type="dxa"/>
            <w:vAlign w:val="center"/>
          </w:tcPr>
          <w:p w14:paraId="6D3297D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Umjerene</w:t>
            </w:r>
          </w:p>
        </w:tc>
        <w:tc>
          <w:tcPr>
            <w:tcW w:w="2835" w:type="dxa"/>
            <w:vAlign w:val="center"/>
          </w:tcPr>
          <w:p w14:paraId="48F9456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835" w:type="dxa"/>
            <w:vAlign w:val="center"/>
          </w:tcPr>
          <w:p w14:paraId="1DE7DF1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01" w:type="dxa"/>
            <w:vAlign w:val="center"/>
          </w:tcPr>
          <w:p w14:paraId="6365BC42"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2C2F753D" w14:textId="77777777" w:rsidTr="00DE0C9A">
        <w:trPr>
          <w:cantSplit/>
        </w:trPr>
        <w:tc>
          <w:tcPr>
            <w:tcW w:w="1701" w:type="dxa"/>
            <w:shd w:val="clear" w:color="auto" w:fill="FFC000"/>
            <w:vAlign w:val="center"/>
          </w:tcPr>
          <w:p w14:paraId="408D818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Znatne</w:t>
            </w:r>
          </w:p>
        </w:tc>
        <w:tc>
          <w:tcPr>
            <w:tcW w:w="2835" w:type="dxa"/>
            <w:shd w:val="clear" w:color="auto" w:fill="FFC000"/>
            <w:vAlign w:val="center"/>
          </w:tcPr>
          <w:p w14:paraId="0FAF79F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835" w:type="dxa"/>
            <w:shd w:val="clear" w:color="auto" w:fill="FFC000"/>
            <w:vAlign w:val="center"/>
          </w:tcPr>
          <w:p w14:paraId="59E651EB"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01" w:type="dxa"/>
            <w:shd w:val="clear" w:color="auto" w:fill="FFC000"/>
            <w:vAlign w:val="center"/>
          </w:tcPr>
          <w:p w14:paraId="73E17AC3"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2FB7B46A" w14:textId="77777777" w:rsidTr="00DE0C9A">
        <w:trPr>
          <w:cantSplit/>
        </w:trPr>
        <w:tc>
          <w:tcPr>
            <w:tcW w:w="1701" w:type="dxa"/>
            <w:vAlign w:val="center"/>
          </w:tcPr>
          <w:p w14:paraId="33B17C4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Katastrofalne</w:t>
            </w:r>
          </w:p>
        </w:tc>
        <w:tc>
          <w:tcPr>
            <w:tcW w:w="2835" w:type="dxa"/>
            <w:vAlign w:val="center"/>
          </w:tcPr>
          <w:p w14:paraId="3AFA795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2835" w:type="dxa"/>
            <w:vAlign w:val="center"/>
          </w:tcPr>
          <w:p w14:paraId="360D5FD0"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701" w:type="dxa"/>
            <w:vAlign w:val="center"/>
          </w:tcPr>
          <w:p w14:paraId="3A216F4D" w14:textId="77777777" w:rsidR="00FF1E38" w:rsidRPr="00FF1E38" w:rsidRDefault="00FF1E38" w:rsidP="00FF1E38">
            <w:pPr>
              <w:spacing w:after="0" w:line="240" w:lineRule="auto"/>
              <w:ind w:left="0" w:right="0" w:firstLine="0"/>
              <w:jc w:val="center"/>
              <w:rPr>
                <w:rFonts w:ascii="Times New Roman" w:hAnsi="Times New Roman" w:cs="Times New Roman"/>
              </w:rPr>
            </w:pPr>
          </w:p>
        </w:tc>
      </w:tr>
    </w:tbl>
    <w:p w14:paraId="35911F60" w14:textId="77777777" w:rsidR="00FF1E38" w:rsidRPr="00FF1E38" w:rsidRDefault="00FF1E38" w:rsidP="00FF1E38">
      <w:pPr>
        <w:spacing w:after="0" w:line="240" w:lineRule="auto"/>
        <w:ind w:left="0" w:right="0" w:firstLine="0"/>
        <w:jc w:val="left"/>
        <w:rPr>
          <w:rFonts w:ascii="Times New Roman" w:hAnsi="Times New Roman" w:cs="Times New Roman"/>
          <w:i/>
          <w:sz w:val="24"/>
        </w:rPr>
      </w:pPr>
    </w:p>
    <w:p w14:paraId="1B6D69B0" w14:textId="4D86EAD2" w:rsidR="00FF1E38" w:rsidRDefault="00FF1E38" w:rsidP="00FF1E38">
      <w:pPr>
        <w:spacing w:after="0" w:line="240" w:lineRule="auto"/>
        <w:ind w:left="0" w:right="0" w:firstLine="709"/>
        <w:jc w:val="left"/>
        <w:rPr>
          <w:rFonts w:ascii="Times New Roman" w:hAnsi="Times New Roman" w:cs="Times New Roman"/>
          <w:i/>
          <w:sz w:val="24"/>
          <w:u w:val="single" w:color="000000"/>
        </w:rPr>
      </w:pPr>
      <w:r w:rsidRPr="00FF1E38">
        <w:rPr>
          <w:rFonts w:ascii="Times New Roman" w:hAnsi="Times New Roman" w:cs="Times New Roman"/>
          <w:i/>
          <w:sz w:val="24"/>
          <w:u w:val="single" w:color="000000"/>
        </w:rPr>
        <w:t>Zaključak</w:t>
      </w:r>
    </w:p>
    <w:p w14:paraId="4F7C472C"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U slučaju pojave epidemija i pandemija primarno je ugroženo zdravlje ljudi, posebno ako stanovništvo nije cijepljeno odnosno ako zbog mutacije virusa cjepivo ne postoji. Posljedice na gospodarstvo mogu se očitovati u smanjenom broju turističkih dolazaka i povećanom broju bolovanja. Budući da je Grad Zagreb upravno središte Republike Hrvatske te da se u njemu nalaze sjedišta svih najvažnijih državnih institucija, povećan broj bolovanja mogao bi utjecati na opseg obavljanja poslova od interesa za Republiku Hrvatsku.</w:t>
      </w:r>
    </w:p>
    <w:p w14:paraId="6DC352B3" w14:textId="77777777" w:rsidR="00FF1E38" w:rsidRPr="00FF1E38" w:rsidRDefault="00FF1E38" w:rsidP="00FF1E38">
      <w:pPr>
        <w:spacing w:after="0" w:line="240" w:lineRule="auto"/>
        <w:ind w:right="0"/>
        <w:rPr>
          <w:rFonts w:ascii="Times New Roman" w:hAnsi="Times New Roman" w:cs="Times New Roman"/>
          <w:sz w:val="24"/>
        </w:rPr>
      </w:pPr>
    </w:p>
    <w:p w14:paraId="7948968F" w14:textId="08DEE7A4" w:rsidR="00FF1E38" w:rsidRDefault="00FF1E38" w:rsidP="00FF1E38">
      <w:pPr>
        <w:spacing w:after="0" w:line="240" w:lineRule="auto"/>
        <w:ind w:left="0" w:right="0" w:firstLine="709"/>
        <w:jc w:val="left"/>
        <w:rPr>
          <w:rFonts w:ascii="Times New Roman" w:hAnsi="Times New Roman" w:cs="Times New Roman"/>
          <w:i/>
          <w:sz w:val="24"/>
          <w:u w:val="single" w:color="000000"/>
        </w:rPr>
      </w:pPr>
      <w:r w:rsidRPr="00FF1E38">
        <w:rPr>
          <w:rFonts w:ascii="Times New Roman" w:hAnsi="Times New Roman" w:cs="Times New Roman"/>
          <w:i/>
          <w:sz w:val="24"/>
          <w:u w:val="single" w:color="000000"/>
        </w:rPr>
        <w:t>Vjerojatnost događaja</w:t>
      </w:r>
    </w:p>
    <w:p w14:paraId="70C4DDC3"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Za mogućnost nastanka opisanog scenarija s obzirom na dosadašnje pokazatelje može se procijeniti vjerojatnost: kategorija 2. mala.</w:t>
      </w:r>
    </w:p>
    <w:p w14:paraId="4B7C7EBF" w14:textId="77777777" w:rsidR="00FF1E38" w:rsidRPr="00FF1E38" w:rsidRDefault="00FF1E38" w:rsidP="00FF1E38">
      <w:pPr>
        <w:spacing w:after="0" w:line="240" w:lineRule="auto"/>
        <w:ind w:left="0" w:right="0" w:firstLine="0"/>
        <w:rPr>
          <w:rFonts w:ascii="Times New Roman" w:hAnsi="Times New Roman" w:cs="Times New Roman"/>
          <w:sz w:val="24"/>
        </w:rPr>
      </w:pPr>
    </w:p>
    <w:p w14:paraId="02173770" w14:textId="35FB28D4" w:rsidR="00FF1E38" w:rsidRPr="006D6184" w:rsidRDefault="00FF1E38" w:rsidP="00C10FBE">
      <w:pPr>
        <w:spacing w:line="240" w:lineRule="auto"/>
        <w:ind w:left="0" w:right="0" w:firstLine="0"/>
        <w:jc w:val="center"/>
        <w:rPr>
          <w:rFonts w:ascii="Times New Roman" w:hAnsi="Times New Roman" w:cs="Times New Roman"/>
          <w:b/>
          <w:color w:val="auto"/>
          <w:sz w:val="24"/>
        </w:rPr>
      </w:pPr>
      <w:r w:rsidRPr="006D6184">
        <w:rPr>
          <w:rFonts w:ascii="Times New Roman" w:hAnsi="Times New Roman" w:cs="Times New Roman"/>
          <w:b/>
          <w:color w:val="auto"/>
          <w:sz w:val="24"/>
        </w:rPr>
        <w:t xml:space="preserve">Tablica </w:t>
      </w:r>
      <w:r w:rsidR="006D6184" w:rsidRPr="006D6184">
        <w:rPr>
          <w:rFonts w:ascii="Times New Roman" w:hAnsi="Times New Roman" w:cs="Times New Roman"/>
          <w:b/>
          <w:color w:val="auto"/>
          <w:sz w:val="24"/>
        </w:rPr>
        <w:t>103</w:t>
      </w:r>
      <w:r w:rsidRPr="006D6184">
        <w:rPr>
          <w:rFonts w:ascii="Times New Roman" w:hAnsi="Times New Roman" w:cs="Times New Roman"/>
          <w:b/>
          <w:color w:val="auto"/>
          <w:sz w:val="24"/>
        </w:rPr>
        <w:t xml:space="preserve">. Vjerojatnost/frekvencija događaja </w:t>
      </w:r>
    </w:p>
    <w:tbl>
      <w:tblPr>
        <w:tblStyle w:val="TableGrid6"/>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271"/>
        <w:gridCol w:w="1538"/>
        <w:gridCol w:w="1344"/>
        <w:gridCol w:w="3497"/>
        <w:gridCol w:w="1422"/>
      </w:tblGrid>
      <w:tr w:rsidR="00FF1E38" w:rsidRPr="00FF1E38" w14:paraId="48AF732C" w14:textId="77777777" w:rsidTr="00DE0C9A">
        <w:trPr>
          <w:cantSplit/>
          <w:tblHeader/>
        </w:trPr>
        <w:tc>
          <w:tcPr>
            <w:tcW w:w="1271" w:type="dxa"/>
            <w:vMerge w:val="restart"/>
            <w:shd w:val="clear" w:color="auto" w:fill="FFC000"/>
            <w:vAlign w:val="center"/>
          </w:tcPr>
          <w:p w14:paraId="256DFEC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Kategorija</w:t>
            </w:r>
          </w:p>
        </w:tc>
        <w:tc>
          <w:tcPr>
            <w:tcW w:w="1538" w:type="dxa"/>
            <w:shd w:val="clear" w:color="auto" w:fill="FFC000"/>
            <w:vAlign w:val="center"/>
          </w:tcPr>
          <w:p w14:paraId="07D449A7"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4841" w:type="dxa"/>
            <w:gridSpan w:val="2"/>
            <w:shd w:val="clear" w:color="auto" w:fill="FFC000"/>
            <w:vAlign w:val="center"/>
          </w:tcPr>
          <w:p w14:paraId="761A3CF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VJEROJATNOST/FREKVENCIJA</w:t>
            </w:r>
          </w:p>
        </w:tc>
        <w:tc>
          <w:tcPr>
            <w:tcW w:w="1422" w:type="dxa"/>
            <w:shd w:val="clear" w:color="auto" w:fill="FFC000"/>
            <w:vAlign w:val="center"/>
          </w:tcPr>
          <w:p w14:paraId="67A1E3DD"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013F6AB7" w14:textId="77777777" w:rsidTr="00DE0C9A">
        <w:trPr>
          <w:cantSplit/>
          <w:tblHeader/>
        </w:trPr>
        <w:tc>
          <w:tcPr>
            <w:tcW w:w="1271" w:type="dxa"/>
            <w:vMerge/>
            <w:vAlign w:val="center"/>
          </w:tcPr>
          <w:p w14:paraId="0DE22951"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538" w:type="dxa"/>
            <w:shd w:val="clear" w:color="auto" w:fill="FFC000"/>
            <w:vAlign w:val="center"/>
          </w:tcPr>
          <w:p w14:paraId="3857C31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Kvalitativno</w:t>
            </w:r>
          </w:p>
        </w:tc>
        <w:tc>
          <w:tcPr>
            <w:tcW w:w="1344" w:type="dxa"/>
            <w:shd w:val="clear" w:color="auto" w:fill="FFC000"/>
            <w:vAlign w:val="center"/>
          </w:tcPr>
          <w:p w14:paraId="19E4522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Vjerojatnost</w:t>
            </w:r>
          </w:p>
        </w:tc>
        <w:tc>
          <w:tcPr>
            <w:tcW w:w="3497" w:type="dxa"/>
            <w:shd w:val="clear" w:color="auto" w:fill="FFC000"/>
            <w:vAlign w:val="center"/>
          </w:tcPr>
          <w:p w14:paraId="673155B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Frekvencija</w:t>
            </w:r>
          </w:p>
        </w:tc>
        <w:tc>
          <w:tcPr>
            <w:tcW w:w="1422" w:type="dxa"/>
            <w:shd w:val="clear" w:color="auto" w:fill="FFC000"/>
            <w:vAlign w:val="center"/>
          </w:tcPr>
          <w:p w14:paraId="6AB3729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b/>
              </w:rPr>
              <w:t>ODABRANO</w:t>
            </w:r>
          </w:p>
        </w:tc>
      </w:tr>
      <w:tr w:rsidR="00FF1E38" w:rsidRPr="00FF1E38" w14:paraId="2499919A" w14:textId="77777777" w:rsidTr="00DE0C9A">
        <w:trPr>
          <w:cantSplit/>
        </w:trPr>
        <w:tc>
          <w:tcPr>
            <w:tcW w:w="1271" w:type="dxa"/>
            <w:vAlign w:val="center"/>
          </w:tcPr>
          <w:p w14:paraId="78EDA4E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w:t>
            </w:r>
          </w:p>
        </w:tc>
        <w:tc>
          <w:tcPr>
            <w:tcW w:w="1538" w:type="dxa"/>
            <w:vAlign w:val="center"/>
          </w:tcPr>
          <w:p w14:paraId="4FDB20A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Iznimno mala</w:t>
            </w:r>
          </w:p>
        </w:tc>
        <w:tc>
          <w:tcPr>
            <w:tcW w:w="1344" w:type="dxa"/>
            <w:vAlign w:val="center"/>
          </w:tcPr>
          <w:p w14:paraId="247FC49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&lt;1 %</w:t>
            </w:r>
          </w:p>
        </w:tc>
        <w:tc>
          <w:tcPr>
            <w:tcW w:w="3497" w:type="dxa"/>
            <w:vAlign w:val="center"/>
          </w:tcPr>
          <w:p w14:paraId="54A5913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u 100 godina i rjeđe</w:t>
            </w:r>
          </w:p>
        </w:tc>
        <w:tc>
          <w:tcPr>
            <w:tcW w:w="1422" w:type="dxa"/>
            <w:vAlign w:val="center"/>
          </w:tcPr>
          <w:p w14:paraId="6EC20729"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58E90BD2" w14:textId="77777777" w:rsidTr="00DE0C9A">
        <w:trPr>
          <w:cantSplit/>
        </w:trPr>
        <w:tc>
          <w:tcPr>
            <w:tcW w:w="1271" w:type="dxa"/>
            <w:shd w:val="clear" w:color="auto" w:fill="FFC000"/>
            <w:vAlign w:val="center"/>
          </w:tcPr>
          <w:p w14:paraId="32739564"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2.</w:t>
            </w:r>
          </w:p>
        </w:tc>
        <w:tc>
          <w:tcPr>
            <w:tcW w:w="1538" w:type="dxa"/>
            <w:shd w:val="clear" w:color="auto" w:fill="FFC000"/>
            <w:vAlign w:val="center"/>
          </w:tcPr>
          <w:p w14:paraId="1736EC0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Mala</w:t>
            </w:r>
          </w:p>
        </w:tc>
        <w:tc>
          <w:tcPr>
            <w:tcW w:w="1344" w:type="dxa"/>
            <w:shd w:val="clear" w:color="auto" w:fill="FFC000"/>
            <w:vAlign w:val="center"/>
          </w:tcPr>
          <w:p w14:paraId="3108B19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1 - 5 %</w:t>
            </w:r>
          </w:p>
        </w:tc>
        <w:tc>
          <w:tcPr>
            <w:tcW w:w="3497" w:type="dxa"/>
            <w:shd w:val="clear" w:color="auto" w:fill="FFC000"/>
            <w:vAlign w:val="center"/>
          </w:tcPr>
          <w:p w14:paraId="3590BAED"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u razdoblju 20 - 100 godina</w:t>
            </w:r>
          </w:p>
        </w:tc>
        <w:tc>
          <w:tcPr>
            <w:tcW w:w="1422" w:type="dxa"/>
            <w:shd w:val="clear" w:color="auto" w:fill="FFC000"/>
            <w:vAlign w:val="center"/>
          </w:tcPr>
          <w:p w14:paraId="0C5FF93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x</w:t>
            </w:r>
          </w:p>
        </w:tc>
      </w:tr>
      <w:tr w:rsidR="00FF1E38" w:rsidRPr="00FF1E38" w14:paraId="3C71BC32" w14:textId="77777777" w:rsidTr="00DE0C9A">
        <w:trPr>
          <w:cantSplit/>
        </w:trPr>
        <w:tc>
          <w:tcPr>
            <w:tcW w:w="1271" w:type="dxa"/>
            <w:vAlign w:val="center"/>
          </w:tcPr>
          <w:p w14:paraId="7F776AC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3.</w:t>
            </w:r>
          </w:p>
        </w:tc>
        <w:tc>
          <w:tcPr>
            <w:tcW w:w="1538" w:type="dxa"/>
            <w:vAlign w:val="center"/>
          </w:tcPr>
          <w:p w14:paraId="2347446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Umjerena</w:t>
            </w:r>
          </w:p>
        </w:tc>
        <w:tc>
          <w:tcPr>
            <w:tcW w:w="1344" w:type="dxa"/>
            <w:vAlign w:val="center"/>
          </w:tcPr>
          <w:p w14:paraId="0019136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5 - 50 %</w:t>
            </w:r>
          </w:p>
        </w:tc>
        <w:tc>
          <w:tcPr>
            <w:tcW w:w="3497" w:type="dxa"/>
            <w:vAlign w:val="center"/>
          </w:tcPr>
          <w:p w14:paraId="5D09BE97"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u razdoblju 2 - 20 godina</w:t>
            </w:r>
          </w:p>
        </w:tc>
        <w:tc>
          <w:tcPr>
            <w:tcW w:w="1422" w:type="dxa"/>
            <w:vAlign w:val="center"/>
          </w:tcPr>
          <w:p w14:paraId="59E189D6"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715FAEBC" w14:textId="77777777" w:rsidTr="00DE0C9A">
        <w:trPr>
          <w:cantSplit/>
        </w:trPr>
        <w:tc>
          <w:tcPr>
            <w:tcW w:w="1271" w:type="dxa"/>
            <w:shd w:val="clear" w:color="auto" w:fill="FFC000"/>
            <w:vAlign w:val="center"/>
          </w:tcPr>
          <w:p w14:paraId="724DA1C1"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4.</w:t>
            </w:r>
          </w:p>
        </w:tc>
        <w:tc>
          <w:tcPr>
            <w:tcW w:w="1538" w:type="dxa"/>
            <w:shd w:val="clear" w:color="auto" w:fill="FFC000"/>
            <w:vAlign w:val="center"/>
          </w:tcPr>
          <w:p w14:paraId="27434FEB"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Velika</w:t>
            </w:r>
          </w:p>
        </w:tc>
        <w:tc>
          <w:tcPr>
            <w:tcW w:w="1344" w:type="dxa"/>
            <w:shd w:val="clear" w:color="auto" w:fill="FFC000"/>
            <w:vAlign w:val="center"/>
          </w:tcPr>
          <w:p w14:paraId="5C5DA5F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51 - 98 %</w:t>
            </w:r>
          </w:p>
        </w:tc>
        <w:tc>
          <w:tcPr>
            <w:tcW w:w="3497" w:type="dxa"/>
            <w:shd w:val="clear" w:color="auto" w:fill="FFC000"/>
            <w:vAlign w:val="center"/>
          </w:tcPr>
          <w:p w14:paraId="0FB3D18A"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u razdoblju 1 - 2 godine</w:t>
            </w:r>
          </w:p>
        </w:tc>
        <w:tc>
          <w:tcPr>
            <w:tcW w:w="1422" w:type="dxa"/>
            <w:shd w:val="clear" w:color="auto" w:fill="FFC000"/>
            <w:vAlign w:val="center"/>
          </w:tcPr>
          <w:p w14:paraId="007A5D73"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01093974" w14:textId="77777777" w:rsidTr="00DE0C9A">
        <w:trPr>
          <w:cantSplit/>
        </w:trPr>
        <w:tc>
          <w:tcPr>
            <w:tcW w:w="1271" w:type="dxa"/>
            <w:vAlign w:val="center"/>
          </w:tcPr>
          <w:p w14:paraId="7EBF57B5"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5.</w:t>
            </w:r>
          </w:p>
        </w:tc>
        <w:tc>
          <w:tcPr>
            <w:tcW w:w="1538" w:type="dxa"/>
            <w:vAlign w:val="center"/>
          </w:tcPr>
          <w:p w14:paraId="0D94B86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Iznimno velika</w:t>
            </w:r>
          </w:p>
        </w:tc>
        <w:tc>
          <w:tcPr>
            <w:tcW w:w="1344" w:type="dxa"/>
            <w:vAlign w:val="center"/>
          </w:tcPr>
          <w:p w14:paraId="1D735F2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&gt; 98 %</w:t>
            </w:r>
          </w:p>
        </w:tc>
        <w:tc>
          <w:tcPr>
            <w:tcW w:w="3497" w:type="dxa"/>
            <w:vAlign w:val="center"/>
          </w:tcPr>
          <w:p w14:paraId="6E1607D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1 događaj godišnje ili češće</w:t>
            </w:r>
          </w:p>
        </w:tc>
        <w:tc>
          <w:tcPr>
            <w:tcW w:w="1422" w:type="dxa"/>
            <w:vAlign w:val="center"/>
          </w:tcPr>
          <w:p w14:paraId="5E370D61" w14:textId="77777777" w:rsidR="00FF1E38" w:rsidRPr="00FF1E38" w:rsidRDefault="00FF1E38" w:rsidP="00FF1E38">
            <w:pPr>
              <w:spacing w:after="0" w:line="240" w:lineRule="auto"/>
              <w:ind w:left="0" w:right="0" w:firstLine="0"/>
              <w:jc w:val="center"/>
              <w:rPr>
                <w:rFonts w:ascii="Times New Roman" w:hAnsi="Times New Roman" w:cs="Times New Roman"/>
              </w:rPr>
            </w:pPr>
          </w:p>
        </w:tc>
      </w:tr>
    </w:tbl>
    <w:p w14:paraId="59EDCA3E"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127481B9" w14:textId="77777777" w:rsidR="00FF1E38" w:rsidRPr="00FF1E38" w:rsidRDefault="00FF1E38" w:rsidP="00FF1E38">
      <w:pPr>
        <w:spacing w:after="0" w:line="240" w:lineRule="auto"/>
        <w:ind w:left="0" w:right="0" w:firstLine="709"/>
        <w:rPr>
          <w:rFonts w:ascii="Times New Roman" w:hAnsi="Times New Roman" w:cs="Times New Roman"/>
          <w:b/>
          <w:sz w:val="24"/>
        </w:rPr>
      </w:pPr>
      <w:r w:rsidRPr="00FF1E38">
        <w:rPr>
          <w:rFonts w:ascii="Times New Roman" w:hAnsi="Times New Roman" w:cs="Times New Roman"/>
          <w:b/>
          <w:sz w:val="24"/>
        </w:rPr>
        <w:t>6.5.5.2. Podaci, izvori i metode izračuna</w:t>
      </w:r>
    </w:p>
    <w:p w14:paraId="1AA142F1"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Za izradu analize rizika kao izvori podataka korišteni su podaci i izvori iz Procjene rizika od katastrofa za Republiku Hrvatsku, registra prijava zaraznih bolesti, javnozdravstvene baze podataka umrlih osoba, baze podataka o hospitaliziranim osobama koje se nalaze u Hrvatskom zavodu za javno zdravstvo i</w:t>
      </w:r>
      <w:r w:rsidRPr="00FF1E38">
        <w:rPr>
          <w:rFonts w:ascii="Calibri" w:eastAsia="Calibri" w:hAnsi="Calibri" w:cs="Times New Roman"/>
          <w:color w:val="auto"/>
          <w:lang w:eastAsia="en-US"/>
        </w:rPr>
        <w:t xml:space="preserve"> </w:t>
      </w:r>
      <w:r w:rsidRPr="00FF1E38">
        <w:rPr>
          <w:rFonts w:ascii="Times New Roman" w:hAnsi="Times New Roman" w:cs="Times New Roman"/>
          <w:sz w:val="24"/>
        </w:rPr>
        <w:t>Zdravstveno-statističkog ljetopisa Grada Zagreba za 2021. godinu. U procjeni pobola, smrtnosti i korištenja resursa zdravstvene zaštite korištena je dostupna znanstvena literatura ECDC-a, CDC-a i WHO. Vjerojatnost događaja nije moguće sa sigurnošću procijeniti s obzirom na to da nije moguće predvidjeti kada će doći do genetske promjene uzročnika gripe i posljedično njegove povećane virulencije i osjetljivosti stanovništva. Procjene pobola i smrtnosti stanovništva rađene su na temelju informacija prikupljenih iz prethodnih pandemijskih događaja i ne moraju biti dobar prediktor budućih događaja.</w:t>
      </w:r>
    </w:p>
    <w:p w14:paraId="6303EC33" w14:textId="77777777" w:rsidR="00097718" w:rsidRPr="00FF1E38" w:rsidRDefault="00097718" w:rsidP="00FF1E38">
      <w:pPr>
        <w:spacing w:after="0" w:line="240" w:lineRule="auto"/>
        <w:ind w:right="0"/>
        <w:rPr>
          <w:rFonts w:ascii="Times New Roman" w:hAnsi="Times New Roman" w:cs="Times New Roman"/>
          <w:sz w:val="24"/>
        </w:rPr>
      </w:pPr>
    </w:p>
    <w:p w14:paraId="71AD601D" w14:textId="77777777" w:rsidR="00FF1E38" w:rsidRPr="00FF1E38" w:rsidRDefault="00FF1E38" w:rsidP="00FF1E38">
      <w:pPr>
        <w:spacing w:after="0" w:line="240" w:lineRule="auto"/>
        <w:ind w:left="0" w:right="0" w:firstLine="709"/>
        <w:rPr>
          <w:rFonts w:ascii="Times New Roman" w:hAnsi="Times New Roman" w:cs="Times New Roman"/>
          <w:b/>
          <w:sz w:val="24"/>
        </w:rPr>
      </w:pPr>
      <w:bookmarkStart w:id="105" w:name="_Toc2938623"/>
      <w:r w:rsidRPr="00FF1E38">
        <w:rPr>
          <w:rFonts w:ascii="Times New Roman" w:hAnsi="Times New Roman" w:cs="Times New Roman"/>
          <w:b/>
          <w:sz w:val="24"/>
        </w:rPr>
        <w:t>6.5.6. Matrice rizika</w:t>
      </w:r>
      <w:bookmarkEnd w:id="105"/>
    </w:p>
    <w:p w14:paraId="234D31C5"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u w:val="single" w:color="000000"/>
        </w:rPr>
        <w:t>RIZIK:</w:t>
      </w:r>
      <w:r w:rsidRPr="00FF1E38">
        <w:rPr>
          <w:rFonts w:ascii="Times New Roman" w:hAnsi="Times New Roman" w:cs="Times New Roman"/>
          <w:sz w:val="24"/>
        </w:rPr>
        <w:t xml:space="preserve"> Epidemije i pandemije</w:t>
      </w:r>
    </w:p>
    <w:p w14:paraId="637B2882"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u w:val="single" w:color="000000"/>
        </w:rPr>
        <w:t>NAZIV SCENARIJA</w:t>
      </w:r>
      <w:r w:rsidRPr="00FF1E38">
        <w:rPr>
          <w:rFonts w:ascii="Times New Roman" w:hAnsi="Times New Roman" w:cs="Times New Roman"/>
          <w:sz w:val="24"/>
        </w:rPr>
        <w:t>: Pandemija influence</w:t>
      </w:r>
    </w:p>
    <w:p w14:paraId="06CDEA2F"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Na temelju kombinacije dobivenih vrijednosti posljedica za sve tri kategorije (život i zdravlje ljudi, gospodarstvo i društvena stabilnost i politika) i vjerojatnosti izrađene su matrice rizika za prijetnju.</w:t>
      </w:r>
    </w:p>
    <w:p w14:paraId="54A1252C" w14:textId="77777777" w:rsidR="00FF1E38" w:rsidRPr="00FF1E38" w:rsidRDefault="00FF1E38" w:rsidP="00FF1E38">
      <w:pPr>
        <w:spacing w:after="0" w:line="240" w:lineRule="auto"/>
        <w:ind w:left="0" w:right="0" w:firstLine="0"/>
        <w:jc w:val="center"/>
        <w:rPr>
          <w:rFonts w:ascii="Times New Roman" w:hAnsi="Times New Roman" w:cs="Times New Roman"/>
          <w:b/>
          <w:sz w:val="24"/>
        </w:rPr>
      </w:pPr>
      <w:r w:rsidRPr="00FF1E38">
        <w:rPr>
          <w:rFonts w:ascii="Times New Roman" w:hAnsi="Times New Roman" w:cs="Times New Roman"/>
          <w:b/>
          <w:sz w:val="24"/>
        </w:rPr>
        <w:lastRenderedPageBreak/>
        <w:t>Ukupni rizik za EPIDEMIJE I PANDEMIJE - visok rizik</w:t>
      </w:r>
    </w:p>
    <w:p w14:paraId="451BFD7F" w14:textId="77777777" w:rsidR="00FF1E38" w:rsidRPr="00FF1E38" w:rsidRDefault="00FF1E38" w:rsidP="00FF1E38">
      <w:pPr>
        <w:spacing w:after="0" w:line="240" w:lineRule="auto"/>
        <w:ind w:left="0" w:right="0" w:firstLine="0"/>
        <w:jc w:val="center"/>
        <w:rPr>
          <w:rFonts w:ascii="Times New Roman" w:hAnsi="Times New Roman" w:cs="Times New Roman"/>
          <w:b/>
          <w:sz w:val="24"/>
        </w:rPr>
      </w:pPr>
      <w:r w:rsidRPr="00FF1E38">
        <w:rPr>
          <w:rFonts w:ascii="Times New Roman" w:hAnsi="Times New Roman" w:cs="Times New Roman"/>
          <w:noProof/>
          <w:sz w:val="24"/>
        </w:rPr>
        <w:drawing>
          <wp:inline distT="0" distB="0" distL="0" distR="0" wp14:anchorId="12ED1E79" wp14:editId="2DB6BA3C">
            <wp:extent cx="4858385" cy="3314700"/>
            <wp:effectExtent l="0" t="0" r="0" b="0"/>
            <wp:docPr id="60205" name="Picture 60205"/>
            <wp:cNvGraphicFramePr/>
            <a:graphic xmlns:a="http://schemas.openxmlformats.org/drawingml/2006/main">
              <a:graphicData uri="http://schemas.openxmlformats.org/drawingml/2006/picture">
                <pic:pic xmlns:pic="http://schemas.openxmlformats.org/drawingml/2006/picture">
                  <pic:nvPicPr>
                    <pic:cNvPr id="60205" name="Picture 60205"/>
                    <pic:cNvPicPr/>
                  </pic:nvPicPr>
                  <pic:blipFill>
                    <a:blip r:embed="rId149"/>
                    <a:stretch>
                      <a:fillRect/>
                    </a:stretch>
                  </pic:blipFill>
                  <pic:spPr>
                    <a:xfrm>
                      <a:off x="0" y="0"/>
                      <a:ext cx="4858385" cy="3314700"/>
                    </a:xfrm>
                    <a:prstGeom prst="rect">
                      <a:avLst/>
                    </a:prstGeom>
                  </pic:spPr>
                </pic:pic>
              </a:graphicData>
            </a:graphic>
          </wp:inline>
        </w:drawing>
      </w:r>
    </w:p>
    <w:p w14:paraId="5DD8DC48" w14:textId="77777777" w:rsidR="00FF1E38" w:rsidRPr="00FF1E38" w:rsidRDefault="00FF1E38" w:rsidP="00FF1E38">
      <w:pPr>
        <w:spacing w:after="160" w:line="259" w:lineRule="auto"/>
        <w:ind w:left="0" w:right="0" w:firstLine="0"/>
        <w:jc w:val="left"/>
        <w:rPr>
          <w:rFonts w:ascii="Times New Roman" w:hAnsi="Times New Roman" w:cs="Times New Roman"/>
          <w:sz w:val="24"/>
        </w:rPr>
      </w:pPr>
    </w:p>
    <w:p w14:paraId="6387AC9E" w14:textId="77777777" w:rsidR="00FF1E38" w:rsidRPr="00FF1E38" w:rsidRDefault="00FF1E38" w:rsidP="00FF1E38">
      <w:pPr>
        <w:spacing w:after="160" w:line="259" w:lineRule="auto"/>
        <w:ind w:left="0" w:right="0" w:firstLine="0"/>
        <w:jc w:val="left"/>
        <w:rPr>
          <w:rFonts w:ascii="Times New Roman" w:hAnsi="Times New Roman" w:cs="Times New Roman"/>
          <w:sz w:val="24"/>
        </w:rPr>
      </w:pPr>
      <w:r w:rsidRPr="00FF1E38">
        <w:rPr>
          <w:rFonts w:ascii="Calibri" w:eastAsia="Calibri" w:hAnsi="Calibri" w:cs="Times New Roman"/>
          <w:noProof/>
          <w:color w:val="auto"/>
        </w:rPr>
        <w:drawing>
          <wp:inline distT="0" distB="0" distL="0" distR="0" wp14:anchorId="56136510" wp14:editId="41190BC7">
            <wp:extent cx="5760720" cy="2313940"/>
            <wp:effectExtent l="0" t="0" r="0" b="0"/>
            <wp:docPr id="52256" name="Picture 5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60720" cy="2313940"/>
                    </a:xfrm>
                    <a:prstGeom prst="rect">
                      <a:avLst/>
                    </a:prstGeom>
                    <a:noFill/>
                    <a:ln>
                      <a:noFill/>
                    </a:ln>
                  </pic:spPr>
                </pic:pic>
              </a:graphicData>
            </a:graphic>
          </wp:inline>
        </w:drawing>
      </w:r>
    </w:p>
    <w:p w14:paraId="66F609E7" w14:textId="77777777" w:rsidR="00FF1E38" w:rsidRPr="00FF1E38" w:rsidRDefault="00FF1E38" w:rsidP="00FF1E38">
      <w:pPr>
        <w:spacing w:after="0" w:line="240" w:lineRule="auto"/>
        <w:ind w:left="0" w:right="0" w:firstLine="709"/>
        <w:rPr>
          <w:rFonts w:ascii="Times New Roman" w:hAnsi="Times New Roman" w:cs="Times New Roman"/>
          <w:b/>
          <w:sz w:val="24"/>
        </w:rPr>
      </w:pPr>
      <w:bookmarkStart w:id="106" w:name="_Toc2938624"/>
      <w:r w:rsidRPr="00FF1E38">
        <w:rPr>
          <w:rFonts w:ascii="Times New Roman" w:hAnsi="Times New Roman" w:cs="Times New Roman"/>
          <w:b/>
          <w:sz w:val="24"/>
        </w:rPr>
        <w:t>6.5.7. Karte rizika</w:t>
      </w:r>
      <w:bookmarkEnd w:id="106"/>
    </w:p>
    <w:p w14:paraId="07E6E153"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Najniža teritorijalna jedinica za procjenu rizika na području Grada Zagreba je gradska četvrt. Unutar svake gradske četvrti rizik je procijenjen na osnovi triju parametara (kriterija): stupnja izloženosti stanovništva / točke unosa, opterećenja po higijensko-epidemiološkim ispostavama i udjela kroničnih bolesnika / rizičnih skupina na području gradskih četvrti. Što je veći ukupni rizik, teže su posljedice događaja unutar gradske četvrti. Procjena rizika na razinama gradskih četvrti pomaže da se detektiraju kritične točke u prostoru na koje je u slučaju pojave neželjenog događaja potrebno obratiti posebnu pozornost ili područja na kojima je potrebno planirati dodatne preventivne mjere kako bi se smanjio rizik.</w:t>
      </w:r>
    </w:p>
    <w:p w14:paraId="3F5EF10A"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Svaki parametar (kriterij) ima četiri vrijednosti: nizak rizik (zelena boja), umjeren rizik (žuta boja), visok rizik (narančasta boja) i vrlo visok rizik (crvena boja).</w:t>
      </w:r>
    </w:p>
    <w:p w14:paraId="3851D5D7"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i/>
          <w:sz w:val="24"/>
        </w:rPr>
        <w:t>Stupanj izloženosti zarazama</w:t>
      </w:r>
      <w:r w:rsidRPr="00FF1E38">
        <w:rPr>
          <w:rFonts w:ascii="Times New Roman" w:hAnsi="Times New Roman" w:cs="Times New Roman"/>
          <w:sz w:val="24"/>
        </w:rPr>
        <w:t xml:space="preserve"> na području gradskih četvrti procjenjuje se s obzirom na prosječnu gustoću naseljenosti, smještaj u prostoru najizglednijih točaka importa i širenja virusa (željeznički/autobusni kolodvor, područje kretanja turista) te uzimajući u obzir broj manifestacija / kulturnih ustanova u kojima se okuplja veća skupina ljudi smještenih unutar </w:t>
      </w:r>
      <w:r w:rsidRPr="00FF1E38">
        <w:rPr>
          <w:rFonts w:ascii="Times New Roman" w:hAnsi="Times New Roman" w:cs="Times New Roman"/>
          <w:sz w:val="24"/>
        </w:rPr>
        <w:lastRenderedPageBreak/>
        <w:t>pojedine gradske četvrti. Što je veći rizik, veća je izloženost stanovništva zarazama u tom području.</w:t>
      </w:r>
    </w:p>
    <w:p w14:paraId="36855E57"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i/>
          <w:sz w:val="24"/>
        </w:rPr>
        <w:t>Opterećenje po higijensko-epidemiološkim ispostavama</w:t>
      </w:r>
      <w:r w:rsidRPr="00FF1E38">
        <w:rPr>
          <w:rFonts w:ascii="Times New Roman" w:hAnsi="Times New Roman" w:cs="Times New Roman"/>
          <w:sz w:val="24"/>
        </w:rPr>
        <w:t xml:space="preserve"> procjenjuje se na temelju statističkih podataka o broju prijavljenih zaraznih bolesti po higijensko-epidemiološkim ispostavama (ukupno 11 ispostava) na području Grada Zagreba u nekoliko zadnjih godina uzimajući u obzir postotak prijavljenih zaraza u odnosu na ukupan broj stanovništva koje te ispostave pokrivaju te granice područja 17 gradskih četvrti. Što je na broj stanovnika unutar područja gradske četvrti po ispostavama veći udio prijavljenih zaraznih bolesti, rizik unutar područja pojedine gradske četvrti je veći.</w:t>
      </w:r>
    </w:p>
    <w:p w14:paraId="35810327" w14:textId="77777777" w:rsidR="00FF1E38" w:rsidRPr="00FF1E38" w:rsidRDefault="00FF1E38" w:rsidP="00FF1E38">
      <w:pPr>
        <w:spacing w:after="0" w:line="240" w:lineRule="auto"/>
        <w:ind w:left="0" w:right="0" w:firstLine="709"/>
        <w:rPr>
          <w:rFonts w:ascii="Times New Roman" w:hAnsi="Times New Roman" w:cs="Times New Roman"/>
          <w:sz w:val="24"/>
        </w:rPr>
      </w:pPr>
      <w:r w:rsidRPr="00FF1E38">
        <w:rPr>
          <w:rFonts w:ascii="Times New Roman" w:hAnsi="Times New Roman" w:cs="Times New Roman"/>
          <w:sz w:val="24"/>
        </w:rPr>
        <w:t>Parametar</w:t>
      </w:r>
      <w:r w:rsidRPr="00FF1E38">
        <w:rPr>
          <w:rFonts w:ascii="Times New Roman" w:hAnsi="Times New Roman" w:cs="Times New Roman"/>
          <w:i/>
          <w:sz w:val="24"/>
        </w:rPr>
        <w:t xml:space="preserve"> kronični bolesnici / rizične skupine </w:t>
      </w:r>
      <w:r w:rsidRPr="00FF1E38">
        <w:rPr>
          <w:rFonts w:ascii="Times New Roman" w:hAnsi="Times New Roman" w:cs="Times New Roman"/>
          <w:sz w:val="24"/>
        </w:rPr>
        <w:t>procjenjuje se na osnovi podataka o broju kroničnih bolesnika koji žive na području određene gradske četvrti. U gradskim četvrtima u kojima je omjer kroničnih bolesnika najnepovoljniji, rizik je najveći (crvena boja), a u gradskim četvrtima u kojima je taj omjer najpovoljniji - rizik je najmanji (zelena boja).</w:t>
      </w:r>
    </w:p>
    <w:p w14:paraId="3162B6F3" w14:textId="77777777" w:rsidR="00FF1E38" w:rsidRPr="00FF1E38" w:rsidRDefault="00FF1E38" w:rsidP="00FF1E38">
      <w:pPr>
        <w:spacing w:after="0" w:line="240" w:lineRule="auto"/>
        <w:ind w:left="0" w:right="0" w:firstLine="709"/>
        <w:rPr>
          <w:rFonts w:ascii="Times New Roman" w:hAnsi="Times New Roman" w:cs="Times New Roman"/>
          <w:sz w:val="24"/>
        </w:rPr>
      </w:pPr>
    </w:p>
    <w:p w14:paraId="33116291" w14:textId="739F060B" w:rsidR="00FF1E38" w:rsidRPr="0023767A" w:rsidRDefault="00FF1E38" w:rsidP="00C10FBE">
      <w:pPr>
        <w:spacing w:line="240" w:lineRule="auto"/>
        <w:ind w:left="0" w:right="0" w:firstLine="0"/>
        <w:jc w:val="center"/>
        <w:rPr>
          <w:rFonts w:ascii="Times New Roman" w:hAnsi="Times New Roman" w:cs="Times New Roman"/>
          <w:b/>
          <w:color w:val="auto"/>
          <w:sz w:val="24"/>
        </w:rPr>
      </w:pPr>
      <w:r w:rsidRPr="0023767A">
        <w:rPr>
          <w:rFonts w:ascii="Times New Roman" w:hAnsi="Times New Roman" w:cs="Times New Roman"/>
          <w:b/>
          <w:color w:val="auto"/>
          <w:sz w:val="24"/>
        </w:rPr>
        <w:t xml:space="preserve">Tablica </w:t>
      </w:r>
      <w:r w:rsidR="0023767A" w:rsidRPr="0023767A">
        <w:rPr>
          <w:rFonts w:ascii="Times New Roman" w:hAnsi="Times New Roman" w:cs="Times New Roman"/>
          <w:b/>
          <w:color w:val="auto"/>
          <w:sz w:val="24"/>
        </w:rPr>
        <w:t>104</w:t>
      </w:r>
      <w:r w:rsidRPr="0023767A">
        <w:rPr>
          <w:rFonts w:ascii="Times New Roman" w:hAnsi="Times New Roman" w:cs="Times New Roman"/>
          <w:b/>
          <w:color w:val="auto"/>
          <w:sz w:val="24"/>
        </w:rPr>
        <w:t xml:space="preserve">. Procjena rizika na razini gradskih četvrti </w:t>
      </w:r>
    </w:p>
    <w:tbl>
      <w:tblPr>
        <w:tblStyle w:val="TableGrid6"/>
        <w:tblW w:w="9072" w:type="dxa"/>
        <w:tblInd w:w="0" w:type="dxa"/>
        <w:tblLayout w:type="fixed"/>
        <w:tblCellMar>
          <w:left w:w="57" w:type="dxa"/>
          <w:right w:w="53" w:type="dxa"/>
        </w:tblCellMar>
        <w:tblLook w:val="04A0" w:firstRow="1" w:lastRow="0" w:firstColumn="1" w:lastColumn="0" w:noHBand="0" w:noVBand="1"/>
      </w:tblPr>
      <w:tblGrid>
        <w:gridCol w:w="688"/>
        <w:gridCol w:w="2627"/>
        <w:gridCol w:w="1502"/>
        <w:gridCol w:w="1603"/>
        <w:gridCol w:w="1401"/>
        <w:gridCol w:w="1251"/>
      </w:tblGrid>
      <w:tr w:rsidR="00FF1E38" w:rsidRPr="00FF1E38" w14:paraId="6F31C396" w14:textId="77777777" w:rsidTr="00DE0C9A">
        <w:trPr>
          <w:cantSplit/>
          <w:trHeight w:val="680"/>
          <w:tblHeader/>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23F337C6"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R.br.</w:t>
            </w:r>
          </w:p>
        </w:tc>
        <w:tc>
          <w:tcPr>
            <w:tcW w:w="262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44AF7767"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Gradska četvrt</w:t>
            </w:r>
          </w:p>
        </w:tc>
        <w:tc>
          <w:tcPr>
            <w:tcW w:w="1502"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A848768"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Izloženost/</w:t>
            </w:r>
          </w:p>
          <w:p w14:paraId="694B6437"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točke unosa</w:t>
            </w:r>
          </w:p>
        </w:tc>
        <w:tc>
          <w:tcPr>
            <w:tcW w:w="1603"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0C507E1B"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Opterećenje po higijensko-</w:t>
            </w:r>
          </w:p>
          <w:p w14:paraId="07028969"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epidemiološkim ispostavama</w:t>
            </w:r>
          </w:p>
        </w:tc>
        <w:tc>
          <w:tcPr>
            <w:tcW w:w="1401"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075E2C15"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Kronični bolesnici/</w:t>
            </w:r>
          </w:p>
          <w:p w14:paraId="42CDD82D"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rizične skupine</w:t>
            </w:r>
          </w:p>
        </w:tc>
        <w:tc>
          <w:tcPr>
            <w:tcW w:w="1251"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6DEB192D" w14:textId="77777777" w:rsidR="00FF1E38" w:rsidRPr="00FF1E38" w:rsidRDefault="00FF1E38" w:rsidP="00FF1E38">
            <w:pPr>
              <w:spacing w:after="0" w:line="240" w:lineRule="auto"/>
              <w:ind w:left="0" w:right="0" w:firstLine="0"/>
              <w:jc w:val="center"/>
              <w:rPr>
                <w:rFonts w:ascii="Times New Roman" w:hAnsi="Times New Roman" w:cs="Times New Roman"/>
                <w:b/>
                <w:color w:val="FFFFFF"/>
              </w:rPr>
            </w:pPr>
            <w:r w:rsidRPr="00FF1E38">
              <w:rPr>
                <w:rFonts w:ascii="Times New Roman" w:hAnsi="Times New Roman" w:cs="Times New Roman"/>
                <w:b/>
                <w:color w:val="FFFFFF"/>
              </w:rPr>
              <w:t>UKUPNO</w:t>
            </w:r>
          </w:p>
        </w:tc>
      </w:tr>
      <w:tr w:rsidR="00FF1E38" w:rsidRPr="00FF1E38" w14:paraId="7F53ED90" w14:textId="77777777" w:rsidTr="00DE0C9A">
        <w:trPr>
          <w:cantSplit/>
          <w:trHeight w:val="680"/>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63295597"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w:t>
            </w:r>
          </w:p>
        </w:tc>
        <w:tc>
          <w:tcPr>
            <w:tcW w:w="2627" w:type="dxa"/>
            <w:tcBorders>
              <w:top w:val="single" w:sz="4" w:space="0" w:color="000000"/>
              <w:left w:val="single" w:sz="4" w:space="0" w:color="000000"/>
              <w:bottom w:val="single" w:sz="4" w:space="0" w:color="000000"/>
              <w:right w:val="single" w:sz="4" w:space="0" w:color="000000"/>
            </w:tcBorders>
            <w:vAlign w:val="center"/>
          </w:tcPr>
          <w:p w14:paraId="43C564B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Brezovica</w:t>
            </w:r>
          </w:p>
        </w:tc>
        <w:tc>
          <w:tcPr>
            <w:tcW w:w="150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06B47DD2"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603"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554B9883"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01"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5026AE68"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51"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76FDBD4B"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6DD080BF" w14:textId="77777777" w:rsidTr="00DE0C9A">
        <w:trPr>
          <w:cantSplit/>
          <w:trHeight w:val="680"/>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1CDAF50"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2.</w:t>
            </w:r>
          </w:p>
        </w:tc>
        <w:tc>
          <w:tcPr>
            <w:tcW w:w="2627" w:type="dxa"/>
            <w:tcBorders>
              <w:top w:val="single" w:sz="4" w:space="0" w:color="000000"/>
              <w:left w:val="single" w:sz="4" w:space="0" w:color="000000"/>
              <w:bottom w:val="single" w:sz="4" w:space="0" w:color="000000"/>
              <w:right w:val="single" w:sz="4" w:space="0" w:color="000000"/>
            </w:tcBorders>
            <w:vAlign w:val="center"/>
          </w:tcPr>
          <w:p w14:paraId="5ACB6F9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Črnomerec</w:t>
            </w:r>
          </w:p>
        </w:tc>
        <w:tc>
          <w:tcPr>
            <w:tcW w:w="150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9850AC3"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603"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FFAADF0"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0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EEF9486"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5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821A554"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14425FEE" w14:textId="77777777" w:rsidTr="00DE0C9A">
        <w:trPr>
          <w:cantSplit/>
          <w:trHeight w:val="680"/>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2E81B8A"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3.</w:t>
            </w:r>
          </w:p>
        </w:tc>
        <w:tc>
          <w:tcPr>
            <w:tcW w:w="2627" w:type="dxa"/>
            <w:tcBorders>
              <w:top w:val="single" w:sz="4" w:space="0" w:color="000000"/>
              <w:left w:val="single" w:sz="4" w:space="0" w:color="000000"/>
              <w:bottom w:val="single" w:sz="4" w:space="0" w:color="000000"/>
              <w:right w:val="single" w:sz="4" w:space="0" w:color="000000"/>
            </w:tcBorders>
            <w:vAlign w:val="center"/>
          </w:tcPr>
          <w:p w14:paraId="4D757C9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Donja Dubrava</w:t>
            </w:r>
          </w:p>
        </w:tc>
        <w:tc>
          <w:tcPr>
            <w:tcW w:w="150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F395F49"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603"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709305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01"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691262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51"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971226C"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4A812C57" w14:textId="77777777" w:rsidTr="00DE0C9A">
        <w:trPr>
          <w:cantSplit/>
          <w:trHeight w:val="680"/>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166E701"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4.</w:t>
            </w:r>
          </w:p>
        </w:tc>
        <w:tc>
          <w:tcPr>
            <w:tcW w:w="2627" w:type="dxa"/>
            <w:tcBorders>
              <w:top w:val="single" w:sz="4" w:space="0" w:color="000000"/>
              <w:left w:val="single" w:sz="4" w:space="0" w:color="000000"/>
              <w:bottom w:val="single" w:sz="4" w:space="0" w:color="000000"/>
              <w:right w:val="single" w:sz="4" w:space="0" w:color="000000"/>
            </w:tcBorders>
            <w:vAlign w:val="center"/>
          </w:tcPr>
          <w:p w14:paraId="73B8FE6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Donji grad</w:t>
            </w:r>
          </w:p>
        </w:tc>
        <w:tc>
          <w:tcPr>
            <w:tcW w:w="150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1B03DA7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603"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7DE080D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0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8BC674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51"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5ED2728B"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0AAF6123" w14:textId="77777777" w:rsidTr="00DE0C9A">
        <w:trPr>
          <w:cantSplit/>
          <w:trHeight w:val="680"/>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88EEA62"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5.</w:t>
            </w:r>
          </w:p>
        </w:tc>
        <w:tc>
          <w:tcPr>
            <w:tcW w:w="2627" w:type="dxa"/>
            <w:tcBorders>
              <w:top w:val="single" w:sz="4" w:space="0" w:color="000000"/>
              <w:left w:val="single" w:sz="4" w:space="0" w:color="000000"/>
              <w:bottom w:val="single" w:sz="4" w:space="0" w:color="000000"/>
              <w:right w:val="single" w:sz="4" w:space="0" w:color="000000"/>
            </w:tcBorders>
            <w:vAlign w:val="center"/>
          </w:tcPr>
          <w:p w14:paraId="7DC29733"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Gornja Dubrava</w:t>
            </w:r>
          </w:p>
        </w:tc>
        <w:tc>
          <w:tcPr>
            <w:tcW w:w="150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D2F8B6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603"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14046682"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01"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07DD4C84"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51"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FCD1BC6"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261560E1" w14:textId="77777777" w:rsidTr="00DE0C9A">
        <w:trPr>
          <w:cantSplit/>
          <w:trHeight w:val="680"/>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052E25E7"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6.</w:t>
            </w:r>
          </w:p>
        </w:tc>
        <w:tc>
          <w:tcPr>
            <w:tcW w:w="2627" w:type="dxa"/>
            <w:tcBorders>
              <w:top w:val="single" w:sz="4" w:space="0" w:color="000000"/>
              <w:left w:val="single" w:sz="4" w:space="0" w:color="000000"/>
              <w:bottom w:val="single" w:sz="4" w:space="0" w:color="000000"/>
              <w:right w:val="single" w:sz="4" w:space="0" w:color="000000"/>
            </w:tcBorders>
            <w:vAlign w:val="center"/>
          </w:tcPr>
          <w:p w14:paraId="5670CC82"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Gornji grad - Medveščak</w:t>
            </w:r>
          </w:p>
        </w:tc>
        <w:tc>
          <w:tcPr>
            <w:tcW w:w="150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40627CE8"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603"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D5E966B"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0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0BD3AF2"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51"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068B38F9"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299A0DF0" w14:textId="77777777" w:rsidTr="00DE0C9A">
        <w:trPr>
          <w:cantSplit/>
          <w:trHeight w:val="680"/>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D3268F7"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7.</w:t>
            </w:r>
          </w:p>
        </w:tc>
        <w:tc>
          <w:tcPr>
            <w:tcW w:w="2627" w:type="dxa"/>
            <w:tcBorders>
              <w:top w:val="single" w:sz="4" w:space="0" w:color="000000"/>
              <w:left w:val="single" w:sz="4" w:space="0" w:color="000000"/>
              <w:bottom w:val="single" w:sz="4" w:space="0" w:color="000000"/>
              <w:right w:val="single" w:sz="4" w:space="0" w:color="000000"/>
            </w:tcBorders>
            <w:vAlign w:val="center"/>
          </w:tcPr>
          <w:p w14:paraId="31F17B5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Maksimir</w:t>
            </w:r>
          </w:p>
        </w:tc>
        <w:tc>
          <w:tcPr>
            <w:tcW w:w="150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18146CA7"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603"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2990C2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01"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2474D518"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51"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311FBCC8"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1CF596D2" w14:textId="77777777" w:rsidTr="00DE0C9A">
        <w:trPr>
          <w:cantSplit/>
          <w:trHeight w:val="680"/>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6157C64"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8.</w:t>
            </w:r>
          </w:p>
        </w:tc>
        <w:tc>
          <w:tcPr>
            <w:tcW w:w="2627" w:type="dxa"/>
            <w:tcBorders>
              <w:top w:val="single" w:sz="4" w:space="0" w:color="000000"/>
              <w:left w:val="single" w:sz="4" w:space="0" w:color="000000"/>
              <w:bottom w:val="single" w:sz="4" w:space="0" w:color="000000"/>
              <w:right w:val="single" w:sz="4" w:space="0" w:color="000000"/>
            </w:tcBorders>
            <w:vAlign w:val="center"/>
          </w:tcPr>
          <w:p w14:paraId="5151D7C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Novi Zagreb - istok</w:t>
            </w:r>
          </w:p>
        </w:tc>
        <w:tc>
          <w:tcPr>
            <w:tcW w:w="150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BCECF4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603"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7F260D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01"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0879B242"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51"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3FB85083"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4E8264E2" w14:textId="77777777" w:rsidTr="00DE0C9A">
        <w:trPr>
          <w:cantSplit/>
          <w:trHeight w:val="680"/>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4A7B8FA"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9.</w:t>
            </w:r>
          </w:p>
        </w:tc>
        <w:tc>
          <w:tcPr>
            <w:tcW w:w="2627" w:type="dxa"/>
            <w:tcBorders>
              <w:top w:val="single" w:sz="4" w:space="0" w:color="000000"/>
              <w:left w:val="single" w:sz="4" w:space="0" w:color="000000"/>
              <w:bottom w:val="single" w:sz="4" w:space="0" w:color="000000"/>
              <w:right w:val="single" w:sz="4" w:space="0" w:color="000000"/>
            </w:tcBorders>
            <w:vAlign w:val="center"/>
          </w:tcPr>
          <w:p w14:paraId="01701BA0"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Novi Zagreb - zapad</w:t>
            </w:r>
          </w:p>
        </w:tc>
        <w:tc>
          <w:tcPr>
            <w:tcW w:w="150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4E08392"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603"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4244597"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0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E8E9716"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5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F46E9C1"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5AFAD8DA" w14:textId="77777777" w:rsidTr="00DE0C9A">
        <w:trPr>
          <w:cantSplit/>
          <w:trHeight w:val="680"/>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B650EC9"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10.</w:t>
            </w:r>
          </w:p>
        </w:tc>
        <w:tc>
          <w:tcPr>
            <w:tcW w:w="2627" w:type="dxa"/>
            <w:tcBorders>
              <w:top w:val="single" w:sz="4" w:space="0" w:color="000000"/>
              <w:left w:val="single" w:sz="4" w:space="0" w:color="000000"/>
              <w:bottom w:val="single" w:sz="4" w:space="0" w:color="000000"/>
              <w:right w:val="single" w:sz="4" w:space="0" w:color="000000"/>
            </w:tcBorders>
            <w:vAlign w:val="center"/>
          </w:tcPr>
          <w:p w14:paraId="6EF5294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Peščenica - Žitnjak</w:t>
            </w:r>
          </w:p>
        </w:tc>
        <w:tc>
          <w:tcPr>
            <w:tcW w:w="150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E3E91F1"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603"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5171A716"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0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023DD59"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5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AEF5774"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3DE32813" w14:textId="77777777" w:rsidTr="00DE0C9A">
        <w:trPr>
          <w:cantSplit/>
          <w:trHeight w:val="680"/>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645E099F"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11.</w:t>
            </w:r>
          </w:p>
        </w:tc>
        <w:tc>
          <w:tcPr>
            <w:tcW w:w="2627" w:type="dxa"/>
            <w:tcBorders>
              <w:top w:val="single" w:sz="4" w:space="0" w:color="000000"/>
              <w:left w:val="single" w:sz="4" w:space="0" w:color="000000"/>
              <w:bottom w:val="single" w:sz="4" w:space="0" w:color="000000"/>
              <w:right w:val="single" w:sz="4" w:space="0" w:color="000000"/>
            </w:tcBorders>
            <w:vAlign w:val="center"/>
          </w:tcPr>
          <w:p w14:paraId="06A3FE38"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Podsljeme</w:t>
            </w:r>
          </w:p>
        </w:tc>
        <w:tc>
          <w:tcPr>
            <w:tcW w:w="150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5C5C5B92"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603"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E31D6D7"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01"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390BD80A"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51"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166BBA9F"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73FAD12E" w14:textId="77777777" w:rsidTr="00DE0C9A">
        <w:trPr>
          <w:cantSplit/>
          <w:trHeight w:val="680"/>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4E85313A"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12.</w:t>
            </w:r>
          </w:p>
        </w:tc>
        <w:tc>
          <w:tcPr>
            <w:tcW w:w="2627" w:type="dxa"/>
            <w:tcBorders>
              <w:top w:val="single" w:sz="4" w:space="0" w:color="000000"/>
              <w:left w:val="single" w:sz="4" w:space="0" w:color="000000"/>
              <w:bottom w:val="single" w:sz="4" w:space="0" w:color="000000"/>
              <w:right w:val="single" w:sz="4" w:space="0" w:color="000000"/>
            </w:tcBorders>
            <w:vAlign w:val="center"/>
          </w:tcPr>
          <w:p w14:paraId="66BE4D1E"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Podsused - Vrapče</w:t>
            </w:r>
          </w:p>
        </w:tc>
        <w:tc>
          <w:tcPr>
            <w:tcW w:w="150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DA169F1"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603"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46A0790"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0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2B0DDF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5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63FADC9"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19C04E6C" w14:textId="77777777" w:rsidTr="00DE0C9A">
        <w:trPr>
          <w:cantSplit/>
          <w:trHeight w:val="680"/>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837D7C1"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lastRenderedPageBreak/>
              <w:t>13.</w:t>
            </w:r>
          </w:p>
        </w:tc>
        <w:tc>
          <w:tcPr>
            <w:tcW w:w="2627" w:type="dxa"/>
            <w:tcBorders>
              <w:top w:val="single" w:sz="4" w:space="0" w:color="000000"/>
              <w:left w:val="single" w:sz="4" w:space="0" w:color="000000"/>
              <w:bottom w:val="single" w:sz="4" w:space="0" w:color="000000"/>
              <w:right w:val="single" w:sz="4" w:space="0" w:color="000000"/>
            </w:tcBorders>
            <w:vAlign w:val="center"/>
          </w:tcPr>
          <w:p w14:paraId="115D05AC"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Sesvete</w:t>
            </w:r>
          </w:p>
        </w:tc>
        <w:tc>
          <w:tcPr>
            <w:tcW w:w="150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38AF4305"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603"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6AADEC0"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0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4302D9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5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752ACE9"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5F64AB58" w14:textId="77777777" w:rsidTr="00DE0C9A">
        <w:trPr>
          <w:cantSplit/>
          <w:trHeight w:val="680"/>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018D4EAB"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14.</w:t>
            </w:r>
          </w:p>
        </w:tc>
        <w:tc>
          <w:tcPr>
            <w:tcW w:w="2627" w:type="dxa"/>
            <w:tcBorders>
              <w:top w:val="single" w:sz="4" w:space="0" w:color="000000"/>
              <w:left w:val="single" w:sz="4" w:space="0" w:color="000000"/>
              <w:bottom w:val="single" w:sz="4" w:space="0" w:color="000000"/>
              <w:right w:val="single" w:sz="4" w:space="0" w:color="000000"/>
            </w:tcBorders>
            <w:vAlign w:val="center"/>
          </w:tcPr>
          <w:p w14:paraId="250FA9E6"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Stenjevec</w:t>
            </w:r>
          </w:p>
        </w:tc>
        <w:tc>
          <w:tcPr>
            <w:tcW w:w="150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64F5A3B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603"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E975E11"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01"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0009096"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51"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0B79F3D"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0810CBA2" w14:textId="77777777" w:rsidTr="00DE0C9A">
        <w:trPr>
          <w:cantSplit/>
          <w:trHeight w:val="680"/>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340E340C"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15.</w:t>
            </w:r>
          </w:p>
        </w:tc>
        <w:tc>
          <w:tcPr>
            <w:tcW w:w="2627" w:type="dxa"/>
            <w:tcBorders>
              <w:top w:val="single" w:sz="4" w:space="0" w:color="000000"/>
              <w:left w:val="single" w:sz="4" w:space="0" w:color="000000"/>
              <w:bottom w:val="single" w:sz="4" w:space="0" w:color="000000"/>
              <w:right w:val="single" w:sz="4" w:space="0" w:color="000000"/>
            </w:tcBorders>
            <w:vAlign w:val="center"/>
          </w:tcPr>
          <w:p w14:paraId="1FEF8B7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Trešnjevka - jug</w:t>
            </w:r>
          </w:p>
        </w:tc>
        <w:tc>
          <w:tcPr>
            <w:tcW w:w="150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3C67600"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603"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FA9BE0F"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01"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1DED1A0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5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C0CF49C"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7F550C91" w14:textId="77777777" w:rsidTr="00DE0C9A">
        <w:trPr>
          <w:cantSplit/>
          <w:trHeight w:val="680"/>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0760B9DB"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16.</w:t>
            </w:r>
          </w:p>
        </w:tc>
        <w:tc>
          <w:tcPr>
            <w:tcW w:w="2627" w:type="dxa"/>
            <w:tcBorders>
              <w:top w:val="single" w:sz="4" w:space="0" w:color="000000"/>
              <w:left w:val="single" w:sz="4" w:space="0" w:color="000000"/>
              <w:bottom w:val="single" w:sz="4" w:space="0" w:color="000000"/>
              <w:right w:val="single" w:sz="4" w:space="0" w:color="000000"/>
            </w:tcBorders>
            <w:vAlign w:val="center"/>
          </w:tcPr>
          <w:p w14:paraId="24C6BC49"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Trešnjevka - sjever</w:t>
            </w:r>
          </w:p>
        </w:tc>
        <w:tc>
          <w:tcPr>
            <w:tcW w:w="150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731F90F"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603"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32CABA9"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01"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73C24BEE"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5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FE7EBFC" w14:textId="77777777" w:rsidR="00FF1E38" w:rsidRPr="00FF1E38" w:rsidRDefault="00FF1E38" w:rsidP="00FF1E38">
            <w:pPr>
              <w:spacing w:after="0" w:line="240" w:lineRule="auto"/>
              <w:ind w:left="0" w:right="0" w:firstLine="0"/>
              <w:jc w:val="center"/>
              <w:rPr>
                <w:rFonts w:ascii="Times New Roman" w:hAnsi="Times New Roman" w:cs="Times New Roman"/>
              </w:rPr>
            </w:pPr>
          </w:p>
        </w:tc>
      </w:tr>
      <w:tr w:rsidR="00FF1E38" w:rsidRPr="00FF1E38" w14:paraId="31A13059" w14:textId="77777777" w:rsidTr="00DE0C9A">
        <w:trPr>
          <w:cantSplit/>
          <w:trHeight w:val="680"/>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CD017C6" w14:textId="77777777" w:rsidR="00FF1E38" w:rsidRPr="00FF1E38" w:rsidRDefault="00FF1E38" w:rsidP="00FF1E38">
            <w:pPr>
              <w:spacing w:after="0" w:line="240" w:lineRule="auto"/>
              <w:ind w:left="0" w:right="0" w:firstLine="0"/>
              <w:jc w:val="center"/>
              <w:rPr>
                <w:rFonts w:ascii="Times New Roman" w:hAnsi="Times New Roman" w:cs="Times New Roman"/>
                <w:color w:val="FFFFFF"/>
              </w:rPr>
            </w:pPr>
            <w:r w:rsidRPr="00FF1E38">
              <w:rPr>
                <w:rFonts w:ascii="Times New Roman" w:hAnsi="Times New Roman" w:cs="Times New Roman"/>
                <w:color w:val="FFFFFF"/>
              </w:rPr>
              <w:t>17.</w:t>
            </w:r>
          </w:p>
        </w:tc>
        <w:tc>
          <w:tcPr>
            <w:tcW w:w="2627" w:type="dxa"/>
            <w:tcBorders>
              <w:top w:val="single" w:sz="4" w:space="0" w:color="000000"/>
              <w:left w:val="single" w:sz="4" w:space="0" w:color="000000"/>
              <w:bottom w:val="single" w:sz="4" w:space="0" w:color="000000"/>
              <w:right w:val="single" w:sz="4" w:space="0" w:color="000000"/>
            </w:tcBorders>
            <w:vAlign w:val="center"/>
          </w:tcPr>
          <w:p w14:paraId="562D05EF" w14:textId="77777777" w:rsidR="00FF1E38" w:rsidRPr="00FF1E38" w:rsidRDefault="00FF1E38" w:rsidP="00FF1E38">
            <w:pPr>
              <w:spacing w:after="0" w:line="240" w:lineRule="auto"/>
              <w:ind w:left="0" w:right="0" w:firstLine="0"/>
              <w:jc w:val="center"/>
              <w:rPr>
                <w:rFonts w:ascii="Times New Roman" w:hAnsi="Times New Roman" w:cs="Times New Roman"/>
              </w:rPr>
            </w:pPr>
            <w:r w:rsidRPr="00FF1E38">
              <w:rPr>
                <w:rFonts w:ascii="Times New Roman" w:hAnsi="Times New Roman" w:cs="Times New Roman"/>
              </w:rPr>
              <w:t>Trnje</w:t>
            </w:r>
          </w:p>
        </w:tc>
        <w:tc>
          <w:tcPr>
            <w:tcW w:w="150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1849772C"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603"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56D8230"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40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52855E9" w14:textId="77777777" w:rsidR="00FF1E38" w:rsidRPr="00FF1E38" w:rsidRDefault="00FF1E38" w:rsidP="00FF1E38">
            <w:pPr>
              <w:spacing w:after="0" w:line="240" w:lineRule="auto"/>
              <w:ind w:left="0" w:right="0" w:firstLine="0"/>
              <w:jc w:val="center"/>
              <w:rPr>
                <w:rFonts w:ascii="Times New Roman" w:hAnsi="Times New Roman" w:cs="Times New Roman"/>
              </w:rPr>
            </w:pPr>
          </w:p>
        </w:tc>
        <w:tc>
          <w:tcPr>
            <w:tcW w:w="125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774A9C1" w14:textId="77777777" w:rsidR="00FF1E38" w:rsidRPr="00FF1E38" w:rsidRDefault="00FF1E38" w:rsidP="00FF1E38">
            <w:pPr>
              <w:spacing w:after="0" w:line="240" w:lineRule="auto"/>
              <w:ind w:left="0" w:right="0" w:firstLine="0"/>
              <w:jc w:val="center"/>
              <w:rPr>
                <w:rFonts w:ascii="Times New Roman" w:hAnsi="Times New Roman" w:cs="Times New Roman"/>
              </w:rPr>
            </w:pPr>
          </w:p>
        </w:tc>
      </w:tr>
    </w:tbl>
    <w:p w14:paraId="0FC89B01" w14:textId="77777777" w:rsidR="00FF1E38" w:rsidRPr="00FF1E38" w:rsidRDefault="00FF1E38" w:rsidP="00FF1E38">
      <w:pPr>
        <w:spacing w:after="0" w:line="240" w:lineRule="auto"/>
        <w:ind w:left="0" w:right="0" w:firstLine="0"/>
        <w:jc w:val="left"/>
        <w:rPr>
          <w:rFonts w:ascii="Times New Roman" w:hAnsi="Times New Roman" w:cs="Times New Roman"/>
          <w:sz w:val="24"/>
        </w:rPr>
      </w:pPr>
    </w:p>
    <w:p w14:paraId="7B503F0A" w14:textId="2B3D36EA" w:rsidR="00FF1E38" w:rsidRDefault="002213A3" w:rsidP="000D6A0F">
      <w:pPr>
        <w:ind w:left="0" w:right="0" w:firstLine="0"/>
        <w:jc w:val="center"/>
        <w:rPr>
          <w:rFonts w:ascii="Times New Roman" w:hAnsi="Times New Roman" w:cs="Times New Roman"/>
          <w:noProof/>
          <w:sz w:val="24"/>
        </w:rPr>
      </w:pPr>
      <w:r>
        <w:rPr>
          <w:rFonts w:ascii="Times New Roman" w:hAnsi="Times New Roman" w:cs="Times New Roman"/>
          <w:noProof/>
          <w:sz w:val="24"/>
        </w:rPr>
        <w:drawing>
          <wp:inline distT="0" distB="0" distL="0" distR="0" wp14:anchorId="1B8D46AD" wp14:editId="2F26DC5B">
            <wp:extent cx="5147132" cy="4943475"/>
            <wp:effectExtent l="0" t="0" r="0" b="0"/>
            <wp:docPr id="52257" name="Picture 5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1">
                      <a:extLst>
                        <a:ext uri="{28A0092B-C50C-407E-A947-70E740481C1C}">
                          <a14:useLocalDpi xmlns:a14="http://schemas.microsoft.com/office/drawing/2010/main" val="0"/>
                        </a:ext>
                      </a:extLst>
                    </a:blip>
                    <a:srcRect b="1368"/>
                    <a:stretch/>
                  </pic:blipFill>
                  <pic:spPr bwMode="auto">
                    <a:xfrm>
                      <a:off x="0" y="0"/>
                      <a:ext cx="5155320" cy="4951339"/>
                    </a:xfrm>
                    <a:prstGeom prst="rect">
                      <a:avLst/>
                    </a:prstGeom>
                    <a:noFill/>
                    <a:ln>
                      <a:noFill/>
                    </a:ln>
                    <a:extLst>
                      <a:ext uri="{53640926-AAD7-44D8-BBD7-CCE9431645EC}">
                        <a14:shadowObscured xmlns:a14="http://schemas.microsoft.com/office/drawing/2010/main"/>
                      </a:ext>
                    </a:extLst>
                  </pic:spPr>
                </pic:pic>
              </a:graphicData>
            </a:graphic>
          </wp:inline>
        </w:drawing>
      </w:r>
    </w:p>
    <w:p w14:paraId="1FCF3F9E" w14:textId="77777777" w:rsidR="003B5FD1" w:rsidRDefault="003B5FD1" w:rsidP="00C70C9F">
      <w:pPr>
        <w:spacing w:after="0" w:line="240" w:lineRule="auto"/>
        <w:ind w:left="0" w:right="0" w:firstLine="709"/>
        <w:rPr>
          <w:rFonts w:ascii="Times New Roman" w:hAnsi="Times New Roman" w:cs="Times New Roman"/>
          <w:b/>
          <w:sz w:val="24"/>
          <w:szCs w:val="24"/>
        </w:rPr>
      </w:pPr>
    </w:p>
    <w:p w14:paraId="59903DAB" w14:textId="77777777" w:rsidR="003B5FD1" w:rsidRDefault="003B5FD1" w:rsidP="00C70C9F">
      <w:pPr>
        <w:spacing w:after="0" w:line="240" w:lineRule="auto"/>
        <w:ind w:left="0" w:right="0" w:firstLine="709"/>
        <w:rPr>
          <w:rFonts w:ascii="Times New Roman" w:hAnsi="Times New Roman" w:cs="Times New Roman"/>
          <w:b/>
          <w:sz w:val="24"/>
          <w:szCs w:val="24"/>
        </w:rPr>
      </w:pPr>
    </w:p>
    <w:p w14:paraId="006A890B" w14:textId="77777777" w:rsidR="003B5FD1" w:rsidRDefault="003B5FD1" w:rsidP="00C70C9F">
      <w:pPr>
        <w:spacing w:after="0" w:line="240" w:lineRule="auto"/>
        <w:ind w:left="0" w:right="0" w:firstLine="709"/>
        <w:rPr>
          <w:rFonts w:ascii="Times New Roman" w:hAnsi="Times New Roman" w:cs="Times New Roman"/>
          <w:b/>
          <w:sz w:val="24"/>
          <w:szCs w:val="24"/>
        </w:rPr>
      </w:pPr>
    </w:p>
    <w:p w14:paraId="42449A68" w14:textId="77777777" w:rsidR="003B5FD1" w:rsidRDefault="003B5FD1" w:rsidP="00C70C9F">
      <w:pPr>
        <w:spacing w:after="0" w:line="240" w:lineRule="auto"/>
        <w:ind w:left="0" w:right="0" w:firstLine="709"/>
        <w:rPr>
          <w:rFonts w:ascii="Times New Roman" w:hAnsi="Times New Roman" w:cs="Times New Roman"/>
          <w:b/>
          <w:sz w:val="24"/>
          <w:szCs w:val="24"/>
        </w:rPr>
      </w:pPr>
    </w:p>
    <w:p w14:paraId="7B095FDE" w14:textId="12181E07" w:rsidR="002735B8" w:rsidRDefault="002735B8" w:rsidP="00C70C9F">
      <w:pPr>
        <w:spacing w:after="0" w:line="240" w:lineRule="auto"/>
        <w:ind w:left="0" w:right="0" w:firstLine="709"/>
        <w:rPr>
          <w:rFonts w:ascii="Times New Roman" w:hAnsi="Times New Roman" w:cs="Times New Roman"/>
          <w:b/>
          <w:sz w:val="24"/>
          <w:szCs w:val="24"/>
        </w:rPr>
      </w:pPr>
      <w:r w:rsidRPr="002735B8">
        <w:rPr>
          <w:rFonts w:ascii="Times New Roman" w:hAnsi="Times New Roman" w:cs="Times New Roman"/>
          <w:b/>
          <w:sz w:val="24"/>
          <w:szCs w:val="24"/>
        </w:rPr>
        <w:lastRenderedPageBreak/>
        <w:t>6.6. Nuklearna nesreća - opis scenarija</w:t>
      </w:r>
    </w:p>
    <w:p w14:paraId="643C0B18" w14:textId="77777777" w:rsidR="002B4402" w:rsidRPr="002735B8" w:rsidRDefault="002B4402" w:rsidP="002735B8">
      <w:pPr>
        <w:spacing w:after="0" w:line="240" w:lineRule="auto"/>
        <w:ind w:left="0" w:right="0" w:firstLine="0"/>
        <w:rPr>
          <w:rFonts w:ascii="Times New Roman" w:hAnsi="Times New Roman" w:cs="Times New Roman"/>
          <w:b/>
          <w:sz w:val="24"/>
          <w:szCs w:val="24"/>
        </w:rPr>
      </w:pPr>
    </w:p>
    <w:p w14:paraId="31AFCC0C" w14:textId="230123F2" w:rsidR="002735B8" w:rsidRDefault="002735B8" w:rsidP="00C70C9F">
      <w:pPr>
        <w:spacing w:after="0" w:line="240" w:lineRule="auto"/>
        <w:ind w:left="0" w:right="0" w:firstLine="709"/>
        <w:rPr>
          <w:rFonts w:ascii="Times New Roman" w:hAnsi="Times New Roman" w:cs="Times New Roman"/>
          <w:b/>
          <w:sz w:val="24"/>
          <w:szCs w:val="24"/>
        </w:rPr>
      </w:pPr>
      <w:r w:rsidRPr="002735B8">
        <w:rPr>
          <w:rFonts w:ascii="Times New Roman" w:hAnsi="Times New Roman" w:cs="Times New Roman"/>
          <w:b/>
          <w:sz w:val="24"/>
          <w:szCs w:val="24"/>
        </w:rPr>
        <w:t>6.6.1. Naziv scenarija, rizik</w:t>
      </w:r>
    </w:p>
    <w:p w14:paraId="7DCCCE15" w14:textId="77777777" w:rsidR="002B4402" w:rsidRPr="002735B8" w:rsidRDefault="002B4402" w:rsidP="002735B8">
      <w:pPr>
        <w:spacing w:after="0" w:line="240" w:lineRule="auto"/>
        <w:ind w:left="0" w:right="0" w:firstLine="0"/>
        <w:rPr>
          <w:rFonts w:ascii="Times New Roman" w:hAnsi="Times New Roman" w:cs="Times New Roman"/>
          <w:b/>
          <w:sz w:val="24"/>
          <w:szCs w:val="24"/>
        </w:rPr>
      </w:pPr>
    </w:p>
    <w:tbl>
      <w:tblPr>
        <w:tblStyle w:val="TableGrid7"/>
        <w:tblpPr w:leftFromText="180" w:rightFromText="180" w:vertAnchor="page" w:horzAnchor="margin" w:tblpY="2641"/>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2" w:type="dxa"/>
        </w:tblCellMar>
        <w:tblLook w:val="04A0" w:firstRow="1" w:lastRow="0" w:firstColumn="1" w:lastColumn="0" w:noHBand="0" w:noVBand="1"/>
      </w:tblPr>
      <w:tblGrid>
        <w:gridCol w:w="9072"/>
      </w:tblGrid>
      <w:tr w:rsidR="002735B8" w:rsidRPr="002735B8" w14:paraId="1C7472CA" w14:textId="77777777" w:rsidTr="002B4402">
        <w:trPr>
          <w:cantSplit/>
        </w:trPr>
        <w:tc>
          <w:tcPr>
            <w:tcW w:w="9072" w:type="dxa"/>
            <w:shd w:val="clear" w:color="auto" w:fill="FFC000"/>
          </w:tcPr>
          <w:p w14:paraId="4033C0B3" w14:textId="77777777" w:rsidR="002735B8" w:rsidRPr="002735B8" w:rsidRDefault="002735B8" w:rsidP="002B4402">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b/>
                <w:sz w:val="24"/>
                <w:szCs w:val="24"/>
              </w:rPr>
              <w:t>Naziv scenarija</w:t>
            </w:r>
          </w:p>
        </w:tc>
      </w:tr>
      <w:tr w:rsidR="002735B8" w:rsidRPr="002735B8" w14:paraId="38FA9A8B" w14:textId="77777777" w:rsidTr="002B4402">
        <w:trPr>
          <w:cantSplit/>
        </w:trPr>
        <w:tc>
          <w:tcPr>
            <w:tcW w:w="9072" w:type="dxa"/>
          </w:tcPr>
          <w:p w14:paraId="3A64681B" w14:textId="77777777" w:rsidR="002735B8" w:rsidRPr="002735B8" w:rsidRDefault="002735B8" w:rsidP="002B4402">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Izvanredni događaj u Nuklearnoj elektrani Krško</w:t>
            </w:r>
          </w:p>
        </w:tc>
      </w:tr>
      <w:tr w:rsidR="002735B8" w:rsidRPr="002735B8" w14:paraId="1990F818" w14:textId="77777777" w:rsidTr="002B4402">
        <w:trPr>
          <w:cantSplit/>
        </w:trPr>
        <w:tc>
          <w:tcPr>
            <w:tcW w:w="9072" w:type="dxa"/>
            <w:shd w:val="clear" w:color="auto" w:fill="FFC000"/>
          </w:tcPr>
          <w:p w14:paraId="01078BF5" w14:textId="77777777" w:rsidR="002735B8" w:rsidRPr="002735B8" w:rsidRDefault="002735B8" w:rsidP="002B4402">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b/>
                <w:sz w:val="24"/>
                <w:szCs w:val="24"/>
              </w:rPr>
              <w:t>Grupa rizika</w:t>
            </w:r>
          </w:p>
        </w:tc>
      </w:tr>
      <w:tr w:rsidR="002735B8" w:rsidRPr="002735B8" w14:paraId="7E6361A0" w14:textId="77777777" w:rsidTr="002B4402">
        <w:trPr>
          <w:cantSplit/>
        </w:trPr>
        <w:tc>
          <w:tcPr>
            <w:tcW w:w="9072" w:type="dxa"/>
          </w:tcPr>
          <w:p w14:paraId="698A6C23" w14:textId="77777777" w:rsidR="002735B8" w:rsidRPr="002735B8" w:rsidRDefault="002735B8" w:rsidP="002B4402">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Tehničko – tehnološke nesreće s opasnim tvarima </w:t>
            </w:r>
          </w:p>
        </w:tc>
      </w:tr>
      <w:tr w:rsidR="002735B8" w:rsidRPr="002735B8" w14:paraId="6E2E8480" w14:textId="77777777" w:rsidTr="002B4402">
        <w:trPr>
          <w:cantSplit/>
        </w:trPr>
        <w:tc>
          <w:tcPr>
            <w:tcW w:w="9072" w:type="dxa"/>
            <w:shd w:val="clear" w:color="auto" w:fill="FFC000"/>
          </w:tcPr>
          <w:p w14:paraId="45A536A7" w14:textId="77777777" w:rsidR="002735B8" w:rsidRPr="002735B8" w:rsidRDefault="002735B8" w:rsidP="002B4402">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b/>
                <w:sz w:val="24"/>
                <w:szCs w:val="24"/>
              </w:rPr>
              <w:t>Rizik</w:t>
            </w:r>
          </w:p>
        </w:tc>
      </w:tr>
      <w:tr w:rsidR="002735B8" w:rsidRPr="002735B8" w14:paraId="0EBAF25A" w14:textId="77777777" w:rsidTr="002B4402">
        <w:trPr>
          <w:cantSplit/>
        </w:trPr>
        <w:tc>
          <w:tcPr>
            <w:tcW w:w="9072" w:type="dxa"/>
          </w:tcPr>
          <w:p w14:paraId="099E088E" w14:textId="77777777" w:rsidR="002735B8" w:rsidRPr="002735B8" w:rsidRDefault="002735B8" w:rsidP="002B4402">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Nuklearne nesreće</w:t>
            </w:r>
          </w:p>
        </w:tc>
      </w:tr>
      <w:tr w:rsidR="002735B8" w:rsidRPr="002735B8" w14:paraId="79400621" w14:textId="77777777" w:rsidTr="002B4402">
        <w:trPr>
          <w:cantSplit/>
        </w:trPr>
        <w:tc>
          <w:tcPr>
            <w:tcW w:w="9072" w:type="dxa"/>
            <w:shd w:val="clear" w:color="auto" w:fill="FFC000"/>
          </w:tcPr>
          <w:p w14:paraId="34F0141A" w14:textId="77777777" w:rsidR="002735B8" w:rsidRPr="002735B8" w:rsidRDefault="002735B8" w:rsidP="002B4402">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b/>
                <w:sz w:val="24"/>
                <w:szCs w:val="24"/>
              </w:rPr>
              <w:t>Radna skupina</w:t>
            </w:r>
          </w:p>
        </w:tc>
      </w:tr>
      <w:tr w:rsidR="002735B8" w:rsidRPr="002735B8" w14:paraId="557D3BBB" w14:textId="77777777" w:rsidTr="002B4402">
        <w:trPr>
          <w:cantSplit/>
        </w:trPr>
        <w:tc>
          <w:tcPr>
            <w:tcW w:w="9072" w:type="dxa"/>
          </w:tcPr>
          <w:p w14:paraId="28381447" w14:textId="77777777" w:rsidR="002735B8" w:rsidRPr="002735B8" w:rsidRDefault="002735B8" w:rsidP="002B4402">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Gradski ured za mjesnu samoupravu, civilnu zaštitu i sigurnost</w:t>
            </w:r>
          </w:p>
          <w:p w14:paraId="0A6EBE0A" w14:textId="77777777" w:rsidR="002735B8" w:rsidRPr="002735B8" w:rsidRDefault="002735B8" w:rsidP="002B4402">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Ravnateljstvo civilne zaštite</w:t>
            </w:r>
          </w:p>
        </w:tc>
      </w:tr>
      <w:tr w:rsidR="002735B8" w:rsidRPr="002735B8" w14:paraId="23D48A09" w14:textId="77777777" w:rsidTr="002B4402">
        <w:trPr>
          <w:cantSplit/>
        </w:trPr>
        <w:tc>
          <w:tcPr>
            <w:tcW w:w="9072" w:type="dxa"/>
            <w:shd w:val="clear" w:color="auto" w:fill="FFC000"/>
          </w:tcPr>
          <w:p w14:paraId="40695451" w14:textId="77777777" w:rsidR="002735B8" w:rsidRPr="002735B8" w:rsidRDefault="002735B8" w:rsidP="002B4402">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b/>
                <w:sz w:val="24"/>
                <w:szCs w:val="24"/>
              </w:rPr>
              <w:t>Opis scenarija:</w:t>
            </w:r>
          </w:p>
        </w:tc>
      </w:tr>
      <w:tr w:rsidR="002735B8" w:rsidRPr="002735B8" w14:paraId="0707A47A" w14:textId="77777777" w:rsidTr="002B4402">
        <w:trPr>
          <w:cantSplit/>
        </w:trPr>
        <w:tc>
          <w:tcPr>
            <w:tcW w:w="9072" w:type="dxa"/>
          </w:tcPr>
          <w:p w14:paraId="2BC0303F" w14:textId="77777777" w:rsidR="002735B8" w:rsidRPr="002735B8" w:rsidRDefault="002735B8" w:rsidP="002B4402">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Scenarijem će se opisati situacija koja može nastati nakon izvanrednog događaja u Nuklearnoj elektrani Krško. U obzir će se uzeti najgori mogući scenarij male vjerojatnosti, ali najvećih posljedica.</w:t>
            </w:r>
          </w:p>
        </w:tc>
      </w:tr>
    </w:tbl>
    <w:p w14:paraId="4B3D89A7" w14:textId="77777777" w:rsidR="002735B8" w:rsidRPr="002735B8" w:rsidRDefault="002735B8" w:rsidP="002735B8">
      <w:pPr>
        <w:spacing w:after="0" w:line="240" w:lineRule="auto"/>
        <w:ind w:left="0" w:right="0" w:firstLine="0"/>
        <w:rPr>
          <w:rFonts w:ascii="Times New Roman" w:hAnsi="Times New Roman" w:cs="Times New Roman"/>
          <w:b/>
          <w:sz w:val="24"/>
          <w:szCs w:val="24"/>
        </w:rPr>
      </w:pPr>
    </w:p>
    <w:p w14:paraId="4EFA2503" w14:textId="77777777" w:rsidR="002735B8" w:rsidRPr="002735B8" w:rsidRDefault="002735B8" w:rsidP="00C70C9F">
      <w:pPr>
        <w:spacing w:after="0" w:line="240" w:lineRule="auto"/>
        <w:ind w:left="0" w:right="0" w:firstLine="709"/>
        <w:rPr>
          <w:rFonts w:ascii="Times New Roman" w:hAnsi="Times New Roman" w:cs="Times New Roman"/>
          <w:b/>
          <w:sz w:val="24"/>
          <w:szCs w:val="24"/>
        </w:rPr>
      </w:pPr>
      <w:r w:rsidRPr="002735B8">
        <w:rPr>
          <w:rFonts w:ascii="Times New Roman" w:hAnsi="Times New Roman" w:cs="Times New Roman"/>
          <w:b/>
          <w:sz w:val="24"/>
          <w:szCs w:val="24"/>
        </w:rPr>
        <w:t>6.6.2. Prikaz utjecaja na kritičnu infrastrukturu</w:t>
      </w:r>
    </w:p>
    <w:p w14:paraId="6D6AB9F5" w14:textId="6E82961F" w:rsidR="002735B8" w:rsidRPr="002735B8" w:rsidRDefault="002735B8" w:rsidP="00DD51D2">
      <w:pPr>
        <w:spacing w:after="0" w:line="240" w:lineRule="auto"/>
        <w:ind w:left="0" w:right="0" w:firstLine="709"/>
        <w:rPr>
          <w:rFonts w:ascii="Times New Roman" w:hAnsi="Times New Roman" w:cs="Times New Roman"/>
          <w:color w:val="auto"/>
          <w:sz w:val="24"/>
          <w:szCs w:val="24"/>
        </w:rPr>
      </w:pPr>
      <w:r w:rsidRPr="002735B8">
        <w:rPr>
          <w:rFonts w:ascii="Times New Roman" w:hAnsi="Times New Roman" w:cs="Times New Roman"/>
          <w:sz w:val="24"/>
          <w:szCs w:val="24"/>
        </w:rPr>
        <w:t xml:space="preserve">Izvanredni događaj u Nuklearnoj elektrani Krško ima izravan negativan utjecaj na </w:t>
      </w:r>
      <w:r w:rsidRPr="002735B8">
        <w:rPr>
          <w:rFonts w:ascii="Times New Roman" w:hAnsi="Times New Roman" w:cs="Times New Roman"/>
          <w:b/>
          <w:sz w:val="24"/>
          <w:szCs w:val="24"/>
        </w:rPr>
        <w:t>energetski sektor</w:t>
      </w:r>
      <w:r w:rsidRPr="002735B8">
        <w:rPr>
          <w:rFonts w:ascii="Times New Roman" w:hAnsi="Times New Roman" w:cs="Times New Roman"/>
          <w:sz w:val="24"/>
          <w:szCs w:val="24"/>
        </w:rPr>
        <w:t xml:space="preserve"> kritične infrastrukture budući da navedena nuklearna elektrana svojim </w:t>
      </w:r>
      <w:r w:rsidRPr="002735B8">
        <w:rPr>
          <w:rFonts w:ascii="Times New Roman" w:hAnsi="Times New Roman" w:cs="Times New Roman"/>
          <w:color w:val="auto"/>
          <w:sz w:val="24"/>
          <w:szCs w:val="24"/>
        </w:rPr>
        <w:t>radom pokriva oko 16 posto potreba Hrvatske za električnom energijom</w:t>
      </w:r>
      <w:r w:rsidRPr="002735B8">
        <w:rPr>
          <w:rFonts w:ascii="Times New Roman" w:hAnsi="Times New Roman" w:cs="Times New Roman"/>
          <w:color w:val="auto"/>
          <w:sz w:val="24"/>
          <w:szCs w:val="24"/>
          <w:vertAlign w:val="superscript"/>
        </w:rPr>
        <w:footnoteReference w:id="61"/>
      </w:r>
      <w:r w:rsidRPr="002735B8">
        <w:rPr>
          <w:rFonts w:ascii="Times New Roman" w:hAnsi="Times New Roman" w:cs="Times New Roman"/>
          <w:color w:val="auto"/>
          <w:sz w:val="24"/>
          <w:szCs w:val="24"/>
        </w:rPr>
        <w:t>. U slučaju prestanka rada NE Krško, mogući su trenutni poremećaji u opskrbi električnom energijom, ali nije izgledan raspad elektro-energetskog sustava.</w:t>
      </w:r>
    </w:p>
    <w:p w14:paraId="12DA769D" w14:textId="77777777" w:rsidR="002735B8" w:rsidRPr="002735B8" w:rsidRDefault="002735B8" w:rsidP="00DD51D2">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Na </w:t>
      </w:r>
      <w:r w:rsidRPr="002735B8">
        <w:rPr>
          <w:rFonts w:ascii="Times New Roman" w:hAnsi="Times New Roman" w:cs="Times New Roman"/>
          <w:b/>
          <w:sz w:val="24"/>
          <w:szCs w:val="24"/>
        </w:rPr>
        <w:t xml:space="preserve">sektor komunikacijske i informacijske tehnologije </w:t>
      </w:r>
      <w:r w:rsidRPr="002735B8">
        <w:rPr>
          <w:rFonts w:ascii="Times New Roman" w:hAnsi="Times New Roman" w:cs="Times New Roman"/>
          <w:sz w:val="24"/>
          <w:szCs w:val="24"/>
        </w:rPr>
        <w:t xml:space="preserve">negativan utjecaj navedenog događaja moguć je zbog prekida u opskrbi električnom energijom telekomunikacijskih uređaja i opreme, ali i izglednog zagušenja telekomunikacija zbog velikog broja poziva uznemirenih građana. </w:t>
      </w:r>
    </w:p>
    <w:p w14:paraId="7A9DF355" w14:textId="77777777" w:rsidR="002735B8" w:rsidRPr="002735B8" w:rsidRDefault="002735B8" w:rsidP="00DD51D2">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Negativan utjecaj na </w:t>
      </w:r>
      <w:r w:rsidRPr="002735B8">
        <w:rPr>
          <w:rFonts w:ascii="Times New Roman" w:hAnsi="Times New Roman" w:cs="Times New Roman"/>
          <w:b/>
          <w:sz w:val="24"/>
          <w:szCs w:val="24"/>
        </w:rPr>
        <w:t>prometni sektor</w:t>
      </w:r>
      <w:r w:rsidRPr="002735B8">
        <w:rPr>
          <w:rFonts w:ascii="Times New Roman" w:hAnsi="Times New Roman" w:cs="Times New Roman"/>
          <w:sz w:val="24"/>
          <w:szCs w:val="24"/>
        </w:rPr>
        <w:t xml:space="preserve"> bit će izražen zbog evakuacije stanovništva iz zone za planiranje hitnih mjera zaštite koja graniči sa područjem Grada Zagreba, što će rezultirati preopterećenjem prometnica i uvođenjem izvanrednog režima odvijanja prometa (smjer evakuacije od zapada prema istoku).</w:t>
      </w:r>
    </w:p>
    <w:p w14:paraId="758C03D1" w14:textId="77777777" w:rsidR="002735B8" w:rsidRPr="002735B8" w:rsidRDefault="002735B8" w:rsidP="00DD51D2">
      <w:pPr>
        <w:spacing w:after="0" w:line="240" w:lineRule="auto"/>
        <w:ind w:left="0" w:right="0" w:firstLine="709"/>
        <w:rPr>
          <w:rFonts w:ascii="Times New Roman" w:hAnsi="Times New Roman" w:cs="Times New Roman"/>
          <w:color w:val="auto"/>
          <w:sz w:val="24"/>
          <w:szCs w:val="24"/>
        </w:rPr>
      </w:pPr>
      <w:r w:rsidRPr="002735B8">
        <w:rPr>
          <w:rFonts w:ascii="Times New Roman" w:hAnsi="Times New Roman" w:cs="Times New Roman"/>
          <w:b/>
          <w:sz w:val="24"/>
          <w:szCs w:val="24"/>
        </w:rPr>
        <w:t>Zdravstveni sektor</w:t>
      </w:r>
      <w:r w:rsidRPr="002735B8">
        <w:rPr>
          <w:rFonts w:ascii="Times New Roman" w:hAnsi="Times New Roman" w:cs="Times New Roman"/>
          <w:sz w:val="24"/>
          <w:szCs w:val="24"/>
        </w:rPr>
        <w:t xml:space="preserve"> bit će opterećen pružanjem zdravstvene skrbi osobama koje su u </w:t>
      </w:r>
      <w:r w:rsidRPr="002735B8">
        <w:rPr>
          <w:rFonts w:ascii="Times New Roman" w:hAnsi="Times New Roman" w:cs="Times New Roman"/>
          <w:color w:val="auto"/>
          <w:sz w:val="24"/>
          <w:szCs w:val="24"/>
        </w:rPr>
        <w:t>nuklearnom izvanrednom događaju ozračene, a koje uz to mogu biti i kontaminirane. Takva skrb može biti potrebna za osoblje elektrane ili one koji sudjeluju u ograničavanju posljedica nesreće. Osobe izdvojene u postupku trijaže prevoziti će se u Klinički zavod za nuklearnu medicinu i zaštitu od zračenja Kliničkog bolničkog centra Zagreb koji je Referentni centar Ministarstva zdravstva za medicinsko zbrinjavanje ozračenih osoba.</w:t>
      </w:r>
    </w:p>
    <w:p w14:paraId="749107E7" w14:textId="77777777" w:rsidR="002735B8" w:rsidRPr="002735B8" w:rsidRDefault="002735B8" w:rsidP="00DD51D2">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Negativan utjecaj na </w:t>
      </w:r>
      <w:r w:rsidRPr="002735B8">
        <w:rPr>
          <w:rFonts w:ascii="Times New Roman" w:hAnsi="Times New Roman" w:cs="Times New Roman"/>
          <w:b/>
          <w:sz w:val="24"/>
          <w:szCs w:val="24"/>
        </w:rPr>
        <w:t xml:space="preserve">sektor vodnog gospodarstva </w:t>
      </w:r>
      <w:r w:rsidRPr="002735B8">
        <w:rPr>
          <w:rFonts w:ascii="Times New Roman" w:hAnsi="Times New Roman" w:cs="Times New Roman"/>
          <w:sz w:val="24"/>
          <w:szCs w:val="24"/>
        </w:rPr>
        <w:t>je moguć zbog kontaminacije vode za ljudsku potrošnju, ponajprije putem onečišćenja površinskih voda uslijed depozicije radioaktivnog materijala. Moguća je i kontaminacija rijeke Save i podzemnih voda u slivnom području.</w:t>
      </w:r>
    </w:p>
    <w:p w14:paraId="5B8E1698" w14:textId="77777777" w:rsidR="002735B8" w:rsidRPr="002735B8" w:rsidRDefault="002735B8" w:rsidP="00DD51D2">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Tijekom nuklearnog izvanrednog događaja može doći do kontaminacije hrane za ljude i životinje, i to u raznim fazama proizvodnje i prerade, tako da je i </w:t>
      </w:r>
      <w:r w:rsidRPr="002735B8">
        <w:rPr>
          <w:rFonts w:ascii="Times New Roman" w:hAnsi="Times New Roman" w:cs="Times New Roman"/>
          <w:b/>
          <w:sz w:val="24"/>
          <w:szCs w:val="24"/>
        </w:rPr>
        <w:t>sektor proizvodnje i opskrbe hranom i sustav sigurnosti hrane</w:t>
      </w:r>
      <w:r w:rsidRPr="002735B8">
        <w:rPr>
          <w:rFonts w:ascii="Times New Roman" w:hAnsi="Times New Roman" w:cs="Times New Roman"/>
          <w:sz w:val="24"/>
          <w:szCs w:val="24"/>
        </w:rPr>
        <w:t xml:space="preserve"> ugrožen. </w:t>
      </w:r>
    </w:p>
    <w:p w14:paraId="7505AD71"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75DBBB4A" w14:textId="77777777" w:rsidR="002735B8" w:rsidRPr="002735B8" w:rsidRDefault="002735B8" w:rsidP="00DD51D2">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Na </w:t>
      </w:r>
      <w:r w:rsidRPr="002735B8">
        <w:rPr>
          <w:rFonts w:ascii="Times New Roman" w:hAnsi="Times New Roman" w:cs="Times New Roman"/>
          <w:b/>
          <w:sz w:val="24"/>
          <w:szCs w:val="24"/>
        </w:rPr>
        <w:t xml:space="preserve">financijski sektor </w:t>
      </w:r>
      <w:r w:rsidRPr="002735B8">
        <w:rPr>
          <w:rFonts w:ascii="Times New Roman" w:hAnsi="Times New Roman" w:cs="Times New Roman"/>
          <w:sz w:val="24"/>
          <w:szCs w:val="24"/>
        </w:rPr>
        <w:t xml:space="preserve">događaj će imati utjecaja zbog povećanih troškova zdravstvenog zbrinjavanja ozračenih osoba, troškova mjerenja kontaminacije, primjenjivanja profilakse </w:t>
      </w:r>
      <w:r w:rsidRPr="002735B8">
        <w:rPr>
          <w:rFonts w:ascii="Times New Roman" w:hAnsi="Times New Roman" w:cs="Times New Roman"/>
          <w:sz w:val="24"/>
          <w:szCs w:val="24"/>
        </w:rPr>
        <w:lastRenderedPageBreak/>
        <w:t>stabilnim jodom, troškova organizacije evakuacijskih centara, podjele hrane iz državnih robnih zaliha. Pojava kontaminiranih ili potencijalno kontaminiranih dobara u lokalnoj distribuciji ili međunarodnoj trgovini mogla bi imati teške ekonomske posljedice za poljoprivredu i prehrambeno-prerađivačku industriju.</w:t>
      </w:r>
    </w:p>
    <w:p w14:paraId="4A2BF5A4" w14:textId="77777777" w:rsidR="002735B8" w:rsidRPr="002735B8" w:rsidRDefault="002735B8" w:rsidP="00DD51D2">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b/>
          <w:sz w:val="24"/>
          <w:szCs w:val="24"/>
        </w:rPr>
        <w:t xml:space="preserve">Sektor proizvodnje, skladištenja i prijevoza opasnih tvari </w:t>
      </w:r>
      <w:r w:rsidRPr="002735B8">
        <w:rPr>
          <w:rFonts w:ascii="Times New Roman" w:hAnsi="Times New Roman" w:cs="Times New Roman"/>
          <w:sz w:val="24"/>
          <w:szCs w:val="24"/>
        </w:rPr>
        <w:t>bit će pod opterećenjem</w:t>
      </w:r>
      <w:r w:rsidRPr="002735B8">
        <w:rPr>
          <w:rFonts w:ascii="Times New Roman" w:hAnsi="Times New Roman" w:cs="Times New Roman"/>
          <w:b/>
          <w:sz w:val="24"/>
          <w:szCs w:val="24"/>
        </w:rPr>
        <w:t xml:space="preserve"> </w:t>
      </w:r>
      <w:r w:rsidRPr="002735B8">
        <w:rPr>
          <w:rFonts w:ascii="Times New Roman" w:hAnsi="Times New Roman" w:cs="Times New Roman"/>
          <w:sz w:val="24"/>
          <w:szCs w:val="24"/>
        </w:rPr>
        <w:t>sigurnog zbrinjavanja radioaktivnog otpada.</w:t>
      </w:r>
    </w:p>
    <w:p w14:paraId="0122723A" w14:textId="77777777" w:rsidR="002735B8" w:rsidRPr="002735B8" w:rsidRDefault="002735B8" w:rsidP="00DD51D2">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Utjecaj nuklearne nesreće na </w:t>
      </w:r>
      <w:r w:rsidRPr="002735B8">
        <w:rPr>
          <w:rFonts w:ascii="Times New Roman" w:hAnsi="Times New Roman" w:cs="Times New Roman"/>
          <w:b/>
          <w:sz w:val="24"/>
          <w:szCs w:val="24"/>
        </w:rPr>
        <w:t>sektor javnih službi</w:t>
      </w:r>
      <w:r w:rsidRPr="002735B8">
        <w:rPr>
          <w:rFonts w:ascii="Times New Roman" w:hAnsi="Times New Roman" w:cs="Times New Roman"/>
          <w:sz w:val="24"/>
          <w:szCs w:val="24"/>
        </w:rPr>
        <w:t xml:space="preserve"> manifestirat će se povećanim naporima za osiguravanjem učinkovite evakuacije stanovništva iz zone za planiranje hitnih mjera zaštite, organiziranjem provođenja radioloških mjerenja, kontroli kontaminacije i vršenjem dekontaminacije osoba i opreme u evakuacijskim centrima, osiguravanjem rada evakuacijskih centara, organiziranjem privremenog ili trajnog preseljenja stanovništva, pružanjem pravovremenih i relevantnih informacija i uputa stanovništvu te drugim postupcima kojima je cilj zaštita i spašavanje stanovništva odnosno minimiziranje posljedica događaja. </w:t>
      </w:r>
    </w:p>
    <w:p w14:paraId="2184DD4F"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012AE90F" w14:textId="0941D7E9" w:rsidR="002735B8" w:rsidRPr="0023767A" w:rsidRDefault="002735B8" w:rsidP="00072515">
      <w:pPr>
        <w:spacing w:line="240" w:lineRule="auto"/>
        <w:ind w:left="0" w:right="0" w:firstLine="0"/>
        <w:jc w:val="center"/>
        <w:rPr>
          <w:rFonts w:ascii="Times New Roman" w:hAnsi="Times New Roman" w:cs="Times New Roman"/>
          <w:b/>
          <w:iCs/>
          <w:color w:val="auto"/>
          <w:sz w:val="24"/>
          <w:szCs w:val="24"/>
        </w:rPr>
      </w:pPr>
      <w:r w:rsidRPr="0023767A">
        <w:rPr>
          <w:rFonts w:ascii="Times New Roman" w:hAnsi="Times New Roman" w:cs="Times New Roman"/>
          <w:b/>
          <w:iCs/>
          <w:color w:val="auto"/>
          <w:sz w:val="24"/>
          <w:szCs w:val="24"/>
        </w:rPr>
        <w:t xml:space="preserve">Tablica </w:t>
      </w:r>
      <w:r w:rsidR="0023767A" w:rsidRPr="0023767A">
        <w:rPr>
          <w:rFonts w:ascii="Times New Roman" w:hAnsi="Times New Roman" w:cs="Times New Roman"/>
          <w:b/>
          <w:iCs/>
          <w:color w:val="auto"/>
          <w:sz w:val="24"/>
          <w:szCs w:val="24"/>
        </w:rPr>
        <w:t>105</w:t>
      </w:r>
      <w:r w:rsidRPr="0023767A">
        <w:rPr>
          <w:rFonts w:ascii="Times New Roman" w:hAnsi="Times New Roman" w:cs="Times New Roman"/>
          <w:b/>
          <w:iCs/>
          <w:color w:val="auto"/>
          <w:sz w:val="24"/>
          <w:szCs w:val="24"/>
        </w:rPr>
        <w:t>. Utjecaj nuklearne nesreće na kritičnu infrastrukturu</w:t>
      </w:r>
    </w:p>
    <w:tbl>
      <w:tblPr>
        <w:tblStyle w:val="TableGrid7"/>
        <w:tblW w:w="878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3" w:type="dxa"/>
        </w:tblCellMar>
        <w:tblLook w:val="04A0" w:firstRow="1" w:lastRow="0" w:firstColumn="1" w:lastColumn="0" w:noHBand="0" w:noVBand="1"/>
      </w:tblPr>
      <w:tblGrid>
        <w:gridCol w:w="1418"/>
        <w:gridCol w:w="7366"/>
      </w:tblGrid>
      <w:tr w:rsidR="002735B8" w:rsidRPr="002735B8" w14:paraId="5D598867" w14:textId="77777777" w:rsidTr="00284074">
        <w:trPr>
          <w:cantSplit/>
        </w:trPr>
        <w:tc>
          <w:tcPr>
            <w:tcW w:w="1418" w:type="dxa"/>
            <w:shd w:val="clear" w:color="auto" w:fill="FFC000"/>
            <w:vAlign w:val="center"/>
          </w:tcPr>
          <w:p w14:paraId="663B9CC1"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UTJECAJ</w:t>
            </w:r>
          </w:p>
        </w:tc>
        <w:tc>
          <w:tcPr>
            <w:tcW w:w="7366" w:type="dxa"/>
            <w:shd w:val="clear" w:color="auto" w:fill="FFC000"/>
            <w:vAlign w:val="center"/>
          </w:tcPr>
          <w:p w14:paraId="17F9986F"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SEKTOR</w:t>
            </w:r>
          </w:p>
        </w:tc>
      </w:tr>
      <w:tr w:rsidR="002735B8" w:rsidRPr="002735B8" w14:paraId="2E359A02" w14:textId="77777777" w:rsidTr="00284074">
        <w:trPr>
          <w:cantSplit/>
        </w:trPr>
        <w:tc>
          <w:tcPr>
            <w:tcW w:w="1418" w:type="dxa"/>
            <w:vAlign w:val="center"/>
          </w:tcPr>
          <w:p w14:paraId="4ED2CC75"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x</w:t>
            </w:r>
          </w:p>
        </w:tc>
        <w:tc>
          <w:tcPr>
            <w:tcW w:w="7366" w:type="dxa"/>
            <w:vAlign w:val="center"/>
          </w:tcPr>
          <w:p w14:paraId="07FA73B5"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Energetika (proizvodnja, uključivo akumulacije i brane, prijenos, skladištenje, transport energenata i energije, sustavi za distribuciju)</w:t>
            </w:r>
          </w:p>
        </w:tc>
      </w:tr>
      <w:tr w:rsidR="002735B8" w:rsidRPr="002735B8" w14:paraId="76736624" w14:textId="77777777" w:rsidTr="00284074">
        <w:trPr>
          <w:cantSplit/>
        </w:trPr>
        <w:tc>
          <w:tcPr>
            <w:tcW w:w="1418" w:type="dxa"/>
            <w:shd w:val="clear" w:color="auto" w:fill="FFC000"/>
            <w:vAlign w:val="center"/>
          </w:tcPr>
          <w:p w14:paraId="5961FB7E"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x</w:t>
            </w:r>
          </w:p>
        </w:tc>
        <w:tc>
          <w:tcPr>
            <w:tcW w:w="7366" w:type="dxa"/>
            <w:shd w:val="clear" w:color="auto" w:fill="FFC000"/>
            <w:vAlign w:val="center"/>
          </w:tcPr>
          <w:p w14:paraId="1EF9F687"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Komunikacijska i informacijska tehnologija (elektroničke komunikacije, prijenos podataka, informacijski sustavi, pružanje audio i audiovizualnih medijskih usluga)</w:t>
            </w:r>
          </w:p>
        </w:tc>
      </w:tr>
      <w:tr w:rsidR="002735B8" w:rsidRPr="002735B8" w14:paraId="6FC7C78B" w14:textId="77777777" w:rsidTr="00284074">
        <w:trPr>
          <w:cantSplit/>
        </w:trPr>
        <w:tc>
          <w:tcPr>
            <w:tcW w:w="1418" w:type="dxa"/>
            <w:vAlign w:val="center"/>
          </w:tcPr>
          <w:p w14:paraId="44226FC2"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x</w:t>
            </w:r>
          </w:p>
        </w:tc>
        <w:tc>
          <w:tcPr>
            <w:tcW w:w="7366" w:type="dxa"/>
            <w:vAlign w:val="center"/>
          </w:tcPr>
          <w:p w14:paraId="782648E7"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Promet (cestovni, željeznički, zračni, pomorski i promet unutarnjim plovnim putevima)</w:t>
            </w:r>
          </w:p>
        </w:tc>
      </w:tr>
      <w:tr w:rsidR="002735B8" w:rsidRPr="002735B8" w14:paraId="72A2F9B5" w14:textId="77777777" w:rsidTr="00284074">
        <w:trPr>
          <w:cantSplit/>
        </w:trPr>
        <w:tc>
          <w:tcPr>
            <w:tcW w:w="1418" w:type="dxa"/>
            <w:shd w:val="clear" w:color="auto" w:fill="FFC000"/>
            <w:vAlign w:val="center"/>
          </w:tcPr>
          <w:p w14:paraId="5E3F02A0"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x</w:t>
            </w:r>
          </w:p>
        </w:tc>
        <w:tc>
          <w:tcPr>
            <w:tcW w:w="7366" w:type="dxa"/>
            <w:shd w:val="clear" w:color="auto" w:fill="FFC000"/>
            <w:vAlign w:val="center"/>
          </w:tcPr>
          <w:p w14:paraId="325499F4"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Zdravstvo (zdravstvena zaštita, proizvodnja lijekova, promet i nadzor nad lijekovima)</w:t>
            </w:r>
          </w:p>
        </w:tc>
      </w:tr>
      <w:tr w:rsidR="002735B8" w:rsidRPr="002735B8" w14:paraId="43641156" w14:textId="77777777" w:rsidTr="00284074">
        <w:trPr>
          <w:cantSplit/>
        </w:trPr>
        <w:tc>
          <w:tcPr>
            <w:tcW w:w="1418" w:type="dxa"/>
            <w:vAlign w:val="center"/>
          </w:tcPr>
          <w:p w14:paraId="71528D50"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x</w:t>
            </w:r>
          </w:p>
        </w:tc>
        <w:tc>
          <w:tcPr>
            <w:tcW w:w="7366" w:type="dxa"/>
            <w:vAlign w:val="center"/>
          </w:tcPr>
          <w:p w14:paraId="070419F2"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Vodno gospodarstvo (regulacijske i zaštitne vodne građevine i komunalne vodne građevine)</w:t>
            </w:r>
          </w:p>
        </w:tc>
      </w:tr>
      <w:tr w:rsidR="002735B8" w:rsidRPr="002735B8" w14:paraId="10E84704" w14:textId="77777777" w:rsidTr="00284074">
        <w:trPr>
          <w:cantSplit/>
        </w:trPr>
        <w:tc>
          <w:tcPr>
            <w:tcW w:w="1418" w:type="dxa"/>
            <w:shd w:val="clear" w:color="auto" w:fill="FFC000"/>
            <w:vAlign w:val="center"/>
          </w:tcPr>
          <w:p w14:paraId="70F9E176"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x</w:t>
            </w:r>
          </w:p>
        </w:tc>
        <w:tc>
          <w:tcPr>
            <w:tcW w:w="7366" w:type="dxa"/>
            <w:shd w:val="clear" w:color="auto" w:fill="FFC000"/>
            <w:vAlign w:val="center"/>
          </w:tcPr>
          <w:p w14:paraId="3D4B682C"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Hrana (proizvodnja i opskrba hranom i sustav sigurnosti hrane, robne zalihe)</w:t>
            </w:r>
          </w:p>
        </w:tc>
      </w:tr>
      <w:tr w:rsidR="002735B8" w:rsidRPr="002735B8" w14:paraId="69435868" w14:textId="77777777" w:rsidTr="00284074">
        <w:trPr>
          <w:cantSplit/>
        </w:trPr>
        <w:tc>
          <w:tcPr>
            <w:tcW w:w="1418" w:type="dxa"/>
            <w:vAlign w:val="center"/>
          </w:tcPr>
          <w:p w14:paraId="39F90E90"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x</w:t>
            </w:r>
          </w:p>
        </w:tc>
        <w:tc>
          <w:tcPr>
            <w:tcW w:w="7366" w:type="dxa"/>
            <w:vAlign w:val="center"/>
          </w:tcPr>
          <w:p w14:paraId="22B0874D"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Financije (bankarstvo, burze, investicije, sustavi osiguranja i plaćanja)</w:t>
            </w:r>
          </w:p>
        </w:tc>
      </w:tr>
      <w:tr w:rsidR="002735B8" w:rsidRPr="002735B8" w14:paraId="4E5F3909" w14:textId="77777777" w:rsidTr="00284074">
        <w:trPr>
          <w:cantSplit/>
        </w:trPr>
        <w:tc>
          <w:tcPr>
            <w:tcW w:w="1418" w:type="dxa"/>
            <w:shd w:val="clear" w:color="auto" w:fill="FFC000"/>
            <w:vAlign w:val="center"/>
          </w:tcPr>
          <w:p w14:paraId="57A379E7"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x</w:t>
            </w:r>
          </w:p>
        </w:tc>
        <w:tc>
          <w:tcPr>
            <w:tcW w:w="7366" w:type="dxa"/>
            <w:shd w:val="clear" w:color="auto" w:fill="FFC000"/>
            <w:vAlign w:val="center"/>
          </w:tcPr>
          <w:p w14:paraId="358870E1"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Proizvodnja, skladištenje i prijevoz opasnih tvari (kemijski, biološki, radiološki i nuklearni materijal)</w:t>
            </w:r>
          </w:p>
        </w:tc>
      </w:tr>
      <w:tr w:rsidR="002735B8" w:rsidRPr="002735B8" w14:paraId="4E456C60" w14:textId="77777777" w:rsidTr="00284074">
        <w:trPr>
          <w:cantSplit/>
        </w:trPr>
        <w:tc>
          <w:tcPr>
            <w:tcW w:w="1418" w:type="dxa"/>
            <w:vAlign w:val="center"/>
          </w:tcPr>
          <w:p w14:paraId="361BEB2E"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x</w:t>
            </w:r>
          </w:p>
        </w:tc>
        <w:tc>
          <w:tcPr>
            <w:tcW w:w="7366" w:type="dxa"/>
            <w:vAlign w:val="center"/>
          </w:tcPr>
          <w:p w14:paraId="681A268A"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Javne službe (osiguranje javnog reda i mira, zaštita i spašavanje, hitna medicinska pomoć)</w:t>
            </w:r>
          </w:p>
        </w:tc>
      </w:tr>
      <w:tr w:rsidR="002735B8" w:rsidRPr="002735B8" w14:paraId="6B0F1E17" w14:textId="77777777" w:rsidTr="00284074">
        <w:trPr>
          <w:cantSplit/>
        </w:trPr>
        <w:tc>
          <w:tcPr>
            <w:tcW w:w="1418" w:type="dxa"/>
            <w:shd w:val="clear" w:color="auto" w:fill="FFC000"/>
            <w:vAlign w:val="center"/>
          </w:tcPr>
          <w:p w14:paraId="585B7C76"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c>
          <w:tcPr>
            <w:tcW w:w="7366" w:type="dxa"/>
            <w:shd w:val="clear" w:color="auto" w:fill="FFC000"/>
            <w:vAlign w:val="center"/>
          </w:tcPr>
          <w:p w14:paraId="48C28FB0"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Nacionalni spomenici i vrijednosti</w:t>
            </w:r>
          </w:p>
        </w:tc>
      </w:tr>
    </w:tbl>
    <w:p w14:paraId="3E023950"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765D8DB2" w14:textId="77777777" w:rsidR="002735B8" w:rsidRPr="002735B8" w:rsidRDefault="002735B8" w:rsidP="00C70C9F">
      <w:pPr>
        <w:spacing w:after="0" w:line="240" w:lineRule="auto"/>
        <w:ind w:left="0" w:right="0" w:firstLine="709"/>
        <w:rPr>
          <w:rFonts w:ascii="Times New Roman" w:hAnsi="Times New Roman" w:cs="Times New Roman"/>
          <w:b/>
          <w:sz w:val="24"/>
          <w:szCs w:val="24"/>
        </w:rPr>
      </w:pPr>
      <w:r w:rsidRPr="002735B8">
        <w:rPr>
          <w:rFonts w:ascii="Times New Roman" w:hAnsi="Times New Roman" w:cs="Times New Roman"/>
          <w:b/>
          <w:sz w:val="24"/>
          <w:szCs w:val="24"/>
        </w:rPr>
        <w:t>6.6.3. Kontekst</w:t>
      </w:r>
    </w:p>
    <w:p w14:paraId="1083DDC6" w14:textId="77777777" w:rsidR="002735B8" w:rsidRPr="002735B8" w:rsidRDefault="002735B8" w:rsidP="00DD51D2">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U Republici Hrvatskoj nema nuklearnih postrojenja, niti je njihova izgradnja u planu. No, u susjednoj Sloveniji i Mađarskoj su u pogonu dvije nuklearne elektrane s 5 reaktora, dok je u ostalim europskim državama u radu još 179 energetskih reaktora</w:t>
      </w:r>
      <w:r w:rsidRPr="002735B8">
        <w:rPr>
          <w:rFonts w:ascii="Times New Roman" w:hAnsi="Times New Roman" w:cs="Times New Roman"/>
          <w:sz w:val="24"/>
          <w:szCs w:val="24"/>
          <w:vertAlign w:val="superscript"/>
        </w:rPr>
        <w:footnoteReference w:id="62"/>
      </w:r>
      <w:r w:rsidRPr="002735B8">
        <w:rPr>
          <w:rFonts w:ascii="Times New Roman" w:hAnsi="Times New Roman" w:cs="Times New Roman"/>
          <w:sz w:val="24"/>
          <w:szCs w:val="24"/>
        </w:rPr>
        <w:t xml:space="preserve">. Nuklearne elektrane sadrže velike količine radioaktivnih tvari, pa predstavljaju potencijalnu opasnost. Svako značajnije ispuštanje radioaktivnosti u okoliš može prouzročiti raznovrsne i ozbiljne štetne učinke, i to ne samo u najbližem okruženju nego i na većim udaljenostima. Zbog toga su procjena i upravljanje rizikom od nuklearne nesreće važni i za države koje na svom teritoriju nemaju nuklearnih elektrana, posebice ako su, kao u slučaju Hrvatske, takva postrojenja smještena u neposrednoj blizini državne granice. </w:t>
      </w:r>
    </w:p>
    <w:p w14:paraId="7A015BCB" w14:textId="1183DC4F" w:rsidR="002735B8" w:rsidRPr="002735B8" w:rsidRDefault="002735B8" w:rsidP="00DD51D2">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lastRenderedPageBreak/>
        <w:t xml:space="preserve"> Sigurnosti nuklearnih elektrana se posvećuje velika pažnja u svim fazama njihovog životnog ciklusa. No, izgraditi potpuno sigurno tehnološko postrojenje nije moguće, što znači da se nepravilnosti, incidenti, nezgode pa i teške nesreće mogu dogoditi i u nuklearnim elektranama. Najteži oblici nuklearnih nesreća su oni u kojima dolazi do oštećenja reaktorske jezgre i do velikih ispuštanja radioaktivnih tvari u okoliš. </w:t>
      </w:r>
    </w:p>
    <w:p w14:paraId="1A246488" w14:textId="0AA78491" w:rsidR="002735B8" w:rsidRPr="002735B8" w:rsidRDefault="002735B8" w:rsidP="00DD51D2">
      <w:pPr>
        <w:spacing w:after="0" w:line="240" w:lineRule="auto"/>
        <w:ind w:left="0" w:right="0" w:firstLine="709"/>
        <w:rPr>
          <w:rFonts w:ascii="Times New Roman" w:hAnsi="Times New Roman" w:cs="Times New Roman"/>
          <w:color w:val="C00000"/>
          <w:sz w:val="24"/>
          <w:szCs w:val="24"/>
        </w:rPr>
      </w:pPr>
      <w:r w:rsidRPr="002735B8">
        <w:rPr>
          <w:rFonts w:ascii="Times New Roman" w:hAnsi="Times New Roman" w:cs="Times New Roman"/>
          <w:sz w:val="24"/>
          <w:szCs w:val="24"/>
        </w:rPr>
        <w:t xml:space="preserve"> </w:t>
      </w:r>
      <w:r w:rsidRPr="002735B8">
        <w:rPr>
          <w:rFonts w:ascii="Times New Roman" w:hAnsi="Times New Roman" w:cs="Times New Roman"/>
          <w:color w:val="auto"/>
          <w:sz w:val="24"/>
          <w:szCs w:val="24"/>
        </w:rPr>
        <w:t>NE Krško, kao najbliža nuklearna elektrana, ima potencijal uzrokovanja najvećih posljedica na hrvatskom teritoriju</w:t>
      </w:r>
      <w:r w:rsidRPr="002735B8">
        <w:rPr>
          <w:rFonts w:ascii="Times New Roman" w:hAnsi="Times New Roman" w:cs="Times New Roman"/>
          <w:color w:val="00B050"/>
          <w:sz w:val="24"/>
          <w:szCs w:val="24"/>
        </w:rPr>
        <w:t xml:space="preserve">. </w:t>
      </w:r>
      <w:r w:rsidRPr="002735B8">
        <w:rPr>
          <w:rFonts w:ascii="Times New Roman" w:hAnsi="Times New Roman" w:cs="Times New Roman"/>
          <w:color w:val="auto"/>
          <w:sz w:val="24"/>
          <w:szCs w:val="24"/>
        </w:rPr>
        <w:t>Sukladno Procjeni rizika od katastrofa za Republiku Hrvatsku događaj koji može najvjerojatnije uzrokovati značajne posljedice je događaj koji uključuje oštećenje jezgre i kontrolirano (filtrirano) ispuštanje radioaktivnosti u okoliš, dok u "događaju s najgorim mogućim posljedicama" dolazi do oštećenja jezgre i nekontroliranog ispuštanja</w:t>
      </w:r>
      <w:r w:rsidRPr="002735B8">
        <w:rPr>
          <w:rFonts w:ascii="Times New Roman" w:hAnsi="Times New Roman" w:cs="Times New Roman"/>
          <w:color w:val="auto"/>
          <w:sz w:val="24"/>
          <w:szCs w:val="24"/>
          <w:vertAlign w:val="superscript"/>
        </w:rPr>
        <w:footnoteReference w:id="63"/>
      </w:r>
      <w:r w:rsidRPr="002735B8">
        <w:rPr>
          <w:rFonts w:ascii="Times New Roman" w:hAnsi="Times New Roman" w:cs="Times New Roman"/>
          <w:color w:val="auto"/>
          <w:sz w:val="24"/>
          <w:szCs w:val="24"/>
        </w:rPr>
        <w:t xml:space="preserve">. </w:t>
      </w:r>
    </w:p>
    <w:p w14:paraId="5EC560F4" w14:textId="77777777" w:rsidR="002735B8" w:rsidRPr="002735B8" w:rsidRDefault="002735B8" w:rsidP="00DD51D2">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NE Krško je elektrana s Westinghouseovim tlakovodnim reaktorom električne snage od 696 MW. Nalazi se na području Republike Slovenije na lijevoj obali rijeke Save, 3 kilometra od grada Krškog i oko 10 km od slovensko-hrvatske državne granice. Elektrana je spojena na mrežu 1981. godine, a u komercijalni pogon je ušla 1983. godine. U pogonu je trebala biti do 2023. godine, ali je zatraženo produljenje rada do 2043. godine. Republika Hrvatska i Republika Slovenija su suvlasnice tog postrojenja s udjelima od 50%, pa svaka dobiva 50% proizvedene električne energije. Elektrana u godini dana proizvede oko 5,5 milijardi kWh električne energije. Na godišnjoj razini energija dobivena iz NE Krško čini oko 16% od ukupne električne energije koja se potroši u Hrvatskoj. </w:t>
      </w:r>
    </w:p>
    <w:p w14:paraId="55256215"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 xml:space="preserve">  </w:t>
      </w:r>
    </w:p>
    <w:p w14:paraId="1630A516" w14:textId="5EEE442F" w:rsidR="002735B8" w:rsidRPr="00EB571E" w:rsidRDefault="00EB571E" w:rsidP="00072515">
      <w:pPr>
        <w:spacing w:line="240" w:lineRule="auto"/>
        <w:ind w:left="0" w:right="0" w:firstLine="0"/>
        <w:jc w:val="center"/>
        <w:rPr>
          <w:rFonts w:ascii="Times New Roman" w:hAnsi="Times New Roman" w:cs="Times New Roman"/>
          <w:b/>
          <w:color w:val="auto"/>
          <w:sz w:val="24"/>
          <w:szCs w:val="24"/>
        </w:rPr>
      </w:pPr>
      <w:r w:rsidRPr="00EB571E">
        <w:rPr>
          <w:rFonts w:ascii="Times New Roman" w:hAnsi="Times New Roman" w:cs="Times New Roman"/>
          <w:b/>
          <w:color w:val="auto"/>
          <w:sz w:val="24"/>
          <w:szCs w:val="24"/>
        </w:rPr>
        <w:t>Slika 18</w:t>
      </w:r>
      <w:r w:rsidR="002735B8" w:rsidRPr="00EB571E">
        <w:rPr>
          <w:rFonts w:ascii="Times New Roman" w:hAnsi="Times New Roman" w:cs="Times New Roman"/>
          <w:b/>
          <w:color w:val="auto"/>
          <w:sz w:val="24"/>
          <w:szCs w:val="24"/>
        </w:rPr>
        <w:t>.  NE Krško s mjestom Krško u pozadini</w:t>
      </w:r>
    </w:p>
    <w:p w14:paraId="6339EE38" w14:textId="77777777" w:rsidR="002735B8" w:rsidRPr="002735B8" w:rsidRDefault="002735B8" w:rsidP="002735B8">
      <w:pPr>
        <w:spacing w:after="0" w:line="240" w:lineRule="auto"/>
        <w:ind w:left="0" w:right="0" w:firstLine="0"/>
        <w:jc w:val="center"/>
        <w:rPr>
          <w:rFonts w:ascii="Times New Roman" w:hAnsi="Times New Roman" w:cs="Times New Roman"/>
          <w:b/>
          <w:sz w:val="24"/>
          <w:szCs w:val="24"/>
        </w:rPr>
      </w:pPr>
      <w:r w:rsidRPr="002735B8">
        <w:rPr>
          <w:rFonts w:ascii="Times New Roman" w:hAnsi="Times New Roman" w:cs="Times New Roman"/>
          <w:b/>
          <w:noProof/>
          <w:sz w:val="24"/>
          <w:szCs w:val="24"/>
        </w:rPr>
        <w:drawing>
          <wp:inline distT="0" distB="0" distL="0" distR="0" wp14:anchorId="3886D966" wp14:editId="284EEB4F">
            <wp:extent cx="3810635" cy="2543175"/>
            <wp:effectExtent l="0" t="0" r="0" b="9525"/>
            <wp:docPr id="52259" name="Picture 5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10635" cy="2543175"/>
                    </a:xfrm>
                    <a:prstGeom prst="rect">
                      <a:avLst/>
                    </a:prstGeom>
                    <a:noFill/>
                  </pic:spPr>
                </pic:pic>
              </a:graphicData>
            </a:graphic>
          </wp:inline>
        </w:drawing>
      </w:r>
    </w:p>
    <w:p w14:paraId="4074C125" w14:textId="77777777" w:rsidR="002735B8" w:rsidRPr="00072515" w:rsidRDefault="002735B8" w:rsidP="00E87BEB">
      <w:pPr>
        <w:spacing w:line="240" w:lineRule="auto"/>
        <w:ind w:left="0" w:right="0" w:firstLine="0"/>
        <w:jc w:val="center"/>
        <w:rPr>
          <w:rFonts w:ascii="Times New Roman" w:hAnsi="Times New Roman" w:cs="Times New Roman"/>
          <w:i/>
          <w:sz w:val="20"/>
          <w:szCs w:val="20"/>
        </w:rPr>
      </w:pPr>
      <w:r w:rsidRPr="00072515">
        <w:rPr>
          <w:rFonts w:ascii="Times New Roman" w:hAnsi="Times New Roman" w:cs="Times New Roman"/>
          <w:i/>
          <w:sz w:val="20"/>
          <w:szCs w:val="20"/>
        </w:rPr>
        <w:t>Izvor: Procjena rizika od katastrofa za Republiku Hrvatsku</w:t>
      </w:r>
    </w:p>
    <w:p w14:paraId="5A228A5F" w14:textId="77777777" w:rsidR="002735B8" w:rsidRPr="002735B8" w:rsidRDefault="002735B8" w:rsidP="00DD51D2">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NE Krško radi u 18-mjesečnom nuklearnom gorivnom ciklusu, što znači da je vremenski period između dvije (djelomične) zamjene goriva 18 mjeseci. Reaktorska jezgra sadrži ukupno 121 nuklearni gorivni element prosječnog obogaćenja od 4,3 % uranija-235. Kao reaktorsko hladilo i moderator neutrona upotrebljava se obična demineralizirana voda. Sve komponente tzv. primarnog kruga elektrane nalaze se unutar zaštitne zgrade. Ona se sastoji od tri dijela: čeličnog plašta, međuprostora i zaštitne armirano-betonske zgrade. Čelični plašt je projektiran da izdrži tlak od 0,357 MPa, koji bi se u njemu pojavio u slučaju pucanja primarnog cjevovoda.</w:t>
      </w:r>
    </w:p>
    <w:p w14:paraId="3688AB99" w14:textId="0D8D129B" w:rsidR="002735B8" w:rsidRPr="002735B8" w:rsidRDefault="002735B8" w:rsidP="00DD51D2">
      <w:pPr>
        <w:spacing w:after="0" w:line="240" w:lineRule="auto"/>
        <w:ind w:left="0" w:right="0" w:firstLine="709"/>
        <w:rPr>
          <w:rFonts w:ascii="Times New Roman" w:hAnsi="Times New Roman" w:cs="Times New Roman"/>
          <w:sz w:val="24"/>
          <w:szCs w:val="24"/>
        </w:rPr>
      </w:pPr>
      <w:bookmarkStart w:id="107" w:name="_Hlk102553584"/>
      <w:r w:rsidRPr="002735B8">
        <w:rPr>
          <w:rFonts w:ascii="Times New Roman" w:hAnsi="Times New Roman" w:cs="Times New Roman"/>
          <w:sz w:val="24"/>
          <w:szCs w:val="24"/>
        </w:rPr>
        <w:t xml:space="preserve">Kada je riječ o reaktorima u pogonu, teritoriju Republike Hrvatske su najbliži onaj u NE Krško (Slovenija, udaljenost do hrvatske državne granice oko 10 km) i četiri reaktora u NE </w:t>
      </w:r>
      <w:r w:rsidRPr="002735B8">
        <w:rPr>
          <w:rFonts w:ascii="Times New Roman" w:hAnsi="Times New Roman" w:cs="Times New Roman"/>
          <w:sz w:val="24"/>
          <w:szCs w:val="24"/>
        </w:rPr>
        <w:lastRenderedPageBreak/>
        <w:t xml:space="preserve">Pakš </w:t>
      </w:r>
      <w:r w:rsidRPr="00EB571E">
        <w:rPr>
          <w:rFonts w:ascii="Times New Roman" w:hAnsi="Times New Roman" w:cs="Times New Roman"/>
          <w:color w:val="auto"/>
          <w:sz w:val="24"/>
          <w:szCs w:val="24"/>
        </w:rPr>
        <w:t>(Mađarska, 70 km).</w:t>
      </w:r>
      <w:r w:rsidRPr="00EB571E">
        <w:rPr>
          <w:color w:val="auto"/>
        </w:rPr>
        <w:t xml:space="preserve"> </w:t>
      </w:r>
      <w:r w:rsidRPr="00EB571E">
        <w:rPr>
          <w:rFonts w:ascii="Times New Roman" w:hAnsi="Times New Roman" w:cs="Times New Roman"/>
          <w:color w:val="auto"/>
          <w:sz w:val="24"/>
          <w:szCs w:val="24"/>
        </w:rPr>
        <w:t xml:space="preserve">Na Slici </w:t>
      </w:r>
      <w:r w:rsidR="00EB571E" w:rsidRPr="00EB571E">
        <w:rPr>
          <w:rFonts w:ascii="Times New Roman" w:hAnsi="Times New Roman" w:cs="Times New Roman"/>
          <w:color w:val="auto"/>
          <w:sz w:val="24"/>
          <w:szCs w:val="24"/>
        </w:rPr>
        <w:t>19</w:t>
      </w:r>
      <w:r w:rsidRPr="00EB571E">
        <w:rPr>
          <w:rFonts w:ascii="Times New Roman" w:hAnsi="Times New Roman" w:cs="Times New Roman"/>
          <w:color w:val="auto"/>
          <w:sz w:val="24"/>
          <w:szCs w:val="24"/>
        </w:rPr>
        <w:t xml:space="preserve">. prikazane su lokacije nuklearnih elektrana na udaljenosti od </w:t>
      </w:r>
      <w:r w:rsidRPr="002735B8">
        <w:rPr>
          <w:rFonts w:ascii="Times New Roman" w:hAnsi="Times New Roman" w:cs="Times New Roman"/>
          <w:sz w:val="24"/>
          <w:szCs w:val="24"/>
        </w:rPr>
        <w:t xml:space="preserve">1000 kilometara od Grada Zagreba. </w:t>
      </w:r>
    </w:p>
    <w:bookmarkEnd w:id="107"/>
    <w:p w14:paraId="342BDCFB"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11C95F34" w14:textId="0A302B70" w:rsidR="002735B8" w:rsidRPr="004C450C" w:rsidRDefault="00EB571E" w:rsidP="0018095B">
      <w:pPr>
        <w:spacing w:line="240" w:lineRule="auto"/>
        <w:ind w:left="0" w:right="0" w:firstLine="0"/>
        <w:jc w:val="center"/>
        <w:rPr>
          <w:rFonts w:ascii="Times New Roman" w:hAnsi="Times New Roman" w:cs="Times New Roman"/>
          <w:b/>
          <w:color w:val="auto"/>
          <w:sz w:val="24"/>
          <w:szCs w:val="24"/>
        </w:rPr>
      </w:pPr>
      <w:r w:rsidRPr="004C450C">
        <w:rPr>
          <w:rFonts w:ascii="Times New Roman" w:hAnsi="Times New Roman" w:cs="Times New Roman"/>
          <w:b/>
          <w:color w:val="auto"/>
          <w:sz w:val="24"/>
          <w:szCs w:val="24"/>
        </w:rPr>
        <w:t>Slika 19</w:t>
      </w:r>
      <w:r w:rsidR="002735B8" w:rsidRPr="004C450C">
        <w:rPr>
          <w:rFonts w:ascii="Times New Roman" w:hAnsi="Times New Roman" w:cs="Times New Roman"/>
          <w:b/>
          <w:color w:val="auto"/>
          <w:sz w:val="24"/>
          <w:szCs w:val="24"/>
        </w:rPr>
        <w:t>. Energetski nuklearni reaktori na udaljenosti 1000 kilometara od Grada Zagreba</w:t>
      </w:r>
    </w:p>
    <w:p w14:paraId="75561572"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noProof/>
          <w:sz w:val="24"/>
          <w:szCs w:val="24"/>
        </w:rPr>
        <w:drawing>
          <wp:inline distT="0" distB="0" distL="0" distR="0" wp14:anchorId="76A5F396" wp14:editId="577EC30B">
            <wp:extent cx="5581650" cy="3663950"/>
            <wp:effectExtent l="0" t="0" r="0" b="0"/>
            <wp:docPr id="52260" name="Picture 5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581650" cy="3663950"/>
                    </a:xfrm>
                    <a:prstGeom prst="rect">
                      <a:avLst/>
                    </a:prstGeom>
                    <a:noFill/>
                  </pic:spPr>
                </pic:pic>
              </a:graphicData>
            </a:graphic>
          </wp:inline>
        </w:drawing>
      </w:r>
    </w:p>
    <w:p w14:paraId="0281A22A" w14:textId="77777777" w:rsidR="002735B8" w:rsidRPr="00072515" w:rsidRDefault="002735B8" w:rsidP="002735B8">
      <w:pPr>
        <w:spacing w:after="0" w:line="240" w:lineRule="auto"/>
        <w:ind w:left="0" w:right="0" w:firstLine="0"/>
        <w:jc w:val="center"/>
        <w:rPr>
          <w:rFonts w:ascii="Times New Roman" w:hAnsi="Times New Roman" w:cs="Times New Roman"/>
          <w:i/>
          <w:sz w:val="20"/>
          <w:szCs w:val="20"/>
        </w:rPr>
      </w:pPr>
      <w:r w:rsidRPr="00072515">
        <w:rPr>
          <w:rFonts w:ascii="Times New Roman" w:hAnsi="Times New Roman" w:cs="Times New Roman"/>
          <w:i/>
          <w:sz w:val="20"/>
          <w:szCs w:val="20"/>
        </w:rPr>
        <w:t>Izvor: Procjena rizika od katastrofa za Republiku Hrvatsku</w:t>
      </w:r>
    </w:p>
    <w:p w14:paraId="4236E087"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4E506885" w14:textId="77777777" w:rsidR="002735B8" w:rsidRPr="002735B8" w:rsidRDefault="002735B8" w:rsidP="00DD51D2">
      <w:pPr>
        <w:spacing w:after="0" w:line="240" w:lineRule="auto"/>
        <w:ind w:left="0" w:right="0" w:firstLine="709"/>
        <w:rPr>
          <w:rFonts w:ascii="Times New Roman" w:hAnsi="Times New Roman" w:cs="Times New Roman"/>
          <w:i/>
          <w:sz w:val="24"/>
          <w:szCs w:val="24"/>
        </w:rPr>
      </w:pPr>
      <w:r w:rsidRPr="002735B8">
        <w:rPr>
          <w:rFonts w:ascii="Times New Roman" w:hAnsi="Times New Roman" w:cs="Times New Roman"/>
          <w:sz w:val="24"/>
          <w:szCs w:val="24"/>
        </w:rPr>
        <w:t>Nuklearna elektrana, bez obzira na tip postrojenja, sadrži velike količine radioaktivnih tvari, pa predstavlja potencijalnu opasnost za okoliš</w:t>
      </w:r>
      <w:r w:rsidRPr="002735B8">
        <w:rPr>
          <w:rFonts w:ascii="Times New Roman" w:hAnsi="Times New Roman" w:cs="Times New Roman"/>
          <w:sz w:val="24"/>
          <w:szCs w:val="24"/>
          <w:vertAlign w:val="superscript"/>
        </w:rPr>
        <w:footnoteReference w:id="64"/>
      </w:r>
      <w:r w:rsidRPr="002735B8">
        <w:rPr>
          <w:rFonts w:ascii="Times New Roman" w:hAnsi="Times New Roman" w:cs="Times New Roman"/>
          <w:sz w:val="24"/>
          <w:szCs w:val="24"/>
        </w:rPr>
        <w:t>. Najveći dio radioaktivnosti vezan je za fisijske proizvode koji se nalaze u jezgri reaktora. Svako nekontrolirano ispuštanje radioaktivnih tvari iz nuklearne elektrane u okoliš ugrožava zdravlje i živote stanovništva. Stoga je sigurnost nuklearne elektrane određena stupnjem osiguranja okoliša od takvog prodora.</w:t>
      </w:r>
    </w:p>
    <w:p w14:paraId="47F964A8" w14:textId="77777777" w:rsidR="002735B8" w:rsidRPr="002735B8" w:rsidRDefault="002735B8" w:rsidP="00DD51D2">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Nesreće u nuklearnim elektranama mogu nastupiti kao rezultat kvarova ili ljudskih pogrešaka, a mogu biti prouzročene i vanjskim utjecajima kao što su potres, poplava, ekstremne meteorološke prilike ili teroristički napad</w:t>
      </w:r>
      <w:r w:rsidRPr="002735B8">
        <w:rPr>
          <w:rFonts w:ascii="Times New Roman" w:hAnsi="Times New Roman" w:cs="Times New Roman"/>
          <w:sz w:val="24"/>
          <w:szCs w:val="24"/>
          <w:vertAlign w:val="superscript"/>
        </w:rPr>
        <w:footnoteReference w:id="65"/>
      </w:r>
      <w:r w:rsidRPr="002735B8">
        <w:rPr>
          <w:rFonts w:ascii="Times New Roman" w:hAnsi="Times New Roman" w:cs="Times New Roman"/>
          <w:sz w:val="24"/>
          <w:szCs w:val="24"/>
        </w:rPr>
        <w:t>. Jednostruki kvar ili ljudska pogreška u pravilu neće prouzročiti ozbiljniju nesreću s ispuštanjem radioaktivnosti u okoliš. Da bi do takve nesreće došlo, uz navedene uzroke je nužan istovremeni otkaz više sigurnosnih sustava. Nuklearne nesreće tijekom kojih bi se ispustile najveće količine radioaktivnog materijala su nesreće u kojima bi došlo do oštećenja jezgre reaktora, gubitka integriteta primarnog kruga, a odmah potom do otkaza ili zaobilaženja (bypass) zaštitne zgrade.</w:t>
      </w:r>
    </w:p>
    <w:p w14:paraId="45975F11" w14:textId="425F116E" w:rsidR="002735B8" w:rsidRDefault="002735B8" w:rsidP="00DD51D2">
      <w:pPr>
        <w:spacing w:after="0" w:line="240" w:lineRule="auto"/>
        <w:ind w:left="0" w:right="0" w:firstLine="709"/>
        <w:rPr>
          <w:rFonts w:ascii="Times New Roman" w:hAnsi="Times New Roman" w:cs="Times New Roman"/>
          <w:sz w:val="24"/>
          <w:szCs w:val="24"/>
        </w:rPr>
      </w:pPr>
    </w:p>
    <w:p w14:paraId="542C8CD7" w14:textId="4C23F2D0" w:rsidR="00DD51D2" w:rsidRDefault="00DD51D2" w:rsidP="00DD51D2">
      <w:pPr>
        <w:spacing w:after="0" w:line="240" w:lineRule="auto"/>
        <w:ind w:left="0" w:right="0" w:firstLine="709"/>
        <w:rPr>
          <w:rFonts w:ascii="Times New Roman" w:hAnsi="Times New Roman" w:cs="Times New Roman"/>
          <w:sz w:val="24"/>
          <w:szCs w:val="24"/>
        </w:rPr>
      </w:pPr>
    </w:p>
    <w:p w14:paraId="1A27062F" w14:textId="6624ECC6" w:rsidR="00DD51D2" w:rsidRDefault="00DD51D2" w:rsidP="00DD51D2">
      <w:pPr>
        <w:spacing w:after="0" w:line="240" w:lineRule="auto"/>
        <w:ind w:left="0" w:right="0" w:firstLine="709"/>
        <w:rPr>
          <w:rFonts w:ascii="Times New Roman" w:hAnsi="Times New Roman" w:cs="Times New Roman"/>
          <w:sz w:val="24"/>
          <w:szCs w:val="24"/>
        </w:rPr>
      </w:pPr>
    </w:p>
    <w:p w14:paraId="319C4E82" w14:textId="77777777" w:rsidR="00DD51D2" w:rsidRPr="002735B8" w:rsidRDefault="00DD51D2" w:rsidP="00DD51D2">
      <w:pPr>
        <w:spacing w:after="0" w:line="240" w:lineRule="auto"/>
        <w:ind w:left="0" w:right="0" w:firstLine="709"/>
        <w:rPr>
          <w:rFonts w:ascii="Times New Roman" w:hAnsi="Times New Roman" w:cs="Times New Roman"/>
          <w:sz w:val="24"/>
          <w:szCs w:val="24"/>
        </w:rPr>
      </w:pPr>
    </w:p>
    <w:p w14:paraId="5B26E771" w14:textId="77777777" w:rsidR="002735B8" w:rsidRPr="002735B8" w:rsidRDefault="002735B8" w:rsidP="00C70C9F">
      <w:pPr>
        <w:spacing w:after="0" w:line="240" w:lineRule="auto"/>
        <w:ind w:left="0" w:right="0" w:firstLine="709"/>
        <w:rPr>
          <w:rFonts w:ascii="Times New Roman" w:hAnsi="Times New Roman" w:cs="Times New Roman"/>
          <w:sz w:val="24"/>
          <w:szCs w:val="24"/>
          <w:u w:val="single"/>
        </w:rPr>
      </w:pPr>
      <w:bookmarkStart w:id="108" w:name="_Hlk102559485"/>
      <w:r w:rsidRPr="002735B8">
        <w:rPr>
          <w:rFonts w:ascii="Times New Roman" w:hAnsi="Times New Roman" w:cs="Times New Roman"/>
          <w:sz w:val="24"/>
          <w:szCs w:val="24"/>
          <w:u w:val="single"/>
        </w:rPr>
        <w:lastRenderedPageBreak/>
        <w:t>Razvoj nesreće</w:t>
      </w:r>
    </w:p>
    <w:p w14:paraId="039EC551" w14:textId="77777777" w:rsidR="002735B8" w:rsidRPr="002735B8" w:rsidRDefault="002735B8" w:rsidP="00DD51D2">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Ukoliko bi došlo do ispuštanja radioaktivne materije u atmosferu došlo bi do formiranja radioaktivnog oblaka koji će se širiti pod utjecajem vrlo kompleksnih atmosferskih procesa. Može se pretpostaviti da će koncentracije radionuklida u prizemnim slojevima atmosfere (a time i posljedice po ljudsko zdravlje) opadati proporcionalno s udaljenosti od nuklearne elektrane ali isto tako to ovisi o meteorološkim prilikama, odnosno može doći do značajnih odstupanja. Ako bi došlo do ispuštanja toplinske energije, materija će dospjeti u više slojeve atmosfere te se onda može dogoditi da koncentracije radionuklida na većim udaljenostima budu veće od onih na manjim. Brzina kojom će se ispušteni radioaktivni materijal deponirati na tlo ovisi o karakteristikama materijala, meteorološkim prilikama i karakteristikama tla. </w:t>
      </w:r>
    </w:p>
    <w:p w14:paraId="2A277C37" w14:textId="49C59D75" w:rsidR="002735B8" w:rsidRPr="00EB571E" w:rsidRDefault="002735B8" w:rsidP="00DD51D2">
      <w:pPr>
        <w:spacing w:after="0" w:line="240" w:lineRule="auto"/>
        <w:ind w:left="0" w:right="0" w:firstLine="709"/>
        <w:rPr>
          <w:rFonts w:ascii="Times New Roman" w:hAnsi="Times New Roman" w:cs="Times New Roman"/>
          <w:color w:val="auto"/>
          <w:sz w:val="24"/>
          <w:szCs w:val="24"/>
        </w:rPr>
      </w:pPr>
      <w:r w:rsidRPr="002735B8">
        <w:rPr>
          <w:rFonts w:ascii="Times New Roman" w:hAnsi="Times New Roman" w:cs="Times New Roman"/>
          <w:sz w:val="24"/>
          <w:szCs w:val="24"/>
        </w:rPr>
        <w:t xml:space="preserve">Tako se brzina depozicije u slučaju oborina povećava 10 do 100 puta u odnosu na suhe vremenske uvjete te su zbog toga oborine glavni uzročnik za nastanak hot-spotova (to su mjesta na kojima je razina radioaktivne kontaminacije značajno viša od razine kontaminacije na okolnom području). Radioaktivni materijal koji je deponiran na tlo može se pod utjecajem prirodnih procesa, ponajprije vjetra ili ljudskih aktivnosti kao što su poljoprivredni radovi, transport i slično, ponovo emitirati u atmosferu te se deponirati na novoj lokaciji. Intenzitet takve ponovne emisije osim o uzročniku ovisi i o meteorološkim prilikama te o karakteristikama površine. Ukoliko bi došlo do ispuštanja radioaktivnog materijala iz nuklearne elektrane u atmosferu, tada će stanovništvo prvotno biti izloženo izravnom zračenju radioaktivnog oblaka te će doći do udisanja radioaktivnih čestica i plinova sadržanih u oblaku. U kasnijoj fazi, nakon taloženja čestica na površini i prolaska radioaktivnog oblaka, dominantni načini ozračenja biti će putem izravnog zračenja deponiranog materijala i udisanja ponovo emitiranih čestica. Nadalje, kontaminirana atmosfera, voda i tlo, a time i biljna i životinjska </w:t>
      </w:r>
      <w:r w:rsidRPr="00EB571E">
        <w:rPr>
          <w:rFonts w:ascii="Times New Roman" w:hAnsi="Times New Roman" w:cs="Times New Roman"/>
          <w:color w:val="auto"/>
          <w:sz w:val="24"/>
          <w:szCs w:val="24"/>
        </w:rPr>
        <w:t xml:space="preserve">hrana, dovest će do ozračenja putem prehrambenog lanca kako je to prikazano na Slici </w:t>
      </w:r>
      <w:r w:rsidR="00EB571E" w:rsidRPr="00EB571E">
        <w:rPr>
          <w:rFonts w:ascii="Times New Roman" w:hAnsi="Times New Roman" w:cs="Times New Roman"/>
          <w:color w:val="auto"/>
          <w:sz w:val="24"/>
          <w:szCs w:val="24"/>
        </w:rPr>
        <w:t>20</w:t>
      </w:r>
      <w:r w:rsidRPr="00EB571E">
        <w:rPr>
          <w:rFonts w:ascii="Times New Roman" w:hAnsi="Times New Roman" w:cs="Times New Roman"/>
          <w:color w:val="auto"/>
          <w:sz w:val="24"/>
          <w:szCs w:val="24"/>
        </w:rPr>
        <w:t xml:space="preserve">. </w:t>
      </w:r>
    </w:p>
    <w:p w14:paraId="47D520D2" w14:textId="77777777" w:rsidR="002735B8" w:rsidRPr="002735B8" w:rsidRDefault="002735B8" w:rsidP="00DD51D2">
      <w:pPr>
        <w:spacing w:after="0" w:line="240" w:lineRule="auto"/>
        <w:ind w:left="0" w:right="0" w:firstLine="709"/>
        <w:rPr>
          <w:rFonts w:ascii="Times New Roman" w:hAnsi="Times New Roman" w:cs="Times New Roman"/>
          <w:color w:val="FF0000"/>
          <w:sz w:val="24"/>
          <w:szCs w:val="24"/>
        </w:rPr>
      </w:pPr>
    </w:p>
    <w:p w14:paraId="56590622" w14:textId="334BF50E" w:rsidR="002735B8" w:rsidRPr="00EB571E" w:rsidRDefault="00EB571E" w:rsidP="002735B8">
      <w:pPr>
        <w:spacing w:after="0" w:line="240" w:lineRule="auto"/>
        <w:ind w:left="11" w:right="692" w:hanging="11"/>
        <w:jc w:val="center"/>
        <w:rPr>
          <w:rFonts w:ascii="Times New Roman" w:hAnsi="Times New Roman" w:cs="Times New Roman"/>
          <w:b/>
          <w:color w:val="auto"/>
          <w:sz w:val="24"/>
          <w:szCs w:val="24"/>
        </w:rPr>
      </w:pPr>
      <w:r w:rsidRPr="00EB571E">
        <w:rPr>
          <w:rFonts w:ascii="Times New Roman" w:hAnsi="Times New Roman" w:cs="Times New Roman"/>
          <w:b/>
          <w:color w:val="auto"/>
          <w:sz w:val="24"/>
          <w:szCs w:val="24"/>
        </w:rPr>
        <w:t>Slika 20</w:t>
      </w:r>
      <w:r w:rsidR="002735B8" w:rsidRPr="00EB571E">
        <w:rPr>
          <w:rFonts w:ascii="Times New Roman" w:hAnsi="Times New Roman" w:cs="Times New Roman"/>
          <w:b/>
          <w:color w:val="auto"/>
          <w:sz w:val="24"/>
          <w:szCs w:val="24"/>
        </w:rPr>
        <w:t xml:space="preserve">. </w:t>
      </w:r>
      <w:r w:rsidR="002735B8" w:rsidRPr="00EB571E">
        <w:rPr>
          <w:rFonts w:ascii="Times New Roman" w:eastAsia="Cambria" w:hAnsi="Times New Roman" w:cs="Times New Roman"/>
          <w:b/>
          <w:color w:val="auto"/>
          <w:sz w:val="24"/>
          <w:szCs w:val="24"/>
        </w:rPr>
        <w:t>Pojednostavljeni prikaz načina ozračenja u slučaju nuklearne nesreće</w:t>
      </w:r>
    </w:p>
    <w:p w14:paraId="304D2B22" w14:textId="77777777" w:rsidR="002735B8" w:rsidRPr="0018095B" w:rsidRDefault="002735B8" w:rsidP="002735B8">
      <w:pPr>
        <w:spacing w:after="215" w:line="240" w:lineRule="auto"/>
        <w:ind w:left="40" w:right="0" w:firstLine="0"/>
        <w:jc w:val="center"/>
        <w:rPr>
          <w:rFonts w:ascii="Times New Roman" w:eastAsia="Cambria" w:hAnsi="Times New Roman" w:cs="Times New Roman"/>
          <w:sz w:val="20"/>
          <w:szCs w:val="20"/>
        </w:rPr>
      </w:pPr>
      <w:r w:rsidRPr="002735B8">
        <w:rPr>
          <w:noProof/>
        </w:rPr>
        <w:drawing>
          <wp:inline distT="0" distB="0" distL="0" distR="0" wp14:anchorId="350D5915" wp14:editId="5C1F5D88">
            <wp:extent cx="5581015" cy="1628775"/>
            <wp:effectExtent l="0" t="0" r="0" b="9525"/>
            <wp:docPr id="52262" name="Picture 5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b="5591"/>
                    <a:stretch/>
                  </pic:blipFill>
                  <pic:spPr bwMode="auto">
                    <a:xfrm>
                      <a:off x="0" y="0"/>
                      <a:ext cx="5581015" cy="1628775"/>
                    </a:xfrm>
                    <a:prstGeom prst="rect">
                      <a:avLst/>
                    </a:prstGeom>
                    <a:noFill/>
                    <a:ln>
                      <a:noFill/>
                    </a:ln>
                    <a:extLst>
                      <a:ext uri="{53640926-AAD7-44D8-BBD7-CCE9431645EC}">
                        <a14:shadowObscured xmlns:a14="http://schemas.microsoft.com/office/drawing/2010/main"/>
                      </a:ext>
                    </a:extLst>
                  </pic:spPr>
                </pic:pic>
              </a:graphicData>
            </a:graphic>
          </wp:inline>
        </w:drawing>
      </w:r>
      <w:r w:rsidRPr="0018095B">
        <w:rPr>
          <w:rFonts w:ascii="Times New Roman" w:eastAsia="Cambria" w:hAnsi="Times New Roman" w:cs="Times New Roman"/>
          <w:i/>
          <w:sz w:val="20"/>
          <w:szCs w:val="20"/>
        </w:rPr>
        <w:t>Izvor: Procjena rizika od katastrofa za Republiku Hrvatsku</w:t>
      </w:r>
    </w:p>
    <w:p w14:paraId="1B7C7698" w14:textId="77777777" w:rsidR="002735B8" w:rsidRPr="002735B8" w:rsidRDefault="002735B8" w:rsidP="00DD51D2">
      <w:pPr>
        <w:spacing w:after="0" w:line="240" w:lineRule="auto"/>
        <w:ind w:left="0" w:right="0" w:firstLine="709"/>
        <w:rPr>
          <w:rFonts w:ascii="Times New Roman" w:hAnsi="Times New Roman" w:cs="Times New Roman"/>
          <w:b/>
          <w:color w:val="FF0000"/>
          <w:sz w:val="24"/>
          <w:szCs w:val="24"/>
        </w:rPr>
      </w:pPr>
      <w:r w:rsidRPr="002735B8">
        <w:rPr>
          <w:rFonts w:ascii="Times New Roman" w:hAnsi="Times New Roman" w:cs="Times New Roman"/>
          <w:sz w:val="24"/>
          <w:szCs w:val="24"/>
        </w:rPr>
        <w:t>Ozračenje ljudskog tkiva ili organa može prouzročiti odumiranje stanica u tolikoj mjeri da će funkcija tkiva, odnosno organa biti ugrožena. Učinke takve vrste se naziva determinističkim. Takvi učinci će se pojaviti samo ukoliko je primljena doza iznad granične vrijednosti. Granične vrijednosti se razlikuju u ovisnosti o tkivu ili organu i kreću se u rasponu od jednog do nekoliko greja (Gy). Radi se o izuzetno visokim dozama zračenja koje moraju biti primljene u kratkom vremenskom intervalu. Ozračenje osim odumiranja može uzrokovati i promjene na stanicama nakon kojih će one zadržati sposobnost dijeljenja. Izmijenjena stanica nakon latentnog perioda može postati karcinomska (ukoliko je tjelesna) ili prouzročiti nasljedne promjene (ukoliko je spolna). Takvi učinci ozračenja se nazivaju stohastičkim. Vjerojatnost pojave stohastičkih učinaka je proporcionalna primljenoj dozi ionizirajućeg zračenja.</w:t>
      </w:r>
    </w:p>
    <w:p w14:paraId="3EBDE229" w14:textId="77777777" w:rsidR="002735B8" w:rsidRPr="002735B8" w:rsidRDefault="002735B8" w:rsidP="00DD51D2">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Najteži oblici nuklearnih nesreća mogu prouzročiti determinističke učinke kao što su ozljede i gubitak života već u prvim satima nakon ispuštanja u atmosferu</w:t>
      </w:r>
      <w:r w:rsidRPr="002735B8">
        <w:rPr>
          <w:rFonts w:ascii="Times New Roman" w:hAnsi="Times New Roman" w:cs="Times New Roman"/>
          <w:color w:val="00B050"/>
          <w:sz w:val="24"/>
          <w:szCs w:val="24"/>
        </w:rPr>
        <w:t xml:space="preserve">. </w:t>
      </w:r>
      <w:r w:rsidRPr="002735B8">
        <w:rPr>
          <w:rFonts w:ascii="Times New Roman" w:hAnsi="Times New Roman" w:cs="Times New Roman"/>
          <w:sz w:val="24"/>
          <w:szCs w:val="24"/>
        </w:rPr>
        <w:t xml:space="preserve">Na većim udaljenostima od nuklearne elektrane pojavljuju se stohastički učinci i to na udaljenostima do </w:t>
      </w:r>
      <w:r w:rsidRPr="002735B8">
        <w:rPr>
          <w:rFonts w:ascii="Times New Roman" w:hAnsi="Times New Roman" w:cs="Times New Roman"/>
          <w:sz w:val="24"/>
          <w:szCs w:val="24"/>
        </w:rPr>
        <w:lastRenderedPageBreak/>
        <w:t>približno 30 kilometara gdje udisanje radioaktivnog materijala može znatno povećati rizik obolijevanja od karcinoma</w:t>
      </w:r>
      <w:r w:rsidRPr="002735B8">
        <w:rPr>
          <w:rFonts w:ascii="Times New Roman" w:hAnsi="Times New Roman" w:cs="Times New Roman"/>
          <w:color w:val="00B050"/>
          <w:sz w:val="24"/>
          <w:szCs w:val="24"/>
        </w:rPr>
        <w:t xml:space="preserve">. </w:t>
      </w:r>
      <w:r w:rsidRPr="002735B8">
        <w:rPr>
          <w:rFonts w:ascii="Times New Roman" w:hAnsi="Times New Roman" w:cs="Times New Roman"/>
          <w:sz w:val="24"/>
          <w:szCs w:val="24"/>
        </w:rPr>
        <w:t xml:space="preserve">Osim što ionizirajuće zračenje može prouzročiti </w:t>
      </w:r>
      <w:r w:rsidRPr="002735B8">
        <w:rPr>
          <w:rFonts w:ascii="Times New Roman" w:hAnsi="Times New Roman" w:cs="Times New Roman"/>
          <w:color w:val="auto"/>
          <w:sz w:val="24"/>
          <w:szCs w:val="24"/>
        </w:rPr>
        <w:t xml:space="preserve">ozbiljne posljedice na zdravlje ljudi, nesreće u nuklearnim elektranama mogu prouzročiti i  ekonomske, psihološke i socijalne učinke kao i štetne učinke u okolišu.  </w:t>
      </w:r>
      <w:bookmarkEnd w:id="108"/>
    </w:p>
    <w:p w14:paraId="159A2194"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5506E6B5" w14:textId="77777777" w:rsidR="002735B8" w:rsidRPr="002735B8" w:rsidRDefault="002735B8" w:rsidP="00C70C9F">
      <w:pPr>
        <w:spacing w:after="0" w:line="240" w:lineRule="auto"/>
        <w:ind w:left="0" w:right="0" w:firstLine="709"/>
        <w:rPr>
          <w:rFonts w:ascii="Times New Roman" w:hAnsi="Times New Roman" w:cs="Times New Roman"/>
          <w:sz w:val="24"/>
          <w:szCs w:val="24"/>
          <w:u w:val="single"/>
        </w:rPr>
      </w:pPr>
      <w:r w:rsidRPr="002735B8">
        <w:rPr>
          <w:rFonts w:ascii="Times New Roman" w:hAnsi="Times New Roman" w:cs="Times New Roman"/>
          <w:sz w:val="24"/>
          <w:szCs w:val="24"/>
          <w:u w:val="single"/>
        </w:rPr>
        <w:t>Odgovor na nuklearnu nesreću</w:t>
      </w:r>
    </w:p>
    <w:p w14:paraId="5DA38F32" w14:textId="77777777" w:rsidR="002735B8" w:rsidRPr="002735B8" w:rsidRDefault="002735B8" w:rsidP="00DD51D2">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Odgovor na nuklearnu nesreću podrazumijeva poduzimanje mjera za ublažavanje posljedica za ljudski život i zdravlje, okoliš i imovinu te stvaranje preduvjeta za nastavak normalnih socijalnih i ekonomskih aktivnosti</w:t>
      </w:r>
      <w:r w:rsidRPr="002735B8">
        <w:rPr>
          <w:rFonts w:ascii="Times New Roman" w:hAnsi="Times New Roman" w:cs="Times New Roman"/>
          <w:sz w:val="24"/>
          <w:szCs w:val="24"/>
          <w:vertAlign w:val="superscript"/>
        </w:rPr>
        <w:footnoteReference w:id="66"/>
      </w:r>
      <w:r w:rsidRPr="002735B8">
        <w:rPr>
          <w:rFonts w:ascii="Times New Roman" w:hAnsi="Times New Roman" w:cs="Times New Roman"/>
          <w:sz w:val="24"/>
          <w:szCs w:val="24"/>
        </w:rPr>
        <w:t>. Primjeri mjera koje se poduzimaju u okviru odgovora na nuklearnu nesreću su:</w:t>
      </w:r>
    </w:p>
    <w:p w14:paraId="66B969B9"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7219C202" w14:textId="77777777" w:rsidR="002735B8" w:rsidRPr="002735B8" w:rsidRDefault="002735B8" w:rsidP="0014113B">
      <w:pPr>
        <w:numPr>
          <w:ilvl w:val="0"/>
          <w:numId w:val="6"/>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 xml:space="preserve">evakuacija (kontrolirano i brzo izmještanje stanovništva iz potencijalno ugroženog područja), </w:t>
      </w:r>
    </w:p>
    <w:p w14:paraId="6134C4D4" w14:textId="77777777" w:rsidR="002735B8" w:rsidRPr="002735B8" w:rsidRDefault="002735B8" w:rsidP="0014113B">
      <w:pPr>
        <w:numPr>
          <w:ilvl w:val="0"/>
          <w:numId w:val="6"/>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sklanjanje (zadržavanje stanovništva u zatvorenim prostorima, najčešće u trajanju do 24 sata),</w:t>
      </w:r>
    </w:p>
    <w:p w14:paraId="406FEDD4" w14:textId="77777777" w:rsidR="002735B8" w:rsidRPr="002735B8" w:rsidRDefault="002735B8" w:rsidP="0014113B">
      <w:pPr>
        <w:numPr>
          <w:ilvl w:val="0"/>
          <w:numId w:val="6"/>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profilaksa stabilnim jodom (zasićenje štitnjače stabilnim jodom kako bi se smanjilo ili onemogućilo vezanje radioaktivnog joda),</w:t>
      </w:r>
    </w:p>
    <w:p w14:paraId="2103BEAD" w14:textId="77777777" w:rsidR="002735B8" w:rsidRPr="002735B8" w:rsidRDefault="002735B8" w:rsidP="0014113B">
      <w:pPr>
        <w:numPr>
          <w:ilvl w:val="0"/>
          <w:numId w:val="6"/>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preseljenje (kontrolirano izmještanje stanovništva iz ugroženog područja na dulji period ili trajno),</w:t>
      </w:r>
    </w:p>
    <w:p w14:paraId="27B6B277" w14:textId="77777777" w:rsidR="002735B8" w:rsidRPr="002735B8" w:rsidRDefault="002735B8" w:rsidP="0014113B">
      <w:pPr>
        <w:numPr>
          <w:ilvl w:val="0"/>
          <w:numId w:val="6"/>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 xml:space="preserve">mjere za smanjenje razine kontaminacije u poljoprivrednim proizvodima, </w:t>
      </w:r>
    </w:p>
    <w:p w14:paraId="26E93AE0" w14:textId="77777777" w:rsidR="002735B8" w:rsidRPr="002735B8" w:rsidRDefault="002735B8" w:rsidP="0014113B">
      <w:pPr>
        <w:numPr>
          <w:ilvl w:val="0"/>
          <w:numId w:val="6"/>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ograničenja konzumacije i distribucije potencijalno kontaminirane hrane, mlijeka i hrane za životinje,</w:t>
      </w:r>
    </w:p>
    <w:p w14:paraId="5C846D54" w14:textId="77777777" w:rsidR="002735B8" w:rsidRPr="002735B8" w:rsidRDefault="002735B8" w:rsidP="0014113B">
      <w:pPr>
        <w:numPr>
          <w:ilvl w:val="0"/>
          <w:numId w:val="6"/>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 xml:space="preserve">dekontaminacija stanovništva, sudionika odgovora, objekata, otvorenih površina i dr., </w:t>
      </w:r>
    </w:p>
    <w:p w14:paraId="5F631411" w14:textId="77777777" w:rsidR="002735B8" w:rsidRPr="002735B8" w:rsidRDefault="002735B8" w:rsidP="0014113B">
      <w:pPr>
        <w:numPr>
          <w:ilvl w:val="0"/>
          <w:numId w:val="6"/>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kontrola pristupa u ugrožena područja i</w:t>
      </w:r>
    </w:p>
    <w:p w14:paraId="7705C73C" w14:textId="77777777" w:rsidR="002735B8" w:rsidRPr="002735B8" w:rsidRDefault="002735B8" w:rsidP="0014113B">
      <w:pPr>
        <w:numPr>
          <w:ilvl w:val="0"/>
          <w:numId w:val="6"/>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pojačani nadzor prekograničnog prometa ljudi i roba.</w:t>
      </w:r>
    </w:p>
    <w:p w14:paraId="33B93AB0"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640D4F5F" w14:textId="210EA909" w:rsidR="002735B8" w:rsidRPr="002735B8" w:rsidRDefault="002735B8" w:rsidP="00DD51D2">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Uredba o mjerama zaštite od ionizirajućeg zračenja te postupanjima u slučaju izvanrednog događaja (</w:t>
      </w:r>
      <w:r w:rsidR="00012F75">
        <w:rPr>
          <w:rFonts w:ascii="Times New Roman" w:hAnsi="Times New Roman" w:cs="Times New Roman"/>
          <w:sz w:val="24"/>
          <w:szCs w:val="24"/>
        </w:rPr>
        <w:t xml:space="preserve">Narodne novine </w:t>
      </w:r>
      <w:r w:rsidRPr="002735B8">
        <w:rPr>
          <w:rFonts w:ascii="Times New Roman" w:hAnsi="Times New Roman" w:cs="Times New Roman"/>
          <w:sz w:val="24"/>
          <w:szCs w:val="24"/>
        </w:rPr>
        <w:t>24/18, 70/20 i 114/21) definira hitne i rane mjere zaštite kao i druge mjere. Hitne mjere zaštite su mjere koje je potrebno provesti najkasnije nekoliko sati nakon izvanrednog događaja da bi postigle željeni učinak, a uključuju evakuaciju, sklanjanje, profilaksu stabilnim jodom, osobnu dekontaminaciju, medicinsko zbrinjavanje, sprječavanje slučajnog unosa radionuklida u organizam te unosa kontaminirane hrane i pića. Rane mjere zaštite su mjere koje mogu postići željeni učinak ako se poduzmu unutar jednog ili nekoliko tjedana nakon izvanrednog događaja, a uključuju preseljenje stanovništva, mjere zaštite u poljoprivredi te pojačani nadzor prekograničnog prometa ljudi i roba.</w:t>
      </w:r>
      <w:r w:rsidRPr="002735B8">
        <w:t xml:space="preserve"> </w:t>
      </w:r>
      <w:r w:rsidRPr="002735B8">
        <w:rPr>
          <w:rFonts w:ascii="Times New Roman" w:hAnsi="Times New Roman" w:cs="Times New Roman"/>
          <w:sz w:val="24"/>
          <w:szCs w:val="24"/>
        </w:rPr>
        <w:t>Druge mjere su prvenstveno namijenjene prevladavanju neradioloških posljedica, a uključuju mjere kao što su psihološko savjetovanje i pomoć, liječnički pregled te dugoročno medicinsko nadziranje, a iste se ne smatraju mjerama zaštite.</w:t>
      </w:r>
    </w:p>
    <w:p w14:paraId="4EE3D1DF" w14:textId="77777777" w:rsidR="002735B8" w:rsidRPr="002735B8" w:rsidRDefault="002735B8" w:rsidP="00DD51D2">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Sukladno Planu pripravnosti i odgovora Republike Hrvatske na radiološki ili nuklearni izvanredni događaj, osnovna načela kojih se potrebno pridržavati u odgovoru na nuklearnu nesreću su načelo opravdanosti, načelo optimizacije i načelo odgovornosti. Navedena načela vezana su uz činjenicu da svaka mjera uz svoje pozitivne učinke nužno donosi i negativne. Prema načelu opravdanosti, poduzimaju se samo one mjere za koje se ocjenjuje da će pozitivni učinci biti veći od negativnih dok načelo optimizacije kaže da je način provedbe, opseg i trajanje pojedine mjere nužno optimizirati u cilju postizanja što je moguće veće neto koristi. Primjena načela opravdanosti osigurava se uspostavljanjem jasnih kriterija za poduzimanje pojedine mjere. Načelo odgovornosti je načelo prema kojemu nositelj odobrenja za nuklearne djelatnosti, </w:t>
      </w:r>
      <w:r w:rsidRPr="002735B8">
        <w:rPr>
          <w:rFonts w:ascii="Times New Roman" w:hAnsi="Times New Roman" w:cs="Times New Roman"/>
          <w:sz w:val="24"/>
          <w:szCs w:val="24"/>
        </w:rPr>
        <w:lastRenderedPageBreak/>
        <w:t>ima primarnu odgovornost za provedbu mjera radiološke i nuklearne sigurnosti i nuklearnog osiguranja te snosi troškove njihove provedbe.</w:t>
      </w:r>
    </w:p>
    <w:p w14:paraId="6B377EBE" w14:textId="77777777" w:rsidR="002735B8" w:rsidRPr="002735B8" w:rsidRDefault="002735B8" w:rsidP="00DD51D2">
      <w:pPr>
        <w:autoSpaceDE w:val="0"/>
        <w:autoSpaceDN w:val="0"/>
        <w:adjustRightInd w:val="0"/>
        <w:spacing w:after="0" w:line="240" w:lineRule="auto"/>
        <w:ind w:left="0" w:right="0" w:firstLine="709"/>
        <w:rPr>
          <w:rFonts w:ascii="Times New Roman" w:eastAsiaTheme="minorHAnsi" w:hAnsi="Times New Roman" w:cs="Times New Roman"/>
          <w:sz w:val="24"/>
          <w:szCs w:val="24"/>
          <w:lang w:eastAsia="en-US"/>
        </w:rPr>
      </w:pPr>
      <w:r w:rsidRPr="002735B8">
        <w:rPr>
          <w:rFonts w:ascii="Times New Roman" w:eastAsiaTheme="minorHAnsi" w:hAnsi="Times New Roman" w:cs="Times New Roman"/>
          <w:sz w:val="24"/>
          <w:szCs w:val="24"/>
          <w:lang w:eastAsia="en-US"/>
        </w:rPr>
        <w:t>Prema rezultatima Procjene „</w:t>
      </w:r>
      <w:r w:rsidRPr="002735B8">
        <w:rPr>
          <w:rFonts w:ascii="Times New Roman" w:eastAsiaTheme="minorHAnsi" w:hAnsi="Times New Roman" w:cs="Times New Roman"/>
          <w:i/>
          <w:sz w:val="24"/>
          <w:szCs w:val="24"/>
          <w:lang w:eastAsia="en-US"/>
        </w:rPr>
        <w:t>Ocjena ugroženosti od nuklearne nesreće u NE Krško i NE Pakš</w:t>
      </w:r>
      <w:r w:rsidRPr="002735B8">
        <w:rPr>
          <w:rFonts w:ascii="Times New Roman" w:eastAsiaTheme="minorHAnsi" w:hAnsi="Times New Roman" w:cs="Times New Roman"/>
          <w:sz w:val="24"/>
          <w:szCs w:val="24"/>
          <w:lang w:eastAsia="en-US"/>
        </w:rPr>
        <w:t>“ koju je izradio Enconet 1999, u kojoj su posljedice nuklearnih nesreća analizirane za skupinu detaljno definiranih scenarija prema kojima dolazi do ispuštanja radioaktivnog materijala u atmosferu, na udaljenosti od 25 do 50 km od NE, deterministički učinci radioaktivnog zračenja (doze veće od 250 mSv) mogu se očekivati u slučaju oštećenja jezgre uz potpuni gubitak integriteta zaštitne zgrade (brzina ispuštanja 100%/h) odnosno velike kontaminacije i veoma intenzivnog ispuštanja iz sekundarnog kruga (100 m</w:t>
      </w:r>
      <w:r w:rsidRPr="002735B8">
        <w:rPr>
          <w:rFonts w:ascii="Times New Roman" w:eastAsiaTheme="minorHAnsi" w:hAnsi="Times New Roman" w:cs="Times New Roman"/>
          <w:sz w:val="24"/>
          <w:szCs w:val="24"/>
          <w:vertAlign w:val="superscript"/>
          <w:lang w:eastAsia="en-US"/>
        </w:rPr>
        <w:t>3</w:t>
      </w:r>
      <w:r w:rsidRPr="002735B8">
        <w:rPr>
          <w:rFonts w:ascii="Times New Roman" w:eastAsiaTheme="minorHAnsi" w:hAnsi="Times New Roman" w:cs="Times New Roman"/>
          <w:sz w:val="24"/>
          <w:szCs w:val="24"/>
          <w:lang w:eastAsia="en-US"/>
        </w:rPr>
        <w:t>/h). Prema rezultatima elaborata „</w:t>
      </w:r>
      <w:r w:rsidRPr="002735B8">
        <w:rPr>
          <w:rFonts w:ascii="Times New Roman" w:eastAsiaTheme="minorHAnsi" w:hAnsi="Times New Roman" w:cs="Times New Roman"/>
          <w:i/>
          <w:sz w:val="24"/>
          <w:szCs w:val="24"/>
          <w:lang w:eastAsia="en-US"/>
        </w:rPr>
        <w:t>Procjena rizika od velikih nesreća u nuklearnim elektranama</w:t>
      </w:r>
      <w:r w:rsidRPr="002735B8">
        <w:rPr>
          <w:rFonts w:ascii="Times New Roman" w:eastAsiaTheme="minorHAnsi" w:hAnsi="Times New Roman" w:cs="Times New Roman"/>
          <w:sz w:val="24"/>
          <w:szCs w:val="24"/>
          <w:lang w:eastAsia="en-US"/>
        </w:rPr>
        <w:t>“ kojeg je izradio Enconet International d.o.o. 2001.g., za Odjel nuklearne sigurnosti Ministarstva gospodarstva, u kojem je procijenjen individualni rizik za ljudsko zdravlje građana Zagreba, Osijeka, Rijeke i Splita od teških nesreća u nuklearnim elektranama koje se nalaze na udaljenosti do 1000 km, proizlazi da bi Zagrepčani najveću radijacijsku dozu primili u slučaju nesreće u NE Krško. Procjenjuje se da bi u pojedinim slučajevima nesreće u NE Krško, građanin mogao primiti i radijacijsku kritičnu dozu iznad 250 mSv, ali da bi u većini slučajeva, procijenjene doze bile takvog iznosa da bi prouzročile isključivo stohastičke učinke. U elaboratu su analizirani i rizici pojedinih reaktora (a ne elektrana), iz kojih proizlazi da za građane Zagreba rizik predstavljaju i reaktori nuklearnih elektrana koje su lokacijski na većoj udaljenosti, ali su lošijih sigurnosnih karakteristika od NE Krško. To su reaktori NE Bohunice u Slovačkoj, zatim reaktori NE Paks u Mađarskoj, NE Mochovce u Slovačkoj i NE Kozloduy u Bugarskoj. Potrebno je dodatno upozoriti, da se procijenjene efektivne doze ne smiju poistovjećivati sa dozama koje bi u slučaju nesreće primilo svo ili većina stanovništva zahvaćena radioaktivnim oblakom. Naprotiv, budući da se radi o maksimalnim dozama procijenjenim prema maksimalnim koncentracijama radionuklida u zraku i na tlu, može se ustvrditi da bi doze bliske takvima primio relativno mali broj osoba</w:t>
      </w:r>
      <w:r w:rsidRPr="002735B8">
        <w:rPr>
          <w:rFonts w:ascii="Times New Roman" w:eastAsiaTheme="minorHAnsi" w:hAnsi="Times New Roman" w:cs="Times New Roman"/>
          <w:sz w:val="24"/>
          <w:szCs w:val="24"/>
          <w:vertAlign w:val="superscript"/>
          <w:lang w:eastAsia="en-US"/>
        </w:rPr>
        <w:footnoteReference w:id="67"/>
      </w:r>
      <w:r w:rsidRPr="002735B8">
        <w:rPr>
          <w:rFonts w:ascii="Times New Roman" w:eastAsiaTheme="minorHAnsi" w:hAnsi="Times New Roman" w:cs="Times New Roman"/>
          <w:sz w:val="24"/>
          <w:szCs w:val="24"/>
          <w:lang w:eastAsia="en-US"/>
        </w:rPr>
        <w:t>.</w:t>
      </w:r>
    </w:p>
    <w:p w14:paraId="4B0635A2" w14:textId="77777777" w:rsidR="002735B8" w:rsidRPr="002735B8" w:rsidRDefault="002735B8" w:rsidP="002735B8">
      <w:pPr>
        <w:spacing w:after="0" w:line="240" w:lineRule="auto"/>
        <w:ind w:left="0" w:right="0" w:firstLine="0"/>
        <w:rPr>
          <w:rFonts w:ascii="Times New Roman" w:hAnsi="Times New Roman" w:cs="Times New Roman"/>
          <w:sz w:val="24"/>
          <w:szCs w:val="24"/>
          <w:u w:val="single"/>
        </w:rPr>
      </w:pPr>
    </w:p>
    <w:p w14:paraId="4844765F" w14:textId="77777777" w:rsidR="002735B8" w:rsidRPr="002735B8" w:rsidRDefault="002735B8" w:rsidP="002735B8">
      <w:pPr>
        <w:spacing w:after="0" w:line="240" w:lineRule="auto"/>
        <w:ind w:left="0" w:right="0" w:firstLine="0"/>
        <w:rPr>
          <w:rFonts w:ascii="Times New Roman" w:hAnsi="Times New Roman" w:cs="Times New Roman"/>
          <w:sz w:val="24"/>
          <w:szCs w:val="24"/>
          <w:u w:val="single"/>
        </w:rPr>
      </w:pPr>
      <w:r w:rsidRPr="002735B8">
        <w:rPr>
          <w:rFonts w:ascii="Times New Roman" w:hAnsi="Times New Roman" w:cs="Times New Roman"/>
          <w:sz w:val="24"/>
          <w:szCs w:val="24"/>
          <w:u w:val="single"/>
        </w:rPr>
        <w:t>Zone pripravnosti prema Procjeni nuklearne i radiološke opasnosti za Republiku Hrvatsku</w:t>
      </w:r>
    </w:p>
    <w:p w14:paraId="057DF148" w14:textId="77777777" w:rsidR="002735B8" w:rsidRPr="002735B8" w:rsidRDefault="002735B8" w:rsidP="002735B8">
      <w:pPr>
        <w:spacing w:after="0" w:line="240" w:lineRule="auto"/>
        <w:ind w:left="0" w:right="0" w:firstLine="0"/>
        <w:rPr>
          <w:rFonts w:ascii="Times New Roman" w:hAnsi="Times New Roman" w:cs="Times New Roman"/>
          <w:sz w:val="24"/>
          <w:szCs w:val="24"/>
          <w:u w:val="single"/>
        </w:rPr>
      </w:pPr>
    </w:p>
    <w:p w14:paraId="4B9E17AB"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Hrvatsko zakonodavstvo opširno propisuje načine postupanja u slučaju nastanka nuklearne nesreće. Najbitniji propisi/dokumenti su:</w:t>
      </w:r>
    </w:p>
    <w:p w14:paraId="0AFEE406" w14:textId="77777777" w:rsidR="002735B8" w:rsidRPr="002735B8" w:rsidRDefault="002735B8" w:rsidP="0014113B">
      <w:pPr>
        <w:numPr>
          <w:ilvl w:val="0"/>
          <w:numId w:val="10"/>
        </w:numPr>
        <w:spacing w:after="0" w:line="240" w:lineRule="auto"/>
        <w:ind w:right="0"/>
        <w:rPr>
          <w:rFonts w:ascii="Times New Roman" w:hAnsi="Times New Roman" w:cs="Times New Roman"/>
          <w:sz w:val="24"/>
          <w:szCs w:val="24"/>
        </w:rPr>
      </w:pPr>
      <w:r w:rsidRPr="002735B8">
        <w:rPr>
          <w:rFonts w:ascii="Times New Roman" w:hAnsi="Times New Roman" w:cs="Times New Roman"/>
          <w:sz w:val="24"/>
          <w:szCs w:val="24"/>
        </w:rPr>
        <w:t>Uredba o mjerama zaštite od ionizirajućeg zračenja te postupanjima u slučaju izvanrednog događaja (24/18, 70/20 i 114/21)</w:t>
      </w:r>
    </w:p>
    <w:p w14:paraId="6F7E790B" w14:textId="77777777" w:rsidR="002735B8" w:rsidRPr="002735B8" w:rsidRDefault="002735B8" w:rsidP="0014113B">
      <w:pPr>
        <w:numPr>
          <w:ilvl w:val="0"/>
          <w:numId w:val="10"/>
        </w:numPr>
        <w:spacing w:after="0" w:line="240" w:lineRule="auto"/>
        <w:ind w:right="0"/>
        <w:rPr>
          <w:rFonts w:ascii="Times New Roman" w:hAnsi="Times New Roman" w:cs="Times New Roman"/>
          <w:sz w:val="24"/>
          <w:szCs w:val="24"/>
        </w:rPr>
      </w:pPr>
      <w:r w:rsidRPr="002735B8">
        <w:rPr>
          <w:rFonts w:ascii="Times New Roman" w:hAnsi="Times New Roman" w:cs="Times New Roman"/>
          <w:sz w:val="24"/>
          <w:szCs w:val="24"/>
        </w:rPr>
        <w:t>Procjena nuklearne i radiološke opasnosti za Republiku Hrvatsku</w:t>
      </w:r>
    </w:p>
    <w:p w14:paraId="61F6840B" w14:textId="77777777" w:rsidR="002735B8" w:rsidRPr="002735B8" w:rsidRDefault="002735B8" w:rsidP="0014113B">
      <w:pPr>
        <w:numPr>
          <w:ilvl w:val="0"/>
          <w:numId w:val="10"/>
        </w:numPr>
        <w:spacing w:after="0" w:line="240" w:lineRule="auto"/>
        <w:ind w:right="0"/>
        <w:rPr>
          <w:rFonts w:ascii="Times New Roman" w:hAnsi="Times New Roman" w:cs="Times New Roman"/>
          <w:sz w:val="24"/>
          <w:szCs w:val="24"/>
        </w:rPr>
      </w:pPr>
      <w:r w:rsidRPr="002735B8">
        <w:rPr>
          <w:rFonts w:ascii="Times New Roman" w:hAnsi="Times New Roman" w:cs="Times New Roman"/>
          <w:sz w:val="24"/>
          <w:szCs w:val="24"/>
        </w:rPr>
        <w:t>Plan pripravnosti i odgovora RH na radiološki ili nuklearni izvanredni događaj.</w:t>
      </w:r>
    </w:p>
    <w:p w14:paraId="49348D4F"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001DFE73"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Uredbom o mjerama zaštite od ionizirajućeg zračenja te postupanjima u slučaju izvanrednog događaja uređuje se način odgovora na izvanredni događaj koji može nastati u djelatnostima s izvorima ionizirajućeg zračenja, nuklearnim djelatnostima i djelatnostima zbrinjavanja radioaktivnog otpada i iskorištenih izvora te radnim aktivnostima, kao i mjere zaštite od ionizirajućeg zračenja koje se poduzimaju kao dio odgovora u slučaju izvanrednog događaja.</w:t>
      </w:r>
      <w:r w:rsidRPr="002735B8">
        <w:t xml:space="preserve"> </w:t>
      </w:r>
      <w:r w:rsidRPr="002735B8">
        <w:rPr>
          <w:rFonts w:ascii="Times New Roman" w:hAnsi="Times New Roman" w:cs="Times New Roman"/>
          <w:sz w:val="24"/>
          <w:szCs w:val="24"/>
        </w:rPr>
        <w:t>Odredbe Uredbe uz ostalo odnose se i na sustav pripravnosti i odgovora za izvanredni događaj u nuklearnoj elektrani Krško. Procjena nuklearne i radiološke opasnosti za Republiku Hrvatsku definira izvore izvanrednih događaja (među njima je i NE Krško), kategorije pripravnosti za izvanredni događaj (NE Krško spada u objekt pete kategorije pripravnosti), te definira planske zone za NE Krško.</w:t>
      </w:r>
    </w:p>
    <w:p w14:paraId="19B720BA"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216F33B9" w14:textId="77777777" w:rsidR="002735B8" w:rsidRPr="002735B8" w:rsidRDefault="002735B8" w:rsidP="00C207B1">
      <w:pPr>
        <w:spacing w:after="0" w:line="240" w:lineRule="auto"/>
        <w:ind w:left="0" w:right="0" w:firstLine="709"/>
        <w:rPr>
          <w:rFonts w:ascii="Times New Roman" w:hAnsi="Times New Roman" w:cs="Times New Roman"/>
          <w:i/>
          <w:sz w:val="24"/>
          <w:szCs w:val="24"/>
        </w:rPr>
      </w:pPr>
      <w:r w:rsidRPr="002735B8">
        <w:rPr>
          <w:rFonts w:ascii="Times New Roman" w:hAnsi="Times New Roman" w:cs="Times New Roman"/>
          <w:sz w:val="24"/>
          <w:szCs w:val="24"/>
        </w:rPr>
        <w:lastRenderedPageBreak/>
        <w:t>Planom pripravnosti i odgovora Republike Hrvatske na radiološki i nuklearni izvanredni događaj uspostavlja se organizacija pripravnosti i odgovora na nuklearni izvanredni događaj koji je razmjeran prisutnim opasnostima, integriran u pripravnost i odgovor na ostale vrste izvanrednih događaja i usklađen s međunarodno prihvaćenim rješenjima. Zbog složenosti mjera zaštite i nužnosti njihove brze primjene učinkovit odgovor na nuklearni izvanredni događaj nije ostvariv bez odgovarajuće pripreme. U cilju sistematične pripreme za takvu vrstu izvanrednih događaja uspostavljene su tzv. planske zone za NE Krško sukladno smjernicama Međunarodne agencije za atomsku energiju.</w:t>
      </w:r>
    </w:p>
    <w:p w14:paraId="4220123C"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63686588" w14:textId="3E3938E5" w:rsidR="002735B8" w:rsidRPr="0023767A" w:rsidRDefault="002735B8" w:rsidP="002735B8">
      <w:pPr>
        <w:spacing w:after="120" w:line="20" w:lineRule="atLeast"/>
        <w:ind w:left="0" w:right="0" w:firstLine="0"/>
        <w:jc w:val="center"/>
        <w:rPr>
          <w:rFonts w:ascii="Times New Roman" w:eastAsia="SimSun" w:hAnsi="Times New Roman" w:cs="Times New Roman"/>
          <w:b/>
          <w:color w:val="auto"/>
          <w:sz w:val="24"/>
          <w:szCs w:val="24"/>
          <w:lang w:eastAsia="en-US"/>
        </w:rPr>
      </w:pPr>
      <w:r w:rsidRPr="0023767A">
        <w:rPr>
          <w:rFonts w:ascii="Times New Roman" w:eastAsia="SimSun" w:hAnsi="Times New Roman" w:cs="Times New Roman"/>
          <w:b/>
          <w:color w:val="auto"/>
          <w:sz w:val="24"/>
          <w:szCs w:val="24"/>
          <w:lang w:eastAsia="en-US"/>
        </w:rPr>
        <w:t xml:space="preserve">Tablica </w:t>
      </w:r>
      <w:r w:rsidR="0023767A" w:rsidRPr="0023767A">
        <w:rPr>
          <w:rFonts w:ascii="Times New Roman" w:eastAsia="SimSun" w:hAnsi="Times New Roman" w:cs="Times New Roman"/>
          <w:b/>
          <w:color w:val="auto"/>
          <w:sz w:val="24"/>
          <w:szCs w:val="24"/>
          <w:lang w:eastAsia="en-US"/>
        </w:rPr>
        <w:t>106</w:t>
      </w:r>
      <w:r w:rsidRPr="0023767A">
        <w:rPr>
          <w:rFonts w:ascii="Times New Roman" w:eastAsia="SimSun" w:hAnsi="Times New Roman" w:cs="Times New Roman"/>
          <w:b/>
          <w:color w:val="auto"/>
          <w:sz w:val="24"/>
          <w:szCs w:val="24"/>
          <w:lang w:eastAsia="en-US"/>
        </w:rPr>
        <w:t>. Planske zone za NE Krško</w:t>
      </w:r>
    </w:p>
    <w:tbl>
      <w:tblPr>
        <w:tblStyle w:val="TableGrid110"/>
        <w:tblW w:w="0" w:type="auto"/>
        <w:tblInd w:w="108" w:type="dxa"/>
        <w:tblLook w:val="04A0" w:firstRow="1" w:lastRow="0" w:firstColumn="1" w:lastColumn="0" w:noHBand="0" w:noVBand="1"/>
      </w:tblPr>
      <w:tblGrid>
        <w:gridCol w:w="1656"/>
        <w:gridCol w:w="1528"/>
        <w:gridCol w:w="5770"/>
      </w:tblGrid>
      <w:tr w:rsidR="002735B8" w:rsidRPr="002735B8" w14:paraId="6E6058F5" w14:textId="77777777" w:rsidTr="00284074">
        <w:tc>
          <w:tcPr>
            <w:tcW w:w="1217" w:type="dxa"/>
            <w:shd w:val="clear" w:color="auto" w:fill="FFC000"/>
            <w:vAlign w:val="center"/>
          </w:tcPr>
          <w:p w14:paraId="370BF52A" w14:textId="77777777" w:rsidR="002735B8" w:rsidRPr="002735B8" w:rsidRDefault="002735B8" w:rsidP="002735B8">
            <w:pPr>
              <w:spacing w:after="120" w:line="20" w:lineRule="atLeast"/>
              <w:ind w:left="0" w:right="0" w:firstLine="0"/>
              <w:jc w:val="center"/>
              <w:rPr>
                <w:rFonts w:ascii="Times New Roman" w:eastAsia="SimSun" w:hAnsi="Times New Roman" w:cs="Times New Roman"/>
                <w:b/>
                <w:color w:val="auto"/>
                <w:sz w:val="24"/>
                <w:szCs w:val="24"/>
                <w:lang w:eastAsia="en-US"/>
              </w:rPr>
            </w:pPr>
            <w:r w:rsidRPr="002735B8">
              <w:rPr>
                <w:rFonts w:ascii="Times New Roman" w:eastAsia="SimSun" w:hAnsi="Times New Roman" w:cs="Times New Roman"/>
                <w:b/>
                <w:color w:val="auto"/>
                <w:sz w:val="24"/>
                <w:szCs w:val="24"/>
                <w:lang w:eastAsia="en-US"/>
              </w:rPr>
              <w:t>Planska zona</w:t>
            </w:r>
          </w:p>
        </w:tc>
        <w:tc>
          <w:tcPr>
            <w:tcW w:w="1560" w:type="dxa"/>
            <w:shd w:val="clear" w:color="auto" w:fill="FFC000"/>
            <w:vAlign w:val="center"/>
          </w:tcPr>
          <w:p w14:paraId="60C90F2B" w14:textId="77777777" w:rsidR="002735B8" w:rsidRPr="002735B8" w:rsidRDefault="002735B8" w:rsidP="002735B8">
            <w:pPr>
              <w:spacing w:after="120" w:line="20" w:lineRule="atLeast"/>
              <w:ind w:left="0" w:right="0" w:firstLine="0"/>
              <w:jc w:val="center"/>
              <w:rPr>
                <w:rFonts w:ascii="Times New Roman" w:eastAsia="SimSun" w:hAnsi="Times New Roman" w:cs="Times New Roman"/>
                <w:b/>
                <w:color w:val="auto"/>
                <w:sz w:val="24"/>
                <w:szCs w:val="24"/>
                <w:lang w:eastAsia="en-US"/>
              </w:rPr>
            </w:pPr>
            <w:r w:rsidRPr="002735B8">
              <w:rPr>
                <w:rFonts w:ascii="Times New Roman" w:eastAsia="SimSun" w:hAnsi="Times New Roman" w:cs="Times New Roman"/>
                <w:b/>
                <w:color w:val="auto"/>
                <w:sz w:val="24"/>
                <w:szCs w:val="24"/>
                <w:lang w:eastAsia="en-US"/>
              </w:rPr>
              <w:t>Referentni polumjer (km)</w:t>
            </w:r>
          </w:p>
        </w:tc>
        <w:tc>
          <w:tcPr>
            <w:tcW w:w="6295" w:type="dxa"/>
            <w:shd w:val="clear" w:color="auto" w:fill="FFC000"/>
            <w:vAlign w:val="center"/>
          </w:tcPr>
          <w:p w14:paraId="1C57C655" w14:textId="77777777" w:rsidR="002735B8" w:rsidRPr="002735B8" w:rsidRDefault="002735B8" w:rsidP="002735B8">
            <w:pPr>
              <w:spacing w:after="120" w:line="20" w:lineRule="atLeast"/>
              <w:ind w:left="0" w:right="0" w:firstLine="0"/>
              <w:jc w:val="center"/>
              <w:rPr>
                <w:rFonts w:ascii="Times New Roman" w:eastAsia="SimSun" w:hAnsi="Times New Roman" w:cs="Times New Roman"/>
                <w:b/>
                <w:color w:val="auto"/>
                <w:sz w:val="24"/>
                <w:szCs w:val="24"/>
                <w:lang w:eastAsia="en-US"/>
              </w:rPr>
            </w:pPr>
            <w:r w:rsidRPr="002735B8">
              <w:rPr>
                <w:rFonts w:ascii="Times New Roman" w:eastAsia="SimSun" w:hAnsi="Times New Roman" w:cs="Times New Roman"/>
                <w:b/>
                <w:color w:val="auto"/>
                <w:sz w:val="24"/>
                <w:szCs w:val="24"/>
                <w:lang w:eastAsia="en-US"/>
              </w:rPr>
              <w:t>Obuhvat</w:t>
            </w:r>
          </w:p>
        </w:tc>
      </w:tr>
      <w:tr w:rsidR="002735B8" w:rsidRPr="002735B8" w14:paraId="032840AC" w14:textId="77777777" w:rsidTr="00284074">
        <w:tc>
          <w:tcPr>
            <w:tcW w:w="1217" w:type="dxa"/>
            <w:vAlign w:val="center"/>
          </w:tcPr>
          <w:p w14:paraId="0141A40C" w14:textId="77777777" w:rsidR="002735B8" w:rsidRPr="002735B8" w:rsidRDefault="002735B8" w:rsidP="002735B8">
            <w:pPr>
              <w:spacing w:after="120" w:line="20" w:lineRule="atLeast"/>
              <w:ind w:left="0" w:right="0" w:firstLine="0"/>
              <w:rPr>
                <w:rFonts w:ascii="Times New Roman" w:eastAsia="SimSun" w:hAnsi="Times New Roman" w:cs="Times New Roman"/>
                <w:color w:val="auto"/>
                <w:sz w:val="24"/>
                <w:szCs w:val="24"/>
                <w:lang w:eastAsia="en-US"/>
              </w:rPr>
            </w:pPr>
            <w:r w:rsidRPr="002735B8">
              <w:rPr>
                <w:rFonts w:ascii="Times New Roman" w:eastAsia="SimSun" w:hAnsi="Times New Roman" w:cs="Times New Roman"/>
                <w:color w:val="auto"/>
                <w:sz w:val="24"/>
                <w:szCs w:val="24"/>
                <w:lang w:eastAsia="en-US"/>
              </w:rPr>
              <w:t>narančasta zona - zona za planiranje hitnih mjera zaštite</w:t>
            </w:r>
          </w:p>
        </w:tc>
        <w:tc>
          <w:tcPr>
            <w:tcW w:w="1560" w:type="dxa"/>
            <w:vAlign w:val="center"/>
          </w:tcPr>
          <w:p w14:paraId="4E3F0958" w14:textId="77777777" w:rsidR="002735B8" w:rsidRPr="002735B8" w:rsidRDefault="002735B8" w:rsidP="002735B8">
            <w:pPr>
              <w:spacing w:after="120" w:line="20" w:lineRule="atLeast"/>
              <w:ind w:left="0" w:right="0" w:firstLine="0"/>
              <w:jc w:val="center"/>
              <w:rPr>
                <w:rFonts w:ascii="Times New Roman" w:eastAsia="SimSun" w:hAnsi="Times New Roman" w:cs="Times New Roman"/>
                <w:color w:val="auto"/>
                <w:sz w:val="24"/>
                <w:szCs w:val="24"/>
                <w:lang w:eastAsia="en-US"/>
              </w:rPr>
            </w:pPr>
            <w:r w:rsidRPr="002735B8">
              <w:rPr>
                <w:rFonts w:ascii="Times New Roman" w:eastAsia="SimSun" w:hAnsi="Times New Roman" w:cs="Times New Roman"/>
                <w:color w:val="auto"/>
                <w:sz w:val="24"/>
                <w:szCs w:val="24"/>
                <w:lang w:eastAsia="en-US"/>
              </w:rPr>
              <w:t>20</w:t>
            </w:r>
          </w:p>
        </w:tc>
        <w:tc>
          <w:tcPr>
            <w:tcW w:w="6295" w:type="dxa"/>
          </w:tcPr>
          <w:p w14:paraId="63565C85" w14:textId="77777777" w:rsidR="002735B8" w:rsidRPr="002735B8" w:rsidRDefault="002735B8" w:rsidP="002735B8">
            <w:pPr>
              <w:spacing w:after="120" w:line="20" w:lineRule="atLeast"/>
              <w:ind w:left="0" w:right="0" w:firstLine="0"/>
              <w:rPr>
                <w:rFonts w:ascii="Times New Roman" w:eastAsia="SimSun" w:hAnsi="Times New Roman" w:cs="Times New Roman"/>
                <w:color w:val="auto"/>
                <w:sz w:val="24"/>
                <w:szCs w:val="24"/>
                <w:lang w:eastAsia="en-US"/>
              </w:rPr>
            </w:pPr>
            <w:r w:rsidRPr="002735B8">
              <w:rPr>
                <w:rFonts w:ascii="Times New Roman" w:eastAsia="SimSun" w:hAnsi="Times New Roman" w:cs="Times New Roman"/>
                <w:color w:val="auto"/>
                <w:sz w:val="24"/>
                <w:szCs w:val="24"/>
                <w:lang w:eastAsia="en-US"/>
              </w:rPr>
              <w:t>Općine i gradovi Krapinsko-zagorske i Zagrebačke županije koji se nalaze na manje od 20 km od NE Krško te naselja u općinama/gradovima Samoboru, Kumrovcu, Zagorskim selima i Žumberku koja su na manje od 20 km od NE Krško.</w:t>
            </w:r>
          </w:p>
        </w:tc>
      </w:tr>
      <w:tr w:rsidR="002735B8" w:rsidRPr="002735B8" w14:paraId="1081F247" w14:textId="77777777" w:rsidTr="00284074">
        <w:tc>
          <w:tcPr>
            <w:tcW w:w="1217" w:type="dxa"/>
            <w:vAlign w:val="center"/>
          </w:tcPr>
          <w:p w14:paraId="3A45BE9B" w14:textId="77777777" w:rsidR="002735B8" w:rsidRPr="002735B8" w:rsidRDefault="002735B8" w:rsidP="002735B8">
            <w:pPr>
              <w:spacing w:after="120" w:line="20" w:lineRule="atLeast"/>
              <w:ind w:left="0" w:right="0" w:firstLine="0"/>
              <w:jc w:val="left"/>
              <w:rPr>
                <w:rFonts w:ascii="Times New Roman" w:eastAsia="SimSun" w:hAnsi="Times New Roman" w:cs="Times New Roman"/>
                <w:color w:val="auto"/>
                <w:sz w:val="24"/>
                <w:szCs w:val="24"/>
                <w:lang w:eastAsia="en-US"/>
              </w:rPr>
            </w:pPr>
            <w:r w:rsidRPr="002735B8">
              <w:rPr>
                <w:rFonts w:ascii="Times New Roman" w:eastAsia="SimSun" w:hAnsi="Times New Roman" w:cs="Times New Roman"/>
                <w:color w:val="auto"/>
                <w:sz w:val="24"/>
                <w:szCs w:val="24"/>
                <w:lang w:eastAsia="en-US"/>
              </w:rPr>
              <w:t xml:space="preserve">žuta zona - proširena zona </w:t>
            </w:r>
          </w:p>
        </w:tc>
        <w:tc>
          <w:tcPr>
            <w:tcW w:w="1560" w:type="dxa"/>
            <w:vAlign w:val="center"/>
          </w:tcPr>
          <w:p w14:paraId="20AE1C07" w14:textId="77777777" w:rsidR="002735B8" w:rsidRPr="002735B8" w:rsidRDefault="002735B8" w:rsidP="002735B8">
            <w:pPr>
              <w:spacing w:after="120" w:line="20" w:lineRule="atLeast"/>
              <w:ind w:left="0" w:right="0" w:firstLine="0"/>
              <w:jc w:val="center"/>
              <w:rPr>
                <w:rFonts w:ascii="Times New Roman" w:eastAsia="SimSun" w:hAnsi="Times New Roman" w:cs="Times New Roman"/>
                <w:color w:val="auto"/>
                <w:sz w:val="24"/>
                <w:szCs w:val="24"/>
                <w:lang w:eastAsia="en-US"/>
              </w:rPr>
            </w:pPr>
            <w:r w:rsidRPr="002735B8">
              <w:rPr>
                <w:rFonts w:ascii="Times New Roman" w:eastAsia="SimSun" w:hAnsi="Times New Roman" w:cs="Times New Roman"/>
                <w:color w:val="auto"/>
                <w:sz w:val="24"/>
                <w:szCs w:val="24"/>
                <w:lang w:eastAsia="en-US"/>
              </w:rPr>
              <w:t>100</w:t>
            </w:r>
          </w:p>
        </w:tc>
        <w:tc>
          <w:tcPr>
            <w:tcW w:w="6295" w:type="dxa"/>
          </w:tcPr>
          <w:p w14:paraId="5275E93F" w14:textId="77777777" w:rsidR="002735B8" w:rsidRPr="002735B8" w:rsidRDefault="002735B8" w:rsidP="002735B8">
            <w:pPr>
              <w:spacing w:after="120" w:line="20" w:lineRule="atLeast"/>
              <w:ind w:left="0" w:right="0" w:firstLine="0"/>
              <w:jc w:val="left"/>
              <w:rPr>
                <w:rFonts w:ascii="Times New Roman" w:eastAsia="SimSun" w:hAnsi="Times New Roman" w:cs="Times New Roman"/>
                <w:color w:val="auto"/>
                <w:sz w:val="24"/>
                <w:szCs w:val="24"/>
                <w:lang w:eastAsia="en-US"/>
              </w:rPr>
            </w:pPr>
            <w:r w:rsidRPr="002735B8">
              <w:rPr>
                <w:rFonts w:ascii="Times New Roman" w:eastAsia="SimSun" w:hAnsi="Times New Roman" w:cs="Times New Roman"/>
                <w:color w:val="auto"/>
                <w:sz w:val="24"/>
                <w:szCs w:val="24"/>
                <w:lang w:eastAsia="en-US"/>
              </w:rPr>
              <w:t>Općine i gradovi Krapinsko-zagorske i Zagrebačke županije koji ne pripadaju zoni za planiranje hitnih mjera zaštite, Grad Zagreb te općine i gradovi Bjelovarsko-bilogorske, Karlovačke, Koprivničko-križevačke, Međimurske, Primorsko-goranske i Sisačko-moslavačke županije koji se nalaze na manje od 100 km od NE Krško.</w:t>
            </w:r>
          </w:p>
        </w:tc>
      </w:tr>
      <w:tr w:rsidR="002735B8" w:rsidRPr="002735B8" w14:paraId="77AE16A8" w14:textId="77777777" w:rsidTr="00284074">
        <w:tc>
          <w:tcPr>
            <w:tcW w:w="1217" w:type="dxa"/>
            <w:vAlign w:val="center"/>
          </w:tcPr>
          <w:p w14:paraId="64383FD8" w14:textId="77777777" w:rsidR="002735B8" w:rsidRPr="002735B8" w:rsidRDefault="002735B8" w:rsidP="002735B8">
            <w:pPr>
              <w:spacing w:after="120" w:line="20" w:lineRule="atLeast"/>
              <w:ind w:left="0" w:right="0" w:firstLine="0"/>
              <w:jc w:val="left"/>
              <w:rPr>
                <w:rFonts w:ascii="Times New Roman" w:eastAsia="SimSun" w:hAnsi="Times New Roman" w:cs="Times New Roman"/>
                <w:color w:val="auto"/>
                <w:sz w:val="24"/>
                <w:szCs w:val="24"/>
                <w:lang w:eastAsia="en-US"/>
              </w:rPr>
            </w:pPr>
            <w:r w:rsidRPr="002735B8">
              <w:rPr>
                <w:rFonts w:ascii="Times New Roman" w:eastAsia="SimSun" w:hAnsi="Times New Roman" w:cs="Times New Roman"/>
                <w:color w:val="auto"/>
                <w:sz w:val="24"/>
                <w:szCs w:val="24"/>
                <w:lang w:eastAsia="en-US"/>
              </w:rPr>
              <w:t xml:space="preserve">bijela zona - zona za sprječavanje unosa radioaktivnosti gutanjem i za zaštitu dobara </w:t>
            </w:r>
          </w:p>
        </w:tc>
        <w:tc>
          <w:tcPr>
            <w:tcW w:w="1560" w:type="dxa"/>
            <w:vAlign w:val="center"/>
          </w:tcPr>
          <w:p w14:paraId="5CF62832" w14:textId="77777777" w:rsidR="002735B8" w:rsidRPr="002735B8" w:rsidRDefault="002735B8" w:rsidP="002735B8">
            <w:pPr>
              <w:spacing w:after="120" w:line="20" w:lineRule="atLeast"/>
              <w:ind w:left="0" w:right="0" w:firstLine="0"/>
              <w:jc w:val="center"/>
              <w:rPr>
                <w:rFonts w:ascii="Times New Roman" w:eastAsia="SimSun" w:hAnsi="Times New Roman" w:cs="Times New Roman"/>
                <w:color w:val="auto"/>
                <w:sz w:val="24"/>
                <w:szCs w:val="24"/>
                <w:lang w:eastAsia="en-US"/>
              </w:rPr>
            </w:pPr>
            <w:r w:rsidRPr="002735B8">
              <w:rPr>
                <w:rFonts w:ascii="Times New Roman" w:eastAsia="SimSun" w:hAnsi="Times New Roman" w:cs="Times New Roman"/>
                <w:color w:val="auto"/>
                <w:sz w:val="24"/>
                <w:szCs w:val="24"/>
                <w:lang w:eastAsia="en-US"/>
              </w:rPr>
              <w:t>300</w:t>
            </w:r>
          </w:p>
        </w:tc>
        <w:tc>
          <w:tcPr>
            <w:tcW w:w="6295" w:type="dxa"/>
          </w:tcPr>
          <w:p w14:paraId="6A70E120" w14:textId="77777777" w:rsidR="002735B8" w:rsidRPr="002735B8" w:rsidRDefault="002735B8" w:rsidP="002735B8">
            <w:pPr>
              <w:spacing w:after="120" w:line="20" w:lineRule="atLeast"/>
              <w:ind w:left="0" w:right="0" w:firstLine="0"/>
              <w:jc w:val="center"/>
              <w:rPr>
                <w:rFonts w:ascii="Times New Roman" w:eastAsia="SimSun" w:hAnsi="Times New Roman" w:cs="Times New Roman"/>
                <w:color w:val="auto"/>
                <w:sz w:val="24"/>
                <w:szCs w:val="24"/>
                <w:lang w:eastAsia="en-US"/>
              </w:rPr>
            </w:pPr>
          </w:p>
          <w:p w14:paraId="07797619" w14:textId="77777777" w:rsidR="002735B8" w:rsidRPr="002735B8" w:rsidRDefault="002735B8" w:rsidP="002735B8">
            <w:pPr>
              <w:spacing w:after="120" w:line="20" w:lineRule="atLeast"/>
              <w:ind w:left="0" w:right="0" w:firstLine="0"/>
              <w:jc w:val="center"/>
              <w:rPr>
                <w:rFonts w:ascii="Times New Roman" w:eastAsia="SimSun" w:hAnsi="Times New Roman" w:cs="Times New Roman"/>
                <w:color w:val="auto"/>
                <w:sz w:val="24"/>
                <w:szCs w:val="24"/>
                <w:lang w:eastAsia="en-US"/>
              </w:rPr>
            </w:pPr>
          </w:p>
          <w:p w14:paraId="59B45F05" w14:textId="77777777" w:rsidR="002735B8" w:rsidRPr="002735B8" w:rsidRDefault="002735B8" w:rsidP="002735B8">
            <w:pPr>
              <w:spacing w:after="120" w:line="20" w:lineRule="atLeast"/>
              <w:ind w:left="0" w:right="0" w:firstLine="0"/>
              <w:jc w:val="center"/>
              <w:rPr>
                <w:rFonts w:ascii="Times New Roman" w:eastAsia="SimSun" w:hAnsi="Times New Roman" w:cs="Times New Roman"/>
                <w:color w:val="auto"/>
                <w:sz w:val="24"/>
                <w:szCs w:val="24"/>
                <w:lang w:eastAsia="en-US"/>
              </w:rPr>
            </w:pPr>
            <w:r w:rsidRPr="002735B8">
              <w:rPr>
                <w:rFonts w:ascii="Times New Roman" w:eastAsia="SimSun" w:hAnsi="Times New Roman" w:cs="Times New Roman"/>
                <w:color w:val="auto"/>
                <w:sz w:val="24"/>
                <w:szCs w:val="24"/>
                <w:lang w:eastAsia="en-US"/>
              </w:rPr>
              <w:t>Čitava Republika Hrvatska.</w:t>
            </w:r>
          </w:p>
        </w:tc>
      </w:tr>
    </w:tbl>
    <w:p w14:paraId="6CA8350C" w14:textId="347CB693" w:rsidR="002735B8" w:rsidRDefault="002735B8" w:rsidP="002735B8">
      <w:pPr>
        <w:spacing w:after="0" w:line="240" w:lineRule="auto"/>
        <w:ind w:left="0" w:right="0" w:firstLine="0"/>
        <w:jc w:val="center"/>
        <w:rPr>
          <w:rFonts w:ascii="Times New Roman" w:hAnsi="Times New Roman" w:cs="Times New Roman"/>
          <w:i/>
          <w:sz w:val="20"/>
          <w:szCs w:val="20"/>
        </w:rPr>
      </w:pPr>
      <w:r w:rsidRPr="0018095B">
        <w:rPr>
          <w:rFonts w:ascii="Times New Roman" w:hAnsi="Times New Roman" w:cs="Times New Roman"/>
          <w:i/>
          <w:sz w:val="20"/>
          <w:szCs w:val="20"/>
        </w:rPr>
        <w:t>Izvor: Plan pripravnosti i odgovora Republike Hrvatske na radiološki i nuklearni izvanredni događaj</w:t>
      </w:r>
    </w:p>
    <w:p w14:paraId="2F74EC49" w14:textId="77777777" w:rsidR="00C207B1" w:rsidRPr="0018095B" w:rsidRDefault="00C207B1" w:rsidP="002735B8">
      <w:pPr>
        <w:spacing w:after="0" w:line="240" w:lineRule="auto"/>
        <w:ind w:left="0" w:right="0" w:firstLine="0"/>
        <w:jc w:val="center"/>
        <w:rPr>
          <w:rFonts w:ascii="Times New Roman" w:hAnsi="Times New Roman" w:cs="Times New Roman"/>
          <w:i/>
          <w:sz w:val="20"/>
          <w:szCs w:val="20"/>
        </w:rPr>
      </w:pPr>
    </w:p>
    <w:p w14:paraId="0C07FDAE" w14:textId="77777777" w:rsidR="002735B8" w:rsidRPr="002735B8" w:rsidRDefault="002735B8" w:rsidP="00C207B1">
      <w:pPr>
        <w:keepNext/>
        <w:spacing w:after="120" w:line="20" w:lineRule="atLeast"/>
        <w:ind w:left="0" w:right="0" w:firstLine="709"/>
        <w:rPr>
          <w:rFonts w:ascii="Times New Roman" w:eastAsia="SimSun" w:hAnsi="Times New Roman" w:cs="Times New Roman"/>
          <w:color w:val="auto"/>
          <w:sz w:val="24"/>
          <w:szCs w:val="24"/>
          <w:lang w:eastAsia="en-US"/>
        </w:rPr>
      </w:pPr>
      <w:r w:rsidRPr="002735B8">
        <w:rPr>
          <w:rFonts w:ascii="Times New Roman" w:eastAsia="SimSun" w:hAnsi="Times New Roman" w:cs="Times New Roman"/>
          <w:color w:val="auto"/>
          <w:sz w:val="24"/>
          <w:szCs w:val="24"/>
          <w:lang w:eastAsia="en-US"/>
        </w:rPr>
        <w:t>Sukladno Planu pripravnosti i odgovora Republike Hrvatske na radiološki i nuklearni izvanredni događaj glavni ciljevi odgovora na nuklearni izvanredni događaj su:</w:t>
      </w:r>
    </w:p>
    <w:p w14:paraId="299BBA7A" w14:textId="77777777" w:rsidR="002735B8" w:rsidRPr="002735B8" w:rsidRDefault="002735B8" w:rsidP="0014113B">
      <w:pPr>
        <w:numPr>
          <w:ilvl w:val="0"/>
          <w:numId w:val="11"/>
        </w:numPr>
        <w:spacing w:before="120" w:after="0" w:line="20" w:lineRule="atLeast"/>
        <w:ind w:right="0" w:hanging="357"/>
        <w:rPr>
          <w:rFonts w:ascii="Times New Roman" w:eastAsia="SimSun" w:hAnsi="Times New Roman" w:cs="Times New Roman"/>
          <w:color w:val="auto"/>
          <w:sz w:val="24"/>
          <w:szCs w:val="24"/>
          <w:lang w:eastAsia="en-US"/>
        </w:rPr>
      </w:pPr>
      <w:r w:rsidRPr="002735B8">
        <w:rPr>
          <w:rFonts w:ascii="Times New Roman" w:eastAsia="SimSun" w:hAnsi="Times New Roman" w:cs="Times New Roman"/>
          <w:color w:val="auto"/>
          <w:sz w:val="24"/>
          <w:szCs w:val="24"/>
          <w:lang w:eastAsia="en-US"/>
        </w:rPr>
        <w:t>osigurati da doze za stanovništvo ne premaše generičke kriterije</w:t>
      </w:r>
      <w:r w:rsidRPr="002735B8">
        <w:rPr>
          <w:rFonts w:ascii="Times New Roman" w:eastAsia="SimSun" w:hAnsi="Times New Roman" w:cs="Times New Roman"/>
          <w:color w:val="auto"/>
          <w:sz w:val="24"/>
          <w:szCs w:val="24"/>
          <w:vertAlign w:val="superscript"/>
          <w:lang w:eastAsia="en-US"/>
        </w:rPr>
        <w:footnoteReference w:id="68"/>
      </w:r>
      <w:r w:rsidRPr="002735B8">
        <w:rPr>
          <w:rFonts w:ascii="Times New Roman" w:eastAsia="SimSun" w:hAnsi="Times New Roman" w:cs="Times New Roman"/>
          <w:color w:val="auto"/>
          <w:sz w:val="24"/>
          <w:szCs w:val="24"/>
          <w:lang w:eastAsia="en-US"/>
        </w:rPr>
        <w:t xml:space="preserve"> za primjenu mjera zaštite i reducirati ekonomske učinke izvanrednog događaja na način da se odmah po uočavanju stanja koje može rezultirati teškim oštećenjem goriva:</w:t>
      </w:r>
    </w:p>
    <w:p w14:paraId="564DB1FC" w14:textId="77777777" w:rsidR="002735B8" w:rsidRPr="002735B8" w:rsidRDefault="002735B8" w:rsidP="0014113B">
      <w:pPr>
        <w:numPr>
          <w:ilvl w:val="1"/>
          <w:numId w:val="11"/>
        </w:numPr>
        <w:spacing w:before="120" w:after="0" w:line="20" w:lineRule="atLeast"/>
        <w:ind w:right="0" w:hanging="357"/>
        <w:rPr>
          <w:rFonts w:ascii="Times New Roman" w:eastAsia="SimSun" w:hAnsi="Times New Roman" w:cs="Times New Roman"/>
          <w:color w:val="auto"/>
          <w:sz w:val="24"/>
          <w:szCs w:val="24"/>
          <w:lang w:eastAsia="en-US"/>
        </w:rPr>
      </w:pPr>
      <w:r w:rsidRPr="002735B8">
        <w:rPr>
          <w:rFonts w:ascii="Times New Roman" w:eastAsia="SimSun" w:hAnsi="Times New Roman" w:cs="Times New Roman"/>
          <w:color w:val="auto"/>
          <w:sz w:val="24"/>
          <w:szCs w:val="24"/>
          <w:lang w:eastAsia="en-US"/>
        </w:rPr>
        <w:t>poduzmu mjere za zaštitu stanovništva koje se nalazi unutar narančaste zone i</w:t>
      </w:r>
    </w:p>
    <w:p w14:paraId="7DB1FE50" w14:textId="77777777" w:rsidR="002735B8" w:rsidRPr="002735B8" w:rsidRDefault="002735B8" w:rsidP="0014113B">
      <w:pPr>
        <w:numPr>
          <w:ilvl w:val="1"/>
          <w:numId w:val="11"/>
        </w:numPr>
        <w:spacing w:before="120" w:after="0" w:line="20" w:lineRule="atLeast"/>
        <w:ind w:right="0" w:hanging="357"/>
        <w:rPr>
          <w:rFonts w:ascii="Times New Roman" w:eastAsia="SimSun" w:hAnsi="Times New Roman" w:cs="Times New Roman"/>
          <w:color w:val="auto"/>
          <w:sz w:val="24"/>
          <w:szCs w:val="24"/>
          <w:lang w:eastAsia="en-US"/>
        </w:rPr>
      </w:pPr>
      <w:r w:rsidRPr="002735B8">
        <w:rPr>
          <w:rFonts w:ascii="Times New Roman" w:eastAsia="SimSun" w:hAnsi="Times New Roman" w:cs="Times New Roman"/>
          <w:color w:val="auto"/>
          <w:sz w:val="24"/>
          <w:szCs w:val="24"/>
          <w:lang w:eastAsia="en-US"/>
        </w:rPr>
        <w:t xml:space="preserve">uvedu restrikcije u konzumaciji lokalno proizvedene ili prikupljene hrane koja nije neophodna za život unutar bijele zone, </w:t>
      </w:r>
    </w:p>
    <w:p w14:paraId="3076473D" w14:textId="77777777" w:rsidR="002735B8" w:rsidRPr="002735B8" w:rsidRDefault="002735B8" w:rsidP="0014113B">
      <w:pPr>
        <w:numPr>
          <w:ilvl w:val="0"/>
          <w:numId w:val="11"/>
        </w:numPr>
        <w:spacing w:before="120" w:after="0" w:line="20" w:lineRule="atLeast"/>
        <w:ind w:right="0" w:hanging="357"/>
        <w:rPr>
          <w:rFonts w:ascii="Times New Roman" w:eastAsia="SimSun" w:hAnsi="Times New Roman" w:cs="Times New Roman"/>
          <w:color w:val="auto"/>
          <w:sz w:val="24"/>
          <w:szCs w:val="24"/>
          <w:lang w:eastAsia="en-US"/>
        </w:rPr>
      </w:pPr>
      <w:r w:rsidRPr="002735B8">
        <w:rPr>
          <w:rFonts w:ascii="Times New Roman" w:eastAsia="SimSun" w:hAnsi="Times New Roman" w:cs="Times New Roman"/>
          <w:color w:val="auto"/>
          <w:sz w:val="24"/>
          <w:szCs w:val="24"/>
          <w:lang w:eastAsia="en-US"/>
        </w:rPr>
        <w:lastRenderedPageBreak/>
        <w:t>osigurati da doze za stanovništvo ne premaše generičke kriterije za primjenu mjera zaštite na način da se provedbom radioloških mjerenja unutar žute zone identificiraju mjesta na kojima je razina radioaktivne kontaminacije značajno viša od razine kontaminacije na okolnom području te da se, prema potrebi, provede evakuacija ili preseljenje,</w:t>
      </w:r>
    </w:p>
    <w:p w14:paraId="4497B285" w14:textId="77777777" w:rsidR="002735B8" w:rsidRPr="002735B8" w:rsidRDefault="002735B8" w:rsidP="0014113B">
      <w:pPr>
        <w:numPr>
          <w:ilvl w:val="0"/>
          <w:numId w:val="11"/>
        </w:numPr>
        <w:spacing w:before="120" w:after="0" w:line="20" w:lineRule="atLeast"/>
        <w:ind w:right="0" w:hanging="357"/>
        <w:rPr>
          <w:rFonts w:ascii="Times New Roman" w:eastAsia="SimSun" w:hAnsi="Times New Roman" w:cs="Times New Roman"/>
          <w:color w:val="auto"/>
          <w:sz w:val="24"/>
          <w:szCs w:val="24"/>
          <w:lang w:eastAsia="en-US"/>
        </w:rPr>
      </w:pPr>
      <w:r w:rsidRPr="002735B8">
        <w:rPr>
          <w:rFonts w:ascii="Times New Roman" w:eastAsia="SimSun" w:hAnsi="Times New Roman" w:cs="Times New Roman"/>
          <w:color w:val="auto"/>
          <w:sz w:val="24"/>
          <w:szCs w:val="24"/>
          <w:lang w:eastAsia="en-US"/>
        </w:rPr>
        <w:t>spriječiti ili umanjiti psihološke, ekonomske i sociološke učinke razumljivim informiranjem u slučajevima kada nema opasnosti niti potrebe za poduzimanjem mjera zaštite, odgovarajućim pojašnjenjem rizika za ljudsko zdravlje, brzim odgovaranjem na postavljena pitanja i osiguranjem primjene relevantnih međunarodnih standarda i uvođenjem stroge kontrole za sva dobra namijenjena izvozu i</w:t>
      </w:r>
    </w:p>
    <w:p w14:paraId="0AA87D79" w14:textId="77777777" w:rsidR="002735B8" w:rsidRPr="002735B8" w:rsidRDefault="002735B8" w:rsidP="0014113B">
      <w:pPr>
        <w:numPr>
          <w:ilvl w:val="0"/>
          <w:numId w:val="11"/>
        </w:numPr>
        <w:spacing w:before="120" w:after="0" w:line="20" w:lineRule="atLeast"/>
        <w:ind w:right="0" w:hanging="357"/>
        <w:rPr>
          <w:rFonts w:ascii="Times New Roman" w:eastAsia="SimSun" w:hAnsi="Times New Roman" w:cs="Times New Roman"/>
          <w:color w:val="auto"/>
          <w:sz w:val="24"/>
          <w:szCs w:val="24"/>
          <w:lang w:eastAsia="en-US"/>
        </w:rPr>
      </w:pPr>
      <w:r w:rsidRPr="002735B8">
        <w:rPr>
          <w:rFonts w:ascii="Times New Roman" w:eastAsia="SimSun" w:hAnsi="Times New Roman" w:cs="Times New Roman"/>
          <w:color w:val="auto"/>
          <w:sz w:val="24"/>
          <w:szCs w:val="24"/>
          <w:lang w:eastAsia="en-US"/>
        </w:rPr>
        <w:t>osigurati da doze za sudionike u odgovoru ne premaše postavljena ograničenja.</w:t>
      </w:r>
    </w:p>
    <w:p w14:paraId="7CE246AC" w14:textId="77777777" w:rsidR="002735B8" w:rsidRPr="002735B8" w:rsidRDefault="002735B8" w:rsidP="002735B8">
      <w:pPr>
        <w:spacing w:after="0" w:line="240" w:lineRule="auto"/>
        <w:ind w:left="0" w:right="0" w:firstLine="0"/>
        <w:rPr>
          <w:rFonts w:ascii="Times New Roman" w:hAnsi="Times New Roman" w:cs="Times New Roman"/>
          <w:i/>
          <w:sz w:val="24"/>
          <w:szCs w:val="24"/>
        </w:rPr>
      </w:pPr>
    </w:p>
    <w:p w14:paraId="0FBE2BC6" w14:textId="089F19FF" w:rsidR="002735B8" w:rsidRPr="00EB571E" w:rsidRDefault="00EB571E" w:rsidP="002735B8">
      <w:pPr>
        <w:spacing w:after="0" w:line="240" w:lineRule="auto"/>
        <w:ind w:left="0" w:right="0" w:firstLine="0"/>
        <w:jc w:val="center"/>
        <w:rPr>
          <w:rFonts w:ascii="Times New Roman" w:hAnsi="Times New Roman" w:cs="Times New Roman"/>
          <w:b/>
          <w:color w:val="auto"/>
          <w:sz w:val="24"/>
          <w:szCs w:val="24"/>
        </w:rPr>
      </w:pPr>
      <w:r w:rsidRPr="00EB571E">
        <w:rPr>
          <w:rFonts w:ascii="Times New Roman" w:hAnsi="Times New Roman" w:cs="Times New Roman"/>
          <w:b/>
          <w:color w:val="auto"/>
          <w:sz w:val="24"/>
          <w:szCs w:val="24"/>
        </w:rPr>
        <w:t>Slika 21</w:t>
      </w:r>
      <w:r w:rsidR="002735B8" w:rsidRPr="00EB571E">
        <w:rPr>
          <w:rFonts w:ascii="Times New Roman" w:hAnsi="Times New Roman" w:cs="Times New Roman"/>
          <w:b/>
          <w:color w:val="auto"/>
          <w:sz w:val="24"/>
          <w:szCs w:val="24"/>
        </w:rPr>
        <w:t>. Proširena zona (žuta zona) oko Nuklearne elektrane Krško</w:t>
      </w:r>
    </w:p>
    <w:p w14:paraId="0DA20501" w14:textId="77777777" w:rsidR="002735B8" w:rsidRPr="002735B8" w:rsidRDefault="002735B8" w:rsidP="002735B8">
      <w:pPr>
        <w:spacing w:after="0" w:line="240" w:lineRule="auto"/>
        <w:ind w:left="0" w:right="0" w:firstLine="0"/>
        <w:jc w:val="center"/>
      </w:pPr>
      <w:r w:rsidRPr="002735B8">
        <w:rPr>
          <w:noProof/>
        </w:rPr>
        <w:drawing>
          <wp:inline distT="0" distB="0" distL="0" distR="0" wp14:anchorId="3A54219E" wp14:editId="489A83DD">
            <wp:extent cx="3620770" cy="2400300"/>
            <wp:effectExtent l="0" t="0" r="0" b="0"/>
            <wp:docPr id="52264" name="Picture 5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9549" t="650" r="5663" b="13824"/>
                    <a:stretch/>
                  </pic:blipFill>
                  <pic:spPr bwMode="auto">
                    <a:xfrm>
                      <a:off x="0" y="0"/>
                      <a:ext cx="3667474" cy="2431261"/>
                    </a:xfrm>
                    <a:prstGeom prst="rect">
                      <a:avLst/>
                    </a:prstGeom>
                    <a:noFill/>
                    <a:ln>
                      <a:noFill/>
                    </a:ln>
                    <a:extLst>
                      <a:ext uri="{53640926-AAD7-44D8-BBD7-CCE9431645EC}">
                        <a14:shadowObscured xmlns:a14="http://schemas.microsoft.com/office/drawing/2010/main"/>
                      </a:ext>
                    </a:extLst>
                  </pic:spPr>
                </pic:pic>
              </a:graphicData>
            </a:graphic>
          </wp:inline>
        </w:drawing>
      </w:r>
    </w:p>
    <w:p w14:paraId="1BA6A213" w14:textId="77777777" w:rsidR="002735B8" w:rsidRPr="0018095B" w:rsidRDefault="002735B8" w:rsidP="002735B8">
      <w:pPr>
        <w:spacing w:after="0" w:line="240" w:lineRule="auto"/>
        <w:ind w:left="0" w:right="0" w:firstLine="0"/>
        <w:jc w:val="center"/>
        <w:rPr>
          <w:rFonts w:ascii="Times New Roman" w:hAnsi="Times New Roman" w:cs="Times New Roman"/>
          <w:i/>
          <w:sz w:val="20"/>
          <w:szCs w:val="20"/>
        </w:rPr>
      </w:pPr>
      <w:r w:rsidRPr="0018095B">
        <w:rPr>
          <w:rFonts w:ascii="Times New Roman" w:hAnsi="Times New Roman" w:cs="Times New Roman"/>
          <w:i/>
          <w:sz w:val="20"/>
          <w:szCs w:val="20"/>
        </w:rPr>
        <w:t>Izvor: Procjena nuklearne i radiološke opasnosti za Republiku Hrvatsku</w:t>
      </w:r>
    </w:p>
    <w:p w14:paraId="050EC875" w14:textId="77777777" w:rsidR="0018095B" w:rsidRDefault="0018095B" w:rsidP="002735B8">
      <w:pPr>
        <w:spacing w:after="0" w:line="240" w:lineRule="auto"/>
        <w:ind w:left="0" w:right="0" w:firstLine="0"/>
        <w:rPr>
          <w:rFonts w:ascii="Times New Roman" w:hAnsi="Times New Roman" w:cs="Times New Roman"/>
          <w:sz w:val="24"/>
          <w:szCs w:val="24"/>
        </w:rPr>
      </w:pPr>
    </w:p>
    <w:p w14:paraId="62A47AE8" w14:textId="1C04F3EF"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Planske zone/udaljenosti su pokazatelj razine pripravnosti za poduzimanje mjera zaštite i drugih mjera i ne upućuju izravno na postupanje u slučaju izvanrednog događaja. Ukaže li se tijekom odgovora na izvanredni događaj potreba, mjere će se poduzeti i izvan planskih zona/udaljenosti (uz uvažavanje principa opravdanosti i optimizacije). S druge strane, mjere mogu biti nužne samo u određenim dijelovima planskih zona/udaljenosti. Posebne analize rađene za nuklearnu elektranu Krško pokazuju da u većini nesreća neće biti potrebne hitne mjere zaštite na udaljenosti većoj od 3 km. Međutim, postoji grupa mogućih ispuštanja nakon nesreće navedenih u dokumentu </w:t>
      </w:r>
      <w:r w:rsidRPr="002735B8">
        <w:rPr>
          <w:rFonts w:ascii="Times New Roman" w:hAnsi="Times New Roman" w:cs="Times New Roman"/>
          <w:i/>
          <w:sz w:val="24"/>
          <w:szCs w:val="24"/>
        </w:rPr>
        <w:t>NEK Source Term Recalculation</w:t>
      </w:r>
      <w:r w:rsidRPr="002735B8">
        <w:rPr>
          <w:rFonts w:ascii="Times New Roman" w:hAnsi="Times New Roman" w:cs="Times New Roman"/>
          <w:sz w:val="24"/>
          <w:szCs w:val="24"/>
          <w:vertAlign w:val="superscript"/>
        </w:rPr>
        <w:footnoteReference w:id="69"/>
      </w:r>
      <w:r w:rsidRPr="002735B8">
        <w:rPr>
          <w:rFonts w:ascii="Times New Roman" w:hAnsi="Times New Roman" w:cs="Times New Roman"/>
          <w:sz w:val="24"/>
          <w:szCs w:val="24"/>
        </w:rPr>
        <w:t xml:space="preserve"> (gubitak integriteta zaštitne zgrade tijekom nesreće, rano propuštanje zaštitne zgrade nakon nesreće, zaobilaženje zaštitne zgrade) čija je zajednička vjerojatnost veća od 10-6/god, u slučaju čijeg nastanka bi bilo neophodno poduzimati hitne mjere zaštite na udaljenosti većoj od 3 km, a u slučaju izuzetno nepovoljnih vremenskih uvjeta i do 100 km od elektrane</w:t>
      </w:r>
      <w:r w:rsidRPr="002735B8">
        <w:rPr>
          <w:rFonts w:ascii="Times New Roman" w:hAnsi="Times New Roman" w:cs="Times New Roman"/>
          <w:sz w:val="24"/>
          <w:szCs w:val="24"/>
          <w:vertAlign w:val="superscript"/>
        </w:rPr>
        <w:footnoteReference w:id="70"/>
      </w:r>
      <w:r w:rsidRPr="002735B8">
        <w:rPr>
          <w:rFonts w:ascii="Times New Roman" w:hAnsi="Times New Roman" w:cs="Times New Roman"/>
          <w:sz w:val="24"/>
          <w:szCs w:val="24"/>
        </w:rPr>
        <w:t>.</w:t>
      </w:r>
    </w:p>
    <w:p w14:paraId="5B0C0579" w14:textId="77777777" w:rsidR="002735B8" w:rsidRPr="002735B8" w:rsidRDefault="002735B8" w:rsidP="002735B8">
      <w:pPr>
        <w:spacing w:after="0" w:line="240" w:lineRule="auto"/>
        <w:ind w:left="0" w:right="0" w:firstLine="0"/>
        <w:rPr>
          <w:rFonts w:ascii="Times New Roman" w:hAnsi="Times New Roman" w:cs="Times New Roman"/>
          <w:sz w:val="24"/>
          <w:szCs w:val="24"/>
          <w:u w:val="single"/>
        </w:rPr>
      </w:pPr>
    </w:p>
    <w:p w14:paraId="773AE213" w14:textId="77777777" w:rsidR="002735B8" w:rsidRPr="002735B8" w:rsidRDefault="002735B8" w:rsidP="003B5FD1">
      <w:pPr>
        <w:spacing w:after="0" w:line="259" w:lineRule="auto"/>
        <w:ind w:left="0" w:right="0" w:firstLine="709"/>
        <w:jc w:val="left"/>
        <w:rPr>
          <w:rFonts w:ascii="Times New Roman" w:eastAsia="Calibri" w:hAnsi="Times New Roman" w:cs="Times New Roman"/>
          <w:color w:val="auto"/>
          <w:sz w:val="24"/>
          <w:szCs w:val="24"/>
          <w:u w:val="single"/>
          <w:lang w:eastAsia="en-US"/>
        </w:rPr>
      </w:pPr>
      <w:r w:rsidRPr="002735B8">
        <w:rPr>
          <w:rFonts w:ascii="Times New Roman" w:eastAsia="Calibri" w:hAnsi="Times New Roman" w:cs="Times New Roman"/>
          <w:color w:val="auto"/>
          <w:sz w:val="24"/>
          <w:szCs w:val="24"/>
          <w:u w:val="single"/>
          <w:lang w:eastAsia="en-US"/>
        </w:rPr>
        <w:t>Studija prekograničnog utjecaja velike nesreće u NE Krško</w:t>
      </w:r>
    </w:p>
    <w:p w14:paraId="28FFDB0E" w14:textId="77777777" w:rsidR="002735B8" w:rsidRPr="002735B8" w:rsidRDefault="002735B8" w:rsidP="00C207B1">
      <w:pPr>
        <w:spacing w:after="0" w:line="240" w:lineRule="auto"/>
        <w:ind w:left="0" w:right="0" w:firstLine="709"/>
        <w:rPr>
          <w:rFonts w:ascii="Times New Roman" w:eastAsia="Calibri" w:hAnsi="Times New Roman" w:cs="Times New Roman"/>
          <w:color w:val="auto"/>
          <w:sz w:val="24"/>
          <w:szCs w:val="24"/>
          <w:lang w:eastAsia="en-US"/>
        </w:rPr>
      </w:pPr>
      <w:r w:rsidRPr="002735B8">
        <w:rPr>
          <w:rFonts w:ascii="Times New Roman" w:eastAsia="Calibri" w:hAnsi="Times New Roman" w:cs="Times New Roman"/>
          <w:color w:val="auto"/>
          <w:sz w:val="24"/>
          <w:szCs w:val="24"/>
          <w:lang w:eastAsia="en-US"/>
        </w:rPr>
        <w:t xml:space="preserve">Cilj studije prekograničnog utjecaja velike nesreće u NE Krško je pružiti informacije susjednim državama o eventualnim velikim prekograničnim utjecajima kako to zahtijeva Direktiva 2011/92/EU o procjeni učinaka određenih javnih i privatnih projekata na okoliš. </w:t>
      </w:r>
      <w:r w:rsidRPr="002735B8">
        <w:rPr>
          <w:rFonts w:ascii="Times New Roman" w:eastAsia="Calibri" w:hAnsi="Times New Roman" w:cs="Times New Roman"/>
          <w:color w:val="auto"/>
          <w:sz w:val="24"/>
          <w:szCs w:val="24"/>
          <w:lang w:eastAsia="en-US"/>
        </w:rPr>
        <w:lastRenderedPageBreak/>
        <w:t>Studija je objavljena 10. siječnja 2022. godine</w:t>
      </w:r>
      <w:r w:rsidRPr="002735B8">
        <w:rPr>
          <w:rFonts w:ascii="Times New Roman" w:eastAsia="Calibri" w:hAnsi="Times New Roman" w:cs="Times New Roman"/>
          <w:color w:val="auto"/>
          <w:sz w:val="24"/>
          <w:szCs w:val="24"/>
          <w:vertAlign w:val="superscript"/>
          <w:lang w:eastAsia="en-US"/>
        </w:rPr>
        <w:footnoteReference w:id="71"/>
      </w:r>
      <w:r w:rsidRPr="002735B8">
        <w:rPr>
          <w:rFonts w:ascii="Times New Roman" w:eastAsia="Calibri" w:hAnsi="Times New Roman" w:cs="Times New Roman"/>
          <w:color w:val="auto"/>
          <w:sz w:val="24"/>
          <w:szCs w:val="24"/>
          <w:lang w:eastAsia="en-US"/>
        </w:rPr>
        <w:t xml:space="preserve"> i prema rezultatima ni za jednu nesreću s vrijednosti pojavljivanja jednom u milijun godina ili češće nije vjerojatno prekoračenje intervencijskih razina na teritoriju Republike Hrvatske (50 mSv u 7 dana za štitnjaču ili brzine doze veće od 100 mSv/god, što je granica za većinu ostalih zaštitnih mjera).</w:t>
      </w:r>
    </w:p>
    <w:p w14:paraId="3D566E39" w14:textId="77777777" w:rsidR="00C207B1" w:rsidRDefault="002735B8" w:rsidP="00C207B1">
      <w:pPr>
        <w:spacing w:after="0" w:line="240" w:lineRule="auto"/>
        <w:ind w:left="0" w:right="0" w:firstLine="709"/>
        <w:rPr>
          <w:rFonts w:ascii="Times New Roman" w:eastAsia="Calibri" w:hAnsi="Times New Roman" w:cs="Times New Roman"/>
          <w:color w:val="auto"/>
          <w:sz w:val="24"/>
          <w:szCs w:val="24"/>
          <w:lang w:eastAsia="en-US"/>
        </w:rPr>
      </w:pPr>
      <w:r w:rsidRPr="002735B8">
        <w:rPr>
          <w:rFonts w:ascii="Times New Roman" w:eastAsia="Calibri" w:hAnsi="Times New Roman" w:cs="Times New Roman"/>
          <w:color w:val="auto"/>
          <w:sz w:val="24"/>
          <w:szCs w:val="24"/>
          <w:lang w:eastAsia="en-US"/>
        </w:rPr>
        <w:t>Iz studije navodimo najbitnije podatke o sigurnosnim uvjetima, sigurnosnim barijerama koje sprječavaju ispuštanje radioaktivnih tvari u okoliš, kratke opise analiziranih scenarija u slučaju nuklearne nesreće i rezultate izračuna doza.</w:t>
      </w:r>
    </w:p>
    <w:p w14:paraId="1F2554EA" w14:textId="6531AA12" w:rsidR="002735B8" w:rsidRPr="002735B8" w:rsidRDefault="002735B8" w:rsidP="00C207B1">
      <w:pPr>
        <w:spacing w:after="160" w:line="240" w:lineRule="auto"/>
        <w:ind w:left="0" w:right="0" w:firstLine="709"/>
        <w:rPr>
          <w:rFonts w:ascii="Times New Roman" w:eastAsia="Calibri" w:hAnsi="Times New Roman" w:cs="Times New Roman"/>
          <w:color w:val="auto"/>
          <w:sz w:val="24"/>
          <w:szCs w:val="24"/>
          <w:lang w:eastAsia="en-US"/>
        </w:rPr>
      </w:pPr>
      <w:r w:rsidRPr="002735B8">
        <w:rPr>
          <w:rFonts w:ascii="Times New Roman" w:eastAsia="Calibri" w:hAnsi="Times New Roman" w:cs="Times New Roman"/>
          <w:color w:val="auto"/>
          <w:sz w:val="24"/>
          <w:szCs w:val="24"/>
          <w:lang w:eastAsia="en-US"/>
        </w:rPr>
        <w:t>Nuklearna elektrana je u sigurnom stanju ako su u svakom trenutku ispunjena tri osnovna sigurnosna uvjeta:</w:t>
      </w:r>
    </w:p>
    <w:p w14:paraId="763755F8" w14:textId="77777777" w:rsidR="002735B8" w:rsidRPr="002735B8" w:rsidRDefault="002735B8" w:rsidP="002735B8">
      <w:pPr>
        <w:spacing w:after="160" w:line="240" w:lineRule="auto"/>
        <w:ind w:left="0" w:right="0" w:firstLine="0"/>
        <w:rPr>
          <w:rFonts w:ascii="Times New Roman" w:eastAsia="Calibri" w:hAnsi="Times New Roman" w:cs="Times New Roman"/>
          <w:color w:val="auto"/>
          <w:sz w:val="24"/>
          <w:szCs w:val="24"/>
          <w:lang w:eastAsia="en-US"/>
        </w:rPr>
      </w:pPr>
      <w:r w:rsidRPr="002735B8">
        <w:rPr>
          <w:rFonts w:ascii="Times New Roman" w:eastAsia="Calibri" w:hAnsi="Times New Roman" w:cs="Times New Roman"/>
          <w:color w:val="auto"/>
          <w:sz w:val="24"/>
          <w:szCs w:val="24"/>
          <w:lang w:eastAsia="en-US"/>
        </w:rPr>
        <w:t>1. učinkovita kontrola reaktivnosti (kontrola snage reaktora),</w:t>
      </w:r>
    </w:p>
    <w:p w14:paraId="43E9F771" w14:textId="77777777" w:rsidR="002735B8" w:rsidRPr="002735B8" w:rsidRDefault="002735B8" w:rsidP="002735B8">
      <w:pPr>
        <w:spacing w:after="160" w:line="240" w:lineRule="auto"/>
        <w:ind w:left="0" w:right="0" w:firstLine="0"/>
        <w:rPr>
          <w:rFonts w:ascii="Times New Roman" w:eastAsia="Calibri" w:hAnsi="Times New Roman" w:cs="Times New Roman"/>
          <w:color w:val="auto"/>
          <w:sz w:val="24"/>
          <w:szCs w:val="24"/>
          <w:lang w:eastAsia="en-US"/>
        </w:rPr>
      </w:pPr>
      <w:r w:rsidRPr="002735B8">
        <w:rPr>
          <w:rFonts w:ascii="Times New Roman" w:eastAsia="Calibri" w:hAnsi="Times New Roman" w:cs="Times New Roman"/>
          <w:color w:val="auto"/>
          <w:sz w:val="24"/>
          <w:szCs w:val="24"/>
          <w:lang w:eastAsia="en-US"/>
        </w:rPr>
        <w:t>2. hlađenje nuklearnog goriva u reaktoru, bazenu istrošenog goriva i u suhom skladištu istrošenog goriva,</w:t>
      </w:r>
    </w:p>
    <w:p w14:paraId="01C676B5" w14:textId="77777777" w:rsidR="002735B8" w:rsidRPr="002735B8" w:rsidRDefault="002735B8" w:rsidP="002735B8">
      <w:pPr>
        <w:spacing w:after="160" w:line="240" w:lineRule="auto"/>
        <w:ind w:left="0" w:right="0" w:firstLine="0"/>
        <w:rPr>
          <w:rFonts w:ascii="Times New Roman" w:eastAsia="Calibri" w:hAnsi="Times New Roman" w:cs="Times New Roman"/>
          <w:color w:val="auto"/>
          <w:sz w:val="24"/>
          <w:szCs w:val="24"/>
          <w:lang w:eastAsia="en-US"/>
        </w:rPr>
      </w:pPr>
      <w:r w:rsidRPr="002735B8">
        <w:rPr>
          <w:rFonts w:ascii="Times New Roman" w:eastAsia="Calibri" w:hAnsi="Times New Roman" w:cs="Times New Roman"/>
          <w:color w:val="auto"/>
          <w:sz w:val="24"/>
          <w:szCs w:val="24"/>
          <w:lang w:eastAsia="en-US"/>
        </w:rPr>
        <w:t>3. zadržavanje radioaktivnih tvari (onemogućeno ispuštanje radioaktivnih tvari u okoliš).</w:t>
      </w:r>
    </w:p>
    <w:p w14:paraId="35C4AA43" w14:textId="77777777" w:rsidR="002735B8" w:rsidRPr="002735B8" w:rsidRDefault="002735B8" w:rsidP="002735B8">
      <w:pPr>
        <w:spacing w:after="160" w:line="240" w:lineRule="auto"/>
        <w:ind w:left="0" w:right="0" w:firstLine="0"/>
        <w:rPr>
          <w:rFonts w:ascii="Times New Roman" w:eastAsia="Calibri" w:hAnsi="Times New Roman" w:cs="Times New Roman"/>
          <w:color w:val="auto"/>
          <w:sz w:val="24"/>
          <w:szCs w:val="24"/>
          <w:lang w:eastAsia="en-US"/>
        </w:rPr>
      </w:pPr>
      <w:r w:rsidRPr="002735B8">
        <w:rPr>
          <w:rFonts w:ascii="Times New Roman" w:eastAsia="Calibri" w:hAnsi="Times New Roman" w:cs="Times New Roman"/>
          <w:color w:val="auto"/>
          <w:sz w:val="24"/>
          <w:szCs w:val="24"/>
          <w:lang w:eastAsia="en-US"/>
        </w:rPr>
        <w:t>Ispuštanje radioaktivnih tvari u okoliš sprječavaju 4 uzastopne sigurnosne barijere:</w:t>
      </w:r>
    </w:p>
    <w:p w14:paraId="54C4A222" w14:textId="77777777" w:rsidR="002735B8" w:rsidRPr="002735B8" w:rsidRDefault="002735B8" w:rsidP="002735B8">
      <w:pPr>
        <w:spacing w:after="160" w:line="240" w:lineRule="auto"/>
        <w:ind w:left="0" w:right="0" w:firstLine="0"/>
        <w:rPr>
          <w:rFonts w:ascii="Times New Roman" w:eastAsia="Calibri" w:hAnsi="Times New Roman" w:cs="Times New Roman"/>
          <w:color w:val="auto"/>
          <w:sz w:val="24"/>
          <w:szCs w:val="24"/>
          <w:lang w:eastAsia="en-US"/>
        </w:rPr>
      </w:pPr>
      <w:r w:rsidRPr="002735B8">
        <w:rPr>
          <w:rFonts w:ascii="Times New Roman" w:eastAsia="Calibri" w:hAnsi="Times New Roman" w:cs="Times New Roman"/>
          <w:color w:val="auto"/>
          <w:sz w:val="24"/>
          <w:szCs w:val="24"/>
          <w:lang w:eastAsia="en-US"/>
        </w:rPr>
        <w:t>1. Prva barijera je nuklearno gorivo (tablete nuklearnog goriva) koje zadržava radioaktivne tvari u sebi.</w:t>
      </w:r>
    </w:p>
    <w:p w14:paraId="168CE25F" w14:textId="77777777" w:rsidR="002735B8" w:rsidRPr="002735B8" w:rsidRDefault="002735B8" w:rsidP="002735B8">
      <w:pPr>
        <w:spacing w:after="0" w:line="240" w:lineRule="auto"/>
        <w:ind w:left="0" w:right="0" w:firstLine="0"/>
        <w:rPr>
          <w:rFonts w:ascii="Times New Roman" w:eastAsia="Calibri" w:hAnsi="Times New Roman" w:cs="Times New Roman"/>
          <w:color w:val="auto"/>
          <w:sz w:val="24"/>
          <w:szCs w:val="24"/>
          <w:lang w:eastAsia="en-US"/>
        </w:rPr>
      </w:pPr>
      <w:r w:rsidRPr="002735B8">
        <w:rPr>
          <w:rFonts w:ascii="Times New Roman" w:eastAsia="Calibri" w:hAnsi="Times New Roman" w:cs="Times New Roman"/>
          <w:color w:val="auto"/>
          <w:sz w:val="24"/>
          <w:szCs w:val="24"/>
          <w:lang w:eastAsia="en-US"/>
        </w:rPr>
        <w:t>2. Druga barijera je vodootporna košuljica koja okružuje gorivne tablete i sprječava izlazak radioaktivnih plinova iz goriva.</w:t>
      </w:r>
    </w:p>
    <w:p w14:paraId="35D51F31" w14:textId="77777777" w:rsidR="002735B8" w:rsidRPr="002735B8" w:rsidRDefault="002735B8" w:rsidP="002735B8">
      <w:pPr>
        <w:spacing w:after="0" w:line="240" w:lineRule="auto"/>
        <w:ind w:left="0" w:right="0" w:firstLine="0"/>
        <w:rPr>
          <w:rFonts w:ascii="Times New Roman" w:eastAsia="Calibri" w:hAnsi="Times New Roman" w:cs="Times New Roman"/>
          <w:color w:val="auto"/>
          <w:sz w:val="24"/>
          <w:szCs w:val="24"/>
          <w:lang w:eastAsia="en-US"/>
        </w:rPr>
      </w:pPr>
      <w:r w:rsidRPr="002735B8">
        <w:rPr>
          <w:rFonts w:ascii="Times New Roman" w:eastAsia="Calibri" w:hAnsi="Times New Roman" w:cs="Times New Roman"/>
          <w:color w:val="auto"/>
          <w:sz w:val="24"/>
          <w:szCs w:val="24"/>
          <w:lang w:eastAsia="en-US"/>
        </w:rPr>
        <w:t>3. Treća barijera je granica primarnog sustava (stijenke cijevi, reaktorske posude i druge primarne komponente) koja zadržava radioaktivnu vodu za hlađenje reaktora.</w:t>
      </w:r>
    </w:p>
    <w:p w14:paraId="4C1A7BFB" w14:textId="77777777" w:rsidR="002735B8" w:rsidRPr="002735B8" w:rsidRDefault="002735B8" w:rsidP="002735B8">
      <w:pPr>
        <w:spacing w:after="0" w:line="240" w:lineRule="auto"/>
        <w:ind w:left="0" w:right="0" w:firstLine="0"/>
        <w:rPr>
          <w:rFonts w:ascii="Times New Roman" w:eastAsia="Calibri" w:hAnsi="Times New Roman" w:cs="Times New Roman"/>
          <w:color w:val="auto"/>
          <w:sz w:val="24"/>
          <w:szCs w:val="24"/>
          <w:lang w:eastAsia="en-US"/>
        </w:rPr>
      </w:pPr>
      <w:r w:rsidRPr="002735B8">
        <w:rPr>
          <w:rFonts w:ascii="Times New Roman" w:eastAsia="Calibri" w:hAnsi="Times New Roman" w:cs="Times New Roman"/>
          <w:color w:val="auto"/>
          <w:sz w:val="24"/>
          <w:szCs w:val="24"/>
          <w:lang w:eastAsia="en-US"/>
        </w:rPr>
        <w:t>4. Četvrta barijera je zaštitna zgrada koja hermetički odvaja primarni sustav od okoliša.</w:t>
      </w:r>
    </w:p>
    <w:p w14:paraId="2F133C94" w14:textId="77777777" w:rsidR="002735B8" w:rsidRPr="002735B8" w:rsidRDefault="002735B8" w:rsidP="002735B8">
      <w:pPr>
        <w:spacing w:after="0" w:line="240" w:lineRule="auto"/>
        <w:ind w:left="0" w:right="0" w:firstLine="0"/>
        <w:rPr>
          <w:rFonts w:ascii="Times New Roman" w:eastAsia="Calibri" w:hAnsi="Times New Roman" w:cs="Times New Roman"/>
          <w:color w:val="auto"/>
          <w:sz w:val="24"/>
          <w:szCs w:val="24"/>
          <w:lang w:eastAsia="en-US"/>
        </w:rPr>
      </w:pPr>
      <w:r w:rsidRPr="002735B8">
        <w:rPr>
          <w:rFonts w:ascii="Times New Roman" w:eastAsia="Calibri" w:hAnsi="Times New Roman" w:cs="Times New Roman"/>
          <w:color w:val="auto"/>
          <w:sz w:val="24"/>
          <w:szCs w:val="24"/>
          <w:lang w:eastAsia="en-US"/>
        </w:rPr>
        <w:t>Osnovni cilj prvih triju barijera je spriječiti prolazak radioaktivnih tvari do sljedeće barijere, a četvrta barijera sprječava izravno ispuštanje radioaktivnih tvari u okoliš NE Krško.</w:t>
      </w:r>
    </w:p>
    <w:p w14:paraId="1007BEED" w14:textId="77777777" w:rsidR="002735B8" w:rsidRPr="002735B8" w:rsidRDefault="002735B8" w:rsidP="002735B8">
      <w:pPr>
        <w:spacing w:after="0" w:line="240" w:lineRule="auto"/>
        <w:ind w:left="0" w:right="0" w:firstLine="0"/>
        <w:rPr>
          <w:rFonts w:ascii="Times New Roman" w:eastAsia="Calibri" w:hAnsi="Times New Roman" w:cs="Times New Roman"/>
          <w:color w:val="auto"/>
          <w:sz w:val="24"/>
          <w:szCs w:val="24"/>
          <w:lang w:eastAsia="en-US"/>
        </w:rPr>
      </w:pPr>
      <w:r w:rsidRPr="002735B8">
        <w:rPr>
          <w:rFonts w:ascii="Times New Roman" w:eastAsia="Calibri" w:hAnsi="Times New Roman" w:cs="Times New Roman"/>
          <w:color w:val="auto"/>
          <w:sz w:val="24"/>
          <w:szCs w:val="24"/>
          <w:lang w:eastAsia="en-US"/>
        </w:rPr>
        <w:t xml:space="preserve">Kako je rad sigurnosnih sustava u slučaju kvara i otkazivanja ili vrlo malo vjerojatne nesreće u nuklearnoj elektrani od najveće važnosti, svi sigurnosni sustavi su duplicirani (nuklearna elektrana ima dvije linije sigurnosnih sustava). U radu elektrane početni događaj je svaki onaj koji može pokrenuti slijed događaja (scenarij) i izazvati neželjene posljedice. </w:t>
      </w:r>
    </w:p>
    <w:p w14:paraId="36EDF6C0" w14:textId="77777777" w:rsidR="002735B8" w:rsidRPr="002735B8" w:rsidRDefault="002735B8" w:rsidP="00C207B1">
      <w:pPr>
        <w:spacing w:after="0" w:line="240" w:lineRule="auto"/>
        <w:ind w:left="0" w:right="0" w:firstLine="709"/>
        <w:rPr>
          <w:rFonts w:ascii="Times New Roman" w:eastAsia="Calibri" w:hAnsi="Times New Roman" w:cs="Times New Roman"/>
          <w:color w:val="auto"/>
          <w:sz w:val="24"/>
          <w:szCs w:val="24"/>
          <w:lang w:eastAsia="en-US"/>
        </w:rPr>
      </w:pPr>
      <w:r w:rsidRPr="002735B8">
        <w:rPr>
          <w:rFonts w:ascii="Times New Roman" w:eastAsia="Calibri" w:hAnsi="Times New Roman" w:cs="Times New Roman"/>
          <w:color w:val="auto"/>
          <w:sz w:val="24"/>
          <w:szCs w:val="24"/>
          <w:lang w:eastAsia="en-US"/>
        </w:rPr>
        <w:t xml:space="preserve">U razred nuklearnih nesreća, osim projektnih nesreća, svrstavamo i proširene projektne nesreće i teške projektne nesreće. Proširena projektna nesreća je ona koja je uzrokovana proširenim projektnim događajima. Prošireni projektni događaj je događaj ili kombinacija događaja s iznimno malom vjerojatnošću i težim posljedicama od projektnih događaja odnosno uključuje više kvarova nego što se pretpostavlja u projektnoj osnovi nuklearnog objekta. Postoje dvije kategorije proširenih projektnih događaja: </w:t>
      </w:r>
    </w:p>
    <w:p w14:paraId="621FFDAA" w14:textId="77777777" w:rsidR="002735B8" w:rsidRPr="002735B8" w:rsidRDefault="002735B8" w:rsidP="002735B8">
      <w:pPr>
        <w:spacing w:after="0" w:line="240" w:lineRule="auto"/>
        <w:ind w:left="0" w:right="0" w:firstLine="0"/>
        <w:rPr>
          <w:rFonts w:ascii="Times New Roman" w:eastAsia="Calibri" w:hAnsi="Times New Roman" w:cs="Times New Roman"/>
          <w:color w:val="auto"/>
          <w:sz w:val="24"/>
          <w:szCs w:val="24"/>
          <w:lang w:eastAsia="en-US"/>
        </w:rPr>
      </w:pPr>
      <w:r w:rsidRPr="002735B8">
        <w:rPr>
          <w:rFonts w:ascii="Times New Roman" w:eastAsia="Calibri" w:hAnsi="Times New Roman" w:cs="Times New Roman"/>
          <w:color w:val="auto"/>
          <w:sz w:val="24"/>
          <w:szCs w:val="24"/>
          <w:lang w:eastAsia="en-US"/>
        </w:rPr>
        <w:t xml:space="preserve">- prošireni projektni događaji kategorije A kod kojih se može osigurati sprječavanje štete goriva u reaktoru ili skladištu s istrošenim gorivom i ne uzrokuju teške nuklearne nesreće; </w:t>
      </w:r>
    </w:p>
    <w:p w14:paraId="00533B67" w14:textId="77777777" w:rsidR="002735B8" w:rsidRPr="002735B8" w:rsidRDefault="002735B8" w:rsidP="002735B8">
      <w:pPr>
        <w:spacing w:after="0" w:line="240" w:lineRule="auto"/>
        <w:ind w:left="0" w:right="0" w:firstLine="0"/>
        <w:rPr>
          <w:rFonts w:ascii="Times New Roman" w:eastAsia="Calibri" w:hAnsi="Times New Roman" w:cs="Times New Roman"/>
          <w:color w:val="auto"/>
          <w:sz w:val="24"/>
          <w:szCs w:val="24"/>
          <w:lang w:eastAsia="en-US"/>
        </w:rPr>
      </w:pPr>
      <w:r w:rsidRPr="002735B8">
        <w:rPr>
          <w:rFonts w:ascii="Times New Roman" w:eastAsia="Calibri" w:hAnsi="Times New Roman" w:cs="Times New Roman"/>
          <w:color w:val="auto"/>
          <w:sz w:val="24"/>
          <w:szCs w:val="24"/>
          <w:lang w:eastAsia="en-US"/>
        </w:rPr>
        <w:t xml:space="preserve">- prošireni projektni događaji kategorije B za koje se očekuju teška oštećenja goriva koja su veća od projektne štete goriva. </w:t>
      </w:r>
    </w:p>
    <w:p w14:paraId="141A8D53" w14:textId="77777777" w:rsidR="002735B8" w:rsidRPr="002735B8" w:rsidRDefault="002735B8" w:rsidP="002735B8">
      <w:pPr>
        <w:spacing w:after="0" w:line="240" w:lineRule="auto"/>
        <w:ind w:left="0" w:right="0" w:firstLine="0"/>
        <w:rPr>
          <w:rFonts w:ascii="Times New Roman" w:eastAsia="Calibri" w:hAnsi="Times New Roman" w:cs="Times New Roman"/>
          <w:color w:val="auto"/>
          <w:sz w:val="24"/>
          <w:szCs w:val="24"/>
          <w:lang w:eastAsia="en-US"/>
        </w:rPr>
      </w:pPr>
      <w:r w:rsidRPr="002735B8">
        <w:rPr>
          <w:rFonts w:ascii="Times New Roman" w:eastAsia="Calibri" w:hAnsi="Times New Roman" w:cs="Times New Roman"/>
          <w:color w:val="auto"/>
          <w:sz w:val="24"/>
          <w:szCs w:val="24"/>
          <w:lang w:eastAsia="en-US"/>
        </w:rPr>
        <w:t xml:space="preserve">Teška nuklearna nesreća po svojim posljedicama premašuje proširenu projektnu nesreću kategorije A i dovodi do oštećenja/taljenja jezgre ili istrošenog goriva i ugrožava okoliš odnosno može uzrokovati zračenje ili kontaminaciju ljudi ili okoliša. Može se dogoditi zbog višestrukih kvarova, kao što je gubitak svih grana sigurnosnih sustava, ili zbog krajnje malo vjerojatnog događaja za koji elektrana nije projektirana. U studiji su prikazani rezultati izračuna </w:t>
      </w:r>
      <w:r w:rsidRPr="002735B8">
        <w:rPr>
          <w:rFonts w:ascii="Times New Roman" w:eastAsia="Calibri" w:hAnsi="Times New Roman" w:cs="Times New Roman"/>
          <w:color w:val="auto"/>
          <w:sz w:val="24"/>
          <w:szCs w:val="24"/>
          <w:lang w:eastAsia="en-US"/>
        </w:rPr>
        <w:lastRenderedPageBreak/>
        <w:t xml:space="preserve">doza na određenim udaljenostima u slučaju projektne nesreće ili proširene projektne nesreće u Nuklearnoj elektrani Krško i monitoring u slučaju nesreće s emisijama u atmosferu. </w:t>
      </w:r>
    </w:p>
    <w:p w14:paraId="59AC77C1" w14:textId="77777777" w:rsidR="002735B8" w:rsidRPr="002735B8" w:rsidRDefault="002735B8" w:rsidP="002735B8">
      <w:pPr>
        <w:spacing w:after="0" w:line="240" w:lineRule="auto"/>
        <w:ind w:left="0" w:right="0" w:firstLine="0"/>
        <w:rPr>
          <w:rFonts w:ascii="Times New Roman" w:eastAsia="Calibri" w:hAnsi="Times New Roman" w:cs="Times New Roman"/>
          <w:color w:val="auto"/>
          <w:sz w:val="24"/>
          <w:szCs w:val="24"/>
          <w:lang w:eastAsia="en-US"/>
        </w:rPr>
      </w:pPr>
      <w:r w:rsidRPr="002735B8">
        <w:rPr>
          <w:rFonts w:ascii="Times New Roman" w:eastAsia="Calibri" w:hAnsi="Times New Roman" w:cs="Times New Roman"/>
          <w:color w:val="auto"/>
          <w:sz w:val="24"/>
          <w:szCs w:val="24"/>
          <w:lang w:eastAsia="en-US"/>
        </w:rPr>
        <w:t>Za reprezentativnu projektnu nesreću, koja je najgora po predviđenim ispuštanjima i doznim opterećenjima djelatnika NE Krško i ljudi u neposrednoj blizini, odabrana je nesreća s gubitkom primarne rashladne tekućine, tzv. velika nesreća izlijevanja, što također u svojim pretpostavkama uključuje oštećenja goriva. Vjerojatnost proširene projektne nesreće za bazen s istrošenim gorivom (otkrivanja goriva u bazenu za istrošeno gorivo) vrlo je mala, odnosno zanemariva (oko 1E-9/godišnje). U sklopu sigurnosne nadogradnje, NE Krško je uz projektne sustave (uz dva postojeća potpuno redundantna) ugradio alternativni sustav hlađenja i alternativni sustav raspršivanja koji će se koristiti u slučaju gubitka projektnog sustava hlađenja ili gubitka rashladne tekućine/vode u bazenu za istrošeno gorivo. To je dodatno smanjilo ionako nisku vjerojatnost oštećenja goriva u bazenu za istrošeno gorivo.</w:t>
      </w:r>
    </w:p>
    <w:p w14:paraId="487AFDB6" w14:textId="77777777" w:rsidR="002735B8" w:rsidRPr="002735B8" w:rsidRDefault="002735B8" w:rsidP="002735B8">
      <w:pPr>
        <w:spacing w:after="0" w:line="240" w:lineRule="auto"/>
        <w:ind w:left="0" w:right="0" w:firstLine="0"/>
        <w:rPr>
          <w:rFonts w:ascii="Times New Roman" w:eastAsia="Calibri" w:hAnsi="Times New Roman" w:cs="Times New Roman"/>
          <w:color w:val="auto"/>
          <w:sz w:val="24"/>
          <w:szCs w:val="24"/>
          <w:lang w:eastAsia="en-US"/>
        </w:rPr>
      </w:pPr>
      <w:r w:rsidRPr="002735B8">
        <w:rPr>
          <w:rFonts w:ascii="Times New Roman" w:eastAsia="Calibri" w:hAnsi="Times New Roman" w:cs="Times New Roman"/>
          <w:color w:val="auto"/>
          <w:sz w:val="24"/>
          <w:szCs w:val="24"/>
          <w:lang w:eastAsia="en-US"/>
        </w:rPr>
        <w:t>Za reprezentativnu proširenu projektnu nesreću odabire se nesreća s gubitkom cjelokupnog napajanja izmjeničnom strujom i gubitkom pogonske posade za 24 sata. Godišnja vjerojatnost za potpuni gubitak izmjenične struje je 4,13E-07/god. Konzervativno, dodatno se pretpostavlja da prva 24 sata neće biti moguće uspostaviti opskrbu električnom energijom te da pogonsko osoblje neće poduzeti nikakve radnje. Scenarij pretpostavlja gubitak vanjskog napajanja, kvar sigurnosnih dizelskih generatora, otkazivanje ponovne uspostave napajanja i propuštanje brtvi reaktorske pumpe (RCP), što rezultira nesrećom izlijevanja. Istjecanje rashladne tekućine kroz RCP brtve manja je nesreća izlijevanja i zbog pretpostavljene nemogućnosti dopune dolazi do otkrivanja i zagrijavanja te oštećenja jezgre. Kao rezultat toga jezgra se topi, reaktorska posuda se topi i talina goriva se izlijeva u zaštitnu zgradu. Prilikom izlijevanja taline u zaštitnu zgradu odgađa se interakcija između betona i taline (MCCI – Molten Core Concrete Interaction), pri čemu se oslobađaju različiti plinovi i povećava tlak u zaštitnoj zgradi. Povećanje tlaka iznad 6 bara pokreće rad pasivnog filtarskog sustava za tlačno rasterećenje zaštitne zgrade. Taj sustav zadržava više od 99,9993 % čestica fisijskih produkata u filtrima u zaštitnoj zgradi, iznad 99,9997 % elementarnog joda i 93 % organskog joda na filtrima joda. U izračunu za elementarni jod rabi se konzervativno niži faktor dekontaminacije od 100 000. Međutim, u atmosferu se ispuštaju plemeniti plinovi koje ne zadržava filtarski sustav. Na taj je način osigurana zaštita granice tlaka zaštitne zgrade i potpuno je spriječena dugoročna kontaminacija okoliša. Na temelju rezultata za ispuštanje radioaktivnog inventara, rezultata izračuna za meteorološke uvjete (disperzijski faktori) izračunate su doze na određenim udaljenostima od NE Krško. Doze se izračunavaju i prikazuju za prizemni sloj.</w:t>
      </w:r>
    </w:p>
    <w:p w14:paraId="31640FED" w14:textId="77777777" w:rsidR="002735B8" w:rsidRPr="002735B8" w:rsidRDefault="002735B8" w:rsidP="002735B8">
      <w:pPr>
        <w:spacing w:after="0" w:line="240" w:lineRule="auto"/>
        <w:ind w:left="0" w:right="0" w:firstLine="0"/>
        <w:rPr>
          <w:rFonts w:ascii="Times New Roman" w:eastAsia="Calibri" w:hAnsi="Times New Roman" w:cs="Times New Roman"/>
          <w:color w:val="auto"/>
          <w:sz w:val="24"/>
          <w:szCs w:val="24"/>
          <w:lang w:eastAsia="en-US"/>
        </w:rPr>
      </w:pPr>
      <w:r w:rsidRPr="002735B8">
        <w:rPr>
          <w:rFonts w:ascii="Times New Roman" w:eastAsia="Calibri" w:hAnsi="Times New Roman" w:cs="Times New Roman"/>
          <w:color w:val="auto"/>
          <w:sz w:val="24"/>
          <w:szCs w:val="24"/>
          <w:lang w:eastAsia="en-US"/>
        </w:rPr>
        <w:t>Završni zaključci studije „</w:t>
      </w:r>
      <w:r w:rsidRPr="002735B8">
        <w:rPr>
          <w:rFonts w:ascii="Times New Roman" w:eastAsia="Calibri" w:hAnsi="Times New Roman" w:cs="Times New Roman"/>
          <w:i/>
          <w:color w:val="auto"/>
          <w:sz w:val="24"/>
          <w:szCs w:val="24"/>
          <w:lang w:eastAsia="en-US"/>
        </w:rPr>
        <w:t>Izračun doza na određenim udaljenostima u slučaju projektne nesreće (DB) ili proširene projektne nesreće (BDB) u Nuklearnoj elektrani Krško</w:t>
      </w:r>
      <w:r w:rsidRPr="002735B8">
        <w:rPr>
          <w:rFonts w:ascii="Times New Roman" w:eastAsia="Calibri" w:hAnsi="Times New Roman" w:cs="Times New Roman"/>
          <w:color w:val="auto"/>
          <w:sz w:val="24"/>
          <w:szCs w:val="24"/>
          <w:lang w:eastAsia="en-US"/>
        </w:rPr>
        <w:t xml:space="preserve">“, FER-MEIS, 2021. pokazuju da efektivna 30-dnevna doza za proširenu projektnu nesreću na udaljenosti od 10 km od elektrane iznosi 1,16 mSv i više je nego dvostruko niža od godišnje doze prirodnog pozadinskog zračenja koje u Sloveniji iznosi oko 2,5 mSv. Doza štitnjače (13,5 mSv) na udaljenosti od 3 km od NE Krško je ispod granice (50 mSv za 7 dana) koja je zakonom propisana za jodnu profilaksu. Na temelju izračuna vidljivo je i da se ne očekuje znatan utjecaj analiziranih nesreća izvan pojasa od 10 km oko elektrane. Iz toga također proizlazi da je efektivna 30-dnevna doza na granici sa Republikom Hrvatskom za najgore razmatranu nesreću niža od doze koju pojedinac primi iz prirodnih izvora zračenja u jednoj godini. Na temelju rezultata studije zaključeno je da u slučaju projektne nesreće gubitka hladila i proširene projektne nesreće, koje su ujedno najgori mogući scenarij za nesreće, neće biti znatnijeg prekograničnog utjecaja na okoliš, na zdravlje ljudi i imovinu. Sukladno studiji, u slučaju najgore nesreće u NE Krško, na području Republike Hrvatske nije potrebno provoditi nikakve mjere zaštite stanovništva (evakuacija, profilaksa stabilnim jodom), već isključivo primjenjivati mjere zaštite u poljoprivredi odnosno primjenjivati ograničenja u konzumaciji i distribuciji prehrambenih proizvoda i vode za piće. </w:t>
      </w:r>
    </w:p>
    <w:p w14:paraId="66C3C4A5" w14:textId="7633071D" w:rsidR="002735B8" w:rsidRPr="002735B8" w:rsidRDefault="002735B8" w:rsidP="00C207B1">
      <w:pPr>
        <w:spacing w:after="0" w:line="240" w:lineRule="auto"/>
        <w:ind w:left="0" w:right="0" w:firstLine="709"/>
        <w:rPr>
          <w:rFonts w:ascii="Times New Roman" w:eastAsia="Calibri" w:hAnsi="Times New Roman" w:cs="Times New Roman"/>
          <w:color w:val="auto"/>
          <w:sz w:val="24"/>
          <w:szCs w:val="24"/>
          <w:lang w:eastAsia="en-US"/>
        </w:rPr>
      </w:pPr>
      <w:r w:rsidRPr="002735B8">
        <w:rPr>
          <w:rFonts w:ascii="Times New Roman" w:eastAsia="Calibri" w:hAnsi="Times New Roman" w:cs="Times New Roman"/>
          <w:color w:val="auto"/>
          <w:sz w:val="24"/>
          <w:szCs w:val="24"/>
          <w:lang w:eastAsia="en-US"/>
        </w:rPr>
        <w:lastRenderedPageBreak/>
        <w:t xml:space="preserve">Budući da </w:t>
      </w:r>
      <w:r w:rsidRPr="002735B8">
        <w:rPr>
          <w:rFonts w:ascii="Times New Roman" w:eastAsia="Calibri" w:hAnsi="Times New Roman" w:cs="Times New Roman"/>
          <w:i/>
          <w:color w:val="auto"/>
          <w:sz w:val="24"/>
          <w:szCs w:val="24"/>
          <w:lang w:eastAsia="en-US"/>
        </w:rPr>
        <w:t>Plan pripravnosti i odgovora Republike Hrvatske na radiološki ili nuklearni izvanredni događaj</w:t>
      </w:r>
      <w:r w:rsidRPr="002735B8">
        <w:rPr>
          <w:rFonts w:ascii="Times New Roman" w:eastAsia="Calibri" w:hAnsi="Times New Roman" w:cs="Times New Roman"/>
          <w:color w:val="auto"/>
          <w:sz w:val="24"/>
          <w:szCs w:val="24"/>
          <w:lang w:eastAsia="en-US"/>
        </w:rPr>
        <w:t xml:space="preserve"> kojega je Vlada RH donijela na sjednici održanoj 17. veljače 2022. godine propisuje da se područje Grada Zagreba nalazi u žutoj proširenoj zoni u kojoj se provodi evakuacija stanovništva u slučaju postojanja hot-spot zona, te se u istom Planu pod potencijalno ugroženim stanovništvom smatraju i stanovnici na području Grada Zagreba, a Procjena rizika od velikih nesreća mora biti usklađena s državnim planovima više razine, rezultati najnovije studije su objavljeni samo informativno, a scenarij će biti razvijan i usklađen sa postojećim planovima državne razine. </w:t>
      </w:r>
    </w:p>
    <w:p w14:paraId="7F5BEE11" w14:textId="77777777" w:rsidR="002735B8" w:rsidRPr="002735B8" w:rsidRDefault="002735B8" w:rsidP="002735B8">
      <w:pPr>
        <w:spacing w:after="0" w:line="240" w:lineRule="auto"/>
        <w:ind w:left="0" w:right="0" w:firstLine="0"/>
        <w:rPr>
          <w:rFonts w:ascii="Times New Roman" w:eastAsia="Calibri" w:hAnsi="Times New Roman" w:cs="Times New Roman"/>
          <w:color w:val="auto"/>
          <w:sz w:val="24"/>
          <w:szCs w:val="24"/>
          <w:lang w:eastAsia="en-US"/>
        </w:rPr>
      </w:pPr>
    </w:p>
    <w:p w14:paraId="04C8F33F" w14:textId="39673E0D" w:rsidR="002735B8" w:rsidRDefault="002735B8" w:rsidP="00C70C9F">
      <w:pPr>
        <w:spacing w:after="0" w:line="240" w:lineRule="auto"/>
        <w:ind w:left="0" w:right="0" w:firstLine="709"/>
        <w:rPr>
          <w:rFonts w:ascii="Times New Roman" w:hAnsi="Times New Roman" w:cs="Times New Roman"/>
          <w:sz w:val="24"/>
          <w:szCs w:val="24"/>
          <w:u w:val="single"/>
        </w:rPr>
      </w:pPr>
      <w:r w:rsidRPr="002735B8">
        <w:rPr>
          <w:rFonts w:ascii="Times New Roman" w:hAnsi="Times New Roman" w:cs="Times New Roman"/>
          <w:sz w:val="24"/>
          <w:szCs w:val="24"/>
          <w:u w:val="single"/>
        </w:rPr>
        <w:t>Zaključak</w:t>
      </w:r>
    </w:p>
    <w:p w14:paraId="2C286F1C" w14:textId="77777777" w:rsidR="002735B8" w:rsidRPr="002735B8" w:rsidRDefault="002735B8" w:rsidP="00C207B1">
      <w:pPr>
        <w:spacing w:after="0" w:line="240" w:lineRule="auto"/>
        <w:ind w:left="0" w:right="0" w:firstLine="709"/>
        <w:rPr>
          <w:rFonts w:ascii="Times New Roman" w:hAnsi="Times New Roman" w:cs="Times New Roman"/>
          <w:color w:val="auto"/>
          <w:sz w:val="24"/>
          <w:szCs w:val="24"/>
        </w:rPr>
      </w:pPr>
      <w:r w:rsidRPr="002735B8">
        <w:rPr>
          <w:rFonts w:ascii="Times New Roman" w:hAnsi="Times New Roman" w:cs="Times New Roman"/>
          <w:sz w:val="24"/>
          <w:szCs w:val="24"/>
        </w:rPr>
        <w:t xml:space="preserve">Velika pažnja se posvećuje sigurnosti nuklearnih elektrana u svim fazama njihovog životnog ciklusa. Nažalost, nije moguće izgraditi potpuno sigurno tehnološko postrojenje pa su samim time moguće nezgode u nuklearnom postrojenju ali isto tako se mogu dogoditi i teške nesreće. Jedan od najtežih oblika nuklearne nesreće su one gdje dođe do oštećenja reaktorske jezgre te </w:t>
      </w:r>
      <w:r w:rsidRPr="002735B8">
        <w:rPr>
          <w:rFonts w:ascii="Times New Roman" w:hAnsi="Times New Roman" w:cs="Times New Roman"/>
          <w:color w:val="auto"/>
          <w:sz w:val="24"/>
          <w:szCs w:val="24"/>
        </w:rPr>
        <w:t>do velikih ispuštanja radioaktivnih tvari u okoliš kao što je bilo u Černobilu 1986. godine i u Fukushimi 2013. godine. Sukladno rezultatima najnovije Studije</w:t>
      </w:r>
      <w:r w:rsidRPr="002735B8">
        <w:rPr>
          <w:color w:val="auto"/>
        </w:rPr>
        <w:t xml:space="preserve"> </w:t>
      </w:r>
      <w:r w:rsidRPr="002735B8">
        <w:rPr>
          <w:rFonts w:ascii="Times New Roman" w:hAnsi="Times New Roman" w:cs="Times New Roman"/>
          <w:color w:val="auto"/>
          <w:sz w:val="24"/>
          <w:szCs w:val="24"/>
        </w:rPr>
        <w:t>prekograničnog utjecaja velike nesreće u NE Krško iz siječnja 2022. godine, ni za jednu nesreću s vrijednosti pojavljivanja jednom u milijun godina ili češće nije vjerojatno prekoračenje intervencijskih razina na teritoriju Republike Hrvatske, dakle neće biti determinističkih efekata, niti će biti potrebna evakuacija i bolničko zbrinjavanje populacije s područja Republike Hrvatske.</w:t>
      </w:r>
    </w:p>
    <w:p w14:paraId="263B59FE"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4DF8306D" w14:textId="77777777" w:rsidR="002735B8" w:rsidRPr="002735B8" w:rsidRDefault="002735B8" w:rsidP="00C70C9F">
      <w:pPr>
        <w:spacing w:after="0" w:line="240" w:lineRule="auto"/>
        <w:ind w:left="0" w:right="0" w:firstLine="709"/>
        <w:rPr>
          <w:rFonts w:ascii="Times New Roman" w:hAnsi="Times New Roman" w:cs="Times New Roman"/>
          <w:b/>
          <w:sz w:val="24"/>
          <w:szCs w:val="24"/>
        </w:rPr>
      </w:pPr>
      <w:r w:rsidRPr="002735B8">
        <w:rPr>
          <w:rFonts w:ascii="Times New Roman" w:hAnsi="Times New Roman" w:cs="Times New Roman"/>
          <w:b/>
          <w:sz w:val="24"/>
          <w:szCs w:val="24"/>
        </w:rPr>
        <w:t>6.6.4. Uzrok</w:t>
      </w:r>
    </w:p>
    <w:p w14:paraId="0E107114"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Uzrok za nastanak nuklearne nesreće može biti prirodne ili antropogene prirode. Kada govorimo o prirodnoj pojavi onda govorimo o potresu, poplavi, klizištu, ledenoj kiši i slično a kada govorimo o antropogenoj onda govorimo o ljudskoj pogrešci tijekom rada u nuklearnoj elektrani ili terorizmu. Bio uzrok prirodne naravi ili antropogene, svaki od njih može izazvati ozbiljne posljedice za rad same nuklearne elektrane pa tako i ozbiljne posljedice za lokalno i šire stanovništvo.</w:t>
      </w:r>
    </w:p>
    <w:p w14:paraId="27CEB76D" w14:textId="77777777" w:rsidR="002735B8" w:rsidRPr="002735B8" w:rsidRDefault="002735B8" w:rsidP="002735B8">
      <w:pPr>
        <w:spacing w:after="0" w:line="240" w:lineRule="auto"/>
        <w:ind w:left="11" w:right="692" w:hanging="11"/>
        <w:rPr>
          <w:rFonts w:ascii="Times New Roman" w:hAnsi="Times New Roman" w:cs="Times New Roman"/>
          <w:sz w:val="24"/>
          <w:szCs w:val="24"/>
        </w:rPr>
      </w:pPr>
    </w:p>
    <w:p w14:paraId="405F9C0D" w14:textId="77777777" w:rsidR="002735B8" w:rsidRPr="002735B8" w:rsidRDefault="002735B8" w:rsidP="0013190F">
      <w:pPr>
        <w:spacing w:after="0" w:line="240" w:lineRule="auto"/>
        <w:ind w:left="11" w:right="692" w:firstLine="698"/>
        <w:rPr>
          <w:rFonts w:ascii="Times New Roman" w:hAnsi="Times New Roman" w:cs="Times New Roman"/>
          <w:b/>
          <w:sz w:val="24"/>
          <w:szCs w:val="24"/>
        </w:rPr>
      </w:pPr>
      <w:r w:rsidRPr="002735B8">
        <w:rPr>
          <w:rFonts w:ascii="Times New Roman" w:hAnsi="Times New Roman" w:cs="Times New Roman"/>
          <w:b/>
          <w:sz w:val="24"/>
          <w:szCs w:val="24"/>
        </w:rPr>
        <w:t>6.6.4.1. Razvoj događaja</w:t>
      </w:r>
    </w:p>
    <w:p w14:paraId="2686A3CE"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Pojavom hladnog polarnog zraka došlo bi do snježnih oborina koje prolaskom kroz topao sloj prelaze u kišne oborine. Takav razvoj događaja rezultirao bi stvaranjem kišnih kapi koje bi se hladile u prizemnom sloju atmosfere te bi se zbog toga stvorio led na površini zemlje i elektro-vodova zbog čega bi došlo do oštećenja sustava za prijenos i distribuciju električne energije.</w:t>
      </w:r>
    </w:p>
    <w:p w14:paraId="4A4E77F3" w14:textId="77777777" w:rsidR="00DD51D2" w:rsidRPr="002735B8" w:rsidRDefault="00DD51D2" w:rsidP="001D13DB">
      <w:pPr>
        <w:spacing w:after="0" w:line="240" w:lineRule="auto"/>
        <w:ind w:left="0" w:right="692" w:firstLine="0"/>
        <w:rPr>
          <w:rFonts w:ascii="Times New Roman" w:hAnsi="Times New Roman" w:cs="Times New Roman"/>
          <w:b/>
          <w:sz w:val="24"/>
          <w:szCs w:val="24"/>
        </w:rPr>
      </w:pPr>
    </w:p>
    <w:p w14:paraId="395FFD4A" w14:textId="77777777" w:rsidR="002735B8" w:rsidRPr="002735B8" w:rsidRDefault="002735B8" w:rsidP="0013190F">
      <w:pPr>
        <w:spacing w:after="0" w:line="240" w:lineRule="auto"/>
        <w:ind w:left="11" w:right="692" w:firstLine="698"/>
        <w:rPr>
          <w:rFonts w:ascii="Times New Roman" w:hAnsi="Times New Roman" w:cs="Times New Roman"/>
          <w:b/>
          <w:sz w:val="24"/>
          <w:szCs w:val="24"/>
        </w:rPr>
      </w:pPr>
      <w:r w:rsidRPr="002735B8">
        <w:rPr>
          <w:rFonts w:ascii="Times New Roman" w:hAnsi="Times New Roman" w:cs="Times New Roman"/>
          <w:b/>
          <w:sz w:val="24"/>
          <w:szCs w:val="24"/>
        </w:rPr>
        <w:t>6.6.4.2. Okidač koji je uzrokovao događaj</w:t>
      </w:r>
    </w:p>
    <w:p w14:paraId="03A0075D" w14:textId="690E6536" w:rsidR="002735B8" w:rsidRPr="001D13DB" w:rsidRDefault="002735B8" w:rsidP="001D13DB">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Tijekom zime na području Republike Slovenije te u zapadnim dijelovima Republike Hrvatske i Mađarske kao i u južnim pokrajinama Austrije te istočnim dijelovima Italije javljaju se vrlo specifični vremenski uvjeti. Hladni polarni zrak širi se iz pravca sjevera u nižim slojevima atmosfere dok u višim slojevima pristiže topao i vlažan zrak s Mediterana. Navedena situacija rezultira velikim snježnim oborinama koje prolaskom kroz topao sloj prelaze u kišne oborine. Kišne kapi se hlade u prizemnom sloju atmosfere te naposljetku formiraju ledenu koru na tlu. Dolazi do porasta debljine ledene kore te zbog toga dolazi do teških oštećenja sustava za prijenos i distribuciju električne energije. Zbog velikih naslaga leda na vrlo širokom području oko NE Krško, dolazi do teških oštećenja sustava za prijenos i distribuciju električne energije zbog čega nuklearna elektrana Krško ostaje bez vanjskih izvora napajanja kao i bez vlastitih izvora napajanja. Takav scenarij dovodi do pregrijavanja i oštećenja reaktorske jezgre, zbog čega dolazi do ispuštanja radioaktivnosti iz jezgre u primarni krug a potom i do ispuštanja iz primarnog kruga u zaštitnu zgradu elektrane.</w:t>
      </w:r>
    </w:p>
    <w:p w14:paraId="2D471BAE" w14:textId="77777777" w:rsidR="002735B8" w:rsidRPr="002735B8" w:rsidRDefault="002735B8" w:rsidP="00C70C9F">
      <w:pPr>
        <w:spacing w:after="0" w:line="240" w:lineRule="auto"/>
        <w:ind w:left="0" w:right="0" w:firstLine="709"/>
        <w:rPr>
          <w:rFonts w:ascii="Times New Roman" w:hAnsi="Times New Roman" w:cs="Times New Roman"/>
          <w:b/>
          <w:sz w:val="24"/>
          <w:szCs w:val="24"/>
        </w:rPr>
      </w:pPr>
      <w:r w:rsidRPr="002735B8">
        <w:rPr>
          <w:rFonts w:ascii="Times New Roman" w:hAnsi="Times New Roman" w:cs="Times New Roman"/>
          <w:b/>
          <w:sz w:val="24"/>
          <w:szCs w:val="24"/>
        </w:rPr>
        <w:lastRenderedPageBreak/>
        <w:t>6.6.5. Opis događaja</w:t>
      </w:r>
    </w:p>
    <w:p w14:paraId="6EA5C198" w14:textId="77777777" w:rsidR="002735B8" w:rsidRPr="002735B8" w:rsidRDefault="002735B8" w:rsidP="00C70C9F">
      <w:pPr>
        <w:spacing w:after="0" w:line="240" w:lineRule="auto"/>
        <w:ind w:left="0" w:right="0" w:firstLine="709"/>
        <w:rPr>
          <w:rFonts w:ascii="Times New Roman" w:hAnsi="Times New Roman" w:cs="Times New Roman"/>
          <w:i/>
          <w:sz w:val="24"/>
          <w:szCs w:val="24"/>
        </w:rPr>
      </w:pPr>
      <w:r w:rsidRPr="002735B8">
        <w:rPr>
          <w:rFonts w:ascii="Times New Roman" w:hAnsi="Times New Roman" w:cs="Times New Roman"/>
          <w:i/>
          <w:sz w:val="24"/>
          <w:szCs w:val="24"/>
          <w:u w:val="single"/>
        </w:rPr>
        <w:t>Napomena</w:t>
      </w:r>
      <w:r w:rsidRPr="002735B8">
        <w:rPr>
          <w:rFonts w:ascii="Times New Roman" w:hAnsi="Times New Roman" w:cs="Times New Roman"/>
          <w:i/>
          <w:sz w:val="24"/>
          <w:szCs w:val="24"/>
        </w:rPr>
        <w:t>: Planom pripravnosti i odgovora Republike Hrvatske na radiološki ili nuklearni izvanredni događaj kojeg je donijela Vlada RH, na području Grada Zagreba nije planirano primjenjivanje profilakse stabilnim jodom, osim u slučaju da se nakon provedenih mjerenja  depozicije lociraju hot-spot-ovi</w:t>
      </w:r>
      <w:r w:rsidRPr="002735B8">
        <w:rPr>
          <w:rFonts w:ascii="Times New Roman" w:hAnsi="Times New Roman" w:cs="Times New Roman"/>
          <w:i/>
          <w:sz w:val="24"/>
          <w:szCs w:val="24"/>
          <w:vertAlign w:val="superscript"/>
        </w:rPr>
        <w:footnoteReference w:id="72"/>
      </w:r>
      <w:r w:rsidRPr="002735B8">
        <w:rPr>
          <w:rFonts w:ascii="Times New Roman" w:hAnsi="Times New Roman" w:cs="Times New Roman"/>
          <w:i/>
          <w:sz w:val="24"/>
          <w:szCs w:val="24"/>
        </w:rPr>
        <w:t xml:space="preserve"> koji zahtijevaju evakuaciju unutar jednog dana ili preseljenje unutar jednog tjedna do jednog mjeseca.</w:t>
      </w:r>
      <w:r w:rsidRPr="002735B8">
        <w:t xml:space="preserve"> </w:t>
      </w:r>
      <w:r w:rsidRPr="002735B8">
        <w:rPr>
          <w:rFonts w:ascii="Times New Roman" w:hAnsi="Times New Roman" w:cs="Times New Roman"/>
          <w:i/>
          <w:sz w:val="24"/>
          <w:szCs w:val="24"/>
        </w:rPr>
        <w:t>Scenarij je orijentacijski te opisuje najgoru moguću situaciju. Vjerojatnost da sve okolnosti budu najnepovoljnije je mala, ali se u scenariju opisuje skup svih mogućih a malo izglednih događaja povezanih s prijetnjom.</w:t>
      </w:r>
    </w:p>
    <w:p w14:paraId="6800C89F" w14:textId="77777777" w:rsidR="002735B8" w:rsidRPr="002735B8" w:rsidRDefault="002735B8" w:rsidP="002735B8">
      <w:pPr>
        <w:spacing w:after="0" w:line="240" w:lineRule="auto"/>
        <w:ind w:left="0" w:right="0" w:firstLine="0"/>
        <w:rPr>
          <w:rFonts w:ascii="Times New Roman" w:hAnsi="Times New Roman" w:cs="Times New Roman"/>
          <w:i/>
          <w:sz w:val="24"/>
          <w:szCs w:val="24"/>
        </w:rPr>
      </w:pPr>
    </w:p>
    <w:p w14:paraId="011D64E4"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Na području Grada Zagreba posljednjih dana su prisutni problemi sa opskrbom električnom energijom. Zbog ledene kiše koja je padala izvan funkcije je većina dalekovoda. Nadležni umiruju stanovništvo i tvrde da će se opskrba električnom energijom uskoro stabilizirati. Međutim, tijekom večeri opet je počela padati kiša koja se ledila u dodiru sa tlom. Posebno puno ledenih oborina palo je na području slovenske regije Posavje, u kojoj se nalazi NE Krško. Zbog oštećenja dalekovoda to postrojenje ostaje izolirano, dakle bez tzv. </w:t>
      </w:r>
      <w:r w:rsidRPr="002735B8">
        <w:rPr>
          <w:rFonts w:ascii="Times New Roman" w:hAnsi="Times New Roman" w:cs="Times New Roman"/>
          <w:i/>
          <w:sz w:val="24"/>
          <w:szCs w:val="24"/>
        </w:rPr>
        <w:t>off-site</w:t>
      </w:r>
      <w:r w:rsidRPr="002735B8">
        <w:rPr>
          <w:rFonts w:ascii="Times New Roman" w:hAnsi="Times New Roman" w:cs="Times New Roman"/>
          <w:sz w:val="24"/>
          <w:szCs w:val="24"/>
        </w:rPr>
        <w:t xml:space="preserve"> napajanja. Ledena kora također uzrokuje niz problema unutar samog postrojenja, pa postupno dolazi i do gubitka svih vlastitih izvora napajanja. Unatoč nastojanjima da se stanje dovede pod kontrolu, dolazi do pregrijavanja i oštećenja reaktorske jezgre te do ispuštanja radioaktivnosti iz jezgre u primarni krug, a potom i iz primarnog kruga u zaštitnu zgradu elektrane.</w:t>
      </w:r>
    </w:p>
    <w:p w14:paraId="5FB42C3C"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Na čitavom području Grada Zagreba nakon nastanka izvanrednog događaja u NE Krško nestalo je električne energije. Ne radi ni javna rasvjeta. Vremenski uvjeti su loši, na prometnicama se nalazi debeli sloj ledene kore. Zimska služba čisti prometnice, ali zbog intenzivnih oborina koje se lede u dodiru sa tlom prometovanje je otežano. Bolnice su pod opterećenjem zbog velikog broja ljudi sa lomovima ruku i nogu. Veliki je i broj lakših prometnih nesreća a prometovanje gradskim ulicama je gotovo onemogućeno. Zimska služba je maksimalno angažirana, ali oborine koje se lede u dodiru sa tlom ne prestaju.</w:t>
      </w:r>
    </w:p>
    <w:p w14:paraId="2D5E2C70"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Tijekom takve otežane situacije zbog vremenskih neprilika Operativni centar civilne zaštite (OCCZ) zaprima informaciju o izvanrednom događaju u NE Krško. Tlak u zaštitnoj zgradi postupno raste, pa stručnjaci 10 sati nakon oštećenja jezgre planiraju započeti s kontroliranim ispuštanjem njenog sadržaja u okoliš. Planirano je da ispuštanje traje 5 sati, te da se odvija kroz filtere koji zadržavaju 99% joda i 99,9% ostalih aerosola, pri čemu se bitno smanjuje aktivnost ispusta. Iako vremenske prognoze pokazuju da će vjetar puhati iz smjera sjevero-zapada te da će kontaminirani oblak prelaziti preko područja Grada Zagreba, sukladno proračunima smatra se da evakuacija i sklanjanje stanovništva nisu nužni niti opravdani. Ipak, počinje se sa preventivnim pripremama za evakuaciju stanovništva iz zone za planiranje hitnih mjera zaštite. Zbog ledene kore na prometnicama, planiranje evakuacije je otežano. Stanovništvu su dane upute o postupanju, a na istočnim dijelovima Grada Zagreba počeli su se organizirati evakuacijski centri za prihvat stanovništva. </w:t>
      </w:r>
    </w:p>
    <w:p w14:paraId="10DB92EA"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Deset sati nakon oštećenja jezgre, započinje ispuštanje radioaktivnih tvari iz zaštitne zgrade u okoliš kao što je planirano. No, ono se zbog greške u sustavu ne odvija kroz filtere, te dolazi do ispuštanja velikih količina radioaktivnih tvari odnosno dolazi do ispuštanja 100 puta više joda i 1000 puta više ostalih aerosola nego kada kontaminacija prolazi kroz filtere.</w:t>
      </w:r>
      <w:r w:rsidRPr="002735B8">
        <w:t xml:space="preserve"> </w:t>
      </w:r>
      <w:r w:rsidRPr="002735B8">
        <w:rPr>
          <w:rFonts w:ascii="Times New Roman" w:hAnsi="Times New Roman" w:cs="Times New Roman"/>
          <w:sz w:val="24"/>
          <w:szCs w:val="24"/>
        </w:rPr>
        <w:t xml:space="preserve">Ispuštanje u okoliš započelo je u 20 sati po lokalnom vremenu. O situaciji je odmah alarmiran Operativni centar civilne zaštite (OCCZ). Zbog situacije sa ledenom kišom i prestanka rada NE Krško, još uvijek nije osigurana opskrba električnom energijom na području Grada Zagreba. Zbog toga je komunikacija s građanima otežana. U takvoj situaciji kada je izgledno da će se i na području Grada Zagreba morati provesti sklanjanje stanovništva, preko Centra 112 aktivira se sustav za uzbunjivanje stanovništva (sustav je moderniziran tako da radi i u slučaju nestanka električne </w:t>
      </w:r>
      <w:r w:rsidRPr="002735B8">
        <w:rPr>
          <w:rFonts w:ascii="Times New Roman" w:hAnsi="Times New Roman" w:cs="Times New Roman"/>
          <w:sz w:val="24"/>
          <w:szCs w:val="24"/>
        </w:rPr>
        <w:lastRenderedPageBreak/>
        <w:t>energije). Pao je mrak, nema javne rasvjete, na pločnicima je još uvijek prisutna ledena kora na mnogim dijelovima (u međuvremenu su prometnice uglavnom očišćene od sloja leda), javljaju se signali za uzbunjivanje stanovništva, a nema dovoljno informacija. Dolazi do potpunog pada GSM mreža dijelom zbog smanjenog kapaciteta rada uslijed nestanka električne energije, a većim dijelom zbog mnogobrojnih poziva građana koji su počeli zvati hitne službe, ali i rodbinu i prijatelje nakon oglašavanja sirena.</w:t>
      </w:r>
    </w:p>
    <w:p w14:paraId="5B6492D1"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Stručnjaci na temelju prikupljenih informacija i sukladno postojećim planovima postupanja, diseminiraju informacije ali one ne stižu u dovoljnoj mjeri do stanovništva zbog prije spomenutih okolnosti. Građanima na području Grada Zagreba preporučuje se sklanjanje u vlastitim objektima. Unatoč tome što se preko svih radio-postaja šalju iste upute o postupanju, građani izlaze na ulice želeći napustiti svoje domove te je uslijed panike i mraka puno ljudi ozlijeđeno zbog padova po skliskim površinama. Evakuacija se ranije počela odvijati iz zone za planiranje hitnih mjera zaštite prema području Grada Zagreba, ali je u međuvremenu došlo do zastoja prometa kod ulaska na područje Grada Zagreba i prema istoku grada jer stanovništvo ne sluša upute, pa se ne provodi mjera sklanjanja </w:t>
      </w:r>
      <w:r w:rsidRPr="002735B8">
        <w:rPr>
          <w:rFonts w:ascii="Times New Roman" w:hAnsi="Times New Roman" w:cs="Times New Roman"/>
          <w:color w:val="auto"/>
          <w:sz w:val="24"/>
          <w:szCs w:val="24"/>
        </w:rPr>
        <w:t xml:space="preserve">već neplanska evakuacija </w:t>
      </w:r>
      <w:r w:rsidRPr="002735B8">
        <w:rPr>
          <w:rFonts w:ascii="Times New Roman" w:hAnsi="Times New Roman" w:cs="Times New Roman"/>
          <w:sz w:val="24"/>
          <w:szCs w:val="24"/>
        </w:rPr>
        <w:t>automobilima koja je rezultirala zastojem prometa i onemogućava ljudima iz zone za planiranje hitnih mjera zaštite (narančasta zona) prelazak u proširenu zonu (žutu zonu). Policija uz velike napore pokušava uvesti red kako bi se osigurala protočnost vozila iz smjera zapada prema istoku, a zdravstveni sustav je dodatno opterećen zbog velikog broja ozlijeđenih ljudi uslijed padova po zaleđenim površinama. U evakuacijske centre koji se nalaze na istoku grada a namijenjeni su stanovništvu iz zone za planiranje hitnih mjera zaštite dolaze i stanovnici sa područja Grada Zagreba, pa su ti centri prenatrpani i privremeno nefunkcionalni, odnosno ne mogu pružiti skrb stanovništvu iz ugroženije zone bliže NE Krško.</w:t>
      </w:r>
    </w:p>
    <w:p w14:paraId="7966A5B7"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Kao što je prognozirano, atmosferska disperzija se tijekom noći odvija u stabilnim uvjetima (klasa stabilnosti F, brzina vjetra 2 m/s, bez oborina) a kasnije tijekom dana u neutralnim uvjetima (klasa stabilnosti D, brzina vjetra 5 m/s, bez oborina). Tijekom ispuštanja i u periodu nakon ispuštanja, smjer iz kojeg vjetar puše se mijenja na način da se jednoliko zakreće prema sjeveru. Smjer širenja radioaktivnog oblaka je za stanovništvo Republike Hrvatske nepovoljan jer oblak zahvaća oko 10.000 m</w:t>
      </w:r>
      <w:r w:rsidRPr="002735B8">
        <w:rPr>
          <w:rFonts w:ascii="Times New Roman" w:hAnsi="Times New Roman" w:cs="Times New Roman"/>
          <w:sz w:val="24"/>
          <w:szCs w:val="24"/>
          <w:vertAlign w:val="superscript"/>
        </w:rPr>
        <w:t>2</w:t>
      </w:r>
      <w:r w:rsidRPr="002735B8">
        <w:rPr>
          <w:rFonts w:ascii="Times New Roman" w:hAnsi="Times New Roman" w:cs="Times New Roman"/>
          <w:sz w:val="24"/>
          <w:szCs w:val="24"/>
        </w:rPr>
        <w:t xml:space="preserve">. Osim što zahvaća Grad Zagreb, zahvaća i Zaprešić, Veliku Goricu, Sisak. </w:t>
      </w:r>
    </w:p>
    <w:p w14:paraId="5DC9EDEF" w14:textId="77777777" w:rsidR="00DD51D2" w:rsidRPr="002735B8" w:rsidRDefault="00DD51D2" w:rsidP="002735B8">
      <w:pPr>
        <w:spacing w:after="0" w:line="240" w:lineRule="auto"/>
        <w:ind w:left="0" w:right="0" w:firstLine="0"/>
        <w:rPr>
          <w:rFonts w:ascii="Times New Roman" w:hAnsi="Times New Roman" w:cs="Times New Roman"/>
          <w:sz w:val="24"/>
          <w:szCs w:val="24"/>
        </w:rPr>
      </w:pPr>
    </w:p>
    <w:p w14:paraId="2CA5DB91" w14:textId="77777777" w:rsidR="002735B8" w:rsidRPr="002735B8" w:rsidRDefault="002735B8" w:rsidP="00C70C9F">
      <w:pPr>
        <w:spacing w:after="0" w:line="240" w:lineRule="auto"/>
        <w:ind w:left="0" w:right="0" w:firstLine="709"/>
        <w:rPr>
          <w:rFonts w:ascii="Times New Roman" w:hAnsi="Times New Roman" w:cs="Times New Roman"/>
          <w:b/>
          <w:sz w:val="24"/>
          <w:szCs w:val="24"/>
        </w:rPr>
      </w:pPr>
      <w:r w:rsidRPr="002735B8">
        <w:rPr>
          <w:rFonts w:ascii="Times New Roman" w:hAnsi="Times New Roman" w:cs="Times New Roman"/>
          <w:b/>
          <w:sz w:val="24"/>
          <w:szCs w:val="24"/>
        </w:rPr>
        <w:t>6.6.5.1. Posljedice</w:t>
      </w:r>
    </w:p>
    <w:p w14:paraId="79E4866C" w14:textId="684DB75C" w:rsidR="002735B8" w:rsidRDefault="00EB571E" w:rsidP="00C207B1">
      <w:pPr>
        <w:spacing w:after="0" w:line="240" w:lineRule="auto"/>
        <w:ind w:left="0" w:right="0" w:firstLine="709"/>
        <w:rPr>
          <w:rFonts w:ascii="Times New Roman" w:hAnsi="Times New Roman" w:cs="Times New Roman"/>
          <w:sz w:val="24"/>
          <w:szCs w:val="24"/>
        </w:rPr>
      </w:pPr>
      <w:r>
        <w:rPr>
          <w:rFonts w:ascii="Times New Roman" w:hAnsi="Times New Roman" w:cs="Times New Roman"/>
          <w:color w:val="auto"/>
          <w:sz w:val="24"/>
          <w:szCs w:val="24"/>
        </w:rPr>
        <w:t>Slika 22.</w:t>
      </w:r>
      <w:r w:rsidR="002735B8" w:rsidRPr="00EB571E">
        <w:rPr>
          <w:rFonts w:ascii="Times New Roman" w:hAnsi="Times New Roman" w:cs="Times New Roman"/>
          <w:color w:val="auto"/>
          <w:sz w:val="24"/>
          <w:szCs w:val="24"/>
        </w:rPr>
        <w:t xml:space="preserve"> prikazuje prostornu raspodjelu rane efektivne doze koju bi stanovništvo primilo </w:t>
      </w:r>
      <w:r w:rsidR="002735B8" w:rsidRPr="002735B8">
        <w:rPr>
          <w:rFonts w:ascii="Times New Roman" w:hAnsi="Times New Roman" w:cs="Times New Roman"/>
          <w:sz w:val="24"/>
          <w:szCs w:val="24"/>
        </w:rPr>
        <w:t>tijekom prvih 7 dana uz pretpostavku obavljanja normalnih aktivnosti. Vrijednosti na udaljenostima do oko 40 km od NE Krško, odnosno na hrvatskom teritoriju površine nekoliko stotina km</w:t>
      </w:r>
      <w:r w:rsidR="002735B8" w:rsidRPr="002735B8">
        <w:rPr>
          <w:rFonts w:ascii="Times New Roman" w:hAnsi="Times New Roman" w:cs="Times New Roman"/>
          <w:sz w:val="24"/>
          <w:szCs w:val="24"/>
          <w:vertAlign w:val="superscript"/>
        </w:rPr>
        <w:t>2</w:t>
      </w:r>
      <w:r w:rsidR="002735B8" w:rsidRPr="002735B8">
        <w:rPr>
          <w:rFonts w:ascii="Times New Roman" w:hAnsi="Times New Roman" w:cs="Times New Roman"/>
          <w:sz w:val="24"/>
          <w:szCs w:val="24"/>
        </w:rPr>
        <w:t xml:space="preserve"> premašuju 100 mSv. Iz tog razloga se na tom teritoriju provodi evakuacija i sklanjanje stanovništva, i to na način da se područje zone za poduzimanje hitnih mjera zaštite </w:t>
      </w:r>
      <w:r w:rsidR="002735B8" w:rsidRPr="0023767A">
        <w:rPr>
          <w:rFonts w:ascii="Times New Roman" w:hAnsi="Times New Roman" w:cs="Times New Roman"/>
          <w:color w:val="auto"/>
          <w:sz w:val="24"/>
          <w:szCs w:val="24"/>
        </w:rPr>
        <w:t xml:space="preserve">evakuira, dok se na udaljenijim lokacijama provodi sklanjanje (Slika </w:t>
      </w:r>
      <w:r w:rsidR="0023767A" w:rsidRPr="0023767A">
        <w:rPr>
          <w:rFonts w:ascii="Times New Roman" w:hAnsi="Times New Roman" w:cs="Times New Roman"/>
          <w:color w:val="auto"/>
          <w:sz w:val="24"/>
          <w:szCs w:val="24"/>
        </w:rPr>
        <w:t>23</w:t>
      </w:r>
      <w:r w:rsidR="002735B8" w:rsidRPr="0023767A">
        <w:rPr>
          <w:rFonts w:ascii="Times New Roman" w:hAnsi="Times New Roman" w:cs="Times New Roman"/>
          <w:color w:val="auto"/>
          <w:sz w:val="24"/>
          <w:szCs w:val="24"/>
        </w:rPr>
        <w:t xml:space="preserve">.). Evakuacijom je </w:t>
      </w:r>
      <w:r w:rsidR="002735B8" w:rsidRPr="002735B8">
        <w:rPr>
          <w:rFonts w:ascii="Times New Roman" w:hAnsi="Times New Roman" w:cs="Times New Roman"/>
          <w:sz w:val="24"/>
          <w:szCs w:val="24"/>
        </w:rPr>
        <w:t>obuhvaćeno nekoliko desetaka tisuća, a sklanjanjem nekoliko stotina tisuća ljudi. Na područjima na kojima rane doze premašuju 100 mSv poduzimaju se i druge hitne mjere zaštite (mjere za sprječavanje unosa radioaktivnosti gutanjem, ograničenja u konzumiranju lokalno proizvedene hrane, mlijeka i vode, ograničenja u upotrebi potencijalno kontaminiranih dobara, kontrola kontaminacije, dekontaminacija osoba i medicinska obrada, evidentiranje ozračenih osoba).</w:t>
      </w:r>
    </w:p>
    <w:p w14:paraId="08803019" w14:textId="77777777" w:rsidR="001D13DB" w:rsidRPr="002735B8" w:rsidRDefault="001D13DB" w:rsidP="00C207B1">
      <w:pPr>
        <w:spacing w:after="0" w:line="240" w:lineRule="auto"/>
        <w:ind w:left="0" w:right="0" w:firstLine="709"/>
        <w:rPr>
          <w:rFonts w:ascii="Times New Roman" w:hAnsi="Times New Roman" w:cs="Times New Roman"/>
          <w:sz w:val="24"/>
          <w:szCs w:val="24"/>
        </w:rPr>
      </w:pPr>
    </w:p>
    <w:p w14:paraId="4F05D126"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2D3578A5" w14:textId="15A7696A" w:rsidR="002735B8" w:rsidRPr="00063E46" w:rsidRDefault="002735B8" w:rsidP="0018095B">
      <w:pPr>
        <w:spacing w:line="240" w:lineRule="auto"/>
        <w:ind w:left="0" w:right="0" w:firstLine="0"/>
        <w:jc w:val="center"/>
        <w:rPr>
          <w:rFonts w:ascii="Times New Roman" w:hAnsi="Times New Roman" w:cs="Times New Roman"/>
          <w:b/>
          <w:color w:val="auto"/>
          <w:sz w:val="24"/>
          <w:szCs w:val="24"/>
        </w:rPr>
      </w:pPr>
      <w:r w:rsidRPr="00063E46">
        <w:rPr>
          <w:rFonts w:ascii="Times New Roman" w:hAnsi="Times New Roman" w:cs="Times New Roman"/>
          <w:b/>
          <w:color w:val="auto"/>
          <w:sz w:val="24"/>
          <w:szCs w:val="24"/>
        </w:rPr>
        <w:lastRenderedPageBreak/>
        <w:t xml:space="preserve">Tablica </w:t>
      </w:r>
      <w:r w:rsidR="00063E46" w:rsidRPr="00063E46">
        <w:rPr>
          <w:rFonts w:ascii="Times New Roman" w:hAnsi="Times New Roman" w:cs="Times New Roman"/>
          <w:b/>
          <w:color w:val="auto"/>
          <w:sz w:val="24"/>
          <w:szCs w:val="24"/>
        </w:rPr>
        <w:t>107</w:t>
      </w:r>
      <w:r w:rsidRPr="00063E46">
        <w:rPr>
          <w:rFonts w:ascii="Times New Roman" w:hAnsi="Times New Roman" w:cs="Times New Roman"/>
          <w:b/>
          <w:color w:val="auto"/>
          <w:sz w:val="24"/>
          <w:szCs w:val="24"/>
        </w:rPr>
        <w:t>. Generički kriteriji</w:t>
      </w:r>
      <w:r w:rsidRPr="00063E46">
        <w:rPr>
          <w:rFonts w:ascii="Times New Roman" w:hAnsi="Times New Roman" w:cs="Times New Roman"/>
          <w:b/>
          <w:color w:val="auto"/>
          <w:sz w:val="24"/>
          <w:szCs w:val="24"/>
          <w:vertAlign w:val="superscript"/>
        </w:rPr>
        <w:footnoteReference w:id="73"/>
      </w:r>
      <w:r w:rsidRPr="00063E46">
        <w:rPr>
          <w:rFonts w:ascii="Times New Roman" w:hAnsi="Times New Roman" w:cs="Times New Roman"/>
          <w:b/>
          <w:color w:val="auto"/>
          <w:sz w:val="24"/>
          <w:szCs w:val="24"/>
        </w:rPr>
        <w:t xml:space="preserve"> za smanjenje stohastičkih učinaka</w:t>
      </w:r>
    </w:p>
    <w:tbl>
      <w:tblPr>
        <w:tblStyle w:val="TableGrid40"/>
        <w:tblW w:w="0" w:type="auto"/>
        <w:tblInd w:w="108" w:type="dxa"/>
        <w:tblLook w:val="04A0" w:firstRow="1" w:lastRow="0" w:firstColumn="1" w:lastColumn="0" w:noHBand="0" w:noVBand="1"/>
      </w:tblPr>
      <w:tblGrid>
        <w:gridCol w:w="1383"/>
        <w:gridCol w:w="2302"/>
        <w:gridCol w:w="4986"/>
      </w:tblGrid>
      <w:tr w:rsidR="002735B8" w:rsidRPr="002735B8" w14:paraId="2A787EE6" w14:textId="77777777" w:rsidTr="00284074">
        <w:tc>
          <w:tcPr>
            <w:tcW w:w="3685" w:type="dxa"/>
            <w:gridSpan w:val="2"/>
            <w:shd w:val="clear" w:color="auto" w:fill="FFC000"/>
            <w:vAlign w:val="center"/>
          </w:tcPr>
          <w:p w14:paraId="7762239C" w14:textId="77777777" w:rsidR="002735B8" w:rsidRPr="002735B8" w:rsidRDefault="002735B8" w:rsidP="002735B8">
            <w:pPr>
              <w:spacing w:after="0" w:line="240" w:lineRule="auto"/>
              <w:ind w:left="0" w:right="0" w:firstLine="0"/>
              <w:jc w:val="center"/>
              <w:rPr>
                <w:rFonts w:ascii="Times New Roman" w:hAnsi="Times New Roman" w:cs="Times New Roman"/>
                <w:b/>
                <w:sz w:val="24"/>
                <w:szCs w:val="24"/>
              </w:rPr>
            </w:pPr>
            <w:r w:rsidRPr="002735B8">
              <w:rPr>
                <w:rFonts w:ascii="Times New Roman" w:hAnsi="Times New Roman" w:cs="Times New Roman"/>
                <w:b/>
                <w:bCs/>
                <w:sz w:val="24"/>
                <w:szCs w:val="24"/>
              </w:rPr>
              <w:t>Generički kriterij</w:t>
            </w:r>
          </w:p>
        </w:tc>
        <w:tc>
          <w:tcPr>
            <w:tcW w:w="4986" w:type="dxa"/>
            <w:shd w:val="clear" w:color="auto" w:fill="FFC000"/>
            <w:vAlign w:val="center"/>
          </w:tcPr>
          <w:p w14:paraId="0AFD176E" w14:textId="77777777" w:rsidR="002735B8" w:rsidRPr="002735B8" w:rsidRDefault="002735B8" w:rsidP="002735B8">
            <w:pPr>
              <w:spacing w:after="0" w:line="240" w:lineRule="auto"/>
              <w:ind w:left="0" w:right="0" w:firstLine="0"/>
              <w:jc w:val="center"/>
              <w:rPr>
                <w:rFonts w:ascii="Times New Roman" w:hAnsi="Times New Roman" w:cs="Times New Roman"/>
                <w:b/>
                <w:bCs/>
                <w:sz w:val="24"/>
                <w:szCs w:val="24"/>
              </w:rPr>
            </w:pPr>
            <w:r w:rsidRPr="002735B8">
              <w:rPr>
                <w:rFonts w:ascii="Times New Roman" w:hAnsi="Times New Roman" w:cs="Times New Roman"/>
                <w:b/>
                <w:bCs/>
                <w:sz w:val="24"/>
                <w:szCs w:val="24"/>
              </w:rPr>
              <w:t>Primjeri mjera zaštite i drugih mjera</w:t>
            </w:r>
          </w:p>
        </w:tc>
      </w:tr>
      <w:tr w:rsidR="002735B8" w:rsidRPr="002735B8" w14:paraId="4FE23BA6" w14:textId="77777777" w:rsidTr="00284074">
        <w:tc>
          <w:tcPr>
            <w:tcW w:w="8671" w:type="dxa"/>
            <w:gridSpan w:val="3"/>
          </w:tcPr>
          <w:p w14:paraId="6BA91046"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b/>
                <w:bCs/>
                <w:sz w:val="24"/>
                <w:szCs w:val="24"/>
              </w:rPr>
              <w:t xml:space="preserve">Procijenjena doza premašuje navedeni generički kriterij: </w:t>
            </w:r>
            <w:r w:rsidRPr="002735B8">
              <w:rPr>
                <w:rFonts w:ascii="Times New Roman" w:hAnsi="Times New Roman" w:cs="Times New Roman"/>
                <w:bCs/>
                <w:sz w:val="24"/>
                <w:szCs w:val="24"/>
              </w:rPr>
              <w:t>Poduzeti hitne mjere zaštite i druge mjere</w:t>
            </w:r>
          </w:p>
        </w:tc>
      </w:tr>
      <w:tr w:rsidR="002735B8" w:rsidRPr="002735B8" w14:paraId="67144599" w14:textId="77777777" w:rsidTr="00284074">
        <w:tc>
          <w:tcPr>
            <w:tcW w:w="1383" w:type="dxa"/>
          </w:tcPr>
          <w:p w14:paraId="351730A3"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i/>
                <w:iCs/>
                <w:sz w:val="24"/>
                <w:szCs w:val="24"/>
              </w:rPr>
              <w:t>H</w:t>
            </w:r>
            <w:r w:rsidRPr="002735B8">
              <w:rPr>
                <w:rFonts w:ascii="Times New Roman" w:hAnsi="Times New Roman" w:cs="Times New Roman"/>
                <w:i/>
                <w:iCs/>
                <w:sz w:val="24"/>
                <w:szCs w:val="24"/>
                <w:vertAlign w:val="subscript"/>
              </w:rPr>
              <w:t>Štitnjača</w:t>
            </w:r>
          </w:p>
        </w:tc>
        <w:tc>
          <w:tcPr>
            <w:tcW w:w="2302" w:type="dxa"/>
          </w:tcPr>
          <w:p w14:paraId="55B1B52E"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50 mSv u prvih 7 dana</w:t>
            </w:r>
          </w:p>
        </w:tc>
        <w:tc>
          <w:tcPr>
            <w:tcW w:w="4986" w:type="dxa"/>
          </w:tcPr>
          <w:p w14:paraId="1D8088FE" w14:textId="77777777" w:rsidR="002735B8" w:rsidRPr="002735B8" w:rsidRDefault="002735B8" w:rsidP="002735B8">
            <w:pPr>
              <w:spacing w:after="0" w:line="240" w:lineRule="auto"/>
              <w:ind w:left="0" w:right="0" w:firstLine="0"/>
              <w:rPr>
                <w:rFonts w:ascii="Times New Roman" w:hAnsi="Times New Roman" w:cs="Times New Roman"/>
                <w:b/>
                <w:sz w:val="24"/>
                <w:szCs w:val="24"/>
              </w:rPr>
            </w:pPr>
            <w:r w:rsidRPr="002735B8">
              <w:rPr>
                <w:rFonts w:ascii="Times New Roman" w:hAnsi="Times New Roman" w:cs="Times New Roman"/>
                <w:sz w:val="24"/>
                <w:szCs w:val="24"/>
              </w:rPr>
              <w:t>Profilaksa stabilnim jodom</w:t>
            </w:r>
          </w:p>
        </w:tc>
      </w:tr>
      <w:tr w:rsidR="002735B8" w:rsidRPr="002735B8" w14:paraId="3A0E4349" w14:textId="77777777" w:rsidTr="00284074">
        <w:tc>
          <w:tcPr>
            <w:tcW w:w="1383" w:type="dxa"/>
          </w:tcPr>
          <w:p w14:paraId="0FBEE9CF" w14:textId="77777777" w:rsidR="002735B8" w:rsidRPr="002735B8" w:rsidRDefault="002735B8" w:rsidP="002735B8">
            <w:pPr>
              <w:spacing w:after="0" w:line="240" w:lineRule="auto"/>
              <w:ind w:left="0" w:right="0" w:firstLine="0"/>
              <w:rPr>
                <w:rFonts w:ascii="Times New Roman" w:hAnsi="Times New Roman" w:cs="Times New Roman"/>
                <w:i/>
                <w:iCs/>
                <w:sz w:val="24"/>
                <w:szCs w:val="24"/>
              </w:rPr>
            </w:pPr>
            <w:r w:rsidRPr="002735B8">
              <w:rPr>
                <w:rFonts w:ascii="Times New Roman" w:hAnsi="Times New Roman" w:cs="Times New Roman"/>
                <w:i/>
                <w:iCs/>
                <w:sz w:val="24"/>
                <w:szCs w:val="24"/>
              </w:rPr>
              <w:t>E</w:t>
            </w:r>
          </w:p>
          <w:p w14:paraId="2A1C5AE7"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i/>
                <w:iCs/>
                <w:sz w:val="24"/>
                <w:szCs w:val="24"/>
              </w:rPr>
              <w:t>H</w:t>
            </w:r>
            <w:r w:rsidRPr="002735B8">
              <w:rPr>
                <w:rFonts w:ascii="Times New Roman" w:hAnsi="Times New Roman" w:cs="Times New Roman"/>
                <w:i/>
                <w:iCs/>
                <w:sz w:val="24"/>
                <w:szCs w:val="24"/>
                <w:vertAlign w:val="subscript"/>
              </w:rPr>
              <w:t>Fetus</w:t>
            </w:r>
          </w:p>
        </w:tc>
        <w:tc>
          <w:tcPr>
            <w:tcW w:w="2302" w:type="dxa"/>
          </w:tcPr>
          <w:p w14:paraId="1CD82C4F"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100 mSv u prvih 7 dana</w:t>
            </w:r>
          </w:p>
          <w:p w14:paraId="2C2884C1"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100 mSv u prvih 7 dana</w:t>
            </w:r>
          </w:p>
        </w:tc>
        <w:tc>
          <w:tcPr>
            <w:tcW w:w="4986" w:type="dxa"/>
          </w:tcPr>
          <w:p w14:paraId="2979A07A"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 xml:space="preserve">Sklanjanje, evakuacija, sprječavanje unosa radioaktivnosti gutanjem, ograničenja u konzumaciji hrane, mlijeka i vode, ograničenja vezana za prehrambeni lanac i vodoopskrbu, ograničenja vezana za druga dobra, kontrola kontaminacije, dekontaminacija, evidentiranje, informiranje javnosti </w:t>
            </w:r>
          </w:p>
        </w:tc>
      </w:tr>
    </w:tbl>
    <w:p w14:paraId="50380EA0" w14:textId="77777777" w:rsidR="002735B8" w:rsidRPr="0018095B" w:rsidRDefault="002735B8" w:rsidP="002735B8">
      <w:pPr>
        <w:spacing w:after="0" w:line="240" w:lineRule="auto"/>
        <w:ind w:left="0" w:right="0" w:firstLine="0"/>
        <w:jc w:val="center"/>
        <w:rPr>
          <w:rFonts w:ascii="Times New Roman" w:hAnsi="Times New Roman" w:cs="Times New Roman"/>
          <w:i/>
          <w:sz w:val="20"/>
          <w:szCs w:val="20"/>
        </w:rPr>
      </w:pPr>
      <w:r w:rsidRPr="0018095B">
        <w:rPr>
          <w:rFonts w:ascii="Times New Roman" w:hAnsi="Times New Roman" w:cs="Times New Roman"/>
          <w:i/>
          <w:sz w:val="20"/>
          <w:szCs w:val="20"/>
        </w:rPr>
        <w:t>Izvor: Plan pripravnosti i odgovora Republike Hrvatske na radiološki ili nuklearni izvanredni događaj</w:t>
      </w:r>
    </w:p>
    <w:p w14:paraId="1195F86E"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41684171" w14:textId="48370E25"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Raspodjela ekvivalentne doze</w:t>
      </w:r>
      <w:r w:rsidRPr="002735B8">
        <w:rPr>
          <w:rFonts w:ascii="Times New Roman" w:hAnsi="Times New Roman" w:cs="Times New Roman"/>
          <w:sz w:val="24"/>
          <w:szCs w:val="24"/>
          <w:vertAlign w:val="superscript"/>
        </w:rPr>
        <w:footnoteReference w:id="74"/>
      </w:r>
      <w:r w:rsidRPr="002735B8">
        <w:rPr>
          <w:rFonts w:ascii="Times New Roman" w:hAnsi="Times New Roman" w:cs="Times New Roman"/>
          <w:sz w:val="24"/>
          <w:szCs w:val="24"/>
        </w:rPr>
        <w:t xml:space="preserve"> za štitnjaču, koju bi stanovništvo primilo tijekom prvih 7 dana uz pretpostavku obavljanja normalnih aktivnosti, premašuje vrijednost od 50 mSv na udaljenostima do oko 150 km od NE Krško, odnosno na područjima površine od oko 3.000 km</w:t>
      </w:r>
      <w:r w:rsidRPr="002735B8">
        <w:rPr>
          <w:rFonts w:ascii="Times New Roman" w:hAnsi="Times New Roman" w:cs="Times New Roman"/>
          <w:sz w:val="24"/>
          <w:szCs w:val="24"/>
          <w:vertAlign w:val="superscript"/>
        </w:rPr>
        <w:t>2</w:t>
      </w:r>
      <w:r w:rsidRPr="002735B8">
        <w:rPr>
          <w:rFonts w:ascii="Times New Roman" w:hAnsi="Times New Roman" w:cs="Times New Roman"/>
          <w:sz w:val="24"/>
          <w:szCs w:val="24"/>
        </w:rPr>
        <w:t xml:space="preserve"> sa više od milijun stanovnika. Na tim područjima bi se u cilju smanjenja doze na štitnjaču </w:t>
      </w:r>
      <w:r w:rsidRPr="00EB571E">
        <w:rPr>
          <w:rFonts w:ascii="Times New Roman" w:hAnsi="Times New Roman" w:cs="Times New Roman"/>
          <w:color w:val="auto"/>
          <w:sz w:val="24"/>
          <w:szCs w:val="24"/>
        </w:rPr>
        <w:t xml:space="preserve">trebala poduzeti profilaksa stabilnim jodom (Slika </w:t>
      </w:r>
      <w:r w:rsidR="00EB571E" w:rsidRPr="00EB571E">
        <w:rPr>
          <w:rFonts w:ascii="Times New Roman" w:hAnsi="Times New Roman" w:cs="Times New Roman"/>
          <w:color w:val="auto"/>
          <w:sz w:val="24"/>
          <w:szCs w:val="24"/>
        </w:rPr>
        <w:t>2</w:t>
      </w:r>
      <w:r w:rsidR="00F32ACD">
        <w:rPr>
          <w:rFonts w:ascii="Times New Roman" w:hAnsi="Times New Roman" w:cs="Times New Roman"/>
          <w:color w:val="auto"/>
          <w:sz w:val="24"/>
          <w:szCs w:val="24"/>
        </w:rPr>
        <w:t>4</w:t>
      </w:r>
      <w:r w:rsidRPr="00EB571E">
        <w:rPr>
          <w:rFonts w:ascii="Times New Roman" w:hAnsi="Times New Roman" w:cs="Times New Roman"/>
          <w:color w:val="auto"/>
          <w:sz w:val="24"/>
          <w:szCs w:val="24"/>
        </w:rPr>
        <w:t xml:space="preserve">.). Razvidno je da se jodna profilaksa </w:t>
      </w:r>
      <w:r w:rsidRPr="002735B8">
        <w:rPr>
          <w:rFonts w:ascii="Times New Roman" w:hAnsi="Times New Roman" w:cs="Times New Roman"/>
          <w:sz w:val="24"/>
          <w:szCs w:val="24"/>
        </w:rPr>
        <w:t>primjenjuje na znatno većem području od onoga na kojem se provode evakuacija i sklanjanje.</w:t>
      </w:r>
    </w:p>
    <w:p w14:paraId="57A36FB4" w14:textId="09B04F3B" w:rsidR="002735B8" w:rsidRDefault="002735B8" w:rsidP="002735B8">
      <w:pPr>
        <w:spacing w:after="0" w:line="240" w:lineRule="auto"/>
        <w:ind w:left="0" w:right="0" w:firstLine="0"/>
        <w:rPr>
          <w:rFonts w:ascii="Times New Roman" w:hAnsi="Times New Roman" w:cs="Times New Roman"/>
          <w:sz w:val="24"/>
          <w:szCs w:val="24"/>
        </w:rPr>
      </w:pPr>
    </w:p>
    <w:p w14:paraId="34013C8F" w14:textId="03FCAAEA" w:rsidR="002735B8" w:rsidRPr="00EB571E" w:rsidRDefault="00EB571E" w:rsidP="00C207B1">
      <w:pPr>
        <w:spacing w:line="240" w:lineRule="auto"/>
        <w:ind w:left="0" w:right="0" w:firstLine="0"/>
        <w:jc w:val="center"/>
        <w:rPr>
          <w:rFonts w:ascii="Times New Roman" w:hAnsi="Times New Roman" w:cs="Times New Roman"/>
          <w:b/>
          <w:color w:val="auto"/>
          <w:sz w:val="24"/>
          <w:szCs w:val="24"/>
        </w:rPr>
      </w:pPr>
      <w:r w:rsidRPr="00EB571E">
        <w:rPr>
          <w:rFonts w:ascii="Times New Roman" w:hAnsi="Times New Roman" w:cs="Times New Roman"/>
          <w:b/>
          <w:color w:val="auto"/>
          <w:sz w:val="24"/>
          <w:szCs w:val="24"/>
        </w:rPr>
        <w:t>Slika 22</w:t>
      </w:r>
      <w:r w:rsidR="002735B8" w:rsidRPr="00EB571E">
        <w:rPr>
          <w:rFonts w:ascii="Times New Roman" w:hAnsi="Times New Roman" w:cs="Times New Roman"/>
          <w:b/>
          <w:color w:val="auto"/>
          <w:sz w:val="24"/>
          <w:szCs w:val="24"/>
        </w:rPr>
        <w:t>. Efektivna doza</w:t>
      </w:r>
      <w:r w:rsidR="002735B8" w:rsidRPr="00EB571E">
        <w:rPr>
          <w:rFonts w:ascii="Times New Roman" w:hAnsi="Times New Roman" w:cs="Times New Roman"/>
          <w:b/>
          <w:color w:val="auto"/>
          <w:sz w:val="24"/>
          <w:szCs w:val="24"/>
          <w:vertAlign w:val="superscript"/>
        </w:rPr>
        <w:footnoteReference w:id="75"/>
      </w:r>
      <w:r w:rsidR="002735B8" w:rsidRPr="00EB571E">
        <w:rPr>
          <w:rFonts w:ascii="Times New Roman" w:hAnsi="Times New Roman" w:cs="Times New Roman"/>
          <w:b/>
          <w:color w:val="auto"/>
          <w:sz w:val="24"/>
          <w:szCs w:val="24"/>
        </w:rPr>
        <w:t xml:space="preserve"> za prvih 7 dana (mSv)</w:t>
      </w:r>
    </w:p>
    <w:p w14:paraId="2E7D1091"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noProof/>
          <w:sz w:val="24"/>
          <w:szCs w:val="24"/>
        </w:rPr>
        <w:drawing>
          <wp:inline distT="0" distB="0" distL="0" distR="0" wp14:anchorId="6AC18A7A" wp14:editId="4191508E">
            <wp:extent cx="3646170" cy="3067050"/>
            <wp:effectExtent l="0" t="0" r="0" b="0"/>
            <wp:docPr id="52265" name="Picture 5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661919" cy="3080298"/>
                    </a:xfrm>
                    <a:prstGeom prst="rect">
                      <a:avLst/>
                    </a:prstGeom>
                    <a:noFill/>
                  </pic:spPr>
                </pic:pic>
              </a:graphicData>
            </a:graphic>
          </wp:inline>
        </w:drawing>
      </w:r>
    </w:p>
    <w:p w14:paraId="6137C79F" w14:textId="7ECC3A90" w:rsidR="00056BA6" w:rsidRPr="00056BA6" w:rsidRDefault="002735B8" w:rsidP="00056BA6">
      <w:pPr>
        <w:spacing w:after="0" w:line="240" w:lineRule="auto"/>
        <w:ind w:left="0" w:right="0" w:firstLine="0"/>
        <w:jc w:val="center"/>
        <w:rPr>
          <w:rFonts w:ascii="Times New Roman" w:hAnsi="Times New Roman" w:cs="Times New Roman"/>
          <w:i/>
          <w:sz w:val="20"/>
          <w:szCs w:val="20"/>
        </w:rPr>
      </w:pPr>
      <w:r w:rsidRPr="0018095B">
        <w:rPr>
          <w:rFonts w:ascii="Times New Roman" w:hAnsi="Times New Roman" w:cs="Times New Roman"/>
          <w:i/>
          <w:sz w:val="20"/>
          <w:szCs w:val="20"/>
        </w:rPr>
        <w:t>Izvor: Procjena rizika od katastrofa za Republiku Hrvatsku</w:t>
      </w:r>
    </w:p>
    <w:p w14:paraId="18A38FBF" w14:textId="4B965495" w:rsidR="002735B8" w:rsidRPr="00EB571E" w:rsidRDefault="002735B8" w:rsidP="00C207B1">
      <w:pPr>
        <w:spacing w:line="240" w:lineRule="auto"/>
        <w:ind w:left="0" w:right="0" w:firstLine="0"/>
        <w:jc w:val="center"/>
        <w:rPr>
          <w:rFonts w:ascii="Times New Roman" w:hAnsi="Times New Roman" w:cs="Times New Roman"/>
          <w:b/>
          <w:color w:val="auto"/>
          <w:sz w:val="24"/>
          <w:szCs w:val="24"/>
        </w:rPr>
      </w:pPr>
      <w:r w:rsidRPr="00EB571E">
        <w:rPr>
          <w:rFonts w:ascii="Times New Roman" w:hAnsi="Times New Roman" w:cs="Times New Roman"/>
          <w:b/>
          <w:color w:val="auto"/>
          <w:sz w:val="24"/>
          <w:szCs w:val="24"/>
        </w:rPr>
        <w:lastRenderedPageBreak/>
        <w:t xml:space="preserve">Slika </w:t>
      </w:r>
      <w:r w:rsidR="00EB571E" w:rsidRPr="00EB571E">
        <w:rPr>
          <w:rFonts w:ascii="Times New Roman" w:hAnsi="Times New Roman" w:cs="Times New Roman"/>
          <w:b/>
          <w:color w:val="auto"/>
          <w:sz w:val="24"/>
          <w:szCs w:val="24"/>
        </w:rPr>
        <w:t>23</w:t>
      </w:r>
      <w:r w:rsidRPr="00EB571E">
        <w:rPr>
          <w:rFonts w:ascii="Times New Roman" w:hAnsi="Times New Roman" w:cs="Times New Roman"/>
          <w:b/>
          <w:color w:val="auto"/>
          <w:sz w:val="24"/>
          <w:szCs w:val="24"/>
        </w:rPr>
        <w:t>. Područja na kojima se provodi evakuacija ili sklanjanje</w:t>
      </w:r>
    </w:p>
    <w:p w14:paraId="55CE6209"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noProof/>
          <w:sz w:val="24"/>
          <w:szCs w:val="24"/>
        </w:rPr>
        <w:drawing>
          <wp:inline distT="0" distB="0" distL="0" distR="0" wp14:anchorId="424AE7C7" wp14:editId="1B7171AC">
            <wp:extent cx="4203588" cy="3019425"/>
            <wp:effectExtent l="0" t="0" r="6985" b="0"/>
            <wp:docPr id="52266" name="Picture 5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225771" cy="3035359"/>
                    </a:xfrm>
                    <a:prstGeom prst="rect">
                      <a:avLst/>
                    </a:prstGeom>
                    <a:noFill/>
                  </pic:spPr>
                </pic:pic>
              </a:graphicData>
            </a:graphic>
          </wp:inline>
        </w:drawing>
      </w:r>
    </w:p>
    <w:p w14:paraId="6993D054" w14:textId="77777777" w:rsidR="002735B8" w:rsidRPr="0018095B" w:rsidRDefault="002735B8" w:rsidP="002735B8">
      <w:pPr>
        <w:spacing w:after="0" w:line="240" w:lineRule="auto"/>
        <w:ind w:left="0" w:right="0" w:firstLine="0"/>
        <w:jc w:val="center"/>
        <w:rPr>
          <w:rFonts w:ascii="Times New Roman" w:hAnsi="Times New Roman" w:cs="Times New Roman"/>
          <w:i/>
          <w:sz w:val="20"/>
          <w:szCs w:val="20"/>
        </w:rPr>
      </w:pPr>
      <w:bookmarkStart w:id="109" w:name="_Hlk102733122"/>
      <w:r w:rsidRPr="0018095B">
        <w:rPr>
          <w:rFonts w:ascii="Times New Roman" w:hAnsi="Times New Roman" w:cs="Times New Roman"/>
          <w:i/>
          <w:sz w:val="20"/>
          <w:szCs w:val="20"/>
        </w:rPr>
        <w:t>Izvor: Procjena rizika od katastrofa za Republiku Hrvatsku</w:t>
      </w:r>
    </w:p>
    <w:bookmarkEnd w:id="109"/>
    <w:p w14:paraId="66AC1748"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73060D27" w14:textId="77777777" w:rsidR="002735B8" w:rsidRPr="002735B8" w:rsidRDefault="002735B8" w:rsidP="002735B8">
      <w:pPr>
        <w:spacing w:after="0" w:line="240" w:lineRule="auto"/>
        <w:ind w:left="0" w:right="0" w:firstLine="0"/>
        <w:jc w:val="center"/>
        <w:rPr>
          <w:rFonts w:ascii="Times New Roman" w:hAnsi="Times New Roman" w:cs="Times New Roman"/>
          <w:b/>
          <w:color w:val="FF0000"/>
          <w:sz w:val="24"/>
          <w:szCs w:val="24"/>
        </w:rPr>
      </w:pPr>
    </w:p>
    <w:p w14:paraId="4A3395DE" w14:textId="09BCD820" w:rsidR="002735B8" w:rsidRPr="00EB571E" w:rsidRDefault="002735B8" w:rsidP="0018095B">
      <w:pPr>
        <w:spacing w:line="240" w:lineRule="auto"/>
        <w:ind w:left="0" w:right="0" w:firstLine="0"/>
        <w:jc w:val="center"/>
        <w:rPr>
          <w:rFonts w:ascii="Times New Roman" w:hAnsi="Times New Roman" w:cs="Times New Roman"/>
          <w:b/>
          <w:color w:val="auto"/>
          <w:sz w:val="24"/>
          <w:szCs w:val="24"/>
        </w:rPr>
      </w:pPr>
      <w:r w:rsidRPr="00EB571E">
        <w:rPr>
          <w:rFonts w:ascii="Times New Roman" w:hAnsi="Times New Roman" w:cs="Times New Roman"/>
          <w:b/>
          <w:color w:val="auto"/>
          <w:sz w:val="24"/>
          <w:szCs w:val="24"/>
        </w:rPr>
        <w:t xml:space="preserve">Slika </w:t>
      </w:r>
      <w:r w:rsidR="00EB571E" w:rsidRPr="00EB571E">
        <w:rPr>
          <w:rFonts w:ascii="Times New Roman" w:hAnsi="Times New Roman" w:cs="Times New Roman"/>
          <w:b/>
          <w:color w:val="auto"/>
          <w:sz w:val="24"/>
          <w:szCs w:val="24"/>
        </w:rPr>
        <w:t>24.</w:t>
      </w:r>
      <w:r w:rsidRPr="00EB571E">
        <w:rPr>
          <w:rFonts w:ascii="Times New Roman" w:hAnsi="Times New Roman" w:cs="Times New Roman"/>
          <w:b/>
          <w:color w:val="auto"/>
          <w:sz w:val="24"/>
          <w:szCs w:val="24"/>
        </w:rPr>
        <w:t xml:space="preserve"> Područja na kojima se primjenjuje profilaksa stabilnim jodom</w:t>
      </w:r>
    </w:p>
    <w:p w14:paraId="38093380"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noProof/>
          <w:sz w:val="24"/>
          <w:szCs w:val="24"/>
        </w:rPr>
        <w:drawing>
          <wp:inline distT="0" distB="0" distL="0" distR="0" wp14:anchorId="01FBDEF3" wp14:editId="32EF88C1">
            <wp:extent cx="4013473" cy="2857500"/>
            <wp:effectExtent l="0" t="0" r="6350" b="0"/>
            <wp:docPr id="52267" name="Picture 5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051165" cy="2884336"/>
                    </a:xfrm>
                    <a:prstGeom prst="rect">
                      <a:avLst/>
                    </a:prstGeom>
                    <a:noFill/>
                  </pic:spPr>
                </pic:pic>
              </a:graphicData>
            </a:graphic>
          </wp:inline>
        </w:drawing>
      </w:r>
    </w:p>
    <w:p w14:paraId="540984C6" w14:textId="77777777" w:rsidR="002735B8" w:rsidRPr="0018095B" w:rsidRDefault="002735B8" w:rsidP="002735B8">
      <w:pPr>
        <w:spacing w:after="0" w:line="240" w:lineRule="auto"/>
        <w:ind w:left="0" w:right="0" w:firstLine="0"/>
        <w:jc w:val="center"/>
        <w:rPr>
          <w:rFonts w:ascii="Times New Roman" w:hAnsi="Times New Roman" w:cs="Times New Roman"/>
          <w:i/>
          <w:sz w:val="20"/>
          <w:szCs w:val="20"/>
        </w:rPr>
      </w:pPr>
      <w:r w:rsidRPr="0018095B">
        <w:rPr>
          <w:rFonts w:ascii="Times New Roman" w:hAnsi="Times New Roman" w:cs="Times New Roman"/>
          <w:i/>
          <w:sz w:val="20"/>
          <w:szCs w:val="20"/>
        </w:rPr>
        <w:t>Izvor: Procjena rizika od katastrofa za Republiku Hrvatsku</w:t>
      </w:r>
    </w:p>
    <w:p w14:paraId="0C378084"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5A05D3B5" w14:textId="67E616D5" w:rsidR="002735B8" w:rsidRPr="002735B8" w:rsidRDefault="002735B8" w:rsidP="003B5FD1">
      <w:pPr>
        <w:spacing w:after="0" w:line="240" w:lineRule="auto"/>
        <w:ind w:left="0" w:right="0" w:firstLine="709"/>
        <w:rPr>
          <w:rFonts w:ascii="Times New Roman" w:hAnsi="Times New Roman" w:cs="Times New Roman"/>
          <w:sz w:val="24"/>
          <w:szCs w:val="24"/>
        </w:rPr>
      </w:pPr>
      <w:r w:rsidRPr="00EB571E">
        <w:rPr>
          <w:rFonts w:ascii="Times New Roman" w:hAnsi="Times New Roman" w:cs="Times New Roman"/>
          <w:color w:val="auto"/>
          <w:sz w:val="24"/>
          <w:szCs w:val="24"/>
        </w:rPr>
        <w:t xml:space="preserve">Slika </w:t>
      </w:r>
      <w:r w:rsidR="00EB571E" w:rsidRPr="00EB571E">
        <w:rPr>
          <w:rFonts w:ascii="Times New Roman" w:hAnsi="Times New Roman" w:cs="Times New Roman"/>
          <w:color w:val="auto"/>
          <w:sz w:val="24"/>
          <w:szCs w:val="24"/>
        </w:rPr>
        <w:t>25</w:t>
      </w:r>
      <w:r w:rsidRPr="00EB571E">
        <w:rPr>
          <w:rFonts w:ascii="Times New Roman" w:hAnsi="Times New Roman" w:cs="Times New Roman"/>
          <w:color w:val="auto"/>
          <w:sz w:val="24"/>
          <w:szCs w:val="24"/>
        </w:rPr>
        <w:t xml:space="preserve">. prikazuje maksimalne koncentracije radionuklida I-131 koje bi se pojavile u kravljem </w:t>
      </w:r>
      <w:r w:rsidRPr="002735B8">
        <w:rPr>
          <w:rFonts w:ascii="Times New Roman" w:hAnsi="Times New Roman" w:cs="Times New Roman"/>
          <w:sz w:val="24"/>
          <w:szCs w:val="24"/>
        </w:rPr>
        <w:t>mlijeku u danima, tjednima ili mjesecima nakon prolaska radioaktivnog oblaka ukoliko se ne bi poduzelo odgovarajuće mjere zaštite. Operativne intervencijske razine</w:t>
      </w:r>
      <w:r w:rsidRPr="002735B8">
        <w:rPr>
          <w:rFonts w:ascii="Times New Roman" w:hAnsi="Times New Roman" w:cs="Times New Roman"/>
          <w:sz w:val="24"/>
          <w:szCs w:val="24"/>
          <w:vertAlign w:val="superscript"/>
        </w:rPr>
        <w:footnoteReference w:id="76"/>
      </w:r>
      <w:r w:rsidRPr="002735B8">
        <w:rPr>
          <w:rFonts w:ascii="Times New Roman" w:hAnsi="Times New Roman" w:cs="Times New Roman"/>
          <w:sz w:val="24"/>
          <w:szCs w:val="24"/>
        </w:rPr>
        <w:t xml:space="preserve"> pri čijem prekoračenju je nužno uvesti ograničenja u konzumaciji i distribuciji prehrambenih proizvoda i vode za piće iznose 1.000 Bq/kg za I-131, odnosno 200 Bq/kg za Cs-137. Iz </w:t>
      </w:r>
      <w:r w:rsidRPr="002735B8">
        <w:rPr>
          <w:rFonts w:ascii="Times New Roman" w:hAnsi="Times New Roman" w:cs="Times New Roman"/>
          <w:sz w:val="24"/>
          <w:szCs w:val="24"/>
        </w:rPr>
        <w:lastRenderedPageBreak/>
        <w:t>usporedbe graničnih vrijednosti i koncentracija proizlazi da je na gotovo čitavom području zahvaćenom radioaktivnim oblakom (desetak tisuća km</w:t>
      </w:r>
      <w:r w:rsidRPr="002735B8">
        <w:rPr>
          <w:rFonts w:ascii="Times New Roman" w:hAnsi="Times New Roman" w:cs="Times New Roman"/>
          <w:sz w:val="24"/>
          <w:szCs w:val="24"/>
          <w:vertAlign w:val="superscript"/>
        </w:rPr>
        <w:t>2</w:t>
      </w:r>
      <w:r w:rsidRPr="002735B8">
        <w:rPr>
          <w:rFonts w:ascii="Times New Roman" w:hAnsi="Times New Roman" w:cs="Times New Roman"/>
          <w:sz w:val="24"/>
          <w:szCs w:val="24"/>
        </w:rPr>
        <w:t>) nužno uvesti ograničenja u konzumaciji i distribuciji kravljeg mlijeka i/ili poduzeti druge mjere kojima će se smanjiti kontaminacija mlijeka. Slično vrijedi i za druge poljoprivredne proizvode.</w:t>
      </w:r>
    </w:p>
    <w:p w14:paraId="2C97B6B3"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5348B2BD" w14:textId="78F5C188" w:rsidR="002735B8" w:rsidRPr="00EB571E" w:rsidRDefault="002735B8" w:rsidP="0018095B">
      <w:pPr>
        <w:spacing w:line="240" w:lineRule="auto"/>
        <w:ind w:left="0" w:right="0" w:firstLine="0"/>
        <w:jc w:val="center"/>
        <w:rPr>
          <w:rFonts w:ascii="Times New Roman" w:hAnsi="Times New Roman" w:cs="Times New Roman"/>
          <w:b/>
          <w:color w:val="auto"/>
          <w:sz w:val="24"/>
          <w:szCs w:val="24"/>
        </w:rPr>
      </w:pPr>
      <w:r w:rsidRPr="00EB571E">
        <w:rPr>
          <w:rFonts w:ascii="Times New Roman" w:hAnsi="Times New Roman" w:cs="Times New Roman"/>
          <w:b/>
          <w:color w:val="auto"/>
          <w:sz w:val="24"/>
          <w:szCs w:val="24"/>
        </w:rPr>
        <w:t xml:space="preserve">Slika </w:t>
      </w:r>
      <w:r w:rsidR="00EB571E" w:rsidRPr="00EB571E">
        <w:rPr>
          <w:rFonts w:ascii="Times New Roman" w:hAnsi="Times New Roman" w:cs="Times New Roman"/>
          <w:b/>
          <w:color w:val="auto"/>
          <w:sz w:val="24"/>
          <w:szCs w:val="24"/>
        </w:rPr>
        <w:t>25</w:t>
      </w:r>
      <w:r w:rsidRPr="00EB571E">
        <w:rPr>
          <w:rFonts w:ascii="Times New Roman" w:hAnsi="Times New Roman" w:cs="Times New Roman"/>
          <w:b/>
          <w:color w:val="auto"/>
          <w:sz w:val="24"/>
          <w:szCs w:val="24"/>
        </w:rPr>
        <w:t>. Maksimalna koncentracija I-131 u kravljem mlijeku (Bq/kg)</w:t>
      </w:r>
    </w:p>
    <w:p w14:paraId="74D28A62"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noProof/>
          <w:sz w:val="24"/>
          <w:szCs w:val="24"/>
        </w:rPr>
        <w:drawing>
          <wp:inline distT="0" distB="0" distL="0" distR="0" wp14:anchorId="699D78CB" wp14:editId="53ED0CDB">
            <wp:extent cx="3112478" cy="2472149"/>
            <wp:effectExtent l="0" t="0" r="0" b="4445"/>
            <wp:docPr id="52268" name="Picture 5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50826" cy="2502608"/>
                    </a:xfrm>
                    <a:prstGeom prst="rect">
                      <a:avLst/>
                    </a:prstGeom>
                    <a:noFill/>
                  </pic:spPr>
                </pic:pic>
              </a:graphicData>
            </a:graphic>
          </wp:inline>
        </w:drawing>
      </w:r>
    </w:p>
    <w:p w14:paraId="4C13C0A5" w14:textId="6BB242C2" w:rsidR="002735B8" w:rsidRPr="0018095B" w:rsidRDefault="0018095B" w:rsidP="002735B8">
      <w:pPr>
        <w:spacing w:after="0" w:line="240" w:lineRule="auto"/>
        <w:ind w:left="0" w:right="692" w:firstLine="0"/>
        <w:jc w:val="center"/>
        <w:rPr>
          <w:rFonts w:ascii="Times New Roman" w:hAnsi="Times New Roman" w:cs="Times New Roman"/>
          <w:i/>
          <w:sz w:val="20"/>
          <w:szCs w:val="20"/>
        </w:rPr>
      </w:pPr>
      <w:r>
        <w:rPr>
          <w:rFonts w:ascii="Times New Roman" w:hAnsi="Times New Roman" w:cs="Times New Roman"/>
          <w:i/>
          <w:sz w:val="20"/>
          <w:szCs w:val="20"/>
        </w:rPr>
        <w:t xml:space="preserve">             </w:t>
      </w:r>
      <w:r w:rsidR="002735B8" w:rsidRPr="0018095B">
        <w:rPr>
          <w:rFonts w:ascii="Times New Roman" w:hAnsi="Times New Roman" w:cs="Times New Roman"/>
          <w:i/>
          <w:sz w:val="20"/>
          <w:szCs w:val="20"/>
        </w:rPr>
        <w:t>Izvor: Procjena rizika od katastrofa za Republiku Hrvatsku</w:t>
      </w:r>
    </w:p>
    <w:p w14:paraId="3C3AA4A8" w14:textId="77777777" w:rsidR="0018095B" w:rsidRDefault="0018095B" w:rsidP="002735B8">
      <w:pPr>
        <w:spacing w:after="0" w:line="240" w:lineRule="auto"/>
        <w:ind w:left="0" w:right="0" w:firstLine="0"/>
        <w:rPr>
          <w:rFonts w:ascii="Times New Roman" w:hAnsi="Times New Roman" w:cs="Times New Roman"/>
          <w:sz w:val="24"/>
          <w:szCs w:val="24"/>
        </w:rPr>
      </w:pPr>
    </w:p>
    <w:p w14:paraId="2CD25B46" w14:textId="1ACCC1FC" w:rsidR="002735B8" w:rsidRPr="002735B8" w:rsidRDefault="002735B8" w:rsidP="00C70C9F">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Radiološka mjerenja koja se u prvim danima nesreće provode na pojedinim područjima upućuju na to da na ta područja nije moguć brzi povratak zbog toga što projicirana godišnja rezidualna efektivna doza</w:t>
      </w:r>
      <w:r w:rsidRPr="002735B8">
        <w:rPr>
          <w:rFonts w:ascii="Times New Roman" w:hAnsi="Times New Roman" w:cs="Times New Roman"/>
          <w:sz w:val="24"/>
          <w:szCs w:val="24"/>
          <w:vertAlign w:val="superscript"/>
        </w:rPr>
        <w:footnoteReference w:id="77"/>
      </w:r>
      <w:r w:rsidRPr="002735B8">
        <w:rPr>
          <w:rFonts w:ascii="Times New Roman" w:hAnsi="Times New Roman" w:cs="Times New Roman"/>
          <w:sz w:val="24"/>
          <w:szCs w:val="24"/>
        </w:rPr>
        <w:t xml:space="preserve"> znatno premašuje graničnu vrijednost od 100 mSv. Većina preseljenih će se postupno vratiti u svoje domove dok manjem dijelu ljudi preseljenje postaje trajno. </w:t>
      </w:r>
    </w:p>
    <w:p w14:paraId="1D046466" w14:textId="77777777" w:rsidR="002735B8" w:rsidRPr="002735B8" w:rsidRDefault="002735B8" w:rsidP="002735B8">
      <w:pPr>
        <w:spacing w:after="0" w:line="240" w:lineRule="auto"/>
        <w:ind w:left="11" w:right="692" w:hanging="11"/>
        <w:rPr>
          <w:rFonts w:ascii="Times New Roman" w:hAnsi="Times New Roman" w:cs="Times New Roman"/>
          <w:sz w:val="24"/>
          <w:szCs w:val="24"/>
        </w:rPr>
      </w:pPr>
    </w:p>
    <w:p w14:paraId="4C8C59F9" w14:textId="77777777" w:rsidR="002735B8" w:rsidRPr="002735B8" w:rsidRDefault="002735B8" w:rsidP="00C70C9F">
      <w:pPr>
        <w:spacing w:after="0" w:line="240" w:lineRule="auto"/>
        <w:ind w:left="0" w:right="692" w:firstLine="709"/>
        <w:rPr>
          <w:rFonts w:ascii="Times New Roman" w:hAnsi="Times New Roman" w:cs="Times New Roman"/>
          <w:sz w:val="24"/>
          <w:szCs w:val="24"/>
          <w:u w:val="single"/>
        </w:rPr>
      </w:pPr>
      <w:r w:rsidRPr="002735B8">
        <w:rPr>
          <w:rFonts w:ascii="Times New Roman" w:hAnsi="Times New Roman" w:cs="Times New Roman"/>
          <w:sz w:val="24"/>
          <w:szCs w:val="24"/>
          <w:u w:val="single"/>
        </w:rPr>
        <w:t>Zaključak</w:t>
      </w:r>
    </w:p>
    <w:p w14:paraId="3F6472C9" w14:textId="77777777" w:rsidR="002735B8" w:rsidRPr="002735B8" w:rsidRDefault="002735B8" w:rsidP="00C70C9F">
      <w:pPr>
        <w:spacing w:after="0" w:line="240" w:lineRule="auto"/>
        <w:ind w:left="0" w:right="0" w:firstLine="709"/>
        <w:rPr>
          <w:rFonts w:ascii="Times New Roman" w:hAnsi="Times New Roman" w:cs="Times New Roman"/>
          <w:color w:val="auto"/>
          <w:sz w:val="24"/>
          <w:szCs w:val="24"/>
        </w:rPr>
      </w:pPr>
      <w:r w:rsidRPr="002735B8">
        <w:rPr>
          <w:rFonts w:ascii="Times New Roman" w:hAnsi="Times New Roman" w:cs="Times New Roman"/>
          <w:color w:val="auto"/>
          <w:sz w:val="24"/>
          <w:szCs w:val="24"/>
        </w:rPr>
        <w:t>Ukoliko dođe do nesreće u NE Krško kako je to opisano u scenariju, provest će se evakuacija stanovništva iz zapadnog dijela Zagrebačke županije, pristupiti organizaciji prihvatnih centara na istočnim dijelovima Grada Zagreba, stanovništvo će morati provoditi mjeru sklanjanja sukladno uputama, a u slučaju postojanja hot-spot zona na području Grada Zagreba, provest će se i evakuacija stanovništva iz tih zona.</w:t>
      </w:r>
    </w:p>
    <w:p w14:paraId="0B944DE2"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 xml:space="preserve">Uz navedeno, potrebno je i spriječiti unos radioaktivnosti gutanjem, te poduzimati hitna ograničenja konzumacije hrane i pića. Moraju se očekivati teškoće vezane uz meteorološke uvjete koji su i doprinijeli situaciji, zbog ledene kore bit će otežan proces evakuacije, a zbog otežane diseminacije informacija prouzročene privremenim otkazivanjem telekomunikacijske infrastrukture, moguće je očekivati i panične reakcije dijela stanovništva, što će doprinijeti dodatnom opterećenju zdravstvenog sustava, odnosno otežati skrb za stanovništvo koje je evakuirano iz zone za poduzimanje hitnih mjera zaštite odnosno zone koja se nalazi bliže NE Krško od područja Grada Zagreba. </w:t>
      </w:r>
    </w:p>
    <w:p w14:paraId="537C87CE"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6B72C638" w14:textId="77777777" w:rsidR="002735B8" w:rsidRPr="00DD51D2" w:rsidRDefault="002735B8" w:rsidP="00C70C9F">
      <w:pPr>
        <w:spacing w:after="0" w:line="240" w:lineRule="auto"/>
        <w:ind w:left="0" w:right="0" w:firstLine="709"/>
        <w:rPr>
          <w:rFonts w:ascii="Times New Roman" w:hAnsi="Times New Roman" w:cs="Times New Roman"/>
          <w:b/>
          <w:i/>
          <w:sz w:val="24"/>
          <w:szCs w:val="24"/>
        </w:rPr>
      </w:pPr>
      <w:r w:rsidRPr="00DD51D2">
        <w:rPr>
          <w:rFonts w:ascii="Times New Roman" w:hAnsi="Times New Roman" w:cs="Times New Roman"/>
          <w:b/>
          <w:i/>
          <w:sz w:val="24"/>
          <w:szCs w:val="24"/>
        </w:rPr>
        <w:t>6.6.5.1.1. Život i zdravlje ljudi</w:t>
      </w:r>
    </w:p>
    <w:p w14:paraId="71D3F8FC" w14:textId="77777777" w:rsidR="002735B8" w:rsidRPr="002735B8" w:rsidRDefault="002735B8" w:rsidP="00C70C9F">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Čak i bez primjene zaštitnih mjera doze koje bi primilo stanovništvo nisu takve da bi prouzročile pojavu ranih (determinističkih) učinaka ionizirajućeg zračenja. Zbog toga ne treba očekivati niti zakašnjele (stohastičke) učinke koje bi bilo moguće detektirati i sa sigurnošću </w:t>
      </w:r>
      <w:r w:rsidRPr="002735B8">
        <w:rPr>
          <w:rFonts w:ascii="Times New Roman" w:hAnsi="Times New Roman" w:cs="Times New Roman"/>
          <w:sz w:val="24"/>
          <w:szCs w:val="24"/>
        </w:rPr>
        <w:lastRenderedPageBreak/>
        <w:t xml:space="preserve">pripisati posljedicama izlaganja zračenju. To vrijedi i za karcinom štitnjače. S druge strane, predviđa se da će evakuacija i preseljenje stanovništva uzrokovati nekoliko desetaka smrtnih slučajeva koji nisu izravno povezani s ionizirajućim zračenjem. Većinu stradalih će sačinjavati starije i bolesne osobe, a uzrok stradavanja će biti stres prouzročen evakuacijom ili preseljenjem te nemogućnost dobivanja odgovarajuće medicinske skrbi. Manjinu će predstavljati osobe stradale u prometu tijekom samoevakuacije. </w:t>
      </w:r>
    </w:p>
    <w:p w14:paraId="6B3D44A1" w14:textId="3BB642A3" w:rsidR="002735B8" w:rsidRPr="002735B8" w:rsidRDefault="002735B8" w:rsidP="00C207B1">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 xml:space="preserve"> </w:t>
      </w:r>
      <w:r w:rsidR="00C207B1">
        <w:rPr>
          <w:rFonts w:ascii="Times New Roman" w:hAnsi="Times New Roman" w:cs="Times New Roman"/>
          <w:sz w:val="24"/>
          <w:szCs w:val="24"/>
        </w:rPr>
        <w:tab/>
      </w:r>
      <w:r w:rsidRPr="002735B8">
        <w:rPr>
          <w:rFonts w:ascii="Times New Roman" w:hAnsi="Times New Roman" w:cs="Times New Roman"/>
          <w:sz w:val="24"/>
          <w:szCs w:val="24"/>
        </w:rPr>
        <w:t xml:space="preserve">Zbog otežane komunikacije tijekom samog događaja, proživljenog stresa i panike, kao i propisane mjere sklanjanja kao negativnog iskustva, smatra se da će određeni broj stanovnika zbog zabrinutosti za zdravlje unatoč tome što ono neće biti značajno ugroženo, i trajno napustiti svoje domove. Uz navedeno, smanjit će se kvaliteta života stanovništva budući će zbog prisutnih dezinformacija u medijskom prostoru, navedeno imati utjecaja na razvoj turizma, a isto tako će poljoprivredna proizvodnja na rubnim područjima Grada Zagreba biti ugrožena. </w:t>
      </w:r>
    </w:p>
    <w:p w14:paraId="2336ED1F"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U kasnijim fazama nesreće doći će do porasta pritiska na zdravstveni sustav zbog potrebe dugoročnog medicinskog praćenja znatnije ozračenih osoba te zbog zabrinutosti stanovništva za zdravlje uzrokovano nepovjerenjem, dezinformacijama i sl.  </w:t>
      </w:r>
    </w:p>
    <w:p w14:paraId="0BA1BA30" w14:textId="2E08F27E" w:rsidR="002735B8" w:rsidRDefault="002735B8" w:rsidP="00C207B1">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 xml:space="preserve"> </w:t>
      </w:r>
      <w:r w:rsidR="00C207B1">
        <w:rPr>
          <w:rFonts w:ascii="Times New Roman" w:hAnsi="Times New Roman" w:cs="Times New Roman"/>
          <w:sz w:val="24"/>
          <w:szCs w:val="24"/>
        </w:rPr>
        <w:tab/>
      </w:r>
      <w:r w:rsidRPr="002735B8">
        <w:rPr>
          <w:rFonts w:ascii="Times New Roman" w:hAnsi="Times New Roman" w:cs="Times New Roman"/>
          <w:sz w:val="24"/>
          <w:szCs w:val="24"/>
        </w:rPr>
        <w:t>Posljedice po život i zdravlje ljudi su ocijenjene "katastrofalnim", jer se uz gubitak nekoliko desetaka života predviđa evakuacija i preseljenje nekoliko desetaka tisuća te sklanjanje nekoliko stotina tisuća ljudi,, a dugoročno se predviđa i smanjenje kvalitete života zbog „stigmatizacije“ okoline.</w:t>
      </w:r>
    </w:p>
    <w:p w14:paraId="4765A4AB" w14:textId="77777777" w:rsidR="00DD51D2" w:rsidRPr="002735B8" w:rsidRDefault="00DD51D2" w:rsidP="002735B8">
      <w:pPr>
        <w:spacing w:after="0" w:line="240" w:lineRule="auto"/>
        <w:ind w:left="0" w:right="0" w:firstLine="0"/>
        <w:rPr>
          <w:rFonts w:ascii="Times New Roman" w:hAnsi="Times New Roman" w:cs="Times New Roman"/>
          <w:sz w:val="24"/>
          <w:szCs w:val="24"/>
        </w:rPr>
      </w:pPr>
    </w:p>
    <w:p w14:paraId="322D3097" w14:textId="6DB757BC" w:rsidR="002735B8" w:rsidRPr="00454CF3" w:rsidRDefault="002735B8" w:rsidP="0018095B">
      <w:pPr>
        <w:spacing w:line="240" w:lineRule="auto"/>
        <w:ind w:left="0" w:right="0" w:firstLine="0"/>
        <w:jc w:val="center"/>
        <w:rPr>
          <w:rFonts w:ascii="Times New Roman" w:hAnsi="Times New Roman" w:cs="Times New Roman"/>
          <w:color w:val="auto"/>
          <w:sz w:val="24"/>
          <w:szCs w:val="24"/>
        </w:rPr>
      </w:pPr>
      <w:r w:rsidRPr="00454CF3">
        <w:rPr>
          <w:rFonts w:ascii="Times New Roman" w:hAnsi="Times New Roman" w:cs="Times New Roman"/>
          <w:b/>
          <w:color w:val="auto"/>
          <w:sz w:val="24"/>
          <w:szCs w:val="24"/>
        </w:rPr>
        <w:t xml:space="preserve">Tablica </w:t>
      </w:r>
      <w:r w:rsidR="00454CF3" w:rsidRPr="00454CF3">
        <w:rPr>
          <w:rFonts w:ascii="Times New Roman" w:hAnsi="Times New Roman" w:cs="Times New Roman"/>
          <w:b/>
          <w:color w:val="auto"/>
          <w:sz w:val="24"/>
          <w:szCs w:val="24"/>
        </w:rPr>
        <w:t>108</w:t>
      </w:r>
      <w:r w:rsidRPr="00454CF3">
        <w:rPr>
          <w:rFonts w:ascii="Times New Roman" w:hAnsi="Times New Roman" w:cs="Times New Roman"/>
          <w:b/>
          <w:color w:val="auto"/>
          <w:sz w:val="24"/>
          <w:szCs w:val="24"/>
        </w:rPr>
        <w:t>. Vrijednost kriterija za posljedice na život i zdravlje ljudi po kategorijama</w:t>
      </w:r>
    </w:p>
    <w:tbl>
      <w:tblPr>
        <w:tblStyle w:val="TableGrid7"/>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00"/>
        <w:gridCol w:w="2835"/>
        <w:gridCol w:w="2836"/>
        <w:gridCol w:w="1701"/>
      </w:tblGrid>
      <w:tr w:rsidR="002735B8" w:rsidRPr="002735B8" w14:paraId="4879D53B" w14:textId="77777777" w:rsidTr="00284074">
        <w:trPr>
          <w:cantSplit/>
          <w:tblHeader/>
        </w:trPr>
        <w:tc>
          <w:tcPr>
            <w:tcW w:w="9072" w:type="dxa"/>
            <w:gridSpan w:val="4"/>
            <w:shd w:val="clear" w:color="auto" w:fill="FFC000"/>
            <w:vAlign w:val="center"/>
          </w:tcPr>
          <w:p w14:paraId="0AADCC0D"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b/>
              </w:rPr>
              <w:t xml:space="preserve">Život i zdravlje ljudi – nuklearna nesreća </w:t>
            </w:r>
          </w:p>
        </w:tc>
      </w:tr>
      <w:tr w:rsidR="002735B8" w:rsidRPr="002735B8" w14:paraId="27D85433" w14:textId="77777777" w:rsidTr="00284074">
        <w:trPr>
          <w:cantSplit/>
          <w:tblHeader/>
        </w:trPr>
        <w:tc>
          <w:tcPr>
            <w:tcW w:w="1700" w:type="dxa"/>
            <w:shd w:val="clear" w:color="auto" w:fill="FFC000"/>
            <w:vAlign w:val="center"/>
          </w:tcPr>
          <w:p w14:paraId="04F60F5B"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b/>
              </w:rPr>
              <w:t>Kategorija</w:t>
            </w:r>
          </w:p>
        </w:tc>
        <w:tc>
          <w:tcPr>
            <w:tcW w:w="2835" w:type="dxa"/>
            <w:shd w:val="clear" w:color="auto" w:fill="FFC000"/>
            <w:vAlign w:val="center"/>
          </w:tcPr>
          <w:p w14:paraId="6EB7BE25"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b/>
              </w:rPr>
              <w:t>Posljedice</w:t>
            </w:r>
          </w:p>
        </w:tc>
        <w:tc>
          <w:tcPr>
            <w:tcW w:w="2836" w:type="dxa"/>
            <w:shd w:val="clear" w:color="auto" w:fill="FFC000"/>
            <w:vAlign w:val="center"/>
          </w:tcPr>
          <w:p w14:paraId="1A06721A"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b/>
              </w:rPr>
              <w:t>Kriterij (br.st.)</w:t>
            </w:r>
          </w:p>
        </w:tc>
        <w:tc>
          <w:tcPr>
            <w:tcW w:w="1701" w:type="dxa"/>
            <w:shd w:val="clear" w:color="auto" w:fill="FFC000"/>
            <w:vAlign w:val="center"/>
          </w:tcPr>
          <w:p w14:paraId="04540F37"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b/>
              </w:rPr>
              <w:t>ODABRANO</w:t>
            </w:r>
          </w:p>
        </w:tc>
      </w:tr>
      <w:tr w:rsidR="002735B8" w:rsidRPr="002735B8" w14:paraId="484E2AA0" w14:textId="77777777" w:rsidTr="00284074">
        <w:trPr>
          <w:cantSplit/>
        </w:trPr>
        <w:tc>
          <w:tcPr>
            <w:tcW w:w="1700" w:type="dxa"/>
            <w:vAlign w:val="center"/>
          </w:tcPr>
          <w:p w14:paraId="3122EA3E"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1.</w:t>
            </w:r>
          </w:p>
        </w:tc>
        <w:tc>
          <w:tcPr>
            <w:tcW w:w="2835" w:type="dxa"/>
            <w:vAlign w:val="center"/>
          </w:tcPr>
          <w:p w14:paraId="23810B77"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Neznatne</w:t>
            </w:r>
          </w:p>
        </w:tc>
        <w:tc>
          <w:tcPr>
            <w:tcW w:w="2836" w:type="dxa"/>
            <w:vAlign w:val="center"/>
          </w:tcPr>
          <w:p w14:paraId="28A19DE3"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&lt;8</w:t>
            </w:r>
          </w:p>
        </w:tc>
        <w:tc>
          <w:tcPr>
            <w:tcW w:w="1701" w:type="dxa"/>
            <w:vAlign w:val="center"/>
          </w:tcPr>
          <w:p w14:paraId="5B32D625" w14:textId="77777777" w:rsidR="002735B8" w:rsidRPr="002735B8" w:rsidRDefault="002735B8" w:rsidP="002735B8">
            <w:pPr>
              <w:spacing w:after="0" w:line="240" w:lineRule="auto"/>
              <w:ind w:left="0" w:right="0" w:firstLine="0"/>
              <w:jc w:val="center"/>
              <w:rPr>
                <w:rFonts w:ascii="Times New Roman" w:hAnsi="Times New Roman" w:cs="Times New Roman"/>
              </w:rPr>
            </w:pPr>
          </w:p>
        </w:tc>
      </w:tr>
      <w:tr w:rsidR="002735B8" w:rsidRPr="002735B8" w14:paraId="17F78563" w14:textId="77777777" w:rsidTr="00284074">
        <w:trPr>
          <w:cantSplit/>
        </w:trPr>
        <w:tc>
          <w:tcPr>
            <w:tcW w:w="1700" w:type="dxa"/>
            <w:shd w:val="clear" w:color="auto" w:fill="FFC000"/>
            <w:vAlign w:val="center"/>
          </w:tcPr>
          <w:p w14:paraId="79C60627"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2.</w:t>
            </w:r>
          </w:p>
        </w:tc>
        <w:tc>
          <w:tcPr>
            <w:tcW w:w="2835" w:type="dxa"/>
            <w:shd w:val="clear" w:color="auto" w:fill="FFC000"/>
            <w:vAlign w:val="center"/>
          </w:tcPr>
          <w:p w14:paraId="3CE6F1B1"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Malene</w:t>
            </w:r>
          </w:p>
        </w:tc>
        <w:tc>
          <w:tcPr>
            <w:tcW w:w="2836" w:type="dxa"/>
            <w:shd w:val="clear" w:color="auto" w:fill="FFC000"/>
            <w:vAlign w:val="center"/>
          </w:tcPr>
          <w:p w14:paraId="02D2DFF5"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8-35</w:t>
            </w:r>
          </w:p>
        </w:tc>
        <w:tc>
          <w:tcPr>
            <w:tcW w:w="1701" w:type="dxa"/>
            <w:shd w:val="clear" w:color="auto" w:fill="FFC000"/>
            <w:vAlign w:val="center"/>
          </w:tcPr>
          <w:p w14:paraId="6EE66682" w14:textId="77777777" w:rsidR="002735B8" w:rsidRPr="002735B8" w:rsidRDefault="002735B8" w:rsidP="002735B8">
            <w:pPr>
              <w:spacing w:after="0" w:line="240" w:lineRule="auto"/>
              <w:ind w:left="0" w:right="0" w:firstLine="0"/>
              <w:jc w:val="center"/>
              <w:rPr>
                <w:rFonts w:ascii="Times New Roman" w:hAnsi="Times New Roman" w:cs="Times New Roman"/>
              </w:rPr>
            </w:pPr>
          </w:p>
        </w:tc>
      </w:tr>
      <w:tr w:rsidR="002735B8" w:rsidRPr="002735B8" w14:paraId="5A87212C" w14:textId="77777777" w:rsidTr="00284074">
        <w:trPr>
          <w:cantSplit/>
        </w:trPr>
        <w:tc>
          <w:tcPr>
            <w:tcW w:w="1700" w:type="dxa"/>
            <w:vAlign w:val="center"/>
          </w:tcPr>
          <w:p w14:paraId="0DC4F09F"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3.</w:t>
            </w:r>
          </w:p>
        </w:tc>
        <w:tc>
          <w:tcPr>
            <w:tcW w:w="2835" w:type="dxa"/>
            <w:vAlign w:val="center"/>
          </w:tcPr>
          <w:p w14:paraId="574FCC71"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Umjerene</w:t>
            </w:r>
          </w:p>
        </w:tc>
        <w:tc>
          <w:tcPr>
            <w:tcW w:w="2836" w:type="dxa"/>
            <w:vAlign w:val="center"/>
          </w:tcPr>
          <w:p w14:paraId="2B62EC3C"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35-85</w:t>
            </w:r>
          </w:p>
        </w:tc>
        <w:tc>
          <w:tcPr>
            <w:tcW w:w="1701" w:type="dxa"/>
            <w:vAlign w:val="center"/>
          </w:tcPr>
          <w:p w14:paraId="0D0D83D4" w14:textId="77777777" w:rsidR="002735B8" w:rsidRPr="002735B8" w:rsidRDefault="002735B8" w:rsidP="002735B8">
            <w:pPr>
              <w:spacing w:after="0" w:line="240" w:lineRule="auto"/>
              <w:ind w:left="0" w:right="0" w:firstLine="0"/>
              <w:jc w:val="center"/>
              <w:rPr>
                <w:rFonts w:ascii="Times New Roman" w:hAnsi="Times New Roman" w:cs="Times New Roman"/>
              </w:rPr>
            </w:pPr>
          </w:p>
        </w:tc>
      </w:tr>
      <w:tr w:rsidR="002735B8" w:rsidRPr="002735B8" w14:paraId="1FAF8293" w14:textId="77777777" w:rsidTr="00284074">
        <w:trPr>
          <w:cantSplit/>
        </w:trPr>
        <w:tc>
          <w:tcPr>
            <w:tcW w:w="1700" w:type="dxa"/>
            <w:shd w:val="clear" w:color="auto" w:fill="FFC000"/>
            <w:vAlign w:val="center"/>
          </w:tcPr>
          <w:p w14:paraId="0D1087EE"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4.</w:t>
            </w:r>
          </w:p>
        </w:tc>
        <w:tc>
          <w:tcPr>
            <w:tcW w:w="2835" w:type="dxa"/>
            <w:shd w:val="clear" w:color="auto" w:fill="FFC000"/>
            <w:vAlign w:val="center"/>
          </w:tcPr>
          <w:p w14:paraId="4E3B5B00"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Znatne</w:t>
            </w:r>
          </w:p>
        </w:tc>
        <w:tc>
          <w:tcPr>
            <w:tcW w:w="2836" w:type="dxa"/>
            <w:shd w:val="clear" w:color="auto" w:fill="FFC000"/>
            <w:vAlign w:val="center"/>
          </w:tcPr>
          <w:p w14:paraId="561EE8EA"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85-269</w:t>
            </w:r>
          </w:p>
        </w:tc>
        <w:tc>
          <w:tcPr>
            <w:tcW w:w="1701" w:type="dxa"/>
            <w:shd w:val="clear" w:color="auto" w:fill="FFC000"/>
            <w:vAlign w:val="center"/>
          </w:tcPr>
          <w:p w14:paraId="7ADA31A5" w14:textId="77777777" w:rsidR="002735B8" w:rsidRPr="002735B8" w:rsidRDefault="002735B8" w:rsidP="002735B8">
            <w:pPr>
              <w:spacing w:after="0" w:line="240" w:lineRule="auto"/>
              <w:ind w:left="0" w:right="0" w:firstLine="0"/>
              <w:jc w:val="center"/>
              <w:rPr>
                <w:rFonts w:ascii="Times New Roman" w:hAnsi="Times New Roman" w:cs="Times New Roman"/>
              </w:rPr>
            </w:pPr>
          </w:p>
        </w:tc>
      </w:tr>
      <w:tr w:rsidR="002735B8" w:rsidRPr="002735B8" w14:paraId="2724FBB5" w14:textId="77777777" w:rsidTr="00284074">
        <w:trPr>
          <w:cantSplit/>
        </w:trPr>
        <w:tc>
          <w:tcPr>
            <w:tcW w:w="1700" w:type="dxa"/>
            <w:vAlign w:val="center"/>
          </w:tcPr>
          <w:p w14:paraId="2B311027"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5.</w:t>
            </w:r>
          </w:p>
        </w:tc>
        <w:tc>
          <w:tcPr>
            <w:tcW w:w="2835" w:type="dxa"/>
            <w:vAlign w:val="center"/>
          </w:tcPr>
          <w:p w14:paraId="14457E57"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Katastrofalne</w:t>
            </w:r>
          </w:p>
        </w:tc>
        <w:tc>
          <w:tcPr>
            <w:tcW w:w="2836" w:type="dxa"/>
            <w:vAlign w:val="center"/>
          </w:tcPr>
          <w:p w14:paraId="490C7EBC"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&gt;269</w:t>
            </w:r>
          </w:p>
        </w:tc>
        <w:tc>
          <w:tcPr>
            <w:tcW w:w="1701" w:type="dxa"/>
            <w:vAlign w:val="center"/>
          </w:tcPr>
          <w:p w14:paraId="7F66D5CC"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x</w:t>
            </w:r>
          </w:p>
        </w:tc>
      </w:tr>
    </w:tbl>
    <w:p w14:paraId="50D90753" w14:textId="77777777" w:rsidR="002735B8" w:rsidRPr="002735B8" w:rsidRDefault="002735B8" w:rsidP="002735B8">
      <w:pPr>
        <w:spacing w:after="0" w:line="240" w:lineRule="auto"/>
        <w:ind w:left="0" w:right="0" w:firstLine="0"/>
        <w:rPr>
          <w:rFonts w:ascii="Times New Roman" w:hAnsi="Times New Roman" w:cs="Times New Roman"/>
          <w:i/>
          <w:sz w:val="24"/>
          <w:szCs w:val="24"/>
        </w:rPr>
      </w:pPr>
    </w:p>
    <w:p w14:paraId="30FADA50" w14:textId="77777777" w:rsidR="002735B8" w:rsidRPr="00DD51D2" w:rsidRDefault="002735B8" w:rsidP="00C70C9F">
      <w:pPr>
        <w:spacing w:after="0" w:line="240" w:lineRule="auto"/>
        <w:ind w:left="0" w:right="0" w:firstLine="709"/>
        <w:rPr>
          <w:rFonts w:ascii="Times New Roman" w:hAnsi="Times New Roman" w:cs="Times New Roman"/>
          <w:b/>
          <w:i/>
          <w:sz w:val="24"/>
          <w:szCs w:val="24"/>
        </w:rPr>
      </w:pPr>
      <w:r w:rsidRPr="00DD51D2">
        <w:rPr>
          <w:rFonts w:ascii="Times New Roman" w:hAnsi="Times New Roman" w:cs="Times New Roman"/>
          <w:b/>
          <w:i/>
          <w:sz w:val="24"/>
          <w:szCs w:val="24"/>
        </w:rPr>
        <w:t>6.6.5.1.2. Gospodarstvo</w:t>
      </w:r>
    </w:p>
    <w:p w14:paraId="6F0EAC8A"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U ukupnim troškovima poduzimanja mjera zaštite dominantni će biti oni vezani uz preseljenje stanovništva, dekontaminaciju objekata i okoliša te uz poljoprivredu. Troškovi preseljenja i kompenzacije isplaćene preseljenom stanovništvu procjenjuju se na nekoliko desetaka milijardi kuna. Troškovi dekontaminacije objekata i okoliša se procjenjuju na dodatnih desetak milijardi kuna. Dekontaminacija je nužna kako bi se barem dijelu preseljenog stanovništva omogućio povratak. </w:t>
      </w:r>
    </w:p>
    <w:p w14:paraId="20FE12F6"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U poljoprivredi se predviđa provedba čitavog niza mjera u cilju zadržavanja koncentracija radionuklida u prehrambenim proizvodima ispod najviših dopuštenih vrijednosti. Kada je u pitanju ratarstvo, voćarstvo i vinogradarstvo, na površini od desetak tisuća km</w:t>
      </w:r>
      <w:r w:rsidRPr="002735B8">
        <w:rPr>
          <w:rFonts w:ascii="Times New Roman" w:hAnsi="Times New Roman" w:cs="Times New Roman"/>
          <w:sz w:val="24"/>
          <w:szCs w:val="24"/>
          <w:vertAlign w:val="superscript"/>
        </w:rPr>
        <w:t xml:space="preserve">2  </w:t>
      </w:r>
      <w:r w:rsidRPr="002735B8">
        <w:rPr>
          <w:rFonts w:ascii="Times New Roman" w:hAnsi="Times New Roman" w:cs="Times New Roman"/>
          <w:sz w:val="24"/>
          <w:szCs w:val="24"/>
        </w:rPr>
        <w:t xml:space="preserve">biti će nužno zabraniti konzumaciju i distribuciju svih proizvoda koje se uzgaja na otvorenom prostoru. </w:t>
      </w:r>
    </w:p>
    <w:p w14:paraId="41011A62"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Na tom području će također biti potrebno provoditi razne mjere smanjenja kontaminacije tla, da bi se nakon nekoliko godina moglo ponovo započeti s proizvodnjom. Nesreća će, dakle, dovesti do gubitka ukupne višegodišnje ratarske, voćarske i vinogradarske proizvodnje na najvećem dijelu područja zahvaćenog radioaktivnim oblakom, kao i do potrebe zbrinjavanja kontaminiranih proizvoda. Kada je riječ o stočarstvu, nužne mjere uključuju: </w:t>
      </w:r>
    </w:p>
    <w:p w14:paraId="625DE9E8" w14:textId="77777777" w:rsidR="002735B8" w:rsidRPr="002735B8" w:rsidRDefault="002735B8" w:rsidP="0014113B">
      <w:pPr>
        <w:numPr>
          <w:ilvl w:val="0"/>
          <w:numId w:val="7"/>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 xml:space="preserve">eutanaziranje visoko kontaminirane stoke i zbrinjavanje ostataka, </w:t>
      </w:r>
    </w:p>
    <w:p w14:paraId="47E34DFC" w14:textId="77777777" w:rsidR="002735B8" w:rsidRPr="002735B8" w:rsidRDefault="002735B8" w:rsidP="0014113B">
      <w:pPr>
        <w:numPr>
          <w:ilvl w:val="0"/>
          <w:numId w:val="7"/>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 xml:space="preserve">držanje stoke u zatvorenim prostorima i do nekoliko godina, </w:t>
      </w:r>
    </w:p>
    <w:p w14:paraId="76339B2E" w14:textId="77777777" w:rsidR="002735B8" w:rsidRPr="002735B8" w:rsidRDefault="002735B8" w:rsidP="0014113B">
      <w:pPr>
        <w:numPr>
          <w:ilvl w:val="0"/>
          <w:numId w:val="7"/>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osiguranje zamjenske stočne hrane iz uvoza,</w:t>
      </w:r>
    </w:p>
    <w:p w14:paraId="34D51D5C" w14:textId="77777777" w:rsidR="002735B8" w:rsidRPr="002735B8" w:rsidRDefault="002735B8" w:rsidP="0014113B">
      <w:pPr>
        <w:numPr>
          <w:ilvl w:val="0"/>
          <w:numId w:val="7"/>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košnju i zbrinjavanje kontaminirane trave sa terena za ispašu,</w:t>
      </w:r>
    </w:p>
    <w:p w14:paraId="6ED430C1" w14:textId="77777777" w:rsidR="002735B8" w:rsidRPr="002735B8" w:rsidRDefault="002735B8" w:rsidP="0014113B">
      <w:pPr>
        <w:numPr>
          <w:ilvl w:val="0"/>
          <w:numId w:val="7"/>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lastRenderedPageBreak/>
        <w:t xml:space="preserve">uvođenje radiološke kontrole prije klanja stoke i </w:t>
      </w:r>
    </w:p>
    <w:p w14:paraId="5D5F5040" w14:textId="77777777" w:rsidR="002735B8" w:rsidRPr="002735B8" w:rsidRDefault="002735B8" w:rsidP="0014113B">
      <w:pPr>
        <w:numPr>
          <w:ilvl w:val="0"/>
          <w:numId w:val="7"/>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 xml:space="preserve">uvođenje radiološke kontrole prehrambenih proizvoda. </w:t>
      </w:r>
    </w:p>
    <w:p w14:paraId="2C969612"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2807FCD1"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Budući da se poljoprivredom kao primarnom gospodarskom djelatnošću bavi vrlo malen dio stanovništva Grada Zagreba te da na području Grada Zagreba nema pravnih subjekata koji bi bili značajniji nositelji poljoprivredne proizvodnje, a udio poljoprivrednog stanovništva u populaciji Grada Zagreba pao je s 0,57 % u 2001. na 0,19 % u 2011., ukupni troškovi poduzimanja mjera zaštite u poljoprivredi procjenjuju se na nekoliko milijuna kuna, odnosno značajno manje nego što iznosi procjena za državnu razinu (nekoliko desetaka milijardi kuna). Najveće pojedinačne stavke su višegodišnji gubitak ratarske, voćarske i vinogradarske proizvodnje, troškovi mjera za smanjenje razine kontaminacije poljoprivrednih površina i troškovi zbrinjavanja kontaminiranog materijala. Značajna stavka su i troškovi radioloških mjerenja. </w:t>
      </w:r>
    </w:p>
    <w:p w14:paraId="5F6471D3"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Podaci Hrvatskih šuma za 2016. godinu pokazuju da šumsko zemljište obuhvaća površinu od 19.196 ha, odnosno nešto manje od trećine (29,93 %) ukupne površine Grada Zagreba. Privatne šume pokrivaju površinu od 9.506 ha, a šume u državnom vlasništvu 9.690 ha. Na području Grada Zagreba državnim šumama gospodari trgovačko društvo Hrvatske šume d.o.o. preko Uprave šuma Zagreb odnosno Šumarija Zagreb, Remetinec i Dugo Selo. Te su šume raspoređene u 11 gospodarskih jedinica, s drvnom zalihom od oko 2,5 milijuna m</w:t>
      </w:r>
      <w:r w:rsidRPr="002735B8">
        <w:rPr>
          <w:rFonts w:ascii="Times New Roman" w:hAnsi="Times New Roman" w:cs="Times New Roman"/>
          <w:sz w:val="24"/>
          <w:szCs w:val="24"/>
          <w:vertAlign w:val="superscript"/>
        </w:rPr>
        <w:t xml:space="preserve">3 </w:t>
      </w:r>
      <w:r w:rsidRPr="002735B8">
        <w:rPr>
          <w:rFonts w:ascii="Times New Roman" w:hAnsi="Times New Roman" w:cs="Times New Roman"/>
          <w:sz w:val="24"/>
          <w:szCs w:val="24"/>
        </w:rPr>
        <w:t>i godišnjim prirastom od oko 70.000 m</w:t>
      </w:r>
      <w:r w:rsidRPr="002735B8">
        <w:rPr>
          <w:rFonts w:ascii="Times New Roman" w:hAnsi="Times New Roman" w:cs="Times New Roman"/>
          <w:sz w:val="24"/>
          <w:szCs w:val="24"/>
          <w:vertAlign w:val="superscript"/>
        </w:rPr>
        <w:t>3</w:t>
      </w:r>
      <w:r w:rsidRPr="002735B8">
        <w:rPr>
          <w:rFonts w:ascii="Times New Roman" w:hAnsi="Times New Roman" w:cs="Times New Roman"/>
          <w:sz w:val="24"/>
          <w:szCs w:val="24"/>
        </w:rPr>
        <w:t>. Izgledno je očekivati da će doći do obustavljanja izvoza drvne građe.</w:t>
      </w:r>
    </w:p>
    <w:p w14:paraId="6FF98919"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Ostale ekonomske gubitke sačinjavaju (1) gubitci uzrokovani drastičnim padom potražnje za hrvatskim proizvodima (poljoprivrednim i drugim) i (2) gubitci u turizmu. Jedni i drugi su vezani uz narušavanje reputacije, odnosno uz stvaranje loše slike o Hrvatskoj. </w:t>
      </w:r>
    </w:p>
    <w:p w14:paraId="47C3FFD6" w14:textId="7890700A" w:rsidR="002735B8" w:rsidRPr="002735B8" w:rsidRDefault="002735B8" w:rsidP="00C207B1">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 xml:space="preserve"> </w:t>
      </w:r>
      <w:r w:rsidR="00C207B1">
        <w:rPr>
          <w:rFonts w:ascii="Times New Roman" w:hAnsi="Times New Roman" w:cs="Times New Roman"/>
          <w:sz w:val="24"/>
          <w:szCs w:val="24"/>
        </w:rPr>
        <w:tab/>
      </w:r>
      <w:r w:rsidRPr="002735B8">
        <w:rPr>
          <w:rFonts w:ascii="Times New Roman" w:hAnsi="Times New Roman" w:cs="Times New Roman"/>
          <w:sz w:val="24"/>
          <w:szCs w:val="24"/>
        </w:rPr>
        <w:t xml:space="preserve">Prva podskupina predstavlja gubitke zbog potpunog sloma izvoza te zbog značajnog smanjenja plasmana hrvatskih proizvoda (poljoprivrednih i drugih) na domaćem tržištu. Na međunarodnim tržištima se predviđa uvođenje dugoročnih zabrana za hrvatske proizvode, a na domaćim okretanje potrošača proizvodima iz uvoza. Gubitci iz ove podskupine se procjenjuju na desetke milijardi kuna. </w:t>
      </w:r>
    </w:p>
    <w:p w14:paraId="732C13E9"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Budući da je na području Grada Zagreba jako razvijena prerađivačka industrija, a da su najznačajniji kapaciteti prehrambene industrije u Zagrebu vezani za slijedeće djelatnosti: proizvodnja kakaa, čokolade i bombona, prerada i konzerviranje mesa, proizvodnja kruha i tjestenina, prerada mlijeka i proizvodnja mliječnih proizvoda, proizvodnja rafiniranih ulja i masti, proizvodnja alkoholnih i bezalkoholnih pića, proizvodnja kave i čaja, obustavom izvoza doći će do velikih gospodarskih gubitaka. Koliki je značaj prehrambene industrije i proizvodnje pića govori i podatak da je u Zagrebu registrirano 438, a u Zagrebačkoj županiji 159 tvrtki koje zajedno ostvaruju više od 40 % ukupnog prihoda u odnosu na iste djelatnosti u Hrvatskoj</w:t>
      </w:r>
      <w:r w:rsidRPr="002735B8">
        <w:rPr>
          <w:rFonts w:ascii="Times New Roman" w:hAnsi="Times New Roman" w:cs="Times New Roman"/>
          <w:sz w:val="24"/>
          <w:szCs w:val="24"/>
          <w:vertAlign w:val="superscript"/>
        </w:rPr>
        <w:footnoteReference w:id="78"/>
      </w:r>
      <w:r w:rsidRPr="002735B8">
        <w:rPr>
          <w:rFonts w:ascii="Times New Roman" w:hAnsi="Times New Roman" w:cs="Times New Roman"/>
          <w:sz w:val="24"/>
          <w:szCs w:val="24"/>
        </w:rPr>
        <w:t>.</w:t>
      </w:r>
    </w:p>
    <w:p w14:paraId="39B48908"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Druga podskupina predstavlja veliku pojedinačnu stavku među svim financijskim posljedicama nesreće. Zbog spominjanja Grada Zagreba u kontekstu nuklearne nesreće stvara se loša slika, pa najveći dio potencijalnih gostiju zbog brige za zdravlje odabire neku drugu destinaciju. Predviđa se da bi štetni utjecaji u turizmu potrajali godinama. U posljednjih nekoliko godina Grad Zagreb bilježi intenzivan kontinuiran rast pozitivnih turističkih pokazatelja. Prema raspoloživim podacima vezanima uz broj dolazaka i noćenja turista od 2015. do 2019. godine, broj dolazaka turista se povećao za 34,91%, a broj noćenja za 46,26%.</w:t>
      </w:r>
    </w:p>
    <w:p w14:paraId="507B05E4" w14:textId="58273980"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Posljedice po gospodarstvo se mogu aproksimirati zbrojem troškova poduzimanja zaštitnih mjera (više desetaka milijardi kuna), gubitaka uzrokovanih smanjenjem potražnje za hrvatskim proizvodima (više desetaka milijardi kuna) i gubitaka u turizmu (pedesetak i više milijardi kuna). Nesumnjivo je da su posljedice po gospodarstvo "katastrofalne".</w:t>
      </w:r>
    </w:p>
    <w:p w14:paraId="1A9DD884" w14:textId="77777777" w:rsidR="002735B8" w:rsidRPr="002735B8" w:rsidRDefault="002735B8" w:rsidP="002735B8">
      <w:pPr>
        <w:spacing w:after="0" w:line="240" w:lineRule="auto"/>
        <w:ind w:left="0" w:right="0" w:firstLine="0"/>
        <w:rPr>
          <w:rFonts w:ascii="Times New Roman" w:hAnsi="Times New Roman" w:cs="Times New Roman"/>
          <w:i/>
          <w:sz w:val="24"/>
          <w:szCs w:val="24"/>
        </w:rPr>
      </w:pPr>
    </w:p>
    <w:p w14:paraId="34880DE1" w14:textId="579E745B" w:rsidR="002735B8" w:rsidRPr="00454CF3" w:rsidRDefault="002735B8" w:rsidP="0018095B">
      <w:pPr>
        <w:spacing w:line="240" w:lineRule="auto"/>
        <w:ind w:left="0" w:right="0" w:firstLine="0"/>
        <w:jc w:val="center"/>
        <w:rPr>
          <w:rFonts w:ascii="Times New Roman" w:hAnsi="Times New Roman" w:cs="Times New Roman"/>
          <w:b/>
          <w:iCs/>
          <w:color w:val="auto"/>
          <w:sz w:val="24"/>
          <w:szCs w:val="24"/>
        </w:rPr>
      </w:pPr>
      <w:r w:rsidRPr="00454CF3">
        <w:rPr>
          <w:rFonts w:ascii="Times New Roman" w:hAnsi="Times New Roman" w:cs="Times New Roman"/>
          <w:b/>
          <w:iCs/>
          <w:color w:val="auto"/>
          <w:sz w:val="24"/>
          <w:szCs w:val="24"/>
        </w:rPr>
        <w:t xml:space="preserve">Tablica </w:t>
      </w:r>
      <w:r w:rsidR="00454CF3" w:rsidRPr="00454CF3">
        <w:rPr>
          <w:rFonts w:ascii="Times New Roman" w:hAnsi="Times New Roman" w:cs="Times New Roman"/>
          <w:b/>
          <w:iCs/>
          <w:color w:val="auto"/>
          <w:sz w:val="24"/>
          <w:szCs w:val="24"/>
        </w:rPr>
        <w:t>109</w:t>
      </w:r>
      <w:r w:rsidRPr="00454CF3">
        <w:rPr>
          <w:rFonts w:ascii="Times New Roman" w:hAnsi="Times New Roman" w:cs="Times New Roman"/>
          <w:b/>
          <w:iCs/>
          <w:color w:val="auto"/>
          <w:sz w:val="24"/>
          <w:szCs w:val="24"/>
        </w:rPr>
        <w:t>. Vrijednost kriterija za posljedice na gospodarstvo po kategorijama</w:t>
      </w:r>
    </w:p>
    <w:tbl>
      <w:tblPr>
        <w:tblStyle w:val="TableGrid7"/>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01"/>
        <w:gridCol w:w="2835"/>
        <w:gridCol w:w="2835"/>
        <w:gridCol w:w="1701"/>
      </w:tblGrid>
      <w:tr w:rsidR="002735B8" w:rsidRPr="002735B8" w14:paraId="4774E7A5" w14:textId="77777777" w:rsidTr="00284074">
        <w:trPr>
          <w:cantSplit/>
        </w:trPr>
        <w:tc>
          <w:tcPr>
            <w:tcW w:w="9072" w:type="dxa"/>
            <w:gridSpan w:val="4"/>
            <w:shd w:val="clear" w:color="auto" w:fill="FFC000"/>
            <w:vAlign w:val="center"/>
          </w:tcPr>
          <w:p w14:paraId="628946FB"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b/>
              </w:rPr>
              <w:t>Gospodarstvo – nuklearna nesreća</w:t>
            </w:r>
          </w:p>
        </w:tc>
      </w:tr>
      <w:tr w:rsidR="002735B8" w:rsidRPr="002735B8" w14:paraId="72D38948" w14:textId="77777777" w:rsidTr="00284074">
        <w:trPr>
          <w:cantSplit/>
        </w:trPr>
        <w:tc>
          <w:tcPr>
            <w:tcW w:w="1701" w:type="dxa"/>
            <w:shd w:val="clear" w:color="auto" w:fill="FFC000"/>
            <w:vAlign w:val="center"/>
          </w:tcPr>
          <w:p w14:paraId="6AE78453"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b/>
              </w:rPr>
              <w:t>Kategorija</w:t>
            </w:r>
          </w:p>
        </w:tc>
        <w:tc>
          <w:tcPr>
            <w:tcW w:w="2835" w:type="dxa"/>
            <w:shd w:val="clear" w:color="auto" w:fill="FFC000"/>
            <w:vAlign w:val="center"/>
          </w:tcPr>
          <w:p w14:paraId="4ECC46C2"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b/>
              </w:rPr>
              <w:t>Posljedice</w:t>
            </w:r>
          </w:p>
        </w:tc>
        <w:tc>
          <w:tcPr>
            <w:tcW w:w="2835" w:type="dxa"/>
            <w:shd w:val="clear" w:color="auto" w:fill="FFC000"/>
            <w:vAlign w:val="center"/>
          </w:tcPr>
          <w:p w14:paraId="0DC35BD1"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b/>
              </w:rPr>
              <w:t>Kriteriji (kn)</w:t>
            </w:r>
          </w:p>
        </w:tc>
        <w:tc>
          <w:tcPr>
            <w:tcW w:w="1701" w:type="dxa"/>
            <w:shd w:val="clear" w:color="auto" w:fill="FFC000"/>
            <w:vAlign w:val="center"/>
          </w:tcPr>
          <w:p w14:paraId="1AA62484"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b/>
              </w:rPr>
              <w:t>ODABRANO</w:t>
            </w:r>
          </w:p>
        </w:tc>
      </w:tr>
      <w:tr w:rsidR="002735B8" w:rsidRPr="002735B8" w14:paraId="428F1783" w14:textId="77777777" w:rsidTr="00284074">
        <w:trPr>
          <w:cantSplit/>
        </w:trPr>
        <w:tc>
          <w:tcPr>
            <w:tcW w:w="1701" w:type="dxa"/>
            <w:vAlign w:val="center"/>
          </w:tcPr>
          <w:p w14:paraId="38468B3D"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1.</w:t>
            </w:r>
          </w:p>
        </w:tc>
        <w:tc>
          <w:tcPr>
            <w:tcW w:w="2835" w:type="dxa"/>
            <w:vAlign w:val="center"/>
          </w:tcPr>
          <w:p w14:paraId="05587536"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Neznatne</w:t>
            </w:r>
          </w:p>
        </w:tc>
        <w:tc>
          <w:tcPr>
            <w:tcW w:w="2835" w:type="dxa"/>
            <w:vAlign w:val="center"/>
          </w:tcPr>
          <w:p w14:paraId="2D954820"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75.634.600 - 151.269.100</w:t>
            </w:r>
          </w:p>
        </w:tc>
        <w:tc>
          <w:tcPr>
            <w:tcW w:w="1701" w:type="dxa"/>
            <w:vAlign w:val="center"/>
          </w:tcPr>
          <w:p w14:paraId="52FCAD3E" w14:textId="77777777" w:rsidR="002735B8" w:rsidRPr="002735B8" w:rsidRDefault="002735B8" w:rsidP="002735B8">
            <w:pPr>
              <w:spacing w:after="0" w:line="240" w:lineRule="auto"/>
              <w:ind w:left="0" w:right="0" w:firstLine="0"/>
              <w:jc w:val="center"/>
              <w:rPr>
                <w:rFonts w:ascii="Times New Roman" w:hAnsi="Times New Roman" w:cs="Times New Roman"/>
              </w:rPr>
            </w:pPr>
          </w:p>
        </w:tc>
      </w:tr>
      <w:tr w:rsidR="002735B8" w:rsidRPr="002735B8" w14:paraId="036C0674" w14:textId="77777777" w:rsidTr="00284074">
        <w:trPr>
          <w:cantSplit/>
        </w:trPr>
        <w:tc>
          <w:tcPr>
            <w:tcW w:w="1701" w:type="dxa"/>
            <w:shd w:val="clear" w:color="auto" w:fill="FFC000"/>
            <w:vAlign w:val="center"/>
          </w:tcPr>
          <w:p w14:paraId="0685DD53"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2.</w:t>
            </w:r>
          </w:p>
        </w:tc>
        <w:tc>
          <w:tcPr>
            <w:tcW w:w="2835" w:type="dxa"/>
            <w:shd w:val="clear" w:color="auto" w:fill="FFC000"/>
            <w:vAlign w:val="center"/>
          </w:tcPr>
          <w:p w14:paraId="58887FBC"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Malene</w:t>
            </w:r>
          </w:p>
        </w:tc>
        <w:tc>
          <w:tcPr>
            <w:tcW w:w="2835" w:type="dxa"/>
            <w:shd w:val="clear" w:color="auto" w:fill="FFC000"/>
            <w:vAlign w:val="center"/>
          </w:tcPr>
          <w:p w14:paraId="07992D30"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151.269.100 - 756.345.600</w:t>
            </w:r>
          </w:p>
        </w:tc>
        <w:tc>
          <w:tcPr>
            <w:tcW w:w="1701" w:type="dxa"/>
            <w:shd w:val="clear" w:color="auto" w:fill="FFC000"/>
            <w:vAlign w:val="center"/>
          </w:tcPr>
          <w:p w14:paraId="1A672E68" w14:textId="77777777" w:rsidR="002735B8" w:rsidRPr="002735B8" w:rsidRDefault="002735B8" w:rsidP="002735B8">
            <w:pPr>
              <w:spacing w:after="0" w:line="240" w:lineRule="auto"/>
              <w:ind w:left="0" w:right="0" w:firstLine="0"/>
              <w:jc w:val="center"/>
              <w:rPr>
                <w:rFonts w:ascii="Times New Roman" w:hAnsi="Times New Roman" w:cs="Times New Roman"/>
              </w:rPr>
            </w:pPr>
          </w:p>
        </w:tc>
      </w:tr>
      <w:tr w:rsidR="002735B8" w:rsidRPr="002735B8" w14:paraId="3F00D433" w14:textId="77777777" w:rsidTr="00284074">
        <w:trPr>
          <w:cantSplit/>
        </w:trPr>
        <w:tc>
          <w:tcPr>
            <w:tcW w:w="1701" w:type="dxa"/>
            <w:vAlign w:val="center"/>
          </w:tcPr>
          <w:p w14:paraId="62404C3B"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3.</w:t>
            </w:r>
          </w:p>
        </w:tc>
        <w:tc>
          <w:tcPr>
            <w:tcW w:w="2835" w:type="dxa"/>
            <w:vAlign w:val="center"/>
          </w:tcPr>
          <w:p w14:paraId="57B96732"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Umjerene</w:t>
            </w:r>
          </w:p>
        </w:tc>
        <w:tc>
          <w:tcPr>
            <w:tcW w:w="2835" w:type="dxa"/>
            <w:vAlign w:val="center"/>
          </w:tcPr>
          <w:p w14:paraId="7EB8DB5A"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756.345.600 - 2.269.036.800</w:t>
            </w:r>
          </w:p>
        </w:tc>
        <w:tc>
          <w:tcPr>
            <w:tcW w:w="1701" w:type="dxa"/>
            <w:vAlign w:val="center"/>
          </w:tcPr>
          <w:p w14:paraId="14C40502" w14:textId="77777777" w:rsidR="002735B8" w:rsidRPr="002735B8" w:rsidRDefault="002735B8" w:rsidP="002735B8">
            <w:pPr>
              <w:spacing w:after="0" w:line="240" w:lineRule="auto"/>
              <w:ind w:left="0" w:right="0" w:firstLine="0"/>
              <w:jc w:val="center"/>
              <w:rPr>
                <w:rFonts w:ascii="Times New Roman" w:hAnsi="Times New Roman" w:cs="Times New Roman"/>
              </w:rPr>
            </w:pPr>
          </w:p>
        </w:tc>
      </w:tr>
      <w:tr w:rsidR="002735B8" w:rsidRPr="002735B8" w14:paraId="00124668" w14:textId="77777777" w:rsidTr="00284074">
        <w:trPr>
          <w:cantSplit/>
        </w:trPr>
        <w:tc>
          <w:tcPr>
            <w:tcW w:w="1701" w:type="dxa"/>
            <w:shd w:val="clear" w:color="auto" w:fill="FFC000"/>
            <w:vAlign w:val="center"/>
          </w:tcPr>
          <w:p w14:paraId="1DD98464"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4.</w:t>
            </w:r>
          </w:p>
        </w:tc>
        <w:tc>
          <w:tcPr>
            <w:tcW w:w="2835" w:type="dxa"/>
            <w:shd w:val="clear" w:color="auto" w:fill="FFC000"/>
            <w:vAlign w:val="center"/>
          </w:tcPr>
          <w:p w14:paraId="3CB8BE54"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Znatne</w:t>
            </w:r>
          </w:p>
        </w:tc>
        <w:tc>
          <w:tcPr>
            <w:tcW w:w="2835" w:type="dxa"/>
            <w:shd w:val="clear" w:color="auto" w:fill="FFC000"/>
            <w:vAlign w:val="center"/>
          </w:tcPr>
          <w:p w14:paraId="166A79BB"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2.269.036.800 - 3.781.727.900</w:t>
            </w:r>
          </w:p>
        </w:tc>
        <w:tc>
          <w:tcPr>
            <w:tcW w:w="1701" w:type="dxa"/>
            <w:shd w:val="clear" w:color="auto" w:fill="FFC000"/>
            <w:vAlign w:val="center"/>
          </w:tcPr>
          <w:p w14:paraId="0DCCACEA" w14:textId="77777777" w:rsidR="002735B8" w:rsidRPr="002735B8" w:rsidRDefault="002735B8" w:rsidP="002735B8">
            <w:pPr>
              <w:spacing w:after="0" w:line="240" w:lineRule="auto"/>
              <w:ind w:left="0" w:right="0" w:firstLine="0"/>
              <w:jc w:val="center"/>
              <w:rPr>
                <w:rFonts w:ascii="Times New Roman" w:hAnsi="Times New Roman" w:cs="Times New Roman"/>
              </w:rPr>
            </w:pPr>
          </w:p>
        </w:tc>
      </w:tr>
      <w:tr w:rsidR="002735B8" w:rsidRPr="002735B8" w14:paraId="63858561" w14:textId="77777777" w:rsidTr="00284074">
        <w:trPr>
          <w:cantSplit/>
        </w:trPr>
        <w:tc>
          <w:tcPr>
            <w:tcW w:w="1701" w:type="dxa"/>
            <w:vAlign w:val="center"/>
          </w:tcPr>
          <w:p w14:paraId="5823BC80"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5.</w:t>
            </w:r>
          </w:p>
        </w:tc>
        <w:tc>
          <w:tcPr>
            <w:tcW w:w="2835" w:type="dxa"/>
            <w:vAlign w:val="center"/>
          </w:tcPr>
          <w:p w14:paraId="6E036798"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Katastrofalne</w:t>
            </w:r>
          </w:p>
        </w:tc>
        <w:tc>
          <w:tcPr>
            <w:tcW w:w="2835" w:type="dxa"/>
            <w:vAlign w:val="center"/>
          </w:tcPr>
          <w:p w14:paraId="13AA2BAE"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&gt;3.781.727.900</w:t>
            </w:r>
          </w:p>
        </w:tc>
        <w:tc>
          <w:tcPr>
            <w:tcW w:w="1701" w:type="dxa"/>
            <w:vAlign w:val="center"/>
          </w:tcPr>
          <w:p w14:paraId="025A76A0"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x</w:t>
            </w:r>
          </w:p>
        </w:tc>
      </w:tr>
    </w:tbl>
    <w:p w14:paraId="69610D95" w14:textId="77777777" w:rsidR="0018095B" w:rsidRDefault="0018095B" w:rsidP="002735B8">
      <w:pPr>
        <w:spacing w:after="0" w:line="240" w:lineRule="auto"/>
        <w:ind w:left="0" w:right="0" w:firstLine="0"/>
        <w:rPr>
          <w:rFonts w:ascii="Times New Roman" w:hAnsi="Times New Roman" w:cs="Times New Roman"/>
          <w:i/>
          <w:sz w:val="24"/>
          <w:szCs w:val="24"/>
        </w:rPr>
      </w:pPr>
    </w:p>
    <w:p w14:paraId="145ACF5B" w14:textId="31CE0FFC" w:rsidR="002735B8" w:rsidRPr="00DD51D2" w:rsidRDefault="002735B8" w:rsidP="00C70C9F">
      <w:pPr>
        <w:spacing w:after="0" w:line="240" w:lineRule="auto"/>
        <w:ind w:left="0" w:right="0" w:firstLine="709"/>
        <w:rPr>
          <w:rFonts w:ascii="Times New Roman" w:hAnsi="Times New Roman" w:cs="Times New Roman"/>
          <w:b/>
          <w:i/>
          <w:sz w:val="24"/>
          <w:szCs w:val="24"/>
        </w:rPr>
      </w:pPr>
      <w:r w:rsidRPr="00DD51D2">
        <w:rPr>
          <w:rFonts w:ascii="Times New Roman" w:hAnsi="Times New Roman" w:cs="Times New Roman"/>
          <w:b/>
          <w:i/>
          <w:sz w:val="24"/>
          <w:szCs w:val="24"/>
        </w:rPr>
        <w:t>6.6.5.1.3. Društvena stabilnost i politika</w:t>
      </w:r>
    </w:p>
    <w:p w14:paraId="567BBD13"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S obzirom na to da vidljive promjene u biljnom ili životinjskom svijetu nisu uočene čak niti u Černobilskoj nesreći, takve se promjene ne predviđaju niti u događaju s najgorim mogućim posljedicama. No, za očekivati je da bi na područjima s visokim razinama kontaminacije bilo nužno uvesti ograničenja u korištenju ili im privremeno ili trajno promijeniti namjenu. Primjer je gubitak terena za sport i rekreaciju, što može bitno utjecati na kvalitetu života. Ovakve utjecaje je vrlo teško kvantificirati. </w:t>
      </w:r>
    </w:p>
    <w:p w14:paraId="0A8BC798"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Provedba mjera zaštite, smanjenje prihoda kao i sam život na kontaminiranom području nesumnjivo uzrokuju značajne psihološke, socijalne i političke utjecaje. Primjer su strah, zabrinutost, stigmatizacija stanovništva sa zahvaćenih područja, pad povjerenja u državne institucije i porast stope siromaštva (zbog pada prihoda i porasta cijena, među ostalim hrane). Pretpostavlja se da bi događaj s najgorim mogućim posljedicama dodatno ubrzao iseljavanje iz Hrvatske i uzrokovao povlačenje stranog kapitala, što bi predstavljalo težak udarac za dohodovnu stranu držanog proračuna. </w:t>
      </w:r>
    </w:p>
    <w:p w14:paraId="2F74C3BF"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Kada je u pitanju društvena stabilnost i politika, neće doći do oštećenja kritične infrastrukture niti do izravnih šteta ili gubitaka na građevinama od javnog društvenog značaja koje se nalaze na području Grada Zagreba, ali može doći do privremenog prestanka opskrbe stanovništva i industrije električnom energijom zbog prestanka rada NE Krško, i kratkog prekida rada telekomunikacijske infrastrukture zbog zagušenja uslijed povećanog prometa. Iako objekti prehrambene industrije neće biti fizički uništeni, zbog kontaminacije je moguća zabrana proizvodnje i gubitak radnih mjesta što bi moglo povećati društvene tenzije. Isto tako, moguća je i zabrana korištenja neflaširane pitke vode iz vodovoda, što bi dodatno narušilo kvalitetu života i potenciralo iseljavanje sa područja Grada Zagreba.</w:t>
      </w:r>
    </w:p>
    <w:p w14:paraId="151F6E7A" w14:textId="7EED274D" w:rsid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Ne predviđa se prestanak rada kritične infrastrukture dulji od 10 dana, niti će troškovi ponovne uspostave usluga biti značajni, no veliko opterećenje bit će pred zdravstvenim sektorom. Zbog ukupne financijske štete, posljedice su ocijenjene kao "neznatne". Jasno je, međutim, da posljedice događaja na društvenu sigurnost i politiku nisu "neznatne" nego katastrofalne, odnosno da se snažni nepovoljni utjecaji manifestiraju na područjima koja nisu obuhvaćena matricama.</w:t>
      </w:r>
    </w:p>
    <w:p w14:paraId="6B09C090" w14:textId="702D3D6F" w:rsidR="00C5768E" w:rsidRDefault="00C5768E" w:rsidP="00C207B1">
      <w:pPr>
        <w:spacing w:after="0" w:line="240" w:lineRule="auto"/>
        <w:ind w:left="0" w:right="0" w:firstLine="709"/>
        <w:rPr>
          <w:rFonts w:ascii="Times New Roman" w:hAnsi="Times New Roman" w:cs="Times New Roman"/>
          <w:sz w:val="24"/>
          <w:szCs w:val="24"/>
        </w:rPr>
      </w:pPr>
    </w:p>
    <w:p w14:paraId="6D1E736C" w14:textId="07356EA8" w:rsidR="002735B8" w:rsidRPr="002735B8" w:rsidRDefault="002735B8" w:rsidP="0018095B">
      <w:pPr>
        <w:spacing w:line="240" w:lineRule="auto"/>
        <w:ind w:left="0" w:right="0" w:firstLine="0"/>
        <w:jc w:val="center"/>
        <w:rPr>
          <w:rFonts w:ascii="Times New Roman" w:hAnsi="Times New Roman" w:cs="Times New Roman"/>
          <w:b/>
          <w:iCs/>
          <w:color w:val="auto"/>
          <w:sz w:val="24"/>
          <w:szCs w:val="24"/>
        </w:rPr>
      </w:pPr>
      <w:r w:rsidRPr="00454CF3">
        <w:rPr>
          <w:rFonts w:ascii="Times New Roman" w:hAnsi="Times New Roman" w:cs="Times New Roman"/>
          <w:b/>
          <w:iCs/>
          <w:color w:val="auto"/>
          <w:sz w:val="24"/>
          <w:szCs w:val="24"/>
        </w:rPr>
        <w:t xml:space="preserve">Tablica </w:t>
      </w:r>
      <w:r w:rsidR="00454CF3" w:rsidRPr="00454CF3">
        <w:rPr>
          <w:rFonts w:ascii="Times New Roman" w:hAnsi="Times New Roman" w:cs="Times New Roman"/>
          <w:b/>
          <w:iCs/>
          <w:color w:val="auto"/>
          <w:sz w:val="24"/>
          <w:szCs w:val="24"/>
        </w:rPr>
        <w:t>110</w:t>
      </w:r>
      <w:r w:rsidRPr="00454CF3">
        <w:rPr>
          <w:rFonts w:ascii="Times New Roman" w:hAnsi="Times New Roman" w:cs="Times New Roman"/>
          <w:b/>
          <w:iCs/>
          <w:color w:val="auto"/>
          <w:sz w:val="24"/>
          <w:szCs w:val="24"/>
        </w:rPr>
        <w:t xml:space="preserve">. Vrijednost kriterija za posljedice na društvenu stabilnost i politiku - </w:t>
      </w:r>
      <w:r w:rsidRPr="002735B8">
        <w:rPr>
          <w:rFonts w:ascii="Times New Roman" w:hAnsi="Times New Roman" w:cs="Times New Roman"/>
          <w:b/>
          <w:iCs/>
          <w:color w:val="auto"/>
          <w:sz w:val="24"/>
          <w:szCs w:val="24"/>
        </w:rPr>
        <w:t>oštećena kritična infrastruktura</w:t>
      </w:r>
    </w:p>
    <w:tbl>
      <w:tblPr>
        <w:tblStyle w:val="TableGrid7"/>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60" w:type="dxa"/>
        </w:tblCellMar>
        <w:tblLook w:val="04A0" w:firstRow="1" w:lastRow="0" w:firstColumn="1" w:lastColumn="0" w:noHBand="0" w:noVBand="1"/>
      </w:tblPr>
      <w:tblGrid>
        <w:gridCol w:w="1700"/>
        <w:gridCol w:w="2690"/>
        <w:gridCol w:w="3118"/>
        <w:gridCol w:w="1564"/>
      </w:tblGrid>
      <w:tr w:rsidR="002735B8" w:rsidRPr="002735B8" w14:paraId="3C3C528F" w14:textId="77777777" w:rsidTr="00284074">
        <w:trPr>
          <w:cantSplit/>
          <w:tblHeader/>
        </w:trPr>
        <w:tc>
          <w:tcPr>
            <w:tcW w:w="9072" w:type="dxa"/>
            <w:gridSpan w:val="4"/>
            <w:shd w:val="clear" w:color="auto" w:fill="FFC000"/>
            <w:vAlign w:val="center"/>
          </w:tcPr>
          <w:p w14:paraId="443EE74D"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b/>
              </w:rPr>
              <w:t xml:space="preserve">Oštećena kritična infrastruktura – nuklearna nesreća </w:t>
            </w:r>
          </w:p>
        </w:tc>
      </w:tr>
      <w:tr w:rsidR="002735B8" w:rsidRPr="002735B8" w14:paraId="5EB126EE" w14:textId="77777777" w:rsidTr="00284074">
        <w:trPr>
          <w:cantSplit/>
          <w:tblHeader/>
        </w:trPr>
        <w:tc>
          <w:tcPr>
            <w:tcW w:w="1700" w:type="dxa"/>
            <w:shd w:val="clear" w:color="auto" w:fill="FFC000"/>
            <w:vAlign w:val="center"/>
          </w:tcPr>
          <w:p w14:paraId="71380CC4"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b/>
              </w:rPr>
              <w:t>Kategorija</w:t>
            </w:r>
          </w:p>
        </w:tc>
        <w:tc>
          <w:tcPr>
            <w:tcW w:w="2690" w:type="dxa"/>
            <w:shd w:val="clear" w:color="auto" w:fill="FFC000"/>
            <w:vAlign w:val="center"/>
          </w:tcPr>
          <w:p w14:paraId="0E4EACB9"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b/>
              </w:rPr>
              <w:t>Posljedice</w:t>
            </w:r>
          </w:p>
        </w:tc>
        <w:tc>
          <w:tcPr>
            <w:tcW w:w="3118" w:type="dxa"/>
            <w:shd w:val="clear" w:color="auto" w:fill="FFC000"/>
            <w:vAlign w:val="center"/>
          </w:tcPr>
          <w:p w14:paraId="7B44EFDF"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b/>
              </w:rPr>
              <w:t>Kriteriji (kn)</w:t>
            </w:r>
          </w:p>
        </w:tc>
        <w:tc>
          <w:tcPr>
            <w:tcW w:w="1564" w:type="dxa"/>
            <w:shd w:val="clear" w:color="auto" w:fill="FFC000"/>
            <w:vAlign w:val="center"/>
          </w:tcPr>
          <w:p w14:paraId="1EB346D5"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b/>
              </w:rPr>
              <w:t>ODABRANO</w:t>
            </w:r>
          </w:p>
        </w:tc>
      </w:tr>
      <w:tr w:rsidR="002735B8" w:rsidRPr="002735B8" w14:paraId="4F92A331" w14:textId="77777777" w:rsidTr="00284074">
        <w:trPr>
          <w:cantSplit/>
        </w:trPr>
        <w:tc>
          <w:tcPr>
            <w:tcW w:w="1700" w:type="dxa"/>
            <w:vAlign w:val="center"/>
          </w:tcPr>
          <w:p w14:paraId="4D2F5239"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1.</w:t>
            </w:r>
          </w:p>
        </w:tc>
        <w:tc>
          <w:tcPr>
            <w:tcW w:w="2690" w:type="dxa"/>
            <w:vAlign w:val="center"/>
          </w:tcPr>
          <w:p w14:paraId="2B7245C7"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Neznatne</w:t>
            </w:r>
          </w:p>
        </w:tc>
        <w:tc>
          <w:tcPr>
            <w:tcW w:w="3118" w:type="dxa"/>
            <w:vAlign w:val="center"/>
          </w:tcPr>
          <w:p w14:paraId="59EB9A70"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75.634.600 - 151.269.100</w:t>
            </w:r>
          </w:p>
        </w:tc>
        <w:tc>
          <w:tcPr>
            <w:tcW w:w="1564" w:type="dxa"/>
            <w:vAlign w:val="center"/>
          </w:tcPr>
          <w:p w14:paraId="3E90AEE7"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x</w:t>
            </w:r>
          </w:p>
        </w:tc>
      </w:tr>
      <w:tr w:rsidR="002735B8" w:rsidRPr="002735B8" w14:paraId="3B4A6FF3" w14:textId="77777777" w:rsidTr="00284074">
        <w:trPr>
          <w:cantSplit/>
        </w:trPr>
        <w:tc>
          <w:tcPr>
            <w:tcW w:w="1700" w:type="dxa"/>
            <w:shd w:val="clear" w:color="auto" w:fill="FFC000"/>
            <w:vAlign w:val="center"/>
          </w:tcPr>
          <w:p w14:paraId="478B6F62"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2.</w:t>
            </w:r>
          </w:p>
        </w:tc>
        <w:tc>
          <w:tcPr>
            <w:tcW w:w="2690" w:type="dxa"/>
            <w:shd w:val="clear" w:color="auto" w:fill="FFC000"/>
            <w:vAlign w:val="center"/>
          </w:tcPr>
          <w:p w14:paraId="4B3CE19C"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Malene</w:t>
            </w:r>
          </w:p>
        </w:tc>
        <w:tc>
          <w:tcPr>
            <w:tcW w:w="3118" w:type="dxa"/>
            <w:shd w:val="clear" w:color="auto" w:fill="FFC000"/>
            <w:vAlign w:val="center"/>
          </w:tcPr>
          <w:p w14:paraId="79A803CC"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151.269.100 - 756.345.600</w:t>
            </w:r>
          </w:p>
        </w:tc>
        <w:tc>
          <w:tcPr>
            <w:tcW w:w="1564" w:type="dxa"/>
            <w:shd w:val="clear" w:color="auto" w:fill="FFC000"/>
            <w:vAlign w:val="center"/>
          </w:tcPr>
          <w:p w14:paraId="3DA6990D" w14:textId="77777777" w:rsidR="002735B8" w:rsidRPr="002735B8" w:rsidRDefault="002735B8" w:rsidP="002735B8">
            <w:pPr>
              <w:spacing w:after="0" w:line="240" w:lineRule="auto"/>
              <w:ind w:left="0" w:right="0" w:firstLine="0"/>
              <w:jc w:val="center"/>
              <w:rPr>
                <w:rFonts w:ascii="Times New Roman" w:hAnsi="Times New Roman" w:cs="Times New Roman"/>
              </w:rPr>
            </w:pPr>
          </w:p>
        </w:tc>
      </w:tr>
      <w:tr w:rsidR="002735B8" w:rsidRPr="002735B8" w14:paraId="0D70355B" w14:textId="77777777" w:rsidTr="00284074">
        <w:trPr>
          <w:cantSplit/>
        </w:trPr>
        <w:tc>
          <w:tcPr>
            <w:tcW w:w="1700" w:type="dxa"/>
            <w:vAlign w:val="center"/>
          </w:tcPr>
          <w:p w14:paraId="31B58A28"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3.</w:t>
            </w:r>
          </w:p>
        </w:tc>
        <w:tc>
          <w:tcPr>
            <w:tcW w:w="2690" w:type="dxa"/>
            <w:vAlign w:val="center"/>
          </w:tcPr>
          <w:p w14:paraId="1C81E1F2"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Umjerene</w:t>
            </w:r>
          </w:p>
        </w:tc>
        <w:tc>
          <w:tcPr>
            <w:tcW w:w="3118" w:type="dxa"/>
            <w:vAlign w:val="center"/>
          </w:tcPr>
          <w:p w14:paraId="3DC5CA58"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756.345.600 - 2.269.036.800</w:t>
            </w:r>
          </w:p>
        </w:tc>
        <w:tc>
          <w:tcPr>
            <w:tcW w:w="1564" w:type="dxa"/>
            <w:vAlign w:val="center"/>
          </w:tcPr>
          <w:p w14:paraId="67F06C1B" w14:textId="77777777" w:rsidR="002735B8" w:rsidRPr="002735B8" w:rsidRDefault="002735B8" w:rsidP="002735B8">
            <w:pPr>
              <w:spacing w:after="0" w:line="240" w:lineRule="auto"/>
              <w:ind w:left="0" w:right="0" w:firstLine="0"/>
              <w:jc w:val="center"/>
              <w:rPr>
                <w:rFonts w:ascii="Times New Roman" w:hAnsi="Times New Roman" w:cs="Times New Roman"/>
              </w:rPr>
            </w:pPr>
          </w:p>
        </w:tc>
      </w:tr>
      <w:tr w:rsidR="002735B8" w:rsidRPr="002735B8" w14:paraId="0CC3C015" w14:textId="77777777" w:rsidTr="00284074">
        <w:trPr>
          <w:cantSplit/>
        </w:trPr>
        <w:tc>
          <w:tcPr>
            <w:tcW w:w="1700" w:type="dxa"/>
            <w:shd w:val="clear" w:color="auto" w:fill="FFC000"/>
            <w:vAlign w:val="center"/>
          </w:tcPr>
          <w:p w14:paraId="24BBACF7"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4.</w:t>
            </w:r>
          </w:p>
        </w:tc>
        <w:tc>
          <w:tcPr>
            <w:tcW w:w="2690" w:type="dxa"/>
            <w:shd w:val="clear" w:color="auto" w:fill="FFC000"/>
            <w:vAlign w:val="center"/>
          </w:tcPr>
          <w:p w14:paraId="4EE74F74"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Znatne</w:t>
            </w:r>
          </w:p>
        </w:tc>
        <w:tc>
          <w:tcPr>
            <w:tcW w:w="3118" w:type="dxa"/>
            <w:shd w:val="clear" w:color="auto" w:fill="FFC000"/>
            <w:vAlign w:val="center"/>
          </w:tcPr>
          <w:p w14:paraId="1ADFF92C"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2.269.036.800 - 3.781.727.900</w:t>
            </w:r>
          </w:p>
        </w:tc>
        <w:tc>
          <w:tcPr>
            <w:tcW w:w="1564" w:type="dxa"/>
            <w:shd w:val="clear" w:color="auto" w:fill="FFC000"/>
            <w:vAlign w:val="center"/>
          </w:tcPr>
          <w:p w14:paraId="1D66D345" w14:textId="77777777" w:rsidR="002735B8" w:rsidRPr="002735B8" w:rsidRDefault="002735B8" w:rsidP="002735B8">
            <w:pPr>
              <w:spacing w:after="0" w:line="240" w:lineRule="auto"/>
              <w:ind w:left="0" w:right="0" w:firstLine="0"/>
              <w:jc w:val="center"/>
              <w:rPr>
                <w:rFonts w:ascii="Times New Roman" w:hAnsi="Times New Roman" w:cs="Times New Roman"/>
              </w:rPr>
            </w:pPr>
          </w:p>
        </w:tc>
      </w:tr>
      <w:tr w:rsidR="002735B8" w:rsidRPr="002735B8" w14:paraId="39E21A8A" w14:textId="77777777" w:rsidTr="00284074">
        <w:trPr>
          <w:cantSplit/>
        </w:trPr>
        <w:tc>
          <w:tcPr>
            <w:tcW w:w="1700" w:type="dxa"/>
            <w:vAlign w:val="center"/>
          </w:tcPr>
          <w:p w14:paraId="4CAC9A14"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5.</w:t>
            </w:r>
          </w:p>
        </w:tc>
        <w:tc>
          <w:tcPr>
            <w:tcW w:w="2690" w:type="dxa"/>
            <w:vAlign w:val="center"/>
          </w:tcPr>
          <w:p w14:paraId="149FD0CD"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Katastrofalne</w:t>
            </w:r>
          </w:p>
        </w:tc>
        <w:tc>
          <w:tcPr>
            <w:tcW w:w="3118" w:type="dxa"/>
            <w:vAlign w:val="center"/>
          </w:tcPr>
          <w:p w14:paraId="521A12A7"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&gt;3.781.727.900</w:t>
            </w:r>
          </w:p>
        </w:tc>
        <w:tc>
          <w:tcPr>
            <w:tcW w:w="1564" w:type="dxa"/>
            <w:vAlign w:val="center"/>
          </w:tcPr>
          <w:p w14:paraId="4D4A63C3" w14:textId="77777777" w:rsidR="002735B8" w:rsidRPr="002735B8" w:rsidRDefault="002735B8" w:rsidP="002735B8">
            <w:pPr>
              <w:spacing w:after="0" w:line="240" w:lineRule="auto"/>
              <w:ind w:left="0" w:right="0" w:firstLine="0"/>
              <w:jc w:val="center"/>
              <w:rPr>
                <w:rFonts w:ascii="Times New Roman" w:hAnsi="Times New Roman" w:cs="Times New Roman"/>
              </w:rPr>
            </w:pPr>
          </w:p>
        </w:tc>
      </w:tr>
    </w:tbl>
    <w:p w14:paraId="3220ECC9" w14:textId="77777777" w:rsidR="002735B8" w:rsidRPr="002735B8" w:rsidRDefault="002735B8" w:rsidP="002735B8">
      <w:pPr>
        <w:spacing w:after="0" w:line="240" w:lineRule="auto"/>
        <w:ind w:left="0" w:right="0" w:firstLine="0"/>
        <w:rPr>
          <w:rFonts w:ascii="Times New Roman" w:hAnsi="Times New Roman" w:cs="Times New Roman"/>
          <w:b/>
          <w:iCs/>
          <w:color w:val="FF0000"/>
          <w:sz w:val="24"/>
          <w:szCs w:val="24"/>
        </w:rPr>
      </w:pPr>
    </w:p>
    <w:p w14:paraId="3428ADE4" w14:textId="51E22CCD" w:rsidR="002735B8" w:rsidRPr="002735B8" w:rsidRDefault="002735B8" w:rsidP="0018095B">
      <w:pPr>
        <w:spacing w:line="240" w:lineRule="auto"/>
        <w:ind w:left="0" w:right="0" w:firstLine="0"/>
        <w:jc w:val="center"/>
        <w:rPr>
          <w:rFonts w:ascii="Times New Roman" w:hAnsi="Times New Roman" w:cs="Times New Roman"/>
          <w:b/>
          <w:iCs/>
          <w:color w:val="auto"/>
          <w:sz w:val="24"/>
          <w:szCs w:val="24"/>
        </w:rPr>
      </w:pPr>
      <w:r w:rsidRPr="00454CF3">
        <w:rPr>
          <w:rFonts w:ascii="Times New Roman" w:hAnsi="Times New Roman" w:cs="Times New Roman"/>
          <w:b/>
          <w:iCs/>
          <w:color w:val="auto"/>
          <w:sz w:val="24"/>
          <w:szCs w:val="24"/>
        </w:rPr>
        <w:lastRenderedPageBreak/>
        <w:t xml:space="preserve">Tablica </w:t>
      </w:r>
      <w:r w:rsidR="00454CF3" w:rsidRPr="00454CF3">
        <w:rPr>
          <w:rFonts w:ascii="Times New Roman" w:hAnsi="Times New Roman" w:cs="Times New Roman"/>
          <w:b/>
          <w:iCs/>
          <w:color w:val="auto"/>
          <w:sz w:val="24"/>
          <w:szCs w:val="24"/>
        </w:rPr>
        <w:t>111</w:t>
      </w:r>
      <w:r w:rsidRPr="00454CF3">
        <w:rPr>
          <w:rFonts w:ascii="Times New Roman" w:hAnsi="Times New Roman" w:cs="Times New Roman"/>
          <w:b/>
          <w:iCs/>
          <w:color w:val="auto"/>
          <w:sz w:val="24"/>
          <w:szCs w:val="24"/>
        </w:rPr>
        <w:t xml:space="preserve">. Vrijednost kriterija za posljedice na društvenu stabilnost i politiku - </w:t>
      </w:r>
      <w:r w:rsidRPr="002735B8">
        <w:rPr>
          <w:rFonts w:ascii="Times New Roman" w:hAnsi="Times New Roman" w:cs="Times New Roman"/>
          <w:b/>
          <w:iCs/>
          <w:color w:val="auto"/>
          <w:sz w:val="24"/>
          <w:szCs w:val="24"/>
        </w:rPr>
        <w:t>štete/gubitci na ustanovama/građevinama javnog društvenog značaja</w:t>
      </w:r>
    </w:p>
    <w:tbl>
      <w:tblPr>
        <w:tblStyle w:val="TableGrid7"/>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60" w:type="dxa"/>
        </w:tblCellMar>
        <w:tblLook w:val="04A0" w:firstRow="1" w:lastRow="0" w:firstColumn="1" w:lastColumn="0" w:noHBand="0" w:noVBand="1"/>
      </w:tblPr>
      <w:tblGrid>
        <w:gridCol w:w="1700"/>
        <w:gridCol w:w="2690"/>
        <w:gridCol w:w="3118"/>
        <w:gridCol w:w="1564"/>
      </w:tblGrid>
      <w:tr w:rsidR="002735B8" w:rsidRPr="002735B8" w14:paraId="03E081C8" w14:textId="77777777" w:rsidTr="00284074">
        <w:trPr>
          <w:cantSplit/>
          <w:tblHeader/>
        </w:trPr>
        <w:tc>
          <w:tcPr>
            <w:tcW w:w="9072" w:type="dxa"/>
            <w:gridSpan w:val="4"/>
            <w:shd w:val="clear" w:color="auto" w:fill="FFC000"/>
            <w:vAlign w:val="center"/>
          </w:tcPr>
          <w:p w14:paraId="17A3D9A0"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b/>
              </w:rPr>
              <w:t>Štete/gubitci na građevinama od javnog društvenog značaja – nuklearna nesreća</w:t>
            </w:r>
          </w:p>
        </w:tc>
      </w:tr>
      <w:tr w:rsidR="002735B8" w:rsidRPr="002735B8" w14:paraId="1665159B" w14:textId="77777777" w:rsidTr="00284074">
        <w:trPr>
          <w:cantSplit/>
          <w:tblHeader/>
        </w:trPr>
        <w:tc>
          <w:tcPr>
            <w:tcW w:w="1700" w:type="dxa"/>
            <w:shd w:val="clear" w:color="auto" w:fill="FFC000"/>
            <w:vAlign w:val="center"/>
          </w:tcPr>
          <w:p w14:paraId="56DF810A"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b/>
              </w:rPr>
              <w:t>Kategorija</w:t>
            </w:r>
          </w:p>
        </w:tc>
        <w:tc>
          <w:tcPr>
            <w:tcW w:w="2690" w:type="dxa"/>
            <w:shd w:val="clear" w:color="auto" w:fill="FFC000"/>
            <w:vAlign w:val="center"/>
          </w:tcPr>
          <w:p w14:paraId="57663CFD"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b/>
              </w:rPr>
              <w:t>Posljedice</w:t>
            </w:r>
          </w:p>
        </w:tc>
        <w:tc>
          <w:tcPr>
            <w:tcW w:w="3118" w:type="dxa"/>
            <w:shd w:val="clear" w:color="auto" w:fill="FFC000"/>
            <w:vAlign w:val="center"/>
          </w:tcPr>
          <w:p w14:paraId="083EA662"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b/>
              </w:rPr>
              <w:t>Kriteriji (kn)</w:t>
            </w:r>
          </w:p>
        </w:tc>
        <w:tc>
          <w:tcPr>
            <w:tcW w:w="1564" w:type="dxa"/>
            <w:shd w:val="clear" w:color="auto" w:fill="FFC000"/>
            <w:vAlign w:val="center"/>
          </w:tcPr>
          <w:p w14:paraId="6681A35D"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b/>
              </w:rPr>
              <w:t>ODABRANO</w:t>
            </w:r>
          </w:p>
        </w:tc>
      </w:tr>
      <w:tr w:rsidR="002735B8" w:rsidRPr="002735B8" w14:paraId="01EC36F0" w14:textId="77777777" w:rsidTr="00284074">
        <w:trPr>
          <w:cantSplit/>
        </w:trPr>
        <w:tc>
          <w:tcPr>
            <w:tcW w:w="1700" w:type="dxa"/>
            <w:vAlign w:val="center"/>
          </w:tcPr>
          <w:p w14:paraId="3EFAA796"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1.</w:t>
            </w:r>
          </w:p>
        </w:tc>
        <w:tc>
          <w:tcPr>
            <w:tcW w:w="2690" w:type="dxa"/>
            <w:vAlign w:val="center"/>
          </w:tcPr>
          <w:p w14:paraId="30FBFBE3"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Neznatne</w:t>
            </w:r>
          </w:p>
        </w:tc>
        <w:tc>
          <w:tcPr>
            <w:tcW w:w="3118" w:type="dxa"/>
            <w:vAlign w:val="center"/>
          </w:tcPr>
          <w:p w14:paraId="4DFAF780"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75.634.600 - 151.269.100</w:t>
            </w:r>
          </w:p>
        </w:tc>
        <w:tc>
          <w:tcPr>
            <w:tcW w:w="1564" w:type="dxa"/>
            <w:vAlign w:val="center"/>
          </w:tcPr>
          <w:p w14:paraId="2FF5C0A5"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x</w:t>
            </w:r>
          </w:p>
        </w:tc>
      </w:tr>
      <w:tr w:rsidR="002735B8" w:rsidRPr="002735B8" w14:paraId="4942C2B1" w14:textId="77777777" w:rsidTr="00284074">
        <w:trPr>
          <w:cantSplit/>
        </w:trPr>
        <w:tc>
          <w:tcPr>
            <w:tcW w:w="1700" w:type="dxa"/>
            <w:shd w:val="clear" w:color="auto" w:fill="FFC000"/>
            <w:vAlign w:val="center"/>
          </w:tcPr>
          <w:p w14:paraId="5E04431E"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2.</w:t>
            </w:r>
          </w:p>
        </w:tc>
        <w:tc>
          <w:tcPr>
            <w:tcW w:w="2690" w:type="dxa"/>
            <w:shd w:val="clear" w:color="auto" w:fill="FFC000"/>
            <w:vAlign w:val="center"/>
          </w:tcPr>
          <w:p w14:paraId="648FBD00"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Malene</w:t>
            </w:r>
          </w:p>
        </w:tc>
        <w:tc>
          <w:tcPr>
            <w:tcW w:w="3118" w:type="dxa"/>
            <w:shd w:val="clear" w:color="auto" w:fill="FFC000"/>
            <w:vAlign w:val="center"/>
          </w:tcPr>
          <w:p w14:paraId="79529771"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151.269.100 - 756.345.600</w:t>
            </w:r>
          </w:p>
        </w:tc>
        <w:tc>
          <w:tcPr>
            <w:tcW w:w="1564" w:type="dxa"/>
            <w:shd w:val="clear" w:color="auto" w:fill="FFC000"/>
            <w:vAlign w:val="center"/>
          </w:tcPr>
          <w:p w14:paraId="7088C036" w14:textId="77777777" w:rsidR="002735B8" w:rsidRPr="002735B8" w:rsidRDefault="002735B8" w:rsidP="002735B8">
            <w:pPr>
              <w:spacing w:after="0" w:line="240" w:lineRule="auto"/>
              <w:ind w:left="0" w:right="0" w:firstLine="0"/>
              <w:jc w:val="center"/>
              <w:rPr>
                <w:rFonts w:ascii="Times New Roman" w:hAnsi="Times New Roman" w:cs="Times New Roman"/>
              </w:rPr>
            </w:pPr>
          </w:p>
        </w:tc>
      </w:tr>
      <w:tr w:rsidR="002735B8" w:rsidRPr="002735B8" w14:paraId="0F731E2D" w14:textId="77777777" w:rsidTr="00284074">
        <w:trPr>
          <w:cantSplit/>
        </w:trPr>
        <w:tc>
          <w:tcPr>
            <w:tcW w:w="1700" w:type="dxa"/>
            <w:vAlign w:val="center"/>
          </w:tcPr>
          <w:p w14:paraId="2133C982"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3.</w:t>
            </w:r>
          </w:p>
        </w:tc>
        <w:tc>
          <w:tcPr>
            <w:tcW w:w="2690" w:type="dxa"/>
            <w:vAlign w:val="center"/>
          </w:tcPr>
          <w:p w14:paraId="5AC64576"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Umjerene</w:t>
            </w:r>
          </w:p>
        </w:tc>
        <w:tc>
          <w:tcPr>
            <w:tcW w:w="3118" w:type="dxa"/>
            <w:vAlign w:val="center"/>
          </w:tcPr>
          <w:p w14:paraId="0363936B"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756.345.600 - 2.269.036.800</w:t>
            </w:r>
          </w:p>
        </w:tc>
        <w:tc>
          <w:tcPr>
            <w:tcW w:w="1564" w:type="dxa"/>
            <w:vAlign w:val="center"/>
          </w:tcPr>
          <w:p w14:paraId="1E1B114B" w14:textId="77777777" w:rsidR="002735B8" w:rsidRPr="002735B8" w:rsidRDefault="002735B8" w:rsidP="002735B8">
            <w:pPr>
              <w:spacing w:after="0" w:line="240" w:lineRule="auto"/>
              <w:ind w:left="0" w:right="0" w:firstLine="0"/>
              <w:jc w:val="center"/>
              <w:rPr>
                <w:rFonts w:ascii="Times New Roman" w:hAnsi="Times New Roman" w:cs="Times New Roman"/>
              </w:rPr>
            </w:pPr>
          </w:p>
        </w:tc>
      </w:tr>
      <w:tr w:rsidR="002735B8" w:rsidRPr="002735B8" w14:paraId="13E5E6B7" w14:textId="77777777" w:rsidTr="00284074">
        <w:trPr>
          <w:cantSplit/>
        </w:trPr>
        <w:tc>
          <w:tcPr>
            <w:tcW w:w="1700" w:type="dxa"/>
            <w:shd w:val="clear" w:color="auto" w:fill="FFC000"/>
            <w:vAlign w:val="center"/>
          </w:tcPr>
          <w:p w14:paraId="4E59531A"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4.</w:t>
            </w:r>
          </w:p>
        </w:tc>
        <w:tc>
          <w:tcPr>
            <w:tcW w:w="2690" w:type="dxa"/>
            <w:shd w:val="clear" w:color="auto" w:fill="FFC000"/>
            <w:vAlign w:val="center"/>
          </w:tcPr>
          <w:p w14:paraId="53D5F379"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Znatne</w:t>
            </w:r>
          </w:p>
        </w:tc>
        <w:tc>
          <w:tcPr>
            <w:tcW w:w="3118" w:type="dxa"/>
            <w:shd w:val="clear" w:color="auto" w:fill="FFC000"/>
            <w:vAlign w:val="center"/>
          </w:tcPr>
          <w:p w14:paraId="51EA396E"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2.269.036.800 - 3.781.727.900</w:t>
            </w:r>
          </w:p>
        </w:tc>
        <w:tc>
          <w:tcPr>
            <w:tcW w:w="1564" w:type="dxa"/>
            <w:shd w:val="clear" w:color="auto" w:fill="FFC000"/>
            <w:vAlign w:val="center"/>
          </w:tcPr>
          <w:p w14:paraId="21AA0DF3" w14:textId="77777777" w:rsidR="002735B8" w:rsidRPr="002735B8" w:rsidRDefault="002735B8" w:rsidP="002735B8">
            <w:pPr>
              <w:spacing w:after="0" w:line="240" w:lineRule="auto"/>
              <w:ind w:left="0" w:right="0" w:firstLine="0"/>
              <w:jc w:val="center"/>
              <w:rPr>
                <w:rFonts w:ascii="Times New Roman" w:hAnsi="Times New Roman" w:cs="Times New Roman"/>
              </w:rPr>
            </w:pPr>
          </w:p>
        </w:tc>
      </w:tr>
      <w:tr w:rsidR="002735B8" w:rsidRPr="002735B8" w14:paraId="24AA0089" w14:textId="77777777" w:rsidTr="00284074">
        <w:trPr>
          <w:cantSplit/>
        </w:trPr>
        <w:tc>
          <w:tcPr>
            <w:tcW w:w="1700" w:type="dxa"/>
            <w:vAlign w:val="center"/>
          </w:tcPr>
          <w:p w14:paraId="75D0C03C"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5.</w:t>
            </w:r>
          </w:p>
        </w:tc>
        <w:tc>
          <w:tcPr>
            <w:tcW w:w="2690" w:type="dxa"/>
            <w:vAlign w:val="center"/>
          </w:tcPr>
          <w:p w14:paraId="646BC21E"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Katastrofalne</w:t>
            </w:r>
          </w:p>
        </w:tc>
        <w:tc>
          <w:tcPr>
            <w:tcW w:w="3118" w:type="dxa"/>
            <w:vAlign w:val="center"/>
          </w:tcPr>
          <w:p w14:paraId="1502F0B6" w14:textId="77777777" w:rsidR="002735B8" w:rsidRPr="002735B8" w:rsidRDefault="002735B8" w:rsidP="002735B8">
            <w:pPr>
              <w:spacing w:after="0" w:line="240" w:lineRule="auto"/>
              <w:ind w:left="0" w:right="0" w:firstLine="0"/>
              <w:jc w:val="center"/>
              <w:rPr>
                <w:rFonts w:ascii="Times New Roman" w:hAnsi="Times New Roman" w:cs="Times New Roman"/>
              </w:rPr>
            </w:pPr>
            <w:r w:rsidRPr="002735B8">
              <w:rPr>
                <w:rFonts w:ascii="Times New Roman" w:hAnsi="Times New Roman" w:cs="Times New Roman"/>
              </w:rPr>
              <w:t>&gt;3.781.727.900</w:t>
            </w:r>
          </w:p>
        </w:tc>
        <w:tc>
          <w:tcPr>
            <w:tcW w:w="1564" w:type="dxa"/>
            <w:vAlign w:val="center"/>
          </w:tcPr>
          <w:p w14:paraId="2CD93A9A" w14:textId="77777777" w:rsidR="002735B8" w:rsidRPr="002735B8" w:rsidRDefault="002735B8" w:rsidP="002735B8">
            <w:pPr>
              <w:spacing w:after="0" w:line="240" w:lineRule="auto"/>
              <w:ind w:left="0" w:right="0" w:firstLine="0"/>
              <w:jc w:val="center"/>
              <w:rPr>
                <w:rFonts w:ascii="Times New Roman" w:hAnsi="Times New Roman" w:cs="Times New Roman"/>
              </w:rPr>
            </w:pPr>
          </w:p>
        </w:tc>
      </w:tr>
    </w:tbl>
    <w:p w14:paraId="28E35266"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33DCE999" w14:textId="056B75B9" w:rsidR="002735B8" w:rsidRDefault="002735B8" w:rsidP="0018095B">
      <w:pPr>
        <w:keepNext/>
        <w:keepLines/>
        <w:spacing w:line="268" w:lineRule="auto"/>
        <w:ind w:left="119" w:right="805"/>
        <w:jc w:val="center"/>
        <w:outlineLvl w:val="3"/>
        <w:rPr>
          <w:rFonts w:ascii="Times New Roman" w:hAnsi="Times New Roman" w:cs="Times New Roman"/>
          <w:b/>
          <w:color w:val="auto"/>
          <w:sz w:val="24"/>
          <w:szCs w:val="24"/>
        </w:rPr>
      </w:pPr>
      <w:r w:rsidRPr="00ED5079">
        <w:rPr>
          <w:rFonts w:ascii="Times New Roman" w:hAnsi="Times New Roman" w:cs="Times New Roman"/>
          <w:b/>
          <w:color w:val="auto"/>
          <w:sz w:val="24"/>
          <w:szCs w:val="24"/>
        </w:rPr>
        <w:t xml:space="preserve">Tablica </w:t>
      </w:r>
      <w:r w:rsidR="00ED5079" w:rsidRPr="00ED5079">
        <w:rPr>
          <w:rFonts w:ascii="Times New Roman" w:hAnsi="Times New Roman" w:cs="Times New Roman"/>
          <w:b/>
          <w:color w:val="auto"/>
          <w:sz w:val="24"/>
          <w:szCs w:val="24"/>
        </w:rPr>
        <w:t>112</w:t>
      </w:r>
      <w:r w:rsidRPr="00ED5079">
        <w:rPr>
          <w:rFonts w:ascii="Times New Roman" w:hAnsi="Times New Roman" w:cs="Times New Roman"/>
          <w:b/>
          <w:color w:val="auto"/>
          <w:sz w:val="24"/>
          <w:szCs w:val="24"/>
        </w:rPr>
        <w:t xml:space="preserve">. Vrijednost kriterija za društvenu stabilnost i politiku </w:t>
      </w:r>
      <w:r w:rsidR="0018095B">
        <w:rPr>
          <w:rFonts w:ascii="Times New Roman" w:hAnsi="Times New Roman" w:cs="Times New Roman"/>
          <w:b/>
          <w:color w:val="auto"/>
          <w:sz w:val="24"/>
          <w:szCs w:val="24"/>
        </w:rPr>
        <w:t>–</w:t>
      </w:r>
      <w:r w:rsidRPr="00ED5079">
        <w:rPr>
          <w:rFonts w:ascii="Times New Roman" w:hAnsi="Times New Roman" w:cs="Times New Roman"/>
          <w:b/>
          <w:color w:val="auto"/>
          <w:sz w:val="24"/>
          <w:szCs w:val="24"/>
        </w:rPr>
        <w:t xml:space="preserve"> zbirno</w:t>
      </w:r>
    </w:p>
    <w:tbl>
      <w:tblPr>
        <w:tblStyle w:val="TableGrid14"/>
        <w:tblW w:w="9072" w:type="dxa"/>
        <w:tblInd w:w="-5" w:type="dxa"/>
        <w:tblCellMar>
          <w:top w:w="11" w:type="dxa"/>
          <w:left w:w="137" w:type="dxa"/>
          <w:right w:w="49" w:type="dxa"/>
        </w:tblCellMar>
        <w:tblLook w:val="04A0" w:firstRow="1" w:lastRow="0" w:firstColumn="1" w:lastColumn="0" w:noHBand="0" w:noVBand="1"/>
      </w:tblPr>
      <w:tblGrid>
        <w:gridCol w:w="1697"/>
        <w:gridCol w:w="2430"/>
        <w:gridCol w:w="3084"/>
        <w:gridCol w:w="1861"/>
      </w:tblGrid>
      <w:tr w:rsidR="002735B8" w:rsidRPr="002735B8" w14:paraId="244833D1" w14:textId="77777777" w:rsidTr="00284074">
        <w:trPr>
          <w:trHeight w:val="802"/>
        </w:trPr>
        <w:tc>
          <w:tcPr>
            <w:tcW w:w="1697" w:type="dxa"/>
            <w:tcBorders>
              <w:top w:val="single" w:sz="4" w:space="0" w:color="54883D"/>
              <w:left w:val="single" w:sz="4" w:space="0" w:color="54883D"/>
              <w:bottom w:val="single" w:sz="4" w:space="0" w:color="54883D"/>
              <w:right w:val="single" w:sz="4" w:space="0" w:color="54883D"/>
            </w:tcBorders>
            <w:shd w:val="clear" w:color="auto" w:fill="FFC000"/>
            <w:vAlign w:val="center"/>
          </w:tcPr>
          <w:p w14:paraId="3CFA648E" w14:textId="77777777" w:rsidR="002735B8" w:rsidRPr="002735B8" w:rsidRDefault="002735B8" w:rsidP="002735B8">
            <w:pPr>
              <w:spacing w:after="0" w:line="259" w:lineRule="auto"/>
              <w:ind w:left="20" w:right="0" w:firstLine="0"/>
              <w:jc w:val="center"/>
              <w:rPr>
                <w:rFonts w:ascii="Times New Roman" w:hAnsi="Times New Roman" w:cs="Times New Roman"/>
              </w:rPr>
            </w:pPr>
            <w:r w:rsidRPr="002735B8">
              <w:rPr>
                <w:rFonts w:ascii="Times New Roman" w:hAnsi="Times New Roman" w:cs="Times New Roman"/>
                <w:b/>
              </w:rPr>
              <w:t>POSLJEDICE</w:t>
            </w:r>
          </w:p>
        </w:tc>
        <w:tc>
          <w:tcPr>
            <w:tcW w:w="2430" w:type="dxa"/>
            <w:tcBorders>
              <w:top w:val="single" w:sz="4" w:space="0" w:color="54883D"/>
              <w:left w:val="single" w:sz="4" w:space="0" w:color="54883D"/>
              <w:bottom w:val="single" w:sz="4" w:space="0" w:color="54883D"/>
              <w:right w:val="single" w:sz="4" w:space="0" w:color="54883D"/>
            </w:tcBorders>
            <w:shd w:val="clear" w:color="auto" w:fill="FFC000"/>
            <w:vAlign w:val="center"/>
          </w:tcPr>
          <w:p w14:paraId="6CF06A7C" w14:textId="77777777" w:rsidR="002735B8" w:rsidRPr="002735B8" w:rsidRDefault="002735B8" w:rsidP="002735B8">
            <w:pPr>
              <w:spacing w:after="0" w:line="259" w:lineRule="auto"/>
              <w:ind w:left="0" w:right="0" w:firstLine="0"/>
              <w:jc w:val="center"/>
              <w:rPr>
                <w:rFonts w:ascii="Times New Roman" w:hAnsi="Times New Roman" w:cs="Times New Roman"/>
              </w:rPr>
            </w:pPr>
            <w:r w:rsidRPr="002735B8">
              <w:rPr>
                <w:rFonts w:ascii="Times New Roman" w:hAnsi="Times New Roman" w:cs="Times New Roman"/>
                <w:b/>
              </w:rPr>
              <w:t>KRITIČNA INFRASTRUKTURA</w:t>
            </w:r>
          </w:p>
        </w:tc>
        <w:tc>
          <w:tcPr>
            <w:tcW w:w="3084" w:type="dxa"/>
            <w:tcBorders>
              <w:top w:val="single" w:sz="4" w:space="0" w:color="54883D"/>
              <w:left w:val="single" w:sz="4" w:space="0" w:color="54883D"/>
              <w:bottom w:val="single" w:sz="4" w:space="0" w:color="54883D"/>
              <w:right w:val="single" w:sz="4" w:space="0" w:color="54883D"/>
            </w:tcBorders>
            <w:shd w:val="clear" w:color="auto" w:fill="FFC000"/>
          </w:tcPr>
          <w:p w14:paraId="5E31FB26" w14:textId="77777777" w:rsidR="002735B8" w:rsidRPr="002735B8" w:rsidRDefault="002735B8" w:rsidP="002735B8">
            <w:pPr>
              <w:spacing w:after="19" w:line="259" w:lineRule="auto"/>
              <w:ind w:left="0" w:right="60" w:firstLine="0"/>
              <w:jc w:val="center"/>
              <w:rPr>
                <w:rFonts w:ascii="Times New Roman" w:hAnsi="Times New Roman" w:cs="Times New Roman"/>
              </w:rPr>
            </w:pPr>
            <w:r w:rsidRPr="002735B8">
              <w:rPr>
                <w:rFonts w:ascii="Times New Roman" w:hAnsi="Times New Roman" w:cs="Times New Roman"/>
                <w:b/>
              </w:rPr>
              <w:t>USTANOVE/GRAĐEVINE</w:t>
            </w:r>
          </w:p>
          <w:p w14:paraId="3E7CD46B" w14:textId="77777777" w:rsidR="002735B8" w:rsidRPr="002735B8" w:rsidRDefault="002735B8" w:rsidP="002735B8">
            <w:pPr>
              <w:spacing w:after="0" w:line="259" w:lineRule="auto"/>
              <w:ind w:left="0" w:right="0" w:firstLine="0"/>
              <w:jc w:val="center"/>
              <w:rPr>
                <w:rFonts w:ascii="Times New Roman" w:hAnsi="Times New Roman" w:cs="Times New Roman"/>
              </w:rPr>
            </w:pPr>
            <w:r w:rsidRPr="002735B8">
              <w:rPr>
                <w:rFonts w:ascii="Times New Roman" w:hAnsi="Times New Roman" w:cs="Times New Roman"/>
                <w:b/>
              </w:rPr>
              <w:t>JAVNOG DRUŠTVENOG ZNAČAJA</w:t>
            </w:r>
          </w:p>
        </w:tc>
        <w:tc>
          <w:tcPr>
            <w:tcW w:w="1861" w:type="dxa"/>
            <w:tcBorders>
              <w:top w:val="single" w:sz="4" w:space="0" w:color="54883D"/>
              <w:left w:val="single" w:sz="4" w:space="0" w:color="54883D"/>
              <w:bottom w:val="single" w:sz="4" w:space="0" w:color="54883D"/>
              <w:right w:val="single" w:sz="4" w:space="0" w:color="54883D"/>
            </w:tcBorders>
            <w:shd w:val="clear" w:color="auto" w:fill="FFC000"/>
            <w:vAlign w:val="center"/>
          </w:tcPr>
          <w:p w14:paraId="55EDF120" w14:textId="77777777" w:rsidR="002735B8" w:rsidRPr="002735B8" w:rsidRDefault="002735B8" w:rsidP="002735B8">
            <w:pPr>
              <w:spacing w:after="0" w:line="259" w:lineRule="auto"/>
              <w:ind w:left="0" w:right="0" w:firstLine="0"/>
              <w:jc w:val="center"/>
              <w:rPr>
                <w:rFonts w:ascii="Times New Roman" w:hAnsi="Times New Roman" w:cs="Times New Roman"/>
              </w:rPr>
            </w:pPr>
            <w:r w:rsidRPr="002735B8">
              <w:rPr>
                <w:rFonts w:ascii="Times New Roman" w:hAnsi="Times New Roman" w:cs="Times New Roman"/>
                <w:b/>
              </w:rPr>
              <w:t>ODABRANO</w:t>
            </w:r>
          </w:p>
        </w:tc>
      </w:tr>
      <w:tr w:rsidR="002735B8" w:rsidRPr="002735B8" w14:paraId="160C91B4" w14:textId="77777777" w:rsidTr="00284074">
        <w:trPr>
          <w:trHeight w:val="277"/>
        </w:trPr>
        <w:tc>
          <w:tcPr>
            <w:tcW w:w="1697" w:type="dxa"/>
            <w:tcBorders>
              <w:top w:val="single" w:sz="4" w:space="0" w:color="54883D"/>
              <w:left w:val="single" w:sz="4" w:space="0" w:color="54883D"/>
              <w:bottom w:val="single" w:sz="4" w:space="0" w:color="54883D"/>
              <w:right w:val="single" w:sz="4" w:space="0" w:color="54883D"/>
            </w:tcBorders>
          </w:tcPr>
          <w:p w14:paraId="00F88E94" w14:textId="77777777" w:rsidR="002735B8" w:rsidRPr="002735B8" w:rsidRDefault="002735B8" w:rsidP="002735B8">
            <w:pPr>
              <w:spacing w:after="0" w:line="259" w:lineRule="auto"/>
              <w:ind w:left="0" w:right="94" w:firstLine="0"/>
              <w:jc w:val="center"/>
              <w:rPr>
                <w:rFonts w:ascii="Times New Roman" w:hAnsi="Times New Roman" w:cs="Times New Roman"/>
              </w:rPr>
            </w:pPr>
            <w:r w:rsidRPr="002735B8">
              <w:rPr>
                <w:rFonts w:ascii="Times New Roman" w:hAnsi="Times New Roman" w:cs="Times New Roman"/>
              </w:rPr>
              <w:t>Neznatne</w:t>
            </w:r>
          </w:p>
        </w:tc>
        <w:tc>
          <w:tcPr>
            <w:tcW w:w="2430" w:type="dxa"/>
            <w:tcBorders>
              <w:top w:val="single" w:sz="4" w:space="0" w:color="54883D"/>
              <w:left w:val="single" w:sz="4" w:space="0" w:color="54883D"/>
              <w:bottom w:val="single" w:sz="4" w:space="0" w:color="54883D"/>
              <w:right w:val="single" w:sz="4" w:space="0" w:color="54883D"/>
            </w:tcBorders>
          </w:tcPr>
          <w:p w14:paraId="5A827957" w14:textId="77777777" w:rsidR="002735B8" w:rsidRPr="002735B8" w:rsidRDefault="002735B8" w:rsidP="002735B8">
            <w:pPr>
              <w:spacing w:after="0" w:line="259" w:lineRule="auto"/>
              <w:ind w:left="0" w:right="34" w:firstLine="0"/>
              <w:jc w:val="center"/>
              <w:rPr>
                <w:rFonts w:ascii="Times New Roman" w:hAnsi="Times New Roman" w:cs="Times New Roman"/>
              </w:rPr>
            </w:pPr>
            <w:r w:rsidRPr="002735B8">
              <w:rPr>
                <w:rFonts w:ascii="Times New Roman" w:hAnsi="Times New Roman" w:cs="Times New Roman"/>
              </w:rPr>
              <w:t>x</w:t>
            </w:r>
          </w:p>
        </w:tc>
        <w:tc>
          <w:tcPr>
            <w:tcW w:w="3084" w:type="dxa"/>
            <w:tcBorders>
              <w:top w:val="single" w:sz="4" w:space="0" w:color="54883D"/>
              <w:left w:val="single" w:sz="4" w:space="0" w:color="54883D"/>
              <w:bottom w:val="single" w:sz="4" w:space="0" w:color="54883D"/>
              <w:right w:val="single" w:sz="4" w:space="0" w:color="54883D"/>
            </w:tcBorders>
          </w:tcPr>
          <w:p w14:paraId="5A75D393" w14:textId="77777777" w:rsidR="002735B8" w:rsidRPr="002735B8" w:rsidRDefault="002735B8" w:rsidP="002735B8">
            <w:pPr>
              <w:spacing w:after="0" w:line="259" w:lineRule="auto"/>
              <w:ind w:left="0" w:right="34" w:firstLine="0"/>
              <w:jc w:val="center"/>
              <w:rPr>
                <w:rFonts w:ascii="Times New Roman" w:hAnsi="Times New Roman" w:cs="Times New Roman"/>
              </w:rPr>
            </w:pPr>
            <w:r w:rsidRPr="002735B8">
              <w:rPr>
                <w:rFonts w:ascii="Times New Roman" w:hAnsi="Times New Roman" w:cs="Times New Roman"/>
              </w:rPr>
              <w:t>x</w:t>
            </w:r>
          </w:p>
        </w:tc>
        <w:tc>
          <w:tcPr>
            <w:tcW w:w="1861" w:type="dxa"/>
            <w:tcBorders>
              <w:top w:val="single" w:sz="4" w:space="0" w:color="54883D"/>
              <w:left w:val="single" w:sz="4" w:space="0" w:color="54883D"/>
              <w:bottom w:val="single" w:sz="4" w:space="0" w:color="54883D"/>
              <w:right w:val="single" w:sz="4" w:space="0" w:color="54883D"/>
            </w:tcBorders>
          </w:tcPr>
          <w:p w14:paraId="754292F4" w14:textId="77777777" w:rsidR="002735B8" w:rsidRPr="002735B8" w:rsidRDefault="002735B8" w:rsidP="002735B8">
            <w:pPr>
              <w:spacing w:after="0" w:line="259" w:lineRule="auto"/>
              <w:ind w:left="0" w:right="31" w:firstLine="0"/>
              <w:jc w:val="center"/>
              <w:rPr>
                <w:rFonts w:ascii="Times New Roman" w:hAnsi="Times New Roman" w:cs="Times New Roman"/>
              </w:rPr>
            </w:pPr>
            <w:r w:rsidRPr="002735B8">
              <w:rPr>
                <w:rFonts w:ascii="Times New Roman" w:hAnsi="Times New Roman" w:cs="Times New Roman"/>
              </w:rPr>
              <w:t>x</w:t>
            </w:r>
          </w:p>
        </w:tc>
      </w:tr>
      <w:tr w:rsidR="002735B8" w:rsidRPr="002735B8" w14:paraId="2572E3C2" w14:textId="77777777" w:rsidTr="00284074">
        <w:trPr>
          <w:trHeight w:val="272"/>
        </w:trPr>
        <w:tc>
          <w:tcPr>
            <w:tcW w:w="1697" w:type="dxa"/>
            <w:tcBorders>
              <w:top w:val="single" w:sz="4" w:space="0" w:color="54883D"/>
              <w:left w:val="single" w:sz="4" w:space="0" w:color="54883D"/>
              <w:bottom w:val="single" w:sz="4" w:space="0" w:color="54883D"/>
              <w:right w:val="single" w:sz="4" w:space="0" w:color="54883D"/>
            </w:tcBorders>
            <w:shd w:val="clear" w:color="auto" w:fill="FFC000"/>
          </w:tcPr>
          <w:p w14:paraId="7B3E71FD" w14:textId="77777777" w:rsidR="002735B8" w:rsidRPr="002735B8" w:rsidRDefault="002735B8" w:rsidP="002735B8">
            <w:pPr>
              <w:spacing w:after="0" w:line="259" w:lineRule="auto"/>
              <w:ind w:left="0" w:right="94" w:firstLine="0"/>
              <w:jc w:val="center"/>
              <w:rPr>
                <w:rFonts w:ascii="Times New Roman" w:hAnsi="Times New Roman" w:cs="Times New Roman"/>
              </w:rPr>
            </w:pPr>
            <w:r w:rsidRPr="002735B8">
              <w:rPr>
                <w:rFonts w:ascii="Times New Roman" w:hAnsi="Times New Roman" w:cs="Times New Roman"/>
              </w:rPr>
              <w:t>Malene</w:t>
            </w:r>
          </w:p>
        </w:tc>
        <w:tc>
          <w:tcPr>
            <w:tcW w:w="2430" w:type="dxa"/>
            <w:tcBorders>
              <w:top w:val="single" w:sz="4" w:space="0" w:color="54883D"/>
              <w:left w:val="single" w:sz="4" w:space="0" w:color="54883D"/>
              <w:bottom w:val="single" w:sz="4" w:space="0" w:color="54883D"/>
              <w:right w:val="single" w:sz="4" w:space="0" w:color="54883D"/>
            </w:tcBorders>
            <w:shd w:val="clear" w:color="auto" w:fill="FFC000"/>
          </w:tcPr>
          <w:p w14:paraId="25A801AE" w14:textId="77777777" w:rsidR="002735B8" w:rsidRPr="002735B8" w:rsidRDefault="002735B8" w:rsidP="002735B8">
            <w:pPr>
              <w:spacing w:after="0" w:line="259" w:lineRule="auto"/>
              <w:ind w:left="0" w:right="34" w:firstLine="0"/>
              <w:jc w:val="center"/>
              <w:rPr>
                <w:rFonts w:ascii="Times New Roman" w:hAnsi="Times New Roman" w:cs="Times New Roman"/>
              </w:rPr>
            </w:pPr>
          </w:p>
        </w:tc>
        <w:tc>
          <w:tcPr>
            <w:tcW w:w="3084" w:type="dxa"/>
            <w:tcBorders>
              <w:top w:val="single" w:sz="4" w:space="0" w:color="54883D"/>
              <w:left w:val="single" w:sz="4" w:space="0" w:color="54883D"/>
              <w:bottom w:val="single" w:sz="4" w:space="0" w:color="54883D"/>
              <w:right w:val="single" w:sz="4" w:space="0" w:color="54883D"/>
            </w:tcBorders>
            <w:shd w:val="clear" w:color="auto" w:fill="FFC000"/>
          </w:tcPr>
          <w:p w14:paraId="395532F9" w14:textId="77777777" w:rsidR="002735B8" w:rsidRPr="002735B8" w:rsidRDefault="002735B8" w:rsidP="002735B8">
            <w:pPr>
              <w:spacing w:after="0" w:line="259" w:lineRule="auto"/>
              <w:ind w:left="0" w:right="34" w:firstLine="0"/>
              <w:jc w:val="center"/>
              <w:rPr>
                <w:rFonts w:ascii="Times New Roman" w:hAnsi="Times New Roman" w:cs="Times New Roman"/>
              </w:rPr>
            </w:pPr>
          </w:p>
        </w:tc>
        <w:tc>
          <w:tcPr>
            <w:tcW w:w="1861" w:type="dxa"/>
            <w:tcBorders>
              <w:top w:val="single" w:sz="4" w:space="0" w:color="54883D"/>
              <w:left w:val="single" w:sz="4" w:space="0" w:color="54883D"/>
              <w:bottom w:val="single" w:sz="4" w:space="0" w:color="54883D"/>
              <w:right w:val="single" w:sz="4" w:space="0" w:color="54883D"/>
            </w:tcBorders>
            <w:shd w:val="clear" w:color="auto" w:fill="FFC000"/>
          </w:tcPr>
          <w:p w14:paraId="14914E3B" w14:textId="77777777" w:rsidR="002735B8" w:rsidRPr="002735B8" w:rsidRDefault="002735B8" w:rsidP="002735B8">
            <w:pPr>
              <w:spacing w:after="0" w:line="259" w:lineRule="auto"/>
              <w:ind w:left="0" w:right="31" w:firstLine="0"/>
              <w:jc w:val="center"/>
              <w:rPr>
                <w:rFonts w:ascii="Times New Roman" w:hAnsi="Times New Roman" w:cs="Times New Roman"/>
              </w:rPr>
            </w:pPr>
          </w:p>
        </w:tc>
      </w:tr>
      <w:tr w:rsidR="002735B8" w:rsidRPr="002735B8" w14:paraId="2C6D3728" w14:textId="77777777" w:rsidTr="00284074">
        <w:trPr>
          <w:trHeight w:val="276"/>
        </w:trPr>
        <w:tc>
          <w:tcPr>
            <w:tcW w:w="1697" w:type="dxa"/>
            <w:tcBorders>
              <w:top w:val="single" w:sz="4" w:space="0" w:color="54883D"/>
              <w:left w:val="single" w:sz="4" w:space="0" w:color="54883D"/>
              <w:bottom w:val="single" w:sz="4" w:space="0" w:color="54883D"/>
              <w:right w:val="single" w:sz="4" w:space="0" w:color="54883D"/>
            </w:tcBorders>
          </w:tcPr>
          <w:p w14:paraId="43985767" w14:textId="77777777" w:rsidR="002735B8" w:rsidRPr="002735B8" w:rsidRDefault="002735B8" w:rsidP="002735B8">
            <w:pPr>
              <w:spacing w:after="0" w:line="259" w:lineRule="auto"/>
              <w:ind w:left="0" w:right="91" w:firstLine="0"/>
              <w:jc w:val="center"/>
              <w:rPr>
                <w:rFonts w:ascii="Times New Roman" w:hAnsi="Times New Roman" w:cs="Times New Roman"/>
              </w:rPr>
            </w:pPr>
            <w:r w:rsidRPr="002735B8">
              <w:rPr>
                <w:rFonts w:ascii="Times New Roman" w:hAnsi="Times New Roman" w:cs="Times New Roman"/>
              </w:rPr>
              <w:t>Umjerene</w:t>
            </w:r>
          </w:p>
        </w:tc>
        <w:tc>
          <w:tcPr>
            <w:tcW w:w="2430" w:type="dxa"/>
            <w:tcBorders>
              <w:top w:val="single" w:sz="4" w:space="0" w:color="54883D"/>
              <w:left w:val="single" w:sz="4" w:space="0" w:color="54883D"/>
              <w:bottom w:val="single" w:sz="4" w:space="0" w:color="54883D"/>
              <w:right w:val="single" w:sz="4" w:space="0" w:color="54883D"/>
            </w:tcBorders>
          </w:tcPr>
          <w:p w14:paraId="465DE0A9" w14:textId="77777777" w:rsidR="002735B8" w:rsidRPr="002735B8" w:rsidRDefault="002735B8" w:rsidP="002735B8">
            <w:pPr>
              <w:spacing w:after="0" w:line="259" w:lineRule="auto"/>
              <w:ind w:left="0" w:right="34" w:firstLine="0"/>
              <w:jc w:val="center"/>
              <w:rPr>
                <w:rFonts w:ascii="Times New Roman" w:hAnsi="Times New Roman" w:cs="Times New Roman"/>
              </w:rPr>
            </w:pPr>
          </w:p>
        </w:tc>
        <w:tc>
          <w:tcPr>
            <w:tcW w:w="3084" w:type="dxa"/>
            <w:tcBorders>
              <w:top w:val="single" w:sz="4" w:space="0" w:color="54883D"/>
              <w:left w:val="single" w:sz="4" w:space="0" w:color="54883D"/>
              <w:bottom w:val="single" w:sz="4" w:space="0" w:color="54883D"/>
              <w:right w:val="single" w:sz="4" w:space="0" w:color="54883D"/>
            </w:tcBorders>
          </w:tcPr>
          <w:p w14:paraId="1A808FDC" w14:textId="77777777" w:rsidR="002735B8" w:rsidRPr="002735B8" w:rsidRDefault="002735B8" w:rsidP="002735B8">
            <w:pPr>
              <w:spacing w:after="0" w:line="259" w:lineRule="auto"/>
              <w:ind w:left="0" w:right="34" w:firstLine="0"/>
              <w:jc w:val="center"/>
              <w:rPr>
                <w:rFonts w:ascii="Times New Roman" w:hAnsi="Times New Roman" w:cs="Times New Roman"/>
              </w:rPr>
            </w:pPr>
          </w:p>
        </w:tc>
        <w:tc>
          <w:tcPr>
            <w:tcW w:w="1861" w:type="dxa"/>
            <w:tcBorders>
              <w:top w:val="single" w:sz="4" w:space="0" w:color="54883D"/>
              <w:left w:val="single" w:sz="4" w:space="0" w:color="54883D"/>
              <w:bottom w:val="single" w:sz="4" w:space="0" w:color="54883D"/>
              <w:right w:val="single" w:sz="4" w:space="0" w:color="54883D"/>
            </w:tcBorders>
          </w:tcPr>
          <w:p w14:paraId="511BA3F1" w14:textId="77777777" w:rsidR="002735B8" w:rsidRPr="002735B8" w:rsidRDefault="002735B8" w:rsidP="002735B8">
            <w:pPr>
              <w:spacing w:after="0" w:line="259" w:lineRule="auto"/>
              <w:ind w:left="0" w:right="31" w:firstLine="0"/>
              <w:jc w:val="center"/>
              <w:rPr>
                <w:rFonts w:ascii="Times New Roman" w:hAnsi="Times New Roman" w:cs="Times New Roman"/>
              </w:rPr>
            </w:pPr>
          </w:p>
        </w:tc>
      </w:tr>
      <w:tr w:rsidR="002735B8" w:rsidRPr="002735B8" w14:paraId="0BC2BF92" w14:textId="77777777" w:rsidTr="00284074">
        <w:trPr>
          <w:trHeight w:val="272"/>
        </w:trPr>
        <w:tc>
          <w:tcPr>
            <w:tcW w:w="1697" w:type="dxa"/>
            <w:tcBorders>
              <w:top w:val="single" w:sz="4" w:space="0" w:color="54883D"/>
              <w:left w:val="single" w:sz="4" w:space="0" w:color="54883D"/>
              <w:bottom w:val="single" w:sz="4" w:space="0" w:color="54883D"/>
              <w:right w:val="single" w:sz="4" w:space="0" w:color="54883D"/>
            </w:tcBorders>
            <w:shd w:val="clear" w:color="auto" w:fill="FFC000"/>
          </w:tcPr>
          <w:p w14:paraId="74E9D4DE" w14:textId="77777777" w:rsidR="002735B8" w:rsidRPr="002735B8" w:rsidRDefault="002735B8" w:rsidP="002735B8">
            <w:pPr>
              <w:spacing w:after="0" w:line="259" w:lineRule="auto"/>
              <w:ind w:left="0" w:right="94" w:firstLine="0"/>
              <w:jc w:val="center"/>
              <w:rPr>
                <w:rFonts w:ascii="Times New Roman" w:hAnsi="Times New Roman" w:cs="Times New Roman"/>
              </w:rPr>
            </w:pPr>
            <w:r w:rsidRPr="002735B8">
              <w:rPr>
                <w:rFonts w:ascii="Times New Roman" w:hAnsi="Times New Roman" w:cs="Times New Roman"/>
              </w:rPr>
              <w:t>Značajne</w:t>
            </w:r>
          </w:p>
        </w:tc>
        <w:tc>
          <w:tcPr>
            <w:tcW w:w="2430" w:type="dxa"/>
            <w:tcBorders>
              <w:top w:val="single" w:sz="4" w:space="0" w:color="54883D"/>
              <w:left w:val="single" w:sz="4" w:space="0" w:color="54883D"/>
              <w:bottom w:val="single" w:sz="4" w:space="0" w:color="54883D"/>
              <w:right w:val="single" w:sz="4" w:space="0" w:color="54883D"/>
            </w:tcBorders>
            <w:shd w:val="clear" w:color="auto" w:fill="FFC000"/>
          </w:tcPr>
          <w:p w14:paraId="49983299" w14:textId="77777777" w:rsidR="002735B8" w:rsidRPr="002735B8" w:rsidRDefault="002735B8" w:rsidP="002735B8">
            <w:pPr>
              <w:spacing w:after="0" w:line="259" w:lineRule="auto"/>
              <w:ind w:left="0" w:right="34" w:firstLine="0"/>
              <w:jc w:val="center"/>
              <w:rPr>
                <w:rFonts w:ascii="Times New Roman" w:hAnsi="Times New Roman" w:cs="Times New Roman"/>
              </w:rPr>
            </w:pPr>
          </w:p>
        </w:tc>
        <w:tc>
          <w:tcPr>
            <w:tcW w:w="3084" w:type="dxa"/>
            <w:tcBorders>
              <w:top w:val="single" w:sz="4" w:space="0" w:color="54883D"/>
              <w:left w:val="single" w:sz="4" w:space="0" w:color="54883D"/>
              <w:bottom w:val="single" w:sz="4" w:space="0" w:color="54883D"/>
              <w:right w:val="single" w:sz="4" w:space="0" w:color="54883D"/>
            </w:tcBorders>
            <w:shd w:val="clear" w:color="auto" w:fill="FFC000"/>
          </w:tcPr>
          <w:p w14:paraId="6ED9EB6D" w14:textId="77777777" w:rsidR="002735B8" w:rsidRPr="002735B8" w:rsidRDefault="002735B8" w:rsidP="002735B8">
            <w:pPr>
              <w:spacing w:after="0" w:line="259" w:lineRule="auto"/>
              <w:ind w:left="0" w:right="34" w:firstLine="0"/>
              <w:jc w:val="center"/>
              <w:rPr>
                <w:rFonts w:ascii="Times New Roman" w:hAnsi="Times New Roman" w:cs="Times New Roman"/>
              </w:rPr>
            </w:pPr>
          </w:p>
        </w:tc>
        <w:tc>
          <w:tcPr>
            <w:tcW w:w="1861" w:type="dxa"/>
            <w:tcBorders>
              <w:top w:val="single" w:sz="4" w:space="0" w:color="54883D"/>
              <w:left w:val="single" w:sz="4" w:space="0" w:color="54883D"/>
              <w:bottom w:val="single" w:sz="4" w:space="0" w:color="54883D"/>
              <w:right w:val="single" w:sz="4" w:space="0" w:color="54883D"/>
            </w:tcBorders>
            <w:shd w:val="clear" w:color="auto" w:fill="FFC000"/>
          </w:tcPr>
          <w:p w14:paraId="39299841" w14:textId="77777777" w:rsidR="002735B8" w:rsidRPr="002735B8" w:rsidRDefault="002735B8" w:rsidP="002735B8">
            <w:pPr>
              <w:spacing w:after="0" w:line="259" w:lineRule="auto"/>
              <w:ind w:left="0" w:right="31" w:firstLine="0"/>
              <w:jc w:val="center"/>
              <w:rPr>
                <w:rFonts w:ascii="Times New Roman" w:hAnsi="Times New Roman" w:cs="Times New Roman"/>
              </w:rPr>
            </w:pPr>
          </w:p>
        </w:tc>
      </w:tr>
      <w:tr w:rsidR="002735B8" w:rsidRPr="002735B8" w14:paraId="5137CB4E" w14:textId="77777777" w:rsidTr="00284074">
        <w:trPr>
          <w:trHeight w:val="277"/>
        </w:trPr>
        <w:tc>
          <w:tcPr>
            <w:tcW w:w="1697" w:type="dxa"/>
            <w:tcBorders>
              <w:top w:val="single" w:sz="4" w:space="0" w:color="54883D"/>
              <w:left w:val="single" w:sz="4" w:space="0" w:color="54883D"/>
              <w:bottom w:val="single" w:sz="4" w:space="0" w:color="54883D"/>
              <w:right w:val="single" w:sz="4" w:space="0" w:color="54883D"/>
            </w:tcBorders>
          </w:tcPr>
          <w:p w14:paraId="493C023B" w14:textId="77777777" w:rsidR="002735B8" w:rsidRPr="002735B8" w:rsidRDefault="002735B8" w:rsidP="002735B8">
            <w:pPr>
              <w:spacing w:after="0" w:line="259" w:lineRule="auto"/>
              <w:ind w:left="0" w:right="94" w:firstLine="0"/>
              <w:jc w:val="center"/>
              <w:rPr>
                <w:rFonts w:ascii="Times New Roman" w:hAnsi="Times New Roman" w:cs="Times New Roman"/>
              </w:rPr>
            </w:pPr>
            <w:r w:rsidRPr="002735B8">
              <w:rPr>
                <w:rFonts w:ascii="Times New Roman" w:hAnsi="Times New Roman" w:cs="Times New Roman"/>
              </w:rPr>
              <w:t>Katastrofalne</w:t>
            </w:r>
          </w:p>
        </w:tc>
        <w:tc>
          <w:tcPr>
            <w:tcW w:w="2430" w:type="dxa"/>
            <w:tcBorders>
              <w:top w:val="single" w:sz="4" w:space="0" w:color="54883D"/>
              <w:left w:val="single" w:sz="4" w:space="0" w:color="54883D"/>
              <w:bottom w:val="single" w:sz="4" w:space="0" w:color="54883D"/>
              <w:right w:val="single" w:sz="4" w:space="0" w:color="54883D"/>
            </w:tcBorders>
          </w:tcPr>
          <w:p w14:paraId="1E2E6222" w14:textId="77777777" w:rsidR="002735B8" w:rsidRPr="002735B8" w:rsidRDefault="002735B8" w:rsidP="002735B8">
            <w:pPr>
              <w:spacing w:after="0" w:line="259" w:lineRule="auto"/>
              <w:ind w:left="0" w:right="91" w:firstLine="0"/>
              <w:jc w:val="center"/>
              <w:rPr>
                <w:rFonts w:ascii="Times New Roman" w:hAnsi="Times New Roman" w:cs="Times New Roman"/>
              </w:rPr>
            </w:pPr>
          </w:p>
        </w:tc>
        <w:tc>
          <w:tcPr>
            <w:tcW w:w="3084" w:type="dxa"/>
            <w:tcBorders>
              <w:top w:val="single" w:sz="4" w:space="0" w:color="54883D"/>
              <w:left w:val="single" w:sz="4" w:space="0" w:color="54883D"/>
              <w:bottom w:val="single" w:sz="4" w:space="0" w:color="54883D"/>
              <w:right w:val="single" w:sz="4" w:space="0" w:color="54883D"/>
            </w:tcBorders>
          </w:tcPr>
          <w:p w14:paraId="74777DE0" w14:textId="77777777" w:rsidR="002735B8" w:rsidRPr="002735B8" w:rsidRDefault="002735B8" w:rsidP="002735B8">
            <w:pPr>
              <w:spacing w:after="0" w:line="259" w:lineRule="auto"/>
              <w:ind w:left="0" w:right="91" w:firstLine="0"/>
              <w:jc w:val="center"/>
              <w:rPr>
                <w:rFonts w:ascii="Times New Roman" w:hAnsi="Times New Roman" w:cs="Times New Roman"/>
              </w:rPr>
            </w:pPr>
          </w:p>
        </w:tc>
        <w:tc>
          <w:tcPr>
            <w:tcW w:w="1861" w:type="dxa"/>
            <w:tcBorders>
              <w:top w:val="single" w:sz="4" w:space="0" w:color="54883D"/>
              <w:left w:val="single" w:sz="4" w:space="0" w:color="54883D"/>
              <w:bottom w:val="single" w:sz="4" w:space="0" w:color="54883D"/>
              <w:right w:val="single" w:sz="4" w:space="0" w:color="54883D"/>
            </w:tcBorders>
          </w:tcPr>
          <w:p w14:paraId="2724FE2D" w14:textId="77777777" w:rsidR="002735B8" w:rsidRPr="002735B8" w:rsidRDefault="002735B8" w:rsidP="002735B8">
            <w:pPr>
              <w:spacing w:after="0" w:line="259" w:lineRule="auto"/>
              <w:ind w:left="0" w:right="87" w:firstLine="0"/>
              <w:jc w:val="center"/>
              <w:rPr>
                <w:rFonts w:ascii="Times New Roman" w:hAnsi="Times New Roman" w:cs="Times New Roman"/>
              </w:rPr>
            </w:pPr>
          </w:p>
        </w:tc>
      </w:tr>
    </w:tbl>
    <w:p w14:paraId="647F49B3" w14:textId="77777777" w:rsidR="002735B8" w:rsidRPr="002735B8" w:rsidRDefault="002735B8" w:rsidP="002735B8">
      <w:pPr>
        <w:spacing w:after="0" w:line="240" w:lineRule="auto"/>
        <w:ind w:left="0" w:right="0" w:firstLine="0"/>
        <w:rPr>
          <w:rFonts w:ascii="Times New Roman" w:hAnsi="Times New Roman" w:cs="Times New Roman"/>
          <w:i/>
          <w:sz w:val="24"/>
          <w:szCs w:val="24"/>
          <w:u w:val="single"/>
        </w:rPr>
      </w:pPr>
    </w:p>
    <w:p w14:paraId="023B341E" w14:textId="77777777" w:rsidR="002735B8" w:rsidRPr="002735B8" w:rsidRDefault="002735B8" w:rsidP="00C70C9F">
      <w:pPr>
        <w:spacing w:after="0" w:line="240" w:lineRule="auto"/>
        <w:ind w:left="0" w:right="0" w:firstLine="709"/>
        <w:rPr>
          <w:rFonts w:ascii="Times New Roman" w:hAnsi="Times New Roman" w:cs="Times New Roman"/>
          <w:i/>
          <w:sz w:val="24"/>
          <w:szCs w:val="24"/>
          <w:u w:val="single"/>
        </w:rPr>
      </w:pPr>
      <w:r w:rsidRPr="002735B8">
        <w:rPr>
          <w:rFonts w:ascii="Times New Roman" w:hAnsi="Times New Roman" w:cs="Times New Roman"/>
          <w:i/>
          <w:sz w:val="24"/>
          <w:szCs w:val="24"/>
          <w:u w:val="single"/>
        </w:rPr>
        <w:t>Zaključak</w:t>
      </w:r>
    </w:p>
    <w:p w14:paraId="410202E7"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Unatoč tome što sam događaj neće prouzročiti smrtne ishode, niti se procjenjuje da će izloženo stanovništvo imati trajne zdravstvene posljedice, sam događaj će izrazito narušiti kvalitetu života velike skupine ljudi (to uključuje stres zbog provođenja mjera sklanjanja, zabrane konzumiranja domaćih proizvoda, osjećaj stigmatizacije i sl.) a to će opet doprinijeti </w:t>
      </w:r>
    </w:p>
    <w:p w14:paraId="05362207"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smanjenju broja turista i smanjenju ostalih društvenih aktivnosti. Budući da je na području Grada Zagreba jako razvijena prehrambena industrija, a na površini od desetak tisuća km</w:t>
      </w:r>
      <w:r w:rsidRPr="002735B8">
        <w:rPr>
          <w:rFonts w:ascii="Times New Roman" w:hAnsi="Times New Roman" w:cs="Times New Roman"/>
          <w:sz w:val="24"/>
          <w:szCs w:val="24"/>
          <w:vertAlign w:val="superscript"/>
        </w:rPr>
        <w:t>2</w:t>
      </w:r>
      <w:r w:rsidRPr="002735B8">
        <w:rPr>
          <w:rFonts w:ascii="Times New Roman" w:hAnsi="Times New Roman" w:cs="Times New Roman"/>
          <w:sz w:val="24"/>
          <w:szCs w:val="24"/>
        </w:rPr>
        <w:t xml:space="preserve"> biti će nužno zabraniti konzumaciju i distribuciju svih proizvoda koje se uzgaja na otvorenom prostoru, izgledno je očekivati zabranu izvoza i stagnaciju ili čak i privremeni prestanak proizvodnje, što će rezultirati povećanjem stope nezaposlenosti. Sve navedeno može utjecati na to da dio stanovnika trajno napusti područje Grada Zagreba.</w:t>
      </w:r>
    </w:p>
    <w:p w14:paraId="08C40C4F" w14:textId="08CFD090" w:rsidR="002735B8" w:rsidRDefault="002735B8" w:rsidP="002735B8">
      <w:pPr>
        <w:spacing w:after="0" w:line="240" w:lineRule="auto"/>
        <w:ind w:left="0" w:right="0" w:firstLine="0"/>
        <w:rPr>
          <w:rFonts w:ascii="Times New Roman" w:hAnsi="Times New Roman" w:cs="Times New Roman"/>
          <w:sz w:val="24"/>
          <w:szCs w:val="24"/>
        </w:rPr>
      </w:pPr>
    </w:p>
    <w:p w14:paraId="6418FB27" w14:textId="77777777" w:rsidR="002735B8" w:rsidRPr="002735B8" w:rsidRDefault="002735B8" w:rsidP="00C70C9F">
      <w:pPr>
        <w:spacing w:after="0" w:line="240" w:lineRule="auto"/>
        <w:ind w:left="0" w:right="0" w:firstLine="709"/>
        <w:rPr>
          <w:rFonts w:ascii="Times New Roman" w:hAnsi="Times New Roman" w:cs="Times New Roman"/>
          <w:i/>
          <w:sz w:val="24"/>
          <w:szCs w:val="24"/>
          <w:u w:val="single"/>
        </w:rPr>
      </w:pPr>
      <w:r w:rsidRPr="002735B8">
        <w:rPr>
          <w:rFonts w:ascii="Times New Roman" w:hAnsi="Times New Roman" w:cs="Times New Roman"/>
          <w:i/>
          <w:sz w:val="24"/>
          <w:szCs w:val="24"/>
          <w:u w:val="single"/>
        </w:rPr>
        <w:t>Vjerojatnost događaja</w:t>
      </w:r>
    </w:p>
    <w:p w14:paraId="08E75098" w14:textId="54EA8A5D" w:rsidR="002735B8" w:rsidRDefault="002735B8" w:rsidP="0013190F">
      <w:pPr>
        <w:spacing w:after="0" w:line="240" w:lineRule="auto"/>
        <w:ind w:left="0" w:right="0" w:firstLine="709"/>
        <w:rPr>
          <w:rFonts w:ascii="Times New Roman" w:hAnsi="Times New Roman" w:cs="Times New Roman"/>
          <w:color w:val="auto"/>
          <w:sz w:val="24"/>
          <w:szCs w:val="24"/>
        </w:rPr>
      </w:pPr>
      <w:r w:rsidRPr="002735B8">
        <w:rPr>
          <w:rFonts w:ascii="Times New Roman" w:hAnsi="Times New Roman" w:cs="Times New Roman"/>
          <w:color w:val="auto"/>
          <w:sz w:val="24"/>
          <w:szCs w:val="24"/>
        </w:rPr>
        <w:t>Za mogućnost nastanka opisanog scenarija s obzirom na dosadašnje pokazatelje može se procijeniti vjerojatnost: kategorija 1. iznimno mala.</w:t>
      </w:r>
    </w:p>
    <w:p w14:paraId="44CAFBE2" w14:textId="3A2DEEBC" w:rsidR="006F21BC" w:rsidRDefault="006F21BC" w:rsidP="0013190F">
      <w:pPr>
        <w:spacing w:after="0" w:line="240" w:lineRule="auto"/>
        <w:ind w:left="0" w:right="0" w:firstLine="709"/>
        <w:rPr>
          <w:rFonts w:ascii="Times New Roman" w:hAnsi="Times New Roman" w:cs="Times New Roman"/>
          <w:color w:val="auto"/>
          <w:sz w:val="24"/>
          <w:szCs w:val="24"/>
        </w:rPr>
      </w:pPr>
    </w:p>
    <w:p w14:paraId="314FE3C2" w14:textId="2B6DBFFB" w:rsidR="002735B8" w:rsidRPr="00FC2CBE" w:rsidRDefault="002735B8" w:rsidP="008B3016">
      <w:pPr>
        <w:keepNext/>
        <w:keepLines/>
        <w:spacing w:line="268" w:lineRule="auto"/>
        <w:ind w:left="119" w:right="802"/>
        <w:jc w:val="center"/>
        <w:outlineLvl w:val="3"/>
        <w:rPr>
          <w:rFonts w:ascii="Times New Roman" w:hAnsi="Times New Roman" w:cs="Times New Roman"/>
          <w:b/>
          <w:color w:val="auto"/>
          <w:sz w:val="24"/>
          <w:szCs w:val="24"/>
        </w:rPr>
      </w:pPr>
      <w:r w:rsidRPr="00FC2CBE">
        <w:rPr>
          <w:rFonts w:ascii="Times New Roman" w:hAnsi="Times New Roman" w:cs="Times New Roman"/>
          <w:b/>
          <w:color w:val="auto"/>
          <w:sz w:val="24"/>
          <w:szCs w:val="24"/>
        </w:rPr>
        <w:t xml:space="preserve">Tablica </w:t>
      </w:r>
      <w:r w:rsidR="00FC2CBE" w:rsidRPr="00FC2CBE">
        <w:rPr>
          <w:rFonts w:ascii="Times New Roman" w:hAnsi="Times New Roman" w:cs="Times New Roman"/>
          <w:b/>
          <w:color w:val="auto"/>
          <w:sz w:val="24"/>
          <w:szCs w:val="24"/>
        </w:rPr>
        <w:t>113</w:t>
      </w:r>
      <w:r w:rsidRPr="00FC2CBE">
        <w:rPr>
          <w:rFonts w:ascii="Times New Roman" w:hAnsi="Times New Roman" w:cs="Times New Roman"/>
          <w:b/>
          <w:color w:val="auto"/>
          <w:sz w:val="24"/>
          <w:szCs w:val="24"/>
        </w:rPr>
        <w:t>. Vjerojatnost događaja</w:t>
      </w:r>
    </w:p>
    <w:tbl>
      <w:tblPr>
        <w:tblStyle w:val="TableGrid21"/>
        <w:tblW w:w="9066" w:type="dxa"/>
        <w:tblInd w:w="4" w:type="dxa"/>
        <w:tblCellMar>
          <w:top w:w="87" w:type="dxa"/>
          <w:left w:w="142" w:type="dxa"/>
          <w:right w:w="92" w:type="dxa"/>
        </w:tblCellMar>
        <w:tblLook w:val="04A0" w:firstRow="1" w:lastRow="0" w:firstColumn="1" w:lastColumn="0" w:noHBand="0" w:noVBand="1"/>
      </w:tblPr>
      <w:tblGrid>
        <w:gridCol w:w="1383"/>
        <w:gridCol w:w="1588"/>
        <w:gridCol w:w="1558"/>
        <w:gridCol w:w="2971"/>
        <w:gridCol w:w="1566"/>
      </w:tblGrid>
      <w:tr w:rsidR="002735B8" w:rsidRPr="002735B8" w14:paraId="1A0815C4" w14:textId="77777777" w:rsidTr="00284074">
        <w:trPr>
          <w:trHeight w:val="354"/>
        </w:trPr>
        <w:tc>
          <w:tcPr>
            <w:tcW w:w="1384" w:type="dxa"/>
            <w:vMerge w:val="restart"/>
            <w:tcBorders>
              <w:top w:val="single" w:sz="4" w:space="0" w:color="54883D"/>
              <w:left w:val="single" w:sz="4" w:space="0" w:color="54883D"/>
              <w:bottom w:val="single" w:sz="4" w:space="0" w:color="54883D"/>
              <w:right w:val="single" w:sz="4" w:space="0" w:color="54883D"/>
            </w:tcBorders>
            <w:shd w:val="clear" w:color="auto" w:fill="FFC000"/>
            <w:vAlign w:val="center"/>
          </w:tcPr>
          <w:p w14:paraId="60E14677" w14:textId="77777777" w:rsidR="002735B8" w:rsidRPr="002735B8" w:rsidRDefault="002735B8" w:rsidP="002735B8">
            <w:pPr>
              <w:spacing w:after="0" w:line="259" w:lineRule="auto"/>
              <w:ind w:left="0" w:right="56" w:firstLine="0"/>
              <w:jc w:val="center"/>
              <w:rPr>
                <w:rFonts w:ascii="Times New Roman" w:hAnsi="Times New Roman" w:cs="Times New Roman"/>
              </w:rPr>
            </w:pPr>
            <w:r w:rsidRPr="002735B8">
              <w:rPr>
                <w:rFonts w:ascii="Times New Roman" w:hAnsi="Times New Roman" w:cs="Times New Roman"/>
                <w:b/>
              </w:rPr>
              <w:t xml:space="preserve">Kategorija </w:t>
            </w:r>
          </w:p>
        </w:tc>
        <w:tc>
          <w:tcPr>
            <w:tcW w:w="1589" w:type="dxa"/>
            <w:tcBorders>
              <w:top w:val="single" w:sz="4" w:space="0" w:color="54883D"/>
              <w:left w:val="single" w:sz="4" w:space="0" w:color="54883D"/>
              <w:bottom w:val="single" w:sz="4" w:space="0" w:color="54883D"/>
              <w:right w:val="nil"/>
            </w:tcBorders>
            <w:shd w:val="clear" w:color="auto" w:fill="FFC000"/>
          </w:tcPr>
          <w:p w14:paraId="3D593DE3" w14:textId="77777777" w:rsidR="002735B8" w:rsidRPr="002735B8" w:rsidRDefault="002735B8" w:rsidP="002735B8">
            <w:pPr>
              <w:spacing w:after="160" w:line="259" w:lineRule="auto"/>
              <w:ind w:left="0" w:right="0" w:firstLine="0"/>
              <w:jc w:val="left"/>
              <w:rPr>
                <w:rFonts w:ascii="Times New Roman" w:hAnsi="Times New Roman" w:cs="Times New Roman"/>
              </w:rPr>
            </w:pPr>
          </w:p>
        </w:tc>
        <w:tc>
          <w:tcPr>
            <w:tcW w:w="4537" w:type="dxa"/>
            <w:gridSpan w:val="2"/>
            <w:tcBorders>
              <w:top w:val="single" w:sz="4" w:space="0" w:color="54883D"/>
              <w:left w:val="nil"/>
              <w:bottom w:val="single" w:sz="4" w:space="0" w:color="54883D"/>
              <w:right w:val="nil"/>
            </w:tcBorders>
            <w:shd w:val="clear" w:color="auto" w:fill="FFC000"/>
          </w:tcPr>
          <w:p w14:paraId="23A81491" w14:textId="77777777" w:rsidR="002735B8" w:rsidRPr="002735B8" w:rsidRDefault="002735B8" w:rsidP="002735B8">
            <w:pPr>
              <w:spacing w:after="0" w:line="259" w:lineRule="auto"/>
              <w:ind w:left="0" w:right="84" w:firstLine="0"/>
              <w:jc w:val="center"/>
              <w:rPr>
                <w:rFonts w:ascii="Times New Roman" w:hAnsi="Times New Roman" w:cs="Times New Roman"/>
              </w:rPr>
            </w:pPr>
            <w:r w:rsidRPr="002735B8">
              <w:rPr>
                <w:rFonts w:ascii="Times New Roman" w:hAnsi="Times New Roman" w:cs="Times New Roman"/>
                <w:b/>
              </w:rPr>
              <w:t xml:space="preserve">VJEROJATNOST/FREKVENCIJA </w:t>
            </w:r>
          </w:p>
        </w:tc>
        <w:tc>
          <w:tcPr>
            <w:tcW w:w="1556" w:type="dxa"/>
            <w:tcBorders>
              <w:top w:val="single" w:sz="4" w:space="0" w:color="54883D"/>
              <w:left w:val="nil"/>
              <w:bottom w:val="single" w:sz="4" w:space="0" w:color="54883D"/>
              <w:right w:val="single" w:sz="4" w:space="0" w:color="54883D"/>
            </w:tcBorders>
            <w:shd w:val="clear" w:color="auto" w:fill="FFC000"/>
          </w:tcPr>
          <w:p w14:paraId="0229D61F" w14:textId="77777777" w:rsidR="002735B8" w:rsidRPr="002735B8" w:rsidRDefault="002735B8" w:rsidP="002735B8">
            <w:pPr>
              <w:spacing w:after="160" w:line="259" w:lineRule="auto"/>
              <w:ind w:left="0" w:right="0" w:firstLine="0"/>
              <w:jc w:val="left"/>
              <w:rPr>
                <w:rFonts w:ascii="Times New Roman" w:hAnsi="Times New Roman" w:cs="Times New Roman"/>
              </w:rPr>
            </w:pPr>
          </w:p>
        </w:tc>
      </w:tr>
      <w:tr w:rsidR="002735B8" w:rsidRPr="002735B8" w14:paraId="681C54F9" w14:textId="77777777" w:rsidTr="00284074">
        <w:trPr>
          <w:trHeight w:val="352"/>
        </w:trPr>
        <w:tc>
          <w:tcPr>
            <w:tcW w:w="0" w:type="auto"/>
            <w:vMerge/>
            <w:tcBorders>
              <w:top w:val="nil"/>
              <w:left w:val="single" w:sz="4" w:space="0" w:color="54883D"/>
              <w:bottom w:val="single" w:sz="4" w:space="0" w:color="54883D"/>
              <w:right w:val="single" w:sz="4" w:space="0" w:color="54883D"/>
            </w:tcBorders>
          </w:tcPr>
          <w:p w14:paraId="4337C404" w14:textId="77777777" w:rsidR="002735B8" w:rsidRPr="002735B8" w:rsidRDefault="002735B8" w:rsidP="002735B8">
            <w:pPr>
              <w:spacing w:after="160" w:line="259" w:lineRule="auto"/>
              <w:ind w:left="0" w:right="0" w:firstLine="0"/>
              <w:jc w:val="left"/>
              <w:rPr>
                <w:rFonts w:ascii="Times New Roman" w:hAnsi="Times New Roman" w:cs="Times New Roman"/>
              </w:rPr>
            </w:pPr>
          </w:p>
        </w:tc>
        <w:tc>
          <w:tcPr>
            <w:tcW w:w="1589" w:type="dxa"/>
            <w:tcBorders>
              <w:top w:val="single" w:sz="4" w:space="0" w:color="54883D"/>
              <w:left w:val="single" w:sz="4" w:space="0" w:color="54883D"/>
              <w:bottom w:val="single" w:sz="4" w:space="0" w:color="54883D"/>
              <w:right w:val="single" w:sz="4" w:space="0" w:color="54883D"/>
            </w:tcBorders>
            <w:shd w:val="clear" w:color="auto" w:fill="FFC000"/>
          </w:tcPr>
          <w:p w14:paraId="4D67A6B1" w14:textId="77777777" w:rsidR="002735B8" w:rsidRPr="002735B8" w:rsidRDefault="002735B8" w:rsidP="002735B8">
            <w:pPr>
              <w:spacing w:after="0" w:line="259" w:lineRule="auto"/>
              <w:ind w:left="0" w:right="50" w:firstLine="0"/>
              <w:jc w:val="center"/>
              <w:rPr>
                <w:rFonts w:ascii="Times New Roman" w:hAnsi="Times New Roman" w:cs="Times New Roman"/>
              </w:rPr>
            </w:pPr>
            <w:r w:rsidRPr="002735B8">
              <w:rPr>
                <w:rFonts w:ascii="Times New Roman" w:hAnsi="Times New Roman" w:cs="Times New Roman"/>
                <w:b/>
              </w:rPr>
              <w:t xml:space="preserve">Kvalitativno </w:t>
            </w:r>
          </w:p>
        </w:tc>
        <w:tc>
          <w:tcPr>
            <w:tcW w:w="1558" w:type="dxa"/>
            <w:tcBorders>
              <w:top w:val="single" w:sz="4" w:space="0" w:color="54883D"/>
              <w:left w:val="single" w:sz="4" w:space="0" w:color="54883D"/>
              <w:bottom w:val="single" w:sz="4" w:space="0" w:color="54883D"/>
              <w:right w:val="single" w:sz="4" w:space="0" w:color="54883D"/>
            </w:tcBorders>
            <w:shd w:val="clear" w:color="auto" w:fill="FFC000"/>
          </w:tcPr>
          <w:p w14:paraId="1C72BAF4" w14:textId="77777777" w:rsidR="002735B8" w:rsidRPr="002735B8" w:rsidRDefault="002735B8" w:rsidP="002735B8">
            <w:pPr>
              <w:spacing w:after="0" w:line="259" w:lineRule="auto"/>
              <w:ind w:left="0" w:right="51" w:firstLine="0"/>
              <w:jc w:val="center"/>
              <w:rPr>
                <w:rFonts w:ascii="Times New Roman" w:hAnsi="Times New Roman" w:cs="Times New Roman"/>
              </w:rPr>
            </w:pPr>
            <w:r w:rsidRPr="002735B8">
              <w:rPr>
                <w:rFonts w:ascii="Times New Roman" w:hAnsi="Times New Roman" w:cs="Times New Roman"/>
                <w:b/>
              </w:rPr>
              <w:t xml:space="preserve">Vjerojatnost </w:t>
            </w:r>
          </w:p>
        </w:tc>
        <w:tc>
          <w:tcPr>
            <w:tcW w:w="2979" w:type="dxa"/>
            <w:tcBorders>
              <w:top w:val="single" w:sz="4" w:space="0" w:color="54883D"/>
              <w:left w:val="single" w:sz="4" w:space="0" w:color="54883D"/>
              <w:bottom w:val="single" w:sz="4" w:space="0" w:color="54883D"/>
              <w:right w:val="single" w:sz="4" w:space="0" w:color="54883D"/>
            </w:tcBorders>
            <w:shd w:val="clear" w:color="auto" w:fill="FFC000"/>
          </w:tcPr>
          <w:p w14:paraId="787AF6A2" w14:textId="77777777" w:rsidR="002735B8" w:rsidRPr="002735B8" w:rsidRDefault="002735B8" w:rsidP="002735B8">
            <w:pPr>
              <w:spacing w:after="0" w:line="259" w:lineRule="auto"/>
              <w:ind w:left="0" w:right="58" w:firstLine="0"/>
              <w:jc w:val="center"/>
              <w:rPr>
                <w:rFonts w:ascii="Times New Roman" w:hAnsi="Times New Roman" w:cs="Times New Roman"/>
              </w:rPr>
            </w:pPr>
            <w:r w:rsidRPr="002735B8">
              <w:rPr>
                <w:rFonts w:ascii="Times New Roman" w:hAnsi="Times New Roman" w:cs="Times New Roman"/>
                <w:b/>
              </w:rPr>
              <w:t xml:space="preserve">Frekvencija </w:t>
            </w:r>
          </w:p>
        </w:tc>
        <w:tc>
          <w:tcPr>
            <w:tcW w:w="1556" w:type="dxa"/>
            <w:tcBorders>
              <w:top w:val="single" w:sz="4" w:space="0" w:color="54883D"/>
              <w:left w:val="single" w:sz="4" w:space="0" w:color="54883D"/>
              <w:bottom w:val="single" w:sz="4" w:space="0" w:color="54883D"/>
              <w:right w:val="single" w:sz="4" w:space="0" w:color="54883D"/>
            </w:tcBorders>
            <w:shd w:val="clear" w:color="auto" w:fill="FFC000"/>
          </w:tcPr>
          <w:p w14:paraId="20549672" w14:textId="77777777" w:rsidR="002735B8" w:rsidRPr="002735B8" w:rsidRDefault="002735B8" w:rsidP="002735B8">
            <w:pPr>
              <w:spacing w:after="0" w:line="259" w:lineRule="auto"/>
              <w:ind w:left="48" w:right="0" w:firstLine="0"/>
              <w:jc w:val="left"/>
              <w:rPr>
                <w:rFonts w:ascii="Times New Roman" w:hAnsi="Times New Roman" w:cs="Times New Roman"/>
              </w:rPr>
            </w:pPr>
            <w:r w:rsidRPr="002735B8">
              <w:rPr>
                <w:rFonts w:ascii="Times New Roman" w:hAnsi="Times New Roman" w:cs="Times New Roman"/>
                <w:b/>
              </w:rPr>
              <w:t xml:space="preserve">ODABRANO </w:t>
            </w:r>
          </w:p>
        </w:tc>
      </w:tr>
      <w:tr w:rsidR="002735B8" w:rsidRPr="002735B8" w14:paraId="37E05F35" w14:textId="77777777" w:rsidTr="00284074">
        <w:trPr>
          <w:trHeight w:val="358"/>
        </w:trPr>
        <w:tc>
          <w:tcPr>
            <w:tcW w:w="1384" w:type="dxa"/>
            <w:tcBorders>
              <w:top w:val="single" w:sz="4" w:space="0" w:color="54883D"/>
              <w:left w:val="single" w:sz="4" w:space="0" w:color="54883D"/>
              <w:bottom w:val="single" w:sz="4" w:space="0" w:color="54883D"/>
              <w:right w:val="single" w:sz="4" w:space="0" w:color="54883D"/>
            </w:tcBorders>
          </w:tcPr>
          <w:p w14:paraId="21F4D230" w14:textId="77777777" w:rsidR="002735B8" w:rsidRPr="002735B8" w:rsidRDefault="002735B8" w:rsidP="002735B8">
            <w:pPr>
              <w:spacing w:after="0" w:line="259" w:lineRule="auto"/>
              <w:ind w:left="0" w:right="53" w:firstLine="0"/>
              <w:jc w:val="center"/>
              <w:rPr>
                <w:rFonts w:ascii="Times New Roman" w:hAnsi="Times New Roman" w:cs="Times New Roman"/>
              </w:rPr>
            </w:pPr>
            <w:r w:rsidRPr="002735B8">
              <w:rPr>
                <w:rFonts w:ascii="Times New Roman" w:hAnsi="Times New Roman" w:cs="Times New Roman"/>
                <w:b/>
              </w:rPr>
              <w:t xml:space="preserve">1 </w:t>
            </w:r>
          </w:p>
        </w:tc>
        <w:tc>
          <w:tcPr>
            <w:tcW w:w="1589" w:type="dxa"/>
            <w:tcBorders>
              <w:top w:val="single" w:sz="4" w:space="0" w:color="54883D"/>
              <w:left w:val="single" w:sz="4" w:space="0" w:color="54883D"/>
              <w:bottom w:val="single" w:sz="4" w:space="0" w:color="54883D"/>
              <w:right w:val="single" w:sz="4" w:space="0" w:color="54883D"/>
            </w:tcBorders>
          </w:tcPr>
          <w:p w14:paraId="48304D55" w14:textId="77777777" w:rsidR="002735B8" w:rsidRPr="002735B8" w:rsidRDefault="002735B8" w:rsidP="002735B8">
            <w:pPr>
              <w:spacing w:after="0" w:line="259" w:lineRule="auto"/>
              <w:ind w:left="0" w:right="53" w:firstLine="0"/>
              <w:jc w:val="center"/>
              <w:rPr>
                <w:rFonts w:ascii="Times New Roman" w:hAnsi="Times New Roman" w:cs="Times New Roman"/>
              </w:rPr>
            </w:pPr>
            <w:r w:rsidRPr="002735B8">
              <w:rPr>
                <w:rFonts w:ascii="Times New Roman" w:hAnsi="Times New Roman" w:cs="Times New Roman"/>
              </w:rPr>
              <w:t xml:space="preserve">Iznimno mala </w:t>
            </w:r>
          </w:p>
        </w:tc>
        <w:tc>
          <w:tcPr>
            <w:tcW w:w="1558" w:type="dxa"/>
            <w:tcBorders>
              <w:top w:val="single" w:sz="4" w:space="0" w:color="54883D"/>
              <w:left w:val="single" w:sz="4" w:space="0" w:color="54883D"/>
              <w:bottom w:val="single" w:sz="4" w:space="0" w:color="54883D"/>
              <w:right w:val="single" w:sz="4" w:space="0" w:color="54883D"/>
            </w:tcBorders>
          </w:tcPr>
          <w:p w14:paraId="0013A42D" w14:textId="77777777" w:rsidR="002735B8" w:rsidRPr="002735B8" w:rsidRDefault="002735B8" w:rsidP="002735B8">
            <w:pPr>
              <w:spacing w:after="0" w:line="259" w:lineRule="auto"/>
              <w:ind w:left="0" w:right="50" w:firstLine="0"/>
              <w:jc w:val="center"/>
              <w:rPr>
                <w:rFonts w:ascii="Times New Roman" w:hAnsi="Times New Roman" w:cs="Times New Roman"/>
              </w:rPr>
            </w:pPr>
            <w:r w:rsidRPr="002735B8">
              <w:rPr>
                <w:rFonts w:ascii="Times New Roman" w:hAnsi="Times New Roman" w:cs="Times New Roman"/>
              </w:rPr>
              <w:t xml:space="preserve">&lt;1 % </w:t>
            </w:r>
          </w:p>
        </w:tc>
        <w:tc>
          <w:tcPr>
            <w:tcW w:w="2979" w:type="dxa"/>
            <w:tcBorders>
              <w:top w:val="single" w:sz="4" w:space="0" w:color="54883D"/>
              <w:left w:val="single" w:sz="4" w:space="0" w:color="54883D"/>
              <w:bottom w:val="single" w:sz="4" w:space="0" w:color="54883D"/>
              <w:right w:val="single" w:sz="4" w:space="0" w:color="54883D"/>
            </w:tcBorders>
          </w:tcPr>
          <w:p w14:paraId="0C8E1437" w14:textId="77777777" w:rsidR="002735B8" w:rsidRPr="002735B8" w:rsidRDefault="002735B8" w:rsidP="002735B8">
            <w:pPr>
              <w:spacing w:after="0" w:line="259" w:lineRule="auto"/>
              <w:ind w:left="0" w:right="0" w:firstLine="0"/>
              <w:jc w:val="left"/>
              <w:rPr>
                <w:rFonts w:ascii="Times New Roman" w:hAnsi="Times New Roman" w:cs="Times New Roman"/>
              </w:rPr>
            </w:pPr>
            <w:r w:rsidRPr="002735B8">
              <w:rPr>
                <w:rFonts w:ascii="Times New Roman" w:hAnsi="Times New Roman" w:cs="Times New Roman"/>
              </w:rPr>
              <w:t xml:space="preserve">1 događaj u 100 godina i rjeđe </w:t>
            </w:r>
          </w:p>
        </w:tc>
        <w:tc>
          <w:tcPr>
            <w:tcW w:w="1556" w:type="dxa"/>
            <w:tcBorders>
              <w:top w:val="single" w:sz="4" w:space="0" w:color="54883D"/>
              <w:left w:val="single" w:sz="4" w:space="0" w:color="54883D"/>
              <w:bottom w:val="single" w:sz="4" w:space="0" w:color="54883D"/>
              <w:right w:val="single" w:sz="4" w:space="0" w:color="54883D"/>
            </w:tcBorders>
          </w:tcPr>
          <w:p w14:paraId="41AA287F" w14:textId="77777777" w:rsidR="002735B8" w:rsidRPr="002735B8" w:rsidRDefault="002735B8" w:rsidP="002735B8">
            <w:pPr>
              <w:spacing w:after="0" w:line="259" w:lineRule="auto"/>
              <w:ind w:left="0" w:right="47" w:firstLine="0"/>
              <w:jc w:val="center"/>
              <w:rPr>
                <w:rFonts w:ascii="Times New Roman" w:hAnsi="Times New Roman" w:cs="Times New Roman"/>
              </w:rPr>
            </w:pPr>
            <w:r w:rsidRPr="002735B8">
              <w:rPr>
                <w:rFonts w:ascii="Times New Roman" w:hAnsi="Times New Roman" w:cs="Times New Roman"/>
              </w:rPr>
              <w:t xml:space="preserve">x </w:t>
            </w:r>
          </w:p>
        </w:tc>
      </w:tr>
      <w:tr w:rsidR="002735B8" w:rsidRPr="002735B8" w14:paraId="4EBFCA78" w14:textId="77777777" w:rsidTr="00284074">
        <w:trPr>
          <w:trHeight w:val="353"/>
        </w:trPr>
        <w:tc>
          <w:tcPr>
            <w:tcW w:w="1384" w:type="dxa"/>
            <w:tcBorders>
              <w:top w:val="single" w:sz="4" w:space="0" w:color="54883D"/>
              <w:left w:val="single" w:sz="4" w:space="0" w:color="54883D"/>
              <w:bottom w:val="single" w:sz="4" w:space="0" w:color="54883D"/>
              <w:right w:val="single" w:sz="4" w:space="0" w:color="54883D"/>
            </w:tcBorders>
            <w:shd w:val="clear" w:color="auto" w:fill="FFC000"/>
          </w:tcPr>
          <w:p w14:paraId="35B13811" w14:textId="77777777" w:rsidR="002735B8" w:rsidRPr="002735B8" w:rsidRDefault="002735B8" w:rsidP="002735B8">
            <w:pPr>
              <w:spacing w:after="0" w:line="259" w:lineRule="auto"/>
              <w:ind w:left="0" w:right="53" w:firstLine="0"/>
              <w:jc w:val="center"/>
              <w:rPr>
                <w:rFonts w:ascii="Times New Roman" w:hAnsi="Times New Roman" w:cs="Times New Roman"/>
              </w:rPr>
            </w:pPr>
            <w:r w:rsidRPr="002735B8">
              <w:rPr>
                <w:rFonts w:ascii="Times New Roman" w:hAnsi="Times New Roman" w:cs="Times New Roman"/>
                <w:b/>
              </w:rPr>
              <w:t xml:space="preserve">2 </w:t>
            </w:r>
          </w:p>
        </w:tc>
        <w:tc>
          <w:tcPr>
            <w:tcW w:w="1589" w:type="dxa"/>
            <w:tcBorders>
              <w:top w:val="single" w:sz="4" w:space="0" w:color="54883D"/>
              <w:left w:val="single" w:sz="4" w:space="0" w:color="54883D"/>
              <w:bottom w:val="single" w:sz="4" w:space="0" w:color="54883D"/>
              <w:right w:val="single" w:sz="4" w:space="0" w:color="54883D"/>
            </w:tcBorders>
            <w:shd w:val="clear" w:color="auto" w:fill="FFC000"/>
          </w:tcPr>
          <w:p w14:paraId="6AC0A669" w14:textId="77777777" w:rsidR="002735B8" w:rsidRPr="002735B8" w:rsidRDefault="002735B8" w:rsidP="002735B8">
            <w:pPr>
              <w:spacing w:after="0" w:line="259" w:lineRule="auto"/>
              <w:ind w:left="0" w:right="55" w:firstLine="0"/>
              <w:jc w:val="center"/>
              <w:rPr>
                <w:rFonts w:ascii="Times New Roman" w:hAnsi="Times New Roman" w:cs="Times New Roman"/>
              </w:rPr>
            </w:pPr>
            <w:r w:rsidRPr="002735B8">
              <w:rPr>
                <w:rFonts w:ascii="Times New Roman" w:hAnsi="Times New Roman" w:cs="Times New Roman"/>
              </w:rPr>
              <w:t xml:space="preserve">Mala </w:t>
            </w:r>
          </w:p>
        </w:tc>
        <w:tc>
          <w:tcPr>
            <w:tcW w:w="1558" w:type="dxa"/>
            <w:tcBorders>
              <w:top w:val="single" w:sz="4" w:space="0" w:color="54883D"/>
              <w:left w:val="single" w:sz="4" w:space="0" w:color="54883D"/>
              <w:bottom w:val="single" w:sz="4" w:space="0" w:color="54883D"/>
              <w:right w:val="single" w:sz="4" w:space="0" w:color="54883D"/>
            </w:tcBorders>
            <w:shd w:val="clear" w:color="auto" w:fill="FFC000"/>
          </w:tcPr>
          <w:p w14:paraId="7BBCF9DC" w14:textId="77777777" w:rsidR="002735B8" w:rsidRPr="002735B8" w:rsidRDefault="002735B8" w:rsidP="002735B8">
            <w:pPr>
              <w:spacing w:after="0" w:line="259" w:lineRule="auto"/>
              <w:ind w:left="0" w:right="53" w:firstLine="0"/>
              <w:jc w:val="center"/>
              <w:rPr>
                <w:rFonts w:ascii="Times New Roman" w:hAnsi="Times New Roman" w:cs="Times New Roman"/>
              </w:rPr>
            </w:pPr>
            <w:r w:rsidRPr="002735B8">
              <w:rPr>
                <w:rFonts w:ascii="Times New Roman" w:hAnsi="Times New Roman" w:cs="Times New Roman"/>
              </w:rPr>
              <w:t xml:space="preserve">1 – 5 % </w:t>
            </w:r>
          </w:p>
        </w:tc>
        <w:tc>
          <w:tcPr>
            <w:tcW w:w="2979" w:type="dxa"/>
            <w:tcBorders>
              <w:top w:val="single" w:sz="4" w:space="0" w:color="54883D"/>
              <w:left w:val="single" w:sz="4" w:space="0" w:color="54883D"/>
              <w:bottom w:val="single" w:sz="4" w:space="0" w:color="54883D"/>
              <w:right w:val="single" w:sz="4" w:space="0" w:color="54883D"/>
            </w:tcBorders>
            <w:shd w:val="clear" w:color="auto" w:fill="FFC000"/>
          </w:tcPr>
          <w:p w14:paraId="1BCA6675" w14:textId="77777777" w:rsidR="002735B8" w:rsidRPr="002735B8" w:rsidRDefault="002735B8" w:rsidP="002735B8">
            <w:pPr>
              <w:spacing w:after="0" w:line="259" w:lineRule="auto"/>
              <w:ind w:left="22" w:right="0" w:firstLine="0"/>
              <w:jc w:val="left"/>
              <w:rPr>
                <w:rFonts w:ascii="Times New Roman" w:hAnsi="Times New Roman" w:cs="Times New Roman"/>
              </w:rPr>
            </w:pPr>
            <w:r w:rsidRPr="002735B8">
              <w:rPr>
                <w:rFonts w:ascii="Times New Roman" w:hAnsi="Times New Roman" w:cs="Times New Roman"/>
              </w:rPr>
              <w:t xml:space="preserve">1 događaj u 20 do 100 godina </w:t>
            </w:r>
          </w:p>
        </w:tc>
        <w:tc>
          <w:tcPr>
            <w:tcW w:w="1556" w:type="dxa"/>
            <w:tcBorders>
              <w:top w:val="single" w:sz="4" w:space="0" w:color="54883D"/>
              <w:left w:val="single" w:sz="4" w:space="0" w:color="54883D"/>
              <w:bottom w:val="single" w:sz="4" w:space="0" w:color="54883D"/>
              <w:right w:val="single" w:sz="4" w:space="0" w:color="54883D"/>
            </w:tcBorders>
            <w:shd w:val="clear" w:color="auto" w:fill="FFC000"/>
          </w:tcPr>
          <w:p w14:paraId="3EC961F5" w14:textId="77777777" w:rsidR="002735B8" w:rsidRPr="002735B8" w:rsidRDefault="002735B8" w:rsidP="002735B8">
            <w:pPr>
              <w:spacing w:after="0" w:line="259" w:lineRule="auto"/>
              <w:ind w:left="9" w:right="0" w:firstLine="0"/>
              <w:jc w:val="center"/>
              <w:rPr>
                <w:rFonts w:ascii="Times New Roman" w:hAnsi="Times New Roman" w:cs="Times New Roman"/>
              </w:rPr>
            </w:pPr>
            <w:r w:rsidRPr="002735B8">
              <w:rPr>
                <w:rFonts w:ascii="Times New Roman" w:hAnsi="Times New Roman" w:cs="Times New Roman"/>
              </w:rPr>
              <w:t xml:space="preserve"> </w:t>
            </w:r>
          </w:p>
        </w:tc>
      </w:tr>
      <w:tr w:rsidR="002735B8" w:rsidRPr="002735B8" w14:paraId="22659B22" w14:textId="77777777" w:rsidTr="00284074">
        <w:trPr>
          <w:trHeight w:val="356"/>
        </w:trPr>
        <w:tc>
          <w:tcPr>
            <w:tcW w:w="1384" w:type="dxa"/>
            <w:tcBorders>
              <w:top w:val="single" w:sz="4" w:space="0" w:color="54883D"/>
              <w:left w:val="single" w:sz="4" w:space="0" w:color="54883D"/>
              <w:bottom w:val="single" w:sz="4" w:space="0" w:color="54883D"/>
              <w:right w:val="single" w:sz="4" w:space="0" w:color="54883D"/>
            </w:tcBorders>
          </w:tcPr>
          <w:p w14:paraId="2EC74EF6" w14:textId="77777777" w:rsidR="002735B8" w:rsidRPr="002735B8" w:rsidRDefault="002735B8" w:rsidP="002735B8">
            <w:pPr>
              <w:spacing w:after="0" w:line="259" w:lineRule="auto"/>
              <w:ind w:left="0" w:right="53" w:firstLine="0"/>
              <w:jc w:val="center"/>
              <w:rPr>
                <w:rFonts w:ascii="Times New Roman" w:hAnsi="Times New Roman" w:cs="Times New Roman"/>
              </w:rPr>
            </w:pPr>
            <w:r w:rsidRPr="002735B8">
              <w:rPr>
                <w:rFonts w:ascii="Times New Roman" w:hAnsi="Times New Roman" w:cs="Times New Roman"/>
                <w:b/>
              </w:rPr>
              <w:t xml:space="preserve">3 </w:t>
            </w:r>
          </w:p>
        </w:tc>
        <w:tc>
          <w:tcPr>
            <w:tcW w:w="1589" w:type="dxa"/>
            <w:tcBorders>
              <w:top w:val="single" w:sz="4" w:space="0" w:color="54883D"/>
              <w:left w:val="single" w:sz="4" w:space="0" w:color="54883D"/>
              <w:bottom w:val="single" w:sz="4" w:space="0" w:color="54883D"/>
              <w:right w:val="single" w:sz="4" w:space="0" w:color="54883D"/>
            </w:tcBorders>
          </w:tcPr>
          <w:p w14:paraId="2F2D0664" w14:textId="77777777" w:rsidR="002735B8" w:rsidRPr="002735B8" w:rsidRDefault="002735B8" w:rsidP="002735B8">
            <w:pPr>
              <w:spacing w:after="0" w:line="259" w:lineRule="auto"/>
              <w:ind w:left="0" w:right="53" w:firstLine="0"/>
              <w:jc w:val="center"/>
              <w:rPr>
                <w:rFonts w:ascii="Times New Roman" w:hAnsi="Times New Roman" w:cs="Times New Roman"/>
              </w:rPr>
            </w:pPr>
            <w:r w:rsidRPr="002735B8">
              <w:rPr>
                <w:rFonts w:ascii="Times New Roman" w:hAnsi="Times New Roman" w:cs="Times New Roman"/>
              </w:rPr>
              <w:t xml:space="preserve">Umjerena </w:t>
            </w:r>
          </w:p>
        </w:tc>
        <w:tc>
          <w:tcPr>
            <w:tcW w:w="1558" w:type="dxa"/>
            <w:tcBorders>
              <w:top w:val="single" w:sz="4" w:space="0" w:color="54883D"/>
              <w:left w:val="single" w:sz="4" w:space="0" w:color="54883D"/>
              <w:bottom w:val="single" w:sz="4" w:space="0" w:color="54883D"/>
              <w:right w:val="single" w:sz="4" w:space="0" w:color="54883D"/>
            </w:tcBorders>
          </w:tcPr>
          <w:p w14:paraId="6D5AE7B1" w14:textId="77777777" w:rsidR="002735B8" w:rsidRPr="002735B8" w:rsidRDefault="002735B8" w:rsidP="002735B8">
            <w:pPr>
              <w:spacing w:after="0" w:line="259" w:lineRule="auto"/>
              <w:ind w:left="0" w:right="53" w:firstLine="0"/>
              <w:jc w:val="center"/>
              <w:rPr>
                <w:rFonts w:ascii="Times New Roman" w:hAnsi="Times New Roman" w:cs="Times New Roman"/>
              </w:rPr>
            </w:pPr>
            <w:r w:rsidRPr="002735B8">
              <w:rPr>
                <w:rFonts w:ascii="Times New Roman" w:hAnsi="Times New Roman" w:cs="Times New Roman"/>
              </w:rPr>
              <w:t xml:space="preserve">5 – 50 % </w:t>
            </w:r>
          </w:p>
        </w:tc>
        <w:tc>
          <w:tcPr>
            <w:tcW w:w="2979" w:type="dxa"/>
            <w:tcBorders>
              <w:top w:val="single" w:sz="4" w:space="0" w:color="54883D"/>
              <w:left w:val="single" w:sz="4" w:space="0" w:color="54883D"/>
              <w:bottom w:val="single" w:sz="4" w:space="0" w:color="54883D"/>
              <w:right w:val="single" w:sz="4" w:space="0" w:color="54883D"/>
            </w:tcBorders>
          </w:tcPr>
          <w:p w14:paraId="53776870" w14:textId="77777777" w:rsidR="002735B8" w:rsidRPr="002735B8" w:rsidRDefault="002735B8" w:rsidP="002735B8">
            <w:pPr>
              <w:spacing w:after="0" w:line="259" w:lineRule="auto"/>
              <w:ind w:left="0" w:right="57" w:firstLine="0"/>
              <w:jc w:val="center"/>
              <w:rPr>
                <w:rFonts w:ascii="Times New Roman" w:hAnsi="Times New Roman" w:cs="Times New Roman"/>
              </w:rPr>
            </w:pPr>
            <w:r w:rsidRPr="002735B8">
              <w:rPr>
                <w:rFonts w:ascii="Times New Roman" w:hAnsi="Times New Roman" w:cs="Times New Roman"/>
              </w:rPr>
              <w:t xml:space="preserve">1 događaj u 2 do 20 godina </w:t>
            </w:r>
          </w:p>
        </w:tc>
        <w:tc>
          <w:tcPr>
            <w:tcW w:w="1556" w:type="dxa"/>
            <w:tcBorders>
              <w:top w:val="single" w:sz="4" w:space="0" w:color="54883D"/>
              <w:left w:val="single" w:sz="4" w:space="0" w:color="54883D"/>
              <w:bottom w:val="single" w:sz="4" w:space="0" w:color="54883D"/>
              <w:right w:val="single" w:sz="4" w:space="0" w:color="54883D"/>
            </w:tcBorders>
          </w:tcPr>
          <w:p w14:paraId="26EE6356" w14:textId="77777777" w:rsidR="002735B8" w:rsidRPr="002735B8" w:rsidRDefault="002735B8" w:rsidP="002735B8">
            <w:pPr>
              <w:spacing w:after="0" w:line="259" w:lineRule="auto"/>
              <w:ind w:left="9" w:right="0" w:firstLine="0"/>
              <w:jc w:val="center"/>
              <w:rPr>
                <w:rFonts w:ascii="Times New Roman" w:hAnsi="Times New Roman" w:cs="Times New Roman"/>
              </w:rPr>
            </w:pPr>
            <w:r w:rsidRPr="002735B8">
              <w:rPr>
                <w:rFonts w:ascii="Times New Roman" w:hAnsi="Times New Roman" w:cs="Times New Roman"/>
              </w:rPr>
              <w:t xml:space="preserve"> </w:t>
            </w:r>
          </w:p>
        </w:tc>
      </w:tr>
      <w:tr w:rsidR="002735B8" w:rsidRPr="002735B8" w14:paraId="5AFDBADC" w14:textId="77777777" w:rsidTr="00284074">
        <w:trPr>
          <w:trHeight w:val="352"/>
        </w:trPr>
        <w:tc>
          <w:tcPr>
            <w:tcW w:w="1384" w:type="dxa"/>
            <w:tcBorders>
              <w:top w:val="single" w:sz="4" w:space="0" w:color="54883D"/>
              <w:left w:val="single" w:sz="4" w:space="0" w:color="54883D"/>
              <w:bottom w:val="single" w:sz="4" w:space="0" w:color="54883D"/>
              <w:right w:val="single" w:sz="4" w:space="0" w:color="54883D"/>
            </w:tcBorders>
            <w:shd w:val="clear" w:color="auto" w:fill="FFC000"/>
          </w:tcPr>
          <w:p w14:paraId="2EFD265E" w14:textId="77777777" w:rsidR="002735B8" w:rsidRPr="002735B8" w:rsidRDefault="002735B8" w:rsidP="002735B8">
            <w:pPr>
              <w:spacing w:after="0" w:line="259" w:lineRule="auto"/>
              <w:ind w:left="0" w:right="53" w:firstLine="0"/>
              <w:jc w:val="center"/>
              <w:rPr>
                <w:rFonts w:ascii="Times New Roman" w:hAnsi="Times New Roman" w:cs="Times New Roman"/>
              </w:rPr>
            </w:pPr>
            <w:r w:rsidRPr="002735B8">
              <w:rPr>
                <w:rFonts w:ascii="Times New Roman" w:hAnsi="Times New Roman" w:cs="Times New Roman"/>
                <w:b/>
              </w:rPr>
              <w:t xml:space="preserve">4 </w:t>
            </w:r>
          </w:p>
        </w:tc>
        <w:tc>
          <w:tcPr>
            <w:tcW w:w="1589" w:type="dxa"/>
            <w:tcBorders>
              <w:top w:val="single" w:sz="4" w:space="0" w:color="54883D"/>
              <w:left w:val="single" w:sz="4" w:space="0" w:color="54883D"/>
              <w:bottom w:val="single" w:sz="4" w:space="0" w:color="54883D"/>
              <w:right w:val="single" w:sz="4" w:space="0" w:color="54883D"/>
            </w:tcBorders>
            <w:shd w:val="clear" w:color="auto" w:fill="FFC000"/>
          </w:tcPr>
          <w:p w14:paraId="40B5B4C6" w14:textId="77777777" w:rsidR="002735B8" w:rsidRPr="002735B8" w:rsidRDefault="002735B8" w:rsidP="002735B8">
            <w:pPr>
              <w:spacing w:after="0" w:line="259" w:lineRule="auto"/>
              <w:ind w:left="0" w:right="53" w:firstLine="0"/>
              <w:jc w:val="center"/>
              <w:rPr>
                <w:rFonts w:ascii="Times New Roman" w:hAnsi="Times New Roman" w:cs="Times New Roman"/>
              </w:rPr>
            </w:pPr>
            <w:r w:rsidRPr="002735B8">
              <w:rPr>
                <w:rFonts w:ascii="Times New Roman" w:hAnsi="Times New Roman" w:cs="Times New Roman"/>
              </w:rPr>
              <w:t xml:space="preserve">Velika </w:t>
            </w:r>
          </w:p>
        </w:tc>
        <w:tc>
          <w:tcPr>
            <w:tcW w:w="1558" w:type="dxa"/>
            <w:tcBorders>
              <w:top w:val="single" w:sz="4" w:space="0" w:color="54883D"/>
              <w:left w:val="single" w:sz="4" w:space="0" w:color="54883D"/>
              <w:bottom w:val="single" w:sz="4" w:space="0" w:color="54883D"/>
              <w:right w:val="single" w:sz="4" w:space="0" w:color="54883D"/>
            </w:tcBorders>
            <w:shd w:val="clear" w:color="auto" w:fill="FFC000"/>
          </w:tcPr>
          <w:p w14:paraId="15E4D47E" w14:textId="77777777" w:rsidR="002735B8" w:rsidRPr="002735B8" w:rsidRDefault="002735B8" w:rsidP="002735B8">
            <w:pPr>
              <w:spacing w:after="0" w:line="259" w:lineRule="auto"/>
              <w:ind w:left="0" w:right="53" w:firstLine="0"/>
              <w:jc w:val="center"/>
              <w:rPr>
                <w:rFonts w:ascii="Times New Roman" w:hAnsi="Times New Roman" w:cs="Times New Roman"/>
              </w:rPr>
            </w:pPr>
            <w:r w:rsidRPr="002735B8">
              <w:rPr>
                <w:rFonts w:ascii="Times New Roman" w:hAnsi="Times New Roman" w:cs="Times New Roman"/>
              </w:rPr>
              <w:t xml:space="preserve">51 – 98 % </w:t>
            </w:r>
          </w:p>
        </w:tc>
        <w:tc>
          <w:tcPr>
            <w:tcW w:w="2979" w:type="dxa"/>
            <w:tcBorders>
              <w:top w:val="single" w:sz="4" w:space="0" w:color="54883D"/>
              <w:left w:val="single" w:sz="4" w:space="0" w:color="54883D"/>
              <w:bottom w:val="single" w:sz="4" w:space="0" w:color="54883D"/>
              <w:right w:val="single" w:sz="4" w:space="0" w:color="54883D"/>
            </w:tcBorders>
            <w:shd w:val="clear" w:color="auto" w:fill="FFC000"/>
          </w:tcPr>
          <w:p w14:paraId="06B8A0F8" w14:textId="77777777" w:rsidR="002735B8" w:rsidRPr="002735B8" w:rsidRDefault="002735B8" w:rsidP="002735B8">
            <w:pPr>
              <w:spacing w:after="0" w:line="259" w:lineRule="auto"/>
              <w:ind w:left="0" w:right="56" w:firstLine="0"/>
              <w:jc w:val="center"/>
              <w:rPr>
                <w:rFonts w:ascii="Times New Roman" w:hAnsi="Times New Roman" w:cs="Times New Roman"/>
              </w:rPr>
            </w:pPr>
            <w:r w:rsidRPr="002735B8">
              <w:rPr>
                <w:rFonts w:ascii="Times New Roman" w:hAnsi="Times New Roman" w:cs="Times New Roman"/>
              </w:rPr>
              <w:t xml:space="preserve">1 događaj 1 do 2 godine </w:t>
            </w:r>
          </w:p>
        </w:tc>
        <w:tc>
          <w:tcPr>
            <w:tcW w:w="1556" w:type="dxa"/>
            <w:tcBorders>
              <w:top w:val="single" w:sz="4" w:space="0" w:color="54883D"/>
              <w:left w:val="single" w:sz="4" w:space="0" w:color="54883D"/>
              <w:bottom w:val="single" w:sz="4" w:space="0" w:color="54883D"/>
              <w:right w:val="single" w:sz="4" w:space="0" w:color="54883D"/>
            </w:tcBorders>
            <w:shd w:val="clear" w:color="auto" w:fill="FFC000"/>
          </w:tcPr>
          <w:p w14:paraId="74041099" w14:textId="77777777" w:rsidR="002735B8" w:rsidRPr="002735B8" w:rsidRDefault="002735B8" w:rsidP="002735B8">
            <w:pPr>
              <w:spacing w:after="0" w:line="259" w:lineRule="auto"/>
              <w:ind w:left="9" w:right="0" w:firstLine="0"/>
              <w:jc w:val="center"/>
              <w:rPr>
                <w:rFonts w:ascii="Times New Roman" w:hAnsi="Times New Roman" w:cs="Times New Roman"/>
              </w:rPr>
            </w:pPr>
            <w:r w:rsidRPr="002735B8">
              <w:rPr>
                <w:rFonts w:ascii="Times New Roman" w:hAnsi="Times New Roman" w:cs="Times New Roman"/>
              </w:rPr>
              <w:t xml:space="preserve"> </w:t>
            </w:r>
          </w:p>
        </w:tc>
      </w:tr>
      <w:tr w:rsidR="002735B8" w:rsidRPr="002735B8" w14:paraId="3E119AED" w14:textId="77777777" w:rsidTr="00284074">
        <w:trPr>
          <w:trHeight w:val="356"/>
        </w:trPr>
        <w:tc>
          <w:tcPr>
            <w:tcW w:w="1384" w:type="dxa"/>
            <w:tcBorders>
              <w:top w:val="single" w:sz="4" w:space="0" w:color="54883D"/>
              <w:left w:val="single" w:sz="4" w:space="0" w:color="54883D"/>
              <w:bottom w:val="single" w:sz="4" w:space="0" w:color="54883D"/>
              <w:right w:val="single" w:sz="4" w:space="0" w:color="54883D"/>
            </w:tcBorders>
          </w:tcPr>
          <w:p w14:paraId="52F67EBC" w14:textId="77777777" w:rsidR="002735B8" w:rsidRPr="002735B8" w:rsidRDefault="002735B8" w:rsidP="002735B8">
            <w:pPr>
              <w:spacing w:after="0" w:line="259" w:lineRule="auto"/>
              <w:ind w:left="0" w:right="53" w:firstLine="0"/>
              <w:jc w:val="center"/>
              <w:rPr>
                <w:rFonts w:ascii="Times New Roman" w:hAnsi="Times New Roman" w:cs="Times New Roman"/>
              </w:rPr>
            </w:pPr>
            <w:r w:rsidRPr="002735B8">
              <w:rPr>
                <w:rFonts w:ascii="Times New Roman" w:hAnsi="Times New Roman" w:cs="Times New Roman"/>
                <w:b/>
              </w:rPr>
              <w:lastRenderedPageBreak/>
              <w:t xml:space="preserve">5 </w:t>
            </w:r>
          </w:p>
        </w:tc>
        <w:tc>
          <w:tcPr>
            <w:tcW w:w="1589" w:type="dxa"/>
            <w:tcBorders>
              <w:top w:val="single" w:sz="4" w:space="0" w:color="54883D"/>
              <w:left w:val="single" w:sz="4" w:space="0" w:color="54883D"/>
              <w:bottom w:val="single" w:sz="4" w:space="0" w:color="54883D"/>
              <w:right w:val="single" w:sz="4" w:space="0" w:color="54883D"/>
            </w:tcBorders>
          </w:tcPr>
          <w:p w14:paraId="5568D2F4" w14:textId="77777777" w:rsidR="002735B8" w:rsidRPr="002735B8" w:rsidRDefault="002735B8" w:rsidP="002735B8">
            <w:pPr>
              <w:spacing w:after="0" w:line="259" w:lineRule="auto"/>
              <w:ind w:left="19" w:right="0" w:firstLine="0"/>
              <w:jc w:val="left"/>
              <w:rPr>
                <w:rFonts w:ascii="Times New Roman" w:hAnsi="Times New Roman" w:cs="Times New Roman"/>
              </w:rPr>
            </w:pPr>
            <w:r w:rsidRPr="002735B8">
              <w:rPr>
                <w:rFonts w:ascii="Times New Roman" w:hAnsi="Times New Roman" w:cs="Times New Roman"/>
              </w:rPr>
              <w:t xml:space="preserve">Iznimno velika </w:t>
            </w:r>
          </w:p>
        </w:tc>
        <w:tc>
          <w:tcPr>
            <w:tcW w:w="1558" w:type="dxa"/>
            <w:tcBorders>
              <w:top w:val="single" w:sz="4" w:space="0" w:color="54883D"/>
              <w:left w:val="single" w:sz="4" w:space="0" w:color="54883D"/>
              <w:bottom w:val="single" w:sz="4" w:space="0" w:color="54883D"/>
              <w:right w:val="single" w:sz="4" w:space="0" w:color="54883D"/>
            </w:tcBorders>
          </w:tcPr>
          <w:p w14:paraId="3171C09F" w14:textId="77777777" w:rsidR="002735B8" w:rsidRPr="002735B8" w:rsidRDefault="002735B8" w:rsidP="002735B8">
            <w:pPr>
              <w:spacing w:after="0" w:line="259" w:lineRule="auto"/>
              <w:ind w:left="0" w:right="50" w:firstLine="0"/>
              <w:jc w:val="center"/>
              <w:rPr>
                <w:rFonts w:ascii="Times New Roman" w:hAnsi="Times New Roman" w:cs="Times New Roman"/>
              </w:rPr>
            </w:pPr>
            <w:r w:rsidRPr="002735B8">
              <w:rPr>
                <w:rFonts w:ascii="Times New Roman" w:hAnsi="Times New Roman" w:cs="Times New Roman"/>
              </w:rPr>
              <w:t xml:space="preserve">&gt; 98 % </w:t>
            </w:r>
          </w:p>
        </w:tc>
        <w:tc>
          <w:tcPr>
            <w:tcW w:w="2979" w:type="dxa"/>
            <w:tcBorders>
              <w:top w:val="single" w:sz="4" w:space="0" w:color="54883D"/>
              <w:left w:val="single" w:sz="4" w:space="0" w:color="54883D"/>
              <w:bottom w:val="single" w:sz="4" w:space="0" w:color="54883D"/>
              <w:right w:val="single" w:sz="4" w:space="0" w:color="54883D"/>
            </w:tcBorders>
          </w:tcPr>
          <w:p w14:paraId="73F74F67" w14:textId="77777777" w:rsidR="002735B8" w:rsidRPr="002735B8" w:rsidRDefault="002735B8" w:rsidP="002735B8">
            <w:pPr>
              <w:spacing w:after="0" w:line="259" w:lineRule="auto"/>
              <w:ind w:left="0" w:right="58" w:firstLine="0"/>
              <w:jc w:val="center"/>
              <w:rPr>
                <w:rFonts w:ascii="Times New Roman" w:hAnsi="Times New Roman" w:cs="Times New Roman"/>
              </w:rPr>
            </w:pPr>
            <w:r w:rsidRPr="002735B8">
              <w:rPr>
                <w:rFonts w:ascii="Times New Roman" w:hAnsi="Times New Roman" w:cs="Times New Roman"/>
              </w:rPr>
              <w:t xml:space="preserve">1 događaj godišnje ili češće </w:t>
            </w:r>
          </w:p>
        </w:tc>
        <w:tc>
          <w:tcPr>
            <w:tcW w:w="1556" w:type="dxa"/>
            <w:tcBorders>
              <w:top w:val="single" w:sz="4" w:space="0" w:color="54883D"/>
              <w:left w:val="single" w:sz="4" w:space="0" w:color="54883D"/>
              <w:bottom w:val="single" w:sz="4" w:space="0" w:color="54883D"/>
              <w:right w:val="single" w:sz="4" w:space="0" w:color="54883D"/>
            </w:tcBorders>
          </w:tcPr>
          <w:p w14:paraId="71AE12BC" w14:textId="77777777" w:rsidR="002735B8" w:rsidRPr="002735B8" w:rsidRDefault="002735B8" w:rsidP="002735B8">
            <w:pPr>
              <w:spacing w:after="0" w:line="259" w:lineRule="auto"/>
              <w:ind w:left="9" w:right="0" w:firstLine="0"/>
              <w:jc w:val="center"/>
              <w:rPr>
                <w:rFonts w:ascii="Times New Roman" w:hAnsi="Times New Roman" w:cs="Times New Roman"/>
              </w:rPr>
            </w:pPr>
            <w:r w:rsidRPr="002735B8">
              <w:rPr>
                <w:rFonts w:ascii="Times New Roman" w:hAnsi="Times New Roman" w:cs="Times New Roman"/>
              </w:rPr>
              <w:t xml:space="preserve"> </w:t>
            </w:r>
          </w:p>
        </w:tc>
      </w:tr>
    </w:tbl>
    <w:p w14:paraId="44714DD7" w14:textId="531FECFC" w:rsidR="002735B8" w:rsidRDefault="002735B8" w:rsidP="002735B8">
      <w:pPr>
        <w:spacing w:after="208" w:line="259" w:lineRule="auto"/>
        <w:ind w:left="0" w:right="0" w:firstLine="0"/>
        <w:jc w:val="left"/>
        <w:rPr>
          <w:b/>
        </w:rPr>
      </w:pPr>
    </w:p>
    <w:p w14:paraId="49C3FF7B" w14:textId="77777777" w:rsidR="002735B8" w:rsidRPr="002735B8" w:rsidRDefault="002735B8" w:rsidP="00C5768E">
      <w:pPr>
        <w:spacing w:after="0" w:line="259" w:lineRule="auto"/>
        <w:ind w:left="0" w:right="0" w:firstLine="709"/>
        <w:jc w:val="left"/>
      </w:pPr>
      <w:r w:rsidRPr="002735B8">
        <w:rPr>
          <w:rFonts w:ascii="Times New Roman" w:hAnsi="Times New Roman" w:cs="Times New Roman"/>
          <w:b/>
          <w:sz w:val="24"/>
          <w:szCs w:val="24"/>
        </w:rPr>
        <w:t>6.6.5.2. Podaci, izvori i metode izračuna</w:t>
      </w:r>
    </w:p>
    <w:p w14:paraId="7F2CEB5F" w14:textId="77777777" w:rsidR="002735B8" w:rsidRPr="002735B8" w:rsidRDefault="002735B8" w:rsidP="00C70C9F">
      <w:pPr>
        <w:autoSpaceDE w:val="0"/>
        <w:autoSpaceDN w:val="0"/>
        <w:adjustRightInd w:val="0"/>
        <w:spacing w:after="0" w:line="240" w:lineRule="auto"/>
        <w:ind w:left="0" w:right="0" w:firstLine="709"/>
        <w:rPr>
          <w:rFonts w:ascii="Times New Roman" w:eastAsiaTheme="minorHAnsi" w:hAnsi="Times New Roman" w:cs="Times New Roman"/>
          <w:color w:val="auto"/>
          <w:sz w:val="24"/>
          <w:szCs w:val="24"/>
          <w:u w:val="single"/>
          <w:lang w:eastAsia="en-US"/>
        </w:rPr>
      </w:pPr>
      <w:r w:rsidRPr="002735B8">
        <w:rPr>
          <w:rFonts w:ascii="Times New Roman" w:eastAsiaTheme="minorHAnsi" w:hAnsi="Times New Roman" w:cs="Times New Roman"/>
          <w:color w:val="auto"/>
          <w:sz w:val="24"/>
          <w:szCs w:val="24"/>
          <w:u w:val="single"/>
          <w:lang w:eastAsia="en-US"/>
        </w:rPr>
        <w:t>Metodologija</w:t>
      </w:r>
    </w:p>
    <w:p w14:paraId="5468934D" w14:textId="77777777" w:rsidR="002735B8" w:rsidRPr="002735B8" w:rsidRDefault="002735B8" w:rsidP="00C207B1">
      <w:pPr>
        <w:autoSpaceDE w:val="0"/>
        <w:autoSpaceDN w:val="0"/>
        <w:adjustRightInd w:val="0"/>
        <w:spacing w:after="0" w:line="240" w:lineRule="auto"/>
        <w:ind w:left="0" w:right="0" w:firstLine="709"/>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xml:space="preserve">Procjene rizika od nesreća u nuklearnim elektranama uobičajeno se temelje na </w:t>
      </w:r>
      <w:r w:rsidRPr="002735B8">
        <w:rPr>
          <w:rFonts w:ascii="Times New Roman" w:eastAsiaTheme="minorHAnsi" w:hAnsi="Times New Roman" w:cs="Times New Roman"/>
          <w:i/>
          <w:color w:val="auto"/>
          <w:sz w:val="24"/>
          <w:szCs w:val="24"/>
          <w:lang w:eastAsia="en-US"/>
        </w:rPr>
        <w:t>Probabilistic Safety Assessment</w:t>
      </w:r>
      <w:r w:rsidRPr="002735B8">
        <w:rPr>
          <w:rFonts w:ascii="Times New Roman" w:eastAsiaTheme="minorHAnsi" w:hAnsi="Times New Roman" w:cs="Times New Roman"/>
          <w:color w:val="auto"/>
          <w:sz w:val="24"/>
          <w:szCs w:val="24"/>
          <w:lang w:eastAsia="en-US"/>
        </w:rPr>
        <w:t xml:space="preserve"> (PSA) postupku. U ovom slučaju su krajnji ciljevi procjene bili postavljeni tako da ju je bilo nužno proširiti izvan okvira PSA postupka provedenog za NE Krško. Zbog toga je usvojen ovakav metodološki pristup:</w:t>
      </w:r>
    </w:p>
    <w:p w14:paraId="4AE7E4E3" w14:textId="77777777" w:rsidR="002735B8" w:rsidRPr="002735B8" w:rsidRDefault="002735B8" w:rsidP="0014113B">
      <w:pPr>
        <w:numPr>
          <w:ilvl w:val="0"/>
          <w:numId w:val="8"/>
        </w:numPr>
        <w:autoSpaceDE w:val="0"/>
        <w:autoSpaceDN w:val="0"/>
        <w:adjustRightInd w:val="0"/>
        <w:spacing w:after="0" w:line="240" w:lineRule="auto"/>
        <w:ind w:right="0"/>
        <w:contextualSpacing/>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xml:space="preserve">odabir i razrada događaja s najgorim mogućim posljedicama temeljeni su na rezultatima PSA postupaka provedenih za NE Krško i za druge nuklearne elektrane, kao i na iskustvima iz dosad zabilježenih nuklearnih nesreća, posebice onih u kojima je došlo do oštećenja reaktorske jezgre, </w:t>
      </w:r>
    </w:p>
    <w:p w14:paraId="3D44B23B" w14:textId="77777777" w:rsidR="002735B8" w:rsidRPr="002735B8" w:rsidRDefault="002735B8" w:rsidP="0014113B">
      <w:pPr>
        <w:numPr>
          <w:ilvl w:val="0"/>
          <w:numId w:val="8"/>
        </w:numPr>
        <w:autoSpaceDE w:val="0"/>
        <w:autoSpaceDN w:val="0"/>
        <w:adjustRightInd w:val="0"/>
        <w:spacing w:after="0" w:line="240" w:lineRule="auto"/>
        <w:ind w:right="0"/>
        <w:contextualSpacing/>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xml:space="preserve">procjena vjerojatnosti ispusta iz NE Krško u okoliš zasnovana je na rezultatima druge razine PSA postupka provedenog za to postrojenje, </w:t>
      </w:r>
    </w:p>
    <w:p w14:paraId="0F764C24" w14:textId="77777777" w:rsidR="002735B8" w:rsidRPr="002735B8" w:rsidRDefault="002735B8" w:rsidP="0014113B">
      <w:pPr>
        <w:numPr>
          <w:ilvl w:val="0"/>
          <w:numId w:val="8"/>
        </w:numPr>
        <w:autoSpaceDE w:val="0"/>
        <w:autoSpaceDN w:val="0"/>
        <w:adjustRightInd w:val="0"/>
        <w:spacing w:after="0" w:line="240" w:lineRule="auto"/>
        <w:ind w:right="0"/>
        <w:contextualSpacing/>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xml:space="preserve">karakteristike ispusta iz NE Krško u okoliš definirane su primjenom računalnog programa InterRAS, </w:t>
      </w:r>
    </w:p>
    <w:p w14:paraId="4853B83A" w14:textId="77777777" w:rsidR="002735B8" w:rsidRPr="002735B8" w:rsidRDefault="002735B8" w:rsidP="0014113B">
      <w:pPr>
        <w:numPr>
          <w:ilvl w:val="0"/>
          <w:numId w:val="8"/>
        </w:numPr>
        <w:autoSpaceDE w:val="0"/>
        <w:autoSpaceDN w:val="0"/>
        <w:adjustRightInd w:val="0"/>
        <w:spacing w:after="0" w:line="240" w:lineRule="auto"/>
        <w:ind w:right="0"/>
        <w:contextualSpacing/>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atmosferska disperzija ispusta je modelirana primjenom sustava RODOS, a pomoću toga sustava su procijenjene i koncentracije radionuklida te doze ionizirajućeg zračenja za stanovništvo,</w:t>
      </w:r>
    </w:p>
    <w:p w14:paraId="4ECF56EC" w14:textId="77777777" w:rsidR="002735B8" w:rsidRPr="002735B8" w:rsidRDefault="002735B8" w:rsidP="0014113B">
      <w:pPr>
        <w:numPr>
          <w:ilvl w:val="0"/>
          <w:numId w:val="8"/>
        </w:numPr>
        <w:autoSpaceDE w:val="0"/>
        <w:autoSpaceDN w:val="0"/>
        <w:adjustRightInd w:val="0"/>
        <w:spacing w:after="0" w:line="240" w:lineRule="auto"/>
        <w:ind w:right="0"/>
        <w:contextualSpacing/>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xml:space="preserve">troškovi i gubici procijenjeni su na osnovi rezultata studija rađenih u Irskoj i Francuskoj, uz korekciju s obzirom na različitosti u odnosu na Hrvatsku. </w:t>
      </w:r>
    </w:p>
    <w:p w14:paraId="03466B03"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p>
    <w:p w14:paraId="3F840C4F" w14:textId="77777777" w:rsidR="002735B8" w:rsidRPr="002735B8" w:rsidRDefault="002735B8" w:rsidP="00C207B1">
      <w:pPr>
        <w:autoSpaceDE w:val="0"/>
        <w:autoSpaceDN w:val="0"/>
        <w:adjustRightInd w:val="0"/>
        <w:spacing w:after="0" w:line="240" w:lineRule="auto"/>
        <w:ind w:left="0" w:right="0" w:firstLine="709"/>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xml:space="preserve">Scenarij se bazirao na scenariju iz Procjene rizika od katastrofa za Republiku Hrvatsku, te je detaljiziran razradom specifičnih okolnosti vrijedećih za područje Grada Zagreba, i nadopunjen statističkim pokazateljima za područje Grada Zagreba. </w:t>
      </w:r>
    </w:p>
    <w:p w14:paraId="47D911B6"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p>
    <w:p w14:paraId="6D8949E2" w14:textId="77777777" w:rsidR="002735B8" w:rsidRPr="002735B8" w:rsidRDefault="002735B8" w:rsidP="00C5768E">
      <w:pPr>
        <w:autoSpaceDE w:val="0"/>
        <w:autoSpaceDN w:val="0"/>
        <w:adjustRightInd w:val="0"/>
        <w:spacing w:after="0" w:line="240" w:lineRule="auto"/>
        <w:ind w:left="0" w:right="0" w:firstLine="709"/>
        <w:rPr>
          <w:rFonts w:ascii="Times New Roman" w:eastAsiaTheme="minorHAnsi" w:hAnsi="Times New Roman" w:cs="Times New Roman"/>
          <w:color w:val="auto"/>
          <w:sz w:val="24"/>
          <w:szCs w:val="24"/>
          <w:u w:val="single"/>
          <w:lang w:eastAsia="en-US"/>
        </w:rPr>
      </w:pPr>
      <w:r w:rsidRPr="002735B8">
        <w:rPr>
          <w:rFonts w:ascii="Times New Roman" w:eastAsiaTheme="minorHAnsi" w:hAnsi="Times New Roman" w:cs="Times New Roman"/>
          <w:color w:val="auto"/>
          <w:sz w:val="24"/>
          <w:szCs w:val="24"/>
          <w:u w:val="single"/>
          <w:lang w:eastAsia="en-US"/>
        </w:rPr>
        <w:t>Nepouzdanost</w:t>
      </w:r>
    </w:p>
    <w:p w14:paraId="3EF6E4CC" w14:textId="77777777" w:rsidR="002735B8" w:rsidRPr="002735B8" w:rsidRDefault="002735B8" w:rsidP="00C207B1">
      <w:pPr>
        <w:autoSpaceDE w:val="0"/>
        <w:autoSpaceDN w:val="0"/>
        <w:adjustRightInd w:val="0"/>
        <w:spacing w:after="0" w:line="240" w:lineRule="auto"/>
        <w:ind w:left="0" w:right="0" w:firstLine="709"/>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xml:space="preserve">Nesreće u nuklearnim elektranama pri kojima dolazi do oštećenja jezgre i do značajnih ispusta radioaktivnih tvari u okoliš su izuzetno rijetki događaji. Do sada su zabilježena samo dva takva slučaja, i to u Černobilu 1986. godine i u Fukushimi 2013. godine. Stoga je jasno da ne postoji iscrpna baza statističkih podataka koja bi mogla poslužiti kao osnova za procjenu rizika od nuklearne nesreće, kao i da su iskustva ograničena. Dodatno, zbog brojnih razlika (izvedba postrojenja, meteorološke prilike, gustoća naseljenosti, način korištenja prostora i dr.) iskustva iz navedenih nesreća su samo dijelom od koristi prilikom izrade procjene rizika od nesreća u NE Krško. </w:t>
      </w:r>
    </w:p>
    <w:p w14:paraId="3B06A17B" w14:textId="77777777" w:rsidR="002735B8" w:rsidRPr="002735B8" w:rsidRDefault="002735B8" w:rsidP="00C207B1">
      <w:pPr>
        <w:autoSpaceDE w:val="0"/>
        <w:autoSpaceDN w:val="0"/>
        <w:adjustRightInd w:val="0"/>
        <w:spacing w:after="0" w:line="240" w:lineRule="auto"/>
        <w:ind w:left="0" w:right="0" w:firstLine="709"/>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Zbog svega navedenog, ova procjena rizika je temeljena na modeliranju, a ne na statistici. U procjenjivanju rizika modeliranjem pojavljuju se sljedeći glavni izvori nepouzdanosti (neodređenosti) rezultata:</w:t>
      </w:r>
    </w:p>
    <w:p w14:paraId="086DB8DD"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p>
    <w:p w14:paraId="7459AD34" w14:textId="77777777" w:rsidR="002735B8" w:rsidRPr="002735B8" w:rsidRDefault="002735B8" w:rsidP="0014113B">
      <w:pPr>
        <w:numPr>
          <w:ilvl w:val="0"/>
          <w:numId w:val="9"/>
        </w:numPr>
        <w:autoSpaceDE w:val="0"/>
        <w:autoSpaceDN w:val="0"/>
        <w:adjustRightInd w:val="0"/>
        <w:spacing w:after="0" w:line="240" w:lineRule="auto"/>
        <w:ind w:right="0"/>
        <w:contextualSpacing/>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xml:space="preserve">nepouzdanost ulaznih parametara (uzrokovana stohastičkim varijabilnostima ili nedostatkom znanja), </w:t>
      </w:r>
    </w:p>
    <w:p w14:paraId="2F56A990" w14:textId="77777777" w:rsidR="002735B8" w:rsidRPr="002735B8" w:rsidRDefault="002735B8" w:rsidP="0014113B">
      <w:pPr>
        <w:numPr>
          <w:ilvl w:val="0"/>
          <w:numId w:val="9"/>
        </w:numPr>
        <w:autoSpaceDE w:val="0"/>
        <w:autoSpaceDN w:val="0"/>
        <w:adjustRightInd w:val="0"/>
        <w:spacing w:after="0" w:line="240" w:lineRule="auto"/>
        <w:ind w:right="0"/>
        <w:contextualSpacing/>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xml:space="preserve">nepouzdanost primijenjenog konceptualnog modela (uzrokovana nedostatkom znanja ili nužnim pojednostavljenjima) i </w:t>
      </w:r>
    </w:p>
    <w:p w14:paraId="2AB3D4F4" w14:textId="77777777" w:rsidR="002735B8" w:rsidRPr="002735B8" w:rsidRDefault="002735B8" w:rsidP="0014113B">
      <w:pPr>
        <w:numPr>
          <w:ilvl w:val="0"/>
          <w:numId w:val="9"/>
        </w:numPr>
        <w:autoSpaceDE w:val="0"/>
        <w:autoSpaceDN w:val="0"/>
        <w:adjustRightInd w:val="0"/>
        <w:spacing w:after="0" w:line="240" w:lineRule="auto"/>
        <w:ind w:right="0"/>
        <w:contextualSpacing/>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xml:space="preserve">nepouzdanost zbog nekompletnosti procjene. </w:t>
      </w:r>
    </w:p>
    <w:p w14:paraId="4FFD4DBC"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p>
    <w:p w14:paraId="439C0EDF" w14:textId="5ADEF393" w:rsidR="002735B8" w:rsidRDefault="002735B8" w:rsidP="00C207B1">
      <w:pPr>
        <w:autoSpaceDE w:val="0"/>
        <w:autoSpaceDN w:val="0"/>
        <w:adjustRightInd w:val="0"/>
        <w:spacing w:after="0" w:line="240" w:lineRule="auto"/>
        <w:ind w:left="0" w:right="0" w:firstLine="709"/>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xml:space="preserve">Razina nepouzdanosti rezultata procjene je nesumnjivo visoka. Kako bi se to naglasilo, rezultati su iskazani okvirno (nekoliko desetaka ljudi, nekoliko stotina kvadratnih kilometara, više od stotinu milijardi kuna). Vjeruje se da su u većini slučajeva redovi veličine dobivenih </w:t>
      </w:r>
      <w:r w:rsidRPr="002735B8">
        <w:rPr>
          <w:rFonts w:ascii="Times New Roman" w:eastAsiaTheme="minorHAnsi" w:hAnsi="Times New Roman" w:cs="Times New Roman"/>
          <w:color w:val="auto"/>
          <w:sz w:val="24"/>
          <w:szCs w:val="24"/>
          <w:lang w:eastAsia="en-US"/>
        </w:rPr>
        <w:lastRenderedPageBreak/>
        <w:t>rezultata točni. To bi značilo i da su u većini slučajeva ispravno odabrane kategorije posljedica i frekvencija u tablicama i matricama. Vjeruje se i da procjena s ovako visokom razinom nepouzdanosti može biti od koristi u procesu upravljanja rizicima.</w:t>
      </w:r>
    </w:p>
    <w:p w14:paraId="3633313C" w14:textId="77777777" w:rsidR="00B67B09" w:rsidRPr="002735B8" w:rsidRDefault="00B67B09"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p>
    <w:p w14:paraId="54F3583A" w14:textId="216B14EE" w:rsidR="002735B8" w:rsidRDefault="002735B8" w:rsidP="00C70C9F">
      <w:pPr>
        <w:spacing w:after="0" w:line="240" w:lineRule="auto"/>
        <w:ind w:left="0" w:right="1" w:firstLine="709"/>
        <w:rPr>
          <w:rFonts w:ascii="Times New Roman" w:hAnsi="Times New Roman" w:cs="Times New Roman"/>
          <w:b/>
          <w:color w:val="auto"/>
          <w:sz w:val="24"/>
          <w:szCs w:val="24"/>
        </w:rPr>
      </w:pPr>
      <w:r w:rsidRPr="002735B8">
        <w:rPr>
          <w:rFonts w:ascii="Times New Roman" w:hAnsi="Times New Roman" w:cs="Times New Roman"/>
          <w:b/>
          <w:color w:val="auto"/>
          <w:sz w:val="24"/>
          <w:szCs w:val="24"/>
        </w:rPr>
        <w:t>6.6.6. Matrice rizika</w:t>
      </w:r>
    </w:p>
    <w:p w14:paraId="29FF59DE" w14:textId="77777777" w:rsidR="002735B8" w:rsidRPr="002735B8" w:rsidRDefault="002735B8" w:rsidP="000D6A0F">
      <w:pPr>
        <w:spacing w:after="0" w:line="240" w:lineRule="auto"/>
        <w:ind w:left="0" w:right="1" w:firstLine="709"/>
        <w:rPr>
          <w:rFonts w:ascii="Times New Roman" w:hAnsi="Times New Roman" w:cs="Times New Roman"/>
          <w:color w:val="auto"/>
          <w:sz w:val="24"/>
          <w:szCs w:val="24"/>
          <w:u w:val="single"/>
        </w:rPr>
      </w:pPr>
      <w:r w:rsidRPr="002735B8">
        <w:rPr>
          <w:rFonts w:ascii="Times New Roman" w:hAnsi="Times New Roman" w:cs="Times New Roman"/>
          <w:color w:val="auto"/>
          <w:sz w:val="24"/>
          <w:szCs w:val="24"/>
          <w:u w:val="single"/>
        </w:rPr>
        <w:t>RIZIK</w:t>
      </w:r>
      <w:r w:rsidRPr="002735B8">
        <w:rPr>
          <w:rFonts w:ascii="Times New Roman" w:hAnsi="Times New Roman" w:cs="Times New Roman"/>
          <w:color w:val="auto"/>
          <w:sz w:val="24"/>
          <w:szCs w:val="24"/>
        </w:rPr>
        <w:t>: Nuklearna nesreća</w:t>
      </w:r>
    </w:p>
    <w:p w14:paraId="34D1BEC3" w14:textId="77777777" w:rsidR="002735B8" w:rsidRPr="002735B8" w:rsidRDefault="002735B8" w:rsidP="000D6A0F">
      <w:pPr>
        <w:spacing w:after="0" w:line="240" w:lineRule="auto"/>
        <w:ind w:left="0" w:right="1" w:firstLine="709"/>
        <w:rPr>
          <w:rFonts w:ascii="Times New Roman" w:hAnsi="Times New Roman" w:cs="Times New Roman"/>
          <w:sz w:val="24"/>
          <w:szCs w:val="24"/>
        </w:rPr>
      </w:pPr>
      <w:r w:rsidRPr="002735B8">
        <w:rPr>
          <w:rFonts w:ascii="Times New Roman" w:hAnsi="Times New Roman" w:cs="Times New Roman"/>
          <w:color w:val="auto"/>
          <w:sz w:val="24"/>
          <w:szCs w:val="24"/>
          <w:u w:val="single"/>
        </w:rPr>
        <w:t>NAZIV SCENARIJA</w:t>
      </w:r>
      <w:r w:rsidRPr="002735B8">
        <w:rPr>
          <w:rFonts w:ascii="Times New Roman" w:hAnsi="Times New Roman" w:cs="Times New Roman"/>
          <w:color w:val="auto"/>
          <w:sz w:val="24"/>
          <w:szCs w:val="24"/>
        </w:rPr>
        <w:t xml:space="preserve">: </w:t>
      </w:r>
      <w:r w:rsidRPr="002735B8">
        <w:rPr>
          <w:rFonts w:ascii="Times New Roman" w:hAnsi="Times New Roman" w:cs="Times New Roman"/>
          <w:sz w:val="24"/>
          <w:szCs w:val="24"/>
        </w:rPr>
        <w:t>Izvanredni događaj u Nuklearnoj elektrani Krško</w:t>
      </w:r>
    </w:p>
    <w:p w14:paraId="6D900319"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Na temelju kombinacije dobivenih vrijednosti posljedica za sve tri kategorije (život i zdravlje ljudi, gospodarstvo i društvena stabilnost i politika) i vjerojatnosti izrađene su matrice rizika za prijetnju.</w:t>
      </w:r>
    </w:p>
    <w:p w14:paraId="7ECB4320" w14:textId="77777777" w:rsidR="002735B8" w:rsidRPr="002735B8" w:rsidRDefault="002735B8" w:rsidP="002735B8">
      <w:pPr>
        <w:spacing w:after="0" w:line="240" w:lineRule="auto"/>
        <w:ind w:left="0" w:right="0" w:firstLine="0"/>
        <w:rPr>
          <w:rFonts w:ascii="Times New Roman" w:hAnsi="Times New Roman" w:cs="Times New Roman"/>
          <w:sz w:val="24"/>
          <w:szCs w:val="24"/>
        </w:rPr>
      </w:pPr>
    </w:p>
    <w:tbl>
      <w:tblPr>
        <w:tblStyle w:val="TableGrid40"/>
        <w:tblW w:w="86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0" w:type="dxa"/>
        </w:tblCellMar>
        <w:tblLook w:val="04A0" w:firstRow="1" w:lastRow="0" w:firstColumn="1" w:lastColumn="0" w:noHBand="0" w:noVBand="1"/>
      </w:tblPr>
      <w:tblGrid>
        <w:gridCol w:w="2903"/>
        <w:gridCol w:w="2644"/>
        <w:gridCol w:w="3137"/>
      </w:tblGrid>
      <w:tr w:rsidR="002735B8" w:rsidRPr="002735B8" w14:paraId="2922820C" w14:textId="77777777" w:rsidTr="00284074">
        <w:trPr>
          <w:cantSplit/>
          <w:trHeight w:val="146"/>
        </w:trPr>
        <w:tc>
          <w:tcPr>
            <w:tcW w:w="2903" w:type="dxa"/>
          </w:tcPr>
          <w:p w14:paraId="56DB2C58" w14:textId="77777777" w:rsidR="002735B8" w:rsidRPr="002735B8" w:rsidRDefault="002735B8" w:rsidP="002735B8">
            <w:pPr>
              <w:spacing w:after="0" w:line="240" w:lineRule="auto"/>
              <w:ind w:left="0" w:right="0" w:firstLine="0"/>
              <w:rPr>
                <w:rFonts w:ascii="Times New Roman" w:hAnsi="Times New Roman" w:cs="Times New Roman"/>
                <w:b/>
                <w:sz w:val="24"/>
                <w:szCs w:val="24"/>
              </w:rPr>
            </w:pPr>
            <w:r w:rsidRPr="002735B8">
              <w:rPr>
                <w:rFonts w:ascii="Times New Roman" w:hAnsi="Times New Roman" w:cs="Times New Roman"/>
                <w:b/>
                <w:sz w:val="24"/>
                <w:szCs w:val="24"/>
              </w:rPr>
              <w:t xml:space="preserve">     Život i zdravlje ljudi</w:t>
            </w:r>
          </w:p>
        </w:tc>
        <w:tc>
          <w:tcPr>
            <w:tcW w:w="2644" w:type="dxa"/>
          </w:tcPr>
          <w:p w14:paraId="3141006A" w14:textId="77777777" w:rsidR="002735B8" w:rsidRPr="002735B8" w:rsidRDefault="002735B8" w:rsidP="002735B8">
            <w:pPr>
              <w:spacing w:after="0" w:line="240" w:lineRule="auto"/>
              <w:ind w:left="0" w:right="0" w:firstLine="0"/>
              <w:rPr>
                <w:rFonts w:ascii="Times New Roman" w:hAnsi="Times New Roman" w:cs="Times New Roman"/>
                <w:b/>
                <w:sz w:val="24"/>
                <w:szCs w:val="24"/>
              </w:rPr>
            </w:pPr>
            <w:r w:rsidRPr="002735B8">
              <w:rPr>
                <w:rFonts w:ascii="Times New Roman" w:hAnsi="Times New Roman" w:cs="Times New Roman"/>
                <w:b/>
                <w:sz w:val="24"/>
                <w:szCs w:val="24"/>
              </w:rPr>
              <w:t xml:space="preserve">         Gospodarstvo</w:t>
            </w:r>
          </w:p>
        </w:tc>
        <w:tc>
          <w:tcPr>
            <w:tcW w:w="3137" w:type="dxa"/>
          </w:tcPr>
          <w:p w14:paraId="25B9B12F" w14:textId="77777777" w:rsidR="002735B8" w:rsidRPr="002735B8" w:rsidRDefault="002735B8" w:rsidP="002735B8">
            <w:pPr>
              <w:spacing w:after="0" w:line="240" w:lineRule="auto"/>
              <w:ind w:left="0" w:right="0" w:firstLine="0"/>
              <w:rPr>
                <w:rFonts w:ascii="Times New Roman" w:hAnsi="Times New Roman" w:cs="Times New Roman"/>
                <w:b/>
                <w:sz w:val="24"/>
                <w:szCs w:val="24"/>
              </w:rPr>
            </w:pPr>
            <w:r w:rsidRPr="002735B8">
              <w:rPr>
                <w:rFonts w:ascii="Times New Roman" w:hAnsi="Times New Roman" w:cs="Times New Roman"/>
                <w:b/>
                <w:sz w:val="24"/>
                <w:szCs w:val="24"/>
              </w:rPr>
              <w:t>Društvena stabilnost i politika</w:t>
            </w:r>
          </w:p>
          <w:p w14:paraId="5FCF2746" w14:textId="77777777" w:rsidR="002735B8" w:rsidRPr="002735B8" w:rsidRDefault="002735B8" w:rsidP="002735B8">
            <w:pPr>
              <w:spacing w:after="0" w:line="240" w:lineRule="auto"/>
              <w:ind w:left="0" w:right="0" w:firstLine="0"/>
              <w:rPr>
                <w:rFonts w:ascii="Times New Roman" w:hAnsi="Times New Roman" w:cs="Times New Roman"/>
                <w:b/>
                <w:sz w:val="24"/>
                <w:szCs w:val="24"/>
              </w:rPr>
            </w:pPr>
          </w:p>
        </w:tc>
      </w:tr>
    </w:tbl>
    <w:p w14:paraId="2BE3C321" w14:textId="77777777" w:rsidR="002735B8" w:rsidRPr="002735B8" w:rsidRDefault="002735B8" w:rsidP="002735B8">
      <w:pPr>
        <w:spacing w:after="0" w:line="240" w:lineRule="auto"/>
        <w:ind w:left="0" w:right="0" w:firstLine="0"/>
        <w:jc w:val="left"/>
        <w:rPr>
          <w:rFonts w:ascii="Times New Roman" w:hAnsi="Times New Roman" w:cs="Times New Roman"/>
          <w:b/>
          <w:sz w:val="24"/>
          <w:szCs w:val="24"/>
        </w:rPr>
      </w:pPr>
      <w:r w:rsidRPr="002735B8">
        <w:rPr>
          <w:rFonts w:ascii="Times New Roman" w:hAnsi="Times New Roman" w:cs="Times New Roman"/>
          <w:b/>
          <w:noProof/>
          <w:color w:val="auto"/>
          <w:sz w:val="24"/>
          <w:szCs w:val="24"/>
        </w:rPr>
        <w:drawing>
          <wp:inline distT="0" distB="0" distL="0" distR="0" wp14:anchorId="219B9862" wp14:editId="6931AE42">
            <wp:extent cx="1771650" cy="1447800"/>
            <wp:effectExtent l="0" t="0" r="0" b="9525"/>
            <wp:docPr id="52269" name="Picture 5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771650" cy="1447800"/>
                    </a:xfrm>
                    <a:prstGeom prst="rect">
                      <a:avLst/>
                    </a:prstGeom>
                    <a:noFill/>
                  </pic:spPr>
                </pic:pic>
              </a:graphicData>
            </a:graphic>
          </wp:inline>
        </w:drawing>
      </w:r>
      <w:r w:rsidRPr="002735B8">
        <w:rPr>
          <w:rFonts w:ascii="Times New Roman" w:hAnsi="Times New Roman" w:cs="Times New Roman"/>
          <w:b/>
          <w:noProof/>
          <w:color w:val="auto"/>
          <w:sz w:val="24"/>
          <w:szCs w:val="24"/>
        </w:rPr>
        <w:drawing>
          <wp:inline distT="0" distB="0" distL="0" distR="0" wp14:anchorId="31F6FED5" wp14:editId="6B9AF796">
            <wp:extent cx="1762125" cy="1438910"/>
            <wp:effectExtent l="0" t="0" r="9525" b="8890"/>
            <wp:docPr id="52270" name="Picture 5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762125" cy="1438910"/>
                    </a:xfrm>
                    <a:prstGeom prst="rect">
                      <a:avLst/>
                    </a:prstGeom>
                    <a:noFill/>
                  </pic:spPr>
                </pic:pic>
              </a:graphicData>
            </a:graphic>
          </wp:inline>
        </w:drawing>
      </w:r>
      <w:r w:rsidRPr="002735B8">
        <w:rPr>
          <w:rFonts w:ascii="Times New Roman" w:hAnsi="Times New Roman" w:cs="Times New Roman"/>
          <w:b/>
          <w:noProof/>
          <w:color w:val="auto"/>
          <w:sz w:val="24"/>
          <w:szCs w:val="24"/>
        </w:rPr>
        <w:drawing>
          <wp:inline distT="0" distB="0" distL="0" distR="0" wp14:anchorId="331916E6" wp14:editId="6490547D">
            <wp:extent cx="1792605" cy="1457325"/>
            <wp:effectExtent l="0" t="0" r="0" b="9525"/>
            <wp:docPr id="52271" name="Picture 5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792605" cy="1457325"/>
                    </a:xfrm>
                    <a:prstGeom prst="rect">
                      <a:avLst/>
                    </a:prstGeom>
                    <a:noFill/>
                  </pic:spPr>
                </pic:pic>
              </a:graphicData>
            </a:graphic>
          </wp:inline>
        </w:drawing>
      </w:r>
    </w:p>
    <w:p w14:paraId="6727E5EC" w14:textId="12EEC3A0" w:rsidR="002735B8" w:rsidRPr="002735B8" w:rsidRDefault="002735B8" w:rsidP="008B3016">
      <w:pPr>
        <w:spacing w:line="240" w:lineRule="auto"/>
        <w:ind w:left="0" w:right="0" w:firstLine="0"/>
        <w:jc w:val="center"/>
        <w:rPr>
          <w:rFonts w:ascii="Times New Roman" w:hAnsi="Times New Roman" w:cs="Times New Roman"/>
          <w:b/>
          <w:sz w:val="24"/>
          <w:szCs w:val="24"/>
        </w:rPr>
      </w:pPr>
      <w:r w:rsidRPr="002735B8">
        <w:rPr>
          <w:rFonts w:ascii="Times New Roman" w:hAnsi="Times New Roman" w:cs="Times New Roman"/>
          <w:b/>
          <w:sz w:val="24"/>
          <w:szCs w:val="24"/>
        </w:rPr>
        <w:t>Ukupni rizik za NUKLEARNU NESREĆU - umjeren rizik</w:t>
      </w:r>
    </w:p>
    <w:p w14:paraId="72A49085" w14:textId="6116C393" w:rsidR="002735B8" w:rsidRPr="002735B8" w:rsidRDefault="002B500E" w:rsidP="002735B8">
      <w:pPr>
        <w:spacing w:after="0" w:line="240" w:lineRule="auto"/>
        <w:ind w:left="0" w:right="0" w:firstLine="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BB2DFAD" wp14:editId="360E63C8">
            <wp:extent cx="4877435" cy="3773805"/>
            <wp:effectExtent l="0" t="0" r="0" b="0"/>
            <wp:docPr id="72936" name="Picture 7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877435" cy="3773805"/>
                    </a:xfrm>
                    <a:prstGeom prst="rect">
                      <a:avLst/>
                    </a:prstGeom>
                    <a:noFill/>
                  </pic:spPr>
                </pic:pic>
              </a:graphicData>
            </a:graphic>
          </wp:inline>
        </w:drawing>
      </w:r>
    </w:p>
    <w:p w14:paraId="73343108" w14:textId="77777777" w:rsidR="00C5768E" w:rsidRDefault="00C5768E" w:rsidP="00C70C9F">
      <w:pPr>
        <w:spacing w:after="0" w:line="240" w:lineRule="auto"/>
        <w:ind w:left="0" w:right="1" w:firstLine="709"/>
        <w:rPr>
          <w:rFonts w:ascii="Times New Roman" w:hAnsi="Times New Roman" w:cs="Times New Roman"/>
          <w:b/>
          <w:color w:val="auto"/>
          <w:sz w:val="24"/>
          <w:szCs w:val="24"/>
        </w:rPr>
      </w:pPr>
    </w:p>
    <w:p w14:paraId="78724A2B" w14:textId="6AF92603" w:rsidR="002735B8" w:rsidRPr="002735B8" w:rsidRDefault="002735B8" w:rsidP="00C70C9F">
      <w:pPr>
        <w:spacing w:after="0" w:line="240" w:lineRule="auto"/>
        <w:ind w:left="0" w:right="1" w:firstLine="709"/>
        <w:rPr>
          <w:rFonts w:ascii="Times New Roman" w:hAnsi="Times New Roman" w:cs="Times New Roman"/>
          <w:b/>
          <w:color w:val="auto"/>
          <w:sz w:val="24"/>
          <w:szCs w:val="24"/>
        </w:rPr>
      </w:pPr>
      <w:r w:rsidRPr="002735B8">
        <w:rPr>
          <w:rFonts w:ascii="Times New Roman" w:hAnsi="Times New Roman" w:cs="Times New Roman"/>
          <w:b/>
          <w:color w:val="auto"/>
          <w:sz w:val="24"/>
          <w:szCs w:val="24"/>
        </w:rPr>
        <w:t>6.6.7. Karte rizika</w:t>
      </w:r>
    </w:p>
    <w:p w14:paraId="7C13065A"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Prema Procjeni nuklearne i radiološke opasnosti za Republiku Hrvatsku (DZRNS, 2018.) čitavo područje Grada Zagreba nalazi se u istoj zaštitnoj zoni. Sukladno Procjeni rizika od katastrofa za Republiku Hrvatsku na čitavom području Grada Zagreba ukupni rizik je umjeren.</w:t>
      </w:r>
      <w:r w:rsidRPr="002735B8">
        <w:t xml:space="preserve"> </w:t>
      </w:r>
    </w:p>
    <w:p w14:paraId="00E7A595"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51C7F468"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noProof/>
        </w:rPr>
        <w:drawing>
          <wp:inline distT="0" distB="0" distL="0" distR="0" wp14:anchorId="1789FE5D" wp14:editId="23EFF840">
            <wp:extent cx="3895725" cy="3733800"/>
            <wp:effectExtent l="0" t="0" r="9525" b="9525"/>
            <wp:docPr id="52273" name="Picture 5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4">
                      <a:extLst>
                        <a:ext uri="{28A0092B-C50C-407E-A947-70E740481C1C}">
                          <a14:useLocalDpi xmlns:a14="http://schemas.microsoft.com/office/drawing/2010/main" val="0"/>
                        </a:ext>
                      </a:extLst>
                    </a:blip>
                    <a:srcRect l="35841" t="23553" r="35146" b="24071"/>
                    <a:stretch/>
                  </pic:blipFill>
                  <pic:spPr bwMode="auto">
                    <a:xfrm>
                      <a:off x="0" y="0"/>
                      <a:ext cx="3895725" cy="3733800"/>
                    </a:xfrm>
                    <a:prstGeom prst="rect">
                      <a:avLst/>
                    </a:prstGeom>
                    <a:noFill/>
                    <a:ln>
                      <a:noFill/>
                    </a:ln>
                    <a:extLst>
                      <a:ext uri="{53640926-AAD7-44D8-BBD7-CCE9431645EC}">
                        <a14:shadowObscured xmlns:a14="http://schemas.microsoft.com/office/drawing/2010/main"/>
                      </a:ext>
                    </a:extLst>
                  </pic:spPr>
                </pic:pic>
              </a:graphicData>
            </a:graphic>
          </wp:inline>
        </w:drawing>
      </w:r>
    </w:p>
    <w:p w14:paraId="119F0F2A"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Kako bi procijenili</w:t>
      </w:r>
      <w:r w:rsidRPr="002735B8">
        <w:t xml:space="preserve"> </w:t>
      </w:r>
      <w:r w:rsidRPr="002735B8">
        <w:rPr>
          <w:rFonts w:ascii="Times New Roman" w:hAnsi="Times New Roman" w:cs="Times New Roman"/>
          <w:sz w:val="24"/>
          <w:szCs w:val="24"/>
        </w:rPr>
        <w:t xml:space="preserve">opterećenje sustava civilne zaštite u slučaju nastanka neželjenog događaja, </w:t>
      </w:r>
      <w:r w:rsidRPr="002735B8">
        <w:rPr>
          <w:rFonts w:ascii="Times New Roman" w:hAnsi="Times New Roman" w:cs="Times New Roman"/>
          <w:color w:val="auto"/>
          <w:sz w:val="24"/>
          <w:szCs w:val="24"/>
        </w:rPr>
        <w:t xml:space="preserve">procjenjujemo relativne posljedice </w:t>
      </w:r>
      <w:r w:rsidRPr="002735B8">
        <w:rPr>
          <w:rFonts w:ascii="Times New Roman" w:hAnsi="Times New Roman" w:cs="Times New Roman"/>
          <w:sz w:val="24"/>
          <w:szCs w:val="24"/>
        </w:rPr>
        <w:t>u pojedinoj gradskoj četvrti isključivo u odnosu na teritorijalno područje Grada Zagreba i to u slučaju ostvarenja najgoreg scenarija.</w:t>
      </w:r>
    </w:p>
    <w:p w14:paraId="37688E97"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Unutar svake gradske četvrti posljedice su procijenjene s obzirom na rizik provođenja evakuacije odnosno brzinu evakuacije. Procjena posljedica na razinama gradskih četvrti pomaže da se detektiraju kritične točke u prostoru na koje je u slučaju pojave neželjenog događaja potrebno obratiti posebnu pozornost ili područja na kojima je potrebno planirati dodatne preventivne mjere kako bi se smanjio rizik. Svaki parametar (kriterij) ima četiri vrijednosti: nizak rizik (zelena boja), umjeren rizik (žuta boja), visok rizik (narančasta boja) i vrlo visok rizik (crvena boja) opterećenja sustava civilne zaštite. </w:t>
      </w:r>
    </w:p>
    <w:p w14:paraId="5F0E8E98" w14:textId="4B26C516" w:rsidR="002735B8" w:rsidRPr="002735B8" w:rsidRDefault="00C207B1" w:rsidP="002735B8">
      <w:pPr>
        <w:spacing w:after="0" w:line="240" w:lineRule="auto"/>
        <w:ind w:left="0" w:right="0" w:firstLine="0"/>
        <w:rPr>
          <w:rFonts w:ascii="Times New Roman" w:hAnsi="Times New Roman" w:cs="Times New Roman"/>
          <w:color w:val="auto"/>
          <w:sz w:val="24"/>
          <w:szCs w:val="24"/>
        </w:rPr>
      </w:pPr>
      <w:r>
        <w:rPr>
          <w:rFonts w:ascii="Times New Roman" w:hAnsi="Times New Roman" w:cs="Times New Roman"/>
          <w:color w:val="auto"/>
          <w:sz w:val="24"/>
          <w:szCs w:val="24"/>
        </w:rPr>
        <w:tab/>
      </w:r>
      <w:r w:rsidR="002735B8" w:rsidRPr="002735B8">
        <w:rPr>
          <w:rFonts w:ascii="Times New Roman" w:hAnsi="Times New Roman" w:cs="Times New Roman"/>
          <w:b/>
          <w:color w:val="auto"/>
          <w:sz w:val="24"/>
          <w:szCs w:val="24"/>
        </w:rPr>
        <w:t xml:space="preserve">Unatoč tome što se na području Grada Zagreba sukladno postojećim planskim dokumentima neće provoditi evakuacija </w:t>
      </w:r>
      <w:r w:rsidR="002735B8" w:rsidRPr="002735B8">
        <w:rPr>
          <w:rFonts w:ascii="Times New Roman" w:hAnsi="Times New Roman" w:cs="Times New Roman"/>
          <w:color w:val="auto"/>
          <w:sz w:val="24"/>
          <w:szCs w:val="24"/>
        </w:rPr>
        <w:t>(osim u slučaju postojanja hot-spot zona</w:t>
      </w:r>
      <w:r w:rsidR="002735B8" w:rsidRPr="002735B8">
        <w:rPr>
          <w:rFonts w:ascii="Times New Roman" w:hAnsi="Times New Roman" w:cs="Times New Roman"/>
          <w:color w:val="auto"/>
          <w:sz w:val="24"/>
          <w:szCs w:val="24"/>
          <w:vertAlign w:val="superscript"/>
        </w:rPr>
        <w:footnoteReference w:id="79"/>
      </w:r>
      <w:r w:rsidR="002735B8" w:rsidRPr="002735B8">
        <w:rPr>
          <w:rFonts w:ascii="Times New Roman" w:hAnsi="Times New Roman" w:cs="Times New Roman"/>
          <w:color w:val="auto"/>
          <w:sz w:val="24"/>
          <w:szCs w:val="24"/>
        </w:rPr>
        <w:t xml:space="preserve">), </w:t>
      </w:r>
      <w:r w:rsidR="002735B8" w:rsidRPr="002735B8">
        <w:rPr>
          <w:rFonts w:ascii="Times New Roman" w:hAnsi="Times New Roman" w:cs="Times New Roman"/>
          <w:b/>
          <w:color w:val="auto"/>
          <w:sz w:val="24"/>
          <w:szCs w:val="24"/>
        </w:rPr>
        <w:t>već mjera sklanjanja stanovništva</w:t>
      </w:r>
      <w:r w:rsidR="002735B8" w:rsidRPr="002735B8">
        <w:rPr>
          <w:rFonts w:ascii="Times New Roman" w:hAnsi="Times New Roman" w:cs="Times New Roman"/>
          <w:color w:val="auto"/>
          <w:sz w:val="24"/>
          <w:szCs w:val="24"/>
        </w:rPr>
        <w:t xml:space="preserve">, izgledno je očekivati poteškoće u procesu evakuacije ljudi iz zone za planiranje hitnih mjera zaštite (Zagrebačka županija) prema području Grada Zagreba i dalje na istok do evakuacijskih centara. Probleme stvara činjenica da će se stanovništvo iz dijela Zagrebačke županije evakuirati preko područja Grada Zagreba budući se istočnije nalaze obronci Medvednice, a isto tako izgledno je očekivati da svi stanovnici Grada Zagreba neće poslušati upute o sklanjanju, već će samoinicijativno pristupiti samoevakuaciji iako ona neće biti potrebna, što će dodatno otežati provođenje organizirane evakuacije stanovništva iz ugroženih područja. </w:t>
      </w:r>
    </w:p>
    <w:p w14:paraId="1554FEAD" w14:textId="2963BCD4" w:rsidR="002735B8" w:rsidRPr="002735B8" w:rsidRDefault="002735B8" w:rsidP="00C207B1">
      <w:pPr>
        <w:spacing w:after="0" w:line="240" w:lineRule="auto"/>
        <w:ind w:left="0" w:right="0" w:firstLine="709"/>
        <w:rPr>
          <w:rFonts w:ascii="Times New Roman" w:hAnsi="Times New Roman" w:cs="Times New Roman"/>
          <w:color w:val="auto"/>
          <w:sz w:val="24"/>
          <w:szCs w:val="24"/>
        </w:rPr>
      </w:pPr>
      <w:r w:rsidRPr="002735B8">
        <w:rPr>
          <w:rFonts w:ascii="Times New Roman" w:hAnsi="Times New Roman" w:cs="Times New Roman"/>
          <w:i/>
          <w:color w:val="auto"/>
          <w:sz w:val="24"/>
          <w:szCs w:val="24"/>
        </w:rPr>
        <w:t>Rizik provođenja evakuacije</w:t>
      </w:r>
      <w:r w:rsidRPr="002735B8">
        <w:rPr>
          <w:rFonts w:ascii="Times New Roman" w:hAnsi="Times New Roman" w:cs="Times New Roman"/>
          <w:color w:val="auto"/>
          <w:sz w:val="24"/>
          <w:szCs w:val="24"/>
        </w:rPr>
        <w:t xml:space="preserve"> se procjenjuje s obzirom na blizinu glavnih evakuacijskih koridora u smjeru zapad - istok i s obzirom na pretpostavku da će se brzina evakuacije stanovništva iz Zagrebačke županije usporavati u zapadnim dijelovima grada, dijelom i zbog panike koja će rezultirati nepridržavanjem uputa (dio stanovnika Grada Zagreba će napuštati domove, a neće provoditi sklanjanje sukladno preporukama što će otežavati proces evakuacije </w:t>
      </w:r>
      <w:r w:rsidRPr="002735B8">
        <w:rPr>
          <w:rFonts w:ascii="Times New Roman" w:hAnsi="Times New Roman" w:cs="Times New Roman"/>
          <w:color w:val="auto"/>
          <w:sz w:val="24"/>
          <w:szCs w:val="24"/>
        </w:rPr>
        <w:lastRenderedPageBreak/>
        <w:t>stanovništva najbližeg zoni NE Krško). Takva situacija dodatno će utjecati na stanje javnog reda i mira u pojedinoj gradskoj četvrti i na opterećenje sustava civilne zaštite.</w:t>
      </w:r>
    </w:p>
    <w:p w14:paraId="78BADF47" w14:textId="77777777" w:rsidR="002735B8" w:rsidRPr="002735B8" w:rsidRDefault="002735B8" w:rsidP="002735B8">
      <w:pPr>
        <w:spacing w:after="0" w:line="240" w:lineRule="auto"/>
        <w:ind w:left="0" w:right="0" w:firstLine="0"/>
        <w:rPr>
          <w:rFonts w:ascii="Times New Roman" w:hAnsi="Times New Roman" w:cs="Times New Roman"/>
          <w:color w:val="auto"/>
          <w:sz w:val="24"/>
          <w:szCs w:val="24"/>
        </w:rPr>
      </w:pPr>
    </w:p>
    <w:p w14:paraId="34149BFB" w14:textId="3F718DF9" w:rsidR="002735B8" w:rsidRPr="007A0F35" w:rsidRDefault="002735B8" w:rsidP="002735B8">
      <w:pPr>
        <w:spacing w:after="0" w:line="240" w:lineRule="auto"/>
        <w:ind w:left="0" w:right="0" w:firstLine="0"/>
        <w:jc w:val="center"/>
        <w:rPr>
          <w:rFonts w:ascii="Times New Roman" w:hAnsi="Times New Roman" w:cs="Times New Roman"/>
          <w:b/>
          <w:iCs/>
          <w:color w:val="auto"/>
          <w:sz w:val="24"/>
          <w:szCs w:val="24"/>
        </w:rPr>
      </w:pPr>
      <w:r w:rsidRPr="007A0F35">
        <w:rPr>
          <w:rFonts w:ascii="Times New Roman" w:hAnsi="Times New Roman" w:cs="Times New Roman"/>
          <w:b/>
          <w:iCs/>
          <w:color w:val="auto"/>
          <w:sz w:val="24"/>
          <w:szCs w:val="24"/>
        </w:rPr>
        <w:t xml:space="preserve">Tablica </w:t>
      </w:r>
      <w:r w:rsidR="007A0F35" w:rsidRPr="007A0F35">
        <w:rPr>
          <w:rFonts w:ascii="Times New Roman" w:hAnsi="Times New Roman" w:cs="Times New Roman"/>
          <w:b/>
          <w:iCs/>
          <w:color w:val="auto"/>
          <w:sz w:val="24"/>
          <w:szCs w:val="24"/>
        </w:rPr>
        <w:t>114</w:t>
      </w:r>
      <w:r w:rsidRPr="007A0F35">
        <w:rPr>
          <w:rFonts w:ascii="Times New Roman" w:hAnsi="Times New Roman" w:cs="Times New Roman"/>
          <w:b/>
          <w:iCs/>
          <w:color w:val="auto"/>
          <w:sz w:val="24"/>
          <w:szCs w:val="24"/>
        </w:rPr>
        <w:t>. Procjena rizika na razini gradskih četvrti</w:t>
      </w:r>
    </w:p>
    <w:p w14:paraId="15B0C953" w14:textId="77777777" w:rsidR="002735B8" w:rsidRPr="002735B8" w:rsidRDefault="002735B8" w:rsidP="002735B8">
      <w:pPr>
        <w:spacing w:after="0" w:line="240" w:lineRule="auto"/>
        <w:ind w:left="0" w:right="0" w:firstLine="0"/>
      </w:pPr>
    </w:p>
    <w:tbl>
      <w:tblPr>
        <w:tblStyle w:val="TableGrid7"/>
        <w:tblW w:w="5807" w:type="dxa"/>
        <w:jc w:val="center"/>
        <w:tblInd w:w="0" w:type="dxa"/>
        <w:tblLayout w:type="fixed"/>
        <w:tblCellMar>
          <w:left w:w="57" w:type="dxa"/>
          <w:right w:w="53" w:type="dxa"/>
        </w:tblCellMar>
        <w:tblLook w:val="04A0" w:firstRow="1" w:lastRow="0" w:firstColumn="1" w:lastColumn="0" w:noHBand="0" w:noVBand="1"/>
      </w:tblPr>
      <w:tblGrid>
        <w:gridCol w:w="688"/>
        <w:gridCol w:w="2627"/>
        <w:gridCol w:w="2492"/>
      </w:tblGrid>
      <w:tr w:rsidR="002735B8" w:rsidRPr="002735B8" w14:paraId="6CB767D4" w14:textId="77777777" w:rsidTr="00284074">
        <w:trPr>
          <w:cantSplit/>
          <w:trHeight w:val="680"/>
          <w:tblHeader/>
          <w:jc w:val="center"/>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3A282029" w14:textId="77777777" w:rsidR="002735B8" w:rsidRPr="002735B8" w:rsidRDefault="002735B8" w:rsidP="002735B8">
            <w:pPr>
              <w:spacing w:after="0" w:line="240" w:lineRule="auto"/>
              <w:ind w:left="0" w:right="0" w:firstLine="0"/>
              <w:jc w:val="center"/>
              <w:rPr>
                <w:rFonts w:ascii="Times New Roman" w:hAnsi="Times New Roman" w:cs="Times New Roman"/>
                <w:b/>
                <w:color w:val="FFFFFF" w:themeColor="background1"/>
                <w:sz w:val="24"/>
                <w:szCs w:val="24"/>
              </w:rPr>
            </w:pPr>
            <w:r w:rsidRPr="002735B8">
              <w:rPr>
                <w:rFonts w:ascii="Times New Roman" w:hAnsi="Times New Roman" w:cs="Times New Roman"/>
                <w:b/>
                <w:color w:val="FFFFFF" w:themeColor="background1"/>
                <w:sz w:val="24"/>
                <w:szCs w:val="24"/>
              </w:rPr>
              <w:t>R.br.</w:t>
            </w:r>
          </w:p>
        </w:tc>
        <w:tc>
          <w:tcPr>
            <w:tcW w:w="262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3066A8C6" w14:textId="77777777" w:rsidR="002735B8" w:rsidRPr="002735B8" w:rsidRDefault="002735B8" w:rsidP="002735B8">
            <w:pPr>
              <w:spacing w:after="0" w:line="240" w:lineRule="auto"/>
              <w:ind w:left="0" w:right="0" w:firstLine="0"/>
              <w:jc w:val="center"/>
              <w:rPr>
                <w:rFonts w:ascii="Times New Roman" w:hAnsi="Times New Roman" w:cs="Times New Roman"/>
                <w:b/>
                <w:color w:val="FFFFFF" w:themeColor="background1"/>
                <w:sz w:val="24"/>
                <w:szCs w:val="24"/>
              </w:rPr>
            </w:pPr>
            <w:r w:rsidRPr="002735B8">
              <w:rPr>
                <w:rFonts w:ascii="Times New Roman" w:hAnsi="Times New Roman" w:cs="Times New Roman"/>
                <w:b/>
                <w:color w:val="FFFFFF" w:themeColor="background1"/>
                <w:sz w:val="24"/>
                <w:szCs w:val="24"/>
              </w:rPr>
              <w:t>Gradska četvrt</w:t>
            </w:r>
          </w:p>
        </w:tc>
        <w:tc>
          <w:tcPr>
            <w:tcW w:w="2492"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6D6592A3" w14:textId="77777777" w:rsidR="002735B8" w:rsidRPr="002735B8" w:rsidRDefault="002735B8" w:rsidP="002735B8">
            <w:pPr>
              <w:spacing w:after="0" w:line="240" w:lineRule="auto"/>
              <w:ind w:left="0" w:right="0" w:firstLine="0"/>
              <w:jc w:val="center"/>
              <w:rPr>
                <w:rFonts w:ascii="Times New Roman" w:hAnsi="Times New Roman" w:cs="Times New Roman"/>
                <w:b/>
                <w:color w:val="FFFFFF" w:themeColor="background1"/>
                <w:sz w:val="24"/>
                <w:szCs w:val="24"/>
              </w:rPr>
            </w:pPr>
            <w:r w:rsidRPr="002735B8">
              <w:rPr>
                <w:rFonts w:ascii="Times New Roman" w:hAnsi="Times New Roman" w:cs="Times New Roman"/>
                <w:b/>
                <w:color w:val="FFFFFF" w:themeColor="background1"/>
                <w:sz w:val="24"/>
                <w:szCs w:val="24"/>
              </w:rPr>
              <w:t>Rizik provođenja evakuacije</w:t>
            </w:r>
            <w:r w:rsidRPr="002735B8">
              <w:rPr>
                <w:rFonts w:ascii="Times New Roman" w:hAnsi="Times New Roman" w:cs="Times New Roman"/>
                <w:b/>
                <w:color w:val="FFFFFF" w:themeColor="background1"/>
                <w:sz w:val="24"/>
                <w:szCs w:val="24"/>
                <w:vertAlign w:val="superscript"/>
              </w:rPr>
              <w:footnoteReference w:id="80"/>
            </w:r>
            <w:r w:rsidRPr="002735B8">
              <w:rPr>
                <w:rFonts w:ascii="Times New Roman" w:hAnsi="Times New Roman" w:cs="Times New Roman"/>
                <w:b/>
                <w:color w:val="FFFFFF" w:themeColor="background1"/>
                <w:sz w:val="24"/>
                <w:szCs w:val="24"/>
              </w:rPr>
              <w:t xml:space="preserve">  </w:t>
            </w:r>
          </w:p>
        </w:tc>
      </w:tr>
      <w:tr w:rsidR="002735B8" w:rsidRPr="002735B8" w14:paraId="6CEC9765" w14:textId="77777777" w:rsidTr="00284074">
        <w:trPr>
          <w:cantSplit/>
          <w:trHeight w:val="680"/>
          <w:jc w:val="center"/>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3173084" w14:textId="77777777" w:rsidR="002735B8" w:rsidRPr="002735B8" w:rsidRDefault="002735B8" w:rsidP="002735B8">
            <w:pPr>
              <w:spacing w:after="0" w:line="240" w:lineRule="auto"/>
              <w:ind w:left="0" w:right="0" w:firstLine="0"/>
              <w:jc w:val="center"/>
              <w:rPr>
                <w:rFonts w:ascii="Times New Roman" w:hAnsi="Times New Roman" w:cs="Times New Roman"/>
                <w:color w:val="FFFFFF" w:themeColor="background1"/>
                <w:sz w:val="24"/>
                <w:szCs w:val="24"/>
              </w:rPr>
            </w:pPr>
            <w:r w:rsidRPr="002735B8">
              <w:rPr>
                <w:rFonts w:ascii="Times New Roman" w:hAnsi="Times New Roman" w:cs="Times New Roman"/>
                <w:color w:val="FFFFFF" w:themeColor="background1"/>
                <w:sz w:val="24"/>
                <w:szCs w:val="24"/>
              </w:rPr>
              <w:t>1.</w:t>
            </w:r>
          </w:p>
        </w:tc>
        <w:tc>
          <w:tcPr>
            <w:tcW w:w="2627" w:type="dxa"/>
            <w:tcBorders>
              <w:top w:val="single" w:sz="4" w:space="0" w:color="000000"/>
              <w:left w:val="single" w:sz="4" w:space="0" w:color="000000"/>
              <w:bottom w:val="single" w:sz="4" w:space="0" w:color="000000"/>
              <w:right w:val="single" w:sz="4" w:space="0" w:color="000000"/>
            </w:tcBorders>
            <w:vAlign w:val="center"/>
          </w:tcPr>
          <w:p w14:paraId="3BAD2593"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Brezovica</w:t>
            </w:r>
          </w:p>
        </w:tc>
        <w:tc>
          <w:tcPr>
            <w:tcW w:w="249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7C874846"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7F9E97F0" w14:textId="77777777" w:rsidTr="00284074">
        <w:trPr>
          <w:cantSplit/>
          <w:trHeight w:val="680"/>
          <w:jc w:val="center"/>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4B78E22B" w14:textId="77777777" w:rsidR="002735B8" w:rsidRPr="002735B8" w:rsidRDefault="002735B8" w:rsidP="002735B8">
            <w:pPr>
              <w:spacing w:after="0" w:line="240" w:lineRule="auto"/>
              <w:ind w:left="0" w:right="0" w:firstLine="0"/>
              <w:jc w:val="center"/>
              <w:rPr>
                <w:rFonts w:ascii="Times New Roman" w:hAnsi="Times New Roman" w:cs="Times New Roman"/>
                <w:color w:val="FFFFFF" w:themeColor="background1"/>
                <w:sz w:val="24"/>
                <w:szCs w:val="24"/>
              </w:rPr>
            </w:pPr>
            <w:r w:rsidRPr="002735B8">
              <w:rPr>
                <w:rFonts w:ascii="Times New Roman" w:hAnsi="Times New Roman" w:cs="Times New Roman"/>
                <w:color w:val="FFFFFF" w:themeColor="background1"/>
                <w:sz w:val="24"/>
                <w:szCs w:val="24"/>
              </w:rPr>
              <w:t>2.</w:t>
            </w:r>
          </w:p>
        </w:tc>
        <w:tc>
          <w:tcPr>
            <w:tcW w:w="2627" w:type="dxa"/>
            <w:tcBorders>
              <w:top w:val="single" w:sz="4" w:space="0" w:color="000000"/>
              <w:left w:val="single" w:sz="4" w:space="0" w:color="000000"/>
              <w:bottom w:val="single" w:sz="4" w:space="0" w:color="000000"/>
              <w:right w:val="single" w:sz="4" w:space="0" w:color="000000"/>
            </w:tcBorders>
            <w:vAlign w:val="center"/>
          </w:tcPr>
          <w:p w14:paraId="77897BC9"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Črnomerec</w:t>
            </w:r>
          </w:p>
        </w:tc>
        <w:tc>
          <w:tcPr>
            <w:tcW w:w="249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705ECAFF" w14:textId="77777777" w:rsidR="002735B8" w:rsidRPr="002735B8" w:rsidRDefault="002735B8" w:rsidP="002735B8">
            <w:pPr>
              <w:spacing w:after="0" w:line="240" w:lineRule="auto"/>
              <w:ind w:left="0" w:right="0" w:firstLine="0"/>
              <w:jc w:val="center"/>
              <w:rPr>
                <w:rFonts w:ascii="Times New Roman" w:hAnsi="Times New Roman" w:cs="Times New Roman"/>
                <w:color w:val="FF0000"/>
                <w:sz w:val="24"/>
                <w:szCs w:val="24"/>
                <w:highlight w:val="yellow"/>
              </w:rPr>
            </w:pPr>
          </w:p>
        </w:tc>
      </w:tr>
      <w:tr w:rsidR="002735B8" w:rsidRPr="002735B8" w14:paraId="70B64FE4" w14:textId="77777777" w:rsidTr="00284074">
        <w:trPr>
          <w:cantSplit/>
          <w:trHeight w:val="680"/>
          <w:jc w:val="center"/>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0237C369" w14:textId="77777777" w:rsidR="002735B8" w:rsidRPr="002735B8" w:rsidRDefault="002735B8" w:rsidP="002735B8">
            <w:pPr>
              <w:spacing w:after="0" w:line="240" w:lineRule="auto"/>
              <w:ind w:left="0" w:right="0" w:firstLine="0"/>
              <w:jc w:val="center"/>
              <w:rPr>
                <w:rFonts w:ascii="Times New Roman" w:hAnsi="Times New Roman" w:cs="Times New Roman"/>
                <w:color w:val="FFFFFF" w:themeColor="background1"/>
                <w:sz w:val="24"/>
                <w:szCs w:val="24"/>
              </w:rPr>
            </w:pPr>
            <w:r w:rsidRPr="002735B8">
              <w:rPr>
                <w:rFonts w:ascii="Times New Roman" w:hAnsi="Times New Roman" w:cs="Times New Roman"/>
                <w:color w:val="FFFFFF" w:themeColor="background1"/>
                <w:sz w:val="24"/>
                <w:szCs w:val="24"/>
              </w:rPr>
              <w:t>3.</w:t>
            </w:r>
          </w:p>
        </w:tc>
        <w:tc>
          <w:tcPr>
            <w:tcW w:w="2627" w:type="dxa"/>
            <w:tcBorders>
              <w:top w:val="single" w:sz="4" w:space="0" w:color="000000"/>
              <w:left w:val="single" w:sz="4" w:space="0" w:color="000000"/>
              <w:bottom w:val="single" w:sz="4" w:space="0" w:color="000000"/>
              <w:right w:val="single" w:sz="4" w:space="0" w:color="000000"/>
            </w:tcBorders>
            <w:vAlign w:val="center"/>
          </w:tcPr>
          <w:p w14:paraId="305031F1"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Donja Dubrava</w:t>
            </w:r>
          </w:p>
        </w:tc>
        <w:tc>
          <w:tcPr>
            <w:tcW w:w="249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0F98B722"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306FA352" w14:textId="77777777" w:rsidTr="00284074">
        <w:trPr>
          <w:cantSplit/>
          <w:trHeight w:val="680"/>
          <w:jc w:val="center"/>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D23D50B" w14:textId="77777777" w:rsidR="002735B8" w:rsidRPr="002735B8" w:rsidRDefault="002735B8" w:rsidP="002735B8">
            <w:pPr>
              <w:spacing w:after="0" w:line="240" w:lineRule="auto"/>
              <w:ind w:left="0" w:right="0" w:firstLine="0"/>
              <w:jc w:val="center"/>
              <w:rPr>
                <w:rFonts w:ascii="Times New Roman" w:hAnsi="Times New Roman" w:cs="Times New Roman"/>
                <w:color w:val="FFFFFF" w:themeColor="background1"/>
                <w:sz w:val="24"/>
                <w:szCs w:val="24"/>
              </w:rPr>
            </w:pPr>
            <w:r w:rsidRPr="002735B8">
              <w:rPr>
                <w:rFonts w:ascii="Times New Roman" w:hAnsi="Times New Roman" w:cs="Times New Roman"/>
                <w:color w:val="FFFFFF" w:themeColor="background1"/>
                <w:sz w:val="24"/>
                <w:szCs w:val="24"/>
              </w:rPr>
              <w:t>4.</w:t>
            </w:r>
          </w:p>
        </w:tc>
        <w:tc>
          <w:tcPr>
            <w:tcW w:w="2627" w:type="dxa"/>
            <w:tcBorders>
              <w:top w:val="single" w:sz="4" w:space="0" w:color="000000"/>
              <w:left w:val="single" w:sz="4" w:space="0" w:color="000000"/>
              <w:bottom w:val="single" w:sz="4" w:space="0" w:color="000000"/>
              <w:right w:val="single" w:sz="4" w:space="0" w:color="000000"/>
            </w:tcBorders>
            <w:vAlign w:val="center"/>
          </w:tcPr>
          <w:p w14:paraId="02B0BA2D"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Donji grad</w:t>
            </w:r>
          </w:p>
        </w:tc>
        <w:tc>
          <w:tcPr>
            <w:tcW w:w="249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50E30625"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5BA5BBB1" w14:textId="77777777" w:rsidTr="00284074">
        <w:trPr>
          <w:cantSplit/>
          <w:trHeight w:val="680"/>
          <w:jc w:val="center"/>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45D93E28" w14:textId="77777777" w:rsidR="002735B8" w:rsidRPr="002735B8" w:rsidRDefault="002735B8" w:rsidP="002735B8">
            <w:pPr>
              <w:spacing w:after="0" w:line="240" w:lineRule="auto"/>
              <w:ind w:left="0" w:right="0" w:firstLine="0"/>
              <w:jc w:val="center"/>
              <w:rPr>
                <w:rFonts w:ascii="Times New Roman" w:hAnsi="Times New Roman" w:cs="Times New Roman"/>
                <w:color w:val="FFFFFF" w:themeColor="background1"/>
                <w:sz w:val="24"/>
                <w:szCs w:val="24"/>
              </w:rPr>
            </w:pPr>
            <w:r w:rsidRPr="002735B8">
              <w:rPr>
                <w:rFonts w:ascii="Times New Roman" w:hAnsi="Times New Roman" w:cs="Times New Roman"/>
                <w:color w:val="FFFFFF" w:themeColor="background1"/>
                <w:sz w:val="24"/>
                <w:szCs w:val="24"/>
              </w:rPr>
              <w:t>5.</w:t>
            </w:r>
          </w:p>
        </w:tc>
        <w:tc>
          <w:tcPr>
            <w:tcW w:w="2627" w:type="dxa"/>
            <w:tcBorders>
              <w:top w:val="single" w:sz="4" w:space="0" w:color="000000"/>
              <w:left w:val="single" w:sz="4" w:space="0" w:color="000000"/>
              <w:bottom w:val="single" w:sz="4" w:space="0" w:color="000000"/>
              <w:right w:val="single" w:sz="4" w:space="0" w:color="000000"/>
            </w:tcBorders>
            <w:vAlign w:val="center"/>
          </w:tcPr>
          <w:p w14:paraId="3A32554E"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Gornja Dubrava</w:t>
            </w:r>
          </w:p>
        </w:tc>
        <w:tc>
          <w:tcPr>
            <w:tcW w:w="249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37FF63D5" w14:textId="77777777" w:rsidR="002735B8" w:rsidRPr="002735B8" w:rsidRDefault="002735B8" w:rsidP="002735B8">
            <w:pPr>
              <w:spacing w:after="0" w:line="240" w:lineRule="auto"/>
              <w:ind w:left="0" w:right="0" w:firstLine="0"/>
              <w:jc w:val="center"/>
              <w:rPr>
                <w:rFonts w:ascii="Times New Roman" w:hAnsi="Times New Roman" w:cs="Times New Roman"/>
                <w:color w:val="92D050"/>
                <w:sz w:val="24"/>
                <w:szCs w:val="24"/>
              </w:rPr>
            </w:pPr>
          </w:p>
        </w:tc>
      </w:tr>
      <w:tr w:rsidR="002735B8" w:rsidRPr="002735B8" w14:paraId="55F7AB38" w14:textId="77777777" w:rsidTr="00284074">
        <w:trPr>
          <w:cantSplit/>
          <w:trHeight w:val="680"/>
          <w:jc w:val="center"/>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001E62ED" w14:textId="77777777" w:rsidR="002735B8" w:rsidRPr="002735B8" w:rsidRDefault="002735B8" w:rsidP="002735B8">
            <w:pPr>
              <w:spacing w:after="0" w:line="240" w:lineRule="auto"/>
              <w:ind w:left="0" w:right="0" w:firstLine="0"/>
              <w:jc w:val="center"/>
              <w:rPr>
                <w:rFonts w:ascii="Times New Roman" w:hAnsi="Times New Roman" w:cs="Times New Roman"/>
                <w:color w:val="FFFFFF" w:themeColor="background1"/>
                <w:sz w:val="24"/>
                <w:szCs w:val="24"/>
              </w:rPr>
            </w:pPr>
            <w:r w:rsidRPr="002735B8">
              <w:rPr>
                <w:rFonts w:ascii="Times New Roman" w:hAnsi="Times New Roman" w:cs="Times New Roman"/>
                <w:color w:val="FFFFFF" w:themeColor="background1"/>
                <w:sz w:val="24"/>
                <w:szCs w:val="24"/>
              </w:rPr>
              <w:t>6.</w:t>
            </w:r>
          </w:p>
        </w:tc>
        <w:tc>
          <w:tcPr>
            <w:tcW w:w="2627" w:type="dxa"/>
            <w:tcBorders>
              <w:top w:val="single" w:sz="4" w:space="0" w:color="000000"/>
              <w:left w:val="single" w:sz="4" w:space="0" w:color="000000"/>
              <w:bottom w:val="single" w:sz="4" w:space="0" w:color="000000"/>
              <w:right w:val="single" w:sz="4" w:space="0" w:color="000000"/>
            </w:tcBorders>
            <w:vAlign w:val="center"/>
          </w:tcPr>
          <w:p w14:paraId="28C5C79C"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Gornji grad – Medveščak</w:t>
            </w:r>
          </w:p>
        </w:tc>
        <w:tc>
          <w:tcPr>
            <w:tcW w:w="249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46877747"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6DA4A1E7" w14:textId="77777777" w:rsidTr="00284074">
        <w:trPr>
          <w:cantSplit/>
          <w:trHeight w:val="680"/>
          <w:jc w:val="center"/>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97067AD" w14:textId="77777777" w:rsidR="002735B8" w:rsidRPr="002735B8" w:rsidRDefault="002735B8" w:rsidP="002735B8">
            <w:pPr>
              <w:spacing w:after="0" w:line="240" w:lineRule="auto"/>
              <w:ind w:left="0" w:right="0" w:firstLine="0"/>
              <w:jc w:val="center"/>
              <w:rPr>
                <w:rFonts w:ascii="Times New Roman" w:hAnsi="Times New Roman" w:cs="Times New Roman"/>
                <w:color w:val="FFFFFF" w:themeColor="background1"/>
                <w:sz w:val="24"/>
                <w:szCs w:val="24"/>
              </w:rPr>
            </w:pPr>
            <w:r w:rsidRPr="002735B8">
              <w:rPr>
                <w:rFonts w:ascii="Times New Roman" w:hAnsi="Times New Roman" w:cs="Times New Roman"/>
                <w:color w:val="FFFFFF" w:themeColor="background1"/>
                <w:sz w:val="24"/>
                <w:szCs w:val="24"/>
              </w:rPr>
              <w:t>7.</w:t>
            </w:r>
          </w:p>
        </w:tc>
        <w:tc>
          <w:tcPr>
            <w:tcW w:w="2627" w:type="dxa"/>
            <w:tcBorders>
              <w:top w:val="single" w:sz="4" w:space="0" w:color="000000"/>
              <w:left w:val="single" w:sz="4" w:space="0" w:color="000000"/>
              <w:bottom w:val="single" w:sz="4" w:space="0" w:color="000000"/>
              <w:right w:val="single" w:sz="4" w:space="0" w:color="000000"/>
            </w:tcBorders>
            <w:vAlign w:val="center"/>
          </w:tcPr>
          <w:p w14:paraId="084613A5"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Maksimir</w:t>
            </w:r>
          </w:p>
        </w:tc>
        <w:tc>
          <w:tcPr>
            <w:tcW w:w="249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036C5279"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36424E63" w14:textId="77777777" w:rsidTr="00284074">
        <w:trPr>
          <w:cantSplit/>
          <w:trHeight w:val="680"/>
          <w:jc w:val="center"/>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FE412BA" w14:textId="77777777" w:rsidR="002735B8" w:rsidRPr="002735B8" w:rsidRDefault="002735B8" w:rsidP="002735B8">
            <w:pPr>
              <w:spacing w:after="0" w:line="240" w:lineRule="auto"/>
              <w:ind w:left="0" w:right="0" w:firstLine="0"/>
              <w:jc w:val="center"/>
              <w:rPr>
                <w:rFonts w:ascii="Times New Roman" w:hAnsi="Times New Roman" w:cs="Times New Roman"/>
                <w:color w:val="FFFFFF" w:themeColor="background1"/>
                <w:sz w:val="24"/>
                <w:szCs w:val="24"/>
              </w:rPr>
            </w:pPr>
            <w:r w:rsidRPr="002735B8">
              <w:rPr>
                <w:rFonts w:ascii="Times New Roman" w:hAnsi="Times New Roman" w:cs="Times New Roman"/>
                <w:color w:val="FFFFFF" w:themeColor="background1"/>
                <w:sz w:val="24"/>
                <w:szCs w:val="24"/>
              </w:rPr>
              <w:t>8.</w:t>
            </w:r>
          </w:p>
        </w:tc>
        <w:tc>
          <w:tcPr>
            <w:tcW w:w="2627" w:type="dxa"/>
            <w:tcBorders>
              <w:top w:val="single" w:sz="4" w:space="0" w:color="000000"/>
              <w:left w:val="single" w:sz="4" w:space="0" w:color="000000"/>
              <w:bottom w:val="single" w:sz="4" w:space="0" w:color="000000"/>
              <w:right w:val="single" w:sz="4" w:space="0" w:color="000000"/>
            </w:tcBorders>
            <w:vAlign w:val="center"/>
          </w:tcPr>
          <w:p w14:paraId="4BAF547E"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Novi Zagreb – Istok</w:t>
            </w:r>
          </w:p>
        </w:tc>
        <w:tc>
          <w:tcPr>
            <w:tcW w:w="249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0494755" w14:textId="77777777" w:rsidR="002735B8" w:rsidRPr="002735B8" w:rsidRDefault="002735B8" w:rsidP="002735B8">
            <w:pPr>
              <w:spacing w:after="0" w:line="240" w:lineRule="auto"/>
              <w:ind w:left="0" w:right="0" w:firstLine="0"/>
              <w:jc w:val="center"/>
              <w:rPr>
                <w:rFonts w:ascii="Times New Roman" w:hAnsi="Times New Roman" w:cs="Times New Roman"/>
                <w:color w:val="auto"/>
                <w:sz w:val="24"/>
                <w:szCs w:val="24"/>
              </w:rPr>
            </w:pPr>
          </w:p>
        </w:tc>
      </w:tr>
      <w:tr w:rsidR="002735B8" w:rsidRPr="002735B8" w14:paraId="46BE10B7" w14:textId="77777777" w:rsidTr="00284074">
        <w:trPr>
          <w:cantSplit/>
          <w:trHeight w:val="680"/>
          <w:jc w:val="center"/>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28C602E2" w14:textId="77777777" w:rsidR="002735B8" w:rsidRPr="002735B8" w:rsidRDefault="002735B8" w:rsidP="002735B8">
            <w:pPr>
              <w:spacing w:after="0" w:line="240" w:lineRule="auto"/>
              <w:ind w:left="0" w:right="0" w:firstLine="0"/>
              <w:jc w:val="center"/>
              <w:rPr>
                <w:rFonts w:ascii="Times New Roman" w:hAnsi="Times New Roman" w:cs="Times New Roman"/>
                <w:color w:val="FFFFFF" w:themeColor="background1"/>
                <w:sz w:val="24"/>
                <w:szCs w:val="24"/>
              </w:rPr>
            </w:pPr>
            <w:r w:rsidRPr="002735B8">
              <w:rPr>
                <w:rFonts w:ascii="Times New Roman" w:hAnsi="Times New Roman" w:cs="Times New Roman"/>
                <w:color w:val="FFFFFF" w:themeColor="background1"/>
                <w:sz w:val="24"/>
                <w:szCs w:val="24"/>
              </w:rPr>
              <w:t>9.</w:t>
            </w:r>
          </w:p>
        </w:tc>
        <w:tc>
          <w:tcPr>
            <w:tcW w:w="2627" w:type="dxa"/>
            <w:tcBorders>
              <w:top w:val="single" w:sz="4" w:space="0" w:color="000000"/>
              <w:left w:val="single" w:sz="4" w:space="0" w:color="000000"/>
              <w:bottom w:val="single" w:sz="4" w:space="0" w:color="000000"/>
              <w:right w:val="single" w:sz="4" w:space="0" w:color="000000"/>
            </w:tcBorders>
            <w:vAlign w:val="center"/>
          </w:tcPr>
          <w:p w14:paraId="4F69668D"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Novi Zagreb – Zapad</w:t>
            </w:r>
          </w:p>
        </w:tc>
        <w:tc>
          <w:tcPr>
            <w:tcW w:w="249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19900FE2"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4395E14E" w14:textId="77777777" w:rsidTr="00284074">
        <w:trPr>
          <w:cantSplit/>
          <w:trHeight w:val="680"/>
          <w:jc w:val="center"/>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04941E7E" w14:textId="77777777" w:rsidR="002735B8" w:rsidRPr="002735B8" w:rsidRDefault="002735B8" w:rsidP="002735B8">
            <w:pPr>
              <w:spacing w:after="0" w:line="240" w:lineRule="auto"/>
              <w:ind w:left="0" w:right="0" w:firstLine="0"/>
              <w:jc w:val="center"/>
              <w:rPr>
                <w:rFonts w:ascii="Times New Roman" w:hAnsi="Times New Roman" w:cs="Times New Roman"/>
                <w:color w:val="FFFFFF" w:themeColor="background1"/>
                <w:sz w:val="24"/>
                <w:szCs w:val="24"/>
              </w:rPr>
            </w:pPr>
            <w:r w:rsidRPr="002735B8">
              <w:rPr>
                <w:rFonts w:ascii="Times New Roman" w:hAnsi="Times New Roman" w:cs="Times New Roman"/>
                <w:color w:val="FFFFFF" w:themeColor="background1"/>
                <w:sz w:val="24"/>
                <w:szCs w:val="24"/>
              </w:rPr>
              <w:t>10.</w:t>
            </w:r>
          </w:p>
        </w:tc>
        <w:tc>
          <w:tcPr>
            <w:tcW w:w="2627" w:type="dxa"/>
            <w:tcBorders>
              <w:top w:val="single" w:sz="4" w:space="0" w:color="000000"/>
              <w:left w:val="single" w:sz="4" w:space="0" w:color="000000"/>
              <w:bottom w:val="single" w:sz="4" w:space="0" w:color="000000"/>
              <w:right w:val="single" w:sz="4" w:space="0" w:color="000000"/>
            </w:tcBorders>
            <w:vAlign w:val="center"/>
          </w:tcPr>
          <w:p w14:paraId="41626B5D"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Peščenica - Žitnjak</w:t>
            </w:r>
          </w:p>
        </w:tc>
        <w:tc>
          <w:tcPr>
            <w:tcW w:w="249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77BDB356"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30F240F4" w14:textId="77777777" w:rsidTr="00284074">
        <w:trPr>
          <w:cantSplit/>
          <w:trHeight w:val="680"/>
          <w:jc w:val="center"/>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67F138F0" w14:textId="77777777" w:rsidR="002735B8" w:rsidRPr="002735B8" w:rsidRDefault="002735B8" w:rsidP="002735B8">
            <w:pPr>
              <w:spacing w:after="0" w:line="240" w:lineRule="auto"/>
              <w:ind w:left="0" w:right="0" w:firstLine="0"/>
              <w:jc w:val="center"/>
              <w:rPr>
                <w:rFonts w:ascii="Times New Roman" w:hAnsi="Times New Roman" w:cs="Times New Roman"/>
                <w:color w:val="FFFFFF" w:themeColor="background1"/>
                <w:sz w:val="24"/>
                <w:szCs w:val="24"/>
              </w:rPr>
            </w:pPr>
            <w:r w:rsidRPr="002735B8">
              <w:rPr>
                <w:rFonts w:ascii="Times New Roman" w:hAnsi="Times New Roman" w:cs="Times New Roman"/>
                <w:color w:val="FFFFFF" w:themeColor="background1"/>
                <w:sz w:val="24"/>
                <w:szCs w:val="24"/>
              </w:rPr>
              <w:t>11.</w:t>
            </w:r>
          </w:p>
        </w:tc>
        <w:tc>
          <w:tcPr>
            <w:tcW w:w="2627" w:type="dxa"/>
            <w:tcBorders>
              <w:top w:val="single" w:sz="4" w:space="0" w:color="000000"/>
              <w:left w:val="single" w:sz="4" w:space="0" w:color="000000"/>
              <w:bottom w:val="single" w:sz="4" w:space="0" w:color="000000"/>
              <w:right w:val="single" w:sz="4" w:space="0" w:color="000000"/>
            </w:tcBorders>
            <w:vAlign w:val="center"/>
          </w:tcPr>
          <w:p w14:paraId="2C223398"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Podsljeme</w:t>
            </w:r>
          </w:p>
        </w:tc>
        <w:tc>
          <w:tcPr>
            <w:tcW w:w="249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372210FB"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6B8F8FB5" w14:textId="77777777" w:rsidTr="00284074">
        <w:trPr>
          <w:cantSplit/>
          <w:trHeight w:val="680"/>
          <w:jc w:val="center"/>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8B2AD53" w14:textId="77777777" w:rsidR="002735B8" w:rsidRPr="002735B8" w:rsidRDefault="002735B8" w:rsidP="002735B8">
            <w:pPr>
              <w:spacing w:after="0" w:line="240" w:lineRule="auto"/>
              <w:ind w:left="0" w:right="0" w:firstLine="0"/>
              <w:jc w:val="center"/>
              <w:rPr>
                <w:rFonts w:ascii="Times New Roman" w:hAnsi="Times New Roman" w:cs="Times New Roman"/>
                <w:color w:val="FFFFFF" w:themeColor="background1"/>
                <w:sz w:val="24"/>
                <w:szCs w:val="24"/>
              </w:rPr>
            </w:pPr>
            <w:r w:rsidRPr="002735B8">
              <w:rPr>
                <w:rFonts w:ascii="Times New Roman" w:hAnsi="Times New Roman" w:cs="Times New Roman"/>
                <w:color w:val="FFFFFF" w:themeColor="background1"/>
                <w:sz w:val="24"/>
                <w:szCs w:val="24"/>
              </w:rPr>
              <w:t>12.</w:t>
            </w:r>
          </w:p>
        </w:tc>
        <w:tc>
          <w:tcPr>
            <w:tcW w:w="2627" w:type="dxa"/>
            <w:tcBorders>
              <w:top w:val="single" w:sz="4" w:space="0" w:color="000000"/>
              <w:left w:val="single" w:sz="4" w:space="0" w:color="000000"/>
              <w:bottom w:val="single" w:sz="4" w:space="0" w:color="000000"/>
              <w:right w:val="single" w:sz="4" w:space="0" w:color="000000"/>
            </w:tcBorders>
            <w:vAlign w:val="center"/>
          </w:tcPr>
          <w:p w14:paraId="59B03D71"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Podsused – Vrapče </w:t>
            </w:r>
          </w:p>
        </w:tc>
        <w:tc>
          <w:tcPr>
            <w:tcW w:w="249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5931EE4B"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46511356" w14:textId="77777777" w:rsidTr="00284074">
        <w:trPr>
          <w:cantSplit/>
          <w:trHeight w:val="680"/>
          <w:jc w:val="center"/>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D88F222" w14:textId="77777777" w:rsidR="002735B8" w:rsidRPr="002735B8" w:rsidRDefault="002735B8" w:rsidP="002735B8">
            <w:pPr>
              <w:spacing w:after="0" w:line="240" w:lineRule="auto"/>
              <w:ind w:left="0" w:right="0" w:firstLine="0"/>
              <w:jc w:val="center"/>
              <w:rPr>
                <w:rFonts w:ascii="Times New Roman" w:hAnsi="Times New Roman" w:cs="Times New Roman"/>
                <w:color w:val="FFFFFF" w:themeColor="background1"/>
                <w:sz w:val="24"/>
                <w:szCs w:val="24"/>
              </w:rPr>
            </w:pPr>
            <w:r w:rsidRPr="002735B8">
              <w:rPr>
                <w:rFonts w:ascii="Times New Roman" w:hAnsi="Times New Roman" w:cs="Times New Roman"/>
                <w:color w:val="FFFFFF" w:themeColor="background1"/>
                <w:sz w:val="24"/>
                <w:szCs w:val="24"/>
              </w:rPr>
              <w:t>13.</w:t>
            </w:r>
          </w:p>
        </w:tc>
        <w:tc>
          <w:tcPr>
            <w:tcW w:w="2627" w:type="dxa"/>
            <w:tcBorders>
              <w:top w:val="single" w:sz="4" w:space="0" w:color="000000"/>
              <w:left w:val="single" w:sz="4" w:space="0" w:color="000000"/>
              <w:bottom w:val="single" w:sz="4" w:space="0" w:color="000000"/>
              <w:right w:val="single" w:sz="4" w:space="0" w:color="000000"/>
            </w:tcBorders>
            <w:vAlign w:val="center"/>
          </w:tcPr>
          <w:p w14:paraId="09BE0B66"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Sesvete</w:t>
            </w:r>
          </w:p>
        </w:tc>
        <w:tc>
          <w:tcPr>
            <w:tcW w:w="249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5AC80412" w14:textId="77777777" w:rsidR="002735B8" w:rsidRPr="002735B8" w:rsidRDefault="002735B8" w:rsidP="002735B8">
            <w:pPr>
              <w:spacing w:after="0" w:line="240" w:lineRule="auto"/>
              <w:ind w:left="0" w:right="0" w:firstLine="0"/>
              <w:jc w:val="center"/>
              <w:rPr>
                <w:rFonts w:ascii="Times New Roman" w:hAnsi="Times New Roman" w:cs="Times New Roman"/>
                <w:color w:val="92D050"/>
                <w:sz w:val="24"/>
                <w:szCs w:val="24"/>
              </w:rPr>
            </w:pPr>
          </w:p>
        </w:tc>
      </w:tr>
      <w:tr w:rsidR="002735B8" w:rsidRPr="002735B8" w14:paraId="01317D40" w14:textId="77777777" w:rsidTr="00284074">
        <w:trPr>
          <w:cantSplit/>
          <w:trHeight w:val="680"/>
          <w:jc w:val="center"/>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2F5F9A31" w14:textId="77777777" w:rsidR="002735B8" w:rsidRPr="002735B8" w:rsidRDefault="002735B8" w:rsidP="002735B8">
            <w:pPr>
              <w:spacing w:after="0" w:line="240" w:lineRule="auto"/>
              <w:ind w:left="0" w:right="0" w:firstLine="0"/>
              <w:jc w:val="center"/>
              <w:rPr>
                <w:rFonts w:ascii="Times New Roman" w:hAnsi="Times New Roman" w:cs="Times New Roman"/>
                <w:color w:val="FFFFFF" w:themeColor="background1"/>
                <w:sz w:val="24"/>
                <w:szCs w:val="24"/>
              </w:rPr>
            </w:pPr>
            <w:r w:rsidRPr="002735B8">
              <w:rPr>
                <w:rFonts w:ascii="Times New Roman" w:hAnsi="Times New Roman" w:cs="Times New Roman"/>
                <w:color w:val="FFFFFF" w:themeColor="background1"/>
                <w:sz w:val="24"/>
                <w:szCs w:val="24"/>
              </w:rPr>
              <w:t>14.</w:t>
            </w:r>
          </w:p>
        </w:tc>
        <w:tc>
          <w:tcPr>
            <w:tcW w:w="2627" w:type="dxa"/>
            <w:tcBorders>
              <w:top w:val="single" w:sz="4" w:space="0" w:color="000000"/>
              <w:left w:val="single" w:sz="4" w:space="0" w:color="000000"/>
              <w:bottom w:val="single" w:sz="4" w:space="0" w:color="000000"/>
              <w:right w:val="single" w:sz="4" w:space="0" w:color="000000"/>
            </w:tcBorders>
            <w:vAlign w:val="center"/>
          </w:tcPr>
          <w:p w14:paraId="01AB1C60"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Stenjevec</w:t>
            </w:r>
          </w:p>
        </w:tc>
        <w:tc>
          <w:tcPr>
            <w:tcW w:w="249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1C6C48CC"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6A11EED0" w14:textId="77777777" w:rsidTr="00284074">
        <w:trPr>
          <w:cantSplit/>
          <w:trHeight w:val="680"/>
          <w:jc w:val="center"/>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629EC123" w14:textId="77777777" w:rsidR="002735B8" w:rsidRPr="002735B8" w:rsidRDefault="002735B8" w:rsidP="002735B8">
            <w:pPr>
              <w:spacing w:after="0" w:line="240" w:lineRule="auto"/>
              <w:ind w:left="0" w:right="0" w:firstLine="0"/>
              <w:jc w:val="center"/>
              <w:rPr>
                <w:rFonts w:ascii="Times New Roman" w:hAnsi="Times New Roman" w:cs="Times New Roman"/>
                <w:color w:val="FFFFFF" w:themeColor="background1"/>
                <w:sz w:val="24"/>
                <w:szCs w:val="24"/>
              </w:rPr>
            </w:pPr>
            <w:r w:rsidRPr="002735B8">
              <w:rPr>
                <w:rFonts w:ascii="Times New Roman" w:hAnsi="Times New Roman" w:cs="Times New Roman"/>
                <w:color w:val="FFFFFF" w:themeColor="background1"/>
                <w:sz w:val="24"/>
                <w:szCs w:val="24"/>
              </w:rPr>
              <w:t>15.</w:t>
            </w:r>
          </w:p>
        </w:tc>
        <w:tc>
          <w:tcPr>
            <w:tcW w:w="2627" w:type="dxa"/>
            <w:tcBorders>
              <w:top w:val="single" w:sz="4" w:space="0" w:color="000000"/>
              <w:left w:val="single" w:sz="4" w:space="0" w:color="000000"/>
              <w:bottom w:val="single" w:sz="4" w:space="0" w:color="000000"/>
              <w:right w:val="single" w:sz="4" w:space="0" w:color="000000"/>
            </w:tcBorders>
            <w:vAlign w:val="center"/>
          </w:tcPr>
          <w:p w14:paraId="7F644117"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Trešnjevka – Jug</w:t>
            </w:r>
          </w:p>
        </w:tc>
        <w:tc>
          <w:tcPr>
            <w:tcW w:w="249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442211CE"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59200EF4" w14:textId="77777777" w:rsidTr="00284074">
        <w:trPr>
          <w:cantSplit/>
          <w:trHeight w:val="680"/>
          <w:jc w:val="center"/>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4D039FBE" w14:textId="77777777" w:rsidR="002735B8" w:rsidRPr="002735B8" w:rsidRDefault="002735B8" w:rsidP="002735B8">
            <w:pPr>
              <w:spacing w:after="0" w:line="240" w:lineRule="auto"/>
              <w:ind w:left="0" w:right="0" w:firstLine="0"/>
              <w:jc w:val="center"/>
              <w:rPr>
                <w:rFonts w:ascii="Times New Roman" w:hAnsi="Times New Roman" w:cs="Times New Roman"/>
                <w:color w:val="FFFFFF" w:themeColor="background1"/>
                <w:sz w:val="24"/>
                <w:szCs w:val="24"/>
              </w:rPr>
            </w:pPr>
            <w:r w:rsidRPr="002735B8">
              <w:rPr>
                <w:rFonts w:ascii="Times New Roman" w:hAnsi="Times New Roman" w:cs="Times New Roman"/>
                <w:color w:val="FFFFFF" w:themeColor="background1"/>
                <w:sz w:val="24"/>
                <w:szCs w:val="24"/>
              </w:rPr>
              <w:lastRenderedPageBreak/>
              <w:t>16.</w:t>
            </w:r>
          </w:p>
        </w:tc>
        <w:tc>
          <w:tcPr>
            <w:tcW w:w="2627" w:type="dxa"/>
            <w:tcBorders>
              <w:top w:val="single" w:sz="4" w:space="0" w:color="000000"/>
              <w:left w:val="single" w:sz="4" w:space="0" w:color="000000"/>
              <w:bottom w:val="single" w:sz="4" w:space="0" w:color="000000"/>
              <w:right w:val="single" w:sz="4" w:space="0" w:color="000000"/>
            </w:tcBorders>
            <w:vAlign w:val="center"/>
          </w:tcPr>
          <w:p w14:paraId="1F14115E"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Trešnjevka – Sjever</w:t>
            </w:r>
          </w:p>
        </w:tc>
        <w:tc>
          <w:tcPr>
            <w:tcW w:w="249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5FEB18B7"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2580B190" w14:textId="77777777" w:rsidTr="00284074">
        <w:trPr>
          <w:cantSplit/>
          <w:trHeight w:val="680"/>
          <w:jc w:val="center"/>
        </w:trPr>
        <w:tc>
          <w:tcPr>
            <w:tcW w:w="68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3DEA84C0" w14:textId="77777777" w:rsidR="002735B8" w:rsidRPr="002735B8" w:rsidRDefault="002735B8" w:rsidP="002735B8">
            <w:pPr>
              <w:spacing w:after="0" w:line="240" w:lineRule="auto"/>
              <w:ind w:left="0" w:right="0" w:firstLine="0"/>
              <w:jc w:val="center"/>
              <w:rPr>
                <w:rFonts w:ascii="Times New Roman" w:hAnsi="Times New Roman" w:cs="Times New Roman"/>
                <w:color w:val="FFFFFF" w:themeColor="background1"/>
                <w:sz w:val="24"/>
                <w:szCs w:val="24"/>
              </w:rPr>
            </w:pPr>
            <w:r w:rsidRPr="002735B8">
              <w:rPr>
                <w:rFonts w:ascii="Times New Roman" w:hAnsi="Times New Roman" w:cs="Times New Roman"/>
                <w:color w:val="FFFFFF" w:themeColor="background1"/>
                <w:sz w:val="24"/>
                <w:szCs w:val="24"/>
              </w:rPr>
              <w:t>17.</w:t>
            </w:r>
          </w:p>
        </w:tc>
        <w:tc>
          <w:tcPr>
            <w:tcW w:w="2627" w:type="dxa"/>
            <w:tcBorders>
              <w:top w:val="single" w:sz="4" w:space="0" w:color="000000"/>
              <w:left w:val="single" w:sz="4" w:space="0" w:color="000000"/>
              <w:bottom w:val="single" w:sz="4" w:space="0" w:color="000000"/>
              <w:right w:val="single" w:sz="4" w:space="0" w:color="000000"/>
            </w:tcBorders>
            <w:vAlign w:val="center"/>
          </w:tcPr>
          <w:p w14:paraId="68F398FB"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Trnje </w:t>
            </w:r>
          </w:p>
        </w:tc>
        <w:tc>
          <w:tcPr>
            <w:tcW w:w="249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440D037"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bl>
    <w:p w14:paraId="5528A426"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132E208C" w14:textId="77777777" w:rsidR="002735B8" w:rsidRPr="002735B8" w:rsidRDefault="002735B8" w:rsidP="002735B8">
      <w:pPr>
        <w:spacing w:after="0" w:line="240" w:lineRule="auto"/>
        <w:ind w:left="0" w:right="0" w:firstLine="0"/>
        <w:jc w:val="center"/>
        <w:rPr>
          <w:noProof/>
        </w:rPr>
      </w:pPr>
    </w:p>
    <w:p w14:paraId="6BA34D0F" w14:textId="77777777" w:rsidR="002735B8" w:rsidRPr="002735B8" w:rsidRDefault="002735B8" w:rsidP="002735B8">
      <w:pPr>
        <w:spacing w:after="0" w:line="240" w:lineRule="auto"/>
        <w:ind w:left="0" w:right="0" w:firstLine="0"/>
      </w:pPr>
    </w:p>
    <w:p w14:paraId="72D02D1C" w14:textId="77777777" w:rsidR="002735B8" w:rsidRPr="002735B8" w:rsidRDefault="002735B8" w:rsidP="006F21BC">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Procjena rizika provođenja evakuacije u pojedinoj gradskoj četvrti isključivo u odnosu na teritorijalno područje Grada Zagreba u slučaju ostvarenja najgoreg scenarija:</w:t>
      </w:r>
    </w:p>
    <w:p w14:paraId="375F8455" w14:textId="77777777" w:rsidR="002735B8" w:rsidRPr="002735B8" w:rsidRDefault="002735B8" w:rsidP="002735B8">
      <w:pPr>
        <w:spacing w:after="0" w:line="240" w:lineRule="auto"/>
        <w:ind w:left="0" w:right="0" w:firstLine="0"/>
        <w:rPr>
          <w:noProof/>
        </w:rPr>
      </w:pPr>
    </w:p>
    <w:p w14:paraId="3C050110" w14:textId="769E5E7A" w:rsidR="002735B8" w:rsidRPr="00B67B09" w:rsidRDefault="002735B8" w:rsidP="00B67B09">
      <w:pPr>
        <w:tabs>
          <w:tab w:val="left" w:pos="1500"/>
        </w:tabs>
        <w:spacing w:after="0" w:line="240" w:lineRule="auto"/>
        <w:ind w:left="0" w:right="0" w:firstLine="0"/>
        <w:jc w:val="center"/>
      </w:pPr>
      <w:r w:rsidRPr="002735B8">
        <w:rPr>
          <w:noProof/>
        </w:rPr>
        <w:drawing>
          <wp:inline distT="0" distB="0" distL="0" distR="0" wp14:anchorId="48136725" wp14:editId="7D3F67E3">
            <wp:extent cx="5284246" cy="5305425"/>
            <wp:effectExtent l="0" t="0" r="0" b="0"/>
            <wp:docPr id="52274" name="Picture 5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5">
                      <a:extLst>
                        <a:ext uri="{28A0092B-C50C-407E-A947-70E740481C1C}">
                          <a14:useLocalDpi xmlns:a14="http://schemas.microsoft.com/office/drawing/2010/main" val="0"/>
                        </a:ext>
                      </a:extLst>
                    </a:blip>
                    <a:srcRect l="32768" t="19525" r="33269" b="19421"/>
                    <a:stretch/>
                  </pic:blipFill>
                  <pic:spPr bwMode="auto">
                    <a:xfrm>
                      <a:off x="0" y="0"/>
                      <a:ext cx="5296726" cy="5317955"/>
                    </a:xfrm>
                    <a:prstGeom prst="rect">
                      <a:avLst/>
                    </a:prstGeom>
                    <a:noFill/>
                    <a:ln>
                      <a:noFill/>
                    </a:ln>
                    <a:extLst>
                      <a:ext uri="{53640926-AAD7-44D8-BBD7-CCE9431645EC}">
                        <a14:shadowObscured xmlns:a14="http://schemas.microsoft.com/office/drawing/2010/main"/>
                      </a:ext>
                    </a:extLst>
                  </pic:spPr>
                </pic:pic>
              </a:graphicData>
            </a:graphic>
          </wp:inline>
        </w:drawing>
      </w:r>
    </w:p>
    <w:p w14:paraId="5CA7D443" w14:textId="7262855B" w:rsidR="00DD51D2" w:rsidRDefault="00DD51D2" w:rsidP="002735B8">
      <w:pPr>
        <w:spacing w:after="0" w:line="240" w:lineRule="auto"/>
        <w:ind w:left="0" w:right="0" w:firstLine="0"/>
        <w:rPr>
          <w:rFonts w:ascii="Times New Roman" w:hAnsi="Times New Roman" w:cs="Times New Roman"/>
          <w:b/>
          <w:sz w:val="24"/>
          <w:szCs w:val="24"/>
        </w:rPr>
      </w:pPr>
      <w:bookmarkStart w:id="110" w:name="_Hlk103851179"/>
      <w:bookmarkEnd w:id="110"/>
    </w:p>
    <w:p w14:paraId="48A2FB74" w14:textId="3449E822" w:rsidR="006F21BC" w:rsidRDefault="006F21BC" w:rsidP="002735B8">
      <w:pPr>
        <w:spacing w:after="0" w:line="240" w:lineRule="auto"/>
        <w:ind w:left="0" w:right="0" w:firstLine="0"/>
        <w:rPr>
          <w:rFonts w:ascii="Times New Roman" w:hAnsi="Times New Roman" w:cs="Times New Roman"/>
          <w:b/>
          <w:sz w:val="24"/>
          <w:szCs w:val="24"/>
        </w:rPr>
      </w:pPr>
    </w:p>
    <w:p w14:paraId="125B2D4E" w14:textId="4EE5D1B7" w:rsidR="00C5768E" w:rsidRDefault="00C5768E" w:rsidP="002735B8">
      <w:pPr>
        <w:spacing w:after="0" w:line="240" w:lineRule="auto"/>
        <w:ind w:left="0" w:right="0" w:firstLine="0"/>
        <w:rPr>
          <w:rFonts w:ascii="Times New Roman" w:hAnsi="Times New Roman" w:cs="Times New Roman"/>
          <w:b/>
          <w:sz w:val="24"/>
          <w:szCs w:val="24"/>
        </w:rPr>
      </w:pPr>
    </w:p>
    <w:p w14:paraId="61AB4527" w14:textId="3F610266" w:rsidR="00C5768E" w:rsidRDefault="00C5768E" w:rsidP="002735B8">
      <w:pPr>
        <w:spacing w:after="0" w:line="240" w:lineRule="auto"/>
        <w:ind w:left="0" w:right="0" w:firstLine="0"/>
        <w:rPr>
          <w:rFonts w:ascii="Times New Roman" w:hAnsi="Times New Roman" w:cs="Times New Roman"/>
          <w:b/>
          <w:sz w:val="24"/>
          <w:szCs w:val="24"/>
        </w:rPr>
      </w:pPr>
    </w:p>
    <w:p w14:paraId="07A5EB6F" w14:textId="0345B5C7" w:rsidR="000E0CE1" w:rsidRDefault="000E0CE1" w:rsidP="002735B8">
      <w:pPr>
        <w:spacing w:after="0" w:line="240" w:lineRule="auto"/>
        <w:ind w:left="0" w:right="0" w:firstLine="0"/>
        <w:rPr>
          <w:rFonts w:ascii="Times New Roman" w:hAnsi="Times New Roman" w:cs="Times New Roman"/>
          <w:b/>
          <w:sz w:val="24"/>
          <w:szCs w:val="24"/>
        </w:rPr>
      </w:pPr>
    </w:p>
    <w:p w14:paraId="245B4C77" w14:textId="5D913B69" w:rsidR="000E0CE1" w:rsidRDefault="000E0CE1" w:rsidP="002735B8">
      <w:pPr>
        <w:spacing w:after="0" w:line="240" w:lineRule="auto"/>
        <w:ind w:left="0" w:right="0" w:firstLine="0"/>
        <w:rPr>
          <w:rFonts w:ascii="Times New Roman" w:hAnsi="Times New Roman" w:cs="Times New Roman"/>
          <w:b/>
          <w:sz w:val="24"/>
          <w:szCs w:val="24"/>
        </w:rPr>
      </w:pPr>
    </w:p>
    <w:p w14:paraId="27A1153F" w14:textId="77777777" w:rsidR="000E0CE1" w:rsidRDefault="000E0CE1" w:rsidP="002735B8">
      <w:pPr>
        <w:spacing w:after="0" w:line="240" w:lineRule="auto"/>
        <w:ind w:left="0" w:right="0" w:firstLine="0"/>
        <w:rPr>
          <w:rFonts w:ascii="Times New Roman" w:hAnsi="Times New Roman" w:cs="Times New Roman"/>
          <w:b/>
          <w:sz w:val="24"/>
          <w:szCs w:val="24"/>
        </w:rPr>
      </w:pPr>
    </w:p>
    <w:p w14:paraId="77ECFECB" w14:textId="627993EF" w:rsidR="00B67B09" w:rsidRDefault="006F21BC" w:rsidP="00C70C9F">
      <w:pPr>
        <w:spacing w:after="0" w:line="240" w:lineRule="auto"/>
        <w:ind w:left="0" w:right="0" w:firstLine="709"/>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2735B8" w:rsidRPr="002735B8">
        <w:rPr>
          <w:rFonts w:ascii="Times New Roman" w:hAnsi="Times New Roman" w:cs="Times New Roman"/>
          <w:b/>
          <w:sz w:val="24"/>
          <w:szCs w:val="24"/>
        </w:rPr>
        <w:t>6.7. Nesreće na odlagalištima otpada - opis scenarija</w:t>
      </w:r>
    </w:p>
    <w:p w14:paraId="22ECDD47" w14:textId="77777777" w:rsidR="006F21BC" w:rsidRDefault="006F21BC" w:rsidP="00C70C9F">
      <w:pPr>
        <w:spacing w:after="0" w:line="240" w:lineRule="auto"/>
        <w:ind w:left="0" w:right="0" w:firstLine="709"/>
        <w:rPr>
          <w:rFonts w:ascii="Times New Roman" w:hAnsi="Times New Roman" w:cs="Times New Roman"/>
          <w:b/>
          <w:sz w:val="24"/>
          <w:szCs w:val="24"/>
        </w:rPr>
      </w:pPr>
    </w:p>
    <w:p w14:paraId="1DF5928D" w14:textId="24421101" w:rsidR="00B67B09" w:rsidRDefault="006C02EC" w:rsidP="002735B8">
      <w:pPr>
        <w:spacing w:after="0" w:line="240" w:lineRule="auto"/>
        <w:ind w:left="0" w:right="0" w:firstLine="0"/>
        <w:rPr>
          <w:rFonts w:ascii="Times New Roman" w:hAnsi="Times New Roman" w:cs="Times New Roman"/>
          <w:b/>
          <w:color w:val="auto"/>
          <w:sz w:val="24"/>
          <w:szCs w:val="24"/>
        </w:rPr>
      </w:pPr>
      <w:r>
        <w:rPr>
          <w:rFonts w:ascii="Times New Roman" w:hAnsi="Times New Roman" w:cs="Times New Roman"/>
          <w:b/>
          <w:color w:val="auto"/>
          <w:sz w:val="24"/>
          <w:szCs w:val="24"/>
        </w:rPr>
        <w:t xml:space="preserve">             </w:t>
      </w:r>
      <w:r w:rsidR="002735B8" w:rsidRPr="00B67B09">
        <w:rPr>
          <w:rFonts w:ascii="Times New Roman" w:hAnsi="Times New Roman" w:cs="Times New Roman"/>
          <w:b/>
          <w:color w:val="auto"/>
          <w:sz w:val="24"/>
          <w:szCs w:val="24"/>
        </w:rPr>
        <w:t xml:space="preserve">6.7.1. </w:t>
      </w:r>
      <w:r w:rsidR="002B4402" w:rsidRPr="002B4402">
        <w:rPr>
          <w:rFonts w:ascii="Times New Roman" w:hAnsi="Times New Roman" w:cs="Times New Roman"/>
          <w:b/>
          <w:color w:val="auto"/>
          <w:sz w:val="24"/>
          <w:szCs w:val="24"/>
        </w:rPr>
        <w:t>Naziv scenarija, rizik</w:t>
      </w:r>
    </w:p>
    <w:p w14:paraId="15932497" w14:textId="77777777" w:rsidR="006F21BC" w:rsidRDefault="006F21BC" w:rsidP="002735B8">
      <w:pPr>
        <w:spacing w:after="0" w:line="240" w:lineRule="auto"/>
        <w:ind w:left="0" w:right="0" w:firstLine="0"/>
        <w:rPr>
          <w:rFonts w:ascii="Times New Roman" w:hAnsi="Times New Roman" w:cs="Times New Roman"/>
          <w:b/>
          <w:color w:val="auto"/>
          <w:sz w:val="24"/>
          <w:szCs w:val="24"/>
        </w:rPr>
      </w:pPr>
    </w:p>
    <w:tbl>
      <w:tblPr>
        <w:tblStyle w:val="TableGrid8"/>
        <w:tblpPr w:leftFromText="180" w:rightFromText="180" w:vertAnchor="page" w:horzAnchor="margin" w:tblpY="2491"/>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2" w:type="dxa"/>
        </w:tblCellMar>
        <w:tblLook w:val="04A0" w:firstRow="1" w:lastRow="0" w:firstColumn="1" w:lastColumn="0" w:noHBand="0" w:noVBand="1"/>
      </w:tblPr>
      <w:tblGrid>
        <w:gridCol w:w="9072"/>
      </w:tblGrid>
      <w:tr w:rsidR="00097718" w:rsidRPr="002735B8" w14:paraId="11A4372C" w14:textId="77777777" w:rsidTr="00097718">
        <w:trPr>
          <w:cantSplit/>
        </w:trPr>
        <w:tc>
          <w:tcPr>
            <w:tcW w:w="9072" w:type="dxa"/>
            <w:shd w:val="clear" w:color="auto" w:fill="FFC000"/>
          </w:tcPr>
          <w:p w14:paraId="03C40298" w14:textId="77777777" w:rsidR="00097718" w:rsidRPr="002735B8" w:rsidRDefault="00097718" w:rsidP="0009771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b/>
                <w:sz w:val="24"/>
                <w:szCs w:val="24"/>
              </w:rPr>
              <w:t>Naziv scenarija</w:t>
            </w:r>
          </w:p>
        </w:tc>
      </w:tr>
      <w:tr w:rsidR="00097718" w:rsidRPr="002735B8" w14:paraId="6C8AFD05" w14:textId="77777777" w:rsidTr="00097718">
        <w:trPr>
          <w:cantSplit/>
        </w:trPr>
        <w:tc>
          <w:tcPr>
            <w:tcW w:w="9072" w:type="dxa"/>
          </w:tcPr>
          <w:p w14:paraId="63E53E11" w14:textId="04CD23B5" w:rsidR="00097718" w:rsidRPr="002735B8" w:rsidRDefault="00097718" w:rsidP="00097718">
            <w:pPr>
              <w:spacing w:after="0" w:line="240" w:lineRule="auto"/>
              <w:ind w:left="0" w:right="0" w:firstLine="0"/>
              <w:jc w:val="left"/>
              <w:rPr>
                <w:rFonts w:ascii="Times New Roman" w:hAnsi="Times New Roman" w:cs="Times New Roman"/>
                <w:sz w:val="24"/>
                <w:szCs w:val="24"/>
              </w:rPr>
            </w:pPr>
            <w:bookmarkStart w:id="111" w:name="_Hlk105056167"/>
            <w:r w:rsidRPr="002735B8">
              <w:rPr>
                <w:rFonts w:ascii="Times New Roman" w:hAnsi="Times New Roman" w:cs="Times New Roman"/>
                <w:sz w:val="24"/>
                <w:szCs w:val="24"/>
              </w:rPr>
              <w:t>Nesreća na odlagalištu otpada Prudinec</w:t>
            </w:r>
            <w:bookmarkEnd w:id="111"/>
            <w:r w:rsidR="007D4A36">
              <w:rPr>
                <w:rFonts w:ascii="Times New Roman" w:hAnsi="Times New Roman" w:cs="Times New Roman"/>
                <w:sz w:val="24"/>
                <w:szCs w:val="24"/>
              </w:rPr>
              <w:t>-Jakuševec</w:t>
            </w:r>
          </w:p>
        </w:tc>
      </w:tr>
      <w:tr w:rsidR="00097718" w:rsidRPr="002735B8" w14:paraId="1292B546" w14:textId="77777777" w:rsidTr="00097718">
        <w:trPr>
          <w:cantSplit/>
        </w:trPr>
        <w:tc>
          <w:tcPr>
            <w:tcW w:w="9072" w:type="dxa"/>
            <w:shd w:val="clear" w:color="auto" w:fill="FFC000"/>
          </w:tcPr>
          <w:p w14:paraId="2B19A9C5" w14:textId="77777777" w:rsidR="00097718" w:rsidRPr="002735B8" w:rsidRDefault="00097718" w:rsidP="0009771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b/>
                <w:sz w:val="24"/>
                <w:szCs w:val="24"/>
              </w:rPr>
              <w:t>Grupa rizika</w:t>
            </w:r>
          </w:p>
        </w:tc>
      </w:tr>
      <w:tr w:rsidR="00097718" w:rsidRPr="002735B8" w14:paraId="5419FC9D" w14:textId="77777777" w:rsidTr="00097718">
        <w:trPr>
          <w:cantSplit/>
        </w:trPr>
        <w:tc>
          <w:tcPr>
            <w:tcW w:w="9072" w:type="dxa"/>
          </w:tcPr>
          <w:p w14:paraId="2140F594" w14:textId="77777777" w:rsidR="00097718" w:rsidRPr="002735B8" w:rsidRDefault="00097718" w:rsidP="0009771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Tehničko-tehnološke nesreće s opasnim tvarima</w:t>
            </w:r>
          </w:p>
        </w:tc>
      </w:tr>
      <w:tr w:rsidR="00097718" w:rsidRPr="002735B8" w14:paraId="1D428F12" w14:textId="77777777" w:rsidTr="00097718">
        <w:trPr>
          <w:cantSplit/>
        </w:trPr>
        <w:tc>
          <w:tcPr>
            <w:tcW w:w="9072" w:type="dxa"/>
            <w:shd w:val="clear" w:color="auto" w:fill="FFC000"/>
          </w:tcPr>
          <w:p w14:paraId="03FD08AD" w14:textId="77777777" w:rsidR="00097718" w:rsidRPr="002735B8" w:rsidRDefault="00097718" w:rsidP="0009771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b/>
                <w:sz w:val="24"/>
                <w:szCs w:val="24"/>
              </w:rPr>
              <w:t>Rizik</w:t>
            </w:r>
          </w:p>
        </w:tc>
      </w:tr>
      <w:tr w:rsidR="00097718" w:rsidRPr="002735B8" w14:paraId="07651735" w14:textId="77777777" w:rsidTr="00097718">
        <w:trPr>
          <w:cantSplit/>
        </w:trPr>
        <w:tc>
          <w:tcPr>
            <w:tcW w:w="9072" w:type="dxa"/>
          </w:tcPr>
          <w:p w14:paraId="1D775E30" w14:textId="77777777" w:rsidR="00097718" w:rsidRPr="002735B8" w:rsidRDefault="00097718" w:rsidP="0009771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Nesreće na odlagalištima otpada</w:t>
            </w:r>
          </w:p>
        </w:tc>
      </w:tr>
      <w:tr w:rsidR="00097718" w:rsidRPr="002735B8" w14:paraId="18EAB6AC" w14:textId="77777777" w:rsidTr="00097718">
        <w:trPr>
          <w:cantSplit/>
        </w:trPr>
        <w:tc>
          <w:tcPr>
            <w:tcW w:w="9072" w:type="dxa"/>
            <w:shd w:val="clear" w:color="auto" w:fill="FFC000"/>
          </w:tcPr>
          <w:p w14:paraId="4C37EF78" w14:textId="77777777" w:rsidR="00097718" w:rsidRPr="002735B8" w:rsidRDefault="00097718" w:rsidP="0009771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b/>
                <w:sz w:val="24"/>
                <w:szCs w:val="24"/>
              </w:rPr>
              <w:t>Radna skupina</w:t>
            </w:r>
          </w:p>
        </w:tc>
      </w:tr>
      <w:tr w:rsidR="00097718" w:rsidRPr="002735B8" w14:paraId="2079C45F" w14:textId="77777777" w:rsidTr="00097718">
        <w:trPr>
          <w:cantSplit/>
        </w:trPr>
        <w:tc>
          <w:tcPr>
            <w:tcW w:w="9072" w:type="dxa"/>
          </w:tcPr>
          <w:p w14:paraId="7F6EA36C" w14:textId="77777777" w:rsidR="00097718" w:rsidRPr="002735B8" w:rsidRDefault="00097718" w:rsidP="0009771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Gradski ured za mjesnu samoupravu, civilnu zaštitu i sigurnost</w:t>
            </w:r>
          </w:p>
          <w:p w14:paraId="52805640" w14:textId="77777777" w:rsidR="00097718" w:rsidRPr="002735B8" w:rsidRDefault="00097718" w:rsidP="0009771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Gradski ured za gospodarstvo, ekološku održivost i strategijsko planiranje</w:t>
            </w:r>
          </w:p>
        </w:tc>
      </w:tr>
      <w:tr w:rsidR="00097718" w:rsidRPr="002735B8" w14:paraId="16E979E2" w14:textId="77777777" w:rsidTr="00097718">
        <w:trPr>
          <w:cantSplit/>
        </w:trPr>
        <w:tc>
          <w:tcPr>
            <w:tcW w:w="9072" w:type="dxa"/>
            <w:shd w:val="clear" w:color="auto" w:fill="FFC000"/>
          </w:tcPr>
          <w:p w14:paraId="7A6F324C" w14:textId="77777777" w:rsidR="00097718" w:rsidRPr="002735B8" w:rsidRDefault="00097718" w:rsidP="0009771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b/>
                <w:sz w:val="24"/>
                <w:szCs w:val="24"/>
              </w:rPr>
              <w:t>Opis scenarija:</w:t>
            </w:r>
          </w:p>
        </w:tc>
      </w:tr>
      <w:tr w:rsidR="00097718" w:rsidRPr="002735B8" w14:paraId="09F04E25" w14:textId="77777777" w:rsidTr="00097718">
        <w:trPr>
          <w:cantSplit/>
        </w:trPr>
        <w:tc>
          <w:tcPr>
            <w:tcW w:w="9072" w:type="dxa"/>
          </w:tcPr>
          <w:p w14:paraId="15F598B6" w14:textId="19782EF9" w:rsidR="00097718" w:rsidRPr="002735B8" w:rsidRDefault="00097718" w:rsidP="0009771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Scenarijem će se što vjernije opisati situacija koja može nastati nakon eksplozije metana i požara na odlagalištu otpada Prudinec</w:t>
            </w:r>
            <w:r w:rsidR="007D4A36">
              <w:rPr>
                <w:rFonts w:ascii="Times New Roman" w:hAnsi="Times New Roman" w:cs="Times New Roman"/>
                <w:sz w:val="24"/>
                <w:szCs w:val="24"/>
              </w:rPr>
              <w:t>-Jakuševec</w:t>
            </w:r>
            <w:r w:rsidRPr="002735B8">
              <w:rPr>
                <w:rFonts w:ascii="Times New Roman" w:hAnsi="Times New Roman" w:cs="Times New Roman"/>
                <w:sz w:val="24"/>
                <w:szCs w:val="24"/>
              </w:rPr>
              <w:t>. U obzir će se uzeti najgori mogući scenarij male vjerojatnosti, ali najvećih posljedica. Smisao je da se opisom najgore moguće situacije postavi temelj preventivnog planiranja i operativnog osnaživanja snaga civilne zaštite na području Grada Zagreba.</w:t>
            </w:r>
          </w:p>
        </w:tc>
      </w:tr>
    </w:tbl>
    <w:p w14:paraId="46B82716" w14:textId="02A71215" w:rsidR="00097718" w:rsidRDefault="00097718" w:rsidP="002735B8">
      <w:pPr>
        <w:spacing w:after="0" w:line="240" w:lineRule="auto"/>
        <w:ind w:left="0" w:right="0" w:firstLine="0"/>
        <w:rPr>
          <w:rFonts w:ascii="Times New Roman" w:hAnsi="Times New Roman" w:cs="Times New Roman"/>
          <w:b/>
          <w:sz w:val="24"/>
          <w:szCs w:val="24"/>
        </w:rPr>
      </w:pPr>
      <w:r>
        <w:rPr>
          <w:rFonts w:ascii="Times New Roman" w:hAnsi="Times New Roman" w:cs="Times New Roman"/>
          <w:b/>
          <w:sz w:val="24"/>
          <w:szCs w:val="24"/>
        </w:rPr>
        <w:t xml:space="preserve">            </w:t>
      </w:r>
      <w:r w:rsidRPr="002735B8">
        <w:rPr>
          <w:rFonts w:ascii="Times New Roman" w:hAnsi="Times New Roman" w:cs="Times New Roman"/>
          <w:b/>
          <w:sz w:val="24"/>
          <w:szCs w:val="24"/>
        </w:rPr>
        <w:t>6.7.2. Prikaz utjecaja na kritičnu infrastrukturu</w:t>
      </w:r>
    </w:p>
    <w:p w14:paraId="16109F50" w14:textId="0C698B50"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U slučaju nesreće na odlagalištu otpada Prudinec</w:t>
      </w:r>
      <w:r w:rsidR="007D4A36">
        <w:rPr>
          <w:rFonts w:ascii="Times New Roman" w:hAnsi="Times New Roman" w:cs="Times New Roman"/>
          <w:sz w:val="24"/>
          <w:szCs w:val="24"/>
        </w:rPr>
        <w:t>-Jakuševec</w:t>
      </w:r>
      <w:r w:rsidRPr="002735B8">
        <w:rPr>
          <w:rFonts w:ascii="Times New Roman" w:hAnsi="Times New Roman" w:cs="Times New Roman"/>
          <w:sz w:val="24"/>
          <w:szCs w:val="24"/>
        </w:rPr>
        <w:t xml:space="preserve">, izgledno je da će prestati sa radom plinsko postrojenje na području odlagališta, te će na taj način događaj imati negativan utjecaj na </w:t>
      </w:r>
      <w:r w:rsidRPr="002735B8">
        <w:rPr>
          <w:rFonts w:ascii="Times New Roman" w:hAnsi="Times New Roman" w:cs="Times New Roman"/>
          <w:b/>
          <w:sz w:val="24"/>
          <w:szCs w:val="24"/>
        </w:rPr>
        <w:t>energetski sektor</w:t>
      </w:r>
      <w:r w:rsidRPr="002735B8">
        <w:rPr>
          <w:rFonts w:ascii="Times New Roman" w:hAnsi="Times New Roman" w:cs="Times New Roman"/>
          <w:sz w:val="24"/>
          <w:szCs w:val="24"/>
        </w:rPr>
        <w:t>. Plinsko postrojenje zajedno sa plinskom mrežom u tijelu odlagališta čine aktivni sustav otplinjavanja uređenog odlagališta otpada Prudinec</w:t>
      </w:r>
      <w:r w:rsidR="007D4A36">
        <w:rPr>
          <w:rFonts w:ascii="Times New Roman" w:hAnsi="Times New Roman" w:cs="Times New Roman"/>
          <w:sz w:val="24"/>
          <w:szCs w:val="24"/>
        </w:rPr>
        <w:t>-Jakuševec</w:t>
      </w:r>
      <w:r w:rsidRPr="002735B8">
        <w:rPr>
          <w:rFonts w:ascii="Times New Roman" w:hAnsi="Times New Roman" w:cs="Times New Roman"/>
          <w:sz w:val="24"/>
          <w:szCs w:val="24"/>
        </w:rPr>
        <w:t xml:space="preserve"> (u daljnjem tekstu: Jakuševec). Primarna zadaća aktivnog sustava otplinjavanja je kontinuirano 24-satno prikupljanje i termička obrada nastalog odlagališnog plina u cilju sigurnosti na odlagalištu za ljude i strojeve koji na njemu rade, za ljude koji žive u neposrednoj blizini, zatim zaštita okoliša i zaštita od požara, a sekundarna zadaća je njegovo energetsko iskorištavanje za proizvodnju električne energije iz obnovljivog izvora energije</w:t>
      </w:r>
      <w:r w:rsidRPr="002735B8">
        <w:rPr>
          <w:rFonts w:ascii="Times New Roman" w:hAnsi="Times New Roman" w:cs="Times New Roman"/>
          <w:sz w:val="24"/>
          <w:szCs w:val="24"/>
          <w:vertAlign w:val="superscript"/>
        </w:rPr>
        <w:footnoteReference w:id="81"/>
      </w:r>
      <w:r w:rsidRPr="002735B8">
        <w:rPr>
          <w:rFonts w:ascii="Times New Roman" w:hAnsi="Times New Roman" w:cs="Times New Roman"/>
          <w:sz w:val="24"/>
          <w:szCs w:val="24"/>
        </w:rPr>
        <w:t>. Proizvedena električna energija koja se predaje u mrežu HEP-a dovoljna je za podmirenje prosječne godišnje potrošnje oko 9.600 domaćinstava, tj. grad s oko 40.000 stanovnika. U slučaju nastanka navedenog događaja ne očekuju se poremećaji u opskrbi električnom energijom na području Grada Zagreba zbog osiguranih drugih energetskih izvora. Uslijed eksplozije zbog blizine termoelektrane TE-TO Zagreb moguća su manja oštećenja na vanjskim dijelovima objekta, ali se ne očekuje otkazivanje rada.</w:t>
      </w:r>
    </w:p>
    <w:p w14:paraId="57755D9F"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Kada je riječ o utjecaju na </w:t>
      </w:r>
      <w:r w:rsidRPr="002735B8">
        <w:rPr>
          <w:rFonts w:ascii="Times New Roman" w:hAnsi="Times New Roman" w:cs="Times New Roman"/>
          <w:b/>
          <w:sz w:val="24"/>
          <w:szCs w:val="24"/>
        </w:rPr>
        <w:t>prometni sektor</w:t>
      </w:r>
      <w:r w:rsidRPr="002735B8">
        <w:rPr>
          <w:rFonts w:ascii="Times New Roman" w:hAnsi="Times New Roman" w:cs="Times New Roman"/>
          <w:sz w:val="24"/>
          <w:szCs w:val="24"/>
        </w:rPr>
        <w:t xml:space="preserve">, u slučaju požara i eksplozije na odlagalištu otpada Jakuševec, bit će zatvorene sve prilazne ceste odlagalištu uključivo i Sarajevska cesta. Prilaz požarištu bit će dopušten samo vozilima hitnih službi, dok će se iz suprotnog smjera provoditi evakuacija stanovnika iz zone ugroze prema zapadu. Izgledan je i privremeni prekid odvijanja željezničkog premeta preko Ranžirnog kolodvora i željezničkog mosta koji je od odlagališta udaljen 600 m, sve do provjere njegove sigurnosti.  </w:t>
      </w:r>
    </w:p>
    <w:p w14:paraId="1F078BB2"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b/>
          <w:sz w:val="24"/>
          <w:szCs w:val="24"/>
        </w:rPr>
        <w:t>Zdravstveni sektor</w:t>
      </w:r>
      <w:r w:rsidRPr="002735B8">
        <w:rPr>
          <w:rFonts w:ascii="Times New Roman" w:hAnsi="Times New Roman" w:cs="Times New Roman"/>
          <w:sz w:val="24"/>
          <w:szCs w:val="24"/>
        </w:rPr>
        <w:t xml:space="preserve"> bit će opterećen priljevom većeg broja stanovnika sa BLAST ozljedama</w:t>
      </w:r>
      <w:r w:rsidRPr="002735B8">
        <w:rPr>
          <w:rFonts w:ascii="Times New Roman" w:hAnsi="Times New Roman" w:cs="Times New Roman"/>
          <w:color w:val="FF0000"/>
          <w:sz w:val="24"/>
          <w:szCs w:val="24"/>
        </w:rPr>
        <w:t xml:space="preserve"> </w:t>
      </w:r>
      <w:r w:rsidRPr="002735B8">
        <w:rPr>
          <w:rFonts w:ascii="Times New Roman" w:hAnsi="Times New Roman" w:cs="Times New Roman"/>
          <w:sz w:val="24"/>
          <w:szCs w:val="24"/>
        </w:rPr>
        <w:t xml:space="preserve">i još većim brojem stanovnika ozlijeđenih krhotinama stakla i ostalih predmeta. Osim navedenog, zbog pretpostavke da će se nakon požara i velike eksplozije požar gasiti do mjesec dana, puno ljudi će zatražiti liječničku pomoć zbog udisanja opasnog dima. </w:t>
      </w:r>
    </w:p>
    <w:p w14:paraId="7F86E38F"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 xml:space="preserve">Negativan utjecaj na </w:t>
      </w:r>
      <w:r w:rsidRPr="002735B8">
        <w:rPr>
          <w:rFonts w:ascii="Times New Roman" w:hAnsi="Times New Roman" w:cs="Times New Roman"/>
          <w:b/>
          <w:sz w:val="24"/>
          <w:szCs w:val="24"/>
        </w:rPr>
        <w:t xml:space="preserve">sektor vodnog gospodarstva </w:t>
      </w:r>
      <w:r w:rsidRPr="002735B8">
        <w:rPr>
          <w:rFonts w:ascii="Times New Roman" w:hAnsi="Times New Roman" w:cs="Times New Roman"/>
          <w:sz w:val="24"/>
          <w:szCs w:val="24"/>
        </w:rPr>
        <w:t xml:space="preserve">je moguć zbog blizine rijeke Save ali i štetnog utjecaja odlagališta na podzemne vode. Položaj odlagališta je vrlo nepovoljan, nalazi se </w:t>
      </w:r>
      <w:r w:rsidRPr="002735B8">
        <w:rPr>
          <w:rFonts w:ascii="Times New Roman" w:hAnsi="Times New Roman" w:cs="Times New Roman"/>
          <w:sz w:val="24"/>
          <w:szCs w:val="24"/>
        </w:rPr>
        <w:lastRenderedPageBreak/>
        <w:t>uzvodno od područja Črnkovca gdje se nalaze glavne pričuve kvalitetne podzemne vode koje imaju veliku važnost za vodoopskrbu grada Zagreba. U slučaju nastanka eksplozije i požara, moguća je dodatna degradacija kvalitete podzemnih voda, pa čak i isključivanje određenih vodocrpilišta koja se više neće moći koristiti za opskrbu stanovništva pitkom vodom.</w:t>
      </w:r>
    </w:p>
    <w:p w14:paraId="238DBBC4"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Negativan utjecaj na </w:t>
      </w:r>
      <w:r w:rsidRPr="002735B8">
        <w:rPr>
          <w:rFonts w:ascii="Times New Roman" w:hAnsi="Times New Roman" w:cs="Times New Roman"/>
          <w:b/>
          <w:sz w:val="24"/>
          <w:szCs w:val="24"/>
        </w:rPr>
        <w:t>sektor hrane</w:t>
      </w:r>
      <w:r w:rsidRPr="002735B8">
        <w:rPr>
          <w:rFonts w:ascii="Times New Roman" w:hAnsi="Times New Roman" w:cs="Times New Roman"/>
          <w:sz w:val="24"/>
          <w:szCs w:val="24"/>
        </w:rPr>
        <w:t xml:space="preserve"> moguć je zbog zagađenja poljoprivrednih površina koje se nalaze oko odlagališta otpada koje će nastati zbog opasnih čestica nataloženih nakon eksplozije i požara, ali on nije izražen zbog relativno malih poljoprivrednih površina koje mogu biti ugrožene i malog broja stanovnika koji se poljoprivredom bave kao primarnom djelatnošću.</w:t>
      </w:r>
    </w:p>
    <w:p w14:paraId="4D12E39F"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Unatoč tome što se prema postojećim dozvolama na odlagalište Jakuševec ne dovoze opasne tvari, uslijed požara i eksplozije, a i zbog velikih napora za suzbijanjem daljnje manifestacije nepovoljnih okolnosti, doći će do privremenog prestanka odvoženja otpada na području Grada Zagreba, a to može rezultirati pojavom zaraza i bolesti te narušavanjem kvalitete života stanovnika Grada Zagreba te u tom kontekstu događaj može imati negativan utjecaj i na </w:t>
      </w:r>
      <w:r w:rsidRPr="002735B8">
        <w:rPr>
          <w:rFonts w:ascii="Times New Roman" w:hAnsi="Times New Roman" w:cs="Times New Roman"/>
          <w:b/>
          <w:sz w:val="24"/>
          <w:szCs w:val="24"/>
        </w:rPr>
        <w:t>sektor proizvodnje, skladištenja i prijevoza opasnih tvari</w:t>
      </w:r>
      <w:r w:rsidRPr="002735B8">
        <w:rPr>
          <w:rFonts w:ascii="Times New Roman" w:hAnsi="Times New Roman" w:cs="Times New Roman"/>
          <w:sz w:val="24"/>
          <w:szCs w:val="24"/>
        </w:rPr>
        <w:t xml:space="preserve">. </w:t>
      </w:r>
    </w:p>
    <w:p w14:paraId="3AB58372"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Utjecaj požara i eksplozije na odlagalištu otpada  na </w:t>
      </w:r>
      <w:r w:rsidRPr="002735B8">
        <w:rPr>
          <w:rFonts w:ascii="Times New Roman" w:hAnsi="Times New Roman" w:cs="Times New Roman"/>
          <w:b/>
          <w:sz w:val="24"/>
          <w:szCs w:val="24"/>
        </w:rPr>
        <w:t>sektor javnih službi</w:t>
      </w:r>
      <w:r w:rsidRPr="002735B8">
        <w:rPr>
          <w:rFonts w:ascii="Times New Roman" w:hAnsi="Times New Roman" w:cs="Times New Roman"/>
          <w:sz w:val="24"/>
          <w:szCs w:val="24"/>
        </w:rPr>
        <w:t xml:space="preserve"> manifestirat će se provođenjem evakuacije stanovništva iz ugroženog područja, izvlačenjem zatrpanih ljudi iz ruševina unutar perimetra odlagališta, pružanjem zdravstvene skrbi i smještaja ugroženom stanovništvu te dugotrajnim gašenjem i saniranjem posljedica požara. </w:t>
      </w:r>
    </w:p>
    <w:p w14:paraId="60808C19"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3E8B7333" w14:textId="36DE81C5" w:rsidR="002735B8" w:rsidRPr="00C21B5C" w:rsidRDefault="002735B8" w:rsidP="008B3016">
      <w:pPr>
        <w:spacing w:line="240" w:lineRule="auto"/>
        <w:ind w:left="0" w:right="0" w:firstLine="0"/>
        <w:jc w:val="center"/>
        <w:rPr>
          <w:rFonts w:ascii="Times New Roman" w:hAnsi="Times New Roman" w:cs="Times New Roman"/>
          <w:b/>
          <w:iCs/>
          <w:color w:val="auto"/>
          <w:sz w:val="24"/>
          <w:szCs w:val="24"/>
        </w:rPr>
      </w:pPr>
      <w:r w:rsidRPr="00C21B5C">
        <w:rPr>
          <w:rFonts w:ascii="Times New Roman" w:hAnsi="Times New Roman" w:cs="Times New Roman"/>
          <w:b/>
          <w:iCs/>
          <w:color w:val="auto"/>
          <w:sz w:val="24"/>
          <w:szCs w:val="24"/>
        </w:rPr>
        <w:t xml:space="preserve">Tablica </w:t>
      </w:r>
      <w:r w:rsidR="00C21B5C" w:rsidRPr="00C21B5C">
        <w:rPr>
          <w:rFonts w:ascii="Times New Roman" w:hAnsi="Times New Roman" w:cs="Times New Roman"/>
          <w:b/>
          <w:iCs/>
          <w:color w:val="auto"/>
          <w:sz w:val="24"/>
          <w:szCs w:val="24"/>
        </w:rPr>
        <w:t>115</w:t>
      </w:r>
      <w:r w:rsidRPr="00C21B5C">
        <w:rPr>
          <w:rFonts w:ascii="Times New Roman" w:hAnsi="Times New Roman" w:cs="Times New Roman"/>
          <w:b/>
          <w:iCs/>
          <w:color w:val="auto"/>
          <w:sz w:val="24"/>
          <w:szCs w:val="24"/>
        </w:rPr>
        <w:t>. Utjecaj nesreća na odlagalištima otpada na kritičnu infrastrukturu</w:t>
      </w:r>
    </w:p>
    <w:tbl>
      <w:tblPr>
        <w:tblStyle w:val="TableGrid8"/>
        <w:tblW w:w="9097"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3" w:type="dxa"/>
        </w:tblCellMar>
        <w:tblLook w:val="04A0" w:firstRow="1" w:lastRow="0" w:firstColumn="1" w:lastColumn="0" w:noHBand="0" w:noVBand="1"/>
      </w:tblPr>
      <w:tblGrid>
        <w:gridCol w:w="1468"/>
        <w:gridCol w:w="7629"/>
      </w:tblGrid>
      <w:tr w:rsidR="002735B8" w:rsidRPr="002735B8" w14:paraId="24E7AF8C" w14:textId="77777777" w:rsidTr="008B3016">
        <w:trPr>
          <w:cantSplit/>
          <w:trHeight w:val="275"/>
        </w:trPr>
        <w:tc>
          <w:tcPr>
            <w:tcW w:w="1468" w:type="dxa"/>
            <w:shd w:val="clear" w:color="auto" w:fill="FFC000"/>
            <w:vAlign w:val="center"/>
          </w:tcPr>
          <w:p w14:paraId="06CF3662"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UTJECAJ</w:t>
            </w:r>
          </w:p>
        </w:tc>
        <w:tc>
          <w:tcPr>
            <w:tcW w:w="7629" w:type="dxa"/>
            <w:shd w:val="clear" w:color="auto" w:fill="FFC000"/>
            <w:vAlign w:val="center"/>
          </w:tcPr>
          <w:p w14:paraId="566612AF"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SEKTOR</w:t>
            </w:r>
          </w:p>
        </w:tc>
      </w:tr>
      <w:tr w:rsidR="002735B8" w:rsidRPr="002735B8" w14:paraId="562FEFBD" w14:textId="77777777" w:rsidTr="008B3016">
        <w:trPr>
          <w:cantSplit/>
          <w:trHeight w:val="565"/>
        </w:trPr>
        <w:tc>
          <w:tcPr>
            <w:tcW w:w="1468" w:type="dxa"/>
            <w:vAlign w:val="center"/>
          </w:tcPr>
          <w:p w14:paraId="67465DE1"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x</w:t>
            </w:r>
          </w:p>
        </w:tc>
        <w:tc>
          <w:tcPr>
            <w:tcW w:w="7629" w:type="dxa"/>
            <w:vAlign w:val="center"/>
          </w:tcPr>
          <w:p w14:paraId="118C80A5"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Energetika (proizvodnja, uključivo akumulacije i brane, prijenos, skladištenje, transport energenata i energije, sustavi za distribuciju)</w:t>
            </w:r>
          </w:p>
        </w:tc>
      </w:tr>
      <w:tr w:rsidR="002735B8" w:rsidRPr="002735B8" w14:paraId="10072CFB" w14:textId="77777777" w:rsidTr="008B3016">
        <w:trPr>
          <w:cantSplit/>
          <w:trHeight w:val="825"/>
        </w:trPr>
        <w:tc>
          <w:tcPr>
            <w:tcW w:w="1468" w:type="dxa"/>
            <w:shd w:val="clear" w:color="auto" w:fill="FFC000"/>
            <w:vAlign w:val="center"/>
          </w:tcPr>
          <w:p w14:paraId="080D0F8A"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c>
          <w:tcPr>
            <w:tcW w:w="7629" w:type="dxa"/>
            <w:shd w:val="clear" w:color="auto" w:fill="FFC000"/>
            <w:vAlign w:val="center"/>
          </w:tcPr>
          <w:p w14:paraId="7819C77E"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Komunikacijska i informacijska tehnologija (elektroničke komunikacije, prijenos podataka, informacijski sustavi, pružanje audio i audiovizualnih medijskih usluga)</w:t>
            </w:r>
          </w:p>
        </w:tc>
      </w:tr>
      <w:tr w:rsidR="002735B8" w:rsidRPr="002735B8" w14:paraId="79C8D685" w14:textId="77777777" w:rsidTr="008B3016">
        <w:trPr>
          <w:cantSplit/>
          <w:trHeight w:val="565"/>
        </w:trPr>
        <w:tc>
          <w:tcPr>
            <w:tcW w:w="1468" w:type="dxa"/>
            <w:vAlign w:val="center"/>
          </w:tcPr>
          <w:p w14:paraId="7E554490"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x</w:t>
            </w:r>
          </w:p>
        </w:tc>
        <w:tc>
          <w:tcPr>
            <w:tcW w:w="7629" w:type="dxa"/>
            <w:vAlign w:val="center"/>
          </w:tcPr>
          <w:p w14:paraId="28344F09"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Promet (cestovni, željeznički, zračni, pomorski i promet unutarnjim plovnim putevima)</w:t>
            </w:r>
          </w:p>
        </w:tc>
      </w:tr>
      <w:tr w:rsidR="002735B8" w:rsidRPr="002735B8" w14:paraId="75F82FB6" w14:textId="77777777" w:rsidTr="008B3016">
        <w:trPr>
          <w:cantSplit/>
          <w:trHeight w:val="550"/>
        </w:trPr>
        <w:tc>
          <w:tcPr>
            <w:tcW w:w="1468" w:type="dxa"/>
            <w:shd w:val="clear" w:color="auto" w:fill="FFC000"/>
            <w:vAlign w:val="center"/>
          </w:tcPr>
          <w:p w14:paraId="28DAACBF"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x</w:t>
            </w:r>
          </w:p>
        </w:tc>
        <w:tc>
          <w:tcPr>
            <w:tcW w:w="7629" w:type="dxa"/>
            <w:shd w:val="clear" w:color="auto" w:fill="FFC000"/>
            <w:vAlign w:val="center"/>
          </w:tcPr>
          <w:p w14:paraId="6821DBBF"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Zdravstvo (zdravstvena zaštita, proizvodnja lijekova, promet i nadzor nad lijekovima)</w:t>
            </w:r>
          </w:p>
        </w:tc>
      </w:tr>
      <w:tr w:rsidR="002735B8" w:rsidRPr="002735B8" w14:paraId="345CAF76" w14:textId="77777777" w:rsidTr="008B3016">
        <w:trPr>
          <w:cantSplit/>
          <w:trHeight w:val="565"/>
        </w:trPr>
        <w:tc>
          <w:tcPr>
            <w:tcW w:w="1468" w:type="dxa"/>
            <w:vAlign w:val="center"/>
          </w:tcPr>
          <w:p w14:paraId="4D4B4696"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x</w:t>
            </w:r>
          </w:p>
        </w:tc>
        <w:tc>
          <w:tcPr>
            <w:tcW w:w="7629" w:type="dxa"/>
            <w:vAlign w:val="center"/>
          </w:tcPr>
          <w:p w14:paraId="5BDFD0DE"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Vodno gospodarstvo (regulacijske i zaštitne vodne građevine i komunalne vodne građevine)</w:t>
            </w:r>
          </w:p>
        </w:tc>
      </w:tr>
      <w:tr w:rsidR="002735B8" w:rsidRPr="002735B8" w14:paraId="1C355EAE" w14:textId="77777777" w:rsidTr="008B3016">
        <w:trPr>
          <w:cantSplit/>
          <w:trHeight w:val="550"/>
        </w:trPr>
        <w:tc>
          <w:tcPr>
            <w:tcW w:w="1468" w:type="dxa"/>
            <w:shd w:val="clear" w:color="auto" w:fill="FFC000"/>
            <w:vAlign w:val="center"/>
          </w:tcPr>
          <w:p w14:paraId="62C42166"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x</w:t>
            </w:r>
          </w:p>
        </w:tc>
        <w:tc>
          <w:tcPr>
            <w:tcW w:w="7629" w:type="dxa"/>
            <w:shd w:val="clear" w:color="auto" w:fill="FFC000"/>
            <w:vAlign w:val="center"/>
          </w:tcPr>
          <w:p w14:paraId="1942369A"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Hrana (proizvodnja i opskrba hranom i sustav sigurnosti hrane, robne zalihe)</w:t>
            </w:r>
          </w:p>
        </w:tc>
      </w:tr>
      <w:tr w:rsidR="002735B8" w:rsidRPr="002735B8" w14:paraId="19A46477" w14:textId="77777777" w:rsidTr="008B3016">
        <w:trPr>
          <w:cantSplit/>
          <w:trHeight w:val="275"/>
        </w:trPr>
        <w:tc>
          <w:tcPr>
            <w:tcW w:w="1468" w:type="dxa"/>
            <w:vAlign w:val="center"/>
          </w:tcPr>
          <w:p w14:paraId="467DFD8C"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c>
          <w:tcPr>
            <w:tcW w:w="7629" w:type="dxa"/>
            <w:vAlign w:val="center"/>
          </w:tcPr>
          <w:p w14:paraId="6A74B082"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Financije (bankarstvo, burze, investicije, sustavi osiguranja i plaćanja)</w:t>
            </w:r>
          </w:p>
        </w:tc>
      </w:tr>
      <w:tr w:rsidR="002735B8" w:rsidRPr="002735B8" w14:paraId="4B4221E4" w14:textId="77777777" w:rsidTr="008B3016">
        <w:trPr>
          <w:cantSplit/>
          <w:trHeight w:val="565"/>
        </w:trPr>
        <w:tc>
          <w:tcPr>
            <w:tcW w:w="1468" w:type="dxa"/>
            <w:shd w:val="clear" w:color="auto" w:fill="FFC000"/>
            <w:vAlign w:val="center"/>
          </w:tcPr>
          <w:p w14:paraId="52AED8A9"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x</w:t>
            </w:r>
          </w:p>
        </w:tc>
        <w:tc>
          <w:tcPr>
            <w:tcW w:w="7629" w:type="dxa"/>
            <w:shd w:val="clear" w:color="auto" w:fill="FFC000"/>
            <w:vAlign w:val="center"/>
          </w:tcPr>
          <w:p w14:paraId="18BAA469"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Proizvodnja, skladištenje i prijevoz opasnih tvari (kemijski, biološki, radiološki i nuklearni materijal)</w:t>
            </w:r>
          </w:p>
        </w:tc>
      </w:tr>
      <w:tr w:rsidR="002735B8" w:rsidRPr="002735B8" w14:paraId="05C717A1" w14:textId="77777777" w:rsidTr="008B3016">
        <w:trPr>
          <w:cantSplit/>
          <w:trHeight w:val="550"/>
        </w:trPr>
        <w:tc>
          <w:tcPr>
            <w:tcW w:w="1468" w:type="dxa"/>
            <w:vAlign w:val="center"/>
          </w:tcPr>
          <w:p w14:paraId="431B0830"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x</w:t>
            </w:r>
          </w:p>
        </w:tc>
        <w:tc>
          <w:tcPr>
            <w:tcW w:w="7629" w:type="dxa"/>
            <w:vAlign w:val="center"/>
          </w:tcPr>
          <w:p w14:paraId="7F15E38A"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Javne službe (osiguranje javnog reda i mira, zaštita i spašavanje, hitna medicinska pomoć)</w:t>
            </w:r>
          </w:p>
        </w:tc>
      </w:tr>
      <w:tr w:rsidR="002735B8" w:rsidRPr="002735B8" w14:paraId="7A90D12C" w14:textId="77777777" w:rsidTr="008B3016">
        <w:trPr>
          <w:cantSplit/>
          <w:trHeight w:val="275"/>
        </w:trPr>
        <w:tc>
          <w:tcPr>
            <w:tcW w:w="1468" w:type="dxa"/>
            <w:shd w:val="clear" w:color="auto" w:fill="FFC000"/>
            <w:vAlign w:val="center"/>
          </w:tcPr>
          <w:p w14:paraId="41E21D95"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c>
          <w:tcPr>
            <w:tcW w:w="7629" w:type="dxa"/>
            <w:shd w:val="clear" w:color="auto" w:fill="FFC000"/>
            <w:vAlign w:val="center"/>
          </w:tcPr>
          <w:p w14:paraId="1A95A969"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Nacionalni spomenici i vrijednosti</w:t>
            </w:r>
          </w:p>
        </w:tc>
      </w:tr>
    </w:tbl>
    <w:p w14:paraId="20B56F63"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6B7ED9BE" w14:textId="79FF8BDD" w:rsidR="002735B8" w:rsidRDefault="002735B8" w:rsidP="002735B8">
      <w:pPr>
        <w:spacing w:after="0" w:line="240" w:lineRule="auto"/>
        <w:ind w:left="0" w:right="0" w:firstLine="0"/>
        <w:rPr>
          <w:rFonts w:ascii="Times New Roman" w:hAnsi="Times New Roman" w:cs="Times New Roman"/>
          <w:b/>
          <w:sz w:val="24"/>
          <w:szCs w:val="24"/>
        </w:rPr>
      </w:pPr>
    </w:p>
    <w:p w14:paraId="5BA59B50" w14:textId="7B4439FB" w:rsidR="00C207B1" w:rsidRDefault="00C207B1" w:rsidP="002735B8">
      <w:pPr>
        <w:spacing w:after="0" w:line="240" w:lineRule="auto"/>
        <w:ind w:left="0" w:right="0" w:firstLine="0"/>
        <w:rPr>
          <w:rFonts w:ascii="Times New Roman" w:hAnsi="Times New Roman" w:cs="Times New Roman"/>
          <w:b/>
          <w:sz w:val="24"/>
          <w:szCs w:val="24"/>
        </w:rPr>
      </w:pPr>
    </w:p>
    <w:p w14:paraId="03713DEF" w14:textId="62F2949E" w:rsidR="00C207B1" w:rsidRDefault="00C207B1" w:rsidP="002735B8">
      <w:pPr>
        <w:spacing w:after="0" w:line="240" w:lineRule="auto"/>
        <w:ind w:left="0" w:right="0" w:firstLine="0"/>
        <w:rPr>
          <w:rFonts w:ascii="Times New Roman" w:hAnsi="Times New Roman" w:cs="Times New Roman"/>
          <w:b/>
          <w:sz w:val="24"/>
          <w:szCs w:val="24"/>
        </w:rPr>
      </w:pPr>
    </w:p>
    <w:p w14:paraId="0F3C4D90" w14:textId="177850D3" w:rsidR="00097718" w:rsidRDefault="00097718" w:rsidP="002735B8">
      <w:pPr>
        <w:spacing w:after="0" w:line="240" w:lineRule="auto"/>
        <w:ind w:left="0" w:right="0" w:firstLine="0"/>
        <w:rPr>
          <w:rFonts w:ascii="Times New Roman" w:hAnsi="Times New Roman" w:cs="Times New Roman"/>
          <w:b/>
          <w:sz w:val="24"/>
          <w:szCs w:val="24"/>
        </w:rPr>
      </w:pPr>
    </w:p>
    <w:p w14:paraId="7DC17B60" w14:textId="77777777" w:rsidR="00097718" w:rsidRDefault="00097718" w:rsidP="002735B8">
      <w:pPr>
        <w:spacing w:after="0" w:line="240" w:lineRule="auto"/>
        <w:ind w:left="0" w:right="0" w:firstLine="0"/>
        <w:rPr>
          <w:rFonts w:ascii="Times New Roman" w:hAnsi="Times New Roman" w:cs="Times New Roman"/>
          <w:b/>
          <w:sz w:val="24"/>
          <w:szCs w:val="24"/>
        </w:rPr>
      </w:pPr>
    </w:p>
    <w:p w14:paraId="016D2733" w14:textId="53857BF5" w:rsidR="00C207B1" w:rsidRDefault="00C207B1" w:rsidP="002735B8">
      <w:pPr>
        <w:spacing w:after="0" w:line="240" w:lineRule="auto"/>
        <w:ind w:left="0" w:right="0" w:firstLine="0"/>
        <w:rPr>
          <w:rFonts w:ascii="Times New Roman" w:hAnsi="Times New Roman" w:cs="Times New Roman"/>
          <w:b/>
          <w:sz w:val="24"/>
          <w:szCs w:val="24"/>
        </w:rPr>
      </w:pPr>
    </w:p>
    <w:p w14:paraId="42F15B31" w14:textId="40444F67" w:rsidR="00C207B1" w:rsidRDefault="00C207B1" w:rsidP="002735B8">
      <w:pPr>
        <w:spacing w:after="0" w:line="240" w:lineRule="auto"/>
        <w:ind w:left="0" w:right="0" w:firstLine="0"/>
        <w:rPr>
          <w:rFonts w:ascii="Times New Roman" w:hAnsi="Times New Roman" w:cs="Times New Roman"/>
          <w:b/>
          <w:sz w:val="24"/>
          <w:szCs w:val="24"/>
        </w:rPr>
      </w:pPr>
    </w:p>
    <w:p w14:paraId="17A6EBC7" w14:textId="77777777" w:rsidR="00C207B1" w:rsidRPr="002735B8" w:rsidRDefault="00C207B1" w:rsidP="002735B8">
      <w:pPr>
        <w:spacing w:after="0" w:line="240" w:lineRule="auto"/>
        <w:ind w:left="0" w:right="0" w:firstLine="0"/>
        <w:rPr>
          <w:rFonts w:ascii="Times New Roman" w:hAnsi="Times New Roman" w:cs="Times New Roman"/>
          <w:b/>
          <w:sz w:val="24"/>
          <w:szCs w:val="24"/>
        </w:rPr>
      </w:pPr>
    </w:p>
    <w:p w14:paraId="10972AB0" w14:textId="77777777" w:rsidR="002735B8" w:rsidRPr="002735B8" w:rsidRDefault="002735B8" w:rsidP="00C70C9F">
      <w:pPr>
        <w:spacing w:after="0" w:line="240" w:lineRule="auto"/>
        <w:ind w:left="0" w:right="0" w:firstLine="709"/>
        <w:rPr>
          <w:rFonts w:ascii="Times New Roman" w:hAnsi="Times New Roman" w:cs="Times New Roman"/>
          <w:b/>
          <w:sz w:val="24"/>
          <w:szCs w:val="24"/>
        </w:rPr>
      </w:pPr>
      <w:r w:rsidRPr="002735B8">
        <w:rPr>
          <w:rFonts w:ascii="Times New Roman" w:hAnsi="Times New Roman" w:cs="Times New Roman"/>
          <w:b/>
          <w:sz w:val="24"/>
          <w:szCs w:val="24"/>
        </w:rPr>
        <w:lastRenderedPageBreak/>
        <w:t>6.7.3. Kontekst</w:t>
      </w:r>
    </w:p>
    <w:p w14:paraId="3A292852" w14:textId="77777777" w:rsidR="002735B8" w:rsidRPr="002735B8" w:rsidRDefault="002735B8" w:rsidP="00C70C9F">
      <w:pPr>
        <w:spacing w:after="0" w:line="240" w:lineRule="auto"/>
        <w:ind w:left="0" w:right="0" w:firstLine="709"/>
        <w:rPr>
          <w:rFonts w:ascii="Times New Roman" w:hAnsi="Times New Roman" w:cs="Times New Roman"/>
          <w:sz w:val="24"/>
          <w:szCs w:val="24"/>
          <w:u w:val="single"/>
        </w:rPr>
      </w:pPr>
      <w:r w:rsidRPr="002735B8">
        <w:rPr>
          <w:rFonts w:ascii="Times New Roman" w:hAnsi="Times New Roman" w:cs="Times New Roman"/>
          <w:sz w:val="24"/>
          <w:szCs w:val="24"/>
          <w:u w:val="single"/>
        </w:rPr>
        <w:t>Divlja odlagališta otpada</w:t>
      </w:r>
    </w:p>
    <w:p w14:paraId="12AA58AA"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Jedan od većih problema u gospodarenju otpadom u Gradu Zagrebu su "divlja odlagališta". U Gradu Zagrebu tako gotovo neprekidno egzistira više od 300 većih ili manjih "divljih odlagališta" koja se redovno saniraju sukladno godišnjim planovima Zagrebačkog holdinga d.o.o. - Podružnice Čistoća ovisno o iznosu sredstava osiguranih za tu svrhu u proračunu Grada Zagreba, a izvanredno slijedom naloga komunalnog redarstva i inspekcije zaštite okoliša. Postojanje "divljih odlagališta", osim što pokazuje još nedovoljno razvijenu ekološku svijest ljudi, educiranost i informiranost, ali i nedostatak infrastrukturnih objekata gospodarenja otpadom, te su opasnost za okoliš i to ponajprije zbog potencijalnog izvora onečišćenja tla, površinskih i osobito podzemnih voda.</w:t>
      </w:r>
    </w:p>
    <w:p w14:paraId="2C182DA1"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369B31FC" w14:textId="2FD8733B" w:rsidR="002735B8" w:rsidRPr="00000A10" w:rsidRDefault="008B3D9F" w:rsidP="008B3016">
      <w:pPr>
        <w:spacing w:line="240" w:lineRule="auto"/>
        <w:ind w:left="0" w:right="0" w:firstLine="0"/>
        <w:jc w:val="center"/>
        <w:rPr>
          <w:rFonts w:ascii="Times New Roman" w:hAnsi="Times New Roman" w:cs="Times New Roman"/>
          <w:b/>
          <w:color w:val="auto"/>
          <w:sz w:val="24"/>
          <w:szCs w:val="24"/>
        </w:rPr>
      </w:pPr>
      <w:r w:rsidRPr="00000A10">
        <w:rPr>
          <w:rFonts w:ascii="Times New Roman" w:hAnsi="Times New Roman" w:cs="Times New Roman"/>
          <w:b/>
          <w:color w:val="auto"/>
          <w:sz w:val="24"/>
          <w:szCs w:val="24"/>
        </w:rPr>
        <w:t>Slika 26</w:t>
      </w:r>
      <w:r w:rsidR="002735B8" w:rsidRPr="00000A10">
        <w:rPr>
          <w:rFonts w:ascii="Times New Roman" w:hAnsi="Times New Roman" w:cs="Times New Roman"/>
          <w:b/>
          <w:color w:val="auto"/>
          <w:sz w:val="24"/>
          <w:szCs w:val="24"/>
        </w:rPr>
        <w:t>. Količina otpada u tonama skupljena na divljim odlagalištima na području grada Zagreba u razdoblju od 2018. do 2021. godine</w:t>
      </w:r>
    </w:p>
    <w:p w14:paraId="7AD968BC"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u w:val="single"/>
        </w:rPr>
      </w:pPr>
      <w:r w:rsidRPr="002735B8">
        <w:rPr>
          <w:rFonts w:ascii="Times New Roman" w:hAnsi="Times New Roman" w:cs="Times New Roman"/>
          <w:noProof/>
          <w:sz w:val="24"/>
          <w:szCs w:val="24"/>
          <w:u w:val="single"/>
        </w:rPr>
        <w:drawing>
          <wp:inline distT="0" distB="0" distL="0" distR="0" wp14:anchorId="4CECC59C" wp14:editId="3265D148">
            <wp:extent cx="3932555" cy="2255520"/>
            <wp:effectExtent l="0" t="0" r="0" b="0"/>
            <wp:docPr id="52275" name="Picture 5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932555" cy="2255520"/>
                    </a:xfrm>
                    <a:prstGeom prst="rect">
                      <a:avLst/>
                    </a:prstGeom>
                    <a:noFill/>
                  </pic:spPr>
                </pic:pic>
              </a:graphicData>
            </a:graphic>
          </wp:inline>
        </w:drawing>
      </w:r>
    </w:p>
    <w:p w14:paraId="0193EC7C" w14:textId="77777777" w:rsidR="002735B8" w:rsidRPr="008B3016" w:rsidRDefault="002735B8" w:rsidP="002735B8">
      <w:pPr>
        <w:spacing w:after="0" w:line="240" w:lineRule="auto"/>
        <w:ind w:left="0" w:right="0" w:firstLine="0"/>
        <w:jc w:val="center"/>
        <w:rPr>
          <w:rFonts w:ascii="Times New Roman" w:hAnsi="Times New Roman" w:cs="Times New Roman"/>
          <w:i/>
          <w:sz w:val="20"/>
          <w:szCs w:val="20"/>
        </w:rPr>
      </w:pPr>
      <w:r w:rsidRPr="008B3016">
        <w:rPr>
          <w:rFonts w:ascii="Times New Roman" w:hAnsi="Times New Roman" w:cs="Times New Roman"/>
          <w:i/>
          <w:sz w:val="20"/>
          <w:szCs w:val="20"/>
        </w:rPr>
        <w:t>Izvor: https://www.cistoca.hr/usluge/ciscenje-divljih-odlagalista/1314</w:t>
      </w:r>
    </w:p>
    <w:p w14:paraId="22E41203"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19AF87E9" w14:textId="02A49A88" w:rsidR="002735B8" w:rsidRPr="002735B8" w:rsidRDefault="002735B8" w:rsidP="009A5935">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Na osnovi provedenih analiza može se konstatirati da je više od trećine volumena otpada odloženog na "divljim odlagalištima" građevni otpad, a potom glomazni otpad. Mogući rizici koji prijete s divljih odlagališta mogu biti:</w:t>
      </w:r>
    </w:p>
    <w:p w14:paraId="7DFDA2DC" w14:textId="77777777" w:rsidR="002735B8" w:rsidRPr="002735B8" w:rsidRDefault="002735B8" w:rsidP="0014113B">
      <w:pPr>
        <w:numPr>
          <w:ilvl w:val="0"/>
          <w:numId w:val="18"/>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Požar</w:t>
      </w:r>
    </w:p>
    <w:p w14:paraId="065DD6BC" w14:textId="77777777" w:rsidR="002735B8" w:rsidRPr="002735B8" w:rsidRDefault="002735B8" w:rsidP="0014113B">
      <w:pPr>
        <w:numPr>
          <w:ilvl w:val="0"/>
          <w:numId w:val="18"/>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Onečišćenje zraka uzrokovano požarom</w:t>
      </w:r>
    </w:p>
    <w:p w14:paraId="5903AF74" w14:textId="77777777" w:rsidR="002735B8" w:rsidRPr="002735B8" w:rsidRDefault="002735B8" w:rsidP="0014113B">
      <w:pPr>
        <w:numPr>
          <w:ilvl w:val="0"/>
          <w:numId w:val="18"/>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Mogućnost zaraze preko infektivnog otpada</w:t>
      </w:r>
    </w:p>
    <w:p w14:paraId="7D6EE814" w14:textId="77777777" w:rsidR="002735B8" w:rsidRPr="002735B8" w:rsidRDefault="002735B8" w:rsidP="0014113B">
      <w:pPr>
        <w:numPr>
          <w:ilvl w:val="0"/>
          <w:numId w:val="18"/>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Onečišćenje tla i vode</w:t>
      </w:r>
    </w:p>
    <w:p w14:paraId="22CA3989" w14:textId="77777777" w:rsidR="002735B8" w:rsidRPr="002735B8" w:rsidRDefault="002735B8" w:rsidP="0014113B">
      <w:pPr>
        <w:numPr>
          <w:ilvl w:val="0"/>
          <w:numId w:val="18"/>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Mogućnost eksplozije (automobilski akumulatori, eksplozivna sredstva i sl.)</w:t>
      </w:r>
    </w:p>
    <w:p w14:paraId="430DF065"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08CC324E" w14:textId="6D2D2571" w:rsid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Problem onečišćenja opasnim otpadom je nemogućnost definiranja vrste opasnog otpada. Na divljim odlagalištima se mogu naći najčešće sljedeće vrste otpada:</w:t>
      </w:r>
    </w:p>
    <w:p w14:paraId="78025649" w14:textId="77777777" w:rsidR="006F21BC" w:rsidRPr="002735B8" w:rsidRDefault="006F21BC" w:rsidP="00C207B1">
      <w:pPr>
        <w:spacing w:after="0" w:line="240" w:lineRule="auto"/>
        <w:ind w:left="0" w:right="0" w:firstLine="709"/>
        <w:rPr>
          <w:rFonts w:ascii="Times New Roman" w:hAnsi="Times New Roman" w:cs="Times New Roman"/>
          <w:sz w:val="24"/>
          <w:szCs w:val="24"/>
        </w:rPr>
      </w:pPr>
    </w:p>
    <w:p w14:paraId="1CB2851F" w14:textId="77777777" w:rsidR="002735B8" w:rsidRPr="002735B8" w:rsidRDefault="002735B8" w:rsidP="0014113B">
      <w:pPr>
        <w:numPr>
          <w:ilvl w:val="0"/>
          <w:numId w:val="19"/>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Neopasan otpad: drvo, plastika, ravno staklo, metali, karton, papir, namještaj, bijela tehnika</w:t>
      </w:r>
    </w:p>
    <w:p w14:paraId="07A9C53D" w14:textId="77777777" w:rsidR="002735B8" w:rsidRPr="002735B8" w:rsidRDefault="002735B8" w:rsidP="0014113B">
      <w:pPr>
        <w:numPr>
          <w:ilvl w:val="0"/>
          <w:numId w:val="19"/>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Opasan otpad: otpadne baterije, otpadna ulja, boje, lakovi, stari lijekovi, sredstva za zaštitu bilja, azbest, razne zapaljive i nagrizajuće kemikalije (laboratorijske ili kućne), automobilski akumulatori, posude pod tlakom, infektivni otpad i sl.</w:t>
      </w:r>
    </w:p>
    <w:p w14:paraId="170079DF"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08502925"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Divlja odlagališta pojavljuju se u svim gradskim dijelovima i u blizini svih vrsta građevina (stambenih, poslovnih, trafostanice, plinske stanice, vrtića, škola, sakralnih objekata, uz Savski nasip, bolnice itd.). Divlje deponije u prvoj fazi razvoja imaju manje količine otpada </w:t>
      </w:r>
      <w:r w:rsidRPr="002735B8">
        <w:rPr>
          <w:rFonts w:ascii="Times New Roman" w:hAnsi="Times New Roman" w:cs="Times New Roman"/>
          <w:sz w:val="24"/>
          <w:szCs w:val="24"/>
        </w:rPr>
        <w:lastRenderedPageBreak/>
        <w:t>koji pretežno odlažu građani. Tijekom razvoja divljeg odlagališta, količina i vrsta otpada se povećavaju tako da neke divlje deponije dođu do faze kada je rizik visok jer količina otpada prelazi i nekoliko tisuća tona.</w:t>
      </w:r>
    </w:p>
    <w:p w14:paraId="73D7AD6B"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Razmjere još uvijek nedovoljne osviještenosti građana o potrebi pravilnog odlaganja otpada na za to namijenjenim lokacijama, zorno prikazuju podaci iz </w:t>
      </w:r>
      <w:r w:rsidRPr="002735B8">
        <w:rPr>
          <w:rFonts w:ascii="Times New Roman" w:hAnsi="Times New Roman" w:cs="Times New Roman"/>
          <w:i/>
          <w:sz w:val="24"/>
          <w:szCs w:val="24"/>
        </w:rPr>
        <w:t>Evidencije lokacija odbačenog otpada</w:t>
      </w:r>
      <w:r w:rsidRPr="002735B8">
        <w:rPr>
          <w:rFonts w:ascii="Times New Roman" w:hAnsi="Times New Roman" w:cs="Times New Roman"/>
          <w:sz w:val="24"/>
          <w:szCs w:val="24"/>
        </w:rPr>
        <w:t xml:space="preserve"> pa je tako na dan 24.05.2022. godine na području Grada Zagreba registrirano čak 3301 aktivnih lokacija odbačenog otpada (radi se o broju lokacija koje je komunalni redar preuzeo u obradu, ali se otpad još uvijek nalazi na lokaciji) i 2698 neaktivnih lokacija (odnosi se na broj lokacija koje je komunalni redar preuzeo u obradu, te je otpad i uklonjen s lokacije)</w:t>
      </w:r>
      <w:r w:rsidRPr="002735B8">
        <w:rPr>
          <w:rFonts w:ascii="Times New Roman" w:hAnsi="Times New Roman" w:cs="Times New Roman"/>
          <w:sz w:val="24"/>
          <w:szCs w:val="24"/>
          <w:vertAlign w:val="superscript"/>
        </w:rPr>
        <w:footnoteReference w:id="82"/>
      </w:r>
      <w:r w:rsidRPr="002735B8">
        <w:rPr>
          <w:rFonts w:ascii="Times New Roman" w:hAnsi="Times New Roman" w:cs="Times New Roman"/>
          <w:sz w:val="24"/>
          <w:szCs w:val="24"/>
        </w:rPr>
        <w:t xml:space="preserve">. Ipak, unatoč velikom broju divljih odlagališta, ona ne predstavljaju značajnu prijetnju na području Grada Zagreba zbog redovnog čišćenja navedenih lokacija. U slučaju nesreća na divljim odlagalištima otpada, moguće su lokalne posljedice u vidu zagađenja zraka ili lokalnih onečišćenja tla i vodotoka. </w:t>
      </w:r>
    </w:p>
    <w:p w14:paraId="3424CFA4"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033EA478" w14:textId="5B03041E" w:rsidR="002735B8" w:rsidRPr="002735B8" w:rsidRDefault="002735B8" w:rsidP="00C70C9F">
      <w:pPr>
        <w:spacing w:after="0" w:line="240" w:lineRule="auto"/>
        <w:ind w:left="0" w:right="0" w:firstLine="709"/>
        <w:rPr>
          <w:rFonts w:ascii="Times New Roman" w:hAnsi="Times New Roman" w:cs="Times New Roman"/>
          <w:sz w:val="24"/>
          <w:szCs w:val="24"/>
          <w:u w:val="single"/>
        </w:rPr>
      </w:pPr>
      <w:r w:rsidRPr="002735B8">
        <w:rPr>
          <w:rFonts w:ascii="Times New Roman" w:hAnsi="Times New Roman" w:cs="Times New Roman"/>
          <w:sz w:val="24"/>
          <w:szCs w:val="24"/>
          <w:u w:val="single"/>
        </w:rPr>
        <w:t xml:space="preserve">Odlagalište otpada </w:t>
      </w:r>
      <w:r w:rsidR="0081578E">
        <w:rPr>
          <w:rFonts w:ascii="Times New Roman" w:hAnsi="Times New Roman" w:cs="Times New Roman"/>
          <w:sz w:val="24"/>
          <w:szCs w:val="24"/>
          <w:u w:val="single"/>
        </w:rPr>
        <w:t>Jakuševec</w:t>
      </w:r>
    </w:p>
    <w:p w14:paraId="15383390"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281ED5FC"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Otpad je prema Zakonu o gospodarenju otpadom (NN 84/21) svaka tvar ili predmet koju posjednik odbacuje, namjerava ili mora odbaciti. Otpad nastaje kao posljedica svih ljudskih aktivnosti i u svim gospodarskim djelatnostima.  Jedino službeno odlagalište otpada na koje se danas odlaže miješani komunalni otpad Grada Zagreba te komunalni otpad s područja Samobora i Svete Nedjelje je odlagalište Jakuševec. Udaljeno je 5 km zračne linije od središta Zagreba, a nalazi se u jugoistočnom dijelu Grada Zagreba, na desnoj obali rijeke Save, na udaljenosti 400 m od naselja Jakuševec i između vodozaštitnih zona najvećih postojećih i planiranih vodocrpilišta Grada Zagreba (Črnkovec i Petruševec). Odlagalište se pruža u smjeru sjeverozapad-jugoistok, duž nasipa rijeke Save, od kojega je odvojeno lokalnom cestom. Maksimalna duljina projektiranog odlagališta iznosi oko 1365 m, dok je maksimalna širina oko 390 m. Površina terena oko odlagališta je blago nagnuta od sjeverozapada prema jugoistoku. Nekontrolirano odlaganje otpada na području današnjeg odlagališta otpada Jakuševec započelo je 1965. godine, a 1995. godine prostor odlagališta zauzima 80 ha. U tom je razdoblju neprimjereno odloženo 4,5 milijuna m</w:t>
      </w:r>
      <w:r w:rsidRPr="002735B8">
        <w:rPr>
          <w:rFonts w:ascii="Times New Roman" w:hAnsi="Times New Roman" w:cs="Times New Roman"/>
          <w:sz w:val="24"/>
          <w:szCs w:val="24"/>
          <w:vertAlign w:val="superscript"/>
        </w:rPr>
        <w:t>3</w:t>
      </w:r>
      <w:r w:rsidRPr="002735B8">
        <w:rPr>
          <w:rFonts w:ascii="Times New Roman" w:hAnsi="Times New Roman" w:cs="Times New Roman"/>
          <w:sz w:val="24"/>
          <w:szCs w:val="24"/>
        </w:rPr>
        <w:t xml:space="preserve"> otpada, a do 2000. godine volumen odloženog otpada iznosio je 8 milijuna m</w:t>
      </w:r>
      <w:r w:rsidRPr="002735B8">
        <w:rPr>
          <w:rFonts w:ascii="Times New Roman" w:hAnsi="Times New Roman" w:cs="Times New Roman"/>
          <w:sz w:val="24"/>
          <w:szCs w:val="24"/>
          <w:vertAlign w:val="superscript"/>
        </w:rPr>
        <w:t>3</w:t>
      </w:r>
      <w:r w:rsidRPr="002735B8">
        <w:rPr>
          <w:rFonts w:ascii="Times New Roman" w:hAnsi="Times New Roman" w:cs="Times New Roman"/>
          <w:sz w:val="24"/>
          <w:szCs w:val="24"/>
        </w:rPr>
        <w:t>. Odlagalište je zbog zanemarivanja problema postalo najveće neuređeno odlagalište otpada u jugoistočnom dijelu Europe</w:t>
      </w:r>
      <w:r w:rsidRPr="002735B8">
        <w:rPr>
          <w:rFonts w:ascii="Times New Roman" w:hAnsi="Times New Roman" w:cs="Times New Roman"/>
          <w:sz w:val="24"/>
          <w:szCs w:val="24"/>
          <w:vertAlign w:val="superscript"/>
        </w:rPr>
        <w:footnoteReference w:id="83"/>
      </w:r>
      <w:r w:rsidRPr="002735B8">
        <w:rPr>
          <w:rFonts w:ascii="Times New Roman" w:hAnsi="Times New Roman" w:cs="Times New Roman"/>
          <w:sz w:val="24"/>
          <w:szCs w:val="24"/>
        </w:rPr>
        <w:t xml:space="preserve">.  Prosječna visina odlaganja prelazila je 10 m. Najznačajnija odlika ovog odlagališta do početka devedesetih godina bilo je potpuno nekontrolirano odlaganje i nedostatak bilo kakvog koncepta njegova uređenja i zatvaranja. </w:t>
      </w:r>
    </w:p>
    <w:p w14:paraId="2D403947"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Sanacija neuređene deponije otpada u uređeno sanitarno odlagalište završena je krajem 2003. godine, kada su izgrađene prve četiri plohe, te je odlagalište prema Pravilniku o načinima i uvjetima odlaganja otpada, kategorijama i uvjetima rada za odlagališta otpada (NN 114/15, 103/18 i 56/19) pretvoreno u kontrolirano odlagalište za odlaganje neopasnog otpada. Sanacija je provedena na način da su na mjestu s kojega je uklonjen stari otpad izgrađene plohe s nepropusnim brtvenim sustavom i obodnim nasipom na koji se ugrađivao i novi otpad. Kako bi se omogućio ispravan rad odlagališta do njegova konačnog zatvaranja, u sklopu sanacije izrađen je interventni crpni sustav, sustav otplinjavanja s plinskom stanicom, sustav upravljanja površinskim i procjednim vodama sa sabirnim bazenima i postrojenjem za pročišćavanje procjednih voda.</w:t>
      </w:r>
      <w:r w:rsidRPr="002735B8">
        <w:t xml:space="preserve"> </w:t>
      </w:r>
      <w:r w:rsidRPr="002735B8">
        <w:rPr>
          <w:rFonts w:ascii="Times New Roman" w:hAnsi="Times New Roman" w:cs="Times New Roman"/>
          <w:sz w:val="24"/>
          <w:szCs w:val="24"/>
        </w:rPr>
        <w:t xml:space="preserve">Sanacija odlagališta Jakuševec i izgradnja uređenih ploha osim po hrvatskim, izvedena je i po EU normama. </w:t>
      </w:r>
    </w:p>
    <w:p w14:paraId="13E22573" w14:textId="77777777" w:rsidR="002735B8" w:rsidRPr="002735B8" w:rsidRDefault="002735B8" w:rsidP="002735B8">
      <w:pPr>
        <w:spacing w:after="0" w:line="240" w:lineRule="auto"/>
        <w:ind w:left="0" w:right="0" w:firstLine="0"/>
        <w:rPr>
          <w:rFonts w:ascii="Times New Roman" w:hAnsi="Times New Roman" w:cs="Times New Roman"/>
          <w:color w:val="FF0000"/>
          <w:sz w:val="24"/>
          <w:szCs w:val="24"/>
        </w:rPr>
      </w:pPr>
    </w:p>
    <w:p w14:paraId="65C35948" w14:textId="38AFACD9" w:rsidR="002735B8" w:rsidRPr="00000A10" w:rsidRDefault="008B3D9F" w:rsidP="008B3016">
      <w:pPr>
        <w:spacing w:line="240" w:lineRule="auto"/>
        <w:ind w:left="0" w:right="0" w:firstLine="0"/>
        <w:jc w:val="center"/>
        <w:rPr>
          <w:rFonts w:ascii="Times New Roman" w:hAnsi="Times New Roman" w:cs="Times New Roman"/>
          <w:b/>
          <w:color w:val="auto"/>
          <w:sz w:val="24"/>
          <w:szCs w:val="24"/>
        </w:rPr>
      </w:pPr>
      <w:r w:rsidRPr="00000A10">
        <w:rPr>
          <w:rFonts w:ascii="Times New Roman" w:hAnsi="Times New Roman" w:cs="Times New Roman"/>
          <w:b/>
          <w:color w:val="auto"/>
          <w:sz w:val="24"/>
          <w:szCs w:val="24"/>
        </w:rPr>
        <w:lastRenderedPageBreak/>
        <w:t>Slika 27</w:t>
      </w:r>
      <w:r w:rsidR="002735B8" w:rsidRPr="00000A10">
        <w:rPr>
          <w:rFonts w:ascii="Times New Roman" w:hAnsi="Times New Roman" w:cs="Times New Roman"/>
          <w:b/>
          <w:color w:val="auto"/>
          <w:sz w:val="24"/>
          <w:szCs w:val="24"/>
        </w:rPr>
        <w:t>. Prikaz lokacije odlagališta otpada Jakuševec preko servisa Google Earth</w:t>
      </w:r>
    </w:p>
    <w:p w14:paraId="12451B51" w14:textId="77777777" w:rsidR="002735B8" w:rsidRPr="002735B8" w:rsidRDefault="002735B8" w:rsidP="008B3016">
      <w:pPr>
        <w:spacing w:after="0" w:line="240" w:lineRule="auto"/>
        <w:ind w:left="0" w:right="0" w:firstLine="0"/>
        <w:jc w:val="center"/>
        <w:rPr>
          <w:rFonts w:ascii="Times New Roman" w:hAnsi="Times New Roman" w:cs="Times New Roman"/>
          <w:sz w:val="24"/>
          <w:szCs w:val="24"/>
        </w:rPr>
      </w:pPr>
      <w:r w:rsidRPr="002735B8">
        <w:rPr>
          <w:noProof/>
        </w:rPr>
        <w:drawing>
          <wp:inline distT="0" distB="0" distL="0" distR="0" wp14:anchorId="071A884F" wp14:editId="209C76A7">
            <wp:extent cx="5352415" cy="2840939"/>
            <wp:effectExtent l="0" t="0" r="635" b="0"/>
            <wp:docPr id="52276" name="Picture 5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361814" cy="2845928"/>
                    </a:xfrm>
                    <a:prstGeom prst="rect">
                      <a:avLst/>
                    </a:prstGeom>
                    <a:noFill/>
                    <a:ln>
                      <a:noFill/>
                    </a:ln>
                  </pic:spPr>
                </pic:pic>
              </a:graphicData>
            </a:graphic>
          </wp:inline>
        </w:drawing>
      </w:r>
    </w:p>
    <w:p w14:paraId="0035A515"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250AC204" w14:textId="58BC2A05" w:rsidR="002735B8" w:rsidRPr="00000A10" w:rsidRDefault="008B3D9F" w:rsidP="008B3016">
      <w:pPr>
        <w:spacing w:line="240" w:lineRule="auto"/>
        <w:ind w:left="0" w:right="0" w:firstLine="0"/>
        <w:jc w:val="center"/>
        <w:rPr>
          <w:rFonts w:ascii="Times New Roman" w:hAnsi="Times New Roman" w:cs="Times New Roman"/>
          <w:b/>
          <w:color w:val="auto"/>
          <w:sz w:val="24"/>
          <w:szCs w:val="24"/>
        </w:rPr>
      </w:pPr>
      <w:r w:rsidRPr="00000A10">
        <w:rPr>
          <w:rFonts w:ascii="Times New Roman" w:hAnsi="Times New Roman" w:cs="Times New Roman"/>
          <w:b/>
          <w:color w:val="auto"/>
          <w:sz w:val="24"/>
          <w:szCs w:val="24"/>
        </w:rPr>
        <w:t>Slika 28</w:t>
      </w:r>
      <w:r w:rsidR="002735B8" w:rsidRPr="00000A10">
        <w:rPr>
          <w:rFonts w:ascii="Times New Roman" w:hAnsi="Times New Roman" w:cs="Times New Roman"/>
          <w:b/>
          <w:color w:val="auto"/>
          <w:sz w:val="24"/>
          <w:szCs w:val="24"/>
        </w:rPr>
        <w:t>. Prikaz lokacije odlagališta Jakuševec s granicama obuhvata cijelog postrojenja</w:t>
      </w:r>
    </w:p>
    <w:p w14:paraId="28C1CD73" w14:textId="77777777" w:rsidR="002735B8" w:rsidRPr="002735B8" w:rsidRDefault="002735B8" w:rsidP="008B3016">
      <w:pPr>
        <w:spacing w:after="0" w:line="240" w:lineRule="auto"/>
        <w:ind w:left="0" w:right="0" w:firstLine="0"/>
        <w:jc w:val="center"/>
        <w:rPr>
          <w:rFonts w:ascii="Times New Roman" w:hAnsi="Times New Roman" w:cs="Times New Roman"/>
          <w:sz w:val="24"/>
          <w:szCs w:val="24"/>
        </w:rPr>
      </w:pPr>
      <w:r w:rsidRPr="002735B8">
        <w:rPr>
          <w:noProof/>
        </w:rPr>
        <w:drawing>
          <wp:inline distT="0" distB="0" distL="0" distR="0" wp14:anchorId="3815ACC6" wp14:editId="6D2052B1">
            <wp:extent cx="5427056" cy="4029075"/>
            <wp:effectExtent l="0" t="0" r="2540" b="0"/>
            <wp:docPr id="52277" name="Picture 5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29778" cy="4031096"/>
                    </a:xfrm>
                    <a:prstGeom prst="rect">
                      <a:avLst/>
                    </a:prstGeom>
                    <a:noFill/>
                    <a:ln>
                      <a:noFill/>
                    </a:ln>
                  </pic:spPr>
                </pic:pic>
              </a:graphicData>
            </a:graphic>
          </wp:inline>
        </w:drawing>
      </w:r>
    </w:p>
    <w:p w14:paraId="2DF38D45" w14:textId="77777777" w:rsidR="002735B8" w:rsidRPr="008B3016" w:rsidRDefault="002735B8" w:rsidP="002735B8">
      <w:pPr>
        <w:spacing w:after="0" w:line="240" w:lineRule="auto"/>
        <w:ind w:left="0" w:right="0" w:firstLine="0"/>
        <w:jc w:val="center"/>
        <w:rPr>
          <w:rFonts w:ascii="Times New Roman" w:hAnsi="Times New Roman" w:cs="Times New Roman"/>
          <w:i/>
          <w:sz w:val="20"/>
          <w:szCs w:val="20"/>
        </w:rPr>
      </w:pPr>
      <w:r w:rsidRPr="008B3016">
        <w:rPr>
          <w:rFonts w:ascii="Times New Roman" w:hAnsi="Times New Roman" w:cs="Times New Roman"/>
          <w:i/>
          <w:sz w:val="20"/>
          <w:szCs w:val="20"/>
        </w:rPr>
        <w:t xml:space="preserve">Izvor: </w:t>
      </w:r>
      <w:bookmarkStart w:id="112" w:name="_Hlk105057632"/>
      <w:r w:rsidRPr="008B3016">
        <w:rPr>
          <w:rFonts w:ascii="Times New Roman" w:hAnsi="Times New Roman" w:cs="Times New Roman"/>
          <w:i/>
          <w:sz w:val="20"/>
          <w:szCs w:val="20"/>
        </w:rPr>
        <w:t>ELABORAT ZAŠTITE OKOLIŠA Zahvat: Izmjena zahvata – obrada neopasnog otpada na odlagalištu otpada „Prudinec/Jakuševec“, Zagreb veljača 2022.</w:t>
      </w:r>
    </w:p>
    <w:bookmarkEnd w:id="112"/>
    <w:p w14:paraId="3466DE2C" w14:textId="77777777" w:rsidR="00852072" w:rsidRDefault="00852072" w:rsidP="002735B8">
      <w:pPr>
        <w:spacing w:after="0" w:line="240" w:lineRule="auto"/>
        <w:ind w:left="0" w:right="0" w:firstLine="0"/>
        <w:rPr>
          <w:rFonts w:ascii="Times New Roman" w:hAnsi="Times New Roman" w:cs="Times New Roman"/>
          <w:color w:val="auto"/>
          <w:sz w:val="24"/>
          <w:szCs w:val="24"/>
        </w:rPr>
      </w:pPr>
    </w:p>
    <w:p w14:paraId="737F5765" w14:textId="18C40E57" w:rsidR="002735B8" w:rsidRPr="002735B8" w:rsidRDefault="002735B8" w:rsidP="002735B8">
      <w:pPr>
        <w:spacing w:after="0" w:line="240" w:lineRule="auto"/>
        <w:ind w:left="0" w:right="0" w:firstLine="0"/>
        <w:rPr>
          <w:rFonts w:ascii="Times New Roman" w:hAnsi="Times New Roman" w:cs="Times New Roman"/>
          <w:color w:val="auto"/>
          <w:sz w:val="24"/>
          <w:szCs w:val="24"/>
        </w:rPr>
      </w:pPr>
      <w:r w:rsidRPr="002735B8">
        <w:rPr>
          <w:rFonts w:ascii="Times New Roman" w:hAnsi="Times New Roman" w:cs="Times New Roman"/>
          <w:color w:val="auto"/>
          <w:sz w:val="24"/>
          <w:szCs w:val="24"/>
        </w:rPr>
        <w:t>Odlagalište otpada Jakuševec obuhvaća sljedeće cjeline</w:t>
      </w:r>
      <w:r w:rsidRPr="002735B8">
        <w:rPr>
          <w:rFonts w:ascii="Times New Roman" w:hAnsi="Times New Roman" w:cs="Times New Roman"/>
          <w:color w:val="auto"/>
          <w:sz w:val="24"/>
          <w:szCs w:val="24"/>
          <w:vertAlign w:val="superscript"/>
        </w:rPr>
        <w:footnoteReference w:id="84"/>
      </w:r>
      <w:r w:rsidRPr="002735B8">
        <w:rPr>
          <w:rFonts w:ascii="Times New Roman" w:hAnsi="Times New Roman" w:cs="Times New Roman"/>
          <w:color w:val="auto"/>
          <w:sz w:val="24"/>
          <w:szCs w:val="24"/>
        </w:rPr>
        <w:t>:</w:t>
      </w:r>
    </w:p>
    <w:p w14:paraId="7748BAE5" w14:textId="77777777" w:rsidR="002735B8" w:rsidRPr="002735B8" w:rsidRDefault="002735B8" w:rsidP="0014113B">
      <w:pPr>
        <w:numPr>
          <w:ilvl w:val="0"/>
          <w:numId w:val="20"/>
        </w:numPr>
        <w:spacing w:after="0" w:line="240" w:lineRule="auto"/>
        <w:ind w:right="0"/>
        <w:contextualSpacing/>
        <w:rPr>
          <w:rFonts w:ascii="Times New Roman" w:hAnsi="Times New Roman" w:cs="Times New Roman"/>
          <w:color w:val="auto"/>
          <w:sz w:val="24"/>
          <w:szCs w:val="24"/>
        </w:rPr>
      </w:pPr>
      <w:r w:rsidRPr="002735B8">
        <w:rPr>
          <w:rFonts w:ascii="Times New Roman" w:hAnsi="Times New Roman" w:cs="Times New Roman"/>
          <w:color w:val="auto"/>
          <w:sz w:val="24"/>
          <w:szCs w:val="24"/>
        </w:rPr>
        <w:lastRenderedPageBreak/>
        <w:t>Ulazno – izlazna zona  ‐ na ulazu na odlagalište provodi se vaganje vozila s otpadom, pregled dokumentacije o otpadu te vizualna kontrola dovezenog otpada</w:t>
      </w:r>
    </w:p>
    <w:p w14:paraId="3C36D11D" w14:textId="68A0BF70" w:rsidR="002735B8" w:rsidRPr="002735B8" w:rsidRDefault="002735B8" w:rsidP="0014113B">
      <w:pPr>
        <w:numPr>
          <w:ilvl w:val="0"/>
          <w:numId w:val="20"/>
        </w:numPr>
        <w:spacing w:after="0" w:line="240" w:lineRule="auto"/>
        <w:ind w:right="0"/>
        <w:contextualSpacing/>
        <w:rPr>
          <w:rFonts w:ascii="Times New Roman" w:hAnsi="Times New Roman" w:cs="Times New Roman"/>
          <w:color w:val="auto"/>
          <w:sz w:val="24"/>
          <w:szCs w:val="24"/>
        </w:rPr>
      </w:pPr>
      <w:r w:rsidRPr="002735B8">
        <w:rPr>
          <w:rFonts w:ascii="Times New Roman" w:hAnsi="Times New Roman" w:cs="Times New Roman"/>
          <w:color w:val="auto"/>
          <w:sz w:val="24"/>
          <w:szCs w:val="24"/>
        </w:rPr>
        <w:t>Zona za privremeno skladištenje – obuhvaća plato za međuodlaganje metalnog otpada i istrošenih guma</w:t>
      </w:r>
    </w:p>
    <w:p w14:paraId="1E010AFF" w14:textId="79DD085F" w:rsidR="002735B8" w:rsidRPr="002735B8" w:rsidRDefault="002735B8" w:rsidP="0014113B">
      <w:pPr>
        <w:numPr>
          <w:ilvl w:val="0"/>
          <w:numId w:val="20"/>
        </w:numPr>
        <w:spacing w:after="0" w:line="240" w:lineRule="auto"/>
        <w:ind w:right="0"/>
        <w:contextualSpacing/>
        <w:rPr>
          <w:rFonts w:ascii="Times New Roman" w:hAnsi="Times New Roman" w:cs="Times New Roman"/>
          <w:color w:val="auto"/>
          <w:sz w:val="24"/>
          <w:szCs w:val="24"/>
        </w:rPr>
      </w:pPr>
      <w:r w:rsidRPr="002735B8">
        <w:rPr>
          <w:rFonts w:ascii="Times New Roman" w:hAnsi="Times New Roman" w:cs="Times New Roman"/>
          <w:color w:val="auto"/>
          <w:sz w:val="24"/>
          <w:szCs w:val="24"/>
        </w:rPr>
        <w:t>Sustav za prikupljanje i gospodarenje odlagališnim plinom – obuhvaća plinsko‐crpno postrojenje u okviru kojeg se gospodari odlagališnim plinom, tj. proizvodi se električna i toplinska energija. Sustav za prikupljanje odlagališnog plina obuhvaća aktivno otplinjavanje odlagališta koje se sastoji od plinskih zdenaca, kondenznih lonaca i plinovodne mreže do plinske stanice s opremom</w:t>
      </w:r>
    </w:p>
    <w:p w14:paraId="290F9ABA" w14:textId="5611BF16" w:rsidR="002735B8" w:rsidRPr="002735B8" w:rsidRDefault="002735B8" w:rsidP="0014113B">
      <w:pPr>
        <w:numPr>
          <w:ilvl w:val="0"/>
          <w:numId w:val="20"/>
        </w:numPr>
        <w:spacing w:after="0" w:line="240" w:lineRule="auto"/>
        <w:ind w:right="0"/>
        <w:contextualSpacing/>
        <w:rPr>
          <w:rFonts w:ascii="Times New Roman" w:hAnsi="Times New Roman" w:cs="Times New Roman"/>
          <w:color w:val="auto"/>
          <w:sz w:val="24"/>
          <w:szCs w:val="24"/>
        </w:rPr>
      </w:pPr>
      <w:r w:rsidRPr="002735B8">
        <w:rPr>
          <w:rFonts w:ascii="Times New Roman" w:hAnsi="Times New Roman" w:cs="Times New Roman"/>
          <w:color w:val="auto"/>
          <w:sz w:val="24"/>
          <w:szCs w:val="24"/>
        </w:rPr>
        <w:t>Zona za odlaganje otpada  ‐ odlagalište neopasnog otpada sastoji se od 6 ploha za odlaganje otpada ukupnog kapaciteta 15.12 mil. m</w:t>
      </w:r>
      <w:r w:rsidRPr="002735B8">
        <w:rPr>
          <w:rFonts w:ascii="Times New Roman" w:hAnsi="Times New Roman" w:cs="Times New Roman"/>
          <w:color w:val="auto"/>
          <w:sz w:val="24"/>
          <w:szCs w:val="24"/>
          <w:vertAlign w:val="superscript"/>
        </w:rPr>
        <w:t>3</w:t>
      </w:r>
      <w:r w:rsidRPr="002735B8">
        <w:rPr>
          <w:rFonts w:ascii="Times New Roman" w:hAnsi="Times New Roman" w:cs="Times New Roman"/>
          <w:color w:val="auto"/>
          <w:sz w:val="24"/>
          <w:szCs w:val="24"/>
        </w:rPr>
        <w:t xml:space="preserve"> i površine 46,35 ha</w:t>
      </w:r>
    </w:p>
    <w:p w14:paraId="56AF8CFD" w14:textId="01DC9340" w:rsidR="002735B8" w:rsidRPr="002735B8" w:rsidRDefault="002735B8" w:rsidP="0014113B">
      <w:pPr>
        <w:numPr>
          <w:ilvl w:val="0"/>
          <w:numId w:val="20"/>
        </w:numPr>
        <w:spacing w:after="0" w:line="240" w:lineRule="auto"/>
        <w:ind w:right="0"/>
        <w:contextualSpacing/>
        <w:rPr>
          <w:rFonts w:ascii="Times New Roman" w:hAnsi="Times New Roman" w:cs="Times New Roman"/>
          <w:color w:val="auto"/>
          <w:sz w:val="24"/>
          <w:szCs w:val="24"/>
        </w:rPr>
      </w:pPr>
      <w:r w:rsidRPr="002735B8">
        <w:rPr>
          <w:rFonts w:ascii="Times New Roman" w:hAnsi="Times New Roman" w:cs="Times New Roman"/>
          <w:color w:val="auto"/>
          <w:sz w:val="24"/>
          <w:szCs w:val="24"/>
        </w:rPr>
        <w:t>Sustav za prikupljanje i obradu otpadnih voda  ‐  obuhvaća sustav za odvojeno prikupljanje i obradu procjednih voda, sustav za odvojeno prikupljanje sanitarne otpadne vode, sustav za odvojeno prikupljanje oborinske vode, sustav za odvojeno prikupljanje i obradu zauljenih oborinskih i otpadnih voda s manipulativnih površina, sustav za odvojeno prikupljanje tehnoloških otpadnih voda iz perilišta kotača</w:t>
      </w:r>
    </w:p>
    <w:p w14:paraId="27C0A153" w14:textId="77777777" w:rsidR="002735B8" w:rsidRPr="002735B8" w:rsidRDefault="002735B8" w:rsidP="0014113B">
      <w:pPr>
        <w:numPr>
          <w:ilvl w:val="0"/>
          <w:numId w:val="20"/>
        </w:numPr>
        <w:spacing w:after="0" w:line="240" w:lineRule="auto"/>
        <w:ind w:right="0"/>
        <w:contextualSpacing/>
        <w:rPr>
          <w:rFonts w:ascii="Times New Roman" w:hAnsi="Times New Roman" w:cs="Times New Roman"/>
          <w:color w:val="auto"/>
          <w:sz w:val="24"/>
          <w:szCs w:val="24"/>
        </w:rPr>
      </w:pPr>
      <w:r w:rsidRPr="002735B8">
        <w:rPr>
          <w:rFonts w:ascii="Times New Roman" w:hAnsi="Times New Roman" w:cs="Times New Roman"/>
          <w:color w:val="auto"/>
          <w:sz w:val="24"/>
          <w:szCs w:val="24"/>
        </w:rPr>
        <w:t>Upravna zgrada – kontejnerski objekti korišteni za potrebe djelatnika i rada odlagališta.</w:t>
      </w:r>
    </w:p>
    <w:p w14:paraId="23F9B7B5" w14:textId="77777777" w:rsidR="002735B8" w:rsidRPr="002735B8" w:rsidRDefault="002735B8" w:rsidP="002735B8">
      <w:pPr>
        <w:spacing w:after="0" w:line="240" w:lineRule="auto"/>
        <w:ind w:left="0" w:right="0" w:firstLine="0"/>
        <w:rPr>
          <w:rFonts w:ascii="Times New Roman" w:hAnsi="Times New Roman" w:cs="Times New Roman"/>
          <w:color w:val="auto"/>
          <w:sz w:val="24"/>
          <w:szCs w:val="24"/>
        </w:rPr>
      </w:pPr>
    </w:p>
    <w:p w14:paraId="3E096A54" w14:textId="532FA04D" w:rsidR="002735B8" w:rsidRPr="002735B8" w:rsidRDefault="002735B8" w:rsidP="00C207B1">
      <w:pPr>
        <w:spacing w:after="0" w:line="240" w:lineRule="auto"/>
        <w:ind w:left="0" w:right="0" w:firstLine="709"/>
        <w:rPr>
          <w:rFonts w:ascii="Times New Roman" w:hAnsi="Times New Roman" w:cs="Times New Roman"/>
          <w:color w:val="auto"/>
          <w:sz w:val="24"/>
          <w:szCs w:val="24"/>
        </w:rPr>
      </w:pPr>
      <w:r w:rsidRPr="002735B8">
        <w:rPr>
          <w:rFonts w:ascii="Times New Roman" w:hAnsi="Times New Roman" w:cs="Times New Roman"/>
          <w:color w:val="auto"/>
          <w:sz w:val="24"/>
          <w:szCs w:val="24"/>
        </w:rPr>
        <w:t xml:space="preserve">Ministarstvo zaštite okoliša i energetike je u dokumentu </w:t>
      </w:r>
      <w:r w:rsidRPr="002735B8">
        <w:rPr>
          <w:rFonts w:ascii="Times New Roman" w:hAnsi="Times New Roman" w:cs="Times New Roman"/>
          <w:i/>
          <w:color w:val="auto"/>
          <w:sz w:val="24"/>
          <w:szCs w:val="24"/>
        </w:rPr>
        <w:t>Dinamika zatvaranja odlagališta neopasnog otpada u RH</w:t>
      </w:r>
      <w:r w:rsidRPr="002735B8">
        <w:rPr>
          <w:rFonts w:ascii="Times New Roman" w:hAnsi="Times New Roman" w:cs="Times New Roman"/>
          <w:color w:val="auto"/>
          <w:sz w:val="24"/>
          <w:szCs w:val="24"/>
        </w:rPr>
        <w:t>, navelo da se odlagalište otpada Jakuševec nalazi u kategoriji najuređenijih odlagališta u Republici Hrvatskoj. Nadalje se navodi i da je odlagalište otpada Jakuševec jedan od rijetkih objekata u Republici Hrvatskoj koji ima funkciju usporedivu s Centrom za gospodarenje otpadom (CGO) u cjelokupnom opsegu predviđenom projektnom dokumentacijom te ispunjava kriterije potrebnih objekata i obavljanja aktivnosti koje treba imati CGO, a vezanih uz sakupljanje, obradu te propisno deponiranje otpada, kako je navedeno u Planu gospodarenja otpadom Republike Hrvatske za razdoblje 2017.–2022. godine.</w:t>
      </w:r>
    </w:p>
    <w:p w14:paraId="0A40EE9D" w14:textId="77777777" w:rsidR="002735B8" w:rsidRPr="002735B8" w:rsidRDefault="002735B8" w:rsidP="002735B8">
      <w:pPr>
        <w:spacing w:after="0" w:line="240" w:lineRule="auto"/>
        <w:ind w:left="0" w:right="0" w:firstLine="0"/>
        <w:rPr>
          <w:rFonts w:ascii="Times New Roman" w:hAnsi="Times New Roman" w:cs="Times New Roman"/>
          <w:color w:val="auto"/>
          <w:sz w:val="24"/>
          <w:szCs w:val="24"/>
        </w:rPr>
      </w:pPr>
    </w:p>
    <w:p w14:paraId="780EA532" w14:textId="77777777" w:rsidR="002735B8" w:rsidRPr="002735B8" w:rsidRDefault="002735B8" w:rsidP="00C70C9F">
      <w:pPr>
        <w:spacing w:after="0" w:line="240" w:lineRule="auto"/>
        <w:ind w:left="0" w:right="0" w:firstLine="709"/>
        <w:rPr>
          <w:rFonts w:ascii="Times New Roman" w:hAnsi="Times New Roman" w:cs="Times New Roman"/>
          <w:sz w:val="24"/>
          <w:szCs w:val="24"/>
          <w:u w:val="single"/>
        </w:rPr>
      </w:pPr>
      <w:r w:rsidRPr="002735B8">
        <w:rPr>
          <w:rFonts w:ascii="Times New Roman" w:hAnsi="Times New Roman" w:cs="Times New Roman"/>
          <w:sz w:val="24"/>
          <w:szCs w:val="24"/>
          <w:u w:val="single"/>
        </w:rPr>
        <w:t>Utjecaj odlagališta otpada Jakuševec na podzemne vode</w:t>
      </w:r>
    </w:p>
    <w:p w14:paraId="26E26551" w14:textId="0085C7A5"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Prilikom odabira lokacije namijenjene odlaganju otpada 1965. godine,  uzimale su se u obzir isključivo logističke potrebe (udaljenost od centra grada 5 km), a nije se vodila briga o geološkim i hidrološkim karakteristikama područja, odnosno sastavu tla i lokaciji odlagališta u odnosu na područja glavnih pričuva kvalitetne podzemne vode namijenjene vodoopskrbi stanovništva Grada Zagreba. Osamdesetih godina iz upotrebe su isključena mnoga gradska crpilišta (Selska, Zagorska, Vrapče, Daničićeva, Prečko, Horvati, Zadarska, Kruge, Držićeva, Remetinec, Botanički vrt, Branimirova tržnica kao i Žitnjak) zbog onečišćenja podzemnih voda uzrokovanih razvojem industrijskih i drugih gradskih sadržaja. Zbog navedenog, postajalo je sve zanimljivije područje Črnkovec na desnoj obali Save, koje je od odlagališta Jakuševec</w:t>
      </w:r>
      <w:r w:rsidR="00395D8A">
        <w:rPr>
          <w:rFonts w:ascii="Times New Roman" w:hAnsi="Times New Roman" w:cs="Times New Roman"/>
          <w:sz w:val="24"/>
          <w:szCs w:val="24"/>
        </w:rPr>
        <w:t xml:space="preserve"> </w:t>
      </w:r>
      <w:r w:rsidRPr="002735B8">
        <w:rPr>
          <w:rFonts w:ascii="Times New Roman" w:hAnsi="Times New Roman" w:cs="Times New Roman"/>
          <w:sz w:val="24"/>
          <w:szCs w:val="24"/>
        </w:rPr>
        <w:t>udaljeno samo 3 km nizvodno. To područje je 1981. godine prepoznato u okviru Vodoprivredne osnove grada Zagreba kao rezervno crpilište.</w:t>
      </w:r>
      <w:r w:rsidRPr="002735B8">
        <w:t xml:space="preserve"> </w:t>
      </w:r>
      <w:r w:rsidRPr="002735B8">
        <w:rPr>
          <w:rFonts w:ascii="Times New Roman" w:hAnsi="Times New Roman" w:cs="Times New Roman"/>
          <w:sz w:val="24"/>
          <w:szCs w:val="24"/>
        </w:rPr>
        <w:t>Od 1986. godine na odlagalištu otpada su vršena prva sveobuhvatna istraživanja, kako bi se utvrdio utjecaj odloženog otpada na okoliš, posebice na podzemne vode.</w:t>
      </w:r>
      <w:r w:rsidRPr="002735B8">
        <w:t xml:space="preserve"> </w:t>
      </w:r>
      <w:r w:rsidRPr="002735B8">
        <w:rPr>
          <w:rFonts w:ascii="Times New Roman" w:hAnsi="Times New Roman" w:cs="Times New Roman"/>
          <w:sz w:val="24"/>
          <w:szCs w:val="24"/>
        </w:rPr>
        <w:t>Još prije više od 30 godina istraživanja na području Jakuševca pokazala su da postoji izrazit trend pogoršanja kvalitete podzemnih voda u neposrednoj blizini smetlišta, što je nedvojbeno upućivalo na to da smetlište treba smatrati značajnim izvorom onečišćenja okoliša.</w:t>
      </w:r>
    </w:p>
    <w:p w14:paraId="56559769"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2C9E7FD2"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U </w:t>
      </w:r>
      <w:r w:rsidRPr="002735B8">
        <w:rPr>
          <w:rFonts w:ascii="Times New Roman" w:hAnsi="Times New Roman" w:cs="Times New Roman"/>
          <w:i/>
          <w:sz w:val="24"/>
          <w:szCs w:val="24"/>
        </w:rPr>
        <w:t>Studiji o utjecaju na okoliš regionalnog vodoopskrbnog sustava Zagrebačke županije – Zagreb istok, IGH, listopad 2016.</w:t>
      </w:r>
      <w:r w:rsidRPr="002735B8">
        <w:rPr>
          <w:rFonts w:ascii="Times New Roman" w:hAnsi="Times New Roman" w:cs="Times New Roman"/>
          <w:sz w:val="24"/>
          <w:szCs w:val="24"/>
        </w:rPr>
        <w:t xml:space="preserve"> navodi se da su ukupne zalihe podzemne vode zagrebačkog vodonosnika i dalje relativno velike, no da prisutnost kontinuiranog negativnog trenda razina podzemne vode zahtijeva oprez u eksploataciji ovog resursa, posebice tijekom dužih sušnih razdoblja, te da je neophodno pronaći rješenja koja će dugoročno osigurati stabilnu i pouzdanu </w:t>
      </w:r>
      <w:r w:rsidRPr="002735B8">
        <w:rPr>
          <w:rFonts w:ascii="Times New Roman" w:hAnsi="Times New Roman" w:cs="Times New Roman"/>
          <w:sz w:val="24"/>
          <w:szCs w:val="24"/>
        </w:rPr>
        <w:lastRenderedPageBreak/>
        <w:t xml:space="preserve">vodoopskrbu Grada Zagreba i Zagrebačke županije u svim hidrološkim uvjetima. Potencijalna rješenja, koja bi mogla osigurati stabilnu vodoopskrbu i u hidrološki sušnim godinama, uključuju bušenje dubljih zdenaca na postojećim vodocrpilištima tamo gdje je to moguće s obzirom na hidrogeološke uvjete ili pak izgradnju novih vodocrpilišta, prvenstveno vodocrpilišta Črnkovec. </w:t>
      </w:r>
    </w:p>
    <w:p w14:paraId="5A1F3515" w14:textId="6263833C"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Prostorna analiza kemijskog stanja podzemne vode ukazala je na nekoliko područja koja se mogu izdvojiti kao kritična. Na području zagrebačkog vodonosnika to su područje odlagališta otpada Jakuševec uključujući područje nizvodno gdje je većina parametara kritična i područje Ranžirnog kolodvora uključujući područje nizvodno gdje značajnije iskaču policiklički aromatski ugljikovodici, benzen, nitrati, teški metali i deterdženti. Obje lokacije, odlagalište otpada Jakuševec i Ranžirni kolodvor, nalaze se izvan postojećih priljevnih područja svih aktivnih vodocrpilišta stoga trenutno ne predstavljaju prijetnju kakvoći vode za piće. No, područje nizvodno od odlagališta otpada Jakuševec potencijalno je priljevno područje i razmatranog zahvata vodocrpilišta Kosnica I. faza</w:t>
      </w:r>
      <w:r w:rsidRPr="002735B8">
        <w:rPr>
          <w:rFonts w:ascii="Times New Roman" w:hAnsi="Times New Roman" w:cs="Times New Roman"/>
          <w:sz w:val="24"/>
          <w:szCs w:val="24"/>
          <w:vertAlign w:val="superscript"/>
        </w:rPr>
        <w:footnoteReference w:id="85"/>
      </w:r>
      <w:r w:rsidRPr="002735B8">
        <w:rPr>
          <w:rFonts w:ascii="Times New Roman" w:hAnsi="Times New Roman" w:cs="Times New Roman"/>
          <w:sz w:val="24"/>
          <w:szCs w:val="24"/>
        </w:rPr>
        <w:t>.</w:t>
      </w:r>
    </w:p>
    <w:p w14:paraId="2B0A837F"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Objavljeno je više rezultata istraživanja utjecaja odlagališta otpada Jakuševec na podzemne vode, među njima se ističu dva rada publicirana 2006. i 2007. godine, sa rezultatima istraživanja vršenih 2003. i 2004. godine, dakle nedugo nakon što je završena sanacija odlagališta Jakuševec, kada pozitivni doprinosi sanacije još nisu bili vidljivi u punoj mjeri. U nastavku se donose najbitniji podaci.</w:t>
      </w:r>
    </w:p>
    <w:p w14:paraId="78144F4E" w14:textId="3391A61F"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Odlagalište otpada Jakuševec nalazi se na području starih savskih rukavaca i meandara. Debljina holocenskog vodonosnika na području odlagališta iznosi od 50 do 60 metara. Na području odlagališta Jakuševec prosječna dubina do podzemne vode iznosi od 3 do 8 m. Hidrološki režim rijeke Save znatno utječe na transport onečišćenja podzemnim vodama jer je smetlište od korita rijeke udaljeno samo oko 200 m.</w:t>
      </w:r>
      <w:r w:rsidRPr="002735B8">
        <w:t xml:space="preserve"> </w:t>
      </w:r>
      <w:r w:rsidRPr="002735B8">
        <w:rPr>
          <w:rFonts w:ascii="Times New Roman" w:hAnsi="Times New Roman" w:cs="Times New Roman"/>
          <w:sz w:val="24"/>
          <w:szCs w:val="24"/>
        </w:rPr>
        <w:t>Zbog strukture podzemlja, podzemna voda teče kroz propusne slojeve različitim brzinama, što utječe i na kretanje onečišćenja. Brzina i smjer podzemnih voda značajno se mijenja s vodostajem rijeke Save, a unutar vodonosnog sustava postoje slojevi u kojima se voda kreće većom brzinom. Ti slojevi predstavljaju kritične puteve zagađenja.</w:t>
      </w:r>
      <w:r w:rsidRPr="002735B8">
        <w:t xml:space="preserve"> </w:t>
      </w:r>
      <w:r w:rsidRPr="002735B8">
        <w:rPr>
          <w:rFonts w:ascii="Times New Roman" w:hAnsi="Times New Roman" w:cs="Times New Roman"/>
          <w:sz w:val="24"/>
          <w:szCs w:val="24"/>
        </w:rPr>
        <w:t>Visoki ujednačeni sadržaji željeza i mangana na lokacijama piezometara</w:t>
      </w:r>
      <w:r w:rsidRPr="002735B8">
        <w:rPr>
          <w:rFonts w:ascii="Times New Roman" w:hAnsi="Times New Roman" w:cs="Times New Roman"/>
          <w:sz w:val="24"/>
          <w:szCs w:val="24"/>
          <w:vertAlign w:val="superscript"/>
        </w:rPr>
        <w:footnoteReference w:id="86"/>
      </w:r>
      <w:r w:rsidRPr="002735B8">
        <w:rPr>
          <w:rFonts w:ascii="Times New Roman" w:hAnsi="Times New Roman" w:cs="Times New Roman"/>
          <w:sz w:val="24"/>
          <w:szCs w:val="24"/>
        </w:rPr>
        <w:t>, koji se nalaze 50 metara od ruba odlagališta, ukazuju na jak utjecaj odlagališta otpada na podzemnu vodu. Najviše vrijednosti teških metala, zabilježene su na lokacijama piezometara koji se nalaze 50 metara od ruba odlagališta otpada Jakuševec, što je dokaz konstantnog procjeđivanja teških metala iz tijela odlagališta u podzemnu vodu.</w:t>
      </w:r>
      <w:r w:rsidRPr="002735B8">
        <w:t xml:space="preserve"> </w:t>
      </w:r>
      <w:r w:rsidRPr="002735B8">
        <w:rPr>
          <w:rFonts w:ascii="Times New Roman" w:hAnsi="Times New Roman" w:cs="Times New Roman"/>
          <w:sz w:val="24"/>
          <w:szCs w:val="24"/>
        </w:rPr>
        <w:t>Za vrijeme niskih vodostaja zabilježene su iznimno visoke vrijednosti željeza, mangana i arsena (prelaze propisani MDK</w:t>
      </w:r>
      <w:r w:rsidRPr="002735B8">
        <w:rPr>
          <w:rFonts w:ascii="Times New Roman" w:hAnsi="Times New Roman" w:cs="Times New Roman"/>
          <w:sz w:val="24"/>
          <w:szCs w:val="24"/>
          <w:vertAlign w:val="superscript"/>
        </w:rPr>
        <w:footnoteReference w:id="87"/>
      </w:r>
      <w:r w:rsidRPr="002735B8">
        <w:rPr>
          <w:rFonts w:ascii="Times New Roman" w:hAnsi="Times New Roman" w:cs="Times New Roman"/>
          <w:sz w:val="24"/>
          <w:szCs w:val="24"/>
        </w:rPr>
        <w:t>), dok sadržaj cinka u podzemnoj vodi nije prelazio MDK za pitku vodu.</w:t>
      </w:r>
    </w:p>
    <w:p w14:paraId="53C67F28"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Istraživanjem utjecaja odlagališta Jakuševec na podzemne vode provedenog 2002. godine, dokazan je utjecaj odlagališta na podzemne vode te postupno širenje zagađenja prema istoku, što je potvrđeno pomicanjem granične linije zagađenja od Jakuševca prema Mičevcu, u vrijeme promjenjivih hidrodinamičkih uvjeta u vodonosnom sloju</w:t>
      </w:r>
      <w:r w:rsidRPr="002735B8">
        <w:rPr>
          <w:rFonts w:ascii="Times New Roman" w:hAnsi="Times New Roman" w:cs="Times New Roman"/>
          <w:sz w:val="24"/>
          <w:szCs w:val="24"/>
          <w:vertAlign w:val="superscript"/>
        </w:rPr>
        <w:footnoteReference w:id="88"/>
      </w:r>
      <w:r w:rsidRPr="002735B8">
        <w:rPr>
          <w:rFonts w:ascii="Times New Roman" w:hAnsi="Times New Roman" w:cs="Times New Roman"/>
          <w:sz w:val="24"/>
          <w:szCs w:val="24"/>
        </w:rPr>
        <w:t>.</w:t>
      </w:r>
    </w:p>
    <w:p w14:paraId="50E25A35"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U drugom radu</w:t>
      </w:r>
      <w:r w:rsidRPr="002735B8">
        <w:rPr>
          <w:rFonts w:ascii="Times New Roman" w:hAnsi="Times New Roman" w:cs="Times New Roman"/>
          <w:sz w:val="24"/>
          <w:szCs w:val="24"/>
          <w:vertAlign w:val="superscript"/>
        </w:rPr>
        <w:footnoteReference w:id="89"/>
      </w:r>
      <w:r w:rsidRPr="002735B8">
        <w:rPr>
          <w:rFonts w:ascii="Times New Roman" w:hAnsi="Times New Roman" w:cs="Times New Roman"/>
          <w:sz w:val="24"/>
          <w:szCs w:val="24"/>
        </w:rPr>
        <w:t xml:space="preserve"> se ističe da je zbog razmjerno visokog opterećenja procjednih voda pojedinim tipovima onečišćenja uključujući i različite specifične organske spojeve, dolazilo do značajnog zagađenja podzemnih voda u blizini deponija. Dominantni oblici onečišćenja detektirani u podzemnim vodama u neposrednoj blizini deponija Jakuševec su ukupni organski ugljik, odnosno KPK, te amonij kao glavni kemijski oblik emisije dušika. Procjedne vode na </w:t>
      </w:r>
      <w:r w:rsidRPr="002735B8">
        <w:rPr>
          <w:rFonts w:ascii="Times New Roman" w:hAnsi="Times New Roman" w:cs="Times New Roman"/>
          <w:sz w:val="24"/>
          <w:szCs w:val="24"/>
        </w:rPr>
        <w:lastRenderedPageBreak/>
        <w:t>deponiju Jakuševec sadržavaju visoke koncentracije farmaceutskih spojeva. Sastav organskih zagađivala na deponiju Jakuševec upućuje na to da je ondje, uz komunalni otpad, odlagan i otpad industrijskog podrijetla koji sadržava brojne antropogene spojeve koji mogu nepovoljno utjecati na kvalitetu podzemne vode. Zaključak rada je da je sanacijom deponija spriječena, u najvećoj mjeri, infiltracija onečišćenja procjednim vodama u vodonosne slojeve. Međutim, jako onečišćeni slojevi tla koji su se nalazili neposredno ispod otpada nisu uklonjeni provedenom sanacijom te su stoga još uvijek mogući izvor onečišćenja do kojeg bi moglo doći ako bi došlo do povišenja razina podzemnih voda na kotu 107 m zbog izgradnje brane za potrebe planirane hidroelektrane Drenje.</w:t>
      </w:r>
    </w:p>
    <w:p w14:paraId="4EE49C95"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Praćenje stanja podzemne vode obavlja se na piezometrima (2 nizvodno i 1 uzvodno od odlagališta). Mjerenja obavlja Nastavni zavod za javno zdravstvo dr. Andrija Štampar i Bioinstitut d.o.o. Posljednjih nekoliko godina prisutan je trend smanjenja izmjerenih vrijednosti onečiščivaća u podzemnim vodama, kao i broj prekoračenih parametara. Zagrebački holding d.o.o. - Podružnica ZGOS na traženje raznih znanstvenih institucija, ustupa podatke o rezultatima parametara u podzemnim vodama u svrhu znanstvene obrade podataka i utvrđivanja mogućih poboljšanja u radu.</w:t>
      </w:r>
    </w:p>
    <w:p w14:paraId="4E1DBC13"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Obradom podataka o kvaliteti podzemne vode od 2002. godine do danas od strane Geotehničkog fakulteta Sveučilišta u Zagrebu utvrđeno je da se “može zaključiti da odlagalište otpada Prudinec/Jakuševec nakon sanacije znatno manje opterećuje okoliš. Sanacijom je napravljen veliki korak u zaštiti podzemnih voda grada Zagreba i okolice”. Svaka tri mjeseca provodi se mjerenje stanja površinske vode (vode u rijeci Savi), na jednom mjernom mjestu uzvodno i na jednom mjernom mjestu nizvodno od ispusta pročišćenih procjednih voda u rijeku Savu. Rezultati ispitivanja pokazuju da je kvaliteta vode u rijeci Savi istog sastava uzvodno i nizvodno od odlagališta, odnosno da odlagalište nema utjecaja na kvalitetu vode u rijeci Savi. Sukladno mjerama iz okolišne dozvole, postrojenje (podružnica ZGOS) je spojeno na sustav javne odvodnje te pročišćena procjedna voda, nakon ispuštanja u sustav javne odvodnje ide na daljnju obradu na Centralni uređaj za pročišćavanje procjednih voda Zagreb (CUPOVZ), čime se u potpunosti uklonila ugroza okoliša od procjednih voda.</w:t>
      </w:r>
      <w:r w:rsidRPr="002735B8">
        <w:t xml:space="preserve"> </w:t>
      </w:r>
      <w:r w:rsidRPr="002735B8">
        <w:rPr>
          <w:rFonts w:ascii="Times New Roman" w:hAnsi="Times New Roman" w:cs="Times New Roman"/>
          <w:sz w:val="24"/>
          <w:szCs w:val="24"/>
        </w:rPr>
        <w:t>Kvaliteta procjedne vode prati se na kontrolnom mjernom oknu prije ispusta u sustav javne odvodnje.</w:t>
      </w:r>
    </w:p>
    <w:p w14:paraId="65C4F719"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Interventni crpni sustav (ICS) je izveden kako bi se preuzela potpuna kontrola nad onečišćenjem koje je nastajalo u prošlosti u području odlagališta otpada Jakuševec. To se postiglo izvođenjem hidrauličke barijere sa četiri zdenca koja s ugrađenim crpkama kapaciteta 100 l/s mogu prihvatiti svu podzemnu vodu koja struji ispod odlagališta otpada Jakuševec te se sprječava strujanje onečišćene podzemne vode nizvodno od odlagališta. Tijekom 2018. godine ugrađena je nova crpka ICS-a te su rekonstruirani razvodni ormari ICS-a čime se omogućila frekventna regulacija rada crpki ovisno o razini podzemnih voda. Osim navedenog, pod nagomilani otpad ugrađena je nepropusna podloga.</w:t>
      </w:r>
    </w:p>
    <w:p w14:paraId="50485DE3" w14:textId="77777777" w:rsidR="002735B8" w:rsidRPr="002735B8" w:rsidRDefault="002735B8" w:rsidP="002735B8">
      <w:pPr>
        <w:spacing w:after="0" w:line="240" w:lineRule="auto"/>
        <w:ind w:left="0" w:right="0" w:firstLine="0"/>
        <w:rPr>
          <w:rFonts w:ascii="Times New Roman" w:hAnsi="Times New Roman" w:cs="Times New Roman"/>
          <w:b/>
          <w:sz w:val="24"/>
          <w:szCs w:val="24"/>
        </w:rPr>
      </w:pPr>
    </w:p>
    <w:p w14:paraId="0346A536"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Unatoč svim primijenjenim mjerama koje smanjuju vjerojatnost zagađenja podzemnih voda, pojedini stručnjaci upozoravaju da s obzirom na činjenicu kako se Jakuševec nalazi blizu vodocrpilišta Petruševec, Mala Mlaka i Velika Gorica, iz kojih se crpi više od polovice vode kojom se opskrbljuje Zagreb, a s obzirom da bi se postotak crpljenja trebao povećati jer se planiraju bušiti novi bunari u Petruševcu te otvoriti potpuno novo vodocrpilište u Kosnici, opasnost od zagađenja postoji jer kada se krene crpiti voda, dolazi do promjene smjera kretanja podzemnih voda koje se više kreču prema vodocrpilištu te se povećava brzina kretanja vode. Zbog toga postoji opasnost da se zagađena voda, koja se nalazi u zoni odlagališta, počne kretati prema nekom od vodocrpilišta i zagadi ga</w:t>
      </w:r>
      <w:r w:rsidRPr="002735B8">
        <w:rPr>
          <w:rFonts w:ascii="Times New Roman" w:hAnsi="Times New Roman" w:cs="Times New Roman"/>
          <w:sz w:val="24"/>
          <w:szCs w:val="24"/>
          <w:vertAlign w:val="superscript"/>
        </w:rPr>
        <w:footnoteReference w:id="90"/>
      </w:r>
      <w:r w:rsidRPr="002735B8">
        <w:rPr>
          <w:rFonts w:ascii="Times New Roman" w:hAnsi="Times New Roman" w:cs="Times New Roman"/>
          <w:sz w:val="24"/>
          <w:szCs w:val="24"/>
        </w:rPr>
        <w:t>.</w:t>
      </w:r>
    </w:p>
    <w:p w14:paraId="483CB0A1" w14:textId="77777777" w:rsidR="002735B8" w:rsidRPr="002735B8" w:rsidRDefault="002735B8" w:rsidP="002735B8">
      <w:pPr>
        <w:spacing w:after="0" w:line="240" w:lineRule="auto"/>
        <w:ind w:left="0" w:right="0" w:firstLine="0"/>
        <w:rPr>
          <w:rFonts w:ascii="Times New Roman" w:hAnsi="Times New Roman" w:cs="Times New Roman"/>
          <w:b/>
          <w:sz w:val="24"/>
          <w:szCs w:val="24"/>
        </w:rPr>
      </w:pPr>
    </w:p>
    <w:p w14:paraId="5B50EA2E" w14:textId="77777777" w:rsidR="002735B8" w:rsidRPr="002735B8" w:rsidRDefault="002735B8" w:rsidP="000D6A0F">
      <w:pPr>
        <w:spacing w:after="0" w:line="240" w:lineRule="auto"/>
        <w:ind w:left="0" w:right="0" w:firstLine="709"/>
        <w:rPr>
          <w:rFonts w:ascii="Times New Roman" w:hAnsi="Times New Roman" w:cs="Times New Roman"/>
          <w:sz w:val="24"/>
          <w:szCs w:val="24"/>
          <w:u w:val="single"/>
        </w:rPr>
      </w:pPr>
      <w:r w:rsidRPr="002735B8">
        <w:rPr>
          <w:rFonts w:ascii="Times New Roman" w:hAnsi="Times New Roman" w:cs="Times New Roman"/>
          <w:sz w:val="24"/>
          <w:szCs w:val="24"/>
          <w:u w:val="single"/>
        </w:rPr>
        <w:lastRenderedPageBreak/>
        <w:t>Utjecaj odlagališta otpada Jakuševec na kvalitetu zraka</w:t>
      </w:r>
    </w:p>
    <w:p w14:paraId="64EE3157" w14:textId="46309959" w:rsid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Na velikim odlagalištima komunalnog otpada stvaraju se znatne količine odlagališnog plina što može imati potencijalno velik utjecaj na kakvoću zraka.</w:t>
      </w:r>
      <w:r w:rsidRPr="002735B8">
        <w:t xml:space="preserve"> </w:t>
      </w:r>
      <w:r w:rsidRPr="002735B8">
        <w:rPr>
          <w:rFonts w:ascii="Times New Roman" w:hAnsi="Times New Roman" w:cs="Times New Roman"/>
          <w:sz w:val="24"/>
          <w:szCs w:val="24"/>
        </w:rPr>
        <w:t xml:space="preserve">Odlagališni  plin  nastaje  anaerobnim procesom  razgradnje  organskog  materijala u  tijelu  odlagališta  i  njegov  sastav  je okvirno  slijedeći:  54%  metana,  40% ugljikovog  dioksida,  4%  dušika,  1%  kisika, 1% ugljikovog monoksida, vodika i vodenih para,  ispod  0,1%  vodikovog  sulfida, amonijaka,  sumporovodika,  etana,  etena, halogeniziranih  ugljikovodika,  toluola, ksilola,  terpenugljikovodika,  vinilklorida, merkaptana,  lebdećih   čestica,  klora,  žive, parafina i teških metala.  </w:t>
      </w:r>
    </w:p>
    <w:p w14:paraId="5177C086" w14:textId="77777777" w:rsidR="00C207B1" w:rsidRPr="002735B8" w:rsidRDefault="00C207B1" w:rsidP="00C207B1">
      <w:pPr>
        <w:spacing w:after="0" w:line="240" w:lineRule="auto"/>
        <w:ind w:left="0" w:right="0" w:firstLine="709"/>
        <w:rPr>
          <w:rFonts w:ascii="Times New Roman" w:hAnsi="Times New Roman" w:cs="Times New Roman"/>
          <w:sz w:val="24"/>
          <w:szCs w:val="24"/>
        </w:rPr>
      </w:pPr>
    </w:p>
    <w:p w14:paraId="776DE8C9" w14:textId="77777777" w:rsidR="002735B8" w:rsidRPr="002735B8" w:rsidRDefault="002735B8" w:rsidP="00C207B1">
      <w:pPr>
        <w:spacing w:after="0" w:line="240" w:lineRule="auto"/>
        <w:ind w:left="0" w:right="0" w:firstLine="360"/>
        <w:rPr>
          <w:rFonts w:ascii="Times New Roman" w:hAnsi="Times New Roman" w:cs="Times New Roman"/>
          <w:sz w:val="24"/>
          <w:szCs w:val="24"/>
        </w:rPr>
      </w:pPr>
      <w:r w:rsidRPr="002735B8">
        <w:rPr>
          <w:rFonts w:ascii="Times New Roman" w:hAnsi="Times New Roman" w:cs="Times New Roman"/>
          <w:sz w:val="24"/>
          <w:szCs w:val="24"/>
        </w:rPr>
        <w:t>Negativni  utjecaji  odlagališnih  plinova  na  okoliš  su:</w:t>
      </w:r>
    </w:p>
    <w:p w14:paraId="4E88553D" w14:textId="77777777" w:rsidR="002735B8" w:rsidRPr="002735B8" w:rsidRDefault="002735B8" w:rsidP="0014113B">
      <w:pPr>
        <w:numPr>
          <w:ilvl w:val="0"/>
          <w:numId w:val="21"/>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neugodan  miris  (sumporovodici, merkaptani,  amonijak),</w:t>
      </w:r>
    </w:p>
    <w:p w14:paraId="5F3AE67E" w14:textId="77777777" w:rsidR="002735B8" w:rsidRPr="002735B8" w:rsidRDefault="002735B8" w:rsidP="0014113B">
      <w:pPr>
        <w:numPr>
          <w:ilvl w:val="0"/>
          <w:numId w:val="21"/>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 xml:space="preserve">otrovnost  (klor,  a  prilikom  gorenja  klor-oksid  i  bifenili  od  halogeniziranih ugljikovodika,  ugljični monoksid), </w:t>
      </w:r>
    </w:p>
    <w:p w14:paraId="71A947BD" w14:textId="77777777" w:rsidR="002735B8" w:rsidRPr="002735B8" w:rsidRDefault="002735B8" w:rsidP="0014113B">
      <w:pPr>
        <w:numPr>
          <w:ilvl w:val="0"/>
          <w:numId w:val="21"/>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eksplozivnost  i  zapaljivost  (metan,  vodik,  sumporovodik  i  ugljični monoksid) te</w:t>
      </w:r>
    </w:p>
    <w:p w14:paraId="063200F2" w14:textId="7A21C2AC" w:rsidR="002735B8" w:rsidRDefault="002735B8" w:rsidP="0014113B">
      <w:pPr>
        <w:numPr>
          <w:ilvl w:val="0"/>
          <w:numId w:val="21"/>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 xml:space="preserve">doprinos povećanju emisija stakleničkih plinova (ugljični dioksid, metan, dušični oksidi i fluoroklorugljik). </w:t>
      </w:r>
    </w:p>
    <w:p w14:paraId="7C363332" w14:textId="77777777" w:rsidR="00C207B1" w:rsidRPr="002735B8" w:rsidRDefault="00C207B1" w:rsidP="00C207B1">
      <w:pPr>
        <w:spacing w:after="0" w:line="240" w:lineRule="auto"/>
        <w:ind w:left="720" w:right="0" w:firstLine="0"/>
        <w:contextualSpacing/>
        <w:rPr>
          <w:rFonts w:ascii="Times New Roman" w:hAnsi="Times New Roman" w:cs="Times New Roman"/>
          <w:sz w:val="24"/>
          <w:szCs w:val="24"/>
        </w:rPr>
      </w:pPr>
    </w:p>
    <w:p w14:paraId="05F45E79"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Sumporovodik, dimetil sulfid i merkaptani su tri najčešća sulfida odgovorna za neugodne mirise odlagališta otpada. Ti plinovi proizvode vrlo jak miris pokvarenih jaja - čak i pri vrlo niskim koncentracijama. Od ova tri sulfida, sumporovodik se emitira iz odlagališta u najvećim količinama i koncentracijama. Amonijak je još jedan smrdljivi deponijski plin koji nastaje razgradnjom organske tvari na odlagalištu. Amonijak je čest u okolišu i važan spoj za održavanje biljnog i životinjskog svijeta. Ljudi su svakodnevno izloženi niskim razinama amonijaka u okolišu zbog prirodnog razlaganja stajskog gnoja i uginulih biljaka i životinja. Budući da se amonijak obično koristi kao sredstvo za čišćenje u kućanstvu, većina ljudi upoznata je s njegovim izrazitim mirisom.</w:t>
      </w:r>
    </w:p>
    <w:p w14:paraId="402A2EE5"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Ljudi su mnogo manje osjetljivi na miris amonijaka nego na mirise sulfida. Neki NMOC</w:t>
      </w:r>
      <w:r w:rsidRPr="002735B8">
        <w:rPr>
          <w:rFonts w:ascii="Times New Roman" w:hAnsi="Times New Roman" w:cs="Times New Roman"/>
          <w:sz w:val="24"/>
          <w:szCs w:val="24"/>
          <w:vertAlign w:val="superscript"/>
        </w:rPr>
        <w:footnoteReference w:id="91"/>
      </w:r>
      <w:r w:rsidRPr="002735B8">
        <w:rPr>
          <w:rFonts w:ascii="Times New Roman" w:hAnsi="Times New Roman" w:cs="Times New Roman"/>
          <w:sz w:val="24"/>
          <w:szCs w:val="24"/>
        </w:rPr>
        <w:t>, kao što su vinil klorid i ugljikovodici, također mogu uzrokovati neugodne mirise. Općenito, međutim, NMOC se emitiraju u vrlo niskim koncentracijama (u tragovima) i malo je vjerojatno da će predstavljati problem</w:t>
      </w:r>
      <w:r w:rsidRPr="002735B8">
        <w:rPr>
          <w:rFonts w:ascii="Times New Roman" w:hAnsi="Times New Roman" w:cs="Times New Roman"/>
          <w:sz w:val="24"/>
          <w:szCs w:val="24"/>
          <w:vertAlign w:val="superscript"/>
        </w:rPr>
        <w:footnoteReference w:id="92"/>
      </w:r>
      <w:r w:rsidRPr="002735B8">
        <w:rPr>
          <w:rFonts w:ascii="Times New Roman" w:hAnsi="Times New Roman" w:cs="Times New Roman"/>
          <w:sz w:val="24"/>
          <w:szCs w:val="24"/>
        </w:rPr>
        <w:t>.</w:t>
      </w:r>
    </w:p>
    <w:p w14:paraId="51E90A1D"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Širenje  neugodnih  mirisa  s  odlagališta  neopasnog  otpada  minimizira  se  dnevnim  prekrivanjem odloženog otpada inertnim zemljanim materijalom. Po  potrebi  se  provodi  smanjivanje neugodnih  mirisa  raspršivanjem  sredstava  za  smanjenje  emisije neugodnih mirisa. Osim navedenog, u svrhu sprječavanja emisija odlagališnih plinova u zrak kontinuirano se obavlja otplinjavanje tijela odlagališta.</w:t>
      </w:r>
    </w:p>
    <w:p w14:paraId="7435D75E"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50943360"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U radu</w:t>
      </w:r>
      <w:r w:rsidRPr="002735B8">
        <w:t xml:space="preserve"> </w:t>
      </w:r>
      <w:r w:rsidRPr="002735B8">
        <w:rPr>
          <w:rFonts w:ascii="Times New Roman" w:hAnsi="Times New Roman" w:cs="Times New Roman"/>
          <w:i/>
          <w:sz w:val="24"/>
          <w:szCs w:val="24"/>
        </w:rPr>
        <w:t xml:space="preserve">Vađić V. Onečišćenje zraka u području odlagališta otpada Jakuševec i u okolnim naseljima, Arh Hig Rada Tokiskol 2006;57:317-324 </w:t>
      </w:r>
      <w:r w:rsidRPr="002735B8">
        <w:rPr>
          <w:rFonts w:ascii="Times New Roman" w:hAnsi="Times New Roman" w:cs="Times New Roman"/>
          <w:sz w:val="24"/>
          <w:szCs w:val="24"/>
        </w:rPr>
        <w:t>se iznose</w:t>
      </w:r>
      <w:r w:rsidRPr="002735B8">
        <w:rPr>
          <w:rFonts w:ascii="Times New Roman" w:hAnsi="Times New Roman" w:cs="Times New Roman"/>
          <w:i/>
          <w:sz w:val="24"/>
          <w:szCs w:val="24"/>
        </w:rPr>
        <w:t xml:space="preserve"> </w:t>
      </w:r>
      <w:r w:rsidRPr="002735B8">
        <w:rPr>
          <w:rFonts w:ascii="Times New Roman" w:hAnsi="Times New Roman" w:cs="Times New Roman"/>
          <w:sz w:val="24"/>
          <w:szCs w:val="24"/>
        </w:rPr>
        <w:t xml:space="preserve">rezultati mjerenja kakvoće zraka. Prva ciljana mjerenja kakvoće zraka u zoni utjecaja odlagališta otpada Jakuševec započela su u naseljima Jakuševec i Mičevec u ljetu 1995. godine prije početka sanacijskih radova i nastavljena su do kraja 2004. godine. Rezultati mjerenja tijekom godina pokazali su znatne sezonske varijacije mjerenih onečišćenja te su koncentracije hlapljivih spojeva, osobito vodikova sulfida, merkaptana, amonijaka, žive i plinovitih fluorida bile znatno više ljeti negoli zimi. Koncentracije plinovitih klorida bile su na svim mjernim postajama, tijekom svih godina mjerenja niske i na razini I. kategorije kakvoće. Za razliku od klorida, koncentracije fluorida bile su relativno visoke i povremeno su prelazile granične vrijednosti. 2004. godine na sve tri </w:t>
      </w:r>
      <w:r w:rsidRPr="002735B8">
        <w:rPr>
          <w:rFonts w:ascii="Times New Roman" w:hAnsi="Times New Roman" w:cs="Times New Roman"/>
          <w:sz w:val="24"/>
          <w:szCs w:val="24"/>
        </w:rPr>
        <w:lastRenderedPageBreak/>
        <w:t>mjerne postaje koncentracije plinovitih fluorida su se snizile, pa je okolni zrak na tim postajama bio II. kategorije kakvoće.</w:t>
      </w:r>
    </w:p>
    <w:p w14:paraId="3837A954"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Koncentracije vodikova sulfida i merkaptana kretale su se na razinama umjerene onečišćenosti i prekomjerne onečišćenosti, odnosno II. i III. kategorije kakvoće. Tijekom sanacijskih radova na odlagalištu otpada Jakuševec okolno stanovništvo bilo je često izloženo neugodnim mirisima vodikova sulfida i merkaptana. Ukupne lebdeće čestice bile su uglavnom na razinama umjerene onečišćenosti, odnosno II. kategorije kakvoće. Koncentracije olova i kadmija u ukupnim lebdećim česticama bile su tijekom svih godina mjerenja i na svim mjernim postajama niske, a okolni je zrak s obzirom na olovo i kadmij u ukupnim lebdećim česticama bio I. kategorije kakvoće. Koncentracije žive bile su od početka mjerenja 1998. godine pa do 2003. godine na razini umjerene onečišćenosti, odnosno II. kategorije kakvoće. U 2004. godini te su se koncentracije osjetno snizile te je na sve tri mjerne postaje okolni zrak bio na razini I. kategorije kakvoće, odnosno neznatno onečišćen. Praćenje kakvoće zraka u zoni utjecaja odlagališta otpada Jakuševec na okolni zrak pokazuje da je odlagalište otpada značajno utjecalo na razine koncentracija onečišćenja u okolnom zraku. Za vrijeme sanacijskih radova na plohi odlagališta koncentracije nekih specifičnih onečišćenja u okolnom zraku su se povisile. Dominantna onečišćenja bila su vodikov sulfid, merkaptani, ukupne lebdeće čestice i plinoviti fluoridi, pa je okolno stanovništvo bilo izloženo neugodnim mirisima i česticama. </w:t>
      </w:r>
    </w:p>
    <w:p w14:paraId="0AFB268C"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Nakon što su sanacijski radovi na Jakuševcu završeni, a posebno nakon instaliranja</w:t>
      </w:r>
      <w:r w:rsidRPr="002735B8">
        <w:t xml:space="preserve"> </w:t>
      </w:r>
      <w:r w:rsidRPr="002735B8">
        <w:rPr>
          <w:rFonts w:ascii="Times New Roman" w:hAnsi="Times New Roman" w:cs="Times New Roman"/>
          <w:sz w:val="24"/>
          <w:szCs w:val="24"/>
        </w:rPr>
        <w:t>plinskog postrojenja zajedno sa plinskom mrežom u tijelu odlagališta koji čine aktivni sustav otplinjavanja, došlo je do pada razine onečišćenja, iako ono i dalje postoji u manjoj mjeri. Mjerenja  kvalitete  zraka  na  lokaciji  odlagališta  otpada  Jakuševec  provode  se  na  mjernoj  postaji  postavljenoj u  naselju  Jakuševec.  Mjere se koncentracije parametara specifičnih  za okruženje odlagališta otpada, te neki opće prisutni polutanti. 2011. godine dnevna granična vrijednost za merkaptane niti jednom nije prekoračena za razliku od srednje godišnje granične vrijednosti. Mjerenjem je ustanovljeno da je došlo do prekoračenja dnevnih graničnih vrijednosti jedan put za dušikov dioksid, no temeljem srednje godišnje vrijednosti može se zaključiti da je zrak obzirom na ovaj parametar praćenja bio I kategorije. Za lebdeće čestice PM10, granična dnevna vrijednost je tijekom 2011. g. bila prekoračena jedanaest puta, a tolerantna dnevna vrijednost devet puta. Izmjerena srednja godišnja vrijednost je 20,59 µg/m3. Obzirom na ovaj parametar praćenja, za promatrani period mjerenja zrak je bio I kategorije</w:t>
      </w:r>
      <w:r w:rsidRPr="002735B8">
        <w:rPr>
          <w:rFonts w:ascii="Times New Roman" w:hAnsi="Times New Roman" w:cs="Times New Roman"/>
          <w:sz w:val="24"/>
          <w:szCs w:val="24"/>
          <w:vertAlign w:val="superscript"/>
        </w:rPr>
        <w:footnoteReference w:id="93"/>
      </w:r>
      <w:r w:rsidRPr="002735B8">
        <w:rPr>
          <w:rFonts w:ascii="Times New Roman" w:hAnsi="Times New Roman" w:cs="Times New Roman"/>
          <w:sz w:val="24"/>
          <w:szCs w:val="24"/>
        </w:rPr>
        <w:t xml:space="preserve">. Najnoviji podaci </w:t>
      </w:r>
      <w:r w:rsidRPr="002735B8">
        <w:rPr>
          <w:rFonts w:ascii="Times New Roman" w:hAnsi="Times New Roman" w:cs="Times New Roman"/>
          <w:sz w:val="24"/>
          <w:szCs w:val="24"/>
          <w:vertAlign w:val="superscript"/>
        </w:rPr>
        <w:footnoteReference w:id="94"/>
      </w:r>
      <w:r w:rsidRPr="002735B8">
        <w:rPr>
          <w:rFonts w:ascii="Times New Roman" w:hAnsi="Times New Roman" w:cs="Times New Roman"/>
          <w:sz w:val="24"/>
          <w:szCs w:val="24"/>
        </w:rPr>
        <w:t xml:space="preserve"> pokazuju da su tijekom 2021. godine koncentracije sumporovodika (H</w:t>
      </w:r>
      <w:r w:rsidRPr="002735B8">
        <w:rPr>
          <w:rFonts w:ascii="Times New Roman" w:hAnsi="Times New Roman" w:cs="Times New Roman"/>
          <w:sz w:val="24"/>
          <w:szCs w:val="24"/>
          <w:vertAlign w:val="subscript"/>
        </w:rPr>
        <w:t>2</w:t>
      </w:r>
      <w:r w:rsidRPr="002735B8">
        <w:rPr>
          <w:rFonts w:ascii="Times New Roman" w:hAnsi="Times New Roman" w:cs="Times New Roman"/>
          <w:sz w:val="24"/>
          <w:szCs w:val="24"/>
        </w:rPr>
        <w:t>S) prekoračile graničnu vrijednost 148 puta za satno vrijeme usrednjavanja, dok su za 24-satrno vrijeme usrednjavanja prekoračile graničnu vrijednost 3 puta. Koncentracije amonijaka (NH</w:t>
      </w:r>
      <w:r w:rsidRPr="002735B8">
        <w:rPr>
          <w:rFonts w:ascii="Times New Roman" w:hAnsi="Times New Roman" w:cs="Times New Roman"/>
          <w:sz w:val="24"/>
          <w:szCs w:val="24"/>
          <w:vertAlign w:val="subscript"/>
        </w:rPr>
        <w:t>3</w:t>
      </w:r>
      <w:r w:rsidRPr="002735B8">
        <w:rPr>
          <w:rFonts w:ascii="Times New Roman" w:hAnsi="Times New Roman" w:cs="Times New Roman"/>
          <w:sz w:val="24"/>
          <w:szCs w:val="24"/>
        </w:rPr>
        <w:t>) za 24-satno vrijeme usrednjavanja nisu prekoračile niti jednom graničnu vrijednost. Kao mjera za smanjenje negativnih utjecaja odlagališta na kvalitetu zraka u okolici odlagališta (u svrhu sprječavanja širenja neugodnih mirisa) u 2016. godini započet je projekt “cover-up”. Projekt se sastoji od postavljanja membrana (umjetnih materijala).</w:t>
      </w:r>
    </w:p>
    <w:p w14:paraId="60027A89" w14:textId="77777777" w:rsidR="002735B8" w:rsidRPr="002735B8" w:rsidRDefault="002735B8" w:rsidP="002735B8">
      <w:pPr>
        <w:spacing w:after="0" w:line="240" w:lineRule="auto"/>
        <w:ind w:left="0" w:right="0" w:firstLine="0"/>
        <w:rPr>
          <w:rFonts w:ascii="Times New Roman" w:hAnsi="Times New Roman" w:cs="Times New Roman"/>
          <w:b/>
          <w:sz w:val="24"/>
          <w:szCs w:val="24"/>
        </w:rPr>
      </w:pPr>
    </w:p>
    <w:p w14:paraId="5A23C404" w14:textId="77777777" w:rsidR="002735B8" w:rsidRPr="002735B8" w:rsidRDefault="002735B8" w:rsidP="00C70C9F">
      <w:pPr>
        <w:spacing w:after="0" w:line="240" w:lineRule="auto"/>
        <w:ind w:left="0" w:right="0" w:firstLine="709"/>
        <w:rPr>
          <w:rFonts w:ascii="Times New Roman" w:hAnsi="Times New Roman" w:cs="Times New Roman"/>
          <w:sz w:val="24"/>
          <w:szCs w:val="24"/>
          <w:u w:val="single"/>
        </w:rPr>
      </w:pPr>
      <w:r w:rsidRPr="002735B8">
        <w:rPr>
          <w:rFonts w:ascii="Times New Roman" w:hAnsi="Times New Roman" w:cs="Times New Roman"/>
          <w:sz w:val="24"/>
          <w:szCs w:val="24"/>
          <w:u w:val="single"/>
        </w:rPr>
        <w:t>Odlagališni plin</w:t>
      </w:r>
    </w:p>
    <w:p w14:paraId="5B175469"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Razgradnja organskog dijela odloženog otpada praćena je stvaranjem plinova. Na svim odlagalištima otpada koje sadrže biorazgradive organske tvari nastaje bioplin ili deponijski plin. Opasnosti od nekontroliranog izlaženja bioplina iz odlagališta su smrad, vatra, otrovi i eksplozije. Zato je potrebno da se bioplin kontrolirano prihvati, obradi i po mogućnosti iskoristi. To se postiže ugradnjom sustava za otplinjavanje.</w:t>
      </w:r>
    </w:p>
    <w:p w14:paraId="21D5F2DF"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lastRenderedPageBreak/>
        <w:t>Sastavni dio miješanog komunalnog otpada je organska biorazgradiva frakcija u udjelu od cca 30-50 %. Njenim raspadom nastaje odlagališni plin čiji se sastav može prikazati kroz sljedeće volumne udjele glavnih sastojaka: metan (45-60 %), ugljikov dioksid (40-60%), dušik (2-5 %), kisik (0,1-1,0 %), amonijak (0,1-1,0%) i vodik (0-0,2 %). Volumno, najzastupljenija plinska komponenta u odlagališnom plinu, metan, sa zrakom čini eksplozivnu i zapaljivu smjesu. Granice eksplozivnosti su 5,3 i 14,9 vol.%, što znači da do izgaranja metana u smjesi sa zrakom i do eksplozije neće doći ako je njegova koncentracija niža od 5,3 i viša od 14,9 vol.%. U svim ostalim slučajevima nastala plinska smjesa ima točku zapaljenja na oko 540 °C. Kako je metan lakši od zraka, moguća je njegova migracija na mjestu odlagališta ali i oko odlagališta, na prostoru gdje se nalaze odgovarajuće građevine u funkciji prihvata, obrade i odlaganja otpada, što ovisi o lokalnim prilikama i meteorološko-klimatskim uvjetima. Također, procjeđivanjem oborinskih voda kroz odloženi otpad, postoji mogućnost zaostajanja odlagališnih plinova tj. metana, u sustavima odvodnje kao što su cjevovodi, šahtovi, separatori itd.</w:t>
      </w:r>
    </w:p>
    <w:p w14:paraId="660AB44E"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Nastajanje odlagališnog plina traje i 20 godina nakon zatvaranja uređenih odlagališta neobrađenog komunalnog otpada kao i proizvodnog otpada, koji sadrži lagano biorazgradive dijelove. Generiranje odlagališnog plina započinje već nakon nekoliko mjeseci od početka odlaganja otpada. U cilju smanjivanja rizika nužno je, od samog početka odlaganja otpada i zatim trajno najmanje dvadeset godina nakon svršetka odlaganja, odlagalište otplinjavati, a plin sakupljati te prema mogućnostima iskorištavati i/ili obraditi. Naročito je važno stalno nadzirati stanje odlagališnog plina na i u okolici odlagališta. Izgradnjom usklađenih (uređenih) odlagališta sa sustavom sakupljanja, nadziranja i oporabe odlagališnog plina rizici od odlagališnog plina se smanjuju ali ne i potpuno otklanjaju</w:t>
      </w:r>
      <w:r w:rsidRPr="002735B8">
        <w:rPr>
          <w:rFonts w:ascii="Times New Roman" w:hAnsi="Times New Roman" w:cs="Times New Roman"/>
          <w:sz w:val="24"/>
          <w:szCs w:val="24"/>
          <w:vertAlign w:val="superscript"/>
        </w:rPr>
        <w:footnoteReference w:id="95"/>
      </w:r>
      <w:r w:rsidRPr="002735B8">
        <w:rPr>
          <w:rFonts w:ascii="Times New Roman" w:hAnsi="Times New Roman" w:cs="Times New Roman"/>
          <w:sz w:val="24"/>
          <w:szCs w:val="24"/>
        </w:rPr>
        <w:t>.  Zbog metoda koje se obično koriste za odlaganje, kompaktiranje i pokrivanje otpada na odlagalištima, razgradnja otpada je uglavnom anaerobna, što rezultira proizvodnjom velikih količina metana i ugljičnog dioksida. Odlagališta otpada najveći su izvor emisije metana - 1999. godine 35 posto emisija metana u Sjedinjenim Državama bilo je iz odlagališta otpada. Metan je vrlo zapaljiv i igra veliku ulogu u nastajanju požara na odlagalištima otpada</w:t>
      </w:r>
      <w:r w:rsidRPr="002735B8">
        <w:rPr>
          <w:rFonts w:ascii="Times New Roman" w:hAnsi="Times New Roman" w:cs="Times New Roman"/>
          <w:sz w:val="24"/>
          <w:szCs w:val="24"/>
          <w:vertAlign w:val="superscript"/>
        </w:rPr>
        <w:footnoteReference w:id="96"/>
      </w:r>
      <w:r w:rsidRPr="002735B8">
        <w:rPr>
          <w:rFonts w:ascii="Times New Roman" w:hAnsi="Times New Roman" w:cs="Times New Roman"/>
          <w:sz w:val="24"/>
          <w:szCs w:val="24"/>
        </w:rPr>
        <w:t>.</w:t>
      </w:r>
    </w:p>
    <w:p w14:paraId="6ABEEF42"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Plinsko postrojenje zajedno sa plinskom mrežom u tijelu odlagališta čine aktivni sustav otplinjavanja uređenog odlagališta otpada Jakuševec. Primarna zadaća aktivnog sustava otplinjavanja uređenog odlagališta otpada je kontinuirano 24-satno prikupljanje i termička obrada nastalog odlagališnog plina u cilju sigurnosti na odlagalištu za ljude i strojeve koji na njemu rade, te za ljude koji žive u neposrednoj blizini, zatim zaštita okoliša i zaštita od požara, a sekundarna zadaća je njegovo energetsko iskorištavanje za proizvodnju električne energije iz obnovljivog izvora energije.</w:t>
      </w:r>
    </w:p>
    <w:p w14:paraId="6A522E2A"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Plinska mreža ima funkciju kontinuiranog prikupljanja nastalog odlagališnog plina iz tijela odlagališta-ugrađenog otpada i njegov transport do plinskog postrojenja, a trenutno se sastoji od: 137 trajna plinska zdenca s kontrolnim regulacionim ventilima, na završenim plohama,</w:t>
      </w:r>
    </w:p>
    <w:p w14:paraId="6DC1ED60"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oko 9,8 km mreže plinovoda s odvajačima kondenzata, sabirnih kondenznih šahtova i jama,</w:t>
      </w:r>
    </w:p>
    <w:p w14:paraId="43BC8033"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5 plinskih linija privremenog otplinjavanja, na radnim plohama 6/1 i 6/2 na kojima se obavlja dnevno odlaganje otpada.</w:t>
      </w:r>
    </w:p>
    <w:p w14:paraId="318EF5FA"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547F3C4E"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Plinsko postrojenje čine:</w:t>
      </w:r>
    </w:p>
    <w:p w14:paraId="303956ED" w14:textId="77777777" w:rsidR="002735B8" w:rsidRPr="002735B8" w:rsidRDefault="002735B8" w:rsidP="0014113B">
      <w:pPr>
        <w:numPr>
          <w:ilvl w:val="0"/>
          <w:numId w:val="22"/>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mTEO – mali Termoenergetski objekt (mE Jakuševec 1) koji se sastoji od: tri visokotemperaturne baklje s kompresorima, tri plinska motora s generatorima kapaciteta 525 (m</w:t>
      </w:r>
      <w:r w:rsidRPr="002735B8">
        <w:rPr>
          <w:rFonts w:ascii="Times New Roman" w:hAnsi="Times New Roman" w:cs="Times New Roman"/>
          <w:sz w:val="24"/>
          <w:szCs w:val="24"/>
          <w:vertAlign w:val="superscript"/>
        </w:rPr>
        <w:t>3</w:t>
      </w:r>
      <w:r w:rsidRPr="002735B8">
        <w:rPr>
          <w:rFonts w:ascii="Times New Roman" w:hAnsi="Times New Roman" w:cs="Times New Roman"/>
          <w:sz w:val="24"/>
          <w:szCs w:val="24"/>
        </w:rPr>
        <w:t xml:space="preserve"> plina/h/motoru) i tri generatora ukupne električne snage 3 MW i</w:t>
      </w:r>
    </w:p>
    <w:p w14:paraId="22C88CBA" w14:textId="7411A677" w:rsidR="002735B8" w:rsidRPr="002735B8" w:rsidRDefault="002735B8" w:rsidP="0014113B">
      <w:pPr>
        <w:numPr>
          <w:ilvl w:val="0"/>
          <w:numId w:val="22"/>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lastRenderedPageBreak/>
        <w:t>mE Jakuševec 2 koji se sastoji od jednog plinskog motora s generatorom kapaciteta 555 (m</w:t>
      </w:r>
      <w:r w:rsidRPr="002735B8">
        <w:rPr>
          <w:rFonts w:ascii="Times New Roman" w:hAnsi="Times New Roman" w:cs="Times New Roman"/>
          <w:sz w:val="24"/>
          <w:szCs w:val="24"/>
          <w:vertAlign w:val="superscript"/>
        </w:rPr>
        <w:t>3</w:t>
      </w:r>
      <w:r w:rsidRPr="002735B8">
        <w:rPr>
          <w:rFonts w:ascii="Times New Roman" w:hAnsi="Times New Roman" w:cs="Times New Roman"/>
          <w:sz w:val="24"/>
          <w:szCs w:val="24"/>
        </w:rPr>
        <w:t xml:space="preserve"> plina/h) i jednog generatora ukupne električne snage</w:t>
      </w:r>
      <w:r w:rsidR="00ED2C13">
        <w:rPr>
          <w:rFonts w:ascii="Times New Roman" w:hAnsi="Times New Roman" w:cs="Times New Roman"/>
          <w:sz w:val="24"/>
          <w:szCs w:val="24"/>
        </w:rPr>
        <w:t xml:space="preserve"> 1,2 MW.</w:t>
      </w:r>
    </w:p>
    <w:p w14:paraId="02CB921E" w14:textId="77777777" w:rsidR="002735B8" w:rsidRPr="002735B8" w:rsidRDefault="002735B8" w:rsidP="002735B8">
      <w:pPr>
        <w:spacing w:after="0" w:line="240" w:lineRule="auto"/>
        <w:ind w:left="0" w:right="0" w:firstLine="0"/>
        <w:rPr>
          <w:rFonts w:ascii="Times New Roman" w:hAnsi="Times New Roman" w:cs="Times New Roman"/>
          <w:b/>
          <w:sz w:val="24"/>
          <w:szCs w:val="24"/>
        </w:rPr>
      </w:pPr>
    </w:p>
    <w:p w14:paraId="56B13481" w14:textId="77777777" w:rsidR="002735B8" w:rsidRPr="002735B8" w:rsidRDefault="002735B8" w:rsidP="00C5768E">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Količina prikupljanja odlagališnog plina iznosi oko 2.000 m</w:t>
      </w:r>
      <w:r w:rsidRPr="002735B8">
        <w:rPr>
          <w:rFonts w:ascii="Times New Roman" w:hAnsi="Times New Roman" w:cs="Times New Roman"/>
          <w:sz w:val="24"/>
          <w:szCs w:val="24"/>
          <w:vertAlign w:val="superscript"/>
        </w:rPr>
        <w:t>3</w:t>
      </w:r>
      <w:r w:rsidRPr="002735B8">
        <w:rPr>
          <w:rFonts w:ascii="Times New Roman" w:hAnsi="Times New Roman" w:cs="Times New Roman"/>
          <w:sz w:val="24"/>
          <w:szCs w:val="24"/>
        </w:rPr>
        <w:t>/h, a udio metana (CH</w:t>
      </w:r>
      <w:r w:rsidRPr="002735B8">
        <w:rPr>
          <w:rFonts w:ascii="Times New Roman" w:hAnsi="Times New Roman" w:cs="Times New Roman"/>
          <w:sz w:val="24"/>
          <w:szCs w:val="24"/>
          <w:vertAlign w:val="subscript"/>
        </w:rPr>
        <w:t>4</w:t>
      </w:r>
      <w:r w:rsidRPr="002735B8">
        <w:rPr>
          <w:rFonts w:ascii="Times New Roman" w:hAnsi="Times New Roman" w:cs="Times New Roman"/>
          <w:sz w:val="24"/>
          <w:szCs w:val="24"/>
        </w:rPr>
        <w:t>) iznosi oko 55 %. 2018. i 2019. godine izvršena je modernizacija plinskog postrojenja. Sustav čišćenja odlagališnog plina čine jedinica za odvlaživanje- izdvajanje kondenzata i jedinica s aktivnim ugljenom za čišćenje plina i eliminiranje silicijevih spojeva i silikata štetnih za rad plinskih motora. Sustav čišćenja zraka za izgaranje i ventilaciju čini nadograđeni sustav filtera za svaki plinski motor-generator u cilju eliminiranja čestica prašine u zraku za izgaranje i ventilaciju motor-generatorskog prostora, a time se povećava vrijeme rada i smanjenje obima i troškova održavanja plinskih motor-generatora.</w:t>
      </w:r>
    </w:p>
    <w:p w14:paraId="67382E20" w14:textId="77777777" w:rsidR="002735B8" w:rsidRPr="002735B8" w:rsidRDefault="002735B8" w:rsidP="002735B8">
      <w:pPr>
        <w:spacing w:after="0" w:line="240" w:lineRule="auto"/>
        <w:ind w:left="0" w:right="0" w:firstLine="0"/>
        <w:rPr>
          <w:rFonts w:ascii="Times New Roman" w:hAnsi="Times New Roman" w:cs="Times New Roman"/>
          <w:b/>
          <w:sz w:val="24"/>
          <w:szCs w:val="24"/>
        </w:rPr>
      </w:pPr>
    </w:p>
    <w:p w14:paraId="714E7CBB" w14:textId="77777777" w:rsidR="002735B8" w:rsidRPr="002735B8" w:rsidRDefault="002735B8" w:rsidP="000D6A0F">
      <w:pPr>
        <w:spacing w:after="0" w:line="240" w:lineRule="auto"/>
        <w:ind w:left="0" w:right="0" w:firstLine="709"/>
        <w:rPr>
          <w:rFonts w:ascii="Times New Roman" w:hAnsi="Times New Roman" w:cs="Times New Roman"/>
          <w:b/>
          <w:sz w:val="24"/>
          <w:szCs w:val="24"/>
        </w:rPr>
      </w:pPr>
      <w:r w:rsidRPr="002735B8">
        <w:rPr>
          <w:rFonts w:ascii="Times New Roman" w:hAnsi="Times New Roman" w:cs="Times New Roman"/>
          <w:b/>
          <w:sz w:val="24"/>
          <w:szCs w:val="24"/>
        </w:rPr>
        <w:t>6.7.4. Uzrok</w:t>
      </w:r>
    </w:p>
    <w:p w14:paraId="78C9DFE9" w14:textId="75EE6271" w:rsidR="002735B8" w:rsidRPr="002735B8" w:rsidRDefault="002735B8" w:rsidP="000D6A0F">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Moguće nesreće na odlagalištu otpada Jakuševec su:</w:t>
      </w:r>
    </w:p>
    <w:p w14:paraId="739FD6C4"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55FF1769"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1. Klizanje plohe odlagališta:</w:t>
      </w:r>
    </w:p>
    <w:p w14:paraId="3631FAE0" w14:textId="77777777" w:rsidR="002735B8" w:rsidRPr="002735B8" w:rsidRDefault="002735B8" w:rsidP="0014113B">
      <w:pPr>
        <w:numPr>
          <w:ilvl w:val="0"/>
          <w:numId w:val="23"/>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uslijed prodora veće količine vode u tijelo odlagališta primjerice puknućem gornjeg brtvenog sloja;</w:t>
      </w:r>
    </w:p>
    <w:p w14:paraId="36723426" w14:textId="77777777" w:rsidR="002735B8" w:rsidRPr="002735B8" w:rsidRDefault="002735B8" w:rsidP="0014113B">
      <w:pPr>
        <w:numPr>
          <w:ilvl w:val="0"/>
          <w:numId w:val="23"/>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uslijed zadržavanja velike količine vode u tijelu odlagališta</w:t>
      </w:r>
    </w:p>
    <w:p w14:paraId="5647684D" w14:textId="77777777" w:rsidR="002735B8" w:rsidRPr="002735B8" w:rsidRDefault="002735B8" w:rsidP="002735B8">
      <w:pPr>
        <w:spacing w:after="0" w:line="240" w:lineRule="auto"/>
        <w:ind w:left="720" w:right="0" w:firstLine="0"/>
        <w:contextualSpacing/>
        <w:rPr>
          <w:rFonts w:ascii="Times New Roman" w:hAnsi="Times New Roman" w:cs="Times New Roman"/>
          <w:sz w:val="24"/>
          <w:szCs w:val="24"/>
        </w:rPr>
      </w:pPr>
    </w:p>
    <w:p w14:paraId="0C792B4A"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2. Požar: nastanak nadzemnog ili dubinskog požara od različitih uzroka poput:</w:t>
      </w:r>
    </w:p>
    <w:p w14:paraId="1F7E7D24" w14:textId="77777777" w:rsidR="002735B8" w:rsidRPr="002735B8" w:rsidRDefault="002735B8" w:rsidP="0014113B">
      <w:pPr>
        <w:numPr>
          <w:ilvl w:val="0"/>
          <w:numId w:val="24"/>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zapaljenja i samozapaljenja odloženog otpada</w:t>
      </w:r>
    </w:p>
    <w:p w14:paraId="52939DF3" w14:textId="77777777" w:rsidR="002735B8" w:rsidRPr="002735B8" w:rsidRDefault="002735B8" w:rsidP="0014113B">
      <w:pPr>
        <w:numPr>
          <w:ilvl w:val="0"/>
          <w:numId w:val="24"/>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zapaljenja otvorenog površinskog sloja otpada</w:t>
      </w:r>
    </w:p>
    <w:p w14:paraId="041F653F" w14:textId="77777777" w:rsidR="002735B8" w:rsidRPr="002735B8" w:rsidRDefault="002735B8" w:rsidP="0014113B">
      <w:pPr>
        <w:numPr>
          <w:ilvl w:val="0"/>
          <w:numId w:val="24"/>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dovoza tinjajućeg otpada,</w:t>
      </w:r>
    </w:p>
    <w:p w14:paraId="437BDFED" w14:textId="77777777" w:rsidR="002735B8" w:rsidRPr="002735B8" w:rsidRDefault="002735B8" w:rsidP="0014113B">
      <w:pPr>
        <w:numPr>
          <w:ilvl w:val="0"/>
          <w:numId w:val="24"/>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zapaljenja suhe trave i niskog raslinja na obodnim dijelovima odlagališta,</w:t>
      </w:r>
    </w:p>
    <w:p w14:paraId="024A703A" w14:textId="77777777" w:rsidR="002735B8" w:rsidRPr="002735B8" w:rsidRDefault="002735B8" w:rsidP="0014113B">
      <w:pPr>
        <w:numPr>
          <w:ilvl w:val="0"/>
          <w:numId w:val="24"/>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zapaljenja odlagališnog plina (na plinskim zdencima, mogući propusti na sustavu otplinjavanja itd.),</w:t>
      </w:r>
    </w:p>
    <w:p w14:paraId="7CC00E79" w14:textId="77777777" w:rsidR="002735B8" w:rsidRPr="002735B8" w:rsidRDefault="002735B8" w:rsidP="0014113B">
      <w:pPr>
        <w:numPr>
          <w:ilvl w:val="0"/>
          <w:numId w:val="24"/>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zapaljenja diesel goriva u sklopu agregata,</w:t>
      </w:r>
    </w:p>
    <w:p w14:paraId="6EF83B02" w14:textId="77777777" w:rsidR="002735B8" w:rsidRPr="002735B8" w:rsidRDefault="002735B8" w:rsidP="0014113B">
      <w:pPr>
        <w:numPr>
          <w:ilvl w:val="0"/>
          <w:numId w:val="24"/>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zapaljenja na elektroinstalacijama elektromotornog pogona agregata</w:t>
      </w:r>
    </w:p>
    <w:p w14:paraId="43FCA0A8" w14:textId="77777777" w:rsidR="002735B8" w:rsidRPr="002735B8" w:rsidRDefault="002735B8" w:rsidP="0014113B">
      <w:pPr>
        <w:numPr>
          <w:ilvl w:val="0"/>
          <w:numId w:val="24"/>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pušenja, paljenja vatre i korištenja otvorenog plamena u bilo kojem obliku od strane neodgovornih zaposlenika, izvođača radova odnosno drugih nepozvanih osoba,</w:t>
      </w:r>
    </w:p>
    <w:p w14:paraId="4DAC1A48" w14:textId="77777777" w:rsidR="002735B8" w:rsidRPr="002735B8" w:rsidRDefault="002735B8" w:rsidP="0014113B">
      <w:pPr>
        <w:numPr>
          <w:ilvl w:val="0"/>
          <w:numId w:val="24"/>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zapaljenja pogonskih dijelova kamiona i strojeva</w:t>
      </w:r>
    </w:p>
    <w:p w14:paraId="5E792069" w14:textId="77777777" w:rsidR="002735B8" w:rsidRPr="002735B8" w:rsidRDefault="002735B8" w:rsidP="0014113B">
      <w:pPr>
        <w:numPr>
          <w:ilvl w:val="0"/>
          <w:numId w:val="24"/>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zapaljenja goriva prilikom punjenja spremnika vozila i strojeva,</w:t>
      </w:r>
    </w:p>
    <w:p w14:paraId="67DD3755" w14:textId="77777777" w:rsidR="002735B8" w:rsidRPr="002735B8" w:rsidRDefault="002735B8" w:rsidP="0014113B">
      <w:pPr>
        <w:numPr>
          <w:ilvl w:val="0"/>
          <w:numId w:val="24"/>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zapaljenja elektroinstalacija u objektima odlagališta– kontejnerima</w:t>
      </w:r>
    </w:p>
    <w:p w14:paraId="2CA093E4"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27566DC4"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3. Eksplozija: pojava eksplozivne koncentracije odlagališnog plina u bilo kojem dijelu tijela odlagališta iz sljedećih razloga:</w:t>
      </w:r>
    </w:p>
    <w:p w14:paraId="39BDCD2C" w14:textId="77777777" w:rsidR="002735B8" w:rsidRPr="002735B8" w:rsidRDefault="002735B8" w:rsidP="0014113B">
      <w:pPr>
        <w:numPr>
          <w:ilvl w:val="0"/>
          <w:numId w:val="25"/>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zbog vrsta i karakteristika zapaljivih i drugih opasnih tvari koje se mogu naći u tijelu otpada, odnosno koje se koriste u procesu rada,</w:t>
      </w:r>
    </w:p>
    <w:p w14:paraId="4174EA13" w14:textId="77777777" w:rsidR="002735B8" w:rsidRPr="002735B8" w:rsidRDefault="002735B8" w:rsidP="0014113B">
      <w:pPr>
        <w:numPr>
          <w:ilvl w:val="0"/>
          <w:numId w:val="25"/>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zbog postupka rada, stanja instalacija, opreme i uređaja,</w:t>
      </w:r>
    </w:p>
    <w:p w14:paraId="3D44B39E" w14:textId="77777777" w:rsidR="002735B8" w:rsidRPr="002735B8" w:rsidRDefault="002735B8" w:rsidP="0014113B">
      <w:pPr>
        <w:numPr>
          <w:ilvl w:val="0"/>
          <w:numId w:val="25"/>
        </w:numPr>
        <w:spacing w:after="0" w:line="240" w:lineRule="auto"/>
        <w:ind w:right="0"/>
        <w:contextualSpacing/>
        <w:rPr>
          <w:rFonts w:ascii="Times New Roman" w:hAnsi="Times New Roman" w:cs="Times New Roman"/>
          <w:sz w:val="24"/>
          <w:szCs w:val="24"/>
        </w:rPr>
      </w:pPr>
      <w:r w:rsidRPr="002735B8">
        <w:rPr>
          <w:rFonts w:ascii="Times New Roman" w:hAnsi="Times New Roman" w:cs="Times New Roman"/>
          <w:sz w:val="24"/>
          <w:szCs w:val="24"/>
        </w:rPr>
        <w:t>eksplozija plina u kontrolnim oknima procjednih voda, u komori precrpne stanice procjednih voda, u plinskim zdencima i eksplozija plina koji bi izašao iz tijela odloženog otpada.</w:t>
      </w:r>
    </w:p>
    <w:p w14:paraId="0FAB90A3" w14:textId="77777777" w:rsidR="002735B8" w:rsidRPr="002735B8" w:rsidRDefault="002735B8" w:rsidP="002735B8">
      <w:pPr>
        <w:spacing w:after="0" w:line="240" w:lineRule="auto"/>
        <w:ind w:left="0" w:right="0" w:firstLine="0"/>
      </w:pPr>
    </w:p>
    <w:p w14:paraId="43D887B2"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 xml:space="preserve">Požar velikih razmjera nastao uslijed eksplozije ili paljenja plina odnosno otpada može dovesti do širenja velike količine otrovnih plinova u atmosferu. </w:t>
      </w:r>
    </w:p>
    <w:p w14:paraId="64DA8045"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2D77B148" w14:textId="77777777" w:rsidR="002735B8" w:rsidRPr="002735B8" w:rsidRDefault="002735B8" w:rsidP="00C70C9F">
      <w:pPr>
        <w:spacing w:after="0" w:line="240" w:lineRule="auto"/>
        <w:ind w:left="0" w:right="0" w:firstLine="709"/>
        <w:rPr>
          <w:rFonts w:ascii="Times New Roman" w:hAnsi="Times New Roman" w:cs="Times New Roman"/>
          <w:sz w:val="24"/>
          <w:szCs w:val="24"/>
          <w:u w:val="single"/>
        </w:rPr>
      </w:pPr>
      <w:r w:rsidRPr="002735B8">
        <w:rPr>
          <w:rFonts w:ascii="Times New Roman" w:hAnsi="Times New Roman" w:cs="Times New Roman"/>
          <w:sz w:val="24"/>
          <w:szCs w:val="24"/>
          <w:u w:val="single"/>
        </w:rPr>
        <w:t>Analize mogućih scenarija i odabir inicijalnog događaja</w:t>
      </w:r>
    </w:p>
    <w:p w14:paraId="12E1CC7D"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lastRenderedPageBreak/>
        <w:t xml:space="preserve">Na odlagalištu otpada može doći do požara, eksplozija uslijed sakupljanja metana, onečišćenja okolnog tla i podzemnih voda te do širenja neugodnih i štetnih mirisa. Od skupa mogućih događaja potrebno je izdvojiti onaj najvećih posljedica, ma koliko bila mala vjerojatnost nastanka. Ipak, posljedice moraju biti što realnije opisane na temelju dosadašnjih iskustava (studija slučaja) i znanstvenih spoznaja. </w:t>
      </w:r>
    </w:p>
    <w:p w14:paraId="595D48F3"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Nekontroliranim i dugotrajnim izlijevanjem procjednih voda iz tijela odlagališta na okolno područje svakako će doći do zagađenja rijeke Save i zagađenja vodocrpilišta koja će se u tom slučaju morati zatvoriti. </w:t>
      </w:r>
      <w:r w:rsidRPr="002735B8">
        <w:rPr>
          <w:rFonts w:ascii="Times New Roman" w:hAnsi="Times New Roman" w:cs="Times New Roman"/>
          <w:color w:val="auto"/>
          <w:sz w:val="24"/>
          <w:szCs w:val="24"/>
        </w:rPr>
        <w:t xml:space="preserve">Navedeni događaj prouzročio bi dugoročnu ekološku štetu a </w:t>
      </w:r>
      <w:r w:rsidRPr="002735B8">
        <w:rPr>
          <w:rFonts w:ascii="Times New Roman" w:hAnsi="Times New Roman" w:cs="Times New Roman"/>
          <w:sz w:val="24"/>
          <w:szCs w:val="24"/>
        </w:rPr>
        <w:t xml:space="preserve">mogao bi dovesti i do problema sa vodoopskrbom na području Grada Zagreba. U slučaju nastanka požara većih razmjera, posebno dubinskog požara, izgledna je kemijska i biološka opasnost zbog udisanja kontaminiranog dima od strane građana, ali i vatrogasaca i pripadnika ostalih službi uključenih u odgovor. Eksplozijom odlagališnog plina moglo bi doći do dubinskih požara (koji su jako teški za gašenje), ali i ozljeđivanja i smrti ljudi uslijed udarnog vala koji bi mogao prouzročiti rušenje objekata i urušavanje dijela tijela odlagališta. Iz navedene analize vidljivo je da je eksplozija odlagališnog plina a zatim i zapaljenje, najgora moguća situacija koja se može dogoditi na odlagalištu otpada, i da bi taj događaj predstavljao ugrozu stanovništva na više načina - inicijalnim događajem (eksplozijom) i posljedicama dugotrajnog gorenja odlagališta otpada. </w:t>
      </w:r>
    </w:p>
    <w:p w14:paraId="6AC46A51"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0C2F8FAD" w14:textId="77777777" w:rsidR="002735B8" w:rsidRPr="002735B8" w:rsidRDefault="002735B8" w:rsidP="00C70C9F">
      <w:pPr>
        <w:spacing w:after="0" w:line="240" w:lineRule="auto"/>
        <w:ind w:left="0" w:right="0" w:firstLine="709"/>
        <w:rPr>
          <w:rFonts w:ascii="Times New Roman" w:hAnsi="Times New Roman" w:cs="Times New Roman"/>
          <w:sz w:val="24"/>
          <w:szCs w:val="24"/>
          <w:u w:val="single"/>
        </w:rPr>
      </w:pPr>
      <w:r w:rsidRPr="002735B8">
        <w:rPr>
          <w:rFonts w:ascii="Times New Roman" w:hAnsi="Times New Roman" w:cs="Times New Roman"/>
          <w:sz w:val="24"/>
          <w:szCs w:val="24"/>
          <w:u w:val="single"/>
        </w:rPr>
        <w:t>Problem - određivanje zona ugroze</w:t>
      </w:r>
    </w:p>
    <w:p w14:paraId="160D4353" w14:textId="77777777" w:rsidR="002735B8" w:rsidRPr="002735B8" w:rsidRDefault="002735B8" w:rsidP="00C207B1">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Veliki problem pri izradi scenarija predstavljala je činjenica da eksplozije metana na odlagalištima otpada nisu česta pojava</w:t>
      </w:r>
      <w:r w:rsidRPr="002735B8">
        <w:rPr>
          <w:rFonts w:ascii="Times New Roman" w:hAnsi="Times New Roman" w:cs="Times New Roman"/>
          <w:sz w:val="24"/>
          <w:szCs w:val="24"/>
          <w:vertAlign w:val="superscript"/>
        </w:rPr>
        <w:footnoteReference w:id="97"/>
      </w:r>
      <w:r w:rsidRPr="002735B8">
        <w:rPr>
          <w:rFonts w:ascii="Times New Roman" w:hAnsi="Times New Roman" w:cs="Times New Roman"/>
          <w:sz w:val="24"/>
          <w:szCs w:val="24"/>
        </w:rPr>
        <w:t xml:space="preserve"> pa ne postoji dovoljno povijesnih iskustava za procjenu visoke pouzdanosti. Drugi problem predstavlja to što u odlagališta komunalnog otpada ulazi nepoznat i promjenjiv kemijski sastav različitih tvari. Zbog toga u tijelu odlagališta dolazi do nedovoljno poznatih biokemijskih procesa i razgradnje organske mase. Kako su ti procesi vrlo složeni, oni ovise o nizu čimbenika kao što su: vrsta i količina odloženog materijala, količina zraka/kisika u tijelu odlagališta, količina vode u tijelu odlagališta, atmosferski uvjeti (temperatura i tlak zraka, sadržaj vlage u zraku, smjer i brzina vjetra), način i vođenje otplinjavanja, tehnika odlaganja otpada, vrijeme odlaganja i sl.</w:t>
      </w:r>
      <w:r w:rsidRPr="002735B8">
        <w:rPr>
          <w:rFonts w:ascii="Times New Roman" w:hAnsi="Times New Roman" w:cs="Times New Roman"/>
          <w:sz w:val="24"/>
          <w:szCs w:val="24"/>
          <w:vertAlign w:val="superscript"/>
        </w:rPr>
        <w:footnoteReference w:id="98"/>
      </w:r>
    </w:p>
    <w:p w14:paraId="4567CF06"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Prilikom izrade scenarija konzultirana je dostupna strana literatura. Analizirani su mogući događaji koji mogu izazvati eksploziju metana, ali je najveća pozornost posvećena posljedicama (broj mrtvih, ranjenih, veličina zone ugroze i sl.). U nastavku donosimo pregled posljedica nesreća prouzročenih eksplozijama metana na odlagalištima otpada. Eksplozije su se događale gotovo isključivo na neuređenim otvorenim odlagalištima (podsjećamo da je na Jakuševcu u pogonu moderan sustav sa svrhom otplinjavanja), odnosno na takvim neuređenim odlagalištima je dolazilo do najrazornijih posljedica.</w:t>
      </w:r>
    </w:p>
    <w:p w14:paraId="0CF217B7"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Granice eksplozivnosti metana su 5,3 i 14,9 vol.%, što znači da do izgaranja metana u smjesi sa zrakom i do eksplozije neće doći ako je njegova koncentracija niža od 5,3 i viša od 14,9 vol.%. Budući da su koncentracije metana unutar odlagališta obično 50% (mnogo veće od gornje granice eksplozivnosti), malo je vjerojatno da će metan eksplodirati unutar granica odlagališta. No, kako metan migrira i razrjeđuje se, mješavina plina metana može biti na eksplozivnoj razini. Također, kisik je ključna komponenta za stvaranje eksplozije, ali biološki procesi koji proizvode metan zahtijevaju anaerobno ili kisikom osiromašeno okruženje. Na površini odlagališta prisutno je dovoljno kisika da podrži eksploziju, ali plin metan obično difundira u okolni zrak do koncentracija ispod donje granice eksplozivnosti</w:t>
      </w:r>
      <w:r w:rsidRPr="002735B8">
        <w:rPr>
          <w:rFonts w:ascii="Times New Roman" w:hAnsi="Times New Roman" w:cs="Times New Roman"/>
          <w:sz w:val="24"/>
          <w:szCs w:val="24"/>
          <w:vertAlign w:val="superscript"/>
        </w:rPr>
        <w:footnoteReference w:id="99"/>
      </w:r>
      <w:r w:rsidRPr="002735B8">
        <w:rPr>
          <w:rFonts w:ascii="Times New Roman" w:hAnsi="Times New Roman" w:cs="Times New Roman"/>
          <w:sz w:val="24"/>
          <w:szCs w:val="24"/>
        </w:rPr>
        <w:t>.</w:t>
      </w:r>
    </w:p>
    <w:p w14:paraId="7D67C3E9"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lastRenderedPageBreak/>
        <w:t xml:space="preserve">U literaturi se obično opisuju situacije nastanka eksplozija metana na neuređenim odlagalištima otpada, a Jakuševec ne spada u tu kategoriju. No, postoji teoretska mogućnost nastanka požara i eksplozije i u slučajevima povezanim s kontrolom deponijskog plina. Sustavi za kontrolu odlagališnih plinova sami po sebi mogu predstavljati opasnost od požara. Odlagališni plin (pretežno metan) može se zapaliti kada izađe iz ventilacijskih otvora ili zbog curenja u mreži sabirnih cijevi. </w:t>
      </w:r>
      <w:r w:rsidRPr="002735B8">
        <w:rPr>
          <w:rFonts w:ascii="Times New Roman" w:hAnsi="Times New Roman" w:cs="Times New Roman"/>
          <w:color w:val="auto"/>
          <w:sz w:val="24"/>
          <w:szCs w:val="24"/>
        </w:rPr>
        <w:t xml:space="preserve">Prekomjerno izvlačenje plina također može biti uzrok požara. Vakuum stvoren pretjeranom ekstrakcijom može povećati protok zraka i time povećati razinu kisika u odlagalištu otpada, što može uzrokovati dubinske požare. </w:t>
      </w:r>
    </w:p>
    <w:p w14:paraId="27392E26"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Najčešći uzrok požara na odlagalištima je povećanje udjela kisika u odlagalištu, što povećava aktivnost bakterija i podiže temperaturu (aerobna razgradnja). Ove takozvane "vruće točke" mogu doći u dodir s džepovima plina metana i rezultirati požarom. Posebnu zabrinutost kod ovih dugo tinjajućih podzemnih požara izaziva činjenica da oni obično tinjaju tjednima do mjesecima. To može uzrokovati nakupljanje nusprodukata izgaranja u ograničenim područjima kao što su zgrade na odlagalištu otpada ili okolne kuće. Povećane razine kisika obično su uzrokovane usisavanjem zraka u odlagalište otpada zbog prekomjerne ekstrakcije deponijskog plina</w:t>
      </w:r>
      <w:r w:rsidRPr="002735B8">
        <w:rPr>
          <w:rFonts w:ascii="Times New Roman" w:hAnsi="Times New Roman" w:cs="Times New Roman"/>
          <w:sz w:val="24"/>
          <w:szCs w:val="24"/>
          <w:vertAlign w:val="superscript"/>
        </w:rPr>
        <w:footnoteReference w:id="100"/>
      </w:r>
      <w:r w:rsidRPr="002735B8">
        <w:rPr>
          <w:rFonts w:ascii="Times New Roman" w:hAnsi="Times New Roman" w:cs="Times New Roman"/>
          <w:sz w:val="24"/>
          <w:szCs w:val="24"/>
        </w:rPr>
        <w:t>. Nadalje, dubinski požari proizvode zapaljive i otrovne plinove (kao što je ugljični monoksid) i mogu oštetiti obloge za zadržavanje procjedne vode i sustave za prikupljanje odlagališnih plinova.</w:t>
      </w:r>
    </w:p>
    <w:p w14:paraId="04681F40"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U dokumentu EPE navodi se da požari i eksplozije na odlagalištima nastaju kada se okolni zrak infiltrira u otpad tako da ima dovoljno kisika za podržavanje izgaranja i lokalno razrjeđivanje koncentracije metana do granice eksplozivnosti. Do infiltracije zraka može doći na različite načine npr. zbog slijeganja odlagališta mogu se otvoriti otvori za infiltraciju zraka. Osim navedenog, ako poklopac aktivnog sustava za prikupljanje plina odlagališta propušta na mjestu prodiranja jednog ili više sakupljača plina, okolni zrak se može uvlačiti niz prsten bunara i u otpad</w:t>
      </w:r>
      <w:r w:rsidRPr="002735B8">
        <w:rPr>
          <w:rFonts w:ascii="Times New Roman" w:hAnsi="Times New Roman" w:cs="Times New Roman"/>
          <w:sz w:val="24"/>
          <w:szCs w:val="24"/>
          <w:vertAlign w:val="superscript"/>
        </w:rPr>
        <w:footnoteReference w:id="101"/>
      </w:r>
      <w:r w:rsidRPr="002735B8">
        <w:rPr>
          <w:rFonts w:ascii="Times New Roman" w:hAnsi="Times New Roman" w:cs="Times New Roman"/>
          <w:sz w:val="24"/>
          <w:szCs w:val="24"/>
        </w:rPr>
        <w:t xml:space="preserve">. </w:t>
      </w:r>
    </w:p>
    <w:p w14:paraId="35A79857"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Zabilježeno je više slučajeva migracije i eksplozije metana izvan odlagališta otpada nego na samom području odlagališta. Migracija odlagališnog plina izvan perimetra odlagališta može rezultirati požarima i eksplozijama izvan mjesta gdje je koncentracija metana od 5-15 posto.</w:t>
      </w:r>
    </w:p>
    <w:p w14:paraId="798C0FD4"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Takva se migracija može dogoditi ako postoji pozitivan tlak na granici odlagališta i ako postoji sloj ili leća propusnog tla (npr. pješčano/šljunkovito tlo) ili stijene (pukotina temeljne stijene). Pod takvim uvjetima deponijski plin može migrirati stotine ili čak tisuće stopa što iznosi maksimalno do oko 300 m</w:t>
      </w:r>
      <w:r w:rsidRPr="002735B8">
        <w:rPr>
          <w:rFonts w:ascii="Times New Roman" w:hAnsi="Times New Roman" w:cs="Times New Roman"/>
          <w:sz w:val="24"/>
          <w:szCs w:val="24"/>
          <w:vertAlign w:val="superscript"/>
        </w:rPr>
        <w:footnoteReference w:id="102"/>
      </w:r>
      <w:r w:rsidRPr="002735B8">
        <w:rPr>
          <w:rFonts w:ascii="Times New Roman" w:hAnsi="Times New Roman" w:cs="Times New Roman"/>
          <w:sz w:val="24"/>
          <w:szCs w:val="24"/>
        </w:rPr>
        <w:t xml:space="preserve">. </w:t>
      </w:r>
    </w:p>
    <w:p w14:paraId="24852668"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U radu objavljenom u </w:t>
      </w:r>
      <w:r w:rsidRPr="002735B8">
        <w:rPr>
          <w:rFonts w:ascii="Times New Roman" w:hAnsi="Times New Roman" w:cs="Times New Roman"/>
          <w:i/>
          <w:sz w:val="24"/>
          <w:szCs w:val="24"/>
        </w:rPr>
        <w:t>Engineering Geology Special Publications</w:t>
      </w:r>
      <w:r w:rsidRPr="002735B8">
        <w:rPr>
          <w:rFonts w:ascii="Times New Roman" w:hAnsi="Times New Roman" w:cs="Times New Roman"/>
          <w:i/>
          <w:sz w:val="24"/>
          <w:szCs w:val="24"/>
          <w:vertAlign w:val="superscript"/>
        </w:rPr>
        <w:footnoteReference w:id="103"/>
      </w:r>
      <w:r w:rsidRPr="002735B8">
        <w:rPr>
          <w:rFonts w:ascii="Times New Roman" w:hAnsi="Times New Roman" w:cs="Times New Roman"/>
          <w:sz w:val="24"/>
          <w:szCs w:val="24"/>
        </w:rPr>
        <w:t>objavljen je pregled</w:t>
      </w:r>
      <w:r w:rsidRPr="002735B8">
        <w:rPr>
          <w:rFonts w:ascii="Times New Roman" w:hAnsi="Times New Roman" w:cs="Times New Roman"/>
          <w:i/>
          <w:sz w:val="24"/>
          <w:szCs w:val="24"/>
        </w:rPr>
        <w:t xml:space="preserve"> </w:t>
      </w:r>
      <w:r w:rsidRPr="002735B8">
        <w:rPr>
          <w:rFonts w:ascii="Times New Roman" w:hAnsi="Times New Roman" w:cs="Times New Roman"/>
          <w:sz w:val="24"/>
          <w:szCs w:val="24"/>
        </w:rPr>
        <w:t>incidenata s deponijskim plinom.</w:t>
      </w:r>
      <w:r w:rsidRPr="002735B8">
        <w:rPr>
          <w:rFonts w:ascii="Times New Roman" w:hAnsi="Times New Roman" w:cs="Times New Roman"/>
          <w:i/>
          <w:sz w:val="24"/>
          <w:szCs w:val="24"/>
        </w:rPr>
        <w:t xml:space="preserve"> </w:t>
      </w:r>
      <w:r w:rsidRPr="002735B8">
        <w:rPr>
          <w:rFonts w:ascii="Times New Roman" w:hAnsi="Times New Roman" w:cs="Times New Roman"/>
          <w:sz w:val="24"/>
          <w:szCs w:val="24"/>
        </w:rPr>
        <w:t xml:space="preserve">Najgore posljedice od 33 obrađenih slučajeva su one u Winston-Salemu, Sjeverna Karolina, 1969. godine. Odlagališni plin migrirao je iz susjednog odlagališta u podrum oružarnice. Zapaljena cigareta izazvala je eksploziju plina a posljedice su troje mrtvih i pet teško ozlijeđenih. U ostalim slučajevima konstrukcijski je uništena ne više od jedna zgrada koja nije bila udaljena više od 60 m od granice odlagališta. Npr. godine 1986. u mjestu Loscoe, Derbyshire dogodila se eksplozija u bungalovu koji se nalazio otprilike 60 m od stare jame za cigle. Jama za cigle korištena je kao odlagalište kućnog otpada između 1977. i 1982., a potom je bila zatvorena. Laboratorijsko ispitivanje uzoraka prikupljenih s mjesta bungalova pokazalo je da je migracija bila s odlagališta, nakon što je plin migrirao putem </w:t>
      </w:r>
      <w:r w:rsidRPr="002735B8">
        <w:rPr>
          <w:rFonts w:ascii="Times New Roman" w:hAnsi="Times New Roman" w:cs="Times New Roman"/>
          <w:sz w:val="24"/>
          <w:szCs w:val="24"/>
        </w:rPr>
        <w:lastRenderedPageBreak/>
        <w:t xml:space="preserve">pukotina i spojeva slojeva unutar geološke čvrste temeljne stijene pješčenjaka koja leži ispod bungalova i prislonjena je uz odlagalište. Uzrok je značajno smanjenje atmosferskog tlaka koje je dovelo do širenja volumena odlagališnog plina koji se nakupio u usisnoj jami blizu kuće i migrirao ispod poda bungalova. U svim navedenim nesrećama uzrok je migracija plina sa odlagališta. Zbog povećane eksplozivne razine metana na odlagalištima otpada, usporedbom četiri slučaja, evakuirano je najviše 44 obitelji i to u području gdje se nekada nalazilo odlagalište otpada koje nije propisno sanirano. </w:t>
      </w:r>
    </w:p>
    <w:p w14:paraId="7CE59876"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Masovnije žrtve prouzročili su događaji eksplozije i zatim klizanja odlagališta otpada (tzv. lavine otpada), ali u svijetu je evidentirano samo nekoliko takvih slučajeva. Dogodilo se nekoliko sličnih slučajeva i u industrijski razvijenim državama, ali samo događaji u zemljama u razvoju doveli su do velikih katastrofa. Najsmrtonosniji događaj ovoga tipa odnio je živote 278 ljudi u Payatasu u blizini Manile, dok je 2005. u Bandungu u Indoneziji otpad zatrpao 71 kuću i usmrtio 143 osobe</w:t>
      </w:r>
      <w:r w:rsidRPr="002735B8">
        <w:rPr>
          <w:rFonts w:ascii="Times New Roman" w:hAnsi="Times New Roman" w:cs="Times New Roman"/>
          <w:sz w:val="24"/>
          <w:szCs w:val="24"/>
          <w:vertAlign w:val="superscript"/>
        </w:rPr>
        <w:footnoteReference w:id="104"/>
      </w:r>
      <w:r w:rsidRPr="002735B8">
        <w:rPr>
          <w:rFonts w:ascii="Times New Roman" w:hAnsi="Times New Roman" w:cs="Times New Roman"/>
          <w:sz w:val="24"/>
          <w:szCs w:val="24"/>
        </w:rPr>
        <w:t xml:space="preserve">. Oko 50% stanovnika dva sela smještenih niz padinu (Leuwigajah i Batujajar) bavili su se prikupljanjem otpada tj. svakodnevno su prekapali otpad. Prisutnost metana unutar odlagališta otpada bila je odgovorna za eksplozije prije klizanja (stanovnici su čuli tri potmule eksplozije iz dubine odlagališta) i za požar koji zahvaća cijelu kliznu masu. Pretpostavlja se da je visok sadržaj plastičnih vrećica bio odgovoran za smanjenje unutarnjeg trenja te je u situaciji neplanskog gospodarenja i divljih aktivnosti uslijed dugotrajnih kiša koje su natopile odlagalište, došlo do navedenog događaja. </w:t>
      </w:r>
    </w:p>
    <w:p w14:paraId="7C18D5CE"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Još jedna katastrofa dogodila se dana 28. travnja 1993. u Turskoj na odlagalištu otpada Ümraniye-Hekimbaşi. Dogodila se eksplozija, nakon čega je uslijedilo raseljavanje velike mase čvrstog otpada koji je progutao 11 kuća i prouzročio smrt 39 osoba. Tijela 12 nestalih osoba nikada nisu pronađena. Nesreća je nastala uslijed početnog klizanja čvrstog otpada koji nije bio stabilno odložen, nakon čega je uslijedila eksplozija metana koji nastaje i zadržava se na odlagalištu. Otpad je progutao isto tako loše građene kuće tzv. slamove koje su se nalazile oko odlagališta otpada. Bitno je napomenuti da smrt ljudi nije prouzročio udarni val uslijed eksplozije metana, već klizanje odlagališta otpada koje je zatrpalo i srušilo loše građene kuće u okolici.</w:t>
      </w:r>
    </w:p>
    <w:p w14:paraId="29C7D4C3"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Analiziran je još jedan događaj iz 2010. godine na neuređenom odlagalištu otpada u meksičkom gradu Chimalhuacanu veličine 60 ha koje je sa južne i istočne strane okruženo kućama koje se nalaze u neposrednoj blizini</w:t>
      </w:r>
      <w:r w:rsidRPr="002735B8">
        <w:rPr>
          <w:rFonts w:ascii="Times New Roman" w:hAnsi="Times New Roman" w:cs="Times New Roman"/>
          <w:sz w:val="24"/>
          <w:szCs w:val="24"/>
          <w:vertAlign w:val="superscript"/>
        </w:rPr>
        <w:footnoteReference w:id="105"/>
      </w:r>
      <w:r w:rsidRPr="002735B8">
        <w:rPr>
          <w:rFonts w:ascii="Times New Roman" w:hAnsi="Times New Roman" w:cs="Times New Roman"/>
          <w:sz w:val="24"/>
          <w:szCs w:val="24"/>
        </w:rPr>
        <w:t>. Prve vijesti govorile su da je podzemna eksplozija plina metana nastala razgradnjom otpada s komunalnog odlagališta u Chimalhuacánu prouzročila štetu na više od 400 kuća u 16 ulica. Najmanje 15 kuća pretrpjelo je strukturna oštećenja zbog čega su bile neupotrebljive</w:t>
      </w:r>
      <w:r w:rsidRPr="002735B8">
        <w:rPr>
          <w:rFonts w:ascii="Times New Roman" w:hAnsi="Times New Roman" w:cs="Times New Roman"/>
          <w:sz w:val="24"/>
          <w:szCs w:val="24"/>
          <w:vertAlign w:val="superscript"/>
        </w:rPr>
        <w:footnoteReference w:id="106"/>
      </w:r>
      <w:r w:rsidRPr="002735B8">
        <w:rPr>
          <w:rFonts w:ascii="Times New Roman" w:hAnsi="Times New Roman" w:cs="Times New Roman"/>
          <w:sz w:val="24"/>
          <w:szCs w:val="24"/>
        </w:rPr>
        <w:t>. Neke kuće u blizini deponije imale su popucale zidove i podove. Mediji su javljali da je eksplozija također otvorila jarak koji je bio dug oko 150 metara, dubok 3 metra i širok 1 metar. Nije bilo smrtnih slučajeva. No, naknadno je utvrđeno od strane meksičkog Instituta za inženjerstvo da pukotina koja je zahvatila odlagalište otpada i desetke kuća nije uzrokovana eksplozijom nakupljenog plina metana, već pomjeranjem zemljišta koje je uzrokovano isušivanjem nekadašnjeg jezera</w:t>
      </w:r>
      <w:r w:rsidRPr="002735B8">
        <w:rPr>
          <w:rFonts w:ascii="Times New Roman" w:hAnsi="Times New Roman" w:cs="Times New Roman"/>
          <w:sz w:val="24"/>
          <w:szCs w:val="24"/>
          <w:vertAlign w:val="superscript"/>
        </w:rPr>
        <w:footnoteReference w:id="107"/>
      </w:r>
      <w:r w:rsidRPr="002735B8">
        <w:rPr>
          <w:rFonts w:ascii="Times New Roman" w:hAnsi="Times New Roman" w:cs="Times New Roman"/>
          <w:sz w:val="24"/>
          <w:szCs w:val="24"/>
        </w:rPr>
        <w:t>.</w:t>
      </w:r>
      <w:r w:rsidRPr="002735B8">
        <w:t xml:space="preserve"> </w:t>
      </w:r>
    </w:p>
    <w:p w14:paraId="37AA9839"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Navedeni scenariji dokumentiranih događaja klizišta na odlagalištima komunalnog otpada nisu primjenjivi kod nas jer se radilo o:</w:t>
      </w:r>
    </w:p>
    <w:p w14:paraId="269E919C"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a) neuređenim odlagalištima otpada koje je lokalno stanovništvo neplanski prekapalo u potrazi za iskoristivim sekundarnim sirovinama i</w:t>
      </w:r>
    </w:p>
    <w:p w14:paraId="2C44CB6A"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b) okružja odlagališta u čijoj su se neposrednoj blizini nalazile loše građene kuće tzv. slamovi.</w:t>
      </w:r>
    </w:p>
    <w:p w14:paraId="3771ECBB"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lastRenderedPageBreak/>
        <w:t>U određivanju zone razornosti eksplozije metana najviše može poslužiti primjer bivšeg odlagališta otpada površine 72 hektara (Jakuševec se prostire na 54 ha) u Kentwoodu, SAD, gdje je identificirana prisutnost metana izvan perimetra dugo zatvorenog odlagališta nakon što su instalirane bušotine za nadzor plina. Određena je zona evakuacije od 1500 ft (odnosno 450 m) tako da je iseljeno 150 stanara</w:t>
      </w:r>
      <w:r w:rsidRPr="002735B8">
        <w:rPr>
          <w:rFonts w:ascii="Times New Roman" w:hAnsi="Times New Roman" w:cs="Times New Roman"/>
          <w:sz w:val="24"/>
          <w:szCs w:val="24"/>
          <w:vertAlign w:val="superscript"/>
        </w:rPr>
        <w:footnoteReference w:id="108"/>
      </w:r>
      <w:r w:rsidRPr="002735B8">
        <w:rPr>
          <w:rFonts w:ascii="Times New Roman" w:hAnsi="Times New Roman" w:cs="Times New Roman"/>
          <w:sz w:val="24"/>
          <w:szCs w:val="24"/>
        </w:rPr>
        <w:t xml:space="preserve">. </w:t>
      </w:r>
    </w:p>
    <w:p w14:paraId="41FF8A46"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Ovi dosadašnji primjeri ukazuju na to da eksplozija metana na odlagalištima otpada nikada nije masovno ubijala zbog djelovanja eksplozije (rušenje zgrada i kuća zbog udarnog vala), već zbog aktiviranja klizišta otpada koje je zatrpalo ljude koji su se tada nalazili na neuređenim odlagalištima otpada i u okolnim kućama niske kvalitete gradnje, što nije primjenjivo u razradi scenarija kod nas. Veća opasnost je što eksplozije nakupljenog metana mogu izazvati dubinske požare odlagališta koji se teško gase i dugo opterećuju okoliš emisijama onečišćenja i otrovnih plinova. </w:t>
      </w:r>
    </w:p>
    <w:p w14:paraId="5A519A1E"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Nakon ovih analiza može se zaključiti da je zbog vrlo malo sličnih dokumentiranih pojava procjena slijeda događaja u scenariju visoke nepouzdanosti. Postojeći događaji eksplozija čak i na neuređenim odlagalištima koja nemaju sustav otplinjavanja nisu toliko česti, a budući da je Jakuševec uređeno odlagalište otpada, vjerojatnost razornije eksplozije je vrlo mala, a u slučaju da se dogodi, zona uništenja ne bi trebala obuhvaćati perimetar izvan područja odlagališta. Veću opasnost kao posljedicu eksplozije predstavlja nastanak dubinskih požara koji se teško gase. </w:t>
      </w:r>
    </w:p>
    <w:p w14:paraId="079249FE" w14:textId="77777777" w:rsidR="002735B8" w:rsidRPr="002735B8" w:rsidRDefault="002735B8" w:rsidP="002735B8">
      <w:pPr>
        <w:spacing w:after="0" w:line="240" w:lineRule="auto"/>
        <w:ind w:left="0" w:right="692" w:firstLine="0"/>
        <w:rPr>
          <w:rFonts w:ascii="Times New Roman" w:hAnsi="Times New Roman" w:cs="Times New Roman"/>
          <w:sz w:val="24"/>
          <w:szCs w:val="24"/>
        </w:rPr>
      </w:pPr>
    </w:p>
    <w:p w14:paraId="122D47A1" w14:textId="77777777" w:rsidR="002735B8" w:rsidRPr="002735B8" w:rsidRDefault="002735B8" w:rsidP="00C70C9F">
      <w:pPr>
        <w:spacing w:after="0" w:line="240" w:lineRule="auto"/>
        <w:ind w:left="11" w:right="692" w:firstLine="698"/>
        <w:rPr>
          <w:rFonts w:ascii="Times New Roman" w:hAnsi="Times New Roman" w:cs="Times New Roman"/>
          <w:b/>
          <w:sz w:val="24"/>
          <w:szCs w:val="24"/>
        </w:rPr>
      </w:pPr>
      <w:r w:rsidRPr="002735B8">
        <w:rPr>
          <w:rFonts w:ascii="Times New Roman" w:hAnsi="Times New Roman" w:cs="Times New Roman"/>
          <w:b/>
          <w:sz w:val="24"/>
          <w:szCs w:val="24"/>
        </w:rPr>
        <w:t>6.7.4.1. Razvoj događaja</w:t>
      </w:r>
    </w:p>
    <w:p w14:paraId="1B383744"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U posljednje vrijeme dolazi do povećanja razine kisika unutar odlagališta, što povećava aktivnost aerobnih bakterija uzrokujući porast temperature.</w:t>
      </w:r>
    </w:p>
    <w:p w14:paraId="442B14A8" w14:textId="77777777" w:rsidR="002735B8" w:rsidRPr="002735B8" w:rsidRDefault="002735B8" w:rsidP="002735B8">
      <w:pPr>
        <w:spacing w:after="0" w:line="240" w:lineRule="auto"/>
        <w:ind w:left="0" w:right="692" w:firstLine="0"/>
        <w:rPr>
          <w:rFonts w:ascii="Times New Roman" w:hAnsi="Times New Roman" w:cs="Times New Roman"/>
          <w:b/>
          <w:sz w:val="24"/>
          <w:szCs w:val="24"/>
        </w:rPr>
      </w:pPr>
    </w:p>
    <w:p w14:paraId="43C436F0" w14:textId="77777777" w:rsidR="002735B8" w:rsidRPr="002735B8" w:rsidRDefault="002735B8" w:rsidP="00C70C9F">
      <w:pPr>
        <w:spacing w:after="0" w:line="240" w:lineRule="auto"/>
        <w:ind w:left="11" w:right="692" w:firstLine="698"/>
        <w:rPr>
          <w:rFonts w:ascii="Times New Roman" w:hAnsi="Times New Roman" w:cs="Times New Roman"/>
          <w:b/>
          <w:sz w:val="24"/>
          <w:szCs w:val="24"/>
        </w:rPr>
      </w:pPr>
      <w:r w:rsidRPr="002735B8">
        <w:rPr>
          <w:rFonts w:ascii="Times New Roman" w:hAnsi="Times New Roman" w:cs="Times New Roman"/>
          <w:b/>
          <w:sz w:val="24"/>
          <w:szCs w:val="24"/>
        </w:rPr>
        <w:t>6.7.4.2. Okidač koji je uzrokovao događaj</w:t>
      </w:r>
    </w:p>
    <w:p w14:paraId="1870F20D"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Zbog propuštanja u cijevima za prikupljanje plina i začepljenja cijevi postrojenja za otplinjavanje, dolazi do eksplozije metana i nastanka dubinskog požara. </w:t>
      </w:r>
    </w:p>
    <w:p w14:paraId="063EF482" w14:textId="77777777" w:rsidR="00C70C9F" w:rsidRDefault="00C70C9F" w:rsidP="002735B8">
      <w:pPr>
        <w:spacing w:after="0" w:line="240" w:lineRule="auto"/>
        <w:ind w:left="0" w:right="0" w:firstLine="0"/>
        <w:rPr>
          <w:rFonts w:ascii="Times New Roman" w:hAnsi="Times New Roman" w:cs="Times New Roman"/>
          <w:sz w:val="24"/>
          <w:szCs w:val="24"/>
        </w:rPr>
      </w:pPr>
    </w:p>
    <w:p w14:paraId="7D1EDEEF" w14:textId="5CD9DEB1" w:rsidR="002735B8" w:rsidRPr="002735B8" w:rsidRDefault="00C70C9F" w:rsidP="00C70C9F">
      <w:pPr>
        <w:spacing w:after="0" w:line="240" w:lineRule="auto"/>
        <w:ind w:left="0" w:right="0" w:firstLine="709"/>
        <w:rPr>
          <w:rFonts w:ascii="Times New Roman" w:hAnsi="Times New Roman" w:cs="Times New Roman"/>
          <w:b/>
          <w:sz w:val="24"/>
          <w:szCs w:val="24"/>
        </w:rPr>
      </w:pPr>
      <w:r>
        <w:rPr>
          <w:rFonts w:ascii="Times New Roman" w:hAnsi="Times New Roman" w:cs="Times New Roman"/>
          <w:b/>
          <w:sz w:val="24"/>
          <w:szCs w:val="24"/>
        </w:rPr>
        <w:t>6.7.5. Opis događaja</w:t>
      </w:r>
    </w:p>
    <w:p w14:paraId="245B7528" w14:textId="77777777" w:rsidR="002735B8" w:rsidRPr="002735B8" w:rsidRDefault="002735B8" w:rsidP="00C70C9F">
      <w:pPr>
        <w:spacing w:after="0" w:line="240" w:lineRule="auto"/>
        <w:ind w:left="0" w:right="0" w:firstLine="709"/>
        <w:rPr>
          <w:rFonts w:ascii="Times New Roman" w:hAnsi="Times New Roman" w:cs="Times New Roman"/>
          <w:i/>
          <w:sz w:val="24"/>
          <w:szCs w:val="24"/>
        </w:rPr>
      </w:pPr>
      <w:r w:rsidRPr="002735B8">
        <w:rPr>
          <w:rFonts w:ascii="Times New Roman" w:hAnsi="Times New Roman" w:cs="Times New Roman"/>
          <w:i/>
          <w:sz w:val="24"/>
          <w:szCs w:val="24"/>
          <w:u w:val="single"/>
        </w:rPr>
        <w:t>Napomena</w:t>
      </w:r>
      <w:r w:rsidRPr="002735B8">
        <w:rPr>
          <w:rFonts w:ascii="Times New Roman" w:hAnsi="Times New Roman" w:cs="Times New Roman"/>
          <w:i/>
          <w:sz w:val="24"/>
          <w:szCs w:val="24"/>
        </w:rPr>
        <w:t xml:space="preserve">: Scenarij se bazira na događaju vrlo male vjerojatnosti i najgorih posljedica. Vjerojatnost da sve okolnosti budu najnepovoljnije je mala, ali se u scenariju opisuje skup svih mogućih a malo izglednih događaja povezanih s prijetnjom. Potrebno je istaknuti kako su eksplozije deponijskog plina vrlo rijetka pojava i na neuređenim odlagalištima otpada, a na Jakuševcu je u funkciji suvremeni pogon za otplinjavanje koji se redovito provjerava i održava. </w:t>
      </w:r>
    </w:p>
    <w:p w14:paraId="14E394D9"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U prijepodnevnim satima dogodila se iznenadna eksplozija na području odlagališta otpada Jakuševec. Eksplozija je bila toliko snažna da je u potpunosti uništila kontejnerske objekte korištene za potrebe djelatnika i rada odlagališta. Na licu mjesta poginulo je 10 radnika koji su se nalazili najbliže mjestu eksplozije, a teško ozlijeđeno uslijed udarnog vala je njih još četrdeset</w:t>
      </w:r>
      <w:r w:rsidRPr="002735B8">
        <w:rPr>
          <w:rFonts w:ascii="Times New Roman" w:hAnsi="Times New Roman" w:cs="Times New Roman"/>
          <w:sz w:val="24"/>
          <w:szCs w:val="24"/>
          <w:vertAlign w:val="superscript"/>
        </w:rPr>
        <w:footnoteReference w:id="109"/>
      </w:r>
      <w:r w:rsidRPr="002735B8">
        <w:rPr>
          <w:rFonts w:ascii="Times New Roman" w:hAnsi="Times New Roman" w:cs="Times New Roman"/>
          <w:sz w:val="24"/>
          <w:szCs w:val="24"/>
        </w:rPr>
        <w:t>. Izvan perimetra odlagališta ima lakše ozlijeđenih građana zbog razbijanja stakala na prozorima zgrada i kuća, posebno u naselju Jakuševec, Hrelić i Dugave i najbližim kućama u naselju Petruševec. Uslijed eksplozije došlo je do rasprostiranja otpada izvan perimetra odlagališta, ali budući da se najbliže kuće nalaze 400 m od ruba odlagališta, nisu zahvaćene ovom pojavom.</w:t>
      </w:r>
    </w:p>
    <w:p w14:paraId="0927E499"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Odmah nakon eksplozije došlo je do nastanka površinskog ali i dubinskog požara budući je vatra ušla u samo tijelo odlagališta. Gori čitava površina aktivnog odlagališta te se generira gust toksičan dim kojeg jugoistočni vjetar nosi u smjeru naselja Utrina, Zapruđe, Središće i </w:t>
      </w:r>
      <w:r w:rsidRPr="002735B8">
        <w:rPr>
          <w:rFonts w:ascii="Times New Roman" w:hAnsi="Times New Roman" w:cs="Times New Roman"/>
          <w:sz w:val="24"/>
          <w:szCs w:val="24"/>
        </w:rPr>
        <w:lastRenderedPageBreak/>
        <w:t>Sopot</w:t>
      </w:r>
      <w:r w:rsidRPr="002735B8">
        <w:rPr>
          <w:rFonts w:ascii="Times New Roman" w:hAnsi="Times New Roman" w:cs="Times New Roman"/>
          <w:sz w:val="24"/>
          <w:szCs w:val="24"/>
          <w:vertAlign w:val="superscript"/>
        </w:rPr>
        <w:footnoteReference w:id="110"/>
      </w:r>
      <w:r w:rsidRPr="002735B8">
        <w:rPr>
          <w:rFonts w:ascii="Times New Roman" w:hAnsi="Times New Roman" w:cs="Times New Roman"/>
          <w:sz w:val="24"/>
          <w:szCs w:val="24"/>
        </w:rPr>
        <w:t>. Zbog prisutnosti kloriranih materijala i niske temperature zraka, izgaranje na niskim temperaturama uzrokovalo je stvaranje dioksina i furana. Na oko 200 metara niz vjetar od odlagališta dim od požara može se tolerirati samo nakratko zbog aldehida i formaldehida koji uzrokuju ozbiljne poteškoće s disanjem, pečenje očiju, nosa i dušnika, intenzivno suzenje očiju i jak kašalj. Na 100 metara od požara koncentracije ugljičnog monoksida su toliko visoke tako da izazivaju nastanak glavobolje, vrtoglavice, slabosti, zbunjenosti, mučnine, izazivaju dezorijentaciju i poremećaj vida</w:t>
      </w:r>
      <w:r w:rsidRPr="002735B8">
        <w:rPr>
          <w:rFonts w:ascii="Times New Roman" w:hAnsi="Times New Roman" w:cs="Times New Roman"/>
          <w:sz w:val="24"/>
          <w:szCs w:val="24"/>
          <w:vertAlign w:val="superscript"/>
        </w:rPr>
        <w:footnoteReference w:id="111"/>
      </w:r>
      <w:r w:rsidRPr="002735B8">
        <w:rPr>
          <w:rFonts w:ascii="Times New Roman" w:hAnsi="Times New Roman" w:cs="Times New Roman"/>
          <w:sz w:val="24"/>
          <w:szCs w:val="24"/>
        </w:rPr>
        <w:t xml:space="preserve">. Policajci koji su prvi stigli na mjesto požara imaju zdravstvenih problema budući da nisu imali zaštitnu opremu. Policija je blokirala zonu najbližu požarištu tako da su ovako visokim koncentracijama otrovnih spojeva izložene samo snage odgovora. </w:t>
      </w:r>
    </w:p>
    <w:p w14:paraId="7FE019E1"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Vjetar nosi dim prema najgušće naseljenim područjima grada, pa je tako stanovništvu hitno preporučeno zaklanjanje (zatvaranje prozora) u zonama najbližim požarištu. Pojedini stanovnici koji su se našli na otvorenom osjećaju poteškoće sa disanjem, peku ih oči te je hitna pomoć zaprimila dosta poziva građana. Posebno su zbog udisanja dima ugrožene osobe sa srčanim i plućnim problemima,</w:t>
      </w:r>
      <w:r w:rsidRPr="002735B8">
        <w:t xml:space="preserve"> </w:t>
      </w:r>
      <w:r w:rsidRPr="002735B8">
        <w:rPr>
          <w:rFonts w:ascii="Times New Roman" w:hAnsi="Times New Roman" w:cs="Times New Roman"/>
          <w:sz w:val="24"/>
          <w:szCs w:val="24"/>
        </w:rPr>
        <w:t xml:space="preserve">djeca, trudnice i osobe starije od 65 godina. Hitna pomoć je već angažirana u većoj mjeri na pružanju zdravstvene skrbi pripadnicima službi zaštite i spašavanja. Kako je zbog eksplozije došlo do onečišćenja izvorišta pitke vode, u dijelu grada je prekinuta opskrba pitkom vodom, a zbog velikih potreba postojeće cisterne Vodoopskrbe i odvodnje ne mogu pokriti potrebe stanovništva za vodom pa je zatražen angažman cisterni iz okolnih županija. </w:t>
      </w:r>
    </w:p>
    <w:p w14:paraId="677A70CD" w14:textId="3916CB27" w:rsid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Budući se radi o dubinskom požaru gašenje je jako teško i zahtjevno, tako da su uz sve raspoložive vatrogasne snage iz Zagreba i okolice, zbog potrebe odmora snaga angažirane i vatrogasne snage iz drugih dijelova Hrvatske. Nakon što je vjetar mijenjao smjer tako da je prekrivao dimom velika područja grada, trećeg dana požara došlo je do temperaturne inverzije</w:t>
      </w:r>
      <w:r w:rsidRPr="002735B8">
        <w:rPr>
          <w:rFonts w:ascii="Times New Roman" w:hAnsi="Times New Roman" w:cs="Times New Roman"/>
          <w:sz w:val="24"/>
          <w:szCs w:val="24"/>
          <w:vertAlign w:val="superscript"/>
        </w:rPr>
        <w:footnoteReference w:id="112"/>
      </w:r>
      <w:r w:rsidRPr="002735B8">
        <w:rPr>
          <w:rFonts w:ascii="Times New Roman" w:hAnsi="Times New Roman" w:cs="Times New Roman"/>
          <w:sz w:val="24"/>
          <w:szCs w:val="24"/>
        </w:rPr>
        <w:t>, pa je disanje bilo osobito otežano na području Jakuševca i istočnog dijela Novog Zagreba. Zbog takve situacije, i činjenice da je požarište još uvijek aktivno, dosta ljudi je privremeno evakuirano ili je napustilo područje grada. Nakon događaja zbog uništene infrastrukture i traženja zamjenske lokacije za odlaganje otpada, došlo je do privremenog zastoja u odvozu otpada pa su ulice bile pretrpane otpadom što je rezultiralo dodatnim širenjem neugodnih mirisa, razmnožavanjem nametnika i dodatno narušilo zdravstvenu sigurnost stanovništva. Požar je u potpunosti ugašen tek za tri tjedna.</w:t>
      </w:r>
    </w:p>
    <w:p w14:paraId="3A7C591B" w14:textId="77777777" w:rsidR="008546EC" w:rsidRPr="002735B8" w:rsidRDefault="008546EC" w:rsidP="002735B8">
      <w:pPr>
        <w:spacing w:after="0" w:line="240" w:lineRule="auto"/>
        <w:ind w:left="0" w:right="0" w:firstLine="0"/>
        <w:rPr>
          <w:rFonts w:ascii="Times New Roman" w:hAnsi="Times New Roman" w:cs="Times New Roman"/>
          <w:sz w:val="24"/>
          <w:szCs w:val="24"/>
        </w:rPr>
      </w:pPr>
    </w:p>
    <w:p w14:paraId="1E7AB89F" w14:textId="77777777" w:rsidR="002735B8" w:rsidRPr="002735B8" w:rsidRDefault="002735B8" w:rsidP="00C70C9F">
      <w:pPr>
        <w:spacing w:after="0" w:line="240" w:lineRule="auto"/>
        <w:ind w:left="0" w:right="0" w:firstLine="709"/>
        <w:rPr>
          <w:rFonts w:ascii="Times New Roman" w:hAnsi="Times New Roman" w:cs="Times New Roman"/>
          <w:b/>
          <w:sz w:val="24"/>
          <w:szCs w:val="24"/>
        </w:rPr>
      </w:pPr>
      <w:r w:rsidRPr="002735B8">
        <w:rPr>
          <w:rFonts w:ascii="Times New Roman" w:hAnsi="Times New Roman" w:cs="Times New Roman"/>
          <w:b/>
          <w:sz w:val="24"/>
          <w:szCs w:val="24"/>
        </w:rPr>
        <w:t>6.7.5.1. Posljedice</w:t>
      </w:r>
    </w:p>
    <w:p w14:paraId="650971E5" w14:textId="020D16AB" w:rsidR="002735B8" w:rsidRPr="00C70C9F" w:rsidRDefault="002735B8" w:rsidP="00C70C9F">
      <w:pPr>
        <w:spacing w:after="0" w:line="240" w:lineRule="auto"/>
        <w:ind w:left="0" w:right="0" w:firstLine="709"/>
        <w:rPr>
          <w:rFonts w:ascii="Times New Roman" w:hAnsi="Times New Roman" w:cs="Times New Roman"/>
          <w:b/>
          <w:i/>
          <w:sz w:val="24"/>
          <w:szCs w:val="24"/>
        </w:rPr>
      </w:pPr>
      <w:r w:rsidRPr="00C70C9F">
        <w:rPr>
          <w:rFonts w:ascii="Times New Roman" w:hAnsi="Times New Roman" w:cs="Times New Roman"/>
          <w:b/>
          <w:i/>
          <w:sz w:val="24"/>
          <w:szCs w:val="24"/>
        </w:rPr>
        <w:t>6.7.5.1.1. Život i zdravlje ljudi</w:t>
      </w:r>
    </w:p>
    <w:p w14:paraId="19072BF7" w14:textId="10465CA7" w:rsidR="008546EC" w:rsidRDefault="00C70C9F" w:rsidP="00C70C9F">
      <w:pPr>
        <w:spacing w:after="0" w:line="240" w:lineRule="auto"/>
        <w:ind w:left="0" w:right="0" w:firstLine="0"/>
        <w:rPr>
          <w:rFonts w:ascii="Times New Roman" w:hAnsi="Times New Roman" w:cs="Times New Roman"/>
          <w:sz w:val="24"/>
          <w:szCs w:val="24"/>
        </w:rPr>
      </w:pPr>
      <w:r>
        <w:rPr>
          <w:rFonts w:ascii="Times New Roman" w:hAnsi="Times New Roman" w:cs="Times New Roman"/>
          <w:i/>
          <w:sz w:val="24"/>
          <w:szCs w:val="24"/>
        </w:rPr>
        <w:tab/>
      </w:r>
      <w:r w:rsidR="002735B8" w:rsidRPr="002735B8">
        <w:rPr>
          <w:rFonts w:ascii="Times New Roman" w:hAnsi="Times New Roman" w:cs="Times New Roman"/>
          <w:sz w:val="24"/>
          <w:szCs w:val="24"/>
        </w:rPr>
        <w:t xml:space="preserve">Pojavom događaja dolazi do velikih posljedica po zdravlje i živote ljudi u široj okolici. </w:t>
      </w:r>
    </w:p>
    <w:p w14:paraId="17805B8C" w14:textId="7E302BA4"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 xml:space="preserve">Odlagalište bi bilo neuporabljivo i onemogućeno za korištenje kroz duže razdoblje pa bi se uz sve probleme morala hitno pronaći i zamjenska lokacija za odlaganje otpada. Uz ogromna razaranja u perimetru odlagališta i ljudske žrtve radnika koji su bili na odlagalištu u trenutku eksplozije, doći će do značajnog ekotoksikološkog opterećenja okoliša. Osim otrovanih pripadnika snaga odgovora koji su bili na intervenciji, dio stanovnika bit će izravno ugrožen negativnim utjecajem dima. Najizloženiji će biti stanovnici gradske četvrti Novi Zagreb - istok kojih je 55.969. U slučaju nastanka eksplozije i požara, doći će do isključivanja određenih vodocrpilišta koja se više neće moći koristiti za opskrbu stanovništva pitkom vodom zbog šteta </w:t>
      </w:r>
      <w:r w:rsidRPr="002735B8">
        <w:rPr>
          <w:rFonts w:ascii="Times New Roman" w:hAnsi="Times New Roman" w:cs="Times New Roman"/>
          <w:sz w:val="24"/>
          <w:szCs w:val="24"/>
        </w:rPr>
        <w:lastRenderedPageBreak/>
        <w:t>nastalih na interventnom crpnom sustavu koji služi crpljenju zagađene podzemne vode. Utjecaj dima na stanovništvo prouzročit će i negativne zdravstvene posljedice, narušiti kvalitetu života i rezultirati raseljavanjem i privremenom evakuacijom određenog broja ljudi.</w:t>
      </w:r>
    </w:p>
    <w:p w14:paraId="3244C248" w14:textId="77777777" w:rsidR="002735B8" w:rsidRPr="002735B8" w:rsidRDefault="002735B8" w:rsidP="002735B8">
      <w:pPr>
        <w:spacing w:after="0" w:line="240" w:lineRule="auto"/>
        <w:ind w:left="0" w:right="0" w:firstLine="0"/>
        <w:rPr>
          <w:rFonts w:ascii="Times New Roman" w:hAnsi="Times New Roman" w:cs="Times New Roman"/>
          <w:i/>
          <w:sz w:val="24"/>
          <w:szCs w:val="24"/>
        </w:rPr>
      </w:pPr>
    </w:p>
    <w:p w14:paraId="12DE1562" w14:textId="645608B0" w:rsidR="002735B8" w:rsidRPr="0088761D" w:rsidRDefault="0088761D" w:rsidP="00C6494D">
      <w:pPr>
        <w:spacing w:line="240" w:lineRule="auto"/>
        <w:ind w:left="0" w:right="0" w:firstLine="0"/>
        <w:jc w:val="center"/>
        <w:rPr>
          <w:rFonts w:ascii="Times New Roman" w:hAnsi="Times New Roman" w:cs="Times New Roman"/>
          <w:color w:val="auto"/>
          <w:sz w:val="24"/>
          <w:szCs w:val="24"/>
        </w:rPr>
      </w:pPr>
      <w:r w:rsidRPr="0088761D">
        <w:rPr>
          <w:rFonts w:ascii="Times New Roman" w:hAnsi="Times New Roman" w:cs="Times New Roman"/>
          <w:b/>
          <w:color w:val="auto"/>
          <w:sz w:val="24"/>
          <w:szCs w:val="24"/>
        </w:rPr>
        <w:t>Tablica 116</w:t>
      </w:r>
      <w:r w:rsidR="002735B8" w:rsidRPr="0088761D">
        <w:rPr>
          <w:rFonts w:ascii="Times New Roman" w:hAnsi="Times New Roman" w:cs="Times New Roman"/>
          <w:b/>
          <w:color w:val="auto"/>
          <w:sz w:val="24"/>
          <w:szCs w:val="24"/>
        </w:rPr>
        <w:t>. Vrijednost kriterija za posljedice na život i zdravlje ljudi po kategorijama</w:t>
      </w:r>
    </w:p>
    <w:tbl>
      <w:tblPr>
        <w:tblStyle w:val="TableGrid8"/>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00"/>
        <w:gridCol w:w="2835"/>
        <w:gridCol w:w="2836"/>
        <w:gridCol w:w="1701"/>
      </w:tblGrid>
      <w:tr w:rsidR="002735B8" w:rsidRPr="002735B8" w14:paraId="74FECBA9" w14:textId="77777777" w:rsidTr="00284074">
        <w:trPr>
          <w:cantSplit/>
          <w:tblHeader/>
        </w:trPr>
        <w:tc>
          <w:tcPr>
            <w:tcW w:w="9072" w:type="dxa"/>
            <w:gridSpan w:val="4"/>
            <w:shd w:val="clear" w:color="auto" w:fill="FFC000"/>
            <w:vAlign w:val="center"/>
          </w:tcPr>
          <w:p w14:paraId="6CE7002E"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Život i zdravlje ljudi – nesreća na odlagalištu otpada</w:t>
            </w:r>
          </w:p>
        </w:tc>
      </w:tr>
      <w:tr w:rsidR="002735B8" w:rsidRPr="002735B8" w14:paraId="0EB40F27" w14:textId="77777777" w:rsidTr="00284074">
        <w:trPr>
          <w:cantSplit/>
          <w:tblHeader/>
        </w:trPr>
        <w:tc>
          <w:tcPr>
            <w:tcW w:w="1700" w:type="dxa"/>
            <w:shd w:val="clear" w:color="auto" w:fill="FFC000"/>
            <w:vAlign w:val="center"/>
          </w:tcPr>
          <w:p w14:paraId="6DD80269"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Kategorija</w:t>
            </w:r>
          </w:p>
        </w:tc>
        <w:tc>
          <w:tcPr>
            <w:tcW w:w="2835" w:type="dxa"/>
            <w:shd w:val="clear" w:color="auto" w:fill="FFC000"/>
            <w:vAlign w:val="center"/>
          </w:tcPr>
          <w:p w14:paraId="12E16544"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Posljedice</w:t>
            </w:r>
          </w:p>
        </w:tc>
        <w:tc>
          <w:tcPr>
            <w:tcW w:w="2836" w:type="dxa"/>
            <w:shd w:val="clear" w:color="auto" w:fill="FFC000"/>
            <w:vAlign w:val="center"/>
          </w:tcPr>
          <w:p w14:paraId="6BF6A390"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Kriterij (br.st.)</w:t>
            </w:r>
          </w:p>
        </w:tc>
        <w:tc>
          <w:tcPr>
            <w:tcW w:w="1701" w:type="dxa"/>
            <w:shd w:val="clear" w:color="auto" w:fill="FFC000"/>
            <w:vAlign w:val="center"/>
          </w:tcPr>
          <w:p w14:paraId="6FEDBE8D"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ODABRANO</w:t>
            </w:r>
          </w:p>
        </w:tc>
      </w:tr>
      <w:tr w:rsidR="002735B8" w:rsidRPr="002735B8" w14:paraId="2562AA99" w14:textId="77777777" w:rsidTr="00284074">
        <w:trPr>
          <w:cantSplit/>
        </w:trPr>
        <w:tc>
          <w:tcPr>
            <w:tcW w:w="1700" w:type="dxa"/>
            <w:vAlign w:val="center"/>
          </w:tcPr>
          <w:p w14:paraId="2CB5FC3F"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1.</w:t>
            </w:r>
          </w:p>
        </w:tc>
        <w:tc>
          <w:tcPr>
            <w:tcW w:w="2835" w:type="dxa"/>
            <w:vAlign w:val="center"/>
          </w:tcPr>
          <w:p w14:paraId="5C9AD5C0"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Neznatne</w:t>
            </w:r>
          </w:p>
        </w:tc>
        <w:tc>
          <w:tcPr>
            <w:tcW w:w="2836" w:type="dxa"/>
            <w:vAlign w:val="center"/>
          </w:tcPr>
          <w:p w14:paraId="3B0710ED"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&lt;8</w:t>
            </w:r>
          </w:p>
        </w:tc>
        <w:tc>
          <w:tcPr>
            <w:tcW w:w="1701" w:type="dxa"/>
            <w:vAlign w:val="center"/>
          </w:tcPr>
          <w:p w14:paraId="19211656"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408B1408" w14:textId="77777777" w:rsidTr="00284074">
        <w:trPr>
          <w:cantSplit/>
        </w:trPr>
        <w:tc>
          <w:tcPr>
            <w:tcW w:w="1700" w:type="dxa"/>
            <w:shd w:val="clear" w:color="auto" w:fill="FFC000"/>
            <w:vAlign w:val="center"/>
          </w:tcPr>
          <w:p w14:paraId="553782C0"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2.</w:t>
            </w:r>
          </w:p>
        </w:tc>
        <w:tc>
          <w:tcPr>
            <w:tcW w:w="2835" w:type="dxa"/>
            <w:shd w:val="clear" w:color="auto" w:fill="FFC000"/>
            <w:vAlign w:val="center"/>
          </w:tcPr>
          <w:p w14:paraId="4D9FF16A"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Malene</w:t>
            </w:r>
          </w:p>
        </w:tc>
        <w:tc>
          <w:tcPr>
            <w:tcW w:w="2836" w:type="dxa"/>
            <w:shd w:val="clear" w:color="auto" w:fill="FFC000"/>
            <w:vAlign w:val="center"/>
          </w:tcPr>
          <w:p w14:paraId="0BFD5E68"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8-35</w:t>
            </w:r>
          </w:p>
        </w:tc>
        <w:tc>
          <w:tcPr>
            <w:tcW w:w="1701" w:type="dxa"/>
            <w:shd w:val="clear" w:color="auto" w:fill="FFC000"/>
            <w:vAlign w:val="center"/>
          </w:tcPr>
          <w:p w14:paraId="121B68AB"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510E7819" w14:textId="77777777" w:rsidTr="00284074">
        <w:trPr>
          <w:cantSplit/>
        </w:trPr>
        <w:tc>
          <w:tcPr>
            <w:tcW w:w="1700" w:type="dxa"/>
            <w:vAlign w:val="center"/>
          </w:tcPr>
          <w:p w14:paraId="328C3B51"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3.</w:t>
            </w:r>
          </w:p>
        </w:tc>
        <w:tc>
          <w:tcPr>
            <w:tcW w:w="2835" w:type="dxa"/>
            <w:vAlign w:val="center"/>
          </w:tcPr>
          <w:p w14:paraId="48CC660C"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Umjerene</w:t>
            </w:r>
          </w:p>
        </w:tc>
        <w:tc>
          <w:tcPr>
            <w:tcW w:w="2836" w:type="dxa"/>
            <w:vAlign w:val="center"/>
          </w:tcPr>
          <w:p w14:paraId="6473A91B"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35-85</w:t>
            </w:r>
          </w:p>
        </w:tc>
        <w:tc>
          <w:tcPr>
            <w:tcW w:w="1701" w:type="dxa"/>
            <w:vAlign w:val="center"/>
          </w:tcPr>
          <w:p w14:paraId="442B6D57"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2B79B9F9" w14:textId="77777777" w:rsidTr="00284074">
        <w:trPr>
          <w:cantSplit/>
        </w:trPr>
        <w:tc>
          <w:tcPr>
            <w:tcW w:w="1700" w:type="dxa"/>
            <w:shd w:val="clear" w:color="auto" w:fill="FFC000"/>
            <w:vAlign w:val="center"/>
          </w:tcPr>
          <w:p w14:paraId="33223A97"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4.</w:t>
            </w:r>
          </w:p>
        </w:tc>
        <w:tc>
          <w:tcPr>
            <w:tcW w:w="2835" w:type="dxa"/>
            <w:shd w:val="clear" w:color="auto" w:fill="FFC000"/>
            <w:vAlign w:val="center"/>
          </w:tcPr>
          <w:p w14:paraId="432E6EB9"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Znatne</w:t>
            </w:r>
          </w:p>
        </w:tc>
        <w:tc>
          <w:tcPr>
            <w:tcW w:w="2836" w:type="dxa"/>
            <w:shd w:val="clear" w:color="auto" w:fill="FFC000"/>
            <w:vAlign w:val="center"/>
          </w:tcPr>
          <w:p w14:paraId="675A8E10"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85-269</w:t>
            </w:r>
          </w:p>
        </w:tc>
        <w:tc>
          <w:tcPr>
            <w:tcW w:w="1701" w:type="dxa"/>
            <w:shd w:val="clear" w:color="auto" w:fill="FFC000"/>
            <w:vAlign w:val="center"/>
          </w:tcPr>
          <w:p w14:paraId="1808FA5F"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385214E4" w14:textId="77777777" w:rsidTr="00284074">
        <w:trPr>
          <w:cantSplit/>
        </w:trPr>
        <w:tc>
          <w:tcPr>
            <w:tcW w:w="1700" w:type="dxa"/>
            <w:vAlign w:val="center"/>
          </w:tcPr>
          <w:p w14:paraId="77E0466B"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5.</w:t>
            </w:r>
          </w:p>
        </w:tc>
        <w:tc>
          <w:tcPr>
            <w:tcW w:w="2835" w:type="dxa"/>
            <w:vAlign w:val="center"/>
          </w:tcPr>
          <w:p w14:paraId="71FA6337"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Katastrofalne</w:t>
            </w:r>
          </w:p>
        </w:tc>
        <w:tc>
          <w:tcPr>
            <w:tcW w:w="2836" w:type="dxa"/>
            <w:vAlign w:val="center"/>
          </w:tcPr>
          <w:p w14:paraId="2DBD27FF"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&gt;269</w:t>
            </w:r>
          </w:p>
        </w:tc>
        <w:tc>
          <w:tcPr>
            <w:tcW w:w="1701" w:type="dxa"/>
            <w:vAlign w:val="center"/>
          </w:tcPr>
          <w:p w14:paraId="4CB43495"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x</w:t>
            </w:r>
          </w:p>
        </w:tc>
      </w:tr>
    </w:tbl>
    <w:p w14:paraId="3FF843B9" w14:textId="77777777" w:rsidR="002735B8" w:rsidRPr="002735B8" w:rsidRDefault="002735B8" w:rsidP="002735B8">
      <w:pPr>
        <w:spacing w:after="0" w:line="240" w:lineRule="auto"/>
        <w:ind w:left="0" w:right="0" w:firstLine="0"/>
        <w:rPr>
          <w:rFonts w:ascii="Times New Roman" w:hAnsi="Times New Roman" w:cs="Times New Roman"/>
          <w:i/>
          <w:sz w:val="24"/>
          <w:szCs w:val="24"/>
        </w:rPr>
      </w:pPr>
    </w:p>
    <w:p w14:paraId="324AE254" w14:textId="77777777" w:rsidR="002735B8" w:rsidRPr="00BE0540" w:rsidRDefault="002735B8" w:rsidP="00C70C9F">
      <w:pPr>
        <w:spacing w:after="0" w:line="240" w:lineRule="auto"/>
        <w:ind w:left="0" w:right="0" w:firstLine="709"/>
        <w:rPr>
          <w:rFonts w:ascii="Times New Roman" w:hAnsi="Times New Roman" w:cs="Times New Roman"/>
          <w:b/>
          <w:i/>
          <w:sz w:val="24"/>
          <w:szCs w:val="24"/>
        </w:rPr>
      </w:pPr>
      <w:r w:rsidRPr="00BE0540">
        <w:rPr>
          <w:rFonts w:ascii="Times New Roman" w:hAnsi="Times New Roman" w:cs="Times New Roman"/>
          <w:b/>
          <w:i/>
          <w:sz w:val="24"/>
          <w:szCs w:val="24"/>
        </w:rPr>
        <w:t>6.7.5.1.2. Gospodarstvo</w:t>
      </w:r>
    </w:p>
    <w:p w14:paraId="1E10918F"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Posljedice na gospodarstvo procjenjuju se kroz direktne (izravne) i indirektne (neizravne) gubitke u odnosu na proračun. Direktni gubici vezani su uz troškove sanacije, zatim zbrinjavanja ozlijeđenih, dok se indirektni gubici ogledaju u degradaciji životne sredine. Ako se uzme u obzir da će u slučaju najgoreg događaja biti u potpunosti uništeno odlagalište otpada zajedno sa visokotehnološkim popratnim odlagališnim postrojenjima, a da je za sanaciju odlagališta Jakuševec koja je trajala od 1995. do  2012. godine utrošeno 75 milijuna eura</w:t>
      </w:r>
      <w:r w:rsidRPr="002735B8">
        <w:rPr>
          <w:rFonts w:ascii="Times New Roman" w:hAnsi="Times New Roman" w:cs="Times New Roman"/>
          <w:sz w:val="24"/>
          <w:szCs w:val="24"/>
          <w:vertAlign w:val="superscript"/>
        </w:rPr>
        <w:footnoteReference w:id="113"/>
      </w:r>
      <w:r w:rsidRPr="002735B8">
        <w:rPr>
          <w:rFonts w:ascii="Times New Roman" w:hAnsi="Times New Roman" w:cs="Times New Roman"/>
          <w:sz w:val="24"/>
          <w:szCs w:val="24"/>
        </w:rPr>
        <w:t>, izgledne su katastrofalne posljedice po gospodarstvo. Uz navedene troškove, treba računati na troškove sanacije okoliša uz sam perimetar odlagališta, troškove vezane uz ponovnu uspostavu vodoopskrbnog sustava i eventualno traženje rezervnih lokacija za izgradnju novih vodocrpilišta, troškove povezane sa distribucijom pitke vode stanovništvu cisternama, troškove pronalaženja zamjenske lokacije za odlaganje otpada, troškove rada hitnih službi (zbog dubinskog požara intervencija na požarištu će trajati dulje razdoblje), troškove liječenja stanovništva i mjerenja razina onečišćenja.</w:t>
      </w:r>
    </w:p>
    <w:p w14:paraId="7CACE919" w14:textId="77777777" w:rsidR="002735B8" w:rsidRPr="002735B8" w:rsidRDefault="002735B8" w:rsidP="002735B8">
      <w:pPr>
        <w:spacing w:after="0" w:line="240" w:lineRule="auto"/>
        <w:ind w:left="0" w:right="0" w:firstLine="0"/>
        <w:rPr>
          <w:rFonts w:ascii="Times New Roman" w:hAnsi="Times New Roman" w:cs="Times New Roman"/>
          <w:i/>
          <w:sz w:val="24"/>
          <w:szCs w:val="24"/>
        </w:rPr>
      </w:pPr>
    </w:p>
    <w:p w14:paraId="10774F3C" w14:textId="5B2791FB" w:rsidR="002735B8" w:rsidRPr="0088761D" w:rsidRDefault="002735B8" w:rsidP="00C6494D">
      <w:pPr>
        <w:spacing w:line="240" w:lineRule="auto"/>
        <w:ind w:left="0" w:right="0" w:firstLine="0"/>
        <w:jc w:val="center"/>
        <w:rPr>
          <w:rFonts w:ascii="Times New Roman" w:hAnsi="Times New Roman" w:cs="Times New Roman"/>
          <w:b/>
          <w:iCs/>
          <w:color w:val="auto"/>
          <w:sz w:val="24"/>
          <w:szCs w:val="24"/>
        </w:rPr>
      </w:pPr>
      <w:r w:rsidRPr="0088761D">
        <w:rPr>
          <w:rFonts w:ascii="Times New Roman" w:hAnsi="Times New Roman" w:cs="Times New Roman"/>
          <w:b/>
          <w:iCs/>
          <w:color w:val="auto"/>
          <w:sz w:val="24"/>
          <w:szCs w:val="24"/>
        </w:rPr>
        <w:t xml:space="preserve">Tablica </w:t>
      </w:r>
      <w:r w:rsidR="0088761D" w:rsidRPr="0088761D">
        <w:rPr>
          <w:rFonts w:ascii="Times New Roman" w:hAnsi="Times New Roman" w:cs="Times New Roman"/>
          <w:b/>
          <w:iCs/>
          <w:color w:val="auto"/>
          <w:sz w:val="24"/>
          <w:szCs w:val="24"/>
        </w:rPr>
        <w:t>117</w:t>
      </w:r>
      <w:r w:rsidRPr="0088761D">
        <w:rPr>
          <w:rFonts w:ascii="Times New Roman" w:hAnsi="Times New Roman" w:cs="Times New Roman"/>
          <w:b/>
          <w:iCs/>
          <w:color w:val="auto"/>
          <w:sz w:val="24"/>
          <w:szCs w:val="24"/>
        </w:rPr>
        <w:t>. Vrijednost kriterija za posljedice na gospodarstvo po kategorijama</w:t>
      </w:r>
    </w:p>
    <w:tbl>
      <w:tblPr>
        <w:tblStyle w:val="TableGrid8"/>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01"/>
        <w:gridCol w:w="2835"/>
        <w:gridCol w:w="2835"/>
        <w:gridCol w:w="1701"/>
      </w:tblGrid>
      <w:tr w:rsidR="002735B8" w:rsidRPr="002735B8" w14:paraId="1CCEB3A8" w14:textId="77777777" w:rsidTr="00284074">
        <w:trPr>
          <w:cantSplit/>
        </w:trPr>
        <w:tc>
          <w:tcPr>
            <w:tcW w:w="9072" w:type="dxa"/>
            <w:gridSpan w:val="4"/>
            <w:shd w:val="clear" w:color="auto" w:fill="FFC000"/>
            <w:vAlign w:val="center"/>
          </w:tcPr>
          <w:p w14:paraId="4C275AAE"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Gospodarstvo – nesreća na odlagalištu otpada</w:t>
            </w:r>
          </w:p>
        </w:tc>
      </w:tr>
      <w:tr w:rsidR="002735B8" w:rsidRPr="002735B8" w14:paraId="73229F4F" w14:textId="77777777" w:rsidTr="00284074">
        <w:trPr>
          <w:cantSplit/>
        </w:trPr>
        <w:tc>
          <w:tcPr>
            <w:tcW w:w="1701" w:type="dxa"/>
            <w:shd w:val="clear" w:color="auto" w:fill="FFC000"/>
            <w:vAlign w:val="center"/>
          </w:tcPr>
          <w:p w14:paraId="40CF03D5"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Kategorija</w:t>
            </w:r>
          </w:p>
        </w:tc>
        <w:tc>
          <w:tcPr>
            <w:tcW w:w="2835" w:type="dxa"/>
            <w:shd w:val="clear" w:color="auto" w:fill="FFC000"/>
            <w:vAlign w:val="center"/>
          </w:tcPr>
          <w:p w14:paraId="60D2C703"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Posljedice</w:t>
            </w:r>
          </w:p>
        </w:tc>
        <w:tc>
          <w:tcPr>
            <w:tcW w:w="2835" w:type="dxa"/>
            <w:shd w:val="clear" w:color="auto" w:fill="FFC000"/>
            <w:vAlign w:val="center"/>
          </w:tcPr>
          <w:p w14:paraId="1129A69E"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Kriteriji (kn)</w:t>
            </w:r>
          </w:p>
        </w:tc>
        <w:tc>
          <w:tcPr>
            <w:tcW w:w="1701" w:type="dxa"/>
            <w:shd w:val="clear" w:color="auto" w:fill="FFC000"/>
            <w:vAlign w:val="center"/>
          </w:tcPr>
          <w:p w14:paraId="05E9BDCA"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ODABRANO</w:t>
            </w:r>
          </w:p>
        </w:tc>
      </w:tr>
      <w:tr w:rsidR="002735B8" w:rsidRPr="002735B8" w14:paraId="253C7AEF" w14:textId="77777777" w:rsidTr="00284074">
        <w:trPr>
          <w:cantSplit/>
        </w:trPr>
        <w:tc>
          <w:tcPr>
            <w:tcW w:w="1701" w:type="dxa"/>
            <w:vAlign w:val="center"/>
          </w:tcPr>
          <w:p w14:paraId="12468AFE"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1.</w:t>
            </w:r>
          </w:p>
        </w:tc>
        <w:tc>
          <w:tcPr>
            <w:tcW w:w="2835" w:type="dxa"/>
            <w:vAlign w:val="center"/>
          </w:tcPr>
          <w:p w14:paraId="374EFE54"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Neznatne</w:t>
            </w:r>
          </w:p>
        </w:tc>
        <w:tc>
          <w:tcPr>
            <w:tcW w:w="2835" w:type="dxa"/>
            <w:vAlign w:val="center"/>
          </w:tcPr>
          <w:p w14:paraId="6C7F9E00"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75.634.600 - 151.269.100</w:t>
            </w:r>
          </w:p>
        </w:tc>
        <w:tc>
          <w:tcPr>
            <w:tcW w:w="1701" w:type="dxa"/>
            <w:vAlign w:val="center"/>
          </w:tcPr>
          <w:p w14:paraId="76DD5CC2"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6E50CA23" w14:textId="77777777" w:rsidTr="00284074">
        <w:trPr>
          <w:cantSplit/>
        </w:trPr>
        <w:tc>
          <w:tcPr>
            <w:tcW w:w="1701" w:type="dxa"/>
            <w:shd w:val="clear" w:color="auto" w:fill="FFC000"/>
            <w:vAlign w:val="center"/>
          </w:tcPr>
          <w:p w14:paraId="1C44F16D"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2.</w:t>
            </w:r>
          </w:p>
        </w:tc>
        <w:tc>
          <w:tcPr>
            <w:tcW w:w="2835" w:type="dxa"/>
            <w:shd w:val="clear" w:color="auto" w:fill="FFC000"/>
            <w:vAlign w:val="center"/>
          </w:tcPr>
          <w:p w14:paraId="1BEEAAD5"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Malene</w:t>
            </w:r>
          </w:p>
        </w:tc>
        <w:tc>
          <w:tcPr>
            <w:tcW w:w="2835" w:type="dxa"/>
            <w:shd w:val="clear" w:color="auto" w:fill="FFC000"/>
            <w:vAlign w:val="center"/>
          </w:tcPr>
          <w:p w14:paraId="2E1C64C1"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151.269.100 - 756.345.600</w:t>
            </w:r>
          </w:p>
        </w:tc>
        <w:tc>
          <w:tcPr>
            <w:tcW w:w="1701" w:type="dxa"/>
            <w:shd w:val="clear" w:color="auto" w:fill="FFC000"/>
            <w:vAlign w:val="center"/>
          </w:tcPr>
          <w:p w14:paraId="1251FC82"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23D6D460" w14:textId="77777777" w:rsidTr="00284074">
        <w:trPr>
          <w:cantSplit/>
        </w:trPr>
        <w:tc>
          <w:tcPr>
            <w:tcW w:w="1701" w:type="dxa"/>
            <w:vAlign w:val="center"/>
          </w:tcPr>
          <w:p w14:paraId="2C67826C"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3.</w:t>
            </w:r>
          </w:p>
        </w:tc>
        <w:tc>
          <w:tcPr>
            <w:tcW w:w="2835" w:type="dxa"/>
            <w:vAlign w:val="center"/>
          </w:tcPr>
          <w:p w14:paraId="1A033DAE"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Umjerene</w:t>
            </w:r>
          </w:p>
        </w:tc>
        <w:tc>
          <w:tcPr>
            <w:tcW w:w="2835" w:type="dxa"/>
            <w:vAlign w:val="center"/>
          </w:tcPr>
          <w:p w14:paraId="09620AE4"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756.345.600 - 2.269.036.800</w:t>
            </w:r>
          </w:p>
        </w:tc>
        <w:tc>
          <w:tcPr>
            <w:tcW w:w="1701" w:type="dxa"/>
            <w:vAlign w:val="center"/>
          </w:tcPr>
          <w:p w14:paraId="114875AB"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4F2A59EE" w14:textId="77777777" w:rsidTr="00284074">
        <w:trPr>
          <w:cantSplit/>
        </w:trPr>
        <w:tc>
          <w:tcPr>
            <w:tcW w:w="1701" w:type="dxa"/>
            <w:shd w:val="clear" w:color="auto" w:fill="FFC000"/>
            <w:vAlign w:val="center"/>
          </w:tcPr>
          <w:p w14:paraId="039E23A5"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4.</w:t>
            </w:r>
          </w:p>
        </w:tc>
        <w:tc>
          <w:tcPr>
            <w:tcW w:w="2835" w:type="dxa"/>
            <w:shd w:val="clear" w:color="auto" w:fill="FFC000"/>
            <w:vAlign w:val="center"/>
          </w:tcPr>
          <w:p w14:paraId="64CA3054"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Znatne</w:t>
            </w:r>
          </w:p>
        </w:tc>
        <w:tc>
          <w:tcPr>
            <w:tcW w:w="2835" w:type="dxa"/>
            <w:shd w:val="clear" w:color="auto" w:fill="FFC000"/>
            <w:vAlign w:val="center"/>
          </w:tcPr>
          <w:p w14:paraId="3BACF9FB"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2.269.036.800 - 3.781.727.900</w:t>
            </w:r>
          </w:p>
        </w:tc>
        <w:tc>
          <w:tcPr>
            <w:tcW w:w="1701" w:type="dxa"/>
            <w:shd w:val="clear" w:color="auto" w:fill="FFC000"/>
            <w:vAlign w:val="center"/>
          </w:tcPr>
          <w:p w14:paraId="75FEE87F"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266C9BF2" w14:textId="77777777" w:rsidTr="00284074">
        <w:trPr>
          <w:cantSplit/>
        </w:trPr>
        <w:tc>
          <w:tcPr>
            <w:tcW w:w="1701" w:type="dxa"/>
            <w:vAlign w:val="center"/>
          </w:tcPr>
          <w:p w14:paraId="26C8DACD"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5.</w:t>
            </w:r>
          </w:p>
        </w:tc>
        <w:tc>
          <w:tcPr>
            <w:tcW w:w="2835" w:type="dxa"/>
            <w:vAlign w:val="center"/>
          </w:tcPr>
          <w:p w14:paraId="027EAE10"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Katastrofalne</w:t>
            </w:r>
          </w:p>
        </w:tc>
        <w:tc>
          <w:tcPr>
            <w:tcW w:w="2835" w:type="dxa"/>
            <w:vAlign w:val="center"/>
          </w:tcPr>
          <w:p w14:paraId="50E84925"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&gt;3.781.727.900</w:t>
            </w:r>
          </w:p>
        </w:tc>
        <w:tc>
          <w:tcPr>
            <w:tcW w:w="1701" w:type="dxa"/>
            <w:vAlign w:val="center"/>
          </w:tcPr>
          <w:p w14:paraId="7A4AE629"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x</w:t>
            </w:r>
          </w:p>
        </w:tc>
      </w:tr>
    </w:tbl>
    <w:p w14:paraId="5ED86F43" w14:textId="77777777" w:rsidR="00BE0540" w:rsidRDefault="00BE0540" w:rsidP="002735B8">
      <w:pPr>
        <w:spacing w:after="0" w:line="240" w:lineRule="auto"/>
        <w:ind w:left="0" w:right="0" w:firstLine="0"/>
        <w:rPr>
          <w:rFonts w:ascii="Times New Roman" w:hAnsi="Times New Roman" w:cs="Times New Roman"/>
          <w:b/>
          <w:i/>
          <w:sz w:val="24"/>
          <w:szCs w:val="24"/>
        </w:rPr>
      </w:pPr>
    </w:p>
    <w:p w14:paraId="43159008" w14:textId="16DAB181" w:rsidR="002735B8" w:rsidRPr="00BE0540" w:rsidRDefault="002735B8" w:rsidP="00C70C9F">
      <w:pPr>
        <w:spacing w:after="0" w:line="240" w:lineRule="auto"/>
        <w:ind w:left="0" w:right="0" w:firstLine="709"/>
        <w:rPr>
          <w:rFonts w:ascii="Times New Roman" w:hAnsi="Times New Roman" w:cs="Times New Roman"/>
          <w:b/>
          <w:i/>
          <w:sz w:val="24"/>
          <w:szCs w:val="24"/>
        </w:rPr>
      </w:pPr>
      <w:r w:rsidRPr="00BE0540">
        <w:rPr>
          <w:rFonts w:ascii="Times New Roman" w:hAnsi="Times New Roman" w:cs="Times New Roman"/>
          <w:b/>
          <w:i/>
          <w:sz w:val="24"/>
          <w:szCs w:val="24"/>
        </w:rPr>
        <w:t>6.7.5.1.3. Društvena stabilnost i politika</w:t>
      </w:r>
    </w:p>
    <w:p w14:paraId="0936407F"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Posljedice vezane uz oštećenje kritične infrastrukture bit će neznatne</w:t>
      </w:r>
      <w:r w:rsidRPr="002735B8">
        <w:rPr>
          <w:rFonts w:ascii="Times New Roman" w:hAnsi="Times New Roman" w:cs="Times New Roman"/>
          <w:sz w:val="24"/>
          <w:szCs w:val="24"/>
          <w:vertAlign w:val="superscript"/>
        </w:rPr>
        <w:footnoteReference w:id="114"/>
      </w:r>
      <w:r w:rsidRPr="002735B8">
        <w:rPr>
          <w:rFonts w:ascii="Times New Roman" w:hAnsi="Times New Roman" w:cs="Times New Roman"/>
          <w:sz w:val="24"/>
          <w:szCs w:val="24"/>
        </w:rPr>
        <w:t xml:space="preserve"> jer će uslijed udarnog vala eksplozije doći do pucanja stakala na određenim objektima, ali oni zbog toga neće postati nefunkcionalni. Izgledno je očekivati poteškoće u vodoopskrbnom sustavu, ali ne zbog oštećenja same infrastrukture, već zbog onečišćenja vodocrpilišta. Zbog pogoršanja uvjeta </w:t>
      </w:r>
      <w:r w:rsidRPr="002735B8">
        <w:rPr>
          <w:rFonts w:ascii="Times New Roman" w:hAnsi="Times New Roman" w:cs="Times New Roman"/>
          <w:sz w:val="24"/>
          <w:szCs w:val="24"/>
        </w:rPr>
        <w:lastRenderedPageBreak/>
        <w:t>života (izloženost toksičnom dimu, problemi sa vodoopskrbom i odvozom otpada), dio ljudi će napustiti područje grada što će imati implikacije na lokalnu politiku i društvenu stabilnost.</w:t>
      </w:r>
    </w:p>
    <w:p w14:paraId="01550BCD" w14:textId="77777777" w:rsidR="002735B8" w:rsidRPr="002735B8" w:rsidRDefault="002735B8" w:rsidP="002735B8">
      <w:pPr>
        <w:spacing w:after="0" w:line="240" w:lineRule="auto"/>
        <w:ind w:left="0" w:right="0" w:firstLine="0"/>
        <w:rPr>
          <w:rFonts w:ascii="Times New Roman" w:hAnsi="Times New Roman" w:cs="Times New Roman"/>
          <w:sz w:val="24"/>
          <w:szCs w:val="24"/>
        </w:rPr>
      </w:pPr>
    </w:p>
    <w:p w14:paraId="36B26BC6" w14:textId="3CECBB96" w:rsidR="002735B8" w:rsidRPr="002735B8" w:rsidRDefault="002735B8" w:rsidP="00C6494D">
      <w:pPr>
        <w:spacing w:line="240" w:lineRule="auto"/>
        <w:ind w:left="0" w:right="0" w:firstLine="0"/>
        <w:jc w:val="center"/>
        <w:rPr>
          <w:rFonts w:ascii="Times New Roman" w:hAnsi="Times New Roman" w:cs="Times New Roman"/>
          <w:b/>
          <w:iCs/>
          <w:color w:val="auto"/>
          <w:sz w:val="24"/>
          <w:szCs w:val="24"/>
        </w:rPr>
      </w:pPr>
      <w:r w:rsidRPr="009211D2">
        <w:rPr>
          <w:rFonts w:ascii="Times New Roman" w:hAnsi="Times New Roman" w:cs="Times New Roman"/>
          <w:b/>
          <w:iCs/>
          <w:color w:val="auto"/>
          <w:sz w:val="24"/>
          <w:szCs w:val="24"/>
        </w:rPr>
        <w:t xml:space="preserve">Tablica </w:t>
      </w:r>
      <w:r w:rsidR="009211D2" w:rsidRPr="009211D2">
        <w:rPr>
          <w:rFonts w:ascii="Times New Roman" w:hAnsi="Times New Roman" w:cs="Times New Roman"/>
          <w:b/>
          <w:iCs/>
          <w:color w:val="auto"/>
          <w:sz w:val="24"/>
          <w:szCs w:val="24"/>
        </w:rPr>
        <w:t>118</w:t>
      </w:r>
      <w:r w:rsidRPr="009211D2">
        <w:rPr>
          <w:rFonts w:ascii="Times New Roman" w:hAnsi="Times New Roman" w:cs="Times New Roman"/>
          <w:b/>
          <w:iCs/>
          <w:color w:val="auto"/>
          <w:sz w:val="24"/>
          <w:szCs w:val="24"/>
        </w:rPr>
        <w:t xml:space="preserve">. Vrijednost kriterija za posljedice na društvenu stabilnost i politiku - </w:t>
      </w:r>
      <w:r w:rsidRPr="002735B8">
        <w:rPr>
          <w:rFonts w:ascii="Times New Roman" w:hAnsi="Times New Roman" w:cs="Times New Roman"/>
          <w:b/>
          <w:iCs/>
          <w:color w:val="auto"/>
          <w:sz w:val="24"/>
          <w:szCs w:val="24"/>
        </w:rPr>
        <w:t>oštećena kritična infrastruktura</w:t>
      </w:r>
    </w:p>
    <w:tbl>
      <w:tblPr>
        <w:tblStyle w:val="TableGrid8"/>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60" w:type="dxa"/>
        </w:tblCellMar>
        <w:tblLook w:val="04A0" w:firstRow="1" w:lastRow="0" w:firstColumn="1" w:lastColumn="0" w:noHBand="0" w:noVBand="1"/>
      </w:tblPr>
      <w:tblGrid>
        <w:gridCol w:w="1700"/>
        <w:gridCol w:w="2690"/>
        <w:gridCol w:w="3118"/>
        <w:gridCol w:w="1564"/>
      </w:tblGrid>
      <w:tr w:rsidR="002735B8" w:rsidRPr="002735B8" w14:paraId="483384EE" w14:textId="77777777" w:rsidTr="00284074">
        <w:trPr>
          <w:cantSplit/>
          <w:tblHeader/>
        </w:trPr>
        <w:tc>
          <w:tcPr>
            <w:tcW w:w="9072" w:type="dxa"/>
            <w:gridSpan w:val="4"/>
            <w:shd w:val="clear" w:color="auto" w:fill="FFC000"/>
            <w:vAlign w:val="center"/>
          </w:tcPr>
          <w:p w14:paraId="75DD5C86"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Oštećena kritična infrastruktura – nesreća na odlagalištu otpada</w:t>
            </w:r>
          </w:p>
        </w:tc>
      </w:tr>
      <w:tr w:rsidR="002735B8" w:rsidRPr="002735B8" w14:paraId="4F7F32B2" w14:textId="77777777" w:rsidTr="00284074">
        <w:trPr>
          <w:cantSplit/>
          <w:tblHeader/>
        </w:trPr>
        <w:tc>
          <w:tcPr>
            <w:tcW w:w="1700" w:type="dxa"/>
            <w:shd w:val="clear" w:color="auto" w:fill="FFC000"/>
            <w:vAlign w:val="center"/>
          </w:tcPr>
          <w:p w14:paraId="7B7F68DD"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Kategorija</w:t>
            </w:r>
          </w:p>
        </w:tc>
        <w:tc>
          <w:tcPr>
            <w:tcW w:w="2690" w:type="dxa"/>
            <w:shd w:val="clear" w:color="auto" w:fill="FFC000"/>
            <w:vAlign w:val="center"/>
          </w:tcPr>
          <w:p w14:paraId="61E6CE49"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Posljedice</w:t>
            </w:r>
          </w:p>
        </w:tc>
        <w:tc>
          <w:tcPr>
            <w:tcW w:w="3118" w:type="dxa"/>
            <w:shd w:val="clear" w:color="auto" w:fill="FFC000"/>
            <w:vAlign w:val="center"/>
          </w:tcPr>
          <w:p w14:paraId="6E84A4DA"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Kriteriji (kn)</w:t>
            </w:r>
          </w:p>
        </w:tc>
        <w:tc>
          <w:tcPr>
            <w:tcW w:w="1564" w:type="dxa"/>
            <w:shd w:val="clear" w:color="auto" w:fill="FFC000"/>
            <w:vAlign w:val="center"/>
          </w:tcPr>
          <w:p w14:paraId="71B53355"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ODABRANO</w:t>
            </w:r>
          </w:p>
        </w:tc>
      </w:tr>
      <w:tr w:rsidR="002735B8" w:rsidRPr="002735B8" w14:paraId="716A7D64" w14:textId="77777777" w:rsidTr="00284074">
        <w:trPr>
          <w:cantSplit/>
        </w:trPr>
        <w:tc>
          <w:tcPr>
            <w:tcW w:w="1700" w:type="dxa"/>
            <w:vAlign w:val="center"/>
          </w:tcPr>
          <w:p w14:paraId="5DC8C961"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1.</w:t>
            </w:r>
          </w:p>
        </w:tc>
        <w:tc>
          <w:tcPr>
            <w:tcW w:w="2690" w:type="dxa"/>
            <w:vAlign w:val="center"/>
          </w:tcPr>
          <w:p w14:paraId="7AE26B98"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Neznatne</w:t>
            </w:r>
          </w:p>
        </w:tc>
        <w:tc>
          <w:tcPr>
            <w:tcW w:w="3118" w:type="dxa"/>
            <w:vAlign w:val="center"/>
          </w:tcPr>
          <w:p w14:paraId="5B46B2DC"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75.634.600 - 151.269.100</w:t>
            </w:r>
          </w:p>
        </w:tc>
        <w:tc>
          <w:tcPr>
            <w:tcW w:w="1564" w:type="dxa"/>
            <w:vAlign w:val="center"/>
          </w:tcPr>
          <w:p w14:paraId="42487983"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x</w:t>
            </w:r>
          </w:p>
        </w:tc>
      </w:tr>
      <w:tr w:rsidR="002735B8" w:rsidRPr="002735B8" w14:paraId="50A259DB" w14:textId="77777777" w:rsidTr="00284074">
        <w:trPr>
          <w:cantSplit/>
        </w:trPr>
        <w:tc>
          <w:tcPr>
            <w:tcW w:w="1700" w:type="dxa"/>
            <w:shd w:val="clear" w:color="auto" w:fill="FFC000"/>
            <w:vAlign w:val="center"/>
          </w:tcPr>
          <w:p w14:paraId="1D594743"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2.</w:t>
            </w:r>
          </w:p>
        </w:tc>
        <w:tc>
          <w:tcPr>
            <w:tcW w:w="2690" w:type="dxa"/>
            <w:shd w:val="clear" w:color="auto" w:fill="FFC000"/>
            <w:vAlign w:val="center"/>
          </w:tcPr>
          <w:p w14:paraId="050F9868"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Malene</w:t>
            </w:r>
          </w:p>
        </w:tc>
        <w:tc>
          <w:tcPr>
            <w:tcW w:w="3118" w:type="dxa"/>
            <w:shd w:val="clear" w:color="auto" w:fill="FFC000"/>
            <w:vAlign w:val="center"/>
          </w:tcPr>
          <w:p w14:paraId="425670B3"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151.269.100 - 756.345.600</w:t>
            </w:r>
          </w:p>
        </w:tc>
        <w:tc>
          <w:tcPr>
            <w:tcW w:w="1564" w:type="dxa"/>
            <w:shd w:val="clear" w:color="auto" w:fill="FFC000"/>
            <w:vAlign w:val="center"/>
          </w:tcPr>
          <w:p w14:paraId="092E4F3C"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3FF0B1BF" w14:textId="77777777" w:rsidTr="00284074">
        <w:trPr>
          <w:cantSplit/>
        </w:trPr>
        <w:tc>
          <w:tcPr>
            <w:tcW w:w="1700" w:type="dxa"/>
            <w:vAlign w:val="center"/>
          </w:tcPr>
          <w:p w14:paraId="7F5E1513"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3.</w:t>
            </w:r>
          </w:p>
        </w:tc>
        <w:tc>
          <w:tcPr>
            <w:tcW w:w="2690" w:type="dxa"/>
            <w:vAlign w:val="center"/>
          </w:tcPr>
          <w:p w14:paraId="575B7708"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Umjerene</w:t>
            </w:r>
          </w:p>
        </w:tc>
        <w:tc>
          <w:tcPr>
            <w:tcW w:w="3118" w:type="dxa"/>
            <w:vAlign w:val="center"/>
          </w:tcPr>
          <w:p w14:paraId="6AF254EE"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756.345.600 - 2.269.036.800</w:t>
            </w:r>
          </w:p>
        </w:tc>
        <w:tc>
          <w:tcPr>
            <w:tcW w:w="1564" w:type="dxa"/>
            <w:vAlign w:val="center"/>
          </w:tcPr>
          <w:p w14:paraId="6DB1254B"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0CA840BA" w14:textId="77777777" w:rsidTr="00284074">
        <w:trPr>
          <w:cantSplit/>
        </w:trPr>
        <w:tc>
          <w:tcPr>
            <w:tcW w:w="1700" w:type="dxa"/>
            <w:shd w:val="clear" w:color="auto" w:fill="FFC000"/>
            <w:vAlign w:val="center"/>
          </w:tcPr>
          <w:p w14:paraId="0FDFBDD6"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4.</w:t>
            </w:r>
          </w:p>
        </w:tc>
        <w:tc>
          <w:tcPr>
            <w:tcW w:w="2690" w:type="dxa"/>
            <w:shd w:val="clear" w:color="auto" w:fill="FFC000"/>
            <w:vAlign w:val="center"/>
          </w:tcPr>
          <w:p w14:paraId="15827F3B"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Znatne</w:t>
            </w:r>
          </w:p>
        </w:tc>
        <w:tc>
          <w:tcPr>
            <w:tcW w:w="3118" w:type="dxa"/>
            <w:shd w:val="clear" w:color="auto" w:fill="FFC000"/>
            <w:vAlign w:val="center"/>
          </w:tcPr>
          <w:p w14:paraId="4A57AEA9"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2.269.036.800 - 3.781.727.900</w:t>
            </w:r>
          </w:p>
        </w:tc>
        <w:tc>
          <w:tcPr>
            <w:tcW w:w="1564" w:type="dxa"/>
            <w:shd w:val="clear" w:color="auto" w:fill="FFC000"/>
            <w:vAlign w:val="center"/>
          </w:tcPr>
          <w:p w14:paraId="20D45406"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35E919C0" w14:textId="77777777" w:rsidTr="00284074">
        <w:trPr>
          <w:cantSplit/>
        </w:trPr>
        <w:tc>
          <w:tcPr>
            <w:tcW w:w="1700" w:type="dxa"/>
            <w:vAlign w:val="center"/>
          </w:tcPr>
          <w:p w14:paraId="2DC7CB2E"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5.</w:t>
            </w:r>
          </w:p>
        </w:tc>
        <w:tc>
          <w:tcPr>
            <w:tcW w:w="2690" w:type="dxa"/>
            <w:vAlign w:val="center"/>
          </w:tcPr>
          <w:p w14:paraId="64CA729C"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Katastrofalne</w:t>
            </w:r>
          </w:p>
        </w:tc>
        <w:tc>
          <w:tcPr>
            <w:tcW w:w="3118" w:type="dxa"/>
            <w:vAlign w:val="center"/>
          </w:tcPr>
          <w:p w14:paraId="459BAEC7"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&gt;3.781.727.900</w:t>
            </w:r>
          </w:p>
        </w:tc>
        <w:tc>
          <w:tcPr>
            <w:tcW w:w="1564" w:type="dxa"/>
            <w:vAlign w:val="center"/>
          </w:tcPr>
          <w:p w14:paraId="008CD58C"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bl>
    <w:p w14:paraId="39899FAA" w14:textId="77777777" w:rsidR="002735B8" w:rsidRPr="002735B8" w:rsidRDefault="002735B8" w:rsidP="002735B8">
      <w:pPr>
        <w:spacing w:after="0" w:line="240" w:lineRule="auto"/>
        <w:ind w:left="0" w:right="0" w:firstLine="0"/>
        <w:jc w:val="center"/>
        <w:rPr>
          <w:rFonts w:ascii="Times New Roman" w:hAnsi="Times New Roman" w:cs="Times New Roman"/>
          <w:b/>
          <w:iCs/>
          <w:color w:val="FF0000"/>
          <w:sz w:val="24"/>
          <w:szCs w:val="24"/>
        </w:rPr>
      </w:pPr>
    </w:p>
    <w:p w14:paraId="6FBF10AD" w14:textId="2424916C" w:rsidR="002735B8" w:rsidRPr="002735B8" w:rsidRDefault="002735B8" w:rsidP="00C6494D">
      <w:pPr>
        <w:spacing w:line="240" w:lineRule="auto"/>
        <w:ind w:left="0" w:right="0" w:firstLine="0"/>
        <w:jc w:val="center"/>
        <w:rPr>
          <w:rFonts w:ascii="Times New Roman" w:hAnsi="Times New Roman" w:cs="Times New Roman"/>
          <w:b/>
          <w:iCs/>
          <w:color w:val="auto"/>
          <w:sz w:val="24"/>
          <w:szCs w:val="24"/>
        </w:rPr>
      </w:pPr>
      <w:r w:rsidRPr="009211D2">
        <w:rPr>
          <w:rFonts w:ascii="Times New Roman" w:hAnsi="Times New Roman" w:cs="Times New Roman"/>
          <w:b/>
          <w:iCs/>
          <w:color w:val="auto"/>
          <w:sz w:val="24"/>
          <w:szCs w:val="24"/>
        </w:rPr>
        <w:t xml:space="preserve">Tablica </w:t>
      </w:r>
      <w:r w:rsidR="009211D2" w:rsidRPr="009211D2">
        <w:rPr>
          <w:rFonts w:ascii="Times New Roman" w:hAnsi="Times New Roman" w:cs="Times New Roman"/>
          <w:b/>
          <w:iCs/>
          <w:color w:val="auto"/>
          <w:sz w:val="24"/>
          <w:szCs w:val="24"/>
        </w:rPr>
        <w:t>119</w:t>
      </w:r>
      <w:r w:rsidRPr="009211D2">
        <w:rPr>
          <w:rFonts w:ascii="Times New Roman" w:hAnsi="Times New Roman" w:cs="Times New Roman"/>
          <w:b/>
          <w:iCs/>
          <w:color w:val="auto"/>
          <w:sz w:val="24"/>
          <w:szCs w:val="24"/>
        </w:rPr>
        <w:t xml:space="preserve">. Vrijednost kriterija za posljedice na društvenu stabilnost i politiku - </w:t>
      </w:r>
      <w:r w:rsidRPr="002735B8">
        <w:rPr>
          <w:rFonts w:ascii="Times New Roman" w:hAnsi="Times New Roman" w:cs="Times New Roman"/>
          <w:b/>
          <w:iCs/>
          <w:color w:val="auto"/>
          <w:sz w:val="24"/>
          <w:szCs w:val="24"/>
        </w:rPr>
        <w:t>štete/gubitci na ustanovama/građevinama javnog društvenog značaja</w:t>
      </w:r>
    </w:p>
    <w:tbl>
      <w:tblPr>
        <w:tblStyle w:val="TableGrid8"/>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60" w:type="dxa"/>
        </w:tblCellMar>
        <w:tblLook w:val="04A0" w:firstRow="1" w:lastRow="0" w:firstColumn="1" w:lastColumn="0" w:noHBand="0" w:noVBand="1"/>
      </w:tblPr>
      <w:tblGrid>
        <w:gridCol w:w="1700"/>
        <w:gridCol w:w="2690"/>
        <w:gridCol w:w="3118"/>
        <w:gridCol w:w="1564"/>
      </w:tblGrid>
      <w:tr w:rsidR="002735B8" w:rsidRPr="002735B8" w14:paraId="77F892B6" w14:textId="77777777" w:rsidTr="00284074">
        <w:trPr>
          <w:cantSplit/>
          <w:tblHeader/>
        </w:trPr>
        <w:tc>
          <w:tcPr>
            <w:tcW w:w="9072" w:type="dxa"/>
            <w:gridSpan w:val="4"/>
            <w:shd w:val="clear" w:color="auto" w:fill="FFC000"/>
            <w:vAlign w:val="center"/>
          </w:tcPr>
          <w:p w14:paraId="0FEFA779"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Štete/gubitci na građevinama od javnog društvenog značaja – nesreća na odlagalištu otpada</w:t>
            </w:r>
          </w:p>
        </w:tc>
      </w:tr>
      <w:tr w:rsidR="002735B8" w:rsidRPr="002735B8" w14:paraId="6F3EC557" w14:textId="77777777" w:rsidTr="00284074">
        <w:trPr>
          <w:cantSplit/>
          <w:tblHeader/>
        </w:trPr>
        <w:tc>
          <w:tcPr>
            <w:tcW w:w="1700" w:type="dxa"/>
            <w:shd w:val="clear" w:color="auto" w:fill="FFC000"/>
            <w:vAlign w:val="center"/>
          </w:tcPr>
          <w:p w14:paraId="16215472"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Kategorija</w:t>
            </w:r>
          </w:p>
        </w:tc>
        <w:tc>
          <w:tcPr>
            <w:tcW w:w="2690" w:type="dxa"/>
            <w:shd w:val="clear" w:color="auto" w:fill="FFC000"/>
            <w:vAlign w:val="center"/>
          </w:tcPr>
          <w:p w14:paraId="17B14480"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Posljedice</w:t>
            </w:r>
          </w:p>
        </w:tc>
        <w:tc>
          <w:tcPr>
            <w:tcW w:w="3118" w:type="dxa"/>
            <w:shd w:val="clear" w:color="auto" w:fill="FFC000"/>
            <w:vAlign w:val="center"/>
          </w:tcPr>
          <w:p w14:paraId="069DA6FD"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Kriteriji (kn)</w:t>
            </w:r>
          </w:p>
        </w:tc>
        <w:tc>
          <w:tcPr>
            <w:tcW w:w="1564" w:type="dxa"/>
            <w:shd w:val="clear" w:color="auto" w:fill="FFC000"/>
            <w:vAlign w:val="center"/>
          </w:tcPr>
          <w:p w14:paraId="691BEC22"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ODABRANO</w:t>
            </w:r>
          </w:p>
        </w:tc>
      </w:tr>
      <w:tr w:rsidR="002735B8" w:rsidRPr="002735B8" w14:paraId="1F5E0668" w14:textId="77777777" w:rsidTr="00284074">
        <w:trPr>
          <w:cantSplit/>
        </w:trPr>
        <w:tc>
          <w:tcPr>
            <w:tcW w:w="1700" w:type="dxa"/>
            <w:vAlign w:val="center"/>
          </w:tcPr>
          <w:p w14:paraId="56259783"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1.</w:t>
            </w:r>
          </w:p>
        </w:tc>
        <w:tc>
          <w:tcPr>
            <w:tcW w:w="2690" w:type="dxa"/>
            <w:vAlign w:val="center"/>
          </w:tcPr>
          <w:p w14:paraId="7B324EA2"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Neznatne</w:t>
            </w:r>
          </w:p>
        </w:tc>
        <w:tc>
          <w:tcPr>
            <w:tcW w:w="3118" w:type="dxa"/>
            <w:vAlign w:val="center"/>
          </w:tcPr>
          <w:p w14:paraId="53FF9915"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75.634.600 - 151.269.100</w:t>
            </w:r>
          </w:p>
        </w:tc>
        <w:tc>
          <w:tcPr>
            <w:tcW w:w="1564" w:type="dxa"/>
            <w:vAlign w:val="center"/>
          </w:tcPr>
          <w:p w14:paraId="0FA09AC4"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x</w:t>
            </w:r>
          </w:p>
        </w:tc>
      </w:tr>
      <w:tr w:rsidR="002735B8" w:rsidRPr="002735B8" w14:paraId="504A14F0" w14:textId="77777777" w:rsidTr="00284074">
        <w:trPr>
          <w:cantSplit/>
        </w:trPr>
        <w:tc>
          <w:tcPr>
            <w:tcW w:w="1700" w:type="dxa"/>
            <w:shd w:val="clear" w:color="auto" w:fill="FFC000"/>
            <w:vAlign w:val="center"/>
          </w:tcPr>
          <w:p w14:paraId="752875E8"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2.</w:t>
            </w:r>
          </w:p>
        </w:tc>
        <w:tc>
          <w:tcPr>
            <w:tcW w:w="2690" w:type="dxa"/>
            <w:shd w:val="clear" w:color="auto" w:fill="FFC000"/>
            <w:vAlign w:val="center"/>
          </w:tcPr>
          <w:p w14:paraId="2C4032FA"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Malene</w:t>
            </w:r>
          </w:p>
        </w:tc>
        <w:tc>
          <w:tcPr>
            <w:tcW w:w="3118" w:type="dxa"/>
            <w:shd w:val="clear" w:color="auto" w:fill="FFC000"/>
            <w:vAlign w:val="center"/>
          </w:tcPr>
          <w:p w14:paraId="35F077AA"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151.269.100 - 756.345.600</w:t>
            </w:r>
          </w:p>
        </w:tc>
        <w:tc>
          <w:tcPr>
            <w:tcW w:w="1564" w:type="dxa"/>
            <w:shd w:val="clear" w:color="auto" w:fill="FFC000"/>
            <w:vAlign w:val="center"/>
          </w:tcPr>
          <w:p w14:paraId="652B7C3D"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27915F59" w14:textId="77777777" w:rsidTr="00284074">
        <w:trPr>
          <w:cantSplit/>
        </w:trPr>
        <w:tc>
          <w:tcPr>
            <w:tcW w:w="1700" w:type="dxa"/>
            <w:vAlign w:val="center"/>
          </w:tcPr>
          <w:p w14:paraId="451220CA"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3.</w:t>
            </w:r>
          </w:p>
        </w:tc>
        <w:tc>
          <w:tcPr>
            <w:tcW w:w="2690" w:type="dxa"/>
            <w:vAlign w:val="center"/>
          </w:tcPr>
          <w:p w14:paraId="6380CAE9"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Umjerene</w:t>
            </w:r>
          </w:p>
        </w:tc>
        <w:tc>
          <w:tcPr>
            <w:tcW w:w="3118" w:type="dxa"/>
            <w:vAlign w:val="center"/>
          </w:tcPr>
          <w:p w14:paraId="5EF52B34"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756.345.600 - 2.269.036.800</w:t>
            </w:r>
          </w:p>
        </w:tc>
        <w:tc>
          <w:tcPr>
            <w:tcW w:w="1564" w:type="dxa"/>
            <w:vAlign w:val="center"/>
          </w:tcPr>
          <w:p w14:paraId="7E874C91"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5DC827BB" w14:textId="77777777" w:rsidTr="00284074">
        <w:trPr>
          <w:cantSplit/>
        </w:trPr>
        <w:tc>
          <w:tcPr>
            <w:tcW w:w="1700" w:type="dxa"/>
            <w:shd w:val="clear" w:color="auto" w:fill="FFC000"/>
            <w:vAlign w:val="center"/>
          </w:tcPr>
          <w:p w14:paraId="0F0398CD"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4.</w:t>
            </w:r>
          </w:p>
        </w:tc>
        <w:tc>
          <w:tcPr>
            <w:tcW w:w="2690" w:type="dxa"/>
            <w:shd w:val="clear" w:color="auto" w:fill="FFC000"/>
            <w:vAlign w:val="center"/>
          </w:tcPr>
          <w:p w14:paraId="18099E2F"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Znatne</w:t>
            </w:r>
          </w:p>
        </w:tc>
        <w:tc>
          <w:tcPr>
            <w:tcW w:w="3118" w:type="dxa"/>
            <w:shd w:val="clear" w:color="auto" w:fill="FFC000"/>
            <w:vAlign w:val="center"/>
          </w:tcPr>
          <w:p w14:paraId="44061CE8"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2.269.036.800 - 3.781.727.900</w:t>
            </w:r>
          </w:p>
        </w:tc>
        <w:tc>
          <w:tcPr>
            <w:tcW w:w="1564" w:type="dxa"/>
            <w:shd w:val="clear" w:color="auto" w:fill="FFC000"/>
            <w:vAlign w:val="center"/>
          </w:tcPr>
          <w:p w14:paraId="398FD416"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r w:rsidR="002735B8" w:rsidRPr="002735B8" w14:paraId="46F9C9D1" w14:textId="77777777" w:rsidTr="00284074">
        <w:trPr>
          <w:cantSplit/>
        </w:trPr>
        <w:tc>
          <w:tcPr>
            <w:tcW w:w="1700" w:type="dxa"/>
            <w:vAlign w:val="center"/>
          </w:tcPr>
          <w:p w14:paraId="62A925AC"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5.</w:t>
            </w:r>
          </w:p>
        </w:tc>
        <w:tc>
          <w:tcPr>
            <w:tcW w:w="2690" w:type="dxa"/>
            <w:vAlign w:val="center"/>
          </w:tcPr>
          <w:p w14:paraId="0E17112D"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Katastrofalne</w:t>
            </w:r>
          </w:p>
        </w:tc>
        <w:tc>
          <w:tcPr>
            <w:tcW w:w="3118" w:type="dxa"/>
            <w:vAlign w:val="center"/>
          </w:tcPr>
          <w:p w14:paraId="25FAAF16"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&gt;3.781.727.900</w:t>
            </w:r>
          </w:p>
        </w:tc>
        <w:tc>
          <w:tcPr>
            <w:tcW w:w="1564" w:type="dxa"/>
            <w:vAlign w:val="center"/>
          </w:tcPr>
          <w:p w14:paraId="1D1B9A43"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p>
        </w:tc>
      </w:tr>
    </w:tbl>
    <w:p w14:paraId="77C029B8" w14:textId="77777777" w:rsidR="002735B8" w:rsidRPr="002735B8" w:rsidRDefault="002735B8" w:rsidP="002735B8">
      <w:pPr>
        <w:keepNext/>
        <w:keepLines/>
        <w:spacing w:after="4" w:line="268" w:lineRule="auto"/>
        <w:ind w:left="0" w:right="805" w:firstLine="0"/>
        <w:outlineLvl w:val="3"/>
        <w:rPr>
          <w:rFonts w:ascii="Times New Roman" w:hAnsi="Times New Roman" w:cs="Times New Roman"/>
          <w:b/>
          <w:color w:val="FF0000"/>
          <w:sz w:val="24"/>
          <w:szCs w:val="24"/>
        </w:rPr>
      </w:pPr>
    </w:p>
    <w:p w14:paraId="220D6D09" w14:textId="392A7975" w:rsidR="002735B8" w:rsidRPr="009211D2" w:rsidRDefault="002735B8" w:rsidP="002735B8">
      <w:pPr>
        <w:keepNext/>
        <w:keepLines/>
        <w:spacing w:after="4" w:line="268" w:lineRule="auto"/>
        <w:ind w:left="119" w:right="805"/>
        <w:jc w:val="center"/>
        <w:outlineLvl w:val="3"/>
        <w:rPr>
          <w:rFonts w:ascii="Times New Roman" w:hAnsi="Times New Roman" w:cs="Times New Roman"/>
          <w:b/>
          <w:color w:val="auto"/>
          <w:sz w:val="24"/>
          <w:szCs w:val="24"/>
        </w:rPr>
      </w:pPr>
      <w:r w:rsidRPr="009211D2">
        <w:rPr>
          <w:rFonts w:ascii="Times New Roman" w:hAnsi="Times New Roman" w:cs="Times New Roman"/>
          <w:b/>
          <w:color w:val="auto"/>
          <w:sz w:val="24"/>
          <w:szCs w:val="24"/>
        </w:rPr>
        <w:t xml:space="preserve">Tablica </w:t>
      </w:r>
      <w:r w:rsidR="009211D2" w:rsidRPr="009211D2">
        <w:rPr>
          <w:rFonts w:ascii="Times New Roman" w:hAnsi="Times New Roman" w:cs="Times New Roman"/>
          <w:b/>
          <w:color w:val="auto"/>
          <w:sz w:val="24"/>
          <w:szCs w:val="24"/>
        </w:rPr>
        <w:t>120</w:t>
      </w:r>
      <w:r w:rsidRPr="009211D2">
        <w:rPr>
          <w:rFonts w:ascii="Times New Roman" w:hAnsi="Times New Roman" w:cs="Times New Roman"/>
          <w:b/>
          <w:color w:val="auto"/>
          <w:sz w:val="24"/>
          <w:szCs w:val="24"/>
        </w:rPr>
        <w:t>. Vrijednost kriterija za društvenu stabilnost i politiku - zbirno</w:t>
      </w:r>
    </w:p>
    <w:tbl>
      <w:tblPr>
        <w:tblStyle w:val="TableGrid15"/>
        <w:tblW w:w="9072" w:type="dxa"/>
        <w:tblInd w:w="-5" w:type="dxa"/>
        <w:tblCellMar>
          <w:top w:w="11" w:type="dxa"/>
          <w:left w:w="137" w:type="dxa"/>
          <w:right w:w="49" w:type="dxa"/>
        </w:tblCellMar>
        <w:tblLook w:val="04A0" w:firstRow="1" w:lastRow="0" w:firstColumn="1" w:lastColumn="0" w:noHBand="0" w:noVBand="1"/>
      </w:tblPr>
      <w:tblGrid>
        <w:gridCol w:w="1714"/>
        <w:gridCol w:w="2453"/>
        <w:gridCol w:w="3114"/>
        <w:gridCol w:w="1791"/>
      </w:tblGrid>
      <w:tr w:rsidR="002735B8" w:rsidRPr="002735B8" w14:paraId="26DE3503" w14:textId="77777777" w:rsidTr="00284074">
        <w:trPr>
          <w:trHeight w:val="802"/>
        </w:trPr>
        <w:tc>
          <w:tcPr>
            <w:tcW w:w="1697" w:type="dxa"/>
            <w:tcBorders>
              <w:top w:val="single" w:sz="4" w:space="0" w:color="54883D"/>
              <w:left w:val="single" w:sz="4" w:space="0" w:color="54883D"/>
              <w:bottom w:val="single" w:sz="4" w:space="0" w:color="54883D"/>
              <w:right w:val="single" w:sz="4" w:space="0" w:color="54883D"/>
            </w:tcBorders>
            <w:shd w:val="clear" w:color="auto" w:fill="FFC000"/>
            <w:vAlign w:val="center"/>
          </w:tcPr>
          <w:p w14:paraId="781CA90A" w14:textId="77777777" w:rsidR="002735B8" w:rsidRPr="002735B8" w:rsidRDefault="002735B8" w:rsidP="002735B8">
            <w:pPr>
              <w:spacing w:after="0" w:line="259" w:lineRule="auto"/>
              <w:ind w:left="20" w:right="0" w:firstLine="0"/>
              <w:jc w:val="center"/>
              <w:rPr>
                <w:rFonts w:ascii="Times New Roman" w:hAnsi="Times New Roman" w:cs="Times New Roman"/>
                <w:sz w:val="24"/>
                <w:szCs w:val="24"/>
              </w:rPr>
            </w:pPr>
            <w:r w:rsidRPr="002735B8">
              <w:rPr>
                <w:rFonts w:ascii="Times New Roman" w:hAnsi="Times New Roman" w:cs="Times New Roman"/>
                <w:b/>
                <w:sz w:val="24"/>
                <w:szCs w:val="24"/>
              </w:rPr>
              <w:t>POSLJEDICE</w:t>
            </w:r>
          </w:p>
        </w:tc>
        <w:tc>
          <w:tcPr>
            <w:tcW w:w="2430" w:type="dxa"/>
            <w:tcBorders>
              <w:top w:val="single" w:sz="4" w:space="0" w:color="54883D"/>
              <w:left w:val="single" w:sz="4" w:space="0" w:color="54883D"/>
              <w:bottom w:val="single" w:sz="4" w:space="0" w:color="54883D"/>
              <w:right w:val="single" w:sz="4" w:space="0" w:color="54883D"/>
            </w:tcBorders>
            <w:shd w:val="clear" w:color="auto" w:fill="FFC000"/>
            <w:vAlign w:val="center"/>
          </w:tcPr>
          <w:p w14:paraId="7E8DDC5D" w14:textId="77777777" w:rsidR="002735B8" w:rsidRPr="002735B8" w:rsidRDefault="002735B8" w:rsidP="002735B8">
            <w:pPr>
              <w:spacing w:after="0" w:line="259"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KRITIČNA INFRASTRUKTURA</w:t>
            </w:r>
          </w:p>
        </w:tc>
        <w:tc>
          <w:tcPr>
            <w:tcW w:w="3084" w:type="dxa"/>
            <w:tcBorders>
              <w:top w:val="single" w:sz="4" w:space="0" w:color="54883D"/>
              <w:left w:val="single" w:sz="4" w:space="0" w:color="54883D"/>
              <w:bottom w:val="single" w:sz="4" w:space="0" w:color="54883D"/>
              <w:right w:val="single" w:sz="4" w:space="0" w:color="54883D"/>
            </w:tcBorders>
            <w:shd w:val="clear" w:color="auto" w:fill="FFC000"/>
          </w:tcPr>
          <w:p w14:paraId="234BE62E" w14:textId="77777777" w:rsidR="002735B8" w:rsidRPr="002735B8" w:rsidRDefault="002735B8" w:rsidP="002735B8">
            <w:pPr>
              <w:spacing w:after="19" w:line="259" w:lineRule="auto"/>
              <w:ind w:left="0" w:right="60" w:firstLine="0"/>
              <w:jc w:val="center"/>
              <w:rPr>
                <w:rFonts w:ascii="Times New Roman" w:hAnsi="Times New Roman" w:cs="Times New Roman"/>
                <w:sz w:val="24"/>
                <w:szCs w:val="24"/>
              </w:rPr>
            </w:pPr>
            <w:r w:rsidRPr="002735B8">
              <w:rPr>
                <w:rFonts w:ascii="Times New Roman" w:hAnsi="Times New Roman" w:cs="Times New Roman"/>
                <w:b/>
                <w:sz w:val="24"/>
                <w:szCs w:val="24"/>
              </w:rPr>
              <w:t>USTANOVE/GRAĐEVINE</w:t>
            </w:r>
          </w:p>
          <w:p w14:paraId="31CA3912" w14:textId="77777777" w:rsidR="002735B8" w:rsidRPr="002735B8" w:rsidRDefault="002735B8" w:rsidP="002735B8">
            <w:pPr>
              <w:spacing w:after="0" w:line="259"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JAVNOG DRUŠTVENOG ZNAČAJA</w:t>
            </w:r>
          </w:p>
        </w:tc>
        <w:tc>
          <w:tcPr>
            <w:tcW w:w="1861" w:type="dxa"/>
            <w:tcBorders>
              <w:top w:val="single" w:sz="4" w:space="0" w:color="54883D"/>
              <w:left w:val="single" w:sz="4" w:space="0" w:color="54883D"/>
              <w:bottom w:val="single" w:sz="4" w:space="0" w:color="54883D"/>
              <w:right w:val="single" w:sz="4" w:space="0" w:color="54883D"/>
            </w:tcBorders>
            <w:shd w:val="clear" w:color="auto" w:fill="FFC000"/>
            <w:vAlign w:val="center"/>
          </w:tcPr>
          <w:p w14:paraId="35FC3085" w14:textId="77777777" w:rsidR="002735B8" w:rsidRPr="002735B8" w:rsidRDefault="002735B8" w:rsidP="002735B8">
            <w:pPr>
              <w:spacing w:after="0" w:line="259"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ODABRANO</w:t>
            </w:r>
          </w:p>
        </w:tc>
      </w:tr>
      <w:tr w:rsidR="002735B8" w:rsidRPr="002735B8" w14:paraId="7CBC6599" w14:textId="77777777" w:rsidTr="00284074">
        <w:trPr>
          <w:trHeight w:val="277"/>
        </w:trPr>
        <w:tc>
          <w:tcPr>
            <w:tcW w:w="1697" w:type="dxa"/>
            <w:tcBorders>
              <w:top w:val="single" w:sz="4" w:space="0" w:color="54883D"/>
              <w:left w:val="single" w:sz="4" w:space="0" w:color="54883D"/>
              <w:bottom w:val="single" w:sz="4" w:space="0" w:color="54883D"/>
              <w:right w:val="single" w:sz="4" w:space="0" w:color="54883D"/>
            </w:tcBorders>
          </w:tcPr>
          <w:p w14:paraId="35A46DA3" w14:textId="77777777" w:rsidR="002735B8" w:rsidRPr="002735B8" w:rsidRDefault="002735B8" w:rsidP="002735B8">
            <w:pPr>
              <w:spacing w:after="0" w:line="259" w:lineRule="auto"/>
              <w:ind w:left="0" w:right="94" w:firstLine="0"/>
              <w:jc w:val="center"/>
              <w:rPr>
                <w:rFonts w:ascii="Times New Roman" w:hAnsi="Times New Roman" w:cs="Times New Roman"/>
                <w:sz w:val="24"/>
                <w:szCs w:val="24"/>
              </w:rPr>
            </w:pPr>
            <w:r w:rsidRPr="002735B8">
              <w:rPr>
                <w:rFonts w:ascii="Times New Roman" w:hAnsi="Times New Roman" w:cs="Times New Roman"/>
                <w:sz w:val="24"/>
                <w:szCs w:val="24"/>
              </w:rPr>
              <w:t>Neznatne</w:t>
            </w:r>
          </w:p>
        </w:tc>
        <w:tc>
          <w:tcPr>
            <w:tcW w:w="2430" w:type="dxa"/>
            <w:tcBorders>
              <w:top w:val="single" w:sz="4" w:space="0" w:color="54883D"/>
              <w:left w:val="single" w:sz="4" w:space="0" w:color="54883D"/>
              <w:bottom w:val="single" w:sz="4" w:space="0" w:color="54883D"/>
              <w:right w:val="single" w:sz="4" w:space="0" w:color="54883D"/>
            </w:tcBorders>
          </w:tcPr>
          <w:p w14:paraId="000ECCE0" w14:textId="77777777" w:rsidR="002735B8" w:rsidRPr="002735B8" w:rsidRDefault="002735B8" w:rsidP="002735B8">
            <w:pPr>
              <w:spacing w:after="0" w:line="259" w:lineRule="auto"/>
              <w:ind w:left="0" w:right="34" w:firstLine="0"/>
              <w:jc w:val="center"/>
              <w:rPr>
                <w:rFonts w:ascii="Times New Roman" w:hAnsi="Times New Roman" w:cs="Times New Roman"/>
                <w:sz w:val="24"/>
                <w:szCs w:val="24"/>
              </w:rPr>
            </w:pPr>
            <w:r w:rsidRPr="002735B8">
              <w:rPr>
                <w:rFonts w:ascii="Times New Roman" w:hAnsi="Times New Roman" w:cs="Times New Roman"/>
                <w:sz w:val="24"/>
                <w:szCs w:val="24"/>
              </w:rPr>
              <w:t>x</w:t>
            </w:r>
          </w:p>
        </w:tc>
        <w:tc>
          <w:tcPr>
            <w:tcW w:w="3084" w:type="dxa"/>
            <w:tcBorders>
              <w:top w:val="single" w:sz="4" w:space="0" w:color="54883D"/>
              <w:left w:val="single" w:sz="4" w:space="0" w:color="54883D"/>
              <w:bottom w:val="single" w:sz="4" w:space="0" w:color="54883D"/>
              <w:right w:val="single" w:sz="4" w:space="0" w:color="54883D"/>
            </w:tcBorders>
          </w:tcPr>
          <w:p w14:paraId="52D66BDD" w14:textId="77777777" w:rsidR="002735B8" w:rsidRPr="002735B8" w:rsidRDefault="002735B8" w:rsidP="002735B8">
            <w:pPr>
              <w:spacing w:after="0" w:line="259" w:lineRule="auto"/>
              <w:ind w:left="0" w:right="34" w:firstLine="0"/>
              <w:jc w:val="center"/>
              <w:rPr>
                <w:rFonts w:ascii="Times New Roman" w:hAnsi="Times New Roman" w:cs="Times New Roman"/>
                <w:sz w:val="24"/>
                <w:szCs w:val="24"/>
              </w:rPr>
            </w:pPr>
            <w:r w:rsidRPr="002735B8">
              <w:rPr>
                <w:rFonts w:ascii="Times New Roman" w:hAnsi="Times New Roman" w:cs="Times New Roman"/>
                <w:sz w:val="24"/>
                <w:szCs w:val="24"/>
              </w:rPr>
              <w:t>x</w:t>
            </w:r>
          </w:p>
        </w:tc>
        <w:tc>
          <w:tcPr>
            <w:tcW w:w="1861" w:type="dxa"/>
            <w:tcBorders>
              <w:top w:val="single" w:sz="4" w:space="0" w:color="54883D"/>
              <w:left w:val="single" w:sz="4" w:space="0" w:color="54883D"/>
              <w:bottom w:val="single" w:sz="4" w:space="0" w:color="54883D"/>
              <w:right w:val="single" w:sz="4" w:space="0" w:color="54883D"/>
            </w:tcBorders>
          </w:tcPr>
          <w:p w14:paraId="06F4E9DD" w14:textId="77777777" w:rsidR="002735B8" w:rsidRPr="002735B8" w:rsidRDefault="002735B8" w:rsidP="002735B8">
            <w:pPr>
              <w:spacing w:after="0" w:line="259" w:lineRule="auto"/>
              <w:ind w:left="0" w:right="31" w:firstLine="0"/>
              <w:jc w:val="center"/>
              <w:rPr>
                <w:rFonts w:ascii="Times New Roman" w:hAnsi="Times New Roman" w:cs="Times New Roman"/>
                <w:sz w:val="24"/>
                <w:szCs w:val="24"/>
              </w:rPr>
            </w:pPr>
            <w:r w:rsidRPr="002735B8">
              <w:rPr>
                <w:rFonts w:ascii="Times New Roman" w:hAnsi="Times New Roman" w:cs="Times New Roman"/>
                <w:sz w:val="24"/>
                <w:szCs w:val="24"/>
              </w:rPr>
              <w:t>x</w:t>
            </w:r>
          </w:p>
        </w:tc>
      </w:tr>
      <w:tr w:rsidR="002735B8" w:rsidRPr="002735B8" w14:paraId="3A699229" w14:textId="77777777" w:rsidTr="00284074">
        <w:trPr>
          <w:trHeight w:val="272"/>
        </w:trPr>
        <w:tc>
          <w:tcPr>
            <w:tcW w:w="1697" w:type="dxa"/>
            <w:tcBorders>
              <w:top w:val="single" w:sz="4" w:space="0" w:color="54883D"/>
              <w:left w:val="single" w:sz="4" w:space="0" w:color="54883D"/>
              <w:bottom w:val="single" w:sz="4" w:space="0" w:color="54883D"/>
              <w:right w:val="single" w:sz="4" w:space="0" w:color="54883D"/>
            </w:tcBorders>
            <w:shd w:val="clear" w:color="auto" w:fill="FFC000"/>
          </w:tcPr>
          <w:p w14:paraId="6292A620" w14:textId="77777777" w:rsidR="002735B8" w:rsidRPr="002735B8" w:rsidRDefault="002735B8" w:rsidP="002735B8">
            <w:pPr>
              <w:spacing w:after="0" w:line="259" w:lineRule="auto"/>
              <w:ind w:left="0" w:right="94" w:firstLine="0"/>
              <w:jc w:val="center"/>
              <w:rPr>
                <w:rFonts w:ascii="Times New Roman" w:hAnsi="Times New Roman" w:cs="Times New Roman"/>
                <w:sz w:val="24"/>
                <w:szCs w:val="24"/>
              </w:rPr>
            </w:pPr>
            <w:r w:rsidRPr="002735B8">
              <w:rPr>
                <w:rFonts w:ascii="Times New Roman" w:hAnsi="Times New Roman" w:cs="Times New Roman"/>
                <w:sz w:val="24"/>
                <w:szCs w:val="24"/>
              </w:rPr>
              <w:t>Malene</w:t>
            </w:r>
          </w:p>
        </w:tc>
        <w:tc>
          <w:tcPr>
            <w:tcW w:w="2430" w:type="dxa"/>
            <w:tcBorders>
              <w:top w:val="single" w:sz="4" w:space="0" w:color="54883D"/>
              <w:left w:val="single" w:sz="4" w:space="0" w:color="54883D"/>
              <w:bottom w:val="single" w:sz="4" w:space="0" w:color="54883D"/>
              <w:right w:val="single" w:sz="4" w:space="0" w:color="54883D"/>
            </w:tcBorders>
            <w:shd w:val="clear" w:color="auto" w:fill="FFC000"/>
          </w:tcPr>
          <w:p w14:paraId="2EFC0A18" w14:textId="77777777" w:rsidR="002735B8" w:rsidRPr="002735B8" w:rsidRDefault="002735B8" w:rsidP="002735B8">
            <w:pPr>
              <w:spacing w:after="0" w:line="259" w:lineRule="auto"/>
              <w:ind w:left="0" w:right="34" w:firstLine="0"/>
              <w:jc w:val="center"/>
              <w:rPr>
                <w:rFonts w:ascii="Times New Roman" w:hAnsi="Times New Roman" w:cs="Times New Roman"/>
                <w:sz w:val="24"/>
                <w:szCs w:val="24"/>
              </w:rPr>
            </w:pPr>
          </w:p>
        </w:tc>
        <w:tc>
          <w:tcPr>
            <w:tcW w:w="3084" w:type="dxa"/>
            <w:tcBorders>
              <w:top w:val="single" w:sz="4" w:space="0" w:color="54883D"/>
              <w:left w:val="single" w:sz="4" w:space="0" w:color="54883D"/>
              <w:bottom w:val="single" w:sz="4" w:space="0" w:color="54883D"/>
              <w:right w:val="single" w:sz="4" w:space="0" w:color="54883D"/>
            </w:tcBorders>
            <w:shd w:val="clear" w:color="auto" w:fill="FFC000"/>
          </w:tcPr>
          <w:p w14:paraId="161C06D9" w14:textId="77777777" w:rsidR="002735B8" w:rsidRPr="002735B8" w:rsidRDefault="002735B8" w:rsidP="002735B8">
            <w:pPr>
              <w:spacing w:after="0" w:line="259" w:lineRule="auto"/>
              <w:ind w:left="0" w:right="34" w:firstLine="0"/>
              <w:jc w:val="center"/>
              <w:rPr>
                <w:rFonts w:ascii="Times New Roman" w:hAnsi="Times New Roman" w:cs="Times New Roman"/>
                <w:sz w:val="24"/>
                <w:szCs w:val="24"/>
              </w:rPr>
            </w:pPr>
          </w:p>
        </w:tc>
        <w:tc>
          <w:tcPr>
            <w:tcW w:w="1861" w:type="dxa"/>
            <w:tcBorders>
              <w:top w:val="single" w:sz="4" w:space="0" w:color="54883D"/>
              <w:left w:val="single" w:sz="4" w:space="0" w:color="54883D"/>
              <w:bottom w:val="single" w:sz="4" w:space="0" w:color="54883D"/>
              <w:right w:val="single" w:sz="4" w:space="0" w:color="54883D"/>
            </w:tcBorders>
            <w:shd w:val="clear" w:color="auto" w:fill="FFC000"/>
          </w:tcPr>
          <w:p w14:paraId="4C3F7B4A" w14:textId="77777777" w:rsidR="002735B8" w:rsidRPr="002735B8" w:rsidRDefault="002735B8" w:rsidP="002735B8">
            <w:pPr>
              <w:spacing w:after="0" w:line="259" w:lineRule="auto"/>
              <w:ind w:left="0" w:right="31" w:firstLine="0"/>
              <w:jc w:val="center"/>
              <w:rPr>
                <w:rFonts w:ascii="Times New Roman" w:hAnsi="Times New Roman" w:cs="Times New Roman"/>
                <w:sz w:val="24"/>
                <w:szCs w:val="24"/>
              </w:rPr>
            </w:pPr>
          </w:p>
        </w:tc>
      </w:tr>
      <w:tr w:rsidR="002735B8" w:rsidRPr="002735B8" w14:paraId="5AE44127" w14:textId="77777777" w:rsidTr="00284074">
        <w:trPr>
          <w:trHeight w:val="276"/>
        </w:trPr>
        <w:tc>
          <w:tcPr>
            <w:tcW w:w="1697" w:type="dxa"/>
            <w:tcBorders>
              <w:top w:val="single" w:sz="4" w:space="0" w:color="54883D"/>
              <w:left w:val="single" w:sz="4" w:space="0" w:color="54883D"/>
              <w:bottom w:val="single" w:sz="4" w:space="0" w:color="54883D"/>
              <w:right w:val="single" w:sz="4" w:space="0" w:color="54883D"/>
            </w:tcBorders>
          </w:tcPr>
          <w:p w14:paraId="7F190549" w14:textId="77777777" w:rsidR="002735B8" w:rsidRPr="002735B8" w:rsidRDefault="002735B8" w:rsidP="002735B8">
            <w:pPr>
              <w:spacing w:after="0" w:line="259" w:lineRule="auto"/>
              <w:ind w:left="0" w:right="91" w:firstLine="0"/>
              <w:jc w:val="center"/>
              <w:rPr>
                <w:rFonts w:ascii="Times New Roman" w:hAnsi="Times New Roman" w:cs="Times New Roman"/>
                <w:sz w:val="24"/>
                <w:szCs w:val="24"/>
              </w:rPr>
            </w:pPr>
            <w:r w:rsidRPr="002735B8">
              <w:rPr>
                <w:rFonts w:ascii="Times New Roman" w:hAnsi="Times New Roman" w:cs="Times New Roman"/>
                <w:sz w:val="24"/>
                <w:szCs w:val="24"/>
              </w:rPr>
              <w:t>Umjerene</w:t>
            </w:r>
          </w:p>
        </w:tc>
        <w:tc>
          <w:tcPr>
            <w:tcW w:w="2430" w:type="dxa"/>
            <w:tcBorders>
              <w:top w:val="single" w:sz="4" w:space="0" w:color="54883D"/>
              <w:left w:val="single" w:sz="4" w:space="0" w:color="54883D"/>
              <w:bottom w:val="single" w:sz="4" w:space="0" w:color="54883D"/>
              <w:right w:val="single" w:sz="4" w:space="0" w:color="54883D"/>
            </w:tcBorders>
          </w:tcPr>
          <w:p w14:paraId="7DECABEA" w14:textId="77777777" w:rsidR="002735B8" w:rsidRPr="002735B8" w:rsidRDefault="002735B8" w:rsidP="002735B8">
            <w:pPr>
              <w:spacing w:after="0" w:line="259" w:lineRule="auto"/>
              <w:ind w:left="0" w:right="34" w:firstLine="0"/>
              <w:jc w:val="center"/>
              <w:rPr>
                <w:rFonts w:ascii="Times New Roman" w:hAnsi="Times New Roman" w:cs="Times New Roman"/>
                <w:sz w:val="24"/>
                <w:szCs w:val="24"/>
              </w:rPr>
            </w:pPr>
          </w:p>
        </w:tc>
        <w:tc>
          <w:tcPr>
            <w:tcW w:w="3084" w:type="dxa"/>
            <w:tcBorders>
              <w:top w:val="single" w:sz="4" w:space="0" w:color="54883D"/>
              <w:left w:val="single" w:sz="4" w:space="0" w:color="54883D"/>
              <w:bottom w:val="single" w:sz="4" w:space="0" w:color="54883D"/>
              <w:right w:val="single" w:sz="4" w:space="0" w:color="54883D"/>
            </w:tcBorders>
          </w:tcPr>
          <w:p w14:paraId="7B8C2D82" w14:textId="77777777" w:rsidR="002735B8" w:rsidRPr="002735B8" w:rsidRDefault="002735B8" w:rsidP="002735B8">
            <w:pPr>
              <w:spacing w:after="0" w:line="259" w:lineRule="auto"/>
              <w:ind w:left="0" w:right="34" w:firstLine="0"/>
              <w:jc w:val="center"/>
              <w:rPr>
                <w:rFonts w:ascii="Times New Roman" w:hAnsi="Times New Roman" w:cs="Times New Roman"/>
                <w:sz w:val="24"/>
                <w:szCs w:val="24"/>
              </w:rPr>
            </w:pPr>
          </w:p>
        </w:tc>
        <w:tc>
          <w:tcPr>
            <w:tcW w:w="1861" w:type="dxa"/>
            <w:tcBorders>
              <w:top w:val="single" w:sz="4" w:space="0" w:color="54883D"/>
              <w:left w:val="single" w:sz="4" w:space="0" w:color="54883D"/>
              <w:bottom w:val="single" w:sz="4" w:space="0" w:color="54883D"/>
              <w:right w:val="single" w:sz="4" w:space="0" w:color="54883D"/>
            </w:tcBorders>
          </w:tcPr>
          <w:p w14:paraId="4BBADE05" w14:textId="77777777" w:rsidR="002735B8" w:rsidRPr="002735B8" w:rsidRDefault="002735B8" w:rsidP="002735B8">
            <w:pPr>
              <w:spacing w:after="0" w:line="259" w:lineRule="auto"/>
              <w:ind w:left="0" w:right="31" w:firstLine="0"/>
              <w:jc w:val="center"/>
              <w:rPr>
                <w:rFonts w:ascii="Times New Roman" w:hAnsi="Times New Roman" w:cs="Times New Roman"/>
                <w:sz w:val="24"/>
                <w:szCs w:val="24"/>
              </w:rPr>
            </w:pPr>
          </w:p>
        </w:tc>
      </w:tr>
      <w:tr w:rsidR="002735B8" w:rsidRPr="002735B8" w14:paraId="3750B9D0" w14:textId="77777777" w:rsidTr="00284074">
        <w:trPr>
          <w:trHeight w:val="272"/>
        </w:trPr>
        <w:tc>
          <w:tcPr>
            <w:tcW w:w="1697" w:type="dxa"/>
            <w:tcBorders>
              <w:top w:val="single" w:sz="4" w:space="0" w:color="54883D"/>
              <w:left w:val="single" w:sz="4" w:space="0" w:color="54883D"/>
              <w:bottom w:val="single" w:sz="4" w:space="0" w:color="54883D"/>
              <w:right w:val="single" w:sz="4" w:space="0" w:color="54883D"/>
            </w:tcBorders>
            <w:shd w:val="clear" w:color="auto" w:fill="FFC000"/>
          </w:tcPr>
          <w:p w14:paraId="01A45F1F" w14:textId="77777777" w:rsidR="002735B8" w:rsidRPr="002735B8" w:rsidRDefault="002735B8" w:rsidP="002735B8">
            <w:pPr>
              <w:spacing w:after="0" w:line="259" w:lineRule="auto"/>
              <w:ind w:left="0" w:right="94" w:firstLine="0"/>
              <w:jc w:val="center"/>
              <w:rPr>
                <w:rFonts w:ascii="Times New Roman" w:hAnsi="Times New Roman" w:cs="Times New Roman"/>
                <w:sz w:val="24"/>
                <w:szCs w:val="24"/>
              </w:rPr>
            </w:pPr>
            <w:r w:rsidRPr="002735B8">
              <w:rPr>
                <w:rFonts w:ascii="Times New Roman" w:hAnsi="Times New Roman" w:cs="Times New Roman"/>
                <w:sz w:val="24"/>
                <w:szCs w:val="24"/>
              </w:rPr>
              <w:t>Značajne</w:t>
            </w:r>
          </w:p>
        </w:tc>
        <w:tc>
          <w:tcPr>
            <w:tcW w:w="2430" w:type="dxa"/>
            <w:tcBorders>
              <w:top w:val="single" w:sz="4" w:space="0" w:color="54883D"/>
              <w:left w:val="single" w:sz="4" w:space="0" w:color="54883D"/>
              <w:bottom w:val="single" w:sz="4" w:space="0" w:color="54883D"/>
              <w:right w:val="single" w:sz="4" w:space="0" w:color="54883D"/>
            </w:tcBorders>
            <w:shd w:val="clear" w:color="auto" w:fill="FFC000"/>
          </w:tcPr>
          <w:p w14:paraId="19E1D599" w14:textId="77777777" w:rsidR="002735B8" w:rsidRPr="002735B8" w:rsidRDefault="002735B8" w:rsidP="002735B8">
            <w:pPr>
              <w:spacing w:after="0" w:line="259" w:lineRule="auto"/>
              <w:ind w:left="0" w:right="34" w:firstLine="0"/>
              <w:jc w:val="center"/>
              <w:rPr>
                <w:rFonts w:ascii="Times New Roman" w:hAnsi="Times New Roman" w:cs="Times New Roman"/>
                <w:sz w:val="24"/>
                <w:szCs w:val="24"/>
              </w:rPr>
            </w:pPr>
          </w:p>
        </w:tc>
        <w:tc>
          <w:tcPr>
            <w:tcW w:w="3084" w:type="dxa"/>
            <w:tcBorders>
              <w:top w:val="single" w:sz="4" w:space="0" w:color="54883D"/>
              <w:left w:val="single" w:sz="4" w:space="0" w:color="54883D"/>
              <w:bottom w:val="single" w:sz="4" w:space="0" w:color="54883D"/>
              <w:right w:val="single" w:sz="4" w:space="0" w:color="54883D"/>
            </w:tcBorders>
            <w:shd w:val="clear" w:color="auto" w:fill="FFC000"/>
          </w:tcPr>
          <w:p w14:paraId="07CBFDF1" w14:textId="77777777" w:rsidR="002735B8" w:rsidRPr="002735B8" w:rsidRDefault="002735B8" w:rsidP="002735B8">
            <w:pPr>
              <w:spacing w:after="0" w:line="259" w:lineRule="auto"/>
              <w:ind w:left="0" w:right="34" w:firstLine="0"/>
              <w:jc w:val="center"/>
              <w:rPr>
                <w:rFonts w:ascii="Times New Roman" w:hAnsi="Times New Roman" w:cs="Times New Roman"/>
                <w:sz w:val="24"/>
                <w:szCs w:val="24"/>
              </w:rPr>
            </w:pPr>
          </w:p>
        </w:tc>
        <w:tc>
          <w:tcPr>
            <w:tcW w:w="1861" w:type="dxa"/>
            <w:tcBorders>
              <w:top w:val="single" w:sz="4" w:space="0" w:color="54883D"/>
              <w:left w:val="single" w:sz="4" w:space="0" w:color="54883D"/>
              <w:bottom w:val="single" w:sz="4" w:space="0" w:color="54883D"/>
              <w:right w:val="single" w:sz="4" w:space="0" w:color="54883D"/>
            </w:tcBorders>
            <w:shd w:val="clear" w:color="auto" w:fill="FFC000"/>
          </w:tcPr>
          <w:p w14:paraId="37D9BDBC" w14:textId="77777777" w:rsidR="002735B8" w:rsidRPr="002735B8" w:rsidRDefault="002735B8" w:rsidP="002735B8">
            <w:pPr>
              <w:spacing w:after="0" w:line="259" w:lineRule="auto"/>
              <w:ind w:left="0" w:right="31" w:firstLine="0"/>
              <w:jc w:val="center"/>
              <w:rPr>
                <w:rFonts w:ascii="Times New Roman" w:hAnsi="Times New Roman" w:cs="Times New Roman"/>
                <w:sz w:val="24"/>
                <w:szCs w:val="24"/>
              </w:rPr>
            </w:pPr>
          </w:p>
        </w:tc>
      </w:tr>
      <w:tr w:rsidR="002735B8" w:rsidRPr="002735B8" w14:paraId="0A119EE5" w14:textId="77777777" w:rsidTr="00284074">
        <w:trPr>
          <w:trHeight w:val="277"/>
        </w:trPr>
        <w:tc>
          <w:tcPr>
            <w:tcW w:w="1697" w:type="dxa"/>
            <w:tcBorders>
              <w:top w:val="single" w:sz="4" w:space="0" w:color="54883D"/>
              <w:left w:val="single" w:sz="4" w:space="0" w:color="54883D"/>
              <w:bottom w:val="single" w:sz="4" w:space="0" w:color="54883D"/>
              <w:right w:val="single" w:sz="4" w:space="0" w:color="54883D"/>
            </w:tcBorders>
          </w:tcPr>
          <w:p w14:paraId="2EF540EC" w14:textId="77777777" w:rsidR="002735B8" w:rsidRPr="002735B8" w:rsidRDefault="002735B8" w:rsidP="002735B8">
            <w:pPr>
              <w:spacing w:after="0" w:line="259" w:lineRule="auto"/>
              <w:ind w:left="0" w:right="94" w:firstLine="0"/>
              <w:jc w:val="center"/>
              <w:rPr>
                <w:rFonts w:ascii="Times New Roman" w:hAnsi="Times New Roman" w:cs="Times New Roman"/>
                <w:sz w:val="24"/>
                <w:szCs w:val="24"/>
              </w:rPr>
            </w:pPr>
            <w:r w:rsidRPr="002735B8">
              <w:rPr>
                <w:rFonts w:ascii="Times New Roman" w:hAnsi="Times New Roman" w:cs="Times New Roman"/>
                <w:sz w:val="24"/>
                <w:szCs w:val="24"/>
              </w:rPr>
              <w:t>Katastrofalne</w:t>
            </w:r>
          </w:p>
        </w:tc>
        <w:tc>
          <w:tcPr>
            <w:tcW w:w="2430" w:type="dxa"/>
            <w:tcBorders>
              <w:top w:val="single" w:sz="4" w:space="0" w:color="54883D"/>
              <w:left w:val="single" w:sz="4" w:space="0" w:color="54883D"/>
              <w:bottom w:val="single" w:sz="4" w:space="0" w:color="54883D"/>
              <w:right w:val="single" w:sz="4" w:space="0" w:color="54883D"/>
            </w:tcBorders>
          </w:tcPr>
          <w:p w14:paraId="11C867D7" w14:textId="77777777" w:rsidR="002735B8" w:rsidRPr="002735B8" w:rsidRDefault="002735B8" w:rsidP="002735B8">
            <w:pPr>
              <w:spacing w:after="0" w:line="259" w:lineRule="auto"/>
              <w:ind w:left="0" w:right="91" w:firstLine="0"/>
              <w:jc w:val="center"/>
              <w:rPr>
                <w:rFonts w:ascii="Times New Roman" w:hAnsi="Times New Roman" w:cs="Times New Roman"/>
                <w:sz w:val="24"/>
                <w:szCs w:val="24"/>
              </w:rPr>
            </w:pPr>
          </w:p>
        </w:tc>
        <w:tc>
          <w:tcPr>
            <w:tcW w:w="3084" w:type="dxa"/>
            <w:tcBorders>
              <w:top w:val="single" w:sz="4" w:space="0" w:color="54883D"/>
              <w:left w:val="single" w:sz="4" w:space="0" w:color="54883D"/>
              <w:bottom w:val="single" w:sz="4" w:space="0" w:color="54883D"/>
              <w:right w:val="single" w:sz="4" w:space="0" w:color="54883D"/>
            </w:tcBorders>
          </w:tcPr>
          <w:p w14:paraId="50446F3B" w14:textId="77777777" w:rsidR="002735B8" w:rsidRPr="002735B8" w:rsidRDefault="002735B8" w:rsidP="002735B8">
            <w:pPr>
              <w:spacing w:after="0" w:line="259" w:lineRule="auto"/>
              <w:ind w:left="0" w:right="91" w:firstLine="0"/>
              <w:jc w:val="center"/>
              <w:rPr>
                <w:rFonts w:ascii="Times New Roman" w:hAnsi="Times New Roman" w:cs="Times New Roman"/>
                <w:sz w:val="24"/>
                <w:szCs w:val="24"/>
              </w:rPr>
            </w:pPr>
          </w:p>
        </w:tc>
        <w:tc>
          <w:tcPr>
            <w:tcW w:w="1861" w:type="dxa"/>
            <w:tcBorders>
              <w:top w:val="single" w:sz="4" w:space="0" w:color="54883D"/>
              <w:left w:val="single" w:sz="4" w:space="0" w:color="54883D"/>
              <w:bottom w:val="single" w:sz="4" w:space="0" w:color="54883D"/>
              <w:right w:val="single" w:sz="4" w:space="0" w:color="54883D"/>
            </w:tcBorders>
          </w:tcPr>
          <w:p w14:paraId="6C6C1940" w14:textId="77777777" w:rsidR="002735B8" w:rsidRPr="002735B8" w:rsidRDefault="002735B8" w:rsidP="002735B8">
            <w:pPr>
              <w:spacing w:after="0" w:line="259" w:lineRule="auto"/>
              <w:ind w:left="0" w:right="87" w:firstLine="0"/>
              <w:jc w:val="center"/>
              <w:rPr>
                <w:rFonts w:ascii="Times New Roman" w:hAnsi="Times New Roman" w:cs="Times New Roman"/>
                <w:sz w:val="24"/>
                <w:szCs w:val="24"/>
              </w:rPr>
            </w:pPr>
          </w:p>
        </w:tc>
      </w:tr>
    </w:tbl>
    <w:p w14:paraId="6109675E" w14:textId="77777777" w:rsidR="002735B8" w:rsidRPr="002735B8" w:rsidRDefault="002735B8" w:rsidP="002735B8">
      <w:pPr>
        <w:spacing w:after="0" w:line="240" w:lineRule="auto"/>
        <w:ind w:left="0" w:right="0" w:firstLine="0"/>
        <w:rPr>
          <w:rFonts w:ascii="Times New Roman" w:hAnsi="Times New Roman" w:cs="Times New Roman"/>
          <w:i/>
          <w:sz w:val="24"/>
          <w:szCs w:val="24"/>
          <w:u w:val="single"/>
        </w:rPr>
      </w:pPr>
    </w:p>
    <w:p w14:paraId="40CF797C" w14:textId="26622D65" w:rsidR="002735B8" w:rsidRPr="002735B8" w:rsidRDefault="002735B8" w:rsidP="00C70C9F">
      <w:pPr>
        <w:spacing w:after="0" w:line="240" w:lineRule="auto"/>
        <w:ind w:left="0" w:right="0" w:firstLine="709"/>
        <w:rPr>
          <w:rFonts w:ascii="Times New Roman" w:hAnsi="Times New Roman" w:cs="Times New Roman"/>
          <w:i/>
          <w:sz w:val="24"/>
          <w:szCs w:val="24"/>
          <w:u w:val="single"/>
        </w:rPr>
      </w:pPr>
      <w:r w:rsidRPr="002735B8">
        <w:rPr>
          <w:rFonts w:ascii="Times New Roman" w:hAnsi="Times New Roman" w:cs="Times New Roman"/>
          <w:i/>
          <w:sz w:val="24"/>
          <w:szCs w:val="24"/>
          <w:u w:val="single"/>
        </w:rPr>
        <w:t>Zaključak</w:t>
      </w:r>
    </w:p>
    <w:p w14:paraId="727458F2" w14:textId="77777777" w:rsidR="002735B8" w:rsidRPr="002735B8" w:rsidRDefault="002735B8" w:rsidP="002735B8">
      <w:pPr>
        <w:spacing w:after="0" w:line="240" w:lineRule="auto"/>
        <w:ind w:left="0" w:right="0" w:firstLine="0"/>
        <w:rPr>
          <w:rFonts w:ascii="Times New Roman" w:hAnsi="Times New Roman" w:cs="Times New Roman"/>
          <w:i/>
          <w:sz w:val="24"/>
          <w:szCs w:val="24"/>
          <w:u w:val="single"/>
        </w:rPr>
      </w:pPr>
    </w:p>
    <w:p w14:paraId="74852004"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Posljedice će se najvećim dijelom manifestirati degradacijom kvalitete života stanovništva i narušavanjem zdravstvene sigurnosti građana. Stanovništvo će biti izloženo opasnim produktima gorenja, bit će dugotrajnih problema sa vodoopskrbom i odvozom otpada prvih dana nakon događaja. Posljedice po gospodarstvo će biti katastrofalne zbog velikih šteta na uređenom odlagalištu otpada Jakuševec i vrlo dugotrajne intervencije gašenja požara koju će provoditi vatrogasne snage iz više županija. </w:t>
      </w:r>
    </w:p>
    <w:p w14:paraId="322A2D12" w14:textId="77777777" w:rsidR="002735B8" w:rsidRPr="002735B8" w:rsidRDefault="002735B8" w:rsidP="002735B8">
      <w:pPr>
        <w:spacing w:after="0" w:line="240" w:lineRule="auto"/>
        <w:ind w:left="0" w:right="0" w:firstLine="0"/>
        <w:rPr>
          <w:rFonts w:ascii="Times New Roman" w:hAnsi="Times New Roman" w:cs="Times New Roman"/>
          <w:i/>
          <w:sz w:val="24"/>
          <w:szCs w:val="24"/>
          <w:u w:val="single"/>
        </w:rPr>
      </w:pPr>
    </w:p>
    <w:p w14:paraId="170FC982" w14:textId="77777777" w:rsidR="002735B8" w:rsidRPr="002735B8" w:rsidRDefault="002735B8" w:rsidP="00C70C9F">
      <w:pPr>
        <w:spacing w:after="0" w:line="240" w:lineRule="auto"/>
        <w:ind w:left="0" w:right="0" w:firstLine="709"/>
        <w:rPr>
          <w:rFonts w:ascii="Times New Roman" w:hAnsi="Times New Roman" w:cs="Times New Roman"/>
          <w:i/>
          <w:sz w:val="24"/>
          <w:szCs w:val="24"/>
          <w:u w:val="single"/>
        </w:rPr>
      </w:pPr>
      <w:r w:rsidRPr="002735B8">
        <w:rPr>
          <w:rFonts w:ascii="Times New Roman" w:hAnsi="Times New Roman" w:cs="Times New Roman"/>
          <w:i/>
          <w:sz w:val="24"/>
          <w:szCs w:val="24"/>
          <w:u w:val="single"/>
        </w:rPr>
        <w:t>Vjerojatnost događaja</w:t>
      </w:r>
    </w:p>
    <w:p w14:paraId="53B23C05" w14:textId="77777777" w:rsidR="002735B8" w:rsidRPr="002735B8" w:rsidRDefault="002735B8" w:rsidP="002735B8">
      <w:pPr>
        <w:spacing w:after="0" w:line="240" w:lineRule="auto"/>
        <w:ind w:left="0" w:right="0" w:firstLine="0"/>
        <w:rPr>
          <w:rFonts w:ascii="Times New Roman" w:hAnsi="Times New Roman" w:cs="Times New Roman"/>
          <w:i/>
          <w:sz w:val="24"/>
          <w:szCs w:val="24"/>
          <w:u w:val="single"/>
        </w:rPr>
      </w:pPr>
    </w:p>
    <w:p w14:paraId="04BEF312" w14:textId="67D0535C" w:rsidR="002735B8" w:rsidRPr="002B66B6" w:rsidRDefault="002735B8" w:rsidP="002B66B6">
      <w:pPr>
        <w:spacing w:after="0" w:line="240" w:lineRule="auto"/>
        <w:ind w:left="0" w:right="0" w:firstLine="709"/>
        <w:rPr>
          <w:rFonts w:ascii="Times New Roman" w:hAnsi="Times New Roman" w:cs="Times New Roman"/>
          <w:color w:val="auto"/>
          <w:sz w:val="24"/>
          <w:szCs w:val="24"/>
        </w:rPr>
      </w:pPr>
      <w:r w:rsidRPr="002735B8">
        <w:rPr>
          <w:rFonts w:ascii="Times New Roman" w:hAnsi="Times New Roman" w:cs="Times New Roman"/>
          <w:color w:val="auto"/>
          <w:sz w:val="24"/>
          <w:szCs w:val="24"/>
        </w:rPr>
        <w:t>Za mogućnost nastanka opisanog scenarija s obzirom na dosadašnje pokazatelje može se procijeniti vjerojatnost: kategorija 1. iznimno mala.</w:t>
      </w:r>
    </w:p>
    <w:p w14:paraId="2C7FA4A0" w14:textId="2182F045" w:rsidR="002735B8" w:rsidRDefault="002735B8" w:rsidP="008546EC">
      <w:pPr>
        <w:keepNext/>
        <w:keepLines/>
        <w:spacing w:line="268" w:lineRule="auto"/>
        <w:ind w:left="119" w:right="802"/>
        <w:jc w:val="center"/>
        <w:outlineLvl w:val="3"/>
        <w:rPr>
          <w:rFonts w:ascii="Times New Roman" w:hAnsi="Times New Roman" w:cs="Times New Roman"/>
          <w:b/>
          <w:color w:val="auto"/>
          <w:sz w:val="24"/>
          <w:szCs w:val="24"/>
        </w:rPr>
      </w:pPr>
      <w:r w:rsidRPr="009B4368">
        <w:rPr>
          <w:rFonts w:ascii="Times New Roman" w:hAnsi="Times New Roman" w:cs="Times New Roman"/>
          <w:b/>
          <w:color w:val="auto"/>
          <w:sz w:val="24"/>
          <w:szCs w:val="24"/>
        </w:rPr>
        <w:lastRenderedPageBreak/>
        <w:t xml:space="preserve">Tablica </w:t>
      </w:r>
      <w:r w:rsidR="009B4368" w:rsidRPr="009B4368">
        <w:rPr>
          <w:rFonts w:ascii="Times New Roman" w:hAnsi="Times New Roman" w:cs="Times New Roman"/>
          <w:b/>
          <w:color w:val="auto"/>
          <w:sz w:val="24"/>
          <w:szCs w:val="24"/>
        </w:rPr>
        <w:t>121</w:t>
      </w:r>
      <w:r w:rsidRPr="009B4368">
        <w:rPr>
          <w:rFonts w:ascii="Times New Roman" w:hAnsi="Times New Roman" w:cs="Times New Roman"/>
          <w:b/>
          <w:color w:val="auto"/>
          <w:sz w:val="24"/>
          <w:szCs w:val="24"/>
        </w:rPr>
        <w:t xml:space="preserve">. Vjerojatnost događaja </w:t>
      </w:r>
    </w:p>
    <w:tbl>
      <w:tblPr>
        <w:tblStyle w:val="TableGrid22"/>
        <w:tblW w:w="9066" w:type="dxa"/>
        <w:tblInd w:w="4" w:type="dxa"/>
        <w:tblCellMar>
          <w:top w:w="87" w:type="dxa"/>
          <w:left w:w="142" w:type="dxa"/>
          <w:right w:w="92" w:type="dxa"/>
        </w:tblCellMar>
        <w:tblLook w:val="04A0" w:firstRow="1" w:lastRow="0" w:firstColumn="1" w:lastColumn="0" w:noHBand="0" w:noVBand="1"/>
      </w:tblPr>
      <w:tblGrid>
        <w:gridCol w:w="1383"/>
        <w:gridCol w:w="1588"/>
        <w:gridCol w:w="1558"/>
        <w:gridCol w:w="2971"/>
        <w:gridCol w:w="1566"/>
      </w:tblGrid>
      <w:tr w:rsidR="002735B8" w:rsidRPr="002735B8" w14:paraId="4298CC30" w14:textId="77777777" w:rsidTr="008546EC">
        <w:trPr>
          <w:trHeight w:val="354"/>
        </w:trPr>
        <w:tc>
          <w:tcPr>
            <w:tcW w:w="1383" w:type="dxa"/>
            <w:vMerge w:val="restart"/>
            <w:tcBorders>
              <w:top w:val="single" w:sz="4" w:space="0" w:color="54883D"/>
              <w:left w:val="single" w:sz="4" w:space="0" w:color="54883D"/>
              <w:bottom w:val="single" w:sz="4" w:space="0" w:color="54883D"/>
              <w:right w:val="single" w:sz="4" w:space="0" w:color="54883D"/>
            </w:tcBorders>
            <w:shd w:val="clear" w:color="auto" w:fill="FFC000"/>
            <w:vAlign w:val="center"/>
          </w:tcPr>
          <w:p w14:paraId="37DB529C" w14:textId="77777777" w:rsidR="002735B8" w:rsidRPr="002735B8" w:rsidRDefault="002735B8" w:rsidP="002735B8">
            <w:pPr>
              <w:spacing w:after="0" w:line="259" w:lineRule="auto"/>
              <w:ind w:left="0" w:right="56" w:firstLine="0"/>
              <w:jc w:val="center"/>
              <w:rPr>
                <w:rFonts w:ascii="Times New Roman" w:hAnsi="Times New Roman" w:cs="Times New Roman"/>
              </w:rPr>
            </w:pPr>
            <w:r w:rsidRPr="002735B8">
              <w:rPr>
                <w:rFonts w:ascii="Times New Roman" w:hAnsi="Times New Roman" w:cs="Times New Roman"/>
                <w:b/>
              </w:rPr>
              <w:t xml:space="preserve">Kategorija </w:t>
            </w:r>
          </w:p>
        </w:tc>
        <w:tc>
          <w:tcPr>
            <w:tcW w:w="1588" w:type="dxa"/>
            <w:tcBorders>
              <w:top w:val="single" w:sz="4" w:space="0" w:color="54883D"/>
              <w:left w:val="single" w:sz="4" w:space="0" w:color="54883D"/>
              <w:bottom w:val="single" w:sz="4" w:space="0" w:color="54883D"/>
              <w:right w:val="nil"/>
            </w:tcBorders>
            <w:shd w:val="clear" w:color="auto" w:fill="FFC000"/>
          </w:tcPr>
          <w:p w14:paraId="73FD0542" w14:textId="77777777" w:rsidR="002735B8" w:rsidRPr="002735B8" w:rsidRDefault="002735B8" w:rsidP="002735B8">
            <w:pPr>
              <w:spacing w:after="160" w:line="259" w:lineRule="auto"/>
              <w:ind w:left="0" w:right="0" w:firstLine="0"/>
              <w:jc w:val="left"/>
              <w:rPr>
                <w:rFonts w:ascii="Times New Roman" w:hAnsi="Times New Roman" w:cs="Times New Roman"/>
              </w:rPr>
            </w:pPr>
          </w:p>
        </w:tc>
        <w:tc>
          <w:tcPr>
            <w:tcW w:w="4529" w:type="dxa"/>
            <w:gridSpan w:val="2"/>
            <w:tcBorders>
              <w:top w:val="single" w:sz="4" w:space="0" w:color="54883D"/>
              <w:left w:val="nil"/>
              <w:bottom w:val="single" w:sz="4" w:space="0" w:color="54883D"/>
              <w:right w:val="nil"/>
            </w:tcBorders>
            <w:shd w:val="clear" w:color="auto" w:fill="FFC000"/>
          </w:tcPr>
          <w:p w14:paraId="4CBFA5F8" w14:textId="77777777" w:rsidR="002735B8" w:rsidRPr="002735B8" w:rsidRDefault="002735B8" w:rsidP="002735B8">
            <w:pPr>
              <w:spacing w:after="0" w:line="259" w:lineRule="auto"/>
              <w:ind w:left="0" w:right="84" w:firstLine="0"/>
              <w:jc w:val="center"/>
              <w:rPr>
                <w:rFonts w:ascii="Times New Roman" w:hAnsi="Times New Roman" w:cs="Times New Roman"/>
              </w:rPr>
            </w:pPr>
            <w:r w:rsidRPr="002735B8">
              <w:rPr>
                <w:rFonts w:ascii="Times New Roman" w:hAnsi="Times New Roman" w:cs="Times New Roman"/>
                <w:b/>
              </w:rPr>
              <w:t xml:space="preserve">VJEROJATNOST/FREKVENCIJA </w:t>
            </w:r>
          </w:p>
        </w:tc>
        <w:tc>
          <w:tcPr>
            <w:tcW w:w="1566" w:type="dxa"/>
            <w:tcBorders>
              <w:top w:val="single" w:sz="4" w:space="0" w:color="54883D"/>
              <w:left w:val="nil"/>
              <w:bottom w:val="single" w:sz="4" w:space="0" w:color="54883D"/>
              <w:right w:val="single" w:sz="4" w:space="0" w:color="54883D"/>
            </w:tcBorders>
            <w:shd w:val="clear" w:color="auto" w:fill="FFC000"/>
          </w:tcPr>
          <w:p w14:paraId="6F4EF1A2" w14:textId="77777777" w:rsidR="002735B8" w:rsidRPr="002735B8" w:rsidRDefault="002735B8" w:rsidP="002735B8">
            <w:pPr>
              <w:spacing w:after="160" w:line="259" w:lineRule="auto"/>
              <w:ind w:left="0" w:right="0" w:firstLine="0"/>
              <w:jc w:val="left"/>
              <w:rPr>
                <w:rFonts w:ascii="Times New Roman" w:hAnsi="Times New Roman" w:cs="Times New Roman"/>
              </w:rPr>
            </w:pPr>
          </w:p>
        </w:tc>
      </w:tr>
      <w:tr w:rsidR="002735B8" w:rsidRPr="002735B8" w14:paraId="4839335B" w14:textId="77777777" w:rsidTr="008546EC">
        <w:trPr>
          <w:trHeight w:val="352"/>
        </w:trPr>
        <w:tc>
          <w:tcPr>
            <w:tcW w:w="0" w:type="auto"/>
            <w:vMerge/>
            <w:tcBorders>
              <w:top w:val="nil"/>
              <w:left w:val="single" w:sz="4" w:space="0" w:color="54883D"/>
              <w:bottom w:val="single" w:sz="4" w:space="0" w:color="54883D"/>
              <w:right w:val="single" w:sz="4" w:space="0" w:color="54883D"/>
            </w:tcBorders>
          </w:tcPr>
          <w:p w14:paraId="7ADE1C7C" w14:textId="77777777" w:rsidR="002735B8" w:rsidRPr="002735B8" w:rsidRDefault="002735B8" w:rsidP="002735B8">
            <w:pPr>
              <w:spacing w:after="160" w:line="259" w:lineRule="auto"/>
              <w:ind w:left="0" w:right="0" w:firstLine="0"/>
              <w:jc w:val="left"/>
              <w:rPr>
                <w:rFonts w:ascii="Times New Roman" w:hAnsi="Times New Roman" w:cs="Times New Roman"/>
              </w:rPr>
            </w:pPr>
          </w:p>
        </w:tc>
        <w:tc>
          <w:tcPr>
            <w:tcW w:w="1588" w:type="dxa"/>
            <w:tcBorders>
              <w:top w:val="single" w:sz="4" w:space="0" w:color="54883D"/>
              <w:left w:val="single" w:sz="4" w:space="0" w:color="54883D"/>
              <w:bottom w:val="single" w:sz="4" w:space="0" w:color="54883D"/>
              <w:right w:val="single" w:sz="4" w:space="0" w:color="54883D"/>
            </w:tcBorders>
            <w:shd w:val="clear" w:color="auto" w:fill="FFC000"/>
          </w:tcPr>
          <w:p w14:paraId="35F7B317" w14:textId="77777777" w:rsidR="002735B8" w:rsidRPr="002735B8" w:rsidRDefault="002735B8" w:rsidP="002735B8">
            <w:pPr>
              <w:spacing w:after="0" w:line="259" w:lineRule="auto"/>
              <w:ind w:left="0" w:right="50" w:firstLine="0"/>
              <w:jc w:val="center"/>
              <w:rPr>
                <w:rFonts w:ascii="Times New Roman" w:hAnsi="Times New Roman" w:cs="Times New Roman"/>
              </w:rPr>
            </w:pPr>
            <w:r w:rsidRPr="002735B8">
              <w:rPr>
                <w:rFonts w:ascii="Times New Roman" w:hAnsi="Times New Roman" w:cs="Times New Roman"/>
                <w:b/>
              </w:rPr>
              <w:t xml:space="preserve">Kvalitativno </w:t>
            </w:r>
          </w:p>
        </w:tc>
        <w:tc>
          <w:tcPr>
            <w:tcW w:w="1558" w:type="dxa"/>
            <w:tcBorders>
              <w:top w:val="single" w:sz="4" w:space="0" w:color="54883D"/>
              <w:left w:val="single" w:sz="4" w:space="0" w:color="54883D"/>
              <w:bottom w:val="single" w:sz="4" w:space="0" w:color="54883D"/>
              <w:right w:val="single" w:sz="4" w:space="0" w:color="54883D"/>
            </w:tcBorders>
            <w:shd w:val="clear" w:color="auto" w:fill="FFC000"/>
          </w:tcPr>
          <w:p w14:paraId="7A9E3E83" w14:textId="77777777" w:rsidR="002735B8" w:rsidRPr="002735B8" w:rsidRDefault="002735B8" w:rsidP="002735B8">
            <w:pPr>
              <w:spacing w:after="0" w:line="259" w:lineRule="auto"/>
              <w:ind w:left="0" w:right="51" w:firstLine="0"/>
              <w:jc w:val="center"/>
              <w:rPr>
                <w:rFonts w:ascii="Times New Roman" w:hAnsi="Times New Roman" w:cs="Times New Roman"/>
              </w:rPr>
            </w:pPr>
            <w:r w:rsidRPr="002735B8">
              <w:rPr>
                <w:rFonts w:ascii="Times New Roman" w:hAnsi="Times New Roman" w:cs="Times New Roman"/>
                <w:b/>
              </w:rPr>
              <w:t xml:space="preserve">Vjerojatnost </w:t>
            </w:r>
          </w:p>
        </w:tc>
        <w:tc>
          <w:tcPr>
            <w:tcW w:w="2971" w:type="dxa"/>
            <w:tcBorders>
              <w:top w:val="single" w:sz="4" w:space="0" w:color="54883D"/>
              <w:left w:val="single" w:sz="4" w:space="0" w:color="54883D"/>
              <w:bottom w:val="single" w:sz="4" w:space="0" w:color="54883D"/>
              <w:right w:val="single" w:sz="4" w:space="0" w:color="54883D"/>
            </w:tcBorders>
            <w:shd w:val="clear" w:color="auto" w:fill="FFC000"/>
          </w:tcPr>
          <w:p w14:paraId="23D11A88" w14:textId="77777777" w:rsidR="002735B8" w:rsidRPr="002735B8" w:rsidRDefault="002735B8" w:rsidP="002735B8">
            <w:pPr>
              <w:spacing w:after="0" w:line="259" w:lineRule="auto"/>
              <w:ind w:left="0" w:right="58" w:firstLine="0"/>
              <w:jc w:val="center"/>
              <w:rPr>
                <w:rFonts w:ascii="Times New Roman" w:hAnsi="Times New Roman" w:cs="Times New Roman"/>
              </w:rPr>
            </w:pPr>
            <w:r w:rsidRPr="002735B8">
              <w:rPr>
                <w:rFonts w:ascii="Times New Roman" w:hAnsi="Times New Roman" w:cs="Times New Roman"/>
                <w:b/>
              </w:rPr>
              <w:t xml:space="preserve">Frekvencija </w:t>
            </w:r>
          </w:p>
        </w:tc>
        <w:tc>
          <w:tcPr>
            <w:tcW w:w="1566" w:type="dxa"/>
            <w:tcBorders>
              <w:top w:val="single" w:sz="4" w:space="0" w:color="54883D"/>
              <w:left w:val="single" w:sz="4" w:space="0" w:color="54883D"/>
              <w:bottom w:val="single" w:sz="4" w:space="0" w:color="54883D"/>
              <w:right w:val="single" w:sz="4" w:space="0" w:color="54883D"/>
            </w:tcBorders>
            <w:shd w:val="clear" w:color="auto" w:fill="FFC000"/>
          </w:tcPr>
          <w:p w14:paraId="27F39F76" w14:textId="77777777" w:rsidR="002735B8" w:rsidRPr="002735B8" w:rsidRDefault="002735B8" w:rsidP="002735B8">
            <w:pPr>
              <w:spacing w:after="0" w:line="259" w:lineRule="auto"/>
              <w:ind w:left="48" w:right="0" w:firstLine="0"/>
              <w:jc w:val="left"/>
              <w:rPr>
                <w:rFonts w:ascii="Times New Roman" w:hAnsi="Times New Roman" w:cs="Times New Roman"/>
              </w:rPr>
            </w:pPr>
            <w:r w:rsidRPr="002735B8">
              <w:rPr>
                <w:rFonts w:ascii="Times New Roman" w:hAnsi="Times New Roman" w:cs="Times New Roman"/>
                <w:b/>
              </w:rPr>
              <w:t xml:space="preserve">ODABRANO </w:t>
            </w:r>
          </w:p>
        </w:tc>
      </w:tr>
      <w:tr w:rsidR="002735B8" w:rsidRPr="002735B8" w14:paraId="169F8ABA" w14:textId="77777777" w:rsidTr="008546EC">
        <w:trPr>
          <w:trHeight w:val="358"/>
        </w:trPr>
        <w:tc>
          <w:tcPr>
            <w:tcW w:w="1383" w:type="dxa"/>
            <w:tcBorders>
              <w:top w:val="single" w:sz="4" w:space="0" w:color="54883D"/>
              <w:left w:val="single" w:sz="4" w:space="0" w:color="54883D"/>
              <w:bottom w:val="single" w:sz="4" w:space="0" w:color="54883D"/>
              <w:right w:val="single" w:sz="4" w:space="0" w:color="54883D"/>
            </w:tcBorders>
          </w:tcPr>
          <w:p w14:paraId="5573FA75" w14:textId="77777777" w:rsidR="002735B8" w:rsidRPr="002735B8" w:rsidRDefault="002735B8" w:rsidP="002735B8">
            <w:pPr>
              <w:spacing w:after="0" w:line="259" w:lineRule="auto"/>
              <w:ind w:left="0" w:right="53" w:firstLine="0"/>
              <w:jc w:val="center"/>
              <w:rPr>
                <w:rFonts w:ascii="Times New Roman" w:hAnsi="Times New Roman" w:cs="Times New Roman"/>
              </w:rPr>
            </w:pPr>
            <w:r w:rsidRPr="002735B8">
              <w:rPr>
                <w:rFonts w:ascii="Times New Roman" w:hAnsi="Times New Roman" w:cs="Times New Roman"/>
                <w:b/>
              </w:rPr>
              <w:t xml:space="preserve">1 </w:t>
            </w:r>
          </w:p>
        </w:tc>
        <w:tc>
          <w:tcPr>
            <w:tcW w:w="1588" w:type="dxa"/>
            <w:tcBorders>
              <w:top w:val="single" w:sz="4" w:space="0" w:color="54883D"/>
              <w:left w:val="single" w:sz="4" w:space="0" w:color="54883D"/>
              <w:bottom w:val="single" w:sz="4" w:space="0" w:color="54883D"/>
              <w:right w:val="single" w:sz="4" w:space="0" w:color="54883D"/>
            </w:tcBorders>
          </w:tcPr>
          <w:p w14:paraId="5D5C3085" w14:textId="77777777" w:rsidR="002735B8" w:rsidRPr="002735B8" w:rsidRDefault="002735B8" w:rsidP="002735B8">
            <w:pPr>
              <w:spacing w:after="0" w:line="259" w:lineRule="auto"/>
              <w:ind w:left="0" w:right="53" w:firstLine="0"/>
              <w:jc w:val="center"/>
              <w:rPr>
                <w:rFonts w:ascii="Times New Roman" w:hAnsi="Times New Roman" w:cs="Times New Roman"/>
              </w:rPr>
            </w:pPr>
            <w:r w:rsidRPr="002735B8">
              <w:rPr>
                <w:rFonts w:ascii="Times New Roman" w:hAnsi="Times New Roman" w:cs="Times New Roman"/>
              </w:rPr>
              <w:t xml:space="preserve">Iznimno mala </w:t>
            </w:r>
          </w:p>
        </w:tc>
        <w:tc>
          <w:tcPr>
            <w:tcW w:w="1558" w:type="dxa"/>
            <w:tcBorders>
              <w:top w:val="single" w:sz="4" w:space="0" w:color="54883D"/>
              <w:left w:val="single" w:sz="4" w:space="0" w:color="54883D"/>
              <w:bottom w:val="single" w:sz="4" w:space="0" w:color="54883D"/>
              <w:right w:val="single" w:sz="4" w:space="0" w:color="54883D"/>
            </w:tcBorders>
          </w:tcPr>
          <w:p w14:paraId="34BE4C3D" w14:textId="77777777" w:rsidR="002735B8" w:rsidRPr="002735B8" w:rsidRDefault="002735B8" w:rsidP="002735B8">
            <w:pPr>
              <w:spacing w:after="0" w:line="259" w:lineRule="auto"/>
              <w:ind w:left="0" w:right="50" w:firstLine="0"/>
              <w:jc w:val="center"/>
              <w:rPr>
                <w:rFonts w:ascii="Times New Roman" w:hAnsi="Times New Roman" w:cs="Times New Roman"/>
              </w:rPr>
            </w:pPr>
            <w:r w:rsidRPr="002735B8">
              <w:rPr>
                <w:rFonts w:ascii="Times New Roman" w:hAnsi="Times New Roman" w:cs="Times New Roman"/>
              </w:rPr>
              <w:t xml:space="preserve">&lt;1 % </w:t>
            </w:r>
          </w:p>
        </w:tc>
        <w:tc>
          <w:tcPr>
            <w:tcW w:w="2971" w:type="dxa"/>
            <w:tcBorders>
              <w:top w:val="single" w:sz="4" w:space="0" w:color="54883D"/>
              <w:left w:val="single" w:sz="4" w:space="0" w:color="54883D"/>
              <w:bottom w:val="single" w:sz="4" w:space="0" w:color="54883D"/>
              <w:right w:val="single" w:sz="4" w:space="0" w:color="54883D"/>
            </w:tcBorders>
          </w:tcPr>
          <w:p w14:paraId="037F858C" w14:textId="77777777" w:rsidR="002735B8" w:rsidRPr="002735B8" w:rsidRDefault="002735B8" w:rsidP="002735B8">
            <w:pPr>
              <w:spacing w:after="0" w:line="259" w:lineRule="auto"/>
              <w:ind w:left="0" w:right="0" w:firstLine="0"/>
              <w:jc w:val="left"/>
              <w:rPr>
                <w:rFonts w:ascii="Times New Roman" w:hAnsi="Times New Roman" w:cs="Times New Roman"/>
              </w:rPr>
            </w:pPr>
            <w:r w:rsidRPr="002735B8">
              <w:rPr>
                <w:rFonts w:ascii="Times New Roman" w:hAnsi="Times New Roman" w:cs="Times New Roman"/>
              </w:rPr>
              <w:t xml:space="preserve">1 događaj u 100 godina i rjeđe </w:t>
            </w:r>
          </w:p>
        </w:tc>
        <w:tc>
          <w:tcPr>
            <w:tcW w:w="1566" w:type="dxa"/>
            <w:tcBorders>
              <w:top w:val="single" w:sz="4" w:space="0" w:color="54883D"/>
              <w:left w:val="single" w:sz="4" w:space="0" w:color="54883D"/>
              <w:bottom w:val="single" w:sz="4" w:space="0" w:color="54883D"/>
              <w:right w:val="single" w:sz="4" w:space="0" w:color="54883D"/>
            </w:tcBorders>
          </w:tcPr>
          <w:p w14:paraId="4E3306FA" w14:textId="77777777" w:rsidR="002735B8" w:rsidRPr="002735B8" w:rsidRDefault="002735B8" w:rsidP="002735B8">
            <w:pPr>
              <w:spacing w:after="0" w:line="259" w:lineRule="auto"/>
              <w:ind w:left="0" w:right="47" w:firstLine="0"/>
              <w:jc w:val="center"/>
              <w:rPr>
                <w:rFonts w:ascii="Times New Roman" w:hAnsi="Times New Roman" w:cs="Times New Roman"/>
              </w:rPr>
            </w:pPr>
            <w:r w:rsidRPr="002735B8">
              <w:rPr>
                <w:rFonts w:ascii="Times New Roman" w:hAnsi="Times New Roman" w:cs="Times New Roman"/>
              </w:rPr>
              <w:t xml:space="preserve">x </w:t>
            </w:r>
          </w:p>
        </w:tc>
      </w:tr>
      <w:tr w:rsidR="002735B8" w:rsidRPr="002735B8" w14:paraId="75F10578" w14:textId="77777777" w:rsidTr="008546EC">
        <w:trPr>
          <w:trHeight w:val="353"/>
        </w:trPr>
        <w:tc>
          <w:tcPr>
            <w:tcW w:w="1383" w:type="dxa"/>
            <w:tcBorders>
              <w:top w:val="single" w:sz="4" w:space="0" w:color="54883D"/>
              <w:left w:val="single" w:sz="4" w:space="0" w:color="54883D"/>
              <w:bottom w:val="single" w:sz="4" w:space="0" w:color="54883D"/>
              <w:right w:val="single" w:sz="4" w:space="0" w:color="54883D"/>
            </w:tcBorders>
            <w:shd w:val="clear" w:color="auto" w:fill="FFC000"/>
          </w:tcPr>
          <w:p w14:paraId="0199B640" w14:textId="77777777" w:rsidR="002735B8" w:rsidRPr="002735B8" w:rsidRDefault="002735B8" w:rsidP="002735B8">
            <w:pPr>
              <w:spacing w:after="0" w:line="259" w:lineRule="auto"/>
              <w:ind w:left="0" w:right="53" w:firstLine="0"/>
              <w:jc w:val="center"/>
              <w:rPr>
                <w:rFonts w:ascii="Times New Roman" w:hAnsi="Times New Roman" w:cs="Times New Roman"/>
              </w:rPr>
            </w:pPr>
            <w:r w:rsidRPr="002735B8">
              <w:rPr>
                <w:rFonts w:ascii="Times New Roman" w:hAnsi="Times New Roman" w:cs="Times New Roman"/>
                <w:b/>
              </w:rPr>
              <w:t xml:space="preserve">2 </w:t>
            </w:r>
          </w:p>
        </w:tc>
        <w:tc>
          <w:tcPr>
            <w:tcW w:w="1588" w:type="dxa"/>
            <w:tcBorders>
              <w:top w:val="single" w:sz="4" w:space="0" w:color="54883D"/>
              <w:left w:val="single" w:sz="4" w:space="0" w:color="54883D"/>
              <w:bottom w:val="single" w:sz="4" w:space="0" w:color="54883D"/>
              <w:right w:val="single" w:sz="4" w:space="0" w:color="54883D"/>
            </w:tcBorders>
            <w:shd w:val="clear" w:color="auto" w:fill="FFC000"/>
          </w:tcPr>
          <w:p w14:paraId="00F15CF7" w14:textId="77777777" w:rsidR="002735B8" w:rsidRPr="002735B8" w:rsidRDefault="002735B8" w:rsidP="002735B8">
            <w:pPr>
              <w:spacing w:after="0" w:line="259" w:lineRule="auto"/>
              <w:ind w:left="0" w:right="55" w:firstLine="0"/>
              <w:jc w:val="center"/>
              <w:rPr>
                <w:rFonts w:ascii="Times New Roman" w:hAnsi="Times New Roman" w:cs="Times New Roman"/>
              </w:rPr>
            </w:pPr>
            <w:r w:rsidRPr="002735B8">
              <w:rPr>
                <w:rFonts w:ascii="Times New Roman" w:hAnsi="Times New Roman" w:cs="Times New Roman"/>
              </w:rPr>
              <w:t xml:space="preserve">Mala </w:t>
            </w:r>
          </w:p>
        </w:tc>
        <w:tc>
          <w:tcPr>
            <w:tcW w:w="1558" w:type="dxa"/>
            <w:tcBorders>
              <w:top w:val="single" w:sz="4" w:space="0" w:color="54883D"/>
              <w:left w:val="single" w:sz="4" w:space="0" w:color="54883D"/>
              <w:bottom w:val="single" w:sz="4" w:space="0" w:color="54883D"/>
              <w:right w:val="single" w:sz="4" w:space="0" w:color="54883D"/>
            </w:tcBorders>
            <w:shd w:val="clear" w:color="auto" w:fill="FFC000"/>
          </w:tcPr>
          <w:p w14:paraId="46882D8C" w14:textId="77777777" w:rsidR="002735B8" w:rsidRPr="002735B8" w:rsidRDefault="002735B8" w:rsidP="002735B8">
            <w:pPr>
              <w:spacing w:after="0" w:line="259" w:lineRule="auto"/>
              <w:ind w:left="0" w:right="53" w:firstLine="0"/>
              <w:jc w:val="center"/>
              <w:rPr>
                <w:rFonts w:ascii="Times New Roman" w:hAnsi="Times New Roman" w:cs="Times New Roman"/>
              </w:rPr>
            </w:pPr>
            <w:r w:rsidRPr="002735B8">
              <w:rPr>
                <w:rFonts w:ascii="Times New Roman" w:hAnsi="Times New Roman" w:cs="Times New Roman"/>
              </w:rPr>
              <w:t xml:space="preserve">1 – 5 % </w:t>
            </w:r>
          </w:p>
        </w:tc>
        <w:tc>
          <w:tcPr>
            <w:tcW w:w="2971" w:type="dxa"/>
            <w:tcBorders>
              <w:top w:val="single" w:sz="4" w:space="0" w:color="54883D"/>
              <w:left w:val="single" w:sz="4" w:space="0" w:color="54883D"/>
              <w:bottom w:val="single" w:sz="4" w:space="0" w:color="54883D"/>
              <w:right w:val="single" w:sz="4" w:space="0" w:color="54883D"/>
            </w:tcBorders>
            <w:shd w:val="clear" w:color="auto" w:fill="FFC000"/>
          </w:tcPr>
          <w:p w14:paraId="71483393" w14:textId="77777777" w:rsidR="002735B8" w:rsidRPr="002735B8" w:rsidRDefault="002735B8" w:rsidP="002735B8">
            <w:pPr>
              <w:spacing w:after="0" w:line="259" w:lineRule="auto"/>
              <w:ind w:left="22" w:right="0" w:firstLine="0"/>
              <w:jc w:val="left"/>
              <w:rPr>
                <w:rFonts w:ascii="Times New Roman" w:hAnsi="Times New Roman" w:cs="Times New Roman"/>
              </w:rPr>
            </w:pPr>
            <w:r w:rsidRPr="002735B8">
              <w:rPr>
                <w:rFonts w:ascii="Times New Roman" w:hAnsi="Times New Roman" w:cs="Times New Roman"/>
              </w:rPr>
              <w:t xml:space="preserve">1 događaj u 20 do 100 godina </w:t>
            </w:r>
          </w:p>
        </w:tc>
        <w:tc>
          <w:tcPr>
            <w:tcW w:w="1566" w:type="dxa"/>
            <w:tcBorders>
              <w:top w:val="single" w:sz="4" w:space="0" w:color="54883D"/>
              <w:left w:val="single" w:sz="4" w:space="0" w:color="54883D"/>
              <w:bottom w:val="single" w:sz="4" w:space="0" w:color="54883D"/>
              <w:right w:val="single" w:sz="4" w:space="0" w:color="54883D"/>
            </w:tcBorders>
            <w:shd w:val="clear" w:color="auto" w:fill="FFC000"/>
          </w:tcPr>
          <w:p w14:paraId="79EF8C94" w14:textId="77777777" w:rsidR="002735B8" w:rsidRPr="002735B8" w:rsidRDefault="002735B8" w:rsidP="002735B8">
            <w:pPr>
              <w:spacing w:after="0" w:line="259" w:lineRule="auto"/>
              <w:ind w:left="9" w:right="0" w:firstLine="0"/>
              <w:jc w:val="center"/>
              <w:rPr>
                <w:rFonts w:ascii="Times New Roman" w:hAnsi="Times New Roman" w:cs="Times New Roman"/>
              </w:rPr>
            </w:pPr>
            <w:r w:rsidRPr="002735B8">
              <w:rPr>
                <w:rFonts w:ascii="Times New Roman" w:hAnsi="Times New Roman" w:cs="Times New Roman"/>
              </w:rPr>
              <w:t xml:space="preserve"> </w:t>
            </w:r>
          </w:p>
        </w:tc>
      </w:tr>
      <w:tr w:rsidR="002735B8" w:rsidRPr="002735B8" w14:paraId="4C7B7258" w14:textId="77777777" w:rsidTr="008546EC">
        <w:trPr>
          <w:trHeight w:val="356"/>
        </w:trPr>
        <w:tc>
          <w:tcPr>
            <w:tcW w:w="1383" w:type="dxa"/>
            <w:tcBorders>
              <w:top w:val="single" w:sz="4" w:space="0" w:color="54883D"/>
              <w:left w:val="single" w:sz="4" w:space="0" w:color="54883D"/>
              <w:bottom w:val="single" w:sz="4" w:space="0" w:color="54883D"/>
              <w:right w:val="single" w:sz="4" w:space="0" w:color="54883D"/>
            </w:tcBorders>
          </w:tcPr>
          <w:p w14:paraId="3A6BC89A" w14:textId="77777777" w:rsidR="002735B8" w:rsidRPr="002735B8" w:rsidRDefault="002735B8" w:rsidP="002735B8">
            <w:pPr>
              <w:spacing w:after="0" w:line="259" w:lineRule="auto"/>
              <w:ind w:left="0" w:right="53" w:firstLine="0"/>
              <w:jc w:val="center"/>
              <w:rPr>
                <w:rFonts w:ascii="Times New Roman" w:hAnsi="Times New Roman" w:cs="Times New Roman"/>
              </w:rPr>
            </w:pPr>
            <w:r w:rsidRPr="002735B8">
              <w:rPr>
                <w:rFonts w:ascii="Times New Roman" w:hAnsi="Times New Roman" w:cs="Times New Roman"/>
                <w:b/>
              </w:rPr>
              <w:t xml:space="preserve">3 </w:t>
            </w:r>
          </w:p>
        </w:tc>
        <w:tc>
          <w:tcPr>
            <w:tcW w:w="1588" w:type="dxa"/>
            <w:tcBorders>
              <w:top w:val="single" w:sz="4" w:space="0" w:color="54883D"/>
              <w:left w:val="single" w:sz="4" w:space="0" w:color="54883D"/>
              <w:bottom w:val="single" w:sz="4" w:space="0" w:color="54883D"/>
              <w:right w:val="single" w:sz="4" w:space="0" w:color="54883D"/>
            </w:tcBorders>
          </w:tcPr>
          <w:p w14:paraId="53FB8719" w14:textId="77777777" w:rsidR="002735B8" w:rsidRPr="002735B8" w:rsidRDefault="002735B8" w:rsidP="002735B8">
            <w:pPr>
              <w:spacing w:after="0" w:line="259" w:lineRule="auto"/>
              <w:ind w:left="0" w:right="53" w:firstLine="0"/>
              <w:jc w:val="center"/>
              <w:rPr>
                <w:rFonts w:ascii="Times New Roman" w:hAnsi="Times New Roman" w:cs="Times New Roman"/>
              </w:rPr>
            </w:pPr>
            <w:r w:rsidRPr="002735B8">
              <w:rPr>
                <w:rFonts w:ascii="Times New Roman" w:hAnsi="Times New Roman" w:cs="Times New Roman"/>
              </w:rPr>
              <w:t xml:space="preserve">Umjerena </w:t>
            </w:r>
          </w:p>
        </w:tc>
        <w:tc>
          <w:tcPr>
            <w:tcW w:w="1558" w:type="dxa"/>
            <w:tcBorders>
              <w:top w:val="single" w:sz="4" w:space="0" w:color="54883D"/>
              <w:left w:val="single" w:sz="4" w:space="0" w:color="54883D"/>
              <w:bottom w:val="single" w:sz="4" w:space="0" w:color="54883D"/>
              <w:right w:val="single" w:sz="4" w:space="0" w:color="54883D"/>
            </w:tcBorders>
          </w:tcPr>
          <w:p w14:paraId="737AAB09" w14:textId="77777777" w:rsidR="002735B8" w:rsidRPr="002735B8" w:rsidRDefault="002735B8" w:rsidP="002735B8">
            <w:pPr>
              <w:spacing w:after="0" w:line="259" w:lineRule="auto"/>
              <w:ind w:left="0" w:right="53" w:firstLine="0"/>
              <w:jc w:val="center"/>
              <w:rPr>
                <w:rFonts w:ascii="Times New Roman" w:hAnsi="Times New Roman" w:cs="Times New Roman"/>
              </w:rPr>
            </w:pPr>
            <w:r w:rsidRPr="002735B8">
              <w:rPr>
                <w:rFonts w:ascii="Times New Roman" w:hAnsi="Times New Roman" w:cs="Times New Roman"/>
              </w:rPr>
              <w:t xml:space="preserve">5 – 50 % </w:t>
            </w:r>
          </w:p>
        </w:tc>
        <w:tc>
          <w:tcPr>
            <w:tcW w:w="2971" w:type="dxa"/>
            <w:tcBorders>
              <w:top w:val="single" w:sz="4" w:space="0" w:color="54883D"/>
              <w:left w:val="single" w:sz="4" w:space="0" w:color="54883D"/>
              <w:bottom w:val="single" w:sz="4" w:space="0" w:color="54883D"/>
              <w:right w:val="single" w:sz="4" w:space="0" w:color="54883D"/>
            </w:tcBorders>
          </w:tcPr>
          <w:p w14:paraId="44007A1F" w14:textId="77777777" w:rsidR="002735B8" w:rsidRPr="002735B8" w:rsidRDefault="002735B8" w:rsidP="002735B8">
            <w:pPr>
              <w:spacing w:after="0" w:line="259" w:lineRule="auto"/>
              <w:ind w:left="0" w:right="57" w:firstLine="0"/>
              <w:jc w:val="center"/>
              <w:rPr>
                <w:rFonts w:ascii="Times New Roman" w:hAnsi="Times New Roman" w:cs="Times New Roman"/>
              </w:rPr>
            </w:pPr>
            <w:r w:rsidRPr="002735B8">
              <w:rPr>
                <w:rFonts w:ascii="Times New Roman" w:hAnsi="Times New Roman" w:cs="Times New Roman"/>
              </w:rPr>
              <w:t xml:space="preserve">1 događaj u 2 do 20 godina </w:t>
            </w:r>
          </w:p>
        </w:tc>
        <w:tc>
          <w:tcPr>
            <w:tcW w:w="1566" w:type="dxa"/>
            <w:tcBorders>
              <w:top w:val="single" w:sz="4" w:space="0" w:color="54883D"/>
              <w:left w:val="single" w:sz="4" w:space="0" w:color="54883D"/>
              <w:bottom w:val="single" w:sz="4" w:space="0" w:color="54883D"/>
              <w:right w:val="single" w:sz="4" w:space="0" w:color="54883D"/>
            </w:tcBorders>
          </w:tcPr>
          <w:p w14:paraId="6159C8DB" w14:textId="77777777" w:rsidR="002735B8" w:rsidRPr="002735B8" w:rsidRDefault="002735B8" w:rsidP="002735B8">
            <w:pPr>
              <w:spacing w:after="0" w:line="259" w:lineRule="auto"/>
              <w:ind w:left="9" w:right="0" w:firstLine="0"/>
              <w:jc w:val="center"/>
              <w:rPr>
                <w:rFonts w:ascii="Times New Roman" w:hAnsi="Times New Roman" w:cs="Times New Roman"/>
              </w:rPr>
            </w:pPr>
            <w:r w:rsidRPr="002735B8">
              <w:rPr>
                <w:rFonts w:ascii="Times New Roman" w:hAnsi="Times New Roman" w:cs="Times New Roman"/>
              </w:rPr>
              <w:t xml:space="preserve"> </w:t>
            </w:r>
          </w:p>
        </w:tc>
      </w:tr>
      <w:tr w:rsidR="002735B8" w:rsidRPr="002735B8" w14:paraId="04190D00" w14:textId="77777777" w:rsidTr="008546EC">
        <w:trPr>
          <w:trHeight w:val="352"/>
        </w:trPr>
        <w:tc>
          <w:tcPr>
            <w:tcW w:w="1383" w:type="dxa"/>
            <w:tcBorders>
              <w:top w:val="single" w:sz="4" w:space="0" w:color="54883D"/>
              <w:left w:val="single" w:sz="4" w:space="0" w:color="54883D"/>
              <w:bottom w:val="single" w:sz="4" w:space="0" w:color="54883D"/>
              <w:right w:val="single" w:sz="4" w:space="0" w:color="54883D"/>
            </w:tcBorders>
            <w:shd w:val="clear" w:color="auto" w:fill="FFC000"/>
          </w:tcPr>
          <w:p w14:paraId="36DE6C51" w14:textId="77777777" w:rsidR="002735B8" w:rsidRPr="002735B8" w:rsidRDefault="002735B8" w:rsidP="002735B8">
            <w:pPr>
              <w:spacing w:after="0" w:line="259" w:lineRule="auto"/>
              <w:ind w:left="0" w:right="53" w:firstLine="0"/>
              <w:jc w:val="center"/>
              <w:rPr>
                <w:rFonts w:ascii="Times New Roman" w:hAnsi="Times New Roman" w:cs="Times New Roman"/>
              </w:rPr>
            </w:pPr>
            <w:r w:rsidRPr="002735B8">
              <w:rPr>
                <w:rFonts w:ascii="Times New Roman" w:hAnsi="Times New Roman" w:cs="Times New Roman"/>
                <w:b/>
              </w:rPr>
              <w:t xml:space="preserve">4 </w:t>
            </w:r>
          </w:p>
        </w:tc>
        <w:tc>
          <w:tcPr>
            <w:tcW w:w="1588" w:type="dxa"/>
            <w:tcBorders>
              <w:top w:val="single" w:sz="4" w:space="0" w:color="54883D"/>
              <w:left w:val="single" w:sz="4" w:space="0" w:color="54883D"/>
              <w:bottom w:val="single" w:sz="4" w:space="0" w:color="54883D"/>
              <w:right w:val="single" w:sz="4" w:space="0" w:color="54883D"/>
            </w:tcBorders>
            <w:shd w:val="clear" w:color="auto" w:fill="FFC000"/>
          </w:tcPr>
          <w:p w14:paraId="0DEE2ACF" w14:textId="77777777" w:rsidR="002735B8" w:rsidRPr="002735B8" w:rsidRDefault="002735B8" w:rsidP="002735B8">
            <w:pPr>
              <w:spacing w:after="0" w:line="259" w:lineRule="auto"/>
              <w:ind w:left="0" w:right="53" w:firstLine="0"/>
              <w:jc w:val="center"/>
              <w:rPr>
                <w:rFonts w:ascii="Times New Roman" w:hAnsi="Times New Roman" w:cs="Times New Roman"/>
              </w:rPr>
            </w:pPr>
            <w:r w:rsidRPr="002735B8">
              <w:rPr>
                <w:rFonts w:ascii="Times New Roman" w:hAnsi="Times New Roman" w:cs="Times New Roman"/>
              </w:rPr>
              <w:t xml:space="preserve">Velika </w:t>
            </w:r>
          </w:p>
        </w:tc>
        <w:tc>
          <w:tcPr>
            <w:tcW w:w="1558" w:type="dxa"/>
            <w:tcBorders>
              <w:top w:val="single" w:sz="4" w:space="0" w:color="54883D"/>
              <w:left w:val="single" w:sz="4" w:space="0" w:color="54883D"/>
              <w:bottom w:val="single" w:sz="4" w:space="0" w:color="54883D"/>
              <w:right w:val="single" w:sz="4" w:space="0" w:color="54883D"/>
            </w:tcBorders>
            <w:shd w:val="clear" w:color="auto" w:fill="FFC000"/>
          </w:tcPr>
          <w:p w14:paraId="04ECF057" w14:textId="77777777" w:rsidR="002735B8" w:rsidRPr="002735B8" w:rsidRDefault="002735B8" w:rsidP="002735B8">
            <w:pPr>
              <w:spacing w:after="0" w:line="259" w:lineRule="auto"/>
              <w:ind w:left="0" w:right="53" w:firstLine="0"/>
              <w:jc w:val="center"/>
              <w:rPr>
                <w:rFonts w:ascii="Times New Roman" w:hAnsi="Times New Roman" w:cs="Times New Roman"/>
              </w:rPr>
            </w:pPr>
            <w:r w:rsidRPr="002735B8">
              <w:rPr>
                <w:rFonts w:ascii="Times New Roman" w:hAnsi="Times New Roman" w:cs="Times New Roman"/>
              </w:rPr>
              <w:t xml:space="preserve">51 – 98 % </w:t>
            </w:r>
          </w:p>
        </w:tc>
        <w:tc>
          <w:tcPr>
            <w:tcW w:w="2971" w:type="dxa"/>
            <w:tcBorders>
              <w:top w:val="single" w:sz="4" w:space="0" w:color="54883D"/>
              <w:left w:val="single" w:sz="4" w:space="0" w:color="54883D"/>
              <w:bottom w:val="single" w:sz="4" w:space="0" w:color="54883D"/>
              <w:right w:val="single" w:sz="4" w:space="0" w:color="54883D"/>
            </w:tcBorders>
            <w:shd w:val="clear" w:color="auto" w:fill="FFC000"/>
          </w:tcPr>
          <w:p w14:paraId="10CCE25F" w14:textId="77777777" w:rsidR="002735B8" w:rsidRPr="002735B8" w:rsidRDefault="002735B8" w:rsidP="002735B8">
            <w:pPr>
              <w:spacing w:after="0" w:line="259" w:lineRule="auto"/>
              <w:ind w:left="0" w:right="56" w:firstLine="0"/>
              <w:jc w:val="center"/>
              <w:rPr>
                <w:rFonts w:ascii="Times New Roman" w:hAnsi="Times New Roman" w:cs="Times New Roman"/>
              </w:rPr>
            </w:pPr>
            <w:r w:rsidRPr="002735B8">
              <w:rPr>
                <w:rFonts w:ascii="Times New Roman" w:hAnsi="Times New Roman" w:cs="Times New Roman"/>
              </w:rPr>
              <w:t xml:space="preserve">1 događaj 1 do 2 godine </w:t>
            </w:r>
          </w:p>
        </w:tc>
        <w:tc>
          <w:tcPr>
            <w:tcW w:w="1566" w:type="dxa"/>
            <w:tcBorders>
              <w:top w:val="single" w:sz="4" w:space="0" w:color="54883D"/>
              <w:left w:val="single" w:sz="4" w:space="0" w:color="54883D"/>
              <w:bottom w:val="single" w:sz="4" w:space="0" w:color="54883D"/>
              <w:right w:val="single" w:sz="4" w:space="0" w:color="54883D"/>
            </w:tcBorders>
            <w:shd w:val="clear" w:color="auto" w:fill="FFC000"/>
          </w:tcPr>
          <w:p w14:paraId="1F1502CC" w14:textId="77777777" w:rsidR="002735B8" w:rsidRPr="002735B8" w:rsidRDefault="002735B8" w:rsidP="002735B8">
            <w:pPr>
              <w:spacing w:after="0" w:line="259" w:lineRule="auto"/>
              <w:ind w:left="9" w:right="0" w:firstLine="0"/>
              <w:jc w:val="center"/>
              <w:rPr>
                <w:rFonts w:ascii="Times New Roman" w:hAnsi="Times New Roman" w:cs="Times New Roman"/>
              </w:rPr>
            </w:pPr>
            <w:r w:rsidRPr="002735B8">
              <w:rPr>
                <w:rFonts w:ascii="Times New Roman" w:hAnsi="Times New Roman" w:cs="Times New Roman"/>
              </w:rPr>
              <w:t xml:space="preserve"> </w:t>
            </w:r>
          </w:p>
        </w:tc>
      </w:tr>
      <w:tr w:rsidR="002735B8" w:rsidRPr="002735B8" w14:paraId="4263F95C" w14:textId="77777777" w:rsidTr="008546EC">
        <w:trPr>
          <w:trHeight w:val="356"/>
        </w:trPr>
        <w:tc>
          <w:tcPr>
            <w:tcW w:w="1383" w:type="dxa"/>
            <w:tcBorders>
              <w:top w:val="single" w:sz="4" w:space="0" w:color="54883D"/>
              <w:left w:val="single" w:sz="4" w:space="0" w:color="54883D"/>
              <w:bottom w:val="single" w:sz="4" w:space="0" w:color="54883D"/>
              <w:right w:val="single" w:sz="4" w:space="0" w:color="54883D"/>
            </w:tcBorders>
          </w:tcPr>
          <w:p w14:paraId="50147804" w14:textId="77777777" w:rsidR="002735B8" w:rsidRPr="002735B8" w:rsidRDefault="002735B8" w:rsidP="002735B8">
            <w:pPr>
              <w:spacing w:after="0" w:line="259" w:lineRule="auto"/>
              <w:ind w:left="0" w:right="53" w:firstLine="0"/>
              <w:jc w:val="center"/>
              <w:rPr>
                <w:rFonts w:ascii="Times New Roman" w:hAnsi="Times New Roman" w:cs="Times New Roman"/>
              </w:rPr>
            </w:pPr>
            <w:r w:rsidRPr="002735B8">
              <w:rPr>
                <w:rFonts w:ascii="Times New Roman" w:hAnsi="Times New Roman" w:cs="Times New Roman"/>
                <w:b/>
              </w:rPr>
              <w:t xml:space="preserve">5 </w:t>
            </w:r>
          </w:p>
        </w:tc>
        <w:tc>
          <w:tcPr>
            <w:tcW w:w="1588" w:type="dxa"/>
            <w:tcBorders>
              <w:top w:val="single" w:sz="4" w:space="0" w:color="54883D"/>
              <w:left w:val="single" w:sz="4" w:space="0" w:color="54883D"/>
              <w:bottom w:val="single" w:sz="4" w:space="0" w:color="54883D"/>
              <w:right w:val="single" w:sz="4" w:space="0" w:color="54883D"/>
            </w:tcBorders>
          </w:tcPr>
          <w:p w14:paraId="3C4D0214" w14:textId="77777777" w:rsidR="002735B8" w:rsidRPr="002735B8" w:rsidRDefault="002735B8" w:rsidP="002735B8">
            <w:pPr>
              <w:spacing w:after="0" w:line="259" w:lineRule="auto"/>
              <w:ind w:left="19" w:right="0" w:firstLine="0"/>
              <w:jc w:val="left"/>
              <w:rPr>
                <w:rFonts w:ascii="Times New Roman" w:hAnsi="Times New Roman" w:cs="Times New Roman"/>
              </w:rPr>
            </w:pPr>
            <w:r w:rsidRPr="002735B8">
              <w:rPr>
                <w:rFonts w:ascii="Times New Roman" w:hAnsi="Times New Roman" w:cs="Times New Roman"/>
              </w:rPr>
              <w:t xml:space="preserve">Iznimno velika </w:t>
            </w:r>
          </w:p>
        </w:tc>
        <w:tc>
          <w:tcPr>
            <w:tcW w:w="1558" w:type="dxa"/>
            <w:tcBorders>
              <w:top w:val="single" w:sz="4" w:space="0" w:color="54883D"/>
              <w:left w:val="single" w:sz="4" w:space="0" w:color="54883D"/>
              <w:bottom w:val="single" w:sz="4" w:space="0" w:color="54883D"/>
              <w:right w:val="single" w:sz="4" w:space="0" w:color="54883D"/>
            </w:tcBorders>
          </w:tcPr>
          <w:p w14:paraId="71557DD3" w14:textId="77777777" w:rsidR="002735B8" w:rsidRPr="002735B8" w:rsidRDefault="002735B8" w:rsidP="002735B8">
            <w:pPr>
              <w:spacing w:after="0" w:line="259" w:lineRule="auto"/>
              <w:ind w:left="0" w:right="50" w:firstLine="0"/>
              <w:jc w:val="center"/>
              <w:rPr>
                <w:rFonts w:ascii="Times New Roman" w:hAnsi="Times New Roman" w:cs="Times New Roman"/>
              </w:rPr>
            </w:pPr>
            <w:r w:rsidRPr="002735B8">
              <w:rPr>
                <w:rFonts w:ascii="Times New Roman" w:hAnsi="Times New Roman" w:cs="Times New Roman"/>
              </w:rPr>
              <w:t xml:space="preserve">&gt; 98 % </w:t>
            </w:r>
          </w:p>
        </w:tc>
        <w:tc>
          <w:tcPr>
            <w:tcW w:w="2971" w:type="dxa"/>
            <w:tcBorders>
              <w:top w:val="single" w:sz="4" w:space="0" w:color="54883D"/>
              <w:left w:val="single" w:sz="4" w:space="0" w:color="54883D"/>
              <w:bottom w:val="single" w:sz="4" w:space="0" w:color="54883D"/>
              <w:right w:val="single" w:sz="4" w:space="0" w:color="54883D"/>
            </w:tcBorders>
          </w:tcPr>
          <w:p w14:paraId="77C8E935" w14:textId="77777777" w:rsidR="002735B8" w:rsidRPr="002735B8" w:rsidRDefault="002735B8" w:rsidP="002735B8">
            <w:pPr>
              <w:spacing w:after="0" w:line="259" w:lineRule="auto"/>
              <w:ind w:left="0" w:right="58" w:firstLine="0"/>
              <w:jc w:val="center"/>
              <w:rPr>
                <w:rFonts w:ascii="Times New Roman" w:hAnsi="Times New Roman" w:cs="Times New Roman"/>
              </w:rPr>
            </w:pPr>
            <w:r w:rsidRPr="002735B8">
              <w:rPr>
                <w:rFonts w:ascii="Times New Roman" w:hAnsi="Times New Roman" w:cs="Times New Roman"/>
              </w:rPr>
              <w:t xml:space="preserve">1 događaj godišnje ili češće </w:t>
            </w:r>
          </w:p>
        </w:tc>
        <w:tc>
          <w:tcPr>
            <w:tcW w:w="1566" w:type="dxa"/>
            <w:tcBorders>
              <w:top w:val="single" w:sz="4" w:space="0" w:color="54883D"/>
              <w:left w:val="single" w:sz="4" w:space="0" w:color="54883D"/>
              <w:bottom w:val="single" w:sz="4" w:space="0" w:color="54883D"/>
              <w:right w:val="single" w:sz="4" w:space="0" w:color="54883D"/>
            </w:tcBorders>
          </w:tcPr>
          <w:p w14:paraId="71A78346" w14:textId="77777777" w:rsidR="002735B8" w:rsidRPr="002735B8" w:rsidRDefault="002735B8" w:rsidP="002735B8">
            <w:pPr>
              <w:spacing w:after="0" w:line="259" w:lineRule="auto"/>
              <w:ind w:left="9" w:right="0" w:firstLine="0"/>
              <w:jc w:val="center"/>
              <w:rPr>
                <w:rFonts w:ascii="Times New Roman" w:hAnsi="Times New Roman" w:cs="Times New Roman"/>
              </w:rPr>
            </w:pPr>
            <w:r w:rsidRPr="002735B8">
              <w:rPr>
                <w:rFonts w:ascii="Times New Roman" w:hAnsi="Times New Roman" w:cs="Times New Roman"/>
              </w:rPr>
              <w:t xml:space="preserve"> </w:t>
            </w:r>
          </w:p>
        </w:tc>
      </w:tr>
    </w:tbl>
    <w:p w14:paraId="52F7EAF1" w14:textId="77777777" w:rsidR="004E1A7D" w:rsidRDefault="004E1A7D" w:rsidP="002735B8">
      <w:pPr>
        <w:spacing w:after="0" w:line="240" w:lineRule="auto"/>
        <w:ind w:left="0" w:right="0" w:firstLine="0"/>
        <w:rPr>
          <w:rFonts w:ascii="Times New Roman" w:hAnsi="Times New Roman" w:cs="Times New Roman"/>
          <w:b/>
          <w:sz w:val="24"/>
          <w:szCs w:val="24"/>
        </w:rPr>
      </w:pPr>
    </w:p>
    <w:p w14:paraId="05FD8037" w14:textId="77777777" w:rsidR="004E1A7D" w:rsidRDefault="004E1A7D" w:rsidP="002735B8">
      <w:pPr>
        <w:spacing w:after="0" w:line="240" w:lineRule="auto"/>
        <w:ind w:left="0" w:right="0" w:firstLine="0"/>
        <w:rPr>
          <w:rFonts w:ascii="Times New Roman" w:hAnsi="Times New Roman" w:cs="Times New Roman"/>
          <w:b/>
          <w:sz w:val="24"/>
          <w:szCs w:val="24"/>
        </w:rPr>
      </w:pPr>
    </w:p>
    <w:p w14:paraId="1C66A9BE" w14:textId="67B57399" w:rsidR="002735B8" w:rsidRPr="002735B8" w:rsidRDefault="002735B8" w:rsidP="00C70C9F">
      <w:pPr>
        <w:spacing w:after="0" w:line="240" w:lineRule="auto"/>
        <w:ind w:left="0" w:right="0" w:firstLine="709"/>
        <w:rPr>
          <w:rFonts w:ascii="Times New Roman" w:hAnsi="Times New Roman" w:cs="Times New Roman"/>
          <w:b/>
          <w:sz w:val="24"/>
          <w:szCs w:val="24"/>
        </w:rPr>
      </w:pPr>
      <w:r w:rsidRPr="002735B8">
        <w:rPr>
          <w:rFonts w:ascii="Times New Roman" w:hAnsi="Times New Roman" w:cs="Times New Roman"/>
          <w:b/>
          <w:sz w:val="24"/>
          <w:szCs w:val="24"/>
        </w:rPr>
        <w:t>6.7.5.2. Podaci, izvori i metode izračuna</w:t>
      </w:r>
    </w:p>
    <w:p w14:paraId="44306AD8" w14:textId="77777777" w:rsidR="002735B8" w:rsidRPr="002735B8" w:rsidRDefault="002735B8" w:rsidP="00C70C9F">
      <w:pPr>
        <w:autoSpaceDE w:val="0"/>
        <w:autoSpaceDN w:val="0"/>
        <w:adjustRightInd w:val="0"/>
        <w:spacing w:after="0" w:line="240" w:lineRule="auto"/>
        <w:ind w:left="0" w:right="0" w:firstLine="709"/>
        <w:rPr>
          <w:rFonts w:ascii="Times New Roman" w:eastAsiaTheme="minorHAnsi" w:hAnsi="Times New Roman" w:cs="Times New Roman"/>
          <w:color w:val="auto"/>
          <w:sz w:val="24"/>
          <w:szCs w:val="24"/>
          <w:u w:val="single"/>
          <w:lang w:eastAsia="en-US"/>
        </w:rPr>
      </w:pPr>
      <w:r w:rsidRPr="002735B8">
        <w:rPr>
          <w:rFonts w:ascii="Times New Roman" w:eastAsiaTheme="minorHAnsi" w:hAnsi="Times New Roman" w:cs="Times New Roman"/>
          <w:color w:val="auto"/>
          <w:sz w:val="24"/>
          <w:szCs w:val="24"/>
          <w:u w:val="single"/>
          <w:lang w:eastAsia="en-US"/>
        </w:rPr>
        <w:t>Metodologija</w:t>
      </w:r>
    </w:p>
    <w:p w14:paraId="0F6BB6C1" w14:textId="77777777" w:rsidR="002735B8" w:rsidRPr="002735B8" w:rsidRDefault="002735B8" w:rsidP="00BE0540">
      <w:pPr>
        <w:autoSpaceDE w:val="0"/>
        <w:autoSpaceDN w:val="0"/>
        <w:adjustRightInd w:val="0"/>
        <w:spacing w:after="0" w:line="240" w:lineRule="auto"/>
        <w:ind w:left="0" w:right="0" w:firstLine="709"/>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xml:space="preserve">Veliki problem pri izradi scenarija predstavljala je činjenica da eksplozije metana na odlagalištima otpada nisu česta pojava, pa ne postoji dovoljno povijesnih iskustava za procjenu visoke pouzdanosti. Drugi problem predstavlja to što u odlagališta komunalnog otpada ulazi nepoznat i promjenjiv kemijski sastav različitih tvari. Zbog toga u tijelu odlagališta dolazi do nedovoljno poznatih biokemijskih procesa i razgradnje organske mase. Prilikom izrade scenarija konzultirana je dostupna strana literatura kako bi se dobio uvid u slučajeve koji su se dogodili. Kada nije bilo znanstvenih članaka o pojedinim događajima, korišteni su i drugi izvori. Korištena je i usluga </w:t>
      </w:r>
      <w:r w:rsidRPr="002735B8">
        <w:rPr>
          <w:rFonts w:ascii="Times New Roman" w:eastAsiaTheme="minorHAnsi" w:hAnsi="Times New Roman" w:cs="Times New Roman"/>
          <w:i/>
          <w:color w:val="auto"/>
          <w:sz w:val="24"/>
          <w:szCs w:val="24"/>
          <w:lang w:eastAsia="en-US"/>
        </w:rPr>
        <w:t>Google Earth</w:t>
      </w:r>
      <w:r w:rsidRPr="002735B8">
        <w:rPr>
          <w:rFonts w:ascii="Times New Roman" w:eastAsiaTheme="minorHAnsi" w:hAnsi="Times New Roman" w:cs="Times New Roman"/>
          <w:color w:val="auto"/>
          <w:sz w:val="24"/>
          <w:szCs w:val="24"/>
          <w:lang w:eastAsia="en-US"/>
        </w:rPr>
        <w:t xml:space="preserve"> kako bi se dobio uvid u samu okolinu odlagališta na kojima su se dogodile nesreće (npr. udaljenost najbližih objekata i kuća i sl.)</w:t>
      </w:r>
    </w:p>
    <w:p w14:paraId="11AF5CD3" w14:textId="77777777" w:rsidR="002735B8" w:rsidRPr="002735B8" w:rsidRDefault="002735B8" w:rsidP="00BE0540">
      <w:pPr>
        <w:autoSpaceDE w:val="0"/>
        <w:autoSpaceDN w:val="0"/>
        <w:adjustRightInd w:val="0"/>
        <w:spacing w:after="0" w:line="240" w:lineRule="auto"/>
        <w:ind w:left="0" w:right="0" w:firstLine="709"/>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xml:space="preserve">Analizirani su mogući događaji koji mogu izazvati eksploziju metana, ali je najveća pozornost posvećena posljedicama (broj mrtvih, ranjenih, veličina zone ugroze i sl.). Zaključak je da su događaji eksplozije metana na odlagalištima otpada vrlo rijetki, čak i na neuređenim odlagalištima otpada, a posljedice (ako isključimo ekotoksikološku dimenziju događaja) nisu značajne osim u slučaju klizanja otpada kada ima dosta mrtvih uslijed zatrpavanja, ali samo na neuređenim odlagalištima uz koja se uz sam rub nalaze sirotinjske četvrti tzv. slamovi, što nije primjenjivo uzimati u obzir u ovoj procjeni rizika. </w:t>
      </w:r>
    </w:p>
    <w:p w14:paraId="0F88C087"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p>
    <w:p w14:paraId="0C4EC586"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 xml:space="preserve">Prilikom izračuna procjene rizika korišteni su podaci iz: </w:t>
      </w:r>
    </w:p>
    <w:p w14:paraId="151596F8" w14:textId="77777777" w:rsidR="00BE0540" w:rsidRDefault="002735B8" w:rsidP="00C5768E">
      <w:pPr>
        <w:numPr>
          <w:ilvl w:val="0"/>
          <w:numId w:val="17"/>
        </w:numPr>
        <w:spacing w:after="0" w:line="240" w:lineRule="auto"/>
        <w:ind w:left="567" w:right="0"/>
        <w:rPr>
          <w:rFonts w:ascii="Times New Roman" w:hAnsi="Times New Roman" w:cs="Times New Roman"/>
          <w:sz w:val="24"/>
          <w:szCs w:val="24"/>
        </w:rPr>
      </w:pPr>
      <w:r w:rsidRPr="002735B8">
        <w:rPr>
          <w:rFonts w:ascii="Times New Roman" w:hAnsi="Times New Roman" w:cs="Times New Roman"/>
          <w:sz w:val="24"/>
          <w:szCs w:val="24"/>
        </w:rPr>
        <w:t xml:space="preserve">Procjene ugroženosti stanovništva, materijalnih i kulturnih dobara te okoliša od </w:t>
      </w:r>
    </w:p>
    <w:p w14:paraId="44FC6E49" w14:textId="7C577181" w:rsidR="002735B8" w:rsidRPr="002735B8" w:rsidRDefault="00BE0540" w:rsidP="00BE0540">
      <w:pPr>
        <w:spacing w:after="0" w:line="240" w:lineRule="auto"/>
        <w:ind w:left="0" w:right="0" w:firstLine="0"/>
        <w:rPr>
          <w:rFonts w:ascii="Times New Roman" w:hAnsi="Times New Roman" w:cs="Times New Roman"/>
          <w:sz w:val="24"/>
          <w:szCs w:val="24"/>
        </w:rPr>
      </w:pPr>
      <w:r>
        <w:rPr>
          <w:rFonts w:ascii="Times New Roman" w:hAnsi="Times New Roman" w:cs="Times New Roman"/>
          <w:sz w:val="24"/>
          <w:szCs w:val="24"/>
        </w:rPr>
        <w:t xml:space="preserve">            </w:t>
      </w:r>
      <w:r w:rsidR="002735B8" w:rsidRPr="002735B8">
        <w:rPr>
          <w:rFonts w:ascii="Times New Roman" w:hAnsi="Times New Roman" w:cs="Times New Roman"/>
          <w:sz w:val="24"/>
          <w:szCs w:val="24"/>
        </w:rPr>
        <w:t xml:space="preserve">katastrofa i velikih nesreća za Grad Zagreb, 2016.; </w:t>
      </w:r>
    </w:p>
    <w:p w14:paraId="231FC0BC" w14:textId="77777777" w:rsidR="002735B8" w:rsidRPr="002735B8" w:rsidRDefault="002735B8" w:rsidP="00C5768E">
      <w:pPr>
        <w:numPr>
          <w:ilvl w:val="0"/>
          <w:numId w:val="17"/>
        </w:numPr>
        <w:spacing w:after="0" w:line="240" w:lineRule="auto"/>
        <w:ind w:left="567" w:right="0"/>
        <w:rPr>
          <w:rFonts w:ascii="Times New Roman" w:hAnsi="Times New Roman" w:cs="Times New Roman"/>
          <w:sz w:val="24"/>
          <w:szCs w:val="24"/>
        </w:rPr>
      </w:pPr>
      <w:r w:rsidRPr="002735B8">
        <w:rPr>
          <w:rFonts w:ascii="Times New Roman" w:hAnsi="Times New Roman" w:cs="Times New Roman"/>
          <w:sz w:val="24"/>
          <w:szCs w:val="24"/>
        </w:rPr>
        <w:t xml:space="preserve">Procjene rizika od katastrofa za Republiku Hrvatsku; </w:t>
      </w:r>
    </w:p>
    <w:p w14:paraId="1431BA73" w14:textId="77777777" w:rsidR="002735B8" w:rsidRPr="002735B8" w:rsidRDefault="002735B8" w:rsidP="00C5768E">
      <w:pPr>
        <w:numPr>
          <w:ilvl w:val="0"/>
          <w:numId w:val="17"/>
        </w:numPr>
        <w:spacing w:after="0" w:line="240" w:lineRule="auto"/>
        <w:ind w:left="567" w:right="0"/>
        <w:rPr>
          <w:rFonts w:ascii="Times New Roman" w:hAnsi="Times New Roman" w:cs="Times New Roman"/>
          <w:sz w:val="24"/>
          <w:szCs w:val="24"/>
        </w:rPr>
      </w:pPr>
      <w:r w:rsidRPr="002735B8">
        <w:rPr>
          <w:rFonts w:ascii="Times New Roman" w:hAnsi="Times New Roman" w:cs="Times New Roman"/>
          <w:sz w:val="24"/>
          <w:szCs w:val="24"/>
        </w:rPr>
        <w:t xml:space="preserve">Plana zaštite i spašavanja za područje Grada Zagreba; </w:t>
      </w:r>
    </w:p>
    <w:p w14:paraId="52CA9290" w14:textId="77777777" w:rsidR="002735B8" w:rsidRPr="002735B8" w:rsidRDefault="002735B8" w:rsidP="00C5768E">
      <w:pPr>
        <w:numPr>
          <w:ilvl w:val="0"/>
          <w:numId w:val="17"/>
        </w:numPr>
        <w:spacing w:after="0" w:line="240" w:lineRule="auto"/>
        <w:ind w:left="567" w:right="0"/>
        <w:rPr>
          <w:rFonts w:ascii="Times New Roman" w:hAnsi="Times New Roman" w:cs="Times New Roman"/>
          <w:sz w:val="24"/>
          <w:szCs w:val="24"/>
        </w:rPr>
      </w:pPr>
      <w:r w:rsidRPr="002735B8">
        <w:rPr>
          <w:rFonts w:ascii="Times New Roman" w:hAnsi="Times New Roman" w:cs="Times New Roman"/>
          <w:sz w:val="24"/>
          <w:szCs w:val="24"/>
        </w:rPr>
        <w:t xml:space="preserve">Statističkog ljetopisa Grada Zagreba, 2021.; </w:t>
      </w:r>
    </w:p>
    <w:p w14:paraId="40656E69" w14:textId="77777777" w:rsidR="002735B8" w:rsidRPr="002735B8" w:rsidRDefault="002735B8" w:rsidP="00C5768E">
      <w:pPr>
        <w:numPr>
          <w:ilvl w:val="0"/>
          <w:numId w:val="17"/>
        </w:numPr>
        <w:spacing w:after="0" w:line="240" w:lineRule="auto"/>
        <w:ind w:left="567" w:right="0"/>
        <w:rPr>
          <w:rFonts w:ascii="Times New Roman" w:hAnsi="Times New Roman" w:cs="Times New Roman"/>
          <w:sz w:val="24"/>
          <w:szCs w:val="24"/>
        </w:rPr>
      </w:pPr>
      <w:r w:rsidRPr="002735B8">
        <w:rPr>
          <w:rFonts w:ascii="Times New Roman" w:hAnsi="Times New Roman" w:cs="Times New Roman"/>
          <w:sz w:val="24"/>
          <w:szCs w:val="24"/>
        </w:rPr>
        <w:t xml:space="preserve">Izvješća o stanju u prostoru Grada Zagreba, 2018.; </w:t>
      </w:r>
    </w:p>
    <w:p w14:paraId="0E4992A8" w14:textId="77777777" w:rsidR="002735B8" w:rsidRPr="002735B8" w:rsidRDefault="002735B8" w:rsidP="00C5768E">
      <w:pPr>
        <w:numPr>
          <w:ilvl w:val="0"/>
          <w:numId w:val="17"/>
        </w:numPr>
        <w:spacing w:after="0" w:line="240" w:lineRule="auto"/>
        <w:ind w:left="567" w:right="0"/>
        <w:rPr>
          <w:rFonts w:ascii="Times New Roman" w:hAnsi="Times New Roman" w:cs="Times New Roman"/>
          <w:sz w:val="24"/>
          <w:szCs w:val="24"/>
        </w:rPr>
      </w:pPr>
      <w:r w:rsidRPr="002735B8">
        <w:rPr>
          <w:rFonts w:ascii="Times New Roman" w:hAnsi="Times New Roman" w:cs="Times New Roman"/>
          <w:sz w:val="24"/>
          <w:szCs w:val="24"/>
        </w:rPr>
        <w:t xml:space="preserve">Procjene rizika pravnih osoba; </w:t>
      </w:r>
    </w:p>
    <w:p w14:paraId="378BE8B6" w14:textId="77777777" w:rsidR="002735B8" w:rsidRPr="002735B8" w:rsidRDefault="002735B8" w:rsidP="00C5768E">
      <w:pPr>
        <w:numPr>
          <w:ilvl w:val="0"/>
          <w:numId w:val="17"/>
        </w:numPr>
        <w:spacing w:after="0" w:line="240" w:lineRule="auto"/>
        <w:ind w:left="567" w:right="0"/>
        <w:rPr>
          <w:rFonts w:ascii="Times New Roman" w:hAnsi="Times New Roman" w:cs="Times New Roman"/>
          <w:sz w:val="24"/>
          <w:szCs w:val="24"/>
        </w:rPr>
      </w:pPr>
      <w:r w:rsidRPr="002735B8">
        <w:rPr>
          <w:rFonts w:ascii="Times New Roman" w:hAnsi="Times New Roman" w:cs="Times New Roman"/>
          <w:sz w:val="24"/>
          <w:szCs w:val="24"/>
        </w:rPr>
        <w:t xml:space="preserve">Državnog zavoda za statistiku; </w:t>
      </w:r>
    </w:p>
    <w:p w14:paraId="0D6B5201"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p>
    <w:p w14:paraId="6935B991" w14:textId="77777777" w:rsidR="002735B8" w:rsidRPr="002735B8" w:rsidRDefault="002735B8" w:rsidP="002735B8">
      <w:pPr>
        <w:spacing w:after="0" w:line="240" w:lineRule="auto"/>
        <w:ind w:left="0" w:right="0" w:firstLine="0"/>
        <w:rPr>
          <w:rFonts w:ascii="Times New Roman" w:hAnsi="Times New Roman" w:cs="Times New Roman"/>
          <w:sz w:val="24"/>
          <w:szCs w:val="24"/>
        </w:rPr>
      </w:pPr>
      <w:r w:rsidRPr="002735B8">
        <w:rPr>
          <w:rFonts w:ascii="Times New Roman" w:hAnsi="Times New Roman" w:cs="Times New Roman"/>
          <w:sz w:val="24"/>
          <w:szCs w:val="24"/>
        </w:rPr>
        <w:t xml:space="preserve">Korišteni su podaci iz sljedećih publikacija: </w:t>
      </w:r>
    </w:p>
    <w:p w14:paraId="4D1CDB46"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Nakić Z., Prce M. Posavec K.: Utjecaj odlagališta otpada Jakuševec-Prudinec na kakvoću podzemne vode, Rudarsko-geološko-naftni zbornik Vol. 19 str. 35 - 45, Zagreb 1997.</w:t>
      </w:r>
    </w:p>
    <w:p w14:paraId="6714DFF9"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Elaborat zaštite okoliša za zahvat: Izmjena zahvata – obrada neopasnog otpada na odlagalištu otpada „Prudinec/Jakuševec“, Zagreb veljača 2022.</w:t>
      </w:r>
    </w:p>
    <w:p w14:paraId="26E1419A"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lastRenderedPageBreak/>
        <w:t>-Tehničko–tehnološko rješenje postojećeg postrojenja odlagališta otpada Prudinec/Jakuševec, Ecoina d.o.o. Zagreb, travanj 2014.</w:t>
      </w:r>
    </w:p>
    <w:p w14:paraId="2A9E8B3C"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Studija o utjecaju na okoliš regionalnog vodoopskrbnog sustava Zagrebačke županije – Zagreb istok, IGH, listopad 2016.</w:t>
      </w:r>
    </w:p>
    <w:p w14:paraId="1F5051EB"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Ministarstvo zaštite okoliša i energetike: Dinamika zatvaranja odlagališta neopasnog otpada u RH, Zagreb, prosinac 2018.</w:t>
      </w:r>
    </w:p>
    <w:p w14:paraId="67636508"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Vađić V. Onečišćenje zraka u području odlagališta otpada Jakuševec i u okolnim naseljima, Arh Hig Rada Tokiskol 2006;57:317-324</w:t>
      </w:r>
    </w:p>
    <w:p w14:paraId="6B27DABD"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Landfill Gas Primer - An Overview for Environmental Health Professionals</w:t>
      </w:r>
    </w:p>
    <w:p w14:paraId="72FF8802"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Godišnje izvješće o praćenju i ocjeni kvalitete zraka za 2012 godinu Odlagalište Prudinec-Jakuševec, Zavod za javno zdravstvo Dr. Andrija Štampar</w:t>
      </w:r>
    </w:p>
    <w:p w14:paraId="50119E99"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Godišnje izvješće o rezultatima praćenja kvalitete zraka na automatskoj postaji za praćenje kvalitete zraka Jakuševec u 2021. godini</w:t>
      </w:r>
    </w:p>
    <w:p w14:paraId="4EFE46BF"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Kumić V., Milanović Z.: Otplinjavanje odlagališta neobrađenog komunalnog otpada, POLYTECHNIC &amp; DESIGN Vol. 4, No. 2, 2016.</w:t>
      </w:r>
    </w:p>
    <w:p w14:paraId="0BECEE33"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xml:space="preserve"> - FEMA: Landfill fires their magnitude, characteristics, and mitigation, May 2002.</w:t>
      </w:r>
    </w:p>
    <w:p w14:paraId="1B7AC1B8"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xml:space="preserve"> - Vujević D. et.al.: Sastav odlagališnog plina na odlagalištu otpada Prudinec/Jakuševec, Inženjerstvo okoliša No.1 Vol.1 2014.</w:t>
      </w:r>
    </w:p>
    <w:p w14:paraId="4F66633E"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The Study on the Safe Closure and Rehabilitation of Landfill Sites in Malaysia, Final Report - Volume 2</w:t>
      </w:r>
    </w:p>
    <w:p w14:paraId="25FA3298"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New Zealand Minister for the Environment, Landfill Guidelines Hazards Of Burning At Landfills, Dec. 1997.</w:t>
      </w:r>
    </w:p>
    <w:p w14:paraId="0A73A85F"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EPA: Guidance for evaluating landfill gas emissions from closed or abandoned facilities</w:t>
      </w:r>
    </w:p>
    <w:p w14:paraId="120EEC01"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The pottstown landfill: Independent environmental review of critical issues, Henry S. Cole, Ph.D. May 2005.</w:t>
      </w:r>
    </w:p>
    <w:p w14:paraId="61808B46"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Wilson S., Mortimer S.: Geological Society, London, Engineering Geology Special Publications, Volume 29, 457-478</w:t>
      </w:r>
    </w:p>
    <w:p w14:paraId="1B6BDD04"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Lavigne et al. Geoenvironmental Disasters The 21 February 2005, catastrophic waste avalanche at Leuwigajah dumpsite, Bandung, Indonesia 2014, 1:10</w:t>
      </w:r>
    </w:p>
    <w:p w14:paraId="140A9B1A"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New Zealand Minister for the Environment, Landfill Guidelines Hazards Of Burning At Landfills, Dec. 1997. Source on dioxins: U.S. EPA, Dioxin Inventory</w:t>
      </w:r>
    </w:p>
    <w:p w14:paraId="75ECF435"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xml:space="preserve">- Barčić D., Ivančić V.: Utjecaj odlagališta otpada Prudinec/Jakuševec na onečišćenje okoliša, Šumarski list br. 7-8, CXXXIV (2010), 347-359 </w:t>
      </w:r>
    </w:p>
    <w:p w14:paraId="1E618533"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Grad Zagreb: Izvješće o provedbi Plana gospodarenja otpadom u Gradu Zagrebu za razdoblje od 01.01.2019.-31.12.2019.</w:t>
      </w:r>
    </w:p>
    <w:p w14:paraId="1E3FB764"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Zahtjev za utvrđivanje objedinjenih uvjeta zaštite okoliša postojećeg postrojenja odlagališta otpada Prudinec/Jakuševec, Ecoina d.o.o. Zagreb travanj 2014.</w:t>
      </w:r>
    </w:p>
    <w:p w14:paraId="0D6B4435"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https://www.atsdr.cdc.gov/hac/landfill/html/ch2.html</w:t>
      </w:r>
    </w:p>
    <w:p w14:paraId="672466AA"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https://www.jornada.com.mx/2010/06/16/estados/033n1est</w:t>
      </w:r>
    </w:p>
    <w:p w14:paraId="7A83778C"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https://www.jornada.com.mx/2010/06/17/estados/031n1est</w:t>
      </w:r>
    </w:p>
    <w:p w14:paraId="208E365D"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https://www.mlive.com/news/grand-rapids/2016/08/landfill_gas_could_cause_explo.html</w:t>
      </w:r>
    </w:p>
    <w:p w14:paraId="0AC8550C"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p>
    <w:p w14:paraId="427356DF" w14:textId="77777777" w:rsidR="002735B8" w:rsidRPr="002735B8" w:rsidRDefault="002735B8" w:rsidP="002735B8">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u w:val="single"/>
          <w:lang w:eastAsia="en-US"/>
        </w:rPr>
      </w:pPr>
      <w:r w:rsidRPr="002735B8">
        <w:rPr>
          <w:rFonts w:ascii="Times New Roman" w:eastAsiaTheme="minorHAnsi" w:hAnsi="Times New Roman" w:cs="Times New Roman"/>
          <w:color w:val="auto"/>
          <w:sz w:val="24"/>
          <w:szCs w:val="24"/>
          <w:u w:val="single"/>
          <w:lang w:eastAsia="en-US"/>
        </w:rPr>
        <w:t>Nepouzdanost</w:t>
      </w:r>
    </w:p>
    <w:p w14:paraId="5DD8749D" w14:textId="3E1AEDD1" w:rsidR="002735B8" w:rsidRDefault="002735B8" w:rsidP="00C70C9F">
      <w:pPr>
        <w:autoSpaceDE w:val="0"/>
        <w:autoSpaceDN w:val="0"/>
        <w:adjustRightInd w:val="0"/>
        <w:spacing w:after="0" w:line="240" w:lineRule="auto"/>
        <w:ind w:left="0" w:right="0" w:firstLine="709"/>
        <w:rPr>
          <w:rFonts w:ascii="Times New Roman" w:eastAsiaTheme="minorHAnsi" w:hAnsi="Times New Roman" w:cs="Times New Roman"/>
          <w:color w:val="auto"/>
          <w:sz w:val="24"/>
          <w:szCs w:val="24"/>
          <w:lang w:eastAsia="en-US"/>
        </w:rPr>
      </w:pPr>
      <w:r w:rsidRPr="002735B8">
        <w:rPr>
          <w:rFonts w:ascii="Times New Roman" w:eastAsiaTheme="minorHAnsi" w:hAnsi="Times New Roman" w:cs="Times New Roman"/>
          <w:color w:val="auto"/>
          <w:sz w:val="24"/>
          <w:szCs w:val="24"/>
          <w:lang w:eastAsia="en-US"/>
        </w:rPr>
        <w:t xml:space="preserve">Zbog vrlo malo sličnih dokumentiranih pojava procjena je visoke nepouzdanosti. Postojeći događaji eksplozija čak i na neuređenim odlagalištima koja nemaju sustav otplinjavanja nisu česti, a budući da je Jakuševec uređeno odlagalište otpada, vjerojatnost razornije eksplozije je vrlo mala, a u slučaju da se dogodi, zona uništenja ne bi trebala obuhvaćati perimetar izvan područja odlagališta. </w:t>
      </w:r>
    </w:p>
    <w:p w14:paraId="2A22309C" w14:textId="77777777" w:rsidR="002B66B6" w:rsidRPr="002735B8" w:rsidRDefault="002B66B6" w:rsidP="00C70C9F">
      <w:pPr>
        <w:autoSpaceDE w:val="0"/>
        <w:autoSpaceDN w:val="0"/>
        <w:adjustRightInd w:val="0"/>
        <w:spacing w:after="0" w:line="240" w:lineRule="auto"/>
        <w:ind w:left="0" w:right="0" w:firstLine="709"/>
        <w:rPr>
          <w:rFonts w:ascii="Times New Roman" w:eastAsiaTheme="minorHAnsi" w:hAnsi="Times New Roman" w:cs="Times New Roman"/>
          <w:color w:val="auto"/>
          <w:sz w:val="24"/>
          <w:szCs w:val="24"/>
          <w:lang w:eastAsia="en-US"/>
        </w:rPr>
      </w:pPr>
    </w:p>
    <w:p w14:paraId="195CC44D" w14:textId="77777777" w:rsidR="004E1A7D" w:rsidRPr="002735B8" w:rsidRDefault="004E1A7D" w:rsidP="002735B8">
      <w:pPr>
        <w:spacing w:after="0" w:line="240" w:lineRule="auto"/>
        <w:ind w:left="0" w:right="0" w:firstLine="0"/>
        <w:rPr>
          <w:rFonts w:ascii="Times New Roman" w:hAnsi="Times New Roman" w:cs="Times New Roman"/>
          <w:sz w:val="24"/>
          <w:szCs w:val="24"/>
        </w:rPr>
      </w:pPr>
    </w:p>
    <w:p w14:paraId="67D1A4CF" w14:textId="77777777" w:rsidR="002735B8" w:rsidRPr="002735B8" w:rsidRDefault="002735B8" w:rsidP="00C70C9F">
      <w:pPr>
        <w:spacing w:after="0" w:line="240" w:lineRule="auto"/>
        <w:ind w:left="0" w:right="1" w:firstLine="709"/>
        <w:rPr>
          <w:rFonts w:ascii="Times New Roman" w:hAnsi="Times New Roman" w:cs="Times New Roman"/>
          <w:b/>
          <w:color w:val="auto"/>
          <w:sz w:val="24"/>
          <w:szCs w:val="24"/>
        </w:rPr>
      </w:pPr>
      <w:r w:rsidRPr="002735B8">
        <w:rPr>
          <w:rFonts w:ascii="Times New Roman" w:hAnsi="Times New Roman" w:cs="Times New Roman"/>
          <w:b/>
          <w:color w:val="auto"/>
          <w:sz w:val="24"/>
          <w:szCs w:val="24"/>
        </w:rPr>
        <w:lastRenderedPageBreak/>
        <w:t>6.7.6. Matrice rizika</w:t>
      </w:r>
    </w:p>
    <w:p w14:paraId="70AC9354" w14:textId="77777777" w:rsidR="002735B8" w:rsidRPr="002735B8" w:rsidRDefault="002735B8" w:rsidP="000D6A0F">
      <w:pPr>
        <w:spacing w:after="0" w:line="240" w:lineRule="auto"/>
        <w:ind w:left="0" w:right="1" w:firstLine="709"/>
        <w:rPr>
          <w:rFonts w:ascii="Times New Roman" w:hAnsi="Times New Roman" w:cs="Times New Roman"/>
          <w:color w:val="auto"/>
          <w:sz w:val="24"/>
          <w:szCs w:val="24"/>
          <w:u w:val="single"/>
        </w:rPr>
      </w:pPr>
      <w:r w:rsidRPr="002735B8">
        <w:rPr>
          <w:rFonts w:ascii="Times New Roman" w:hAnsi="Times New Roman" w:cs="Times New Roman"/>
          <w:color w:val="auto"/>
          <w:sz w:val="24"/>
          <w:szCs w:val="24"/>
          <w:u w:val="single"/>
        </w:rPr>
        <w:t>RIZIK</w:t>
      </w:r>
      <w:r w:rsidRPr="002735B8">
        <w:rPr>
          <w:rFonts w:ascii="Times New Roman" w:hAnsi="Times New Roman" w:cs="Times New Roman"/>
          <w:color w:val="auto"/>
          <w:sz w:val="24"/>
          <w:szCs w:val="24"/>
        </w:rPr>
        <w:t>: Nesreće na odlagalištima otpada</w:t>
      </w:r>
    </w:p>
    <w:p w14:paraId="279D0091" w14:textId="4D3531FD" w:rsidR="002735B8" w:rsidRPr="002735B8" w:rsidRDefault="002735B8" w:rsidP="000D6A0F">
      <w:pPr>
        <w:spacing w:after="0" w:line="240" w:lineRule="auto"/>
        <w:ind w:left="0" w:right="1" w:firstLine="709"/>
        <w:rPr>
          <w:rFonts w:ascii="Times New Roman" w:hAnsi="Times New Roman" w:cs="Times New Roman"/>
          <w:sz w:val="24"/>
          <w:szCs w:val="24"/>
        </w:rPr>
      </w:pPr>
      <w:r w:rsidRPr="002735B8">
        <w:rPr>
          <w:rFonts w:ascii="Times New Roman" w:hAnsi="Times New Roman" w:cs="Times New Roman"/>
          <w:color w:val="auto"/>
          <w:sz w:val="24"/>
          <w:szCs w:val="24"/>
          <w:u w:val="single"/>
        </w:rPr>
        <w:t>NAZIV SCENARIJA</w:t>
      </w:r>
      <w:r w:rsidRPr="002735B8">
        <w:rPr>
          <w:rFonts w:ascii="Times New Roman" w:hAnsi="Times New Roman" w:cs="Times New Roman"/>
          <w:color w:val="auto"/>
          <w:sz w:val="24"/>
          <w:szCs w:val="24"/>
        </w:rPr>
        <w:t xml:space="preserve">: Nesreća na odlagalištu otpada </w:t>
      </w:r>
      <w:r w:rsidR="00395D8A">
        <w:rPr>
          <w:rFonts w:ascii="Times New Roman" w:hAnsi="Times New Roman" w:cs="Times New Roman"/>
          <w:color w:val="auto"/>
          <w:sz w:val="24"/>
          <w:szCs w:val="24"/>
        </w:rPr>
        <w:t>Prudinec-</w:t>
      </w:r>
      <w:r w:rsidRPr="002735B8">
        <w:rPr>
          <w:rFonts w:ascii="Times New Roman" w:hAnsi="Times New Roman" w:cs="Times New Roman"/>
          <w:color w:val="auto"/>
          <w:sz w:val="24"/>
          <w:szCs w:val="24"/>
        </w:rPr>
        <w:t>Jakuševec</w:t>
      </w:r>
    </w:p>
    <w:p w14:paraId="4D2B88AD" w14:textId="16E38349" w:rsidR="002735B8" w:rsidRDefault="002735B8" w:rsidP="004E1A7D">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Na temelju kombinacije dobivenih vrijednosti posljedica za sve tri kategorije (život i zdravlje ljudi, gospodarstvo i društvena stabilnost i politika) i vjerojatnosti izrađene su matrice rizika za prijetnju.</w:t>
      </w:r>
    </w:p>
    <w:p w14:paraId="31303BAC" w14:textId="77777777" w:rsidR="004E1A7D" w:rsidRDefault="004E1A7D" w:rsidP="002735B8">
      <w:pPr>
        <w:spacing w:after="0" w:line="240" w:lineRule="auto"/>
        <w:ind w:left="0" w:right="0" w:firstLine="0"/>
        <w:rPr>
          <w:rFonts w:ascii="Times New Roman" w:hAnsi="Times New Roman" w:cs="Times New Roman"/>
          <w:sz w:val="24"/>
          <w:szCs w:val="24"/>
        </w:rPr>
      </w:pPr>
    </w:p>
    <w:tbl>
      <w:tblPr>
        <w:tblStyle w:val="TableGrid50"/>
        <w:tblW w:w="86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0" w:type="dxa"/>
        </w:tblCellMar>
        <w:tblLook w:val="04A0" w:firstRow="1" w:lastRow="0" w:firstColumn="1" w:lastColumn="0" w:noHBand="0" w:noVBand="1"/>
      </w:tblPr>
      <w:tblGrid>
        <w:gridCol w:w="2903"/>
        <w:gridCol w:w="2644"/>
        <w:gridCol w:w="3137"/>
      </w:tblGrid>
      <w:tr w:rsidR="002735B8" w:rsidRPr="002735B8" w14:paraId="1665D7CF" w14:textId="77777777" w:rsidTr="00284074">
        <w:trPr>
          <w:cantSplit/>
          <w:trHeight w:val="146"/>
        </w:trPr>
        <w:tc>
          <w:tcPr>
            <w:tcW w:w="2903" w:type="dxa"/>
          </w:tcPr>
          <w:p w14:paraId="1A273210" w14:textId="77777777" w:rsidR="002735B8" w:rsidRPr="002735B8" w:rsidRDefault="002735B8" w:rsidP="002735B8">
            <w:pPr>
              <w:spacing w:after="0" w:line="240" w:lineRule="auto"/>
              <w:ind w:left="0" w:right="0" w:firstLine="0"/>
              <w:rPr>
                <w:rFonts w:ascii="Times New Roman" w:hAnsi="Times New Roman" w:cs="Times New Roman"/>
                <w:b/>
                <w:sz w:val="24"/>
                <w:szCs w:val="24"/>
              </w:rPr>
            </w:pPr>
            <w:r w:rsidRPr="002735B8">
              <w:rPr>
                <w:rFonts w:ascii="Times New Roman" w:hAnsi="Times New Roman" w:cs="Times New Roman"/>
                <w:b/>
                <w:sz w:val="24"/>
                <w:szCs w:val="24"/>
              </w:rPr>
              <w:t xml:space="preserve">     Život i zdravlje ljudi</w:t>
            </w:r>
          </w:p>
        </w:tc>
        <w:tc>
          <w:tcPr>
            <w:tcW w:w="2644" w:type="dxa"/>
          </w:tcPr>
          <w:p w14:paraId="6CB841CA" w14:textId="77777777" w:rsidR="002735B8" w:rsidRPr="002735B8" w:rsidRDefault="002735B8" w:rsidP="002735B8">
            <w:pPr>
              <w:spacing w:after="0" w:line="240" w:lineRule="auto"/>
              <w:ind w:left="0" w:right="0" w:firstLine="0"/>
              <w:rPr>
                <w:rFonts w:ascii="Times New Roman" w:hAnsi="Times New Roman" w:cs="Times New Roman"/>
                <w:b/>
                <w:sz w:val="24"/>
                <w:szCs w:val="24"/>
              </w:rPr>
            </w:pPr>
            <w:r w:rsidRPr="002735B8">
              <w:rPr>
                <w:rFonts w:ascii="Times New Roman" w:hAnsi="Times New Roman" w:cs="Times New Roman"/>
                <w:b/>
                <w:sz w:val="24"/>
                <w:szCs w:val="24"/>
              </w:rPr>
              <w:t xml:space="preserve">         Gospodarstvo</w:t>
            </w:r>
          </w:p>
        </w:tc>
        <w:tc>
          <w:tcPr>
            <w:tcW w:w="3137" w:type="dxa"/>
          </w:tcPr>
          <w:p w14:paraId="44E4BE50" w14:textId="7F12A067" w:rsidR="002735B8" w:rsidRPr="002735B8" w:rsidRDefault="008546EC" w:rsidP="002735B8">
            <w:pPr>
              <w:spacing w:after="0" w:line="240" w:lineRule="auto"/>
              <w:ind w:left="0" w:right="0" w:firstLine="0"/>
              <w:rPr>
                <w:rFonts w:ascii="Times New Roman" w:hAnsi="Times New Roman" w:cs="Times New Roman"/>
                <w:b/>
                <w:sz w:val="24"/>
                <w:szCs w:val="24"/>
              </w:rPr>
            </w:pPr>
            <w:r>
              <w:rPr>
                <w:rFonts w:ascii="Times New Roman" w:hAnsi="Times New Roman" w:cs="Times New Roman"/>
                <w:b/>
                <w:sz w:val="24"/>
                <w:szCs w:val="24"/>
              </w:rPr>
              <w:t>Društvena stabilnost i politika</w:t>
            </w:r>
          </w:p>
        </w:tc>
      </w:tr>
    </w:tbl>
    <w:p w14:paraId="5C14E462" w14:textId="77777777" w:rsidR="002735B8" w:rsidRPr="002735B8" w:rsidRDefault="002735B8" w:rsidP="002735B8">
      <w:pPr>
        <w:spacing w:after="0" w:line="240" w:lineRule="auto"/>
        <w:ind w:left="0" w:right="0" w:firstLine="0"/>
        <w:jc w:val="left"/>
        <w:rPr>
          <w:rFonts w:ascii="Times New Roman" w:hAnsi="Times New Roman" w:cs="Times New Roman"/>
          <w:b/>
          <w:sz w:val="24"/>
          <w:szCs w:val="24"/>
        </w:rPr>
      </w:pPr>
      <w:r w:rsidRPr="002735B8">
        <w:rPr>
          <w:rFonts w:ascii="Times New Roman" w:hAnsi="Times New Roman" w:cs="Times New Roman"/>
          <w:b/>
          <w:noProof/>
          <w:color w:val="auto"/>
          <w:sz w:val="24"/>
          <w:szCs w:val="24"/>
        </w:rPr>
        <w:drawing>
          <wp:inline distT="0" distB="0" distL="0" distR="0" wp14:anchorId="23D9B114" wp14:editId="716B23EE">
            <wp:extent cx="1771650" cy="1447800"/>
            <wp:effectExtent l="0" t="0" r="0" b="9525"/>
            <wp:docPr id="52278" name="Picture 5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771650" cy="1447800"/>
                    </a:xfrm>
                    <a:prstGeom prst="rect">
                      <a:avLst/>
                    </a:prstGeom>
                    <a:noFill/>
                  </pic:spPr>
                </pic:pic>
              </a:graphicData>
            </a:graphic>
          </wp:inline>
        </w:drawing>
      </w:r>
      <w:r w:rsidRPr="002735B8">
        <w:rPr>
          <w:rFonts w:ascii="Times New Roman" w:hAnsi="Times New Roman" w:cs="Times New Roman"/>
          <w:b/>
          <w:noProof/>
          <w:color w:val="auto"/>
          <w:sz w:val="24"/>
          <w:szCs w:val="24"/>
        </w:rPr>
        <w:drawing>
          <wp:inline distT="0" distB="0" distL="0" distR="0" wp14:anchorId="364E4F3B" wp14:editId="75426851">
            <wp:extent cx="1762125" cy="1438910"/>
            <wp:effectExtent l="0" t="0" r="9525" b="8890"/>
            <wp:docPr id="52279" name="Picture 5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762125" cy="1438910"/>
                    </a:xfrm>
                    <a:prstGeom prst="rect">
                      <a:avLst/>
                    </a:prstGeom>
                    <a:noFill/>
                  </pic:spPr>
                </pic:pic>
              </a:graphicData>
            </a:graphic>
          </wp:inline>
        </w:drawing>
      </w:r>
      <w:r w:rsidRPr="002735B8">
        <w:rPr>
          <w:rFonts w:ascii="Times New Roman" w:hAnsi="Times New Roman" w:cs="Times New Roman"/>
          <w:b/>
          <w:noProof/>
          <w:color w:val="auto"/>
          <w:sz w:val="24"/>
          <w:szCs w:val="24"/>
        </w:rPr>
        <w:drawing>
          <wp:inline distT="0" distB="0" distL="0" distR="0" wp14:anchorId="0FA8DC1F" wp14:editId="5C114BEE">
            <wp:extent cx="1792605" cy="1457325"/>
            <wp:effectExtent l="0" t="0" r="0" b="9525"/>
            <wp:docPr id="52280" name="Picture 5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792605" cy="1457325"/>
                    </a:xfrm>
                    <a:prstGeom prst="rect">
                      <a:avLst/>
                    </a:prstGeom>
                    <a:noFill/>
                  </pic:spPr>
                </pic:pic>
              </a:graphicData>
            </a:graphic>
          </wp:inline>
        </w:drawing>
      </w:r>
    </w:p>
    <w:p w14:paraId="288A68AE" w14:textId="2D4116C6" w:rsidR="002735B8" w:rsidRDefault="002735B8" w:rsidP="002735B8">
      <w:pPr>
        <w:spacing w:after="0" w:line="240" w:lineRule="auto"/>
        <w:ind w:left="0" w:right="0" w:firstLine="0"/>
        <w:rPr>
          <w:rFonts w:ascii="Times New Roman" w:hAnsi="Times New Roman" w:cs="Times New Roman"/>
          <w:b/>
          <w:sz w:val="24"/>
          <w:szCs w:val="24"/>
        </w:rPr>
      </w:pPr>
    </w:p>
    <w:p w14:paraId="60DEB652" w14:textId="77777777" w:rsidR="002735B8" w:rsidRPr="002735B8" w:rsidRDefault="002735B8" w:rsidP="002735B8">
      <w:pPr>
        <w:spacing w:after="0" w:line="240" w:lineRule="auto"/>
        <w:ind w:left="0" w:right="0" w:firstLine="0"/>
        <w:jc w:val="center"/>
        <w:rPr>
          <w:rFonts w:ascii="Times New Roman" w:hAnsi="Times New Roman" w:cs="Times New Roman"/>
          <w:b/>
          <w:sz w:val="24"/>
          <w:szCs w:val="24"/>
        </w:rPr>
      </w:pPr>
      <w:r w:rsidRPr="002735B8">
        <w:rPr>
          <w:rFonts w:ascii="Times New Roman" w:hAnsi="Times New Roman" w:cs="Times New Roman"/>
          <w:b/>
          <w:sz w:val="24"/>
          <w:szCs w:val="24"/>
        </w:rPr>
        <w:t>Ukupni rizik za NESREĆE NA ODLAGALIŠTIMA OTPADA - umjeren rizik</w:t>
      </w:r>
    </w:p>
    <w:p w14:paraId="5B056332" w14:textId="560C7564" w:rsidR="002735B8" w:rsidRPr="002735B8" w:rsidRDefault="00A079E6" w:rsidP="002735B8">
      <w:pPr>
        <w:spacing w:after="0" w:line="240" w:lineRule="auto"/>
        <w:ind w:left="0" w:right="0" w:firstLine="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56FBFCD" wp14:editId="68F33A32">
            <wp:extent cx="4877435" cy="3773805"/>
            <wp:effectExtent l="0" t="0" r="0" b="0"/>
            <wp:docPr id="72933" name="Picture 72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877435" cy="3773805"/>
                    </a:xfrm>
                    <a:prstGeom prst="rect">
                      <a:avLst/>
                    </a:prstGeom>
                    <a:noFill/>
                  </pic:spPr>
                </pic:pic>
              </a:graphicData>
            </a:graphic>
          </wp:inline>
        </w:drawing>
      </w:r>
    </w:p>
    <w:p w14:paraId="7E3FFA5C" w14:textId="77777777" w:rsidR="00E87BEB" w:rsidRDefault="00E87BEB" w:rsidP="00A079E6">
      <w:pPr>
        <w:spacing w:after="0" w:line="240" w:lineRule="auto"/>
        <w:ind w:left="0" w:right="0" w:firstLine="0"/>
        <w:rPr>
          <w:rFonts w:ascii="Times New Roman" w:hAnsi="Times New Roman" w:cs="Times New Roman"/>
          <w:b/>
          <w:color w:val="auto"/>
          <w:sz w:val="24"/>
          <w:szCs w:val="24"/>
        </w:rPr>
      </w:pPr>
    </w:p>
    <w:p w14:paraId="78BB5538" w14:textId="3B3BBFF5" w:rsidR="002735B8" w:rsidRPr="002735B8" w:rsidRDefault="002735B8" w:rsidP="00C70C9F">
      <w:pPr>
        <w:spacing w:after="0" w:line="240" w:lineRule="auto"/>
        <w:ind w:left="0" w:right="0" w:firstLine="709"/>
        <w:rPr>
          <w:rFonts w:ascii="Times New Roman" w:hAnsi="Times New Roman" w:cs="Times New Roman"/>
          <w:b/>
          <w:color w:val="auto"/>
          <w:sz w:val="24"/>
          <w:szCs w:val="24"/>
        </w:rPr>
      </w:pPr>
      <w:r w:rsidRPr="002735B8">
        <w:rPr>
          <w:rFonts w:ascii="Times New Roman" w:hAnsi="Times New Roman" w:cs="Times New Roman"/>
          <w:b/>
          <w:color w:val="auto"/>
          <w:sz w:val="24"/>
          <w:szCs w:val="24"/>
        </w:rPr>
        <w:t>6.7.7. Karte rizika</w:t>
      </w:r>
    </w:p>
    <w:p w14:paraId="21CCA6A9"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 xml:space="preserve">Najniža teritorijalna jedinica za procjenu rizika na području Grada Zagreba je gradska četvrt. Unutar svake gradske četvrti rizik je procijenjen na osnovu dva parametra (kriterija): stupanj zagađenja zraka/negativnog utjecaja na stanovništvo (to uključuje posljedice po zdravlje stanovništva izloženog udisanju opasnih tvari kao produkata požara) i ranjive skupine (uključuje udio ranjivih skupina unutar gradske četvrti koje su najugroženije uslijed izloženosti dimu). Svaki parametar (kriterij) ima četiri vrijednosti: nizak rizik (zelena boja), umjeren rizik (žuta boja), visok rizik (narančasta boja) i vrlo visok rizik (crvena boja).  </w:t>
      </w:r>
    </w:p>
    <w:p w14:paraId="1B157309"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lastRenderedPageBreak/>
        <w:t xml:space="preserve">Najgore posljedice (vrlo visok rizik) u slučaju eksplozije i katastrofalnog požara na odlagalištu otpada se očekuju na području Gradske četvrti Novi Zagreb - istok. U toj gradskoj četvrti bit će najveća koncentracija opasnih tvari nastalih uslijed gorenja, a zbog jačine eksplozije bit će i mrtvih unutar kruga odlagališta i lakše ozlijeđenih stanovnika uslijed pucanja stakala. Koliko će ugrožene dimom biti ostale gradske četvrti ovisi o meteorološkim prilikama (smjer i brzina vjetra, tlak zraka) koje je teško predvidjeti, kao i trajanje požara. Prema ruži vjetrova za područje Grada Zagreba na području istočnog dijela Grada Zagreba prevladavaju sjeveroistočni vjetrovi tako da je i prema tom podatku najugroženije područje gradske četvrti Novi Zagreb - istok odnosno najvjerojatnije je da će dim biti nošen u tom smjeru. Područja visokog rizika su područja koja su udaljenija od odlagališta, ali zbog jačine i smjera vjetra u njima stanovništvo može osjetiti posljedice izloženosti dimu. Pod umjerenim rizikom su gradske četvrti najudaljenije od odlagališta otpada Jakuševec. Kao referentna vrijednost uzeto je područje izloženosti većeg dijela gradske četvrti. Ako se pretežni dio gradske četvrti nalazi dalje od odlagališta otpada, a opasnija zona zahvaća samo manji dio gradske četvrti ili je to područje nenaseljeno, ukupni rizik u toj kategoriji će biti procijenjen kao niži. Primjer je gradska četvrt Peščenica-Žitnjak koja se nalazi sa druge strane rijeke Save, odmah preko puta odlagališta otpada, ali područje najbliže odlagalištu nije naseljeno (iako se tu nalazi ornitološki rezervat i zaštićeni krajobraz Savica koji će također biti izložen onečišćenju) a u zoni najveće ugroze (gdje može doći do pucanja stakala uslijed eksplozije) nalazi se nekoliko kuća u Črnkovečkoj ulici u naselju Petruševec. </w:t>
      </w:r>
    </w:p>
    <w:p w14:paraId="6C2EB388" w14:textId="77777777" w:rsidR="002735B8" w:rsidRPr="002735B8" w:rsidRDefault="002735B8" w:rsidP="00BE0540">
      <w:pPr>
        <w:spacing w:after="0" w:line="240" w:lineRule="auto"/>
        <w:ind w:left="0" w:right="0" w:firstLine="709"/>
        <w:rPr>
          <w:rFonts w:ascii="Times New Roman" w:hAnsi="Times New Roman" w:cs="Times New Roman"/>
          <w:sz w:val="24"/>
          <w:szCs w:val="24"/>
        </w:rPr>
      </w:pPr>
      <w:r w:rsidRPr="002735B8">
        <w:rPr>
          <w:rFonts w:ascii="Times New Roman" w:hAnsi="Times New Roman" w:cs="Times New Roman"/>
          <w:sz w:val="24"/>
          <w:szCs w:val="24"/>
        </w:rPr>
        <w:t>Pod ranjivim skupinama stanovništva smatraju se osobe sa srčanim i plućnim problemima, djeca, trudnice i osobe starije od 65 godina. Stoga će navedeni parametar (kriterij) ukupnog rizika biti određen na osnovu koeficijenta starosti</w:t>
      </w:r>
      <w:r w:rsidRPr="002735B8">
        <w:rPr>
          <w:rFonts w:ascii="Times New Roman" w:hAnsi="Times New Roman" w:cs="Times New Roman"/>
          <w:sz w:val="24"/>
          <w:szCs w:val="24"/>
          <w:vertAlign w:val="superscript"/>
        </w:rPr>
        <w:footnoteReference w:id="115"/>
      </w:r>
      <w:r w:rsidRPr="002735B8">
        <w:rPr>
          <w:rFonts w:ascii="Times New Roman" w:hAnsi="Times New Roman" w:cs="Times New Roman"/>
          <w:sz w:val="24"/>
          <w:szCs w:val="24"/>
        </w:rPr>
        <w:t xml:space="preserve"> u gradskim četvrtima. </w:t>
      </w:r>
    </w:p>
    <w:p w14:paraId="56AA4B03"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p>
    <w:p w14:paraId="5E0C8D6D" w14:textId="3A583B3F" w:rsidR="002735B8" w:rsidRPr="00E342E9" w:rsidRDefault="002735B8" w:rsidP="008546EC">
      <w:pPr>
        <w:keepNext/>
        <w:keepLines/>
        <w:spacing w:line="240" w:lineRule="auto"/>
        <w:ind w:left="0" w:right="0" w:firstLine="0"/>
        <w:jc w:val="center"/>
        <w:outlineLvl w:val="3"/>
        <w:rPr>
          <w:rFonts w:ascii="Times New Roman" w:hAnsi="Times New Roman" w:cs="Times New Roman"/>
          <w:b/>
          <w:color w:val="auto"/>
          <w:sz w:val="24"/>
          <w:szCs w:val="24"/>
        </w:rPr>
      </w:pPr>
      <w:r w:rsidRPr="00E342E9">
        <w:rPr>
          <w:rFonts w:ascii="Times New Roman" w:hAnsi="Times New Roman" w:cs="Times New Roman"/>
          <w:b/>
          <w:color w:val="auto"/>
          <w:sz w:val="24"/>
          <w:szCs w:val="24"/>
        </w:rPr>
        <w:t xml:space="preserve">Tablica </w:t>
      </w:r>
      <w:r w:rsidR="00E342E9" w:rsidRPr="00E342E9">
        <w:rPr>
          <w:rFonts w:ascii="Times New Roman" w:hAnsi="Times New Roman" w:cs="Times New Roman"/>
          <w:b/>
          <w:color w:val="auto"/>
          <w:sz w:val="24"/>
          <w:szCs w:val="24"/>
        </w:rPr>
        <w:t>122</w:t>
      </w:r>
      <w:r w:rsidRPr="00E342E9">
        <w:rPr>
          <w:rFonts w:ascii="Times New Roman" w:hAnsi="Times New Roman" w:cs="Times New Roman"/>
          <w:b/>
          <w:color w:val="auto"/>
          <w:sz w:val="24"/>
          <w:szCs w:val="24"/>
        </w:rPr>
        <w:t xml:space="preserve">. Procjena rizika na razini gradskih četvrti </w:t>
      </w:r>
    </w:p>
    <w:tbl>
      <w:tblPr>
        <w:tblStyle w:val="TableGrid31"/>
        <w:tblW w:w="7985" w:type="dxa"/>
        <w:tblInd w:w="545" w:type="dxa"/>
        <w:tblCellMar>
          <w:top w:w="5" w:type="dxa"/>
          <w:left w:w="107" w:type="dxa"/>
          <w:right w:w="56" w:type="dxa"/>
        </w:tblCellMar>
        <w:tblLook w:val="04A0" w:firstRow="1" w:lastRow="0" w:firstColumn="1" w:lastColumn="0" w:noHBand="0" w:noVBand="1"/>
      </w:tblPr>
      <w:tblGrid>
        <w:gridCol w:w="737"/>
        <w:gridCol w:w="2241"/>
        <w:gridCol w:w="1652"/>
        <w:gridCol w:w="1601"/>
        <w:gridCol w:w="1754"/>
      </w:tblGrid>
      <w:tr w:rsidR="002735B8" w:rsidRPr="002735B8" w14:paraId="625F9C64" w14:textId="77777777" w:rsidTr="00284074">
        <w:trPr>
          <w:trHeight w:val="882"/>
        </w:trPr>
        <w:tc>
          <w:tcPr>
            <w:tcW w:w="73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229A788C"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b/>
                <w:sz w:val="24"/>
                <w:szCs w:val="24"/>
              </w:rPr>
              <w:t xml:space="preserve">R.br. </w:t>
            </w:r>
          </w:p>
        </w:tc>
        <w:tc>
          <w:tcPr>
            <w:tcW w:w="2242"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B0F668F"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 xml:space="preserve">Gradska četvrt </w:t>
            </w:r>
          </w:p>
        </w:tc>
        <w:tc>
          <w:tcPr>
            <w:tcW w:w="1652" w:type="dxa"/>
            <w:tcBorders>
              <w:top w:val="single" w:sz="4" w:space="0" w:color="000000"/>
              <w:left w:val="single" w:sz="4" w:space="0" w:color="000000"/>
              <w:bottom w:val="single" w:sz="4" w:space="0" w:color="000000"/>
              <w:right w:val="single" w:sz="4" w:space="0" w:color="000000"/>
            </w:tcBorders>
            <w:shd w:val="clear" w:color="auto" w:fill="00B0F0"/>
          </w:tcPr>
          <w:p w14:paraId="38DE2B4E"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 xml:space="preserve">Zagađenje zraka/opasne </w:t>
            </w:r>
          </w:p>
          <w:p w14:paraId="3E302162"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 xml:space="preserve">tvari </w:t>
            </w:r>
          </w:p>
        </w:tc>
        <w:tc>
          <w:tcPr>
            <w:tcW w:w="1601" w:type="dxa"/>
            <w:tcBorders>
              <w:top w:val="single" w:sz="4" w:space="0" w:color="000000"/>
              <w:left w:val="single" w:sz="4" w:space="0" w:color="000000"/>
              <w:bottom w:val="single" w:sz="4" w:space="0" w:color="000000"/>
              <w:right w:val="single" w:sz="4" w:space="0" w:color="000000"/>
            </w:tcBorders>
            <w:shd w:val="clear" w:color="auto" w:fill="00B0F0"/>
          </w:tcPr>
          <w:p w14:paraId="577D8278"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 xml:space="preserve">Ranjivost stanovništva </w:t>
            </w:r>
          </w:p>
        </w:tc>
        <w:tc>
          <w:tcPr>
            <w:tcW w:w="1754"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05031595"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b/>
                <w:sz w:val="24"/>
                <w:szCs w:val="24"/>
              </w:rPr>
              <w:t xml:space="preserve">UKUPNO </w:t>
            </w:r>
          </w:p>
        </w:tc>
      </w:tr>
      <w:tr w:rsidR="002735B8" w:rsidRPr="002735B8" w14:paraId="4655BCA8" w14:textId="77777777" w:rsidTr="00284074">
        <w:trPr>
          <w:trHeight w:val="592"/>
        </w:trPr>
        <w:tc>
          <w:tcPr>
            <w:tcW w:w="73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08FF8910"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1. </w:t>
            </w:r>
          </w:p>
        </w:tc>
        <w:tc>
          <w:tcPr>
            <w:tcW w:w="2242" w:type="dxa"/>
            <w:tcBorders>
              <w:top w:val="single" w:sz="4" w:space="0" w:color="000000"/>
              <w:left w:val="single" w:sz="4" w:space="0" w:color="000000"/>
              <w:bottom w:val="single" w:sz="4" w:space="0" w:color="000000"/>
              <w:right w:val="single" w:sz="4" w:space="0" w:color="000000"/>
            </w:tcBorders>
          </w:tcPr>
          <w:p w14:paraId="4E39F165"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Brezovica </w:t>
            </w:r>
          </w:p>
          <w:p w14:paraId="1FEE8D94"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5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1DBA3119"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01" w:type="dxa"/>
            <w:tcBorders>
              <w:top w:val="single" w:sz="4" w:space="0" w:color="000000"/>
              <w:left w:val="single" w:sz="4" w:space="0" w:color="000000"/>
              <w:bottom w:val="single" w:sz="4" w:space="0" w:color="000000"/>
              <w:right w:val="single" w:sz="4" w:space="0" w:color="000000"/>
            </w:tcBorders>
            <w:shd w:val="clear" w:color="auto" w:fill="FFFF00"/>
          </w:tcPr>
          <w:p w14:paraId="0AFA46C1"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754"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3E791635"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r>
      <w:tr w:rsidR="002735B8" w:rsidRPr="002735B8" w14:paraId="3E245D08" w14:textId="77777777" w:rsidTr="00284074">
        <w:trPr>
          <w:trHeight w:val="592"/>
        </w:trPr>
        <w:tc>
          <w:tcPr>
            <w:tcW w:w="73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623344DB"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2. </w:t>
            </w:r>
          </w:p>
        </w:tc>
        <w:tc>
          <w:tcPr>
            <w:tcW w:w="2242" w:type="dxa"/>
            <w:tcBorders>
              <w:top w:val="single" w:sz="4" w:space="0" w:color="000000"/>
              <w:left w:val="single" w:sz="4" w:space="0" w:color="000000"/>
              <w:bottom w:val="single" w:sz="4" w:space="0" w:color="000000"/>
              <w:right w:val="single" w:sz="4" w:space="0" w:color="000000"/>
            </w:tcBorders>
          </w:tcPr>
          <w:p w14:paraId="63E57EDE"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Črnomerec </w:t>
            </w:r>
          </w:p>
          <w:p w14:paraId="7640E768"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5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2FA7C0A"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01" w:type="dxa"/>
            <w:tcBorders>
              <w:top w:val="single" w:sz="4" w:space="0" w:color="000000"/>
              <w:left w:val="single" w:sz="4" w:space="0" w:color="000000"/>
              <w:bottom w:val="single" w:sz="4" w:space="0" w:color="000000"/>
              <w:right w:val="single" w:sz="4" w:space="0" w:color="000000"/>
            </w:tcBorders>
            <w:shd w:val="clear" w:color="auto" w:fill="FFC000"/>
          </w:tcPr>
          <w:p w14:paraId="4E755DD4"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754"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79D71D3"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r>
      <w:tr w:rsidR="002735B8" w:rsidRPr="002735B8" w14:paraId="50104044" w14:textId="77777777" w:rsidTr="00284074">
        <w:trPr>
          <w:trHeight w:val="593"/>
        </w:trPr>
        <w:tc>
          <w:tcPr>
            <w:tcW w:w="73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411CA49"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3. </w:t>
            </w:r>
          </w:p>
        </w:tc>
        <w:tc>
          <w:tcPr>
            <w:tcW w:w="2242" w:type="dxa"/>
            <w:tcBorders>
              <w:top w:val="single" w:sz="4" w:space="0" w:color="000000"/>
              <w:left w:val="single" w:sz="4" w:space="0" w:color="000000"/>
              <w:bottom w:val="single" w:sz="4" w:space="0" w:color="000000"/>
              <w:right w:val="single" w:sz="4" w:space="0" w:color="000000"/>
            </w:tcBorders>
          </w:tcPr>
          <w:p w14:paraId="098A05D9"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Donja Dubrava </w:t>
            </w:r>
          </w:p>
          <w:p w14:paraId="0F0F1992"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5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154B14E"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01" w:type="dxa"/>
            <w:tcBorders>
              <w:top w:val="single" w:sz="4" w:space="0" w:color="000000"/>
              <w:left w:val="single" w:sz="4" w:space="0" w:color="000000"/>
              <w:bottom w:val="single" w:sz="4" w:space="0" w:color="000000"/>
              <w:right w:val="single" w:sz="4" w:space="0" w:color="000000"/>
            </w:tcBorders>
            <w:shd w:val="clear" w:color="auto" w:fill="92D050"/>
          </w:tcPr>
          <w:p w14:paraId="3922F12D"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754"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0C8B1E26"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r>
      <w:tr w:rsidR="002735B8" w:rsidRPr="002735B8" w14:paraId="07CD96D3" w14:textId="77777777" w:rsidTr="00284074">
        <w:trPr>
          <w:trHeight w:val="591"/>
        </w:trPr>
        <w:tc>
          <w:tcPr>
            <w:tcW w:w="73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A7E4DD7"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4. </w:t>
            </w:r>
          </w:p>
        </w:tc>
        <w:tc>
          <w:tcPr>
            <w:tcW w:w="2242" w:type="dxa"/>
            <w:tcBorders>
              <w:top w:val="single" w:sz="4" w:space="0" w:color="000000"/>
              <w:left w:val="single" w:sz="4" w:space="0" w:color="000000"/>
              <w:bottom w:val="single" w:sz="4" w:space="0" w:color="000000"/>
              <w:right w:val="single" w:sz="4" w:space="0" w:color="000000"/>
            </w:tcBorders>
          </w:tcPr>
          <w:p w14:paraId="7A7D0279"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Donji Grad </w:t>
            </w:r>
          </w:p>
          <w:p w14:paraId="28D4E634"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5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A901151"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01" w:type="dxa"/>
            <w:tcBorders>
              <w:top w:val="single" w:sz="4" w:space="0" w:color="000000"/>
              <w:left w:val="single" w:sz="4" w:space="0" w:color="000000"/>
              <w:bottom w:val="single" w:sz="4" w:space="0" w:color="000000"/>
              <w:right w:val="single" w:sz="4" w:space="0" w:color="000000"/>
            </w:tcBorders>
            <w:shd w:val="clear" w:color="auto" w:fill="FF0000"/>
          </w:tcPr>
          <w:p w14:paraId="53F4FB49"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754"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7858F576"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r>
      <w:tr w:rsidR="002735B8" w:rsidRPr="002735B8" w14:paraId="15EDB8D9" w14:textId="77777777" w:rsidTr="00284074">
        <w:trPr>
          <w:trHeight w:val="592"/>
        </w:trPr>
        <w:tc>
          <w:tcPr>
            <w:tcW w:w="73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51FBFF1"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5. </w:t>
            </w:r>
          </w:p>
        </w:tc>
        <w:tc>
          <w:tcPr>
            <w:tcW w:w="2242" w:type="dxa"/>
            <w:tcBorders>
              <w:top w:val="single" w:sz="4" w:space="0" w:color="000000"/>
              <w:left w:val="single" w:sz="4" w:space="0" w:color="000000"/>
              <w:bottom w:val="single" w:sz="4" w:space="0" w:color="000000"/>
              <w:right w:val="single" w:sz="4" w:space="0" w:color="000000"/>
            </w:tcBorders>
          </w:tcPr>
          <w:p w14:paraId="5E136F98"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Gornja Dubrava </w:t>
            </w:r>
          </w:p>
          <w:p w14:paraId="2AACFB8D"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5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93B2830"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01" w:type="dxa"/>
            <w:tcBorders>
              <w:top w:val="single" w:sz="4" w:space="0" w:color="000000"/>
              <w:left w:val="single" w:sz="4" w:space="0" w:color="000000"/>
              <w:bottom w:val="single" w:sz="4" w:space="0" w:color="000000"/>
              <w:right w:val="single" w:sz="4" w:space="0" w:color="000000"/>
            </w:tcBorders>
            <w:shd w:val="clear" w:color="auto" w:fill="FFFF00"/>
          </w:tcPr>
          <w:p w14:paraId="7D819CB7"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754"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70660C2B"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r>
      <w:tr w:rsidR="002735B8" w:rsidRPr="002735B8" w14:paraId="1F65CA67" w14:textId="77777777" w:rsidTr="00284074">
        <w:trPr>
          <w:trHeight w:val="591"/>
        </w:trPr>
        <w:tc>
          <w:tcPr>
            <w:tcW w:w="73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BD90D9C"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6. </w:t>
            </w:r>
          </w:p>
        </w:tc>
        <w:tc>
          <w:tcPr>
            <w:tcW w:w="2242" w:type="dxa"/>
            <w:tcBorders>
              <w:top w:val="single" w:sz="4" w:space="0" w:color="000000"/>
              <w:left w:val="single" w:sz="4" w:space="0" w:color="000000"/>
              <w:bottom w:val="single" w:sz="4" w:space="0" w:color="000000"/>
              <w:right w:val="single" w:sz="4" w:space="0" w:color="000000"/>
            </w:tcBorders>
          </w:tcPr>
          <w:p w14:paraId="30EBFD07"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Gornji Grad- </w:t>
            </w:r>
          </w:p>
          <w:p w14:paraId="6856C9D6"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Medveščak </w:t>
            </w:r>
          </w:p>
        </w:tc>
        <w:tc>
          <w:tcPr>
            <w:tcW w:w="165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489FDD7" w14:textId="77777777" w:rsidR="002735B8" w:rsidRPr="002735B8" w:rsidRDefault="002735B8" w:rsidP="002735B8">
            <w:pPr>
              <w:spacing w:after="0" w:line="240" w:lineRule="auto"/>
              <w:ind w:left="0" w:right="0" w:firstLine="0"/>
              <w:jc w:val="left"/>
              <w:rPr>
                <w:rFonts w:ascii="Times New Roman" w:hAnsi="Times New Roman" w:cs="Times New Roman"/>
                <w:color w:val="FF0000"/>
                <w:sz w:val="24"/>
                <w:szCs w:val="24"/>
              </w:rPr>
            </w:pPr>
            <w:r w:rsidRPr="002735B8">
              <w:rPr>
                <w:rFonts w:ascii="Times New Roman" w:hAnsi="Times New Roman" w:cs="Times New Roman"/>
                <w:sz w:val="24"/>
                <w:szCs w:val="24"/>
              </w:rPr>
              <w:t xml:space="preserve"> </w:t>
            </w:r>
          </w:p>
        </w:tc>
        <w:tc>
          <w:tcPr>
            <w:tcW w:w="1601" w:type="dxa"/>
            <w:tcBorders>
              <w:top w:val="single" w:sz="4" w:space="0" w:color="000000"/>
              <w:left w:val="single" w:sz="4" w:space="0" w:color="000000"/>
              <w:bottom w:val="single" w:sz="4" w:space="0" w:color="000000"/>
              <w:right w:val="single" w:sz="4" w:space="0" w:color="000000"/>
            </w:tcBorders>
            <w:shd w:val="clear" w:color="auto" w:fill="FF0000"/>
          </w:tcPr>
          <w:p w14:paraId="1CDC1EEA"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754"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439AA982" w14:textId="77777777" w:rsidR="002735B8" w:rsidRPr="002735B8" w:rsidRDefault="002735B8" w:rsidP="002735B8">
            <w:pPr>
              <w:spacing w:after="0" w:line="240" w:lineRule="auto"/>
              <w:ind w:left="0" w:right="0" w:firstLine="0"/>
              <w:jc w:val="left"/>
              <w:rPr>
                <w:rFonts w:ascii="Times New Roman" w:hAnsi="Times New Roman" w:cs="Times New Roman"/>
                <w:color w:val="FF0000"/>
                <w:sz w:val="24"/>
                <w:szCs w:val="24"/>
              </w:rPr>
            </w:pPr>
            <w:r w:rsidRPr="002735B8">
              <w:rPr>
                <w:rFonts w:ascii="Times New Roman" w:hAnsi="Times New Roman" w:cs="Times New Roman"/>
                <w:color w:val="FFFF00"/>
                <w:sz w:val="24"/>
                <w:szCs w:val="24"/>
              </w:rPr>
              <w:t xml:space="preserve"> </w:t>
            </w:r>
          </w:p>
        </w:tc>
      </w:tr>
      <w:tr w:rsidR="002735B8" w:rsidRPr="002735B8" w14:paraId="7E8CF109" w14:textId="77777777" w:rsidTr="00284074">
        <w:trPr>
          <w:trHeight w:val="593"/>
        </w:trPr>
        <w:tc>
          <w:tcPr>
            <w:tcW w:w="73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F1293A8"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7. </w:t>
            </w:r>
          </w:p>
        </w:tc>
        <w:tc>
          <w:tcPr>
            <w:tcW w:w="2242" w:type="dxa"/>
            <w:tcBorders>
              <w:top w:val="single" w:sz="4" w:space="0" w:color="000000"/>
              <w:left w:val="single" w:sz="4" w:space="0" w:color="000000"/>
              <w:bottom w:val="single" w:sz="4" w:space="0" w:color="000000"/>
              <w:right w:val="single" w:sz="4" w:space="0" w:color="000000"/>
            </w:tcBorders>
          </w:tcPr>
          <w:p w14:paraId="26B75D63"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Maksimir </w:t>
            </w:r>
          </w:p>
          <w:p w14:paraId="63867222"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5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7D57405"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01" w:type="dxa"/>
            <w:tcBorders>
              <w:top w:val="single" w:sz="4" w:space="0" w:color="000000"/>
              <w:left w:val="single" w:sz="4" w:space="0" w:color="000000"/>
              <w:bottom w:val="single" w:sz="4" w:space="0" w:color="000000"/>
              <w:right w:val="single" w:sz="4" w:space="0" w:color="000000"/>
            </w:tcBorders>
            <w:shd w:val="clear" w:color="auto" w:fill="FF0000"/>
          </w:tcPr>
          <w:p w14:paraId="12D0AC5A"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754"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6A70A593"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r>
      <w:tr w:rsidR="002735B8" w:rsidRPr="002735B8" w14:paraId="603075B2" w14:textId="77777777" w:rsidTr="00284074">
        <w:trPr>
          <w:trHeight w:val="590"/>
        </w:trPr>
        <w:tc>
          <w:tcPr>
            <w:tcW w:w="73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0007D10C"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8. </w:t>
            </w:r>
          </w:p>
        </w:tc>
        <w:tc>
          <w:tcPr>
            <w:tcW w:w="2242" w:type="dxa"/>
            <w:tcBorders>
              <w:top w:val="single" w:sz="4" w:space="0" w:color="000000"/>
              <w:left w:val="single" w:sz="4" w:space="0" w:color="000000"/>
              <w:bottom w:val="single" w:sz="4" w:space="0" w:color="000000"/>
              <w:right w:val="single" w:sz="4" w:space="0" w:color="000000"/>
            </w:tcBorders>
          </w:tcPr>
          <w:p w14:paraId="46EB66B1"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Novi Zagreb – istok </w:t>
            </w:r>
          </w:p>
          <w:p w14:paraId="4FCF6A05"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5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6323217F" w14:textId="77777777" w:rsidR="002735B8" w:rsidRPr="002735B8" w:rsidRDefault="002735B8" w:rsidP="002735B8">
            <w:pPr>
              <w:spacing w:after="0" w:line="240" w:lineRule="auto"/>
              <w:ind w:left="0" w:right="0" w:firstLine="0"/>
              <w:jc w:val="left"/>
              <w:rPr>
                <w:rFonts w:ascii="Times New Roman" w:hAnsi="Times New Roman" w:cs="Times New Roman"/>
                <w:color w:val="FF0000"/>
                <w:sz w:val="24"/>
                <w:szCs w:val="24"/>
              </w:rPr>
            </w:pPr>
            <w:r w:rsidRPr="002735B8">
              <w:rPr>
                <w:rFonts w:ascii="Times New Roman" w:hAnsi="Times New Roman" w:cs="Times New Roman"/>
                <w:sz w:val="24"/>
                <w:szCs w:val="24"/>
              </w:rPr>
              <w:t xml:space="preserve"> </w:t>
            </w:r>
          </w:p>
        </w:tc>
        <w:tc>
          <w:tcPr>
            <w:tcW w:w="1601" w:type="dxa"/>
            <w:tcBorders>
              <w:top w:val="single" w:sz="4" w:space="0" w:color="000000"/>
              <w:left w:val="single" w:sz="4" w:space="0" w:color="000000"/>
              <w:bottom w:val="single" w:sz="4" w:space="0" w:color="000000"/>
              <w:right w:val="single" w:sz="4" w:space="0" w:color="000000"/>
            </w:tcBorders>
            <w:shd w:val="clear" w:color="auto" w:fill="FF0000"/>
          </w:tcPr>
          <w:p w14:paraId="55C9039D" w14:textId="77777777" w:rsidR="002735B8" w:rsidRPr="002735B8" w:rsidRDefault="002735B8" w:rsidP="002735B8">
            <w:pPr>
              <w:spacing w:after="0" w:line="240" w:lineRule="auto"/>
              <w:ind w:left="0" w:right="0" w:firstLine="0"/>
              <w:jc w:val="left"/>
              <w:rPr>
                <w:rFonts w:ascii="Times New Roman" w:hAnsi="Times New Roman" w:cs="Times New Roman"/>
                <w:color w:val="FF0000"/>
                <w:sz w:val="24"/>
                <w:szCs w:val="24"/>
              </w:rPr>
            </w:pPr>
            <w:r w:rsidRPr="002735B8">
              <w:rPr>
                <w:rFonts w:ascii="Times New Roman" w:hAnsi="Times New Roman" w:cs="Times New Roman"/>
                <w:sz w:val="24"/>
                <w:szCs w:val="24"/>
              </w:rPr>
              <w:t xml:space="preserve"> </w:t>
            </w:r>
          </w:p>
        </w:tc>
        <w:tc>
          <w:tcPr>
            <w:tcW w:w="1754"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1B9C8F41"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r>
      <w:tr w:rsidR="002735B8" w:rsidRPr="002735B8" w14:paraId="20254CD5" w14:textId="77777777" w:rsidTr="00284074">
        <w:trPr>
          <w:trHeight w:val="593"/>
        </w:trPr>
        <w:tc>
          <w:tcPr>
            <w:tcW w:w="73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3E2019A3"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lastRenderedPageBreak/>
              <w:t xml:space="preserve">9. </w:t>
            </w:r>
          </w:p>
        </w:tc>
        <w:tc>
          <w:tcPr>
            <w:tcW w:w="2242" w:type="dxa"/>
            <w:tcBorders>
              <w:top w:val="single" w:sz="4" w:space="0" w:color="000000"/>
              <w:left w:val="single" w:sz="4" w:space="0" w:color="000000"/>
              <w:bottom w:val="single" w:sz="4" w:space="0" w:color="000000"/>
              <w:right w:val="single" w:sz="4" w:space="0" w:color="000000"/>
            </w:tcBorders>
          </w:tcPr>
          <w:p w14:paraId="7084523C"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Novi Zagreb – zapad </w:t>
            </w:r>
          </w:p>
        </w:tc>
        <w:tc>
          <w:tcPr>
            <w:tcW w:w="165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F53C7B4"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01" w:type="dxa"/>
            <w:tcBorders>
              <w:top w:val="single" w:sz="4" w:space="0" w:color="000000"/>
              <w:left w:val="single" w:sz="4" w:space="0" w:color="000000"/>
              <w:bottom w:val="single" w:sz="4" w:space="0" w:color="000000"/>
              <w:right w:val="single" w:sz="4" w:space="0" w:color="000000"/>
            </w:tcBorders>
            <w:shd w:val="clear" w:color="auto" w:fill="FFFF00"/>
          </w:tcPr>
          <w:p w14:paraId="6C20FA43"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754"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82DCD2F"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r>
      <w:tr w:rsidR="002735B8" w:rsidRPr="002735B8" w14:paraId="1A061523" w14:textId="77777777" w:rsidTr="00284074">
        <w:trPr>
          <w:trHeight w:val="592"/>
        </w:trPr>
        <w:tc>
          <w:tcPr>
            <w:tcW w:w="73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201492A"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10. </w:t>
            </w:r>
          </w:p>
        </w:tc>
        <w:tc>
          <w:tcPr>
            <w:tcW w:w="2242" w:type="dxa"/>
            <w:tcBorders>
              <w:top w:val="single" w:sz="4" w:space="0" w:color="000000"/>
              <w:left w:val="single" w:sz="4" w:space="0" w:color="000000"/>
              <w:bottom w:val="single" w:sz="4" w:space="0" w:color="000000"/>
              <w:right w:val="single" w:sz="4" w:space="0" w:color="000000"/>
            </w:tcBorders>
          </w:tcPr>
          <w:p w14:paraId="1660BC88"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Peščenica – Žitnjak </w:t>
            </w:r>
          </w:p>
          <w:p w14:paraId="182D72F1"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5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29F509C" w14:textId="77777777" w:rsidR="002735B8" w:rsidRPr="002735B8" w:rsidRDefault="002735B8" w:rsidP="002735B8">
            <w:pPr>
              <w:spacing w:after="0" w:line="240" w:lineRule="auto"/>
              <w:ind w:left="0" w:right="0" w:firstLine="0"/>
              <w:jc w:val="left"/>
              <w:rPr>
                <w:rFonts w:ascii="Times New Roman" w:hAnsi="Times New Roman" w:cs="Times New Roman"/>
                <w:color w:val="FF0000"/>
                <w:sz w:val="24"/>
                <w:szCs w:val="24"/>
              </w:rPr>
            </w:pPr>
            <w:r w:rsidRPr="002735B8">
              <w:rPr>
                <w:rFonts w:ascii="Times New Roman" w:hAnsi="Times New Roman" w:cs="Times New Roman"/>
                <w:sz w:val="24"/>
                <w:szCs w:val="24"/>
              </w:rPr>
              <w:t xml:space="preserve"> </w:t>
            </w:r>
          </w:p>
        </w:tc>
        <w:tc>
          <w:tcPr>
            <w:tcW w:w="1601" w:type="dxa"/>
            <w:tcBorders>
              <w:top w:val="single" w:sz="4" w:space="0" w:color="000000"/>
              <w:left w:val="single" w:sz="4" w:space="0" w:color="000000"/>
              <w:bottom w:val="single" w:sz="4" w:space="0" w:color="000000"/>
              <w:right w:val="single" w:sz="4" w:space="0" w:color="000000"/>
            </w:tcBorders>
            <w:shd w:val="clear" w:color="auto" w:fill="FFFF00"/>
          </w:tcPr>
          <w:p w14:paraId="54E427F8"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754"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FDE30E1"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r>
      <w:tr w:rsidR="002735B8" w:rsidRPr="002735B8" w14:paraId="6927F636" w14:textId="77777777" w:rsidTr="00284074">
        <w:trPr>
          <w:trHeight w:val="592"/>
        </w:trPr>
        <w:tc>
          <w:tcPr>
            <w:tcW w:w="73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6659AAE"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11. </w:t>
            </w:r>
          </w:p>
        </w:tc>
        <w:tc>
          <w:tcPr>
            <w:tcW w:w="2242" w:type="dxa"/>
            <w:tcBorders>
              <w:top w:val="single" w:sz="4" w:space="0" w:color="000000"/>
              <w:left w:val="single" w:sz="4" w:space="0" w:color="000000"/>
              <w:bottom w:val="single" w:sz="4" w:space="0" w:color="000000"/>
              <w:right w:val="single" w:sz="4" w:space="0" w:color="000000"/>
            </w:tcBorders>
          </w:tcPr>
          <w:p w14:paraId="32EC038B"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Podsljeme </w:t>
            </w:r>
          </w:p>
          <w:p w14:paraId="2350A891"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5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685F7793"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01" w:type="dxa"/>
            <w:tcBorders>
              <w:top w:val="single" w:sz="4" w:space="0" w:color="000000"/>
              <w:left w:val="single" w:sz="4" w:space="0" w:color="000000"/>
              <w:bottom w:val="single" w:sz="4" w:space="0" w:color="000000"/>
              <w:right w:val="single" w:sz="4" w:space="0" w:color="000000"/>
            </w:tcBorders>
            <w:shd w:val="clear" w:color="auto" w:fill="FFFF00"/>
          </w:tcPr>
          <w:p w14:paraId="317B2562"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754"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C55F86B"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r>
      <w:tr w:rsidR="002735B8" w:rsidRPr="002735B8" w14:paraId="39E960F3" w14:textId="77777777" w:rsidTr="00284074">
        <w:trPr>
          <w:trHeight w:val="593"/>
        </w:trPr>
        <w:tc>
          <w:tcPr>
            <w:tcW w:w="73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3D1D718D"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12. </w:t>
            </w:r>
          </w:p>
        </w:tc>
        <w:tc>
          <w:tcPr>
            <w:tcW w:w="2242" w:type="dxa"/>
            <w:tcBorders>
              <w:top w:val="single" w:sz="4" w:space="0" w:color="000000"/>
              <w:left w:val="single" w:sz="4" w:space="0" w:color="000000"/>
              <w:bottom w:val="single" w:sz="4" w:space="0" w:color="000000"/>
              <w:right w:val="single" w:sz="4" w:space="0" w:color="000000"/>
            </w:tcBorders>
          </w:tcPr>
          <w:p w14:paraId="2D99F255"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Podsused – Vrapče </w:t>
            </w:r>
          </w:p>
          <w:p w14:paraId="05F284FE"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5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3E4BD25"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01" w:type="dxa"/>
            <w:tcBorders>
              <w:top w:val="single" w:sz="4" w:space="0" w:color="000000"/>
              <w:left w:val="single" w:sz="4" w:space="0" w:color="000000"/>
              <w:bottom w:val="single" w:sz="4" w:space="0" w:color="000000"/>
              <w:right w:val="single" w:sz="4" w:space="0" w:color="000000"/>
            </w:tcBorders>
            <w:shd w:val="clear" w:color="auto" w:fill="FFFF00"/>
          </w:tcPr>
          <w:p w14:paraId="3939091C"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754"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C1F5AC0"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r>
      <w:tr w:rsidR="002735B8" w:rsidRPr="002735B8" w14:paraId="304EF108" w14:textId="77777777" w:rsidTr="00284074">
        <w:trPr>
          <w:trHeight w:val="590"/>
        </w:trPr>
        <w:tc>
          <w:tcPr>
            <w:tcW w:w="73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49392504"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13. </w:t>
            </w:r>
          </w:p>
        </w:tc>
        <w:tc>
          <w:tcPr>
            <w:tcW w:w="2242" w:type="dxa"/>
            <w:tcBorders>
              <w:top w:val="single" w:sz="4" w:space="0" w:color="000000"/>
              <w:left w:val="single" w:sz="4" w:space="0" w:color="000000"/>
              <w:bottom w:val="single" w:sz="4" w:space="0" w:color="000000"/>
              <w:right w:val="single" w:sz="4" w:space="0" w:color="000000"/>
            </w:tcBorders>
          </w:tcPr>
          <w:p w14:paraId="304DE305"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Sesvete </w:t>
            </w:r>
          </w:p>
          <w:p w14:paraId="370B051E"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5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3CD0229F"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01" w:type="dxa"/>
            <w:tcBorders>
              <w:top w:val="single" w:sz="4" w:space="0" w:color="000000"/>
              <w:left w:val="single" w:sz="4" w:space="0" w:color="000000"/>
              <w:bottom w:val="single" w:sz="4" w:space="0" w:color="000000"/>
              <w:right w:val="single" w:sz="4" w:space="0" w:color="000000"/>
            </w:tcBorders>
            <w:shd w:val="clear" w:color="auto" w:fill="92D050"/>
          </w:tcPr>
          <w:p w14:paraId="17CCF59F"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754"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CF78FA8"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r>
      <w:tr w:rsidR="002735B8" w:rsidRPr="002735B8" w14:paraId="3CCCC8C6" w14:textId="77777777" w:rsidTr="00284074">
        <w:trPr>
          <w:trHeight w:val="593"/>
        </w:trPr>
        <w:tc>
          <w:tcPr>
            <w:tcW w:w="73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F8180F1"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14. </w:t>
            </w:r>
          </w:p>
        </w:tc>
        <w:tc>
          <w:tcPr>
            <w:tcW w:w="2242" w:type="dxa"/>
            <w:tcBorders>
              <w:top w:val="single" w:sz="4" w:space="0" w:color="000000"/>
              <w:left w:val="single" w:sz="4" w:space="0" w:color="000000"/>
              <w:bottom w:val="single" w:sz="4" w:space="0" w:color="000000"/>
              <w:right w:val="single" w:sz="4" w:space="0" w:color="000000"/>
            </w:tcBorders>
          </w:tcPr>
          <w:p w14:paraId="063C90DF"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Stenjevec </w:t>
            </w:r>
          </w:p>
          <w:p w14:paraId="5C8E5D07"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5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C93C137"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01" w:type="dxa"/>
            <w:tcBorders>
              <w:top w:val="single" w:sz="4" w:space="0" w:color="000000"/>
              <w:left w:val="single" w:sz="4" w:space="0" w:color="000000"/>
              <w:bottom w:val="single" w:sz="4" w:space="0" w:color="000000"/>
              <w:right w:val="single" w:sz="4" w:space="0" w:color="000000"/>
            </w:tcBorders>
            <w:shd w:val="clear" w:color="auto" w:fill="92D050"/>
          </w:tcPr>
          <w:p w14:paraId="2B68357F"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754"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7D90CCC"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r>
      <w:tr w:rsidR="002735B8" w:rsidRPr="002735B8" w14:paraId="29E94FB3" w14:textId="77777777" w:rsidTr="00284074">
        <w:trPr>
          <w:trHeight w:val="592"/>
        </w:trPr>
        <w:tc>
          <w:tcPr>
            <w:tcW w:w="73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73F2588"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15. </w:t>
            </w:r>
          </w:p>
        </w:tc>
        <w:tc>
          <w:tcPr>
            <w:tcW w:w="2242" w:type="dxa"/>
            <w:tcBorders>
              <w:top w:val="single" w:sz="4" w:space="0" w:color="000000"/>
              <w:left w:val="single" w:sz="4" w:space="0" w:color="000000"/>
              <w:bottom w:val="single" w:sz="4" w:space="0" w:color="000000"/>
              <w:right w:val="single" w:sz="4" w:space="0" w:color="000000"/>
            </w:tcBorders>
          </w:tcPr>
          <w:p w14:paraId="6C8F7E76"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Trešnjevka – jug </w:t>
            </w:r>
          </w:p>
          <w:p w14:paraId="57F36D93"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5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0BF9238"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01" w:type="dxa"/>
            <w:tcBorders>
              <w:top w:val="single" w:sz="4" w:space="0" w:color="000000"/>
              <w:left w:val="single" w:sz="4" w:space="0" w:color="000000"/>
              <w:bottom w:val="single" w:sz="4" w:space="0" w:color="000000"/>
              <w:right w:val="single" w:sz="4" w:space="0" w:color="000000"/>
            </w:tcBorders>
            <w:shd w:val="clear" w:color="auto" w:fill="FFC000"/>
          </w:tcPr>
          <w:p w14:paraId="405944D0"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754"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BB1AA91"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r>
      <w:tr w:rsidR="002735B8" w:rsidRPr="002735B8" w14:paraId="13C28940" w14:textId="77777777" w:rsidTr="00284074">
        <w:trPr>
          <w:trHeight w:val="592"/>
        </w:trPr>
        <w:tc>
          <w:tcPr>
            <w:tcW w:w="73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6A34364"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16. </w:t>
            </w:r>
          </w:p>
        </w:tc>
        <w:tc>
          <w:tcPr>
            <w:tcW w:w="2242" w:type="dxa"/>
            <w:tcBorders>
              <w:top w:val="single" w:sz="4" w:space="0" w:color="000000"/>
              <w:left w:val="single" w:sz="4" w:space="0" w:color="000000"/>
              <w:bottom w:val="single" w:sz="4" w:space="0" w:color="000000"/>
              <w:right w:val="single" w:sz="4" w:space="0" w:color="000000"/>
            </w:tcBorders>
          </w:tcPr>
          <w:p w14:paraId="705D4A76"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Trešnjevka – sjever </w:t>
            </w:r>
          </w:p>
          <w:p w14:paraId="45FE89E0"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5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0FC3DB3"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01" w:type="dxa"/>
            <w:tcBorders>
              <w:top w:val="single" w:sz="4" w:space="0" w:color="000000"/>
              <w:left w:val="single" w:sz="4" w:space="0" w:color="000000"/>
              <w:bottom w:val="single" w:sz="4" w:space="0" w:color="000000"/>
              <w:right w:val="single" w:sz="4" w:space="0" w:color="000000"/>
            </w:tcBorders>
            <w:shd w:val="clear" w:color="auto" w:fill="FFFF00"/>
          </w:tcPr>
          <w:p w14:paraId="77D7E85F"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754"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0FA7761"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r>
      <w:tr w:rsidR="002735B8" w:rsidRPr="002735B8" w14:paraId="42A98880" w14:textId="77777777" w:rsidTr="00284074">
        <w:trPr>
          <w:trHeight w:val="592"/>
        </w:trPr>
        <w:tc>
          <w:tcPr>
            <w:tcW w:w="73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29181AE4"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17. </w:t>
            </w:r>
          </w:p>
        </w:tc>
        <w:tc>
          <w:tcPr>
            <w:tcW w:w="2242" w:type="dxa"/>
            <w:tcBorders>
              <w:top w:val="single" w:sz="4" w:space="0" w:color="000000"/>
              <w:left w:val="single" w:sz="4" w:space="0" w:color="000000"/>
              <w:bottom w:val="single" w:sz="4" w:space="0" w:color="000000"/>
              <w:right w:val="single" w:sz="4" w:space="0" w:color="000000"/>
            </w:tcBorders>
          </w:tcPr>
          <w:p w14:paraId="1CCC70FA"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Trnje </w:t>
            </w:r>
          </w:p>
          <w:p w14:paraId="6A16D99F" w14:textId="77777777" w:rsidR="002735B8" w:rsidRPr="002735B8" w:rsidRDefault="002735B8" w:rsidP="002735B8">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5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9A78873"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601" w:type="dxa"/>
            <w:tcBorders>
              <w:top w:val="single" w:sz="4" w:space="0" w:color="000000"/>
              <w:left w:val="single" w:sz="4" w:space="0" w:color="000000"/>
              <w:bottom w:val="single" w:sz="4" w:space="0" w:color="000000"/>
              <w:right w:val="single" w:sz="4" w:space="0" w:color="000000"/>
            </w:tcBorders>
            <w:shd w:val="clear" w:color="auto" w:fill="FF0000"/>
          </w:tcPr>
          <w:p w14:paraId="7B2A5587"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c>
          <w:tcPr>
            <w:tcW w:w="1754"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22200D43" w14:textId="77777777" w:rsidR="002735B8" w:rsidRPr="002735B8" w:rsidRDefault="002735B8" w:rsidP="002735B8">
            <w:pPr>
              <w:spacing w:after="0" w:line="240" w:lineRule="auto"/>
              <w:ind w:left="0" w:right="0" w:firstLine="0"/>
              <w:jc w:val="left"/>
              <w:rPr>
                <w:rFonts w:ascii="Times New Roman" w:hAnsi="Times New Roman" w:cs="Times New Roman"/>
                <w:sz w:val="24"/>
                <w:szCs w:val="24"/>
              </w:rPr>
            </w:pPr>
            <w:r w:rsidRPr="002735B8">
              <w:rPr>
                <w:rFonts w:ascii="Times New Roman" w:hAnsi="Times New Roman" w:cs="Times New Roman"/>
                <w:sz w:val="24"/>
                <w:szCs w:val="24"/>
              </w:rPr>
              <w:t xml:space="preserve"> </w:t>
            </w:r>
          </w:p>
        </w:tc>
      </w:tr>
    </w:tbl>
    <w:p w14:paraId="5D731D6D" w14:textId="77777777" w:rsidR="00E87BEB" w:rsidRPr="002735B8" w:rsidRDefault="00E87BEB" w:rsidP="002735B8">
      <w:pPr>
        <w:spacing w:after="0" w:line="427" w:lineRule="auto"/>
        <w:ind w:left="0" w:right="9707" w:firstLine="0"/>
      </w:pPr>
    </w:p>
    <w:p w14:paraId="1CA06D00" w14:textId="6F3136DA" w:rsidR="004E1A7D" w:rsidRPr="00A079E6" w:rsidRDefault="002735B8" w:rsidP="00A079E6">
      <w:pPr>
        <w:spacing w:after="0" w:line="240" w:lineRule="auto"/>
        <w:ind w:left="0" w:right="0" w:firstLine="0"/>
        <w:jc w:val="center"/>
        <w:rPr>
          <w:rFonts w:ascii="Times New Roman" w:hAnsi="Times New Roman" w:cs="Times New Roman"/>
          <w:sz w:val="24"/>
          <w:szCs w:val="24"/>
        </w:rPr>
      </w:pPr>
      <w:r w:rsidRPr="002735B8">
        <w:rPr>
          <w:rFonts w:ascii="Times New Roman" w:hAnsi="Times New Roman" w:cs="Times New Roman"/>
          <w:noProof/>
          <w:sz w:val="24"/>
          <w:szCs w:val="24"/>
        </w:rPr>
        <w:drawing>
          <wp:inline distT="0" distB="0" distL="0" distR="0" wp14:anchorId="609C4EC1" wp14:editId="6FC9B2EB">
            <wp:extent cx="5751830" cy="5029200"/>
            <wp:effectExtent l="0" t="0" r="1270" b="0"/>
            <wp:docPr id="52282" name="Picture 5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75064" cy="5049515"/>
                    </a:xfrm>
                    <a:prstGeom prst="rect">
                      <a:avLst/>
                    </a:prstGeom>
                    <a:noFill/>
                  </pic:spPr>
                </pic:pic>
              </a:graphicData>
            </a:graphic>
          </wp:inline>
        </w:drawing>
      </w:r>
    </w:p>
    <w:p w14:paraId="6021327D" w14:textId="7087184E" w:rsidR="008B3D9F" w:rsidRDefault="00472217" w:rsidP="00DF7B41">
      <w:pPr>
        <w:spacing w:after="0" w:line="240" w:lineRule="auto"/>
        <w:ind w:left="0" w:right="0" w:firstLine="709"/>
        <w:rPr>
          <w:rFonts w:ascii="Times New Roman" w:hAnsi="Times New Roman" w:cs="Times New Roman"/>
          <w:b/>
          <w:sz w:val="24"/>
          <w:szCs w:val="24"/>
        </w:rPr>
      </w:pPr>
      <w:r w:rsidRPr="00472217">
        <w:rPr>
          <w:rFonts w:ascii="Times New Roman" w:hAnsi="Times New Roman" w:cs="Times New Roman"/>
          <w:b/>
          <w:sz w:val="24"/>
          <w:szCs w:val="24"/>
        </w:rPr>
        <w:lastRenderedPageBreak/>
        <w:t>6.8. Klizišta - opis scenarija</w:t>
      </w:r>
    </w:p>
    <w:p w14:paraId="09BC4E9E" w14:textId="77777777" w:rsidR="000445FE" w:rsidRPr="00472217" w:rsidRDefault="000445FE" w:rsidP="00DF7B41">
      <w:pPr>
        <w:spacing w:after="0" w:line="240" w:lineRule="auto"/>
        <w:ind w:left="0" w:right="0" w:firstLine="709"/>
        <w:rPr>
          <w:rFonts w:ascii="Times New Roman" w:hAnsi="Times New Roman" w:cs="Times New Roman"/>
          <w:b/>
          <w:sz w:val="24"/>
          <w:szCs w:val="24"/>
        </w:rPr>
      </w:pPr>
    </w:p>
    <w:p w14:paraId="7C7473F6" w14:textId="4E122C06" w:rsidR="00472217" w:rsidRDefault="00472217" w:rsidP="00C70C9F">
      <w:pPr>
        <w:spacing w:after="0" w:line="240" w:lineRule="auto"/>
        <w:ind w:left="0" w:right="0" w:firstLine="709"/>
        <w:rPr>
          <w:rFonts w:ascii="Times New Roman" w:hAnsi="Times New Roman" w:cs="Times New Roman"/>
          <w:b/>
          <w:sz w:val="24"/>
          <w:szCs w:val="24"/>
        </w:rPr>
      </w:pPr>
      <w:r w:rsidRPr="00472217">
        <w:rPr>
          <w:rFonts w:ascii="Times New Roman" w:hAnsi="Times New Roman" w:cs="Times New Roman"/>
          <w:b/>
          <w:sz w:val="24"/>
          <w:szCs w:val="24"/>
        </w:rPr>
        <w:t>6.8.1. Naziv scenarija, rizik</w:t>
      </w:r>
    </w:p>
    <w:tbl>
      <w:tblPr>
        <w:tblStyle w:val="TableGrid9"/>
        <w:tblpPr w:leftFromText="180" w:rightFromText="180" w:vertAnchor="page" w:horzAnchor="margin" w:tblpY="2401"/>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2" w:type="dxa"/>
        </w:tblCellMar>
        <w:tblLook w:val="04A0" w:firstRow="1" w:lastRow="0" w:firstColumn="1" w:lastColumn="0" w:noHBand="0" w:noVBand="1"/>
      </w:tblPr>
      <w:tblGrid>
        <w:gridCol w:w="9072"/>
      </w:tblGrid>
      <w:tr w:rsidR="00DF7B41" w:rsidRPr="00472217" w14:paraId="0939B89E" w14:textId="77777777" w:rsidTr="000445FE">
        <w:trPr>
          <w:cantSplit/>
        </w:trPr>
        <w:tc>
          <w:tcPr>
            <w:tcW w:w="9072" w:type="dxa"/>
            <w:shd w:val="clear" w:color="auto" w:fill="FFC000"/>
          </w:tcPr>
          <w:p w14:paraId="59902073" w14:textId="77777777" w:rsidR="00DF7B41" w:rsidRPr="00472217" w:rsidRDefault="00DF7B41" w:rsidP="000445FE">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b/>
                <w:sz w:val="24"/>
                <w:szCs w:val="24"/>
              </w:rPr>
              <w:t>Naziv scenarija</w:t>
            </w:r>
          </w:p>
        </w:tc>
      </w:tr>
      <w:tr w:rsidR="00DF7B41" w:rsidRPr="00472217" w14:paraId="011C578F" w14:textId="77777777" w:rsidTr="000445FE">
        <w:trPr>
          <w:cantSplit/>
        </w:trPr>
        <w:tc>
          <w:tcPr>
            <w:tcW w:w="9072" w:type="dxa"/>
          </w:tcPr>
          <w:p w14:paraId="066C3AE7" w14:textId="77777777" w:rsidR="00DF7B41" w:rsidRPr="00472217" w:rsidRDefault="00DF7B41" w:rsidP="000445FE">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Pojava </w:t>
            </w:r>
            <w:r w:rsidRPr="00472217">
              <w:rPr>
                <w:rFonts w:ascii="Times New Roman" w:hAnsi="Times New Roman" w:cs="Times New Roman"/>
                <w:color w:val="auto"/>
                <w:sz w:val="24"/>
                <w:szCs w:val="24"/>
              </w:rPr>
              <w:t>masovnih</w:t>
            </w:r>
            <w:r w:rsidRPr="00472217">
              <w:rPr>
                <w:rFonts w:ascii="Times New Roman" w:hAnsi="Times New Roman" w:cs="Times New Roman"/>
                <w:color w:val="FF0000"/>
                <w:sz w:val="24"/>
                <w:szCs w:val="24"/>
              </w:rPr>
              <w:t xml:space="preserve"> </w:t>
            </w:r>
            <w:r w:rsidRPr="00472217">
              <w:rPr>
                <w:rFonts w:ascii="Times New Roman" w:hAnsi="Times New Roman" w:cs="Times New Roman"/>
                <w:sz w:val="24"/>
                <w:szCs w:val="24"/>
              </w:rPr>
              <w:t>klizišta na području Grada Zagreba</w:t>
            </w:r>
          </w:p>
        </w:tc>
      </w:tr>
      <w:tr w:rsidR="00DF7B41" w:rsidRPr="00472217" w14:paraId="3C65CD74" w14:textId="77777777" w:rsidTr="000445FE">
        <w:trPr>
          <w:cantSplit/>
        </w:trPr>
        <w:tc>
          <w:tcPr>
            <w:tcW w:w="9072" w:type="dxa"/>
            <w:shd w:val="clear" w:color="auto" w:fill="FFC000"/>
          </w:tcPr>
          <w:p w14:paraId="3757BFCC" w14:textId="77777777" w:rsidR="00DF7B41" w:rsidRPr="00472217" w:rsidRDefault="00DF7B41" w:rsidP="000445FE">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b/>
                <w:sz w:val="24"/>
                <w:szCs w:val="24"/>
              </w:rPr>
              <w:t>Grupa rizika</w:t>
            </w:r>
          </w:p>
        </w:tc>
      </w:tr>
      <w:tr w:rsidR="00DF7B41" w:rsidRPr="00472217" w14:paraId="7611F710" w14:textId="77777777" w:rsidTr="000445FE">
        <w:trPr>
          <w:cantSplit/>
        </w:trPr>
        <w:tc>
          <w:tcPr>
            <w:tcW w:w="9072" w:type="dxa"/>
          </w:tcPr>
          <w:p w14:paraId="2887A000" w14:textId="77777777" w:rsidR="00DF7B41" w:rsidRPr="00472217" w:rsidRDefault="00DF7B41" w:rsidP="000445FE">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Degradacija tla</w:t>
            </w:r>
          </w:p>
        </w:tc>
      </w:tr>
      <w:tr w:rsidR="00DF7B41" w:rsidRPr="00472217" w14:paraId="79A123CD" w14:textId="77777777" w:rsidTr="000445FE">
        <w:trPr>
          <w:cantSplit/>
        </w:trPr>
        <w:tc>
          <w:tcPr>
            <w:tcW w:w="9072" w:type="dxa"/>
            <w:shd w:val="clear" w:color="auto" w:fill="FFC000"/>
          </w:tcPr>
          <w:p w14:paraId="2A402390" w14:textId="77777777" w:rsidR="00DF7B41" w:rsidRPr="00472217" w:rsidRDefault="00DF7B41" w:rsidP="000445FE">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b/>
                <w:sz w:val="24"/>
                <w:szCs w:val="24"/>
              </w:rPr>
              <w:t>Rizik</w:t>
            </w:r>
          </w:p>
        </w:tc>
      </w:tr>
      <w:tr w:rsidR="00DF7B41" w:rsidRPr="00472217" w14:paraId="07EE1177" w14:textId="77777777" w:rsidTr="000445FE">
        <w:trPr>
          <w:cantSplit/>
        </w:trPr>
        <w:tc>
          <w:tcPr>
            <w:tcW w:w="9072" w:type="dxa"/>
          </w:tcPr>
          <w:p w14:paraId="35E75D2B" w14:textId="77777777" w:rsidR="00DF7B41" w:rsidRPr="00472217" w:rsidRDefault="00DF7B41" w:rsidP="000445FE">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Klizišta</w:t>
            </w:r>
          </w:p>
        </w:tc>
      </w:tr>
      <w:tr w:rsidR="00DF7B41" w:rsidRPr="00472217" w14:paraId="2BE72FE6" w14:textId="77777777" w:rsidTr="000445FE">
        <w:trPr>
          <w:cantSplit/>
        </w:trPr>
        <w:tc>
          <w:tcPr>
            <w:tcW w:w="9072" w:type="dxa"/>
            <w:shd w:val="clear" w:color="auto" w:fill="FFC000"/>
          </w:tcPr>
          <w:p w14:paraId="5320C9B6" w14:textId="77777777" w:rsidR="00DF7B41" w:rsidRPr="00472217" w:rsidRDefault="00DF7B41" w:rsidP="000445FE">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b/>
                <w:sz w:val="24"/>
                <w:szCs w:val="24"/>
              </w:rPr>
              <w:t>Radna skupina</w:t>
            </w:r>
          </w:p>
        </w:tc>
      </w:tr>
      <w:tr w:rsidR="00DF7B41" w:rsidRPr="00472217" w14:paraId="1A0519FE" w14:textId="77777777" w:rsidTr="000445FE">
        <w:trPr>
          <w:cantSplit/>
        </w:trPr>
        <w:tc>
          <w:tcPr>
            <w:tcW w:w="9072" w:type="dxa"/>
          </w:tcPr>
          <w:p w14:paraId="5F2549CB" w14:textId="77777777" w:rsidR="00DF7B41" w:rsidRPr="00472217" w:rsidRDefault="00DF7B41" w:rsidP="000445FE">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Gradski ured za mjesnu samoupravu, civilnu zaštitu i sigurnost</w:t>
            </w:r>
          </w:p>
          <w:p w14:paraId="348CD646" w14:textId="77777777" w:rsidR="00DF7B41" w:rsidRPr="00472217" w:rsidRDefault="00DF7B41" w:rsidP="000445FE">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Gradski ured za obnovu, izgradnju, prostorno uređenje, graditeljstvo, komunalne poslove i promet</w:t>
            </w:r>
          </w:p>
        </w:tc>
      </w:tr>
      <w:tr w:rsidR="00DF7B41" w:rsidRPr="00472217" w14:paraId="5F554029" w14:textId="77777777" w:rsidTr="000445FE">
        <w:trPr>
          <w:cantSplit/>
        </w:trPr>
        <w:tc>
          <w:tcPr>
            <w:tcW w:w="9072" w:type="dxa"/>
            <w:shd w:val="clear" w:color="auto" w:fill="FFC000"/>
          </w:tcPr>
          <w:p w14:paraId="50C2E197" w14:textId="77777777" w:rsidR="00DF7B41" w:rsidRPr="00472217" w:rsidRDefault="00DF7B41" w:rsidP="000445FE">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b/>
                <w:sz w:val="24"/>
                <w:szCs w:val="24"/>
              </w:rPr>
              <w:t>Opis scenarija:</w:t>
            </w:r>
          </w:p>
        </w:tc>
      </w:tr>
      <w:tr w:rsidR="00DF7B41" w:rsidRPr="00472217" w14:paraId="4EBE6F47" w14:textId="77777777" w:rsidTr="000445FE">
        <w:trPr>
          <w:cantSplit/>
        </w:trPr>
        <w:tc>
          <w:tcPr>
            <w:tcW w:w="9072" w:type="dxa"/>
          </w:tcPr>
          <w:p w14:paraId="648B4AB8" w14:textId="77777777" w:rsidR="00DF7B41" w:rsidRPr="00472217" w:rsidRDefault="00DF7B41" w:rsidP="000445FE">
            <w:pPr>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 xml:space="preserve">Scenarijem će se što vjernije opisati situacija koja može nastati nakon pojave </w:t>
            </w:r>
            <w:r w:rsidRPr="00472217">
              <w:rPr>
                <w:rFonts w:ascii="Times New Roman" w:hAnsi="Times New Roman" w:cs="Times New Roman"/>
                <w:color w:val="auto"/>
                <w:sz w:val="24"/>
                <w:szCs w:val="24"/>
              </w:rPr>
              <w:t xml:space="preserve">masovnih </w:t>
            </w:r>
            <w:r w:rsidRPr="00472217">
              <w:rPr>
                <w:rFonts w:ascii="Times New Roman" w:hAnsi="Times New Roman" w:cs="Times New Roman"/>
                <w:sz w:val="24"/>
                <w:szCs w:val="24"/>
              </w:rPr>
              <w:t>klizišta na području Grada Zagreba. U obzir će se uzeti najgori mogući scenarij male vjerojatnosti, ali najvećih posljedica. Smisao je da se opisom najgore moguće situacije postavi temelj preventivnog planiranja i operativnog osnaživanja snaga civilne zaštite na području Grada Zagreba.</w:t>
            </w:r>
          </w:p>
        </w:tc>
      </w:tr>
    </w:tbl>
    <w:p w14:paraId="746562AA" w14:textId="77777777" w:rsidR="000445FE" w:rsidRPr="00472217" w:rsidRDefault="000445FE" w:rsidP="00472217">
      <w:pPr>
        <w:spacing w:after="0" w:line="240" w:lineRule="auto"/>
        <w:ind w:left="0" w:right="0" w:firstLine="0"/>
        <w:rPr>
          <w:rFonts w:ascii="Times New Roman" w:hAnsi="Times New Roman" w:cs="Times New Roman"/>
          <w:b/>
          <w:sz w:val="24"/>
          <w:szCs w:val="24"/>
        </w:rPr>
      </w:pPr>
    </w:p>
    <w:p w14:paraId="0206E55D" w14:textId="77777777" w:rsidR="00472217" w:rsidRPr="00472217" w:rsidRDefault="00472217" w:rsidP="00C70C9F">
      <w:pPr>
        <w:spacing w:after="0" w:line="240" w:lineRule="auto"/>
        <w:ind w:left="0" w:right="0" w:firstLine="709"/>
        <w:rPr>
          <w:rFonts w:ascii="Times New Roman" w:hAnsi="Times New Roman" w:cs="Times New Roman"/>
          <w:b/>
          <w:sz w:val="24"/>
          <w:szCs w:val="24"/>
        </w:rPr>
      </w:pPr>
      <w:r w:rsidRPr="00472217">
        <w:rPr>
          <w:rFonts w:ascii="Times New Roman" w:hAnsi="Times New Roman" w:cs="Times New Roman"/>
          <w:b/>
          <w:sz w:val="24"/>
          <w:szCs w:val="24"/>
        </w:rPr>
        <w:t>6.8.2. Prikaz utjecaja na kritičnu infrastrukturu</w:t>
      </w:r>
    </w:p>
    <w:p w14:paraId="716B2045" w14:textId="77777777" w:rsidR="00472217" w:rsidRPr="00472217" w:rsidRDefault="00472217" w:rsidP="004E1A7D">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 xml:space="preserve">Aktiviranje klizišta </w:t>
      </w:r>
      <w:r w:rsidRPr="00472217">
        <w:rPr>
          <w:rFonts w:ascii="Times New Roman" w:hAnsi="Times New Roman" w:cs="Times New Roman"/>
          <w:color w:val="auto"/>
          <w:sz w:val="24"/>
          <w:szCs w:val="24"/>
        </w:rPr>
        <w:t xml:space="preserve">može oštetiti </w:t>
      </w:r>
      <w:r w:rsidRPr="00472217">
        <w:rPr>
          <w:rFonts w:ascii="Times New Roman" w:hAnsi="Times New Roman" w:cs="Times New Roman"/>
          <w:sz w:val="24"/>
          <w:szCs w:val="24"/>
        </w:rPr>
        <w:t>ili potpuno uništiti određenu dionicu infrastrukture (prometne, komunalne i druge</w:t>
      </w:r>
      <w:r w:rsidRPr="00472217">
        <w:rPr>
          <w:rFonts w:ascii="Times New Roman" w:hAnsi="Times New Roman" w:cs="Times New Roman"/>
          <w:color w:val="auto"/>
          <w:sz w:val="24"/>
          <w:szCs w:val="24"/>
        </w:rPr>
        <w:t xml:space="preserve">) </w:t>
      </w:r>
      <w:r w:rsidRPr="00472217">
        <w:rPr>
          <w:rFonts w:ascii="Times New Roman" w:hAnsi="Times New Roman" w:cs="Times New Roman"/>
          <w:sz w:val="24"/>
          <w:szCs w:val="24"/>
        </w:rPr>
        <w:t>u zoni zahvaćenoj klizanjem tla. Također, aktiviranje klizišta može izravno oštetiti ili potpuno uništiti sve druge tipove građevina koje se nalaze na području klizišta, neovisno o vrsti građevine ili njihovoj namjeni. Teoretski, klizišta mogu uzrokovati nastanak štete na svim građevinama i vezano za gotovo sve vrste aktivnosti koje pripadaju sektorima kritične infrastrukture, pod uvjetom da se one nalaze ili odvijaju na području klizišta. Najčešći je slučaj da klizišta ugrožavaju cestovni promet.</w:t>
      </w:r>
    </w:p>
    <w:p w14:paraId="6C1590F3" w14:textId="77777777" w:rsidR="00472217" w:rsidRPr="00472217" w:rsidRDefault="00472217" w:rsidP="004E1A7D">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 xml:space="preserve">Klizišta mogu imati negativan utjecaj na </w:t>
      </w:r>
      <w:r w:rsidRPr="00472217">
        <w:rPr>
          <w:rFonts w:ascii="Times New Roman" w:hAnsi="Times New Roman" w:cs="Times New Roman"/>
          <w:b/>
          <w:sz w:val="24"/>
          <w:szCs w:val="24"/>
        </w:rPr>
        <w:t>energetski sektor</w:t>
      </w:r>
      <w:r w:rsidRPr="00472217">
        <w:rPr>
          <w:rFonts w:ascii="Times New Roman" w:hAnsi="Times New Roman" w:cs="Times New Roman"/>
          <w:sz w:val="24"/>
          <w:szCs w:val="24"/>
        </w:rPr>
        <w:t xml:space="preserve"> kritične infrastrukture ako uslijed aktiviranja klizišta dođe do kidanja električnih vodova. Budući da na pojedinim dionicama može biti ugrožena niskonaponska mreža, mogući su lokalni prekidi u opskrbi električnom energijom, ali se ne predviđaju problemi u opskrbi na širem području Grada Zagreba.</w:t>
      </w:r>
    </w:p>
    <w:p w14:paraId="05752767" w14:textId="6CF4F2E2" w:rsidR="00472217" w:rsidRPr="00472217" w:rsidRDefault="004E1A7D" w:rsidP="00472217">
      <w:pPr>
        <w:spacing w:after="0" w:line="240" w:lineRule="auto"/>
        <w:ind w:left="0" w:right="0" w:firstLine="0"/>
        <w:rPr>
          <w:rFonts w:ascii="Times New Roman" w:hAnsi="Times New Roman" w:cs="Times New Roman"/>
          <w:sz w:val="24"/>
          <w:szCs w:val="24"/>
        </w:rPr>
      </w:pPr>
      <w:r>
        <w:rPr>
          <w:rFonts w:ascii="Times New Roman" w:hAnsi="Times New Roman" w:cs="Times New Roman"/>
          <w:sz w:val="24"/>
          <w:szCs w:val="24"/>
        </w:rPr>
        <w:tab/>
      </w:r>
      <w:r w:rsidR="00472217" w:rsidRPr="00472217">
        <w:rPr>
          <w:rFonts w:ascii="Times New Roman" w:hAnsi="Times New Roman" w:cs="Times New Roman"/>
          <w:sz w:val="24"/>
          <w:szCs w:val="24"/>
        </w:rPr>
        <w:t xml:space="preserve">S obzirom da se telekomunikacijski odašiljači najčešće postavljaju na dominantnim vrhovima brda često strmih padina, i na području Grada Zagreba je zabilježeno aktiviranje klizišta blizu telekomunikacijskih objekata. Stoga je moguć lokalno ograničen utjecaj na </w:t>
      </w:r>
      <w:r w:rsidR="00472217" w:rsidRPr="00472217">
        <w:rPr>
          <w:rFonts w:ascii="Times New Roman" w:hAnsi="Times New Roman" w:cs="Times New Roman"/>
          <w:b/>
          <w:sz w:val="24"/>
          <w:szCs w:val="24"/>
        </w:rPr>
        <w:t xml:space="preserve">sektor komunikacijske i informacijske tehnologije </w:t>
      </w:r>
      <w:r w:rsidR="00472217" w:rsidRPr="00472217">
        <w:rPr>
          <w:rFonts w:ascii="Times New Roman" w:hAnsi="Times New Roman" w:cs="Times New Roman"/>
          <w:sz w:val="24"/>
          <w:szCs w:val="24"/>
        </w:rPr>
        <w:t>koji ne bi rezultiralo prekidom usluge, budući da će u slučaju ispada jednog odašiljača, njegovu ulogu preuzeti drugi, a zbog guste mreže odašiljača pokrivenost će ostati približno ista.</w:t>
      </w:r>
    </w:p>
    <w:p w14:paraId="02E0A8DB" w14:textId="5F827BEE" w:rsidR="00472217" w:rsidRPr="00472217" w:rsidRDefault="004E1A7D" w:rsidP="00472217">
      <w:pPr>
        <w:spacing w:after="0" w:line="240" w:lineRule="auto"/>
        <w:ind w:left="0" w:right="0" w:firstLine="0"/>
        <w:rPr>
          <w:rFonts w:ascii="Times New Roman" w:hAnsi="Times New Roman" w:cs="Times New Roman"/>
          <w:sz w:val="24"/>
          <w:szCs w:val="24"/>
        </w:rPr>
      </w:pPr>
      <w:r>
        <w:rPr>
          <w:rFonts w:ascii="Times New Roman" w:hAnsi="Times New Roman" w:cs="Times New Roman"/>
          <w:sz w:val="24"/>
          <w:szCs w:val="24"/>
        </w:rPr>
        <w:tab/>
      </w:r>
      <w:r w:rsidR="00472217" w:rsidRPr="00472217">
        <w:rPr>
          <w:rFonts w:ascii="Times New Roman" w:hAnsi="Times New Roman" w:cs="Times New Roman"/>
          <w:sz w:val="24"/>
          <w:szCs w:val="24"/>
        </w:rPr>
        <w:t xml:space="preserve">Dosadašnja iskustva pokazuju da je nakon aktiviranja klizišta najveća šteta zabilježena na </w:t>
      </w:r>
      <w:r w:rsidR="00472217" w:rsidRPr="00472217">
        <w:rPr>
          <w:rFonts w:ascii="Times New Roman" w:hAnsi="Times New Roman" w:cs="Times New Roman"/>
          <w:b/>
          <w:sz w:val="24"/>
          <w:szCs w:val="24"/>
        </w:rPr>
        <w:t>prometnom sektoru</w:t>
      </w:r>
      <w:r w:rsidR="00472217" w:rsidRPr="00472217">
        <w:rPr>
          <w:rFonts w:ascii="Times New Roman" w:hAnsi="Times New Roman" w:cs="Times New Roman"/>
          <w:sz w:val="24"/>
          <w:szCs w:val="24"/>
        </w:rPr>
        <w:t xml:space="preserve"> i to na način da je prometovanje nekim cestama bilo potpuno onemogućeno do sanacije (koja nekada zahtijeva složene i vrlo skupe postupke), a na nekim prometnicama se prometovati nastavilo naizmjenično jednim kolničkim trakom (postavljanje privremene regulacije prometa što opet otežava i usporava prometnu komunikaciju). U slučaju pojave učestale aktivacije klizišta u kratkom vremenskom periodu upravo će prometna infrastruktura biti najviše ugrožena, te su mogući potpuni prekidi prometovanja na nekim cestama na širem području tj. područjima više gradskih četvrti.</w:t>
      </w:r>
    </w:p>
    <w:p w14:paraId="7FBA94AC"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33E696C1" w14:textId="77777777" w:rsidR="00472217" w:rsidRPr="00472217" w:rsidRDefault="00472217" w:rsidP="004E1A7D">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lastRenderedPageBreak/>
        <w:t xml:space="preserve">Negativan utjecaj </w:t>
      </w:r>
      <w:r w:rsidRPr="00472217">
        <w:rPr>
          <w:rFonts w:ascii="Times New Roman" w:hAnsi="Times New Roman" w:cs="Times New Roman"/>
          <w:color w:val="auto"/>
          <w:sz w:val="24"/>
          <w:szCs w:val="24"/>
        </w:rPr>
        <w:t xml:space="preserve">aktivacije klizišta </w:t>
      </w:r>
      <w:r w:rsidRPr="00472217">
        <w:rPr>
          <w:rFonts w:ascii="Times New Roman" w:hAnsi="Times New Roman" w:cs="Times New Roman"/>
          <w:sz w:val="24"/>
          <w:szCs w:val="24"/>
        </w:rPr>
        <w:t xml:space="preserve">na </w:t>
      </w:r>
      <w:r w:rsidRPr="00472217">
        <w:rPr>
          <w:rFonts w:ascii="Times New Roman" w:hAnsi="Times New Roman" w:cs="Times New Roman"/>
          <w:b/>
          <w:sz w:val="24"/>
          <w:szCs w:val="24"/>
        </w:rPr>
        <w:t xml:space="preserve">sektor vodnog gospodarstva </w:t>
      </w:r>
      <w:r w:rsidRPr="00472217">
        <w:rPr>
          <w:rFonts w:ascii="Times New Roman" w:hAnsi="Times New Roman" w:cs="Times New Roman"/>
          <w:sz w:val="24"/>
          <w:szCs w:val="24"/>
        </w:rPr>
        <w:t>je već zabilježen puknućima vodoopskrbnog sustava i odvodnih cijevi sustava javnih kanala</w:t>
      </w:r>
      <w:r w:rsidRPr="00472217">
        <w:rPr>
          <w:rFonts w:ascii="Times New Roman" w:hAnsi="Times New Roman" w:cs="Times New Roman"/>
          <w:color w:val="auto"/>
          <w:sz w:val="24"/>
          <w:szCs w:val="24"/>
        </w:rPr>
        <w:t xml:space="preserve">. Zabilježene su i situacije premještanja dijelova lokalnog vodovoda zbog klizišta. </w:t>
      </w:r>
    </w:p>
    <w:p w14:paraId="114951A1" w14:textId="46894308" w:rsidR="00472217" w:rsidRPr="00472217" w:rsidRDefault="004E1A7D" w:rsidP="00472217">
      <w:pPr>
        <w:spacing w:after="0" w:line="240" w:lineRule="auto"/>
        <w:ind w:left="0" w:right="0" w:firstLine="0"/>
        <w:rPr>
          <w:rFonts w:ascii="Times New Roman" w:hAnsi="Times New Roman" w:cs="Times New Roman"/>
          <w:sz w:val="24"/>
          <w:szCs w:val="24"/>
        </w:rPr>
      </w:pPr>
      <w:r>
        <w:rPr>
          <w:rFonts w:ascii="Times New Roman" w:hAnsi="Times New Roman" w:cs="Times New Roman"/>
          <w:sz w:val="24"/>
          <w:szCs w:val="24"/>
        </w:rPr>
        <w:tab/>
      </w:r>
      <w:r w:rsidR="00472217" w:rsidRPr="00472217">
        <w:rPr>
          <w:rFonts w:ascii="Times New Roman" w:hAnsi="Times New Roman" w:cs="Times New Roman"/>
          <w:sz w:val="24"/>
          <w:szCs w:val="24"/>
        </w:rPr>
        <w:t xml:space="preserve">Utjecaj pojave masovnih klizišta na </w:t>
      </w:r>
      <w:r w:rsidR="00472217" w:rsidRPr="00472217">
        <w:rPr>
          <w:rFonts w:ascii="Times New Roman" w:hAnsi="Times New Roman" w:cs="Times New Roman"/>
          <w:b/>
          <w:sz w:val="24"/>
          <w:szCs w:val="24"/>
        </w:rPr>
        <w:t>sektor javnih službi</w:t>
      </w:r>
      <w:r w:rsidR="00472217" w:rsidRPr="00472217">
        <w:rPr>
          <w:rFonts w:ascii="Times New Roman" w:hAnsi="Times New Roman" w:cs="Times New Roman"/>
          <w:sz w:val="24"/>
          <w:szCs w:val="24"/>
        </w:rPr>
        <w:t xml:space="preserve"> manifestirat će se provođenjem evakuacije stanovništva iz kuća na ugroženom području, izvlačenjem zatrpanih ljudi iz ruševina, pružanjem zdravstvene skrbi i smještaja ugroženom stanovništvu te provođenjem hitne sanacije oštećenih prometnica.</w:t>
      </w:r>
    </w:p>
    <w:p w14:paraId="44CD4802"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12504940" w14:textId="000B547A" w:rsidR="00472217" w:rsidRPr="0039317C" w:rsidRDefault="00472217" w:rsidP="008546EC">
      <w:pPr>
        <w:spacing w:line="240" w:lineRule="auto"/>
        <w:ind w:left="0" w:right="0" w:firstLine="0"/>
        <w:jc w:val="center"/>
        <w:rPr>
          <w:rFonts w:ascii="Times New Roman" w:hAnsi="Times New Roman" w:cs="Times New Roman"/>
          <w:b/>
          <w:iCs/>
          <w:color w:val="auto"/>
          <w:sz w:val="24"/>
          <w:szCs w:val="24"/>
        </w:rPr>
      </w:pPr>
      <w:r w:rsidRPr="0039317C">
        <w:rPr>
          <w:rFonts w:ascii="Times New Roman" w:hAnsi="Times New Roman" w:cs="Times New Roman"/>
          <w:b/>
          <w:iCs/>
          <w:color w:val="auto"/>
          <w:sz w:val="24"/>
          <w:szCs w:val="24"/>
        </w:rPr>
        <w:t xml:space="preserve">Tablica </w:t>
      </w:r>
      <w:r w:rsidR="0039317C" w:rsidRPr="0039317C">
        <w:rPr>
          <w:rFonts w:ascii="Times New Roman" w:hAnsi="Times New Roman" w:cs="Times New Roman"/>
          <w:b/>
          <w:iCs/>
          <w:color w:val="auto"/>
          <w:sz w:val="24"/>
          <w:szCs w:val="24"/>
        </w:rPr>
        <w:t>123</w:t>
      </w:r>
      <w:r w:rsidRPr="0039317C">
        <w:rPr>
          <w:rFonts w:ascii="Times New Roman" w:hAnsi="Times New Roman" w:cs="Times New Roman"/>
          <w:b/>
          <w:iCs/>
          <w:color w:val="auto"/>
          <w:sz w:val="24"/>
          <w:szCs w:val="24"/>
        </w:rPr>
        <w:t>. Utjecaj klizišta na kritičnu infrastrukturu</w:t>
      </w:r>
    </w:p>
    <w:tbl>
      <w:tblPr>
        <w:tblStyle w:val="TableGrid9"/>
        <w:tblW w:w="878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3" w:type="dxa"/>
        </w:tblCellMar>
        <w:tblLook w:val="04A0" w:firstRow="1" w:lastRow="0" w:firstColumn="1" w:lastColumn="0" w:noHBand="0" w:noVBand="1"/>
      </w:tblPr>
      <w:tblGrid>
        <w:gridCol w:w="1418"/>
        <w:gridCol w:w="7366"/>
      </w:tblGrid>
      <w:tr w:rsidR="00472217" w:rsidRPr="00472217" w14:paraId="1278CE0A" w14:textId="77777777" w:rsidTr="00284074">
        <w:trPr>
          <w:cantSplit/>
        </w:trPr>
        <w:tc>
          <w:tcPr>
            <w:tcW w:w="1418" w:type="dxa"/>
            <w:shd w:val="clear" w:color="auto" w:fill="FFC000"/>
            <w:vAlign w:val="center"/>
          </w:tcPr>
          <w:p w14:paraId="2D16CB88"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b/>
                <w:sz w:val="24"/>
                <w:szCs w:val="24"/>
              </w:rPr>
              <w:t>UTJECAJ</w:t>
            </w:r>
          </w:p>
        </w:tc>
        <w:tc>
          <w:tcPr>
            <w:tcW w:w="7366" w:type="dxa"/>
            <w:shd w:val="clear" w:color="auto" w:fill="FFC000"/>
            <w:vAlign w:val="center"/>
          </w:tcPr>
          <w:p w14:paraId="5E8AEB7C"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b/>
                <w:sz w:val="24"/>
                <w:szCs w:val="24"/>
              </w:rPr>
              <w:t>SEKTOR</w:t>
            </w:r>
          </w:p>
        </w:tc>
      </w:tr>
      <w:tr w:rsidR="00472217" w:rsidRPr="00472217" w14:paraId="70143970" w14:textId="77777777" w:rsidTr="00284074">
        <w:trPr>
          <w:cantSplit/>
        </w:trPr>
        <w:tc>
          <w:tcPr>
            <w:tcW w:w="1418" w:type="dxa"/>
            <w:vAlign w:val="center"/>
          </w:tcPr>
          <w:p w14:paraId="3F850EE1"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x</w:t>
            </w:r>
          </w:p>
        </w:tc>
        <w:tc>
          <w:tcPr>
            <w:tcW w:w="7366" w:type="dxa"/>
            <w:vAlign w:val="center"/>
          </w:tcPr>
          <w:p w14:paraId="6E989EE2"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Energetika (proizvodnja, uključivo akumulacije i brane, prijenos, skladištenje, transport energenata i energije, sustavi za distribuciju)</w:t>
            </w:r>
          </w:p>
        </w:tc>
      </w:tr>
      <w:tr w:rsidR="00472217" w:rsidRPr="00472217" w14:paraId="4E8FC760" w14:textId="77777777" w:rsidTr="00284074">
        <w:trPr>
          <w:cantSplit/>
        </w:trPr>
        <w:tc>
          <w:tcPr>
            <w:tcW w:w="1418" w:type="dxa"/>
            <w:shd w:val="clear" w:color="auto" w:fill="FFC000"/>
            <w:vAlign w:val="center"/>
          </w:tcPr>
          <w:p w14:paraId="52EC68E9"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x</w:t>
            </w:r>
          </w:p>
        </w:tc>
        <w:tc>
          <w:tcPr>
            <w:tcW w:w="7366" w:type="dxa"/>
            <w:shd w:val="clear" w:color="auto" w:fill="FFC000"/>
            <w:vAlign w:val="center"/>
          </w:tcPr>
          <w:p w14:paraId="528189C9"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Komunikacijska i informacijska tehnologija (elektroničke komunikacije, prijenos podataka, informacijski sustavi, pružanje audio i audiovizualnih medijskih usluga)</w:t>
            </w:r>
          </w:p>
        </w:tc>
      </w:tr>
      <w:tr w:rsidR="00472217" w:rsidRPr="00472217" w14:paraId="1A7F9AA7" w14:textId="77777777" w:rsidTr="00284074">
        <w:trPr>
          <w:cantSplit/>
        </w:trPr>
        <w:tc>
          <w:tcPr>
            <w:tcW w:w="1418" w:type="dxa"/>
            <w:vAlign w:val="center"/>
          </w:tcPr>
          <w:p w14:paraId="7CE0822A"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x</w:t>
            </w:r>
          </w:p>
        </w:tc>
        <w:tc>
          <w:tcPr>
            <w:tcW w:w="7366" w:type="dxa"/>
            <w:vAlign w:val="center"/>
          </w:tcPr>
          <w:p w14:paraId="4BEE92B9"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Promet (cestovni, željeznički, zračni, pomorski i promet unutarnjim plovnim putevima)</w:t>
            </w:r>
          </w:p>
        </w:tc>
      </w:tr>
      <w:tr w:rsidR="00472217" w:rsidRPr="00472217" w14:paraId="24B6A659" w14:textId="77777777" w:rsidTr="00284074">
        <w:trPr>
          <w:cantSplit/>
        </w:trPr>
        <w:tc>
          <w:tcPr>
            <w:tcW w:w="1418" w:type="dxa"/>
            <w:shd w:val="clear" w:color="auto" w:fill="FFC000"/>
            <w:vAlign w:val="center"/>
          </w:tcPr>
          <w:p w14:paraId="2C5CAB2C"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p>
        </w:tc>
        <w:tc>
          <w:tcPr>
            <w:tcW w:w="7366" w:type="dxa"/>
            <w:shd w:val="clear" w:color="auto" w:fill="FFC000"/>
            <w:vAlign w:val="center"/>
          </w:tcPr>
          <w:p w14:paraId="7A1F7ACB"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Zdravstvo (zdravstvena zaštita, proizvodnja lijekova, promet i nadzor nad lijekovima)</w:t>
            </w:r>
          </w:p>
        </w:tc>
      </w:tr>
      <w:tr w:rsidR="00472217" w:rsidRPr="00472217" w14:paraId="3687197A" w14:textId="77777777" w:rsidTr="00284074">
        <w:trPr>
          <w:cantSplit/>
        </w:trPr>
        <w:tc>
          <w:tcPr>
            <w:tcW w:w="1418" w:type="dxa"/>
            <w:vAlign w:val="center"/>
          </w:tcPr>
          <w:p w14:paraId="0E186DB1"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x</w:t>
            </w:r>
          </w:p>
        </w:tc>
        <w:tc>
          <w:tcPr>
            <w:tcW w:w="7366" w:type="dxa"/>
            <w:vAlign w:val="center"/>
          </w:tcPr>
          <w:p w14:paraId="5A34CC1B"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Vodno gospodarstvo (regulacijske i zaštitne vodne građevine i komunalne vodne građevine)</w:t>
            </w:r>
          </w:p>
        </w:tc>
      </w:tr>
      <w:tr w:rsidR="00472217" w:rsidRPr="00472217" w14:paraId="1CB79466" w14:textId="77777777" w:rsidTr="00284074">
        <w:trPr>
          <w:cantSplit/>
        </w:trPr>
        <w:tc>
          <w:tcPr>
            <w:tcW w:w="1418" w:type="dxa"/>
            <w:shd w:val="clear" w:color="auto" w:fill="FFC000"/>
            <w:vAlign w:val="center"/>
          </w:tcPr>
          <w:p w14:paraId="77E925D9"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p>
        </w:tc>
        <w:tc>
          <w:tcPr>
            <w:tcW w:w="7366" w:type="dxa"/>
            <w:shd w:val="clear" w:color="auto" w:fill="FFC000"/>
            <w:vAlign w:val="center"/>
          </w:tcPr>
          <w:p w14:paraId="465DEF71"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Hrana (proizvodnja i opskrba hranom i sustav sigurnosti hrane, robne zalihe)</w:t>
            </w:r>
          </w:p>
        </w:tc>
      </w:tr>
      <w:tr w:rsidR="00472217" w:rsidRPr="00472217" w14:paraId="3AAA12C7" w14:textId="77777777" w:rsidTr="00284074">
        <w:trPr>
          <w:cantSplit/>
        </w:trPr>
        <w:tc>
          <w:tcPr>
            <w:tcW w:w="1418" w:type="dxa"/>
            <w:vAlign w:val="center"/>
          </w:tcPr>
          <w:p w14:paraId="49C4D86F"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p>
        </w:tc>
        <w:tc>
          <w:tcPr>
            <w:tcW w:w="7366" w:type="dxa"/>
            <w:vAlign w:val="center"/>
          </w:tcPr>
          <w:p w14:paraId="1FAFE9D3"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Financije (bankarstvo, burze, investicije, sustavi osiguranja i plaćanja)</w:t>
            </w:r>
          </w:p>
        </w:tc>
      </w:tr>
      <w:tr w:rsidR="00472217" w:rsidRPr="00472217" w14:paraId="41C37211" w14:textId="77777777" w:rsidTr="00284074">
        <w:trPr>
          <w:cantSplit/>
        </w:trPr>
        <w:tc>
          <w:tcPr>
            <w:tcW w:w="1418" w:type="dxa"/>
            <w:shd w:val="clear" w:color="auto" w:fill="FFC000"/>
            <w:vAlign w:val="center"/>
          </w:tcPr>
          <w:p w14:paraId="299F2EF1"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p>
        </w:tc>
        <w:tc>
          <w:tcPr>
            <w:tcW w:w="7366" w:type="dxa"/>
            <w:shd w:val="clear" w:color="auto" w:fill="FFC000"/>
            <w:vAlign w:val="center"/>
          </w:tcPr>
          <w:p w14:paraId="5AD89470"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Proizvodnja, skladištenje i prijevoz opasnih tvari (kemijski, biološki, radiološki i nuklearni materijal)</w:t>
            </w:r>
          </w:p>
        </w:tc>
      </w:tr>
      <w:tr w:rsidR="00472217" w:rsidRPr="00472217" w14:paraId="1844F378" w14:textId="77777777" w:rsidTr="00284074">
        <w:trPr>
          <w:cantSplit/>
        </w:trPr>
        <w:tc>
          <w:tcPr>
            <w:tcW w:w="1418" w:type="dxa"/>
            <w:vAlign w:val="center"/>
          </w:tcPr>
          <w:p w14:paraId="01FBC6CE"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x</w:t>
            </w:r>
          </w:p>
        </w:tc>
        <w:tc>
          <w:tcPr>
            <w:tcW w:w="7366" w:type="dxa"/>
            <w:vAlign w:val="center"/>
          </w:tcPr>
          <w:p w14:paraId="33066B08"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Javne službe (osiguranje javnog reda i mira, zaštita i spašavanje, hitna medicinska pomoć)</w:t>
            </w:r>
          </w:p>
        </w:tc>
      </w:tr>
      <w:tr w:rsidR="00472217" w:rsidRPr="00472217" w14:paraId="7C454FA5" w14:textId="77777777" w:rsidTr="00284074">
        <w:trPr>
          <w:cantSplit/>
        </w:trPr>
        <w:tc>
          <w:tcPr>
            <w:tcW w:w="1418" w:type="dxa"/>
            <w:shd w:val="clear" w:color="auto" w:fill="FFC000"/>
            <w:vAlign w:val="center"/>
          </w:tcPr>
          <w:p w14:paraId="283CF9BE"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p>
        </w:tc>
        <w:tc>
          <w:tcPr>
            <w:tcW w:w="7366" w:type="dxa"/>
            <w:shd w:val="clear" w:color="auto" w:fill="FFC000"/>
            <w:vAlign w:val="center"/>
          </w:tcPr>
          <w:p w14:paraId="4645BBE0"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Nacionalni spomenici i vrijednosti</w:t>
            </w:r>
          </w:p>
        </w:tc>
      </w:tr>
    </w:tbl>
    <w:p w14:paraId="0A0D73E4"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4123AA8D" w14:textId="77777777" w:rsidR="00472217" w:rsidRPr="00472217" w:rsidRDefault="00472217" w:rsidP="00C70C9F">
      <w:pPr>
        <w:spacing w:after="0" w:line="240" w:lineRule="auto"/>
        <w:ind w:left="0" w:right="0" w:firstLine="709"/>
        <w:rPr>
          <w:rFonts w:ascii="Times New Roman" w:hAnsi="Times New Roman" w:cs="Times New Roman"/>
          <w:b/>
          <w:sz w:val="24"/>
          <w:szCs w:val="24"/>
        </w:rPr>
      </w:pPr>
      <w:r w:rsidRPr="00472217">
        <w:rPr>
          <w:rFonts w:ascii="Times New Roman" w:hAnsi="Times New Roman" w:cs="Times New Roman"/>
          <w:b/>
          <w:sz w:val="24"/>
          <w:szCs w:val="24"/>
        </w:rPr>
        <w:t>6.8.3. Kontekst</w:t>
      </w:r>
    </w:p>
    <w:p w14:paraId="4E4EE176" w14:textId="77777777" w:rsidR="00472217" w:rsidRPr="00472217" w:rsidRDefault="00472217" w:rsidP="00C70C9F">
      <w:pPr>
        <w:spacing w:after="0" w:line="240" w:lineRule="auto"/>
        <w:ind w:left="0" w:right="0" w:firstLine="709"/>
        <w:rPr>
          <w:rFonts w:ascii="Times New Roman" w:hAnsi="Times New Roman" w:cs="Times New Roman"/>
          <w:sz w:val="24"/>
          <w:szCs w:val="24"/>
          <w:u w:val="single"/>
        </w:rPr>
      </w:pPr>
      <w:r w:rsidRPr="00472217">
        <w:rPr>
          <w:rFonts w:ascii="Times New Roman" w:hAnsi="Times New Roman" w:cs="Times New Roman"/>
          <w:sz w:val="24"/>
          <w:szCs w:val="24"/>
          <w:u w:val="single"/>
        </w:rPr>
        <w:t>Općenito o klizištima</w:t>
      </w:r>
    </w:p>
    <w:p w14:paraId="16AB8936" w14:textId="47D390A9" w:rsidR="00472217" w:rsidRPr="00472217" w:rsidRDefault="00472217" w:rsidP="004E1A7D">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 xml:space="preserve">Prema općoj definiciji, klizanje je gibanje mase tla ili stijena niz padinu pod utjecajem gravitacije (Cruden, 1991). Dearman (1991) klizanje ubraja u skupinu aktivnih geomorfoloških procesa, uz ostale recentne egzogene ili površinske geološke procese. Pod pojmom klizanje (u širem smislu) podrazumijeva se pet mehanizama gibanja (Varnes, 1978; Cruden and Varnes, </w:t>
      </w:r>
      <w:r w:rsidRPr="00457B01">
        <w:rPr>
          <w:rFonts w:ascii="Times New Roman" w:hAnsi="Times New Roman" w:cs="Times New Roman"/>
          <w:color w:val="auto"/>
          <w:sz w:val="24"/>
          <w:szCs w:val="24"/>
        </w:rPr>
        <w:t xml:space="preserve">1996) prikazanih na slici </w:t>
      </w:r>
      <w:r w:rsidR="00457B01" w:rsidRPr="00457B01">
        <w:rPr>
          <w:rFonts w:ascii="Times New Roman" w:hAnsi="Times New Roman" w:cs="Times New Roman"/>
          <w:color w:val="auto"/>
          <w:sz w:val="24"/>
          <w:szCs w:val="24"/>
        </w:rPr>
        <w:t>29</w:t>
      </w:r>
      <w:r w:rsidRPr="00457B01">
        <w:rPr>
          <w:rFonts w:ascii="Times New Roman" w:hAnsi="Times New Roman" w:cs="Times New Roman"/>
          <w:color w:val="auto"/>
          <w:sz w:val="24"/>
          <w:szCs w:val="24"/>
        </w:rPr>
        <w:t xml:space="preserve">: (i) odronjavanje (eng. falling), (ii) prevrtanje (eng. toppling), (iii) </w:t>
      </w:r>
      <w:r w:rsidRPr="00472217">
        <w:rPr>
          <w:rFonts w:ascii="Times New Roman" w:hAnsi="Times New Roman" w:cs="Times New Roman"/>
          <w:sz w:val="24"/>
          <w:szCs w:val="24"/>
        </w:rPr>
        <w:t xml:space="preserve">klizanje (u užem smislu) (eng. sliding), (iv) tečenje (eng. flowing) i (v) bočno razmicanje ili širenje (eng. spreading). Do klizanja dolazi zbog popuštanja kohezijskih sila među česticama stijena ili tla i nedovoljnog trenja između njih.  </w:t>
      </w:r>
    </w:p>
    <w:p w14:paraId="2FD017AD" w14:textId="723036B2" w:rsidR="00472217" w:rsidRPr="00472217" w:rsidRDefault="00472217" w:rsidP="004E1A7D">
      <w:pPr>
        <w:spacing w:after="0" w:line="240" w:lineRule="auto"/>
        <w:ind w:left="0" w:right="0" w:firstLine="709"/>
        <w:rPr>
          <w:rFonts w:ascii="Times New Roman" w:hAnsi="Times New Roman" w:cs="Times New Roman"/>
          <w:color w:val="auto"/>
          <w:sz w:val="24"/>
          <w:szCs w:val="24"/>
        </w:rPr>
      </w:pPr>
      <w:r w:rsidRPr="00472217">
        <w:rPr>
          <w:rFonts w:ascii="Times New Roman" w:hAnsi="Times New Roman" w:cs="Times New Roman"/>
          <w:color w:val="auto"/>
          <w:sz w:val="24"/>
          <w:szCs w:val="24"/>
        </w:rPr>
        <w:t xml:space="preserve">Tip klizišta, između ostalih kriterija, određuje se s obzirom na mehanizam gibanja materijala, brzinu kretanja materijala, dubinu klizne plohe, površine klizišta što je prikazano tablicama </w:t>
      </w:r>
      <w:r w:rsidR="00FB6440">
        <w:rPr>
          <w:rFonts w:ascii="Times New Roman" w:hAnsi="Times New Roman" w:cs="Times New Roman"/>
          <w:color w:val="auto"/>
          <w:sz w:val="24"/>
          <w:szCs w:val="24"/>
        </w:rPr>
        <w:t>124,</w:t>
      </w:r>
      <w:r w:rsidRPr="00472217">
        <w:rPr>
          <w:rFonts w:ascii="Times New Roman" w:hAnsi="Times New Roman" w:cs="Times New Roman"/>
          <w:color w:val="auto"/>
          <w:sz w:val="24"/>
          <w:szCs w:val="24"/>
        </w:rPr>
        <w:t xml:space="preserve"> </w:t>
      </w:r>
      <w:r w:rsidR="00FB6440">
        <w:rPr>
          <w:rFonts w:ascii="Times New Roman" w:hAnsi="Times New Roman" w:cs="Times New Roman"/>
          <w:color w:val="auto"/>
          <w:sz w:val="24"/>
          <w:szCs w:val="24"/>
        </w:rPr>
        <w:t>125</w:t>
      </w:r>
      <w:r w:rsidRPr="00472217">
        <w:rPr>
          <w:rFonts w:ascii="Times New Roman" w:hAnsi="Times New Roman" w:cs="Times New Roman"/>
          <w:color w:val="auto"/>
          <w:sz w:val="24"/>
          <w:szCs w:val="24"/>
        </w:rPr>
        <w:t xml:space="preserve"> i </w:t>
      </w:r>
      <w:r w:rsidR="00FB6440">
        <w:rPr>
          <w:rFonts w:ascii="Times New Roman" w:hAnsi="Times New Roman" w:cs="Times New Roman"/>
          <w:color w:val="auto"/>
          <w:sz w:val="24"/>
          <w:szCs w:val="24"/>
        </w:rPr>
        <w:t>126</w:t>
      </w:r>
      <w:r w:rsidRPr="00472217">
        <w:rPr>
          <w:rFonts w:ascii="Times New Roman" w:hAnsi="Times New Roman" w:cs="Times New Roman"/>
          <w:color w:val="auto"/>
          <w:sz w:val="24"/>
          <w:szCs w:val="24"/>
        </w:rPr>
        <w:t xml:space="preserve">. prema opće prihvaćenim svjetskim klasifikacijama.  </w:t>
      </w:r>
    </w:p>
    <w:p w14:paraId="5D29176C"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0C746055" w14:textId="0DF67FB4" w:rsidR="00472217" w:rsidRPr="00472217" w:rsidRDefault="008B3D9F" w:rsidP="008546EC">
      <w:pPr>
        <w:spacing w:line="240" w:lineRule="auto"/>
        <w:ind w:left="0" w:right="0" w:firstLine="0"/>
        <w:jc w:val="center"/>
        <w:rPr>
          <w:rFonts w:ascii="Times New Roman" w:hAnsi="Times New Roman" w:cs="Times New Roman"/>
          <w:sz w:val="24"/>
          <w:szCs w:val="24"/>
          <w:u w:val="single"/>
        </w:rPr>
      </w:pPr>
      <w:r w:rsidRPr="008B3D9F">
        <w:rPr>
          <w:rFonts w:ascii="Times New Roman" w:hAnsi="Times New Roman" w:cs="Times New Roman"/>
          <w:b/>
          <w:color w:val="auto"/>
          <w:sz w:val="24"/>
          <w:szCs w:val="24"/>
        </w:rPr>
        <w:lastRenderedPageBreak/>
        <w:t>Slika 29</w:t>
      </w:r>
      <w:r w:rsidR="00472217" w:rsidRPr="008B3D9F">
        <w:rPr>
          <w:rFonts w:ascii="Times New Roman" w:hAnsi="Times New Roman" w:cs="Times New Roman"/>
          <w:b/>
          <w:color w:val="auto"/>
          <w:sz w:val="24"/>
          <w:szCs w:val="24"/>
        </w:rPr>
        <w:t xml:space="preserve">. </w:t>
      </w:r>
      <w:r w:rsidR="00472217" w:rsidRPr="008B3D9F">
        <w:rPr>
          <w:rFonts w:ascii="Times New Roman" w:hAnsi="Times New Roman" w:cs="Times New Roman"/>
          <w:b/>
          <w:noProof/>
          <w:color w:val="auto"/>
          <w:sz w:val="24"/>
          <w:szCs w:val="24"/>
        </w:rPr>
        <w:t xml:space="preserve"> Tipovi klizišta prema mehanizmu gibanja (Cruden i Varnes, 1996).</w:t>
      </w:r>
      <w:r w:rsidR="00472217" w:rsidRPr="00472217">
        <w:rPr>
          <w:rFonts w:ascii="Times New Roman" w:hAnsi="Times New Roman" w:cs="Times New Roman"/>
          <w:noProof/>
          <w:sz w:val="24"/>
          <w:szCs w:val="24"/>
        </w:rPr>
        <w:drawing>
          <wp:inline distT="0" distB="0" distL="0" distR="0" wp14:anchorId="70CBD807" wp14:editId="572B6F64">
            <wp:extent cx="5480685" cy="2066925"/>
            <wp:effectExtent l="0" t="0" r="5715" b="9525"/>
            <wp:docPr id="52283" name="Picture 5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0">
                      <a:extLst>
                        <a:ext uri="{28A0092B-C50C-407E-A947-70E740481C1C}">
                          <a14:useLocalDpi xmlns:a14="http://schemas.microsoft.com/office/drawing/2010/main" val="0"/>
                        </a:ext>
                      </a:extLst>
                    </a:blip>
                    <a:srcRect b="5816"/>
                    <a:stretch/>
                  </pic:blipFill>
                  <pic:spPr bwMode="auto">
                    <a:xfrm>
                      <a:off x="0" y="0"/>
                      <a:ext cx="5480685" cy="2066925"/>
                    </a:xfrm>
                    <a:prstGeom prst="rect">
                      <a:avLst/>
                    </a:prstGeom>
                    <a:noFill/>
                    <a:ln>
                      <a:noFill/>
                    </a:ln>
                    <a:extLst>
                      <a:ext uri="{53640926-AAD7-44D8-BBD7-CCE9431645EC}">
                        <a14:shadowObscured xmlns:a14="http://schemas.microsoft.com/office/drawing/2010/main"/>
                      </a:ext>
                    </a:extLst>
                  </pic:spPr>
                </pic:pic>
              </a:graphicData>
            </a:graphic>
          </wp:inline>
        </w:drawing>
      </w:r>
    </w:p>
    <w:p w14:paraId="67A0450A" w14:textId="77777777" w:rsidR="00472217" w:rsidRPr="008546EC" w:rsidRDefault="00472217" w:rsidP="00472217">
      <w:pPr>
        <w:spacing w:after="0" w:line="240" w:lineRule="auto"/>
        <w:ind w:left="0" w:right="0" w:firstLine="0"/>
        <w:jc w:val="center"/>
        <w:rPr>
          <w:rFonts w:ascii="Times New Roman" w:hAnsi="Times New Roman" w:cs="Times New Roman"/>
          <w:i/>
          <w:sz w:val="20"/>
          <w:szCs w:val="20"/>
        </w:rPr>
      </w:pPr>
      <w:r w:rsidRPr="008546EC">
        <w:rPr>
          <w:rFonts w:ascii="Times New Roman" w:hAnsi="Times New Roman" w:cs="Times New Roman"/>
          <w:i/>
          <w:sz w:val="20"/>
          <w:szCs w:val="20"/>
        </w:rPr>
        <w:t>Izvor: Procjena rizika od katastrofa za Republiku Hrvatsku</w:t>
      </w:r>
    </w:p>
    <w:p w14:paraId="0A857843" w14:textId="77777777" w:rsidR="00472217" w:rsidRPr="00472217" w:rsidRDefault="00472217" w:rsidP="00472217">
      <w:pPr>
        <w:spacing w:after="0" w:line="240" w:lineRule="auto"/>
        <w:ind w:left="0" w:right="0" w:firstLine="0"/>
        <w:jc w:val="center"/>
        <w:rPr>
          <w:rFonts w:ascii="Times New Roman" w:hAnsi="Times New Roman" w:cs="Times New Roman"/>
          <w:i/>
          <w:sz w:val="24"/>
          <w:szCs w:val="24"/>
        </w:rPr>
      </w:pPr>
    </w:p>
    <w:p w14:paraId="3D635DD5" w14:textId="2D615403" w:rsidR="00472217" w:rsidRPr="00B12C2D" w:rsidRDefault="00472217" w:rsidP="008546EC">
      <w:pPr>
        <w:spacing w:line="240" w:lineRule="auto"/>
        <w:ind w:left="0" w:right="0" w:firstLine="0"/>
        <w:jc w:val="center"/>
        <w:rPr>
          <w:rFonts w:ascii="Times New Roman" w:eastAsia="Cambria" w:hAnsi="Times New Roman" w:cs="Times New Roman"/>
          <w:color w:val="auto"/>
          <w:sz w:val="24"/>
          <w:szCs w:val="24"/>
        </w:rPr>
      </w:pPr>
      <w:r w:rsidRPr="00B12C2D">
        <w:rPr>
          <w:rFonts w:ascii="Times New Roman" w:eastAsia="Cambria" w:hAnsi="Times New Roman" w:cs="Times New Roman"/>
          <w:b/>
          <w:color w:val="auto"/>
          <w:sz w:val="24"/>
          <w:szCs w:val="24"/>
        </w:rPr>
        <w:t xml:space="preserve">Tablica </w:t>
      </w:r>
      <w:r w:rsidR="00B12C2D" w:rsidRPr="00B12C2D">
        <w:rPr>
          <w:rFonts w:ascii="Times New Roman" w:eastAsia="Cambria" w:hAnsi="Times New Roman" w:cs="Times New Roman"/>
          <w:b/>
          <w:color w:val="auto"/>
          <w:sz w:val="24"/>
          <w:szCs w:val="24"/>
        </w:rPr>
        <w:t>124</w:t>
      </w:r>
      <w:r w:rsidRPr="00B12C2D">
        <w:rPr>
          <w:rFonts w:ascii="Times New Roman" w:eastAsia="Cambria" w:hAnsi="Times New Roman" w:cs="Times New Roman"/>
          <w:b/>
          <w:color w:val="auto"/>
          <w:sz w:val="24"/>
          <w:szCs w:val="24"/>
        </w:rPr>
        <w:t>. Terminologija za opis dubine klizišta (IPL, 2013).</w:t>
      </w:r>
    </w:p>
    <w:tbl>
      <w:tblPr>
        <w:tblStyle w:val="TableGrid9"/>
        <w:tblW w:w="5018" w:type="dxa"/>
        <w:tblInd w:w="2195" w:type="dxa"/>
        <w:tblCellMar>
          <w:top w:w="50" w:type="dxa"/>
          <w:left w:w="109" w:type="dxa"/>
          <w:right w:w="75" w:type="dxa"/>
        </w:tblCellMar>
        <w:tblLook w:val="04A0" w:firstRow="1" w:lastRow="0" w:firstColumn="1" w:lastColumn="0" w:noHBand="0" w:noVBand="1"/>
      </w:tblPr>
      <w:tblGrid>
        <w:gridCol w:w="771"/>
        <w:gridCol w:w="1783"/>
        <w:gridCol w:w="2464"/>
      </w:tblGrid>
      <w:tr w:rsidR="00472217" w:rsidRPr="00472217" w14:paraId="4D23DA7B" w14:textId="77777777" w:rsidTr="008546EC">
        <w:trPr>
          <w:trHeight w:val="235"/>
        </w:trPr>
        <w:tc>
          <w:tcPr>
            <w:tcW w:w="771" w:type="dxa"/>
            <w:tcBorders>
              <w:top w:val="single" w:sz="4" w:space="0" w:color="000000"/>
              <w:left w:val="single" w:sz="4" w:space="0" w:color="000000"/>
              <w:bottom w:val="single" w:sz="4" w:space="0" w:color="000000"/>
              <w:right w:val="single" w:sz="4" w:space="0" w:color="000000"/>
            </w:tcBorders>
            <w:shd w:val="clear" w:color="auto" w:fill="FFC000"/>
          </w:tcPr>
          <w:p w14:paraId="128B7D47" w14:textId="10109879" w:rsidR="00472217" w:rsidRPr="00472217" w:rsidRDefault="00472217" w:rsidP="00472217">
            <w:pPr>
              <w:spacing w:after="0" w:line="240" w:lineRule="auto"/>
              <w:ind w:left="0" w:right="0" w:firstLine="0"/>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 </w:t>
            </w:r>
            <w:r w:rsidRPr="00472217">
              <w:rPr>
                <w:rFonts w:ascii="Times New Roman" w:eastAsia="Cambria" w:hAnsi="Times New Roman" w:cs="Times New Roman"/>
                <w:b/>
                <w:sz w:val="24"/>
                <w:szCs w:val="24"/>
              </w:rPr>
              <w:t xml:space="preserve">Klasa </w:t>
            </w:r>
          </w:p>
        </w:tc>
        <w:tc>
          <w:tcPr>
            <w:tcW w:w="1783" w:type="dxa"/>
            <w:tcBorders>
              <w:top w:val="single" w:sz="4" w:space="0" w:color="000000"/>
              <w:left w:val="single" w:sz="4" w:space="0" w:color="000000"/>
              <w:bottom w:val="single" w:sz="4" w:space="0" w:color="000000"/>
              <w:right w:val="single" w:sz="4" w:space="0" w:color="000000"/>
            </w:tcBorders>
            <w:shd w:val="clear" w:color="auto" w:fill="FFC000"/>
          </w:tcPr>
          <w:p w14:paraId="0C51B662"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b/>
                <w:sz w:val="24"/>
                <w:szCs w:val="24"/>
              </w:rPr>
              <w:t xml:space="preserve">Dubina klizišta (m) </w:t>
            </w:r>
          </w:p>
        </w:tc>
        <w:tc>
          <w:tcPr>
            <w:tcW w:w="2464" w:type="dxa"/>
            <w:tcBorders>
              <w:top w:val="single" w:sz="4" w:space="0" w:color="000000"/>
              <w:left w:val="single" w:sz="4" w:space="0" w:color="000000"/>
              <w:bottom w:val="single" w:sz="4" w:space="0" w:color="000000"/>
              <w:right w:val="single" w:sz="4" w:space="0" w:color="000000"/>
            </w:tcBorders>
            <w:shd w:val="clear" w:color="auto" w:fill="FFC000"/>
          </w:tcPr>
          <w:p w14:paraId="35CE79CF"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b/>
                <w:sz w:val="24"/>
                <w:szCs w:val="24"/>
              </w:rPr>
              <w:t xml:space="preserve">Opis </w:t>
            </w:r>
          </w:p>
        </w:tc>
      </w:tr>
      <w:tr w:rsidR="00472217" w:rsidRPr="00472217" w14:paraId="352FAA78" w14:textId="77777777" w:rsidTr="008546EC">
        <w:trPr>
          <w:trHeight w:val="239"/>
        </w:trPr>
        <w:tc>
          <w:tcPr>
            <w:tcW w:w="771" w:type="dxa"/>
            <w:tcBorders>
              <w:top w:val="single" w:sz="4" w:space="0" w:color="000000"/>
              <w:left w:val="single" w:sz="4" w:space="0" w:color="000000"/>
              <w:bottom w:val="single" w:sz="4" w:space="0" w:color="000000"/>
              <w:right w:val="single" w:sz="4" w:space="0" w:color="000000"/>
            </w:tcBorders>
          </w:tcPr>
          <w:p w14:paraId="73818A2E"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7 </w:t>
            </w:r>
          </w:p>
        </w:tc>
        <w:tc>
          <w:tcPr>
            <w:tcW w:w="1783" w:type="dxa"/>
            <w:tcBorders>
              <w:top w:val="single" w:sz="4" w:space="0" w:color="000000"/>
              <w:left w:val="single" w:sz="4" w:space="0" w:color="000000"/>
              <w:bottom w:val="single" w:sz="4" w:space="0" w:color="000000"/>
              <w:right w:val="single" w:sz="4" w:space="0" w:color="000000"/>
            </w:tcBorders>
          </w:tcPr>
          <w:p w14:paraId="4B9EFD52"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 500 </w:t>
            </w:r>
          </w:p>
        </w:tc>
        <w:tc>
          <w:tcPr>
            <w:tcW w:w="2464" w:type="dxa"/>
            <w:tcBorders>
              <w:top w:val="single" w:sz="4" w:space="0" w:color="000000"/>
              <w:left w:val="single" w:sz="4" w:space="0" w:color="000000"/>
              <w:bottom w:val="single" w:sz="4" w:space="0" w:color="000000"/>
              <w:right w:val="single" w:sz="4" w:space="0" w:color="000000"/>
            </w:tcBorders>
          </w:tcPr>
          <w:p w14:paraId="2D69214F"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ekstremno duboko </w:t>
            </w:r>
          </w:p>
        </w:tc>
      </w:tr>
      <w:tr w:rsidR="00472217" w:rsidRPr="00472217" w14:paraId="11910FB3" w14:textId="77777777" w:rsidTr="008546EC">
        <w:trPr>
          <w:trHeight w:val="238"/>
        </w:trPr>
        <w:tc>
          <w:tcPr>
            <w:tcW w:w="771" w:type="dxa"/>
            <w:tcBorders>
              <w:top w:val="single" w:sz="4" w:space="0" w:color="000000"/>
              <w:left w:val="single" w:sz="4" w:space="0" w:color="000000"/>
              <w:bottom w:val="single" w:sz="4" w:space="0" w:color="000000"/>
              <w:right w:val="single" w:sz="4" w:space="0" w:color="000000"/>
            </w:tcBorders>
          </w:tcPr>
          <w:p w14:paraId="00AB7E1C"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6 </w:t>
            </w:r>
          </w:p>
        </w:tc>
        <w:tc>
          <w:tcPr>
            <w:tcW w:w="1783" w:type="dxa"/>
            <w:tcBorders>
              <w:top w:val="single" w:sz="4" w:space="0" w:color="000000"/>
              <w:left w:val="single" w:sz="4" w:space="0" w:color="000000"/>
              <w:bottom w:val="single" w:sz="4" w:space="0" w:color="000000"/>
              <w:right w:val="single" w:sz="4" w:space="0" w:color="000000"/>
            </w:tcBorders>
          </w:tcPr>
          <w:p w14:paraId="4E11BAB5"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100 – 500 </w:t>
            </w:r>
          </w:p>
        </w:tc>
        <w:tc>
          <w:tcPr>
            <w:tcW w:w="2464" w:type="dxa"/>
            <w:tcBorders>
              <w:top w:val="single" w:sz="4" w:space="0" w:color="000000"/>
              <w:left w:val="single" w:sz="4" w:space="0" w:color="000000"/>
              <w:bottom w:val="single" w:sz="4" w:space="0" w:color="000000"/>
              <w:right w:val="single" w:sz="4" w:space="0" w:color="000000"/>
            </w:tcBorders>
          </w:tcPr>
          <w:p w14:paraId="193496FC"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vrlo duboko </w:t>
            </w:r>
          </w:p>
        </w:tc>
      </w:tr>
      <w:tr w:rsidR="00472217" w:rsidRPr="00472217" w14:paraId="35AD41F6" w14:textId="77777777" w:rsidTr="008546EC">
        <w:trPr>
          <w:trHeight w:val="235"/>
        </w:trPr>
        <w:tc>
          <w:tcPr>
            <w:tcW w:w="771" w:type="dxa"/>
            <w:tcBorders>
              <w:top w:val="single" w:sz="4" w:space="0" w:color="000000"/>
              <w:left w:val="single" w:sz="4" w:space="0" w:color="000000"/>
              <w:bottom w:val="single" w:sz="4" w:space="0" w:color="000000"/>
              <w:right w:val="single" w:sz="4" w:space="0" w:color="000000"/>
            </w:tcBorders>
          </w:tcPr>
          <w:p w14:paraId="05140AD1"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5 </w:t>
            </w:r>
          </w:p>
        </w:tc>
        <w:tc>
          <w:tcPr>
            <w:tcW w:w="1783" w:type="dxa"/>
            <w:tcBorders>
              <w:top w:val="single" w:sz="4" w:space="0" w:color="000000"/>
              <w:left w:val="single" w:sz="4" w:space="0" w:color="000000"/>
              <w:bottom w:val="single" w:sz="4" w:space="0" w:color="000000"/>
              <w:right w:val="single" w:sz="4" w:space="0" w:color="000000"/>
            </w:tcBorders>
          </w:tcPr>
          <w:p w14:paraId="6CEF9DA9"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50 – 100 </w:t>
            </w:r>
          </w:p>
        </w:tc>
        <w:tc>
          <w:tcPr>
            <w:tcW w:w="2464" w:type="dxa"/>
            <w:tcBorders>
              <w:top w:val="single" w:sz="4" w:space="0" w:color="000000"/>
              <w:left w:val="single" w:sz="4" w:space="0" w:color="000000"/>
              <w:bottom w:val="single" w:sz="4" w:space="0" w:color="000000"/>
              <w:right w:val="single" w:sz="4" w:space="0" w:color="000000"/>
            </w:tcBorders>
          </w:tcPr>
          <w:p w14:paraId="3F803CE7"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duboko </w:t>
            </w:r>
          </w:p>
        </w:tc>
      </w:tr>
      <w:tr w:rsidR="00472217" w:rsidRPr="00472217" w14:paraId="13377D3A" w14:textId="77777777" w:rsidTr="008546EC">
        <w:trPr>
          <w:trHeight w:val="238"/>
        </w:trPr>
        <w:tc>
          <w:tcPr>
            <w:tcW w:w="771" w:type="dxa"/>
            <w:tcBorders>
              <w:top w:val="single" w:sz="4" w:space="0" w:color="000000"/>
              <w:left w:val="single" w:sz="4" w:space="0" w:color="000000"/>
              <w:bottom w:val="single" w:sz="4" w:space="0" w:color="000000"/>
              <w:right w:val="single" w:sz="4" w:space="0" w:color="000000"/>
            </w:tcBorders>
          </w:tcPr>
          <w:p w14:paraId="52C83E40"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4 </w:t>
            </w:r>
          </w:p>
        </w:tc>
        <w:tc>
          <w:tcPr>
            <w:tcW w:w="1783" w:type="dxa"/>
            <w:tcBorders>
              <w:top w:val="single" w:sz="4" w:space="0" w:color="000000"/>
              <w:left w:val="single" w:sz="4" w:space="0" w:color="000000"/>
              <w:bottom w:val="single" w:sz="4" w:space="0" w:color="000000"/>
              <w:right w:val="single" w:sz="4" w:space="0" w:color="000000"/>
            </w:tcBorders>
          </w:tcPr>
          <w:p w14:paraId="67090CD1"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20 – 50 </w:t>
            </w:r>
          </w:p>
        </w:tc>
        <w:tc>
          <w:tcPr>
            <w:tcW w:w="2464" w:type="dxa"/>
            <w:tcBorders>
              <w:top w:val="single" w:sz="4" w:space="0" w:color="000000"/>
              <w:left w:val="single" w:sz="4" w:space="0" w:color="000000"/>
              <w:bottom w:val="single" w:sz="4" w:space="0" w:color="000000"/>
              <w:right w:val="single" w:sz="4" w:space="0" w:color="000000"/>
            </w:tcBorders>
          </w:tcPr>
          <w:p w14:paraId="613D9985"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duboko – srednje duboko </w:t>
            </w:r>
          </w:p>
        </w:tc>
      </w:tr>
      <w:tr w:rsidR="00472217" w:rsidRPr="00472217" w14:paraId="24EA8649" w14:textId="77777777" w:rsidTr="008546EC">
        <w:trPr>
          <w:trHeight w:val="238"/>
        </w:trPr>
        <w:tc>
          <w:tcPr>
            <w:tcW w:w="771" w:type="dxa"/>
            <w:tcBorders>
              <w:top w:val="single" w:sz="4" w:space="0" w:color="000000"/>
              <w:left w:val="single" w:sz="4" w:space="0" w:color="000000"/>
              <w:bottom w:val="single" w:sz="4" w:space="0" w:color="000000"/>
              <w:right w:val="single" w:sz="4" w:space="0" w:color="000000"/>
            </w:tcBorders>
          </w:tcPr>
          <w:p w14:paraId="52CBE1DA"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3 </w:t>
            </w:r>
          </w:p>
        </w:tc>
        <w:tc>
          <w:tcPr>
            <w:tcW w:w="1783" w:type="dxa"/>
            <w:tcBorders>
              <w:top w:val="single" w:sz="4" w:space="0" w:color="000000"/>
              <w:left w:val="single" w:sz="4" w:space="0" w:color="000000"/>
              <w:bottom w:val="single" w:sz="4" w:space="0" w:color="000000"/>
              <w:right w:val="single" w:sz="4" w:space="0" w:color="000000"/>
            </w:tcBorders>
          </w:tcPr>
          <w:p w14:paraId="72A4427B"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5 – 20 </w:t>
            </w:r>
          </w:p>
        </w:tc>
        <w:tc>
          <w:tcPr>
            <w:tcW w:w="2464" w:type="dxa"/>
            <w:tcBorders>
              <w:top w:val="single" w:sz="4" w:space="0" w:color="000000"/>
              <w:left w:val="single" w:sz="4" w:space="0" w:color="000000"/>
              <w:bottom w:val="single" w:sz="4" w:space="0" w:color="000000"/>
              <w:right w:val="single" w:sz="4" w:space="0" w:color="000000"/>
            </w:tcBorders>
          </w:tcPr>
          <w:p w14:paraId="2297642B"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srednje plitko </w:t>
            </w:r>
          </w:p>
        </w:tc>
      </w:tr>
      <w:tr w:rsidR="00472217" w:rsidRPr="00472217" w14:paraId="30AE4C0D" w14:textId="77777777" w:rsidTr="008546EC">
        <w:trPr>
          <w:trHeight w:val="238"/>
        </w:trPr>
        <w:tc>
          <w:tcPr>
            <w:tcW w:w="771" w:type="dxa"/>
            <w:tcBorders>
              <w:top w:val="single" w:sz="4" w:space="0" w:color="000000"/>
              <w:left w:val="single" w:sz="4" w:space="0" w:color="000000"/>
              <w:bottom w:val="single" w:sz="4" w:space="0" w:color="000000"/>
              <w:right w:val="single" w:sz="4" w:space="0" w:color="000000"/>
            </w:tcBorders>
          </w:tcPr>
          <w:p w14:paraId="542E6EFE"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2 </w:t>
            </w:r>
          </w:p>
        </w:tc>
        <w:tc>
          <w:tcPr>
            <w:tcW w:w="1783" w:type="dxa"/>
            <w:tcBorders>
              <w:top w:val="single" w:sz="4" w:space="0" w:color="000000"/>
              <w:left w:val="single" w:sz="4" w:space="0" w:color="000000"/>
              <w:bottom w:val="single" w:sz="4" w:space="0" w:color="000000"/>
              <w:right w:val="single" w:sz="4" w:space="0" w:color="000000"/>
            </w:tcBorders>
          </w:tcPr>
          <w:p w14:paraId="1464E343"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1 – 5 </w:t>
            </w:r>
          </w:p>
        </w:tc>
        <w:tc>
          <w:tcPr>
            <w:tcW w:w="2464" w:type="dxa"/>
            <w:tcBorders>
              <w:top w:val="single" w:sz="4" w:space="0" w:color="000000"/>
              <w:left w:val="single" w:sz="4" w:space="0" w:color="000000"/>
              <w:bottom w:val="single" w:sz="4" w:space="0" w:color="000000"/>
              <w:right w:val="single" w:sz="4" w:space="0" w:color="000000"/>
            </w:tcBorders>
          </w:tcPr>
          <w:p w14:paraId="7D6F44C6"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plitko </w:t>
            </w:r>
          </w:p>
        </w:tc>
      </w:tr>
      <w:tr w:rsidR="00472217" w:rsidRPr="00472217" w14:paraId="5F8951C4" w14:textId="77777777" w:rsidTr="008546EC">
        <w:trPr>
          <w:trHeight w:val="235"/>
        </w:trPr>
        <w:tc>
          <w:tcPr>
            <w:tcW w:w="771" w:type="dxa"/>
            <w:tcBorders>
              <w:top w:val="single" w:sz="4" w:space="0" w:color="000000"/>
              <w:left w:val="single" w:sz="4" w:space="0" w:color="000000"/>
              <w:bottom w:val="single" w:sz="4" w:space="0" w:color="000000"/>
              <w:right w:val="single" w:sz="4" w:space="0" w:color="000000"/>
            </w:tcBorders>
          </w:tcPr>
          <w:p w14:paraId="29A86CC2"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1 </w:t>
            </w:r>
          </w:p>
        </w:tc>
        <w:tc>
          <w:tcPr>
            <w:tcW w:w="1783" w:type="dxa"/>
            <w:tcBorders>
              <w:top w:val="single" w:sz="4" w:space="0" w:color="000000"/>
              <w:left w:val="single" w:sz="4" w:space="0" w:color="000000"/>
              <w:bottom w:val="single" w:sz="4" w:space="0" w:color="000000"/>
              <w:right w:val="single" w:sz="4" w:space="0" w:color="000000"/>
            </w:tcBorders>
          </w:tcPr>
          <w:p w14:paraId="3D6126BE"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 1 </w:t>
            </w:r>
          </w:p>
        </w:tc>
        <w:tc>
          <w:tcPr>
            <w:tcW w:w="2464" w:type="dxa"/>
            <w:tcBorders>
              <w:top w:val="single" w:sz="4" w:space="0" w:color="000000"/>
              <w:left w:val="single" w:sz="4" w:space="0" w:color="000000"/>
              <w:bottom w:val="single" w:sz="4" w:space="0" w:color="000000"/>
              <w:right w:val="single" w:sz="4" w:space="0" w:color="000000"/>
            </w:tcBorders>
          </w:tcPr>
          <w:p w14:paraId="53181FD0"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površinsko </w:t>
            </w:r>
          </w:p>
        </w:tc>
      </w:tr>
    </w:tbl>
    <w:p w14:paraId="3212B8ED" w14:textId="77777777" w:rsidR="00472217" w:rsidRPr="008546EC" w:rsidRDefault="00472217" w:rsidP="00472217">
      <w:pPr>
        <w:spacing w:after="0" w:line="240" w:lineRule="auto"/>
        <w:ind w:left="0" w:right="0" w:firstLine="0"/>
        <w:jc w:val="center"/>
        <w:rPr>
          <w:rFonts w:ascii="Times New Roman" w:eastAsia="Cambria" w:hAnsi="Times New Roman" w:cs="Times New Roman"/>
          <w:i/>
          <w:sz w:val="20"/>
          <w:szCs w:val="20"/>
        </w:rPr>
      </w:pPr>
      <w:bookmarkStart w:id="119" w:name="_Hlk103598979"/>
      <w:r w:rsidRPr="008546EC">
        <w:rPr>
          <w:rFonts w:ascii="Times New Roman" w:eastAsia="Cambria" w:hAnsi="Times New Roman" w:cs="Times New Roman"/>
          <w:i/>
          <w:sz w:val="20"/>
          <w:szCs w:val="20"/>
        </w:rPr>
        <w:t>Izvor: Procjena rizika od katastrofa za Republiku Hrvatsku</w:t>
      </w:r>
    </w:p>
    <w:bookmarkEnd w:id="119"/>
    <w:p w14:paraId="134D2515" w14:textId="77777777" w:rsidR="00472217" w:rsidRPr="00472217" w:rsidRDefault="00472217" w:rsidP="00472217">
      <w:pPr>
        <w:spacing w:after="0" w:line="240" w:lineRule="auto"/>
        <w:ind w:left="0" w:right="0" w:firstLine="0"/>
        <w:rPr>
          <w:rFonts w:ascii="Times New Roman" w:eastAsia="Cambria" w:hAnsi="Times New Roman" w:cs="Times New Roman"/>
          <w:b/>
          <w:color w:val="FF0000"/>
          <w:sz w:val="24"/>
          <w:szCs w:val="24"/>
        </w:rPr>
      </w:pPr>
    </w:p>
    <w:p w14:paraId="119446F6" w14:textId="77777777" w:rsidR="00472217" w:rsidRPr="00472217" w:rsidRDefault="00472217" w:rsidP="00472217">
      <w:pPr>
        <w:spacing w:after="0" w:line="240" w:lineRule="auto"/>
        <w:ind w:left="0" w:right="0" w:firstLine="0"/>
        <w:jc w:val="center"/>
        <w:rPr>
          <w:rFonts w:ascii="Times New Roman" w:eastAsia="Cambria" w:hAnsi="Times New Roman" w:cs="Times New Roman"/>
          <w:b/>
          <w:color w:val="FF0000"/>
          <w:sz w:val="24"/>
          <w:szCs w:val="24"/>
        </w:rPr>
      </w:pPr>
    </w:p>
    <w:p w14:paraId="007304EB" w14:textId="5286AE55" w:rsidR="00472217" w:rsidRPr="00B12C2D" w:rsidRDefault="00472217" w:rsidP="008546EC">
      <w:pPr>
        <w:spacing w:line="240" w:lineRule="auto"/>
        <w:ind w:left="0" w:right="0" w:firstLine="0"/>
        <w:jc w:val="center"/>
        <w:rPr>
          <w:rFonts w:ascii="Times New Roman" w:eastAsia="Cambria" w:hAnsi="Times New Roman" w:cs="Times New Roman"/>
          <w:color w:val="auto"/>
          <w:sz w:val="24"/>
          <w:szCs w:val="24"/>
        </w:rPr>
      </w:pPr>
      <w:r w:rsidRPr="00B12C2D">
        <w:rPr>
          <w:rFonts w:ascii="Times New Roman" w:eastAsia="Cambria" w:hAnsi="Times New Roman" w:cs="Times New Roman"/>
          <w:b/>
          <w:color w:val="auto"/>
          <w:sz w:val="24"/>
          <w:szCs w:val="24"/>
        </w:rPr>
        <w:t xml:space="preserve">Tablica </w:t>
      </w:r>
      <w:r w:rsidR="00B12C2D" w:rsidRPr="00B12C2D">
        <w:rPr>
          <w:rFonts w:ascii="Times New Roman" w:eastAsia="Cambria" w:hAnsi="Times New Roman" w:cs="Times New Roman"/>
          <w:b/>
          <w:color w:val="auto"/>
          <w:sz w:val="24"/>
          <w:szCs w:val="24"/>
        </w:rPr>
        <w:t>125</w:t>
      </w:r>
      <w:r w:rsidRPr="00B12C2D">
        <w:rPr>
          <w:rFonts w:ascii="Times New Roman" w:eastAsia="Cambria" w:hAnsi="Times New Roman" w:cs="Times New Roman"/>
          <w:b/>
          <w:color w:val="auto"/>
          <w:sz w:val="24"/>
          <w:szCs w:val="24"/>
        </w:rPr>
        <w:t>. Terminologija za opis površina klizišta (van Schalkwyk i Thomas, 1991)</w:t>
      </w:r>
    </w:p>
    <w:tbl>
      <w:tblPr>
        <w:tblStyle w:val="TableGrid9"/>
        <w:tblW w:w="5018" w:type="dxa"/>
        <w:tblInd w:w="2195" w:type="dxa"/>
        <w:tblCellMar>
          <w:top w:w="78" w:type="dxa"/>
          <w:left w:w="109" w:type="dxa"/>
          <w:right w:w="75" w:type="dxa"/>
        </w:tblCellMar>
        <w:tblLook w:val="04A0" w:firstRow="1" w:lastRow="0" w:firstColumn="1" w:lastColumn="0" w:noHBand="0" w:noVBand="1"/>
      </w:tblPr>
      <w:tblGrid>
        <w:gridCol w:w="771"/>
        <w:gridCol w:w="2281"/>
        <w:gridCol w:w="1966"/>
      </w:tblGrid>
      <w:tr w:rsidR="00472217" w:rsidRPr="00472217" w14:paraId="1A38F7AB" w14:textId="77777777" w:rsidTr="008546EC">
        <w:trPr>
          <w:trHeight w:val="290"/>
        </w:trPr>
        <w:tc>
          <w:tcPr>
            <w:tcW w:w="771" w:type="dxa"/>
            <w:tcBorders>
              <w:top w:val="single" w:sz="4" w:space="0" w:color="000000"/>
              <w:left w:val="single" w:sz="4" w:space="0" w:color="000000"/>
              <w:bottom w:val="single" w:sz="4" w:space="0" w:color="000000"/>
              <w:right w:val="single" w:sz="4" w:space="0" w:color="000000"/>
            </w:tcBorders>
            <w:shd w:val="clear" w:color="auto" w:fill="FFC000"/>
          </w:tcPr>
          <w:p w14:paraId="55B39D9D" w14:textId="577B8A8E" w:rsidR="00472217" w:rsidRPr="00472217" w:rsidRDefault="00472217" w:rsidP="00472217">
            <w:pPr>
              <w:spacing w:after="0" w:line="240" w:lineRule="auto"/>
              <w:ind w:left="0" w:right="0" w:firstLine="0"/>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 </w:t>
            </w:r>
            <w:r w:rsidRPr="00472217">
              <w:rPr>
                <w:rFonts w:ascii="Times New Roman" w:eastAsia="Cambria" w:hAnsi="Times New Roman" w:cs="Times New Roman"/>
                <w:b/>
                <w:sz w:val="24"/>
                <w:szCs w:val="24"/>
              </w:rPr>
              <w:t xml:space="preserve">Klasa </w:t>
            </w:r>
          </w:p>
        </w:tc>
        <w:tc>
          <w:tcPr>
            <w:tcW w:w="2281" w:type="dxa"/>
            <w:tcBorders>
              <w:top w:val="single" w:sz="4" w:space="0" w:color="000000"/>
              <w:left w:val="single" w:sz="4" w:space="0" w:color="000000"/>
              <w:bottom w:val="single" w:sz="4" w:space="0" w:color="000000"/>
              <w:right w:val="single" w:sz="4" w:space="0" w:color="000000"/>
            </w:tcBorders>
            <w:shd w:val="clear" w:color="auto" w:fill="FFC000"/>
          </w:tcPr>
          <w:p w14:paraId="66B261B4"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b/>
                <w:sz w:val="24"/>
                <w:szCs w:val="24"/>
              </w:rPr>
              <w:t>Površina klizišta (m</w:t>
            </w:r>
            <w:r w:rsidRPr="00472217">
              <w:rPr>
                <w:rFonts w:ascii="Times New Roman" w:eastAsia="Cambria" w:hAnsi="Times New Roman" w:cs="Times New Roman"/>
                <w:b/>
                <w:sz w:val="24"/>
                <w:szCs w:val="24"/>
                <w:vertAlign w:val="superscript"/>
              </w:rPr>
              <w:t>2</w:t>
            </w:r>
            <w:r w:rsidRPr="00472217">
              <w:rPr>
                <w:rFonts w:ascii="Times New Roman" w:eastAsia="Cambria" w:hAnsi="Times New Roman" w:cs="Times New Roman"/>
                <w:b/>
                <w:sz w:val="24"/>
                <w:szCs w:val="24"/>
              </w:rPr>
              <w:t xml:space="preserve">) </w:t>
            </w:r>
          </w:p>
        </w:tc>
        <w:tc>
          <w:tcPr>
            <w:tcW w:w="1966" w:type="dxa"/>
            <w:tcBorders>
              <w:top w:val="single" w:sz="4" w:space="0" w:color="000000"/>
              <w:left w:val="single" w:sz="4" w:space="0" w:color="000000"/>
              <w:bottom w:val="single" w:sz="4" w:space="0" w:color="000000"/>
              <w:right w:val="single" w:sz="4" w:space="0" w:color="000000"/>
            </w:tcBorders>
            <w:shd w:val="clear" w:color="auto" w:fill="FFC000"/>
          </w:tcPr>
          <w:p w14:paraId="645B3624"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b/>
                <w:sz w:val="24"/>
                <w:szCs w:val="24"/>
              </w:rPr>
              <w:t xml:space="preserve">Opis </w:t>
            </w:r>
          </w:p>
        </w:tc>
      </w:tr>
      <w:tr w:rsidR="00472217" w:rsidRPr="00472217" w14:paraId="42CF8E49" w14:textId="77777777" w:rsidTr="008546EC">
        <w:trPr>
          <w:trHeight w:val="294"/>
        </w:trPr>
        <w:tc>
          <w:tcPr>
            <w:tcW w:w="771" w:type="dxa"/>
            <w:tcBorders>
              <w:top w:val="single" w:sz="4" w:space="0" w:color="000000"/>
              <w:left w:val="single" w:sz="4" w:space="0" w:color="000000"/>
              <w:bottom w:val="single" w:sz="4" w:space="0" w:color="000000"/>
              <w:right w:val="single" w:sz="4" w:space="0" w:color="000000"/>
            </w:tcBorders>
          </w:tcPr>
          <w:p w14:paraId="168226E0"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1 </w:t>
            </w:r>
          </w:p>
        </w:tc>
        <w:tc>
          <w:tcPr>
            <w:tcW w:w="2281" w:type="dxa"/>
            <w:tcBorders>
              <w:top w:val="single" w:sz="4" w:space="0" w:color="000000"/>
              <w:left w:val="single" w:sz="4" w:space="0" w:color="000000"/>
              <w:bottom w:val="single" w:sz="4" w:space="0" w:color="000000"/>
              <w:right w:val="single" w:sz="4" w:space="0" w:color="000000"/>
            </w:tcBorders>
          </w:tcPr>
          <w:p w14:paraId="1A1A2B5B"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0,01 - 10 </w:t>
            </w:r>
          </w:p>
        </w:tc>
        <w:tc>
          <w:tcPr>
            <w:tcW w:w="1966" w:type="dxa"/>
            <w:tcBorders>
              <w:top w:val="single" w:sz="4" w:space="0" w:color="000000"/>
              <w:left w:val="single" w:sz="4" w:space="0" w:color="000000"/>
              <w:bottom w:val="single" w:sz="4" w:space="0" w:color="000000"/>
              <w:right w:val="single" w:sz="4" w:space="0" w:color="000000"/>
            </w:tcBorders>
          </w:tcPr>
          <w:p w14:paraId="78FDFC93"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vrlo mala </w:t>
            </w:r>
          </w:p>
        </w:tc>
      </w:tr>
      <w:tr w:rsidR="00472217" w:rsidRPr="00472217" w14:paraId="2273720B" w14:textId="77777777" w:rsidTr="008546EC">
        <w:trPr>
          <w:trHeight w:val="293"/>
        </w:trPr>
        <w:tc>
          <w:tcPr>
            <w:tcW w:w="771" w:type="dxa"/>
            <w:tcBorders>
              <w:top w:val="single" w:sz="4" w:space="0" w:color="000000"/>
              <w:left w:val="single" w:sz="4" w:space="0" w:color="000000"/>
              <w:bottom w:val="single" w:sz="4" w:space="0" w:color="000000"/>
              <w:right w:val="single" w:sz="4" w:space="0" w:color="000000"/>
            </w:tcBorders>
          </w:tcPr>
          <w:p w14:paraId="2F925C2A"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2 </w:t>
            </w:r>
          </w:p>
        </w:tc>
        <w:tc>
          <w:tcPr>
            <w:tcW w:w="2281" w:type="dxa"/>
            <w:tcBorders>
              <w:top w:val="single" w:sz="4" w:space="0" w:color="000000"/>
              <w:left w:val="single" w:sz="4" w:space="0" w:color="000000"/>
              <w:bottom w:val="single" w:sz="4" w:space="0" w:color="000000"/>
              <w:right w:val="single" w:sz="4" w:space="0" w:color="000000"/>
            </w:tcBorders>
          </w:tcPr>
          <w:p w14:paraId="1CE68257"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10,01 – 1.000 </w:t>
            </w:r>
          </w:p>
        </w:tc>
        <w:tc>
          <w:tcPr>
            <w:tcW w:w="1966" w:type="dxa"/>
            <w:tcBorders>
              <w:top w:val="single" w:sz="4" w:space="0" w:color="000000"/>
              <w:left w:val="single" w:sz="4" w:space="0" w:color="000000"/>
              <w:bottom w:val="single" w:sz="4" w:space="0" w:color="000000"/>
              <w:right w:val="single" w:sz="4" w:space="0" w:color="000000"/>
            </w:tcBorders>
          </w:tcPr>
          <w:p w14:paraId="5222F73B"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mala </w:t>
            </w:r>
          </w:p>
        </w:tc>
      </w:tr>
      <w:tr w:rsidR="00472217" w:rsidRPr="00472217" w14:paraId="6B40A555" w14:textId="77777777" w:rsidTr="008546EC">
        <w:trPr>
          <w:trHeight w:val="293"/>
        </w:trPr>
        <w:tc>
          <w:tcPr>
            <w:tcW w:w="771" w:type="dxa"/>
            <w:tcBorders>
              <w:top w:val="single" w:sz="4" w:space="0" w:color="000000"/>
              <w:left w:val="single" w:sz="4" w:space="0" w:color="000000"/>
              <w:bottom w:val="single" w:sz="4" w:space="0" w:color="000000"/>
              <w:right w:val="single" w:sz="4" w:space="0" w:color="000000"/>
            </w:tcBorders>
          </w:tcPr>
          <w:p w14:paraId="41EAE125"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3 </w:t>
            </w:r>
          </w:p>
        </w:tc>
        <w:tc>
          <w:tcPr>
            <w:tcW w:w="2281" w:type="dxa"/>
            <w:tcBorders>
              <w:top w:val="single" w:sz="4" w:space="0" w:color="000000"/>
              <w:left w:val="single" w:sz="4" w:space="0" w:color="000000"/>
              <w:bottom w:val="single" w:sz="4" w:space="0" w:color="000000"/>
              <w:right w:val="single" w:sz="4" w:space="0" w:color="000000"/>
            </w:tcBorders>
          </w:tcPr>
          <w:p w14:paraId="6ACC176A"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1.000,01 – 100.000 </w:t>
            </w:r>
          </w:p>
        </w:tc>
        <w:tc>
          <w:tcPr>
            <w:tcW w:w="1966" w:type="dxa"/>
            <w:tcBorders>
              <w:top w:val="single" w:sz="4" w:space="0" w:color="000000"/>
              <w:left w:val="single" w:sz="4" w:space="0" w:color="000000"/>
              <w:bottom w:val="single" w:sz="4" w:space="0" w:color="000000"/>
              <w:right w:val="single" w:sz="4" w:space="0" w:color="000000"/>
            </w:tcBorders>
          </w:tcPr>
          <w:p w14:paraId="32AB2895"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srednje velika </w:t>
            </w:r>
          </w:p>
        </w:tc>
      </w:tr>
      <w:tr w:rsidR="00472217" w:rsidRPr="00472217" w14:paraId="74E4E23F" w14:textId="77777777" w:rsidTr="008546EC">
        <w:trPr>
          <w:trHeight w:val="293"/>
        </w:trPr>
        <w:tc>
          <w:tcPr>
            <w:tcW w:w="771" w:type="dxa"/>
            <w:tcBorders>
              <w:top w:val="single" w:sz="4" w:space="0" w:color="000000"/>
              <w:left w:val="single" w:sz="4" w:space="0" w:color="000000"/>
              <w:bottom w:val="single" w:sz="4" w:space="0" w:color="000000"/>
              <w:right w:val="single" w:sz="4" w:space="0" w:color="000000"/>
            </w:tcBorders>
          </w:tcPr>
          <w:p w14:paraId="2A13997A"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4 </w:t>
            </w:r>
          </w:p>
        </w:tc>
        <w:tc>
          <w:tcPr>
            <w:tcW w:w="2281" w:type="dxa"/>
            <w:tcBorders>
              <w:top w:val="single" w:sz="4" w:space="0" w:color="000000"/>
              <w:left w:val="single" w:sz="4" w:space="0" w:color="000000"/>
              <w:bottom w:val="single" w:sz="4" w:space="0" w:color="000000"/>
              <w:right w:val="single" w:sz="4" w:space="0" w:color="000000"/>
            </w:tcBorders>
          </w:tcPr>
          <w:p w14:paraId="4CF3B0DD"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100.000,01 – 1.000.000 </w:t>
            </w:r>
          </w:p>
        </w:tc>
        <w:tc>
          <w:tcPr>
            <w:tcW w:w="1966" w:type="dxa"/>
            <w:tcBorders>
              <w:top w:val="single" w:sz="4" w:space="0" w:color="000000"/>
              <w:left w:val="single" w:sz="4" w:space="0" w:color="000000"/>
              <w:bottom w:val="single" w:sz="4" w:space="0" w:color="000000"/>
              <w:right w:val="single" w:sz="4" w:space="0" w:color="000000"/>
            </w:tcBorders>
          </w:tcPr>
          <w:p w14:paraId="3BD4FC6E"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velika </w:t>
            </w:r>
          </w:p>
        </w:tc>
      </w:tr>
      <w:tr w:rsidR="00472217" w:rsidRPr="00472217" w14:paraId="25EF2E47" w14:textId="77777777" w:rsidTr="008546EC">
        <w:trPr>
          <w:trHeight w:val="293"/>
        </w:trPr>
        <w:tc>
          <w:tcPr>
            <w:tcW w:w="771" w:type="dxa"/>
            <w:tcBorders>
              <w:top w:val="single" w:sz="4" w:space="0" w:color="000000"/>
              <w:left w:val="single" w:sz="4" w:space="0" w:color="000000"/>
              <w:bottom w:val="single" w:sz="4" w:space="0" w:color="000000"/>
              <w:right w:val="single" w:sz="4" w:space="0" w:color="000000"/>
            </w:tcBorders>
          </w:tcPr>
          <w:p w14:paraId="0BC8865F"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5 </w:t>
            </w:r>
          </w:p>
        </w:tc>
        <w:tc>
          <w:tcPr>
            <w:tcW w:w="2281" w:type="dxa"/>
            <w:tcBorders>
              <w:top w:val="single" w:sz="4" w:space="0" w:color="000000"/>
              <w:left w:val="single" w:sz="4" w:space="0" w:color="000000"/>
              <w:bottom w:val="single" w:sz="4" w:space="0" w:color="000000"/>
              <w:right w:val="single" w:sz="4" w:space="0" w:color="000000"/>
            </w:tcBorders>
          </w:tcPr>
          <w:p w14:paraId="26D7AB2D"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&gt; 1.000.000 </w:t>
            </w:r>
          </w:p>
        </w:tc>
        <w:tc>
          <w:tcPr>
            <w:tcW w:w="1966" w:type="dxa"/>
            <w:tcBorders>
              <w:top w:val="single" w:sz="4" w:space="0" w:color="000000"/>
              <w:left w:val="single" w:sz="4" w:space="0" w:color="000000"/>
              <w:bottom w:val="single" w:sz="4" w:space="0" w:color="000000"/>
              <w:right w:val="single" w:sz="4" w:space="0" w:color="000000"/>
            </w:tcBorders>
          </w:tcPr>
          <w:p w14:paraId="3ACEADD2"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vrlo velika </w:t>
            </w:r>
          </w:p>
        </w:tc>
      </w:tr>
    </w:tbl>
    <w:p w14:paraId="63CF1D3A" w14:textId="77777777" w:rsidR="00472217" w:rsidRPr="008546EC" w:rsidRDefault="00472217" w:rsidP="00472217">
      <w:pPr>
        <w:spacing w:after="0" w:line="240" w:lineRule="auto"/>
        <w:ind w:left="0" w:right="0" w:firstLine="0"/>
        <w:jc w:val="center"/>
        <w:rPr>
          <w:rFonts w:ascii="Times New Roman" w:eastAsia="Cambria" w:hAnsi="Times New Roman" w:cs="Times New Roman"/>
          <w:i/>
          <w:sz w:val="20"/>
          <w:szCs w:val="20"/>
        </w:rPr>
      </w:pPr>
      <w:r w:rsidRPr="008546EC">
        <w:rPr>
          <w:rFonts w:ascii="Times New Roman" w:eastAsia="Cambria" w:hAnsi="Times New Roman" w:cs="Times New Roman"/>
          <w:b/>
          <w:i/>
          <w:sz w:val="20"/>
          <w:szCs w:val="20"/>
        </w:rPr>
        <w:t xml:space="preserve"> </w:t>
      </w:r>
      <w:r w:rsidRPr="008546EC">
        <w:rPr>
          <w:rFonts w:ascii="Times New Roman" w:eastAsia="Cambria" w:hAnsi="Times New Roman" w:cs="Times New Roman"/>
          <w:i/>
          <w:sz w:val="20"/>
          <w:szCs w:val="20"/>
        </w:rPr>
        <w:t>Izvor: Procjena rizika od katastrofa za Republiku Hrvatsku</w:t>
      </w:r>
    </w:p>
    <w:p w14:paraId="1BA12632" w14:textId="6BE0AB9B" w:rsidR="00472217" w:rsidRDefault="00472217" w:rsidP="00472217">
      <w:pPr>
        <w:spacing w:after="0" w:line="240" w:lineRule="auto"/>
        <w:ind w:left="0" w:right="0" w:firstLine="0"/>
        <w:rPr>
          <w:rFonts w:ascii="Times New Roman" w:eastAsia="Cambria" w:hAnsi="Times New Roman" w:cs="Times New Roman"/>
          <w:b/>
          <w:sz w:val="24"/>
          <w:szCs w:val="24"/>
        </w:rPr>
      </w:pPr>
    </w:p>
    <w:p w14:paraId="252443DC" w14:textId="1ADD6FA9" w:rsidR="00DB239D" w:rsidRDefault="00DB239D" w:rsidP="00472217">
      <w:pPr>
        <w:spacing w:after="0" w:line="240" w:lineRule="auto"/>
        <w:ind w:left="0" w:right="0" w:firstLine="0"/>
        <w:rPr>
          <w:rFonts w:ascii="Times New Roman" w:eastAsia="Cambria" w:hAnsi="Times New Roman" w:cs="Times New Roman"/>
          <w:b/>
          <w:sz w:val="24"/>
          <w:szCs w:val="24"/>
        </w:rPr>
      </w:pPr>
    </w:p>
    <w:p w14:paraId="3C11737F" w14:textId="0488A575" w:rsidR="004E1A7D" w:rsidRDefault="004E1A7D" w:rsidP="00472217">
      <w:pPr>
        <w:spacing w:after="0" w:line="240" w:lineRule="auto"/>
        <w:ind w:left="0" w:right="0" w:firstLine="0"/>
        <w:rPr>
          <w:rFonts w:ascii="Times New Roman" w:eastAsia="Cambria" w:hAnsi="Times New Roman" w:cs="Times New Roman"/>
          <w:b/>
          <w:sz w:val="24"/>
          <w:szCs w:val="24"/>
        </w:rPr>
      </w:pPr>
    </w:p>
    <w:p w14:paraId="09403693" w14:textId="7F7A5A4C" w:rsidR="004E1A7D" w:rsidRDefault="004E1A7D" w:rsidP="00472217">
      <w:pPr>
        <w:spacing w:after="0" w:line="240" w:lineRule="auto"/>
        <w:ind w:left="0" w:right="0" w:firstLine="0"/>
        <w:rPr>
          <w:rFonts w:ascii="Times New Roman" w:eastAsia="Cambria" w:hAnsi="Times New Roman" w:cs="Times New Roman"/>
          <w:b/>
          <w:sz w:val="24"/>
          <w:szCs w:val="24"/>
        </w:rPr>
      </w:pPr>
    </w:p>
    <w:p w14:paraId="13E71EF5" w14:textId="249B4E89" w:rsidR="004E1A7D" w:rsidRDefault="004E1A7D" w:rsidP="00472217">
      <w:pPr>
        <w:spacing w:after="0" w:line="240" w:lineRule="auto"/>
        <w:ind w:left="0" w:right="0" w:firstLine="0"/>
        <w:rPr>
          <w:rFonts w:ascii="Times New Roman" w:eastAsia="Cambria" w:hAnsi="Times New Roman" w:cs="Times New Roman"/>
          <w:b/>
          <w:sz w:val="24"/>
          <w:szCs w:val="24"/>
        </w:rPr>
      </w:pPr>
    </w:p>
    <w:p w14:paraId="752093B7" w14:textId="77777777" w:rsidR="004E1A7D" w:rsidRPr="00DB239D" w:rsidRDefault="004E1A7D" w:rsidP="00472217">
      <w:pPr>
        <w:spacing w:after="0" w:line="240" w:lineRule="auto"/>
        <w:ind w:left="0" w:right="0" w:firstLine="0"/>
        <w:rPr>
          <w:rFonts w:ascii="Times New Roman" w:eastAsia="Cambria" w:hAnsi="Times New Roman" w:cs="Times New Roman"/>
          <w:b/>
          <w:sz w:val="24"/>
          <w:szCs w:val="24"/>
        </w:rPr>
      </w:pPr>
    </w:p>
    <w:p w14:paraId="104303C4" w14:textId="02C5A50C" w:rsidR="00472217" w:rsidRPr="00C55B37" w:rsidRDefault="00472217" w:rsidP="00DB239D">
      <w:pPr>
        <w:spacing w:line="240" w:lineRule="auto"/>
        <w:ind w:left="0" w:right="0" w:firstLine="0"/>
        <w:jc w:val="center"/>
        <w:rPr>
          <w:rFonts w:ascii="Times New Roman" w:eastAsia="Cambria" w:hAnsi="Times New Roman" w:cs="Times New Roman"/>
          <w:color w:val="auto"/>
          <w:sz w:val="24"/>
          <w:szCs w:val="24"/>
        </w:rPr>
      </w:pPr>
      <w:r w:rsidRPr="00C55B37">
        <w:rPr>
          <w:rFonts w:ascii="Times New Roman" w:eastAsia="Cambria" w:hAnsi="Times New Roman" w:cs="Times New Roman"/>
          <w:b/>
          <w:color w:val="auto"/>
          <w:sz w:val="24"/>
          <w:szCs w:val="24"/>
        </w:rPr>
        <w:lastRenderedPageBreak/>
        <w:t xml:space="preserve">Tablica </w:t>
      </w:r>
      <w:r w:rsidR="00C55B37" w:rsidRPr="00C55B37">
        <w:rPr>
          <w:rFonts w:ascii="Times New Roman" w:eastAsia="Cambria" w:hAnsi="Times New Roman" w:cs="Times New Roman"/>
          <w:b/>
          <w:color w:val="auto"/>
          <w:sz w:val="24"/>
          <w:szCs w:val="24"/>
        </w:rPr>
        <w:t>126</w:t>
      </w:r>
      <w:r w:rsidRPr="00C55B37">
        <w:rPr>
          <w:rFonts w:ascii="Times New Roman" w:eastAsia="Cambria" w:hAnsi="Times New Roman" w:cs="Times New Roman"/>
          <w:b/>
          <w:color w:val="auto"/>
          <w:sz w:val="24"/>
          <w:szCs w:val="24"/>
        </w:rPr>
        <w:t>. Terminologija za opis brzine klizišta (Hungr, 1981; WP/WLI, 1995)</w:t>
      </w:r>
    </w:p>
    <w:tbl>
      <w:tblPr>
        <w:tblStyle w:val="TableGrid9"/>
        <w:tblW w:w="8911" w:type="dxa"/>
        <w:tblInd w:w="248" w:type="dxa"/>
        <w:tblCellMar>
          <w:left w:w="107" w:type="dxa"/>
          <w:right w:w="70" w:type="dxa"/>
        </w:tblCellMar>
        <w:tblLook w:val="04A0" w:firstRow="1" w:lastRow="0" w:firstColumn="1" w:lastColumn="0" w:noHBand="0" w:noVBand="1"/>
      </w:tblPr>
      <w:tblGrid>
        <w:gridCol w:w="765"/>
        <w:gridCol w:w="1266"/>
        <w:gridCol w:w="1938"/>
        <w:gridCol w:w="1374"/>
        <w:gridCol w:w="3568"/>
      </w:tblGrid>
      <w:tr w:rsidR="00472217" w:rsidRPr="00472217" w14:paraId="12B3C881" w14:textId="77777777" w:rsidTr="00284074">
        <w:trPr>
          <w:trHeight w:val="292"/>
        </w:trPr>
        <w:tc>
          <w:tcPr>
            <w:tcW w:w="765" w:type="dxa"/>
            <w:vMerge w:val="restart"/>
            <w:tcBorders>
              <w:top w:val="single" w:sz="4" w:space="0" w:color="000000"/>
              <w:left w:val="single" w:sz="4" w:space="0" w:color="000000"/>
              <w:bottom w:val="nil"/>
              <w:right w:val="single" w:sz="4" w:space="0" w:color="000000"/>
            </w:tcBorders>
            <w:shd w:val="clear" w:color="auto" w:fill="FFC000"/>
            <w:vAlign w:val="bottom"/>
          </w:tcPr>
          <w:p w14:paraId="31A818A1" w14:textId="7B4C0DC9" w:rsidR="00472217" w:rsidRPr="00472217" w:rsidRDefault="00472217" w:rsidP="00472217">
            <w:pPr>
              <w:spacing w:after="0" w:line="240" w:lineRule="auto"/>
              <w:ind w:left="0" w:right="0" w:firstLine="0"/>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 </w:t>
            </w:r>
            <w:r w:rsidRPr="00472217">
              <w:rPr>
                <w:rFonts w:ascii="Times New Roman" w:eastAsia="Cambria" w:hAnsi="Times New Roman" w:cs="Times New Roman"/>
                <w:b/>
                <w:sz w:val="24"/>
                <w:szCs w:val="24"/>
              </w:rPr>
              <w:t xml:space="preserve">Klasa </w:t>
            </w:r>
          </w:p>
        </w:tc>
        <w:tc>
          <w:tcPr>
            <w:tcW w:w="1266" w:type="dxa"/>
            <w:tcBorders>
              <w:top w:val="single" w:sz="4" w:space="0" w:color="000000"/>
              <w:left w:val="single" w:sz="4" w:space="0" w:color="000000"/>
              <w:bottom w:val="single" w:sz="4" w:space="0" w:color="000000"/>
              <w:right w:val="nil"/>
            </w:tcBorders>
            <w:shd w:val="clear" w:color="auto" w:fill="FFC000"/>
          </w:tcPr>
          <w:p w14:paraId="18C594F5"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c>
          <w:tcPr>
            <w:tcW w:w="1938" w:type="dxa"/>
            <w:tcBorders>
              <w:top w:val="single" w:sz="4" w:space="0" w:color="000000"/>
              <w:left w:val="nil"/>
              <w:bottom w:val="single" w:sz="4" w:space="0" w:color="000000"/>
              <w:right w:val="nil"/>
            </w:tcBorders>
            <w:shd w:val="clear" w:color="auto" w:fill="FFC000"/>
          </w:tcPr>
          <w:p w14:paraId="6EF044E1"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b/>
                <w:sz w:val="24"/>
                <w:szCs w:val="24"/>
              </w:rPr>
              <w:t xml:space="preserve">Brzina gibanja </w:t>
            </w:r>
          </w:p>
        </w:tc>
        <w:tc>
          <w:tcPr>
            <w:tcW w:w="1374" w:type="dxa"/>
            <w:tcBorders>
              <w:top w:val="single" w:sz="4" w:space="0" w:color="000000"/>
              <w:left w:val="nil"/>
              <w:bottom w:val="single" w:sz="4" w:space="0" w:color="000000"/>
              <w:right w:val="single" w:sz="4" w:space="0" w:color="000000"/>
            </w:tcBorders>
            <w:shd w:val="clear" w:color="auto" w:fill="FFC000"/>
          </w:tcPr>
          <w:p w14:paraId="128F6FB1"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c>
          <w:tcPr>
            <w:tcW w:w="3568" w:type="dxa"/>
            <w:vMerge w:val="restart"/>
            <w:tcBorders>
              <w:top w:val="single" w:sz="4" w:space="0" w:color="000000"/>
              <w:left w:val="single" w:sz="4" w:space="0" w:color="000000"/>
              <w:bottom w:val="nil"/>
              <w:right w:val="single" w:sz="4" w:space="0" w:color="000000"/>
            </w:tcBorders>
            <w:shd w:val="clear" w:color="auto" w:fill="FFC000"/>
            <w:vAlign w:val="bottom"/>
          </w:tcPr>
          <w:p w14:paraId="23BC87D5"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b/>
                <w:sz w:val="24"/>
                <w:szCs w:val="24"/>
              </w:rPr>
              <w:t xml:space="preserve">Mjere ublažavanja opasnosti </w:t>
            </w:r>
          </w:p>
        </w:tc>
      </w:tr>
      <w:tr w:rsidR="00472217" w:rsidRPr="00472217" w14:paraId="604E8DE1" w14:textId="77777777" w:rsidTr="00284074">
        <w:trPr>
          <w:trHeight w:val="86"/>
        </w:trPr>
        <w:tc>
          <w:tcPr>
            <w:tcW w:w="0" w:type="auto"/>
            <w:vMerge/>
            <w:tcBorders>
              <w:top w:val="nil"/>
              <w:left w:val="single" w:sz="4" w:space="0" w:color="000000"/>
              <w:bottom w:val="nil"/>
              <w:right w:val="single" w:sz="4" w:space="0" w:color="000000"/>
            </w:tcBorders>
          </w:tcPr>
          <w:p w14:paraId="161FB357"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c>
          <w:tcPr>
            <w:tcW w:w="1266" w:type="dxa"/>
            <w:tcBorders>
              <w:top w:val="single" w:sz="4" w:space="0" w:color="000000"/>
              <w:left w:val="single" w:sz="4" w:space="0" w:color="000000"/>
              <w:bottom w:val="nil"/>
              <w:right w:val="single" w:sz="4" w:space="0" w:color="000000"/>
            </w:tcBorders>
            <w:shd w:val="clear" w:color="auto" w:fill="FFC000"/>
          </w:tcPr>
          <w:p w14:paraId="592FC61A"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c>
          <w:tcPr>
            <w:tcW w:w="1938" w:type="dxa"/>
            <w:tcBorders>
              <w:top w:val="single" w:sz="4" w:space="0" w:color="000000"/>
              <w:left w:val="single" w:sz="4" w:space="0" w:color="000000"/>
              <w:bottom w:val="nil"/>
              <w:right w:val="single" w:sz="4" w:space="0" w:color="000000"/>
            </w:tcBorders>
            <w:shd w:val="clear" w:color="auto" w:fill="FFC000"/>
          </w:tcPr>
          <w:p w14:paraId="18CFC7D0"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c>
          <w:tcPr>
            <w:tcW w:w="1374" w:type="dxa"/>
            <w:tcBorders>
              <w:top w:val="single" w:sz="4" w:space="0" w:color="000000"/>
              <w:left w:val="single" w:sz="4" w:space="0" w:color="000000"/>
              <w:bottom w:val="nil"/>
              <w:right w:val="single" w:sz="4" w:space="0" w:color="000000"/>
            </w:tcBorders>
            <w:shd w:val="clear" w:color="auto" w:fill="FFC000"/>
          </w:tcPr>
          <w:p w14:paraId="76312D68"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c>
          <w:tcPr>
            <w:tcW w:w="0" w:type="auto"/>
            <w:vMerge/>
            <w:tcBorders>
              <w:top w:val="nil"/>
              <w:left w:val="single" w:sz="4" w:space="0" w:color="000000"/>
              <w:bottom w:val="nil"/>
              <w:right w:val="single" w:sz="4" w:space="0" w:color="000000"/>
            </w:tcBorders>
          </w:tcPr>
          <w:p w14:paraId="57A7ED7C"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r>
      <w:tr w:rsidR="00472217" w:rsidRPr="00472217" w14:paraId="5551C9C5" w14:textId="77777777" w:rsidTr="00284074">
        <w:trPr>
          <w:trHeight w:val="206"/>
        </w:trPr>
        <w:tc>
          <w:tcPr>
            <w:tcW w:w="765" w:type="dxa"/>
            <w:tcBorders>
              <w:top w:val="nil"/>
              <w:left w:val="single" w:sz="4" w:space="0" w:color="000000"/>
              <w:bottom w:val="single" w:sz="4" w:space="0" w:color="000000"/>
              <w:right w:val="single" w:sz="4" w:space="0" w:color="000000"/>
            </w:tcBorders>
            <w:shd w:val="clear" w:color="auto" w:fill="FFC000"/>
          </w:tcPr>
          <w:p w14:paraId="40A5D6CA"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c>
          <w:tcPr>
            <w:tcW w:w="1266" w:type="dxa"/>
            <w:tcBorders>
              <w:top w:val="nil"/>
              <w:left w:val="single" w:sz="4" w:space="0" w:color="000000"/>
              <w:bottom w:val="single" w:sz="4" w:space="0" w:color="000000"/>
              <w:right w:val="single" w:sz="4" w:space="0" w:color="000000"/>
            </w:tcBorders>
            <w:shd w:val="clear" w:color="auto" w:fill="FFC000"/>
          </w:tcPr>
          <w:p w14:paraId="352DEC5C"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b/>
                <w:sz w:val="24"/>
                <w:szCs w:val="24"/>
              </w:rPr>
              <w:t xml:space="preserve">mm/s </w:t>
            </w:r>
          </w:p>
        </w:tc>
        <w:tc>
          <w:tcPr>
            <w:tcW w:w="1938" w:type="dxa"/>
            <w:tcBorders>
              <w:top w:val="nil"/>
              <w:left w:val="single" w:sz="4" w:space="0" w:color="000000"/>
              <w:bottom w:val="single" w:sz="4" w:space="0" w:color="000000"/>
              <w:right w:val="single" w:sz="4" w:space="0" w:color="000000"/>
            </w:tcBorders>
            <w:shd w:val="clear" w:color="auto" w:fill="FFC000"/>
          </w:tcPr>
          <w:p w14:paraId="3DD14B41"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b/>
                <w:sz w:val="24"/>
                <w:szCs w:val="24"/>
              </w:rPr>
              <w:t xml:space="preserve">različite jedinice </w:t>
            </w:r>
          </w:p>
        </w:tc>
        <w:tc>
          <w:tcPr>
            <w:tcW w:w="1374" w:type="dxa"/>
            <w:tcBorders>
              <w:top w:val="nil"/>
              <w:left w:val="single" w:sz="4" w:space="0" w:color="000000"/>
              <w:bottom w:val="single" w:sz="4" w:space="0" w:color="000000"/>
              <w:right w:val="single" w:sz="4" w:space="0" w:color="000000"/>
            </w:tcBorders>
            <w:shd w:val="clear" w:color="auto" w:fill="FFC000"/>
          </w:tcPr>
          <w:p w14:paraId="2140E18B"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b/>
                <w:sz w:val="24"/>
                <w:szCs w:val="24"/>
              </w:rPr>
              <w:t xml:space="preserve">Opis </w:t>
            </w:r>
          </w:p>
        </w:tc>
        <w:tc>
          <w:tcPr>
            <w:tcW w:w="3568" w:type="dxa"/>
            <w:tcBorders>
              <w:top w:val="nil"/>
              <w:left w:val="single" w:sz="4" w:space="0" w:color="000000"/>
              <w:bottom w:val="single" w:sz="4" w:space="0" w:color="000000"/>
              <w:right w:val="single" w:sz="4" w:space="0" w:color="000000"/>
            </w:tcBorders>
            <w:shd w:val="clear" w:color="auto" w:fill="FFC000"/>
          </w:tcPr>
          <w:p w14:paraId="51195EAC"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r>
      <w:tr w:rsidR="00472217" w:rsidRPr="00472217" w14:paraId="3CCC5D75" w14:textId="77777777" w:rsidTr="00284074">
        <w:trPr>
          <w:trHeight w:val="294"/>
        </w:trPr>
        <w:tc>
          <w:tcPr>
            <w:tcW w:w="765" w:type="dxa"/>
            <w:tcBorders>
              <w:top w:val="single" w:sz="4" w:space="0" w:color="000000"/>
              <w:left w:val="single" w:sz="4" w:space="0" w:color="000000"/>
              <w:bottom w:val="single" w:sz="4" w:space="0" w:color="000000"/>
              <w:right w:val="single" w:sz="4" w:space="0" w:color="000000"/>
            </w:tcBorders>
          </w:tcPr>
          <w:p w14:paraId="3DB669E0"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7 </w:t>
            </w:r>
          </w:p>
        </w:tc>
        <w:tc>
          <w:tcPr>
            <w:tcW w:w="1266" w:type="dxa"/>
            <w:tcBorders>
              <w:top w:val="single" w:sz="4" w:space="0" w:color="000000"/>
              <w:left w:val="single" w:sz="4" w:space="0" w:color="000000"/>
              <w:bottom w:val="single" w:sz="4" w:space="0" w:color="000000"/>
              <w:right w:val="single" w:sz="4" w:space="0" w:color="000000"/>
            </w:tcBorders>
          </w:tcPr>
          <w:p w14:paraId="1A089204"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5×10</w:t>
            </w:r>
            <w:r w:rsidRPr="00472217">
              <w:rPr>
                <w:rFonts w:ascii="Times New Roman" w:eastAsia="Cambria" w:hAnsi="Times New Roman" w:cs="Times New Roman"/>
                <w:sz w:val="24"/>
                <w:szCs w:val="24"/>
                <w:vertAlign w:val="superscript"/>
              </w:rPr>
              <w:t>3</w:t>
            </w:r>
            <w:r w:rsidRPr="00472217">
              <w:rPr>
                <w:rFonts w:ascii="Times New Roman" w:eastAsia="Cambria" w:hAnsi="Times New Roman" w:cs="Times New Roman"/>
                <w:sz w:val="24"/>
                <w:szCs w:val="24"/>
              </w:rPr>
              <w:t xml:space="preserve"> ili više </w:t>
            </w:r>
          </w:p>
        </w:tc>
        <w:tc>
          <w:tcPr>
            <w:tcW w:w="1938" w:type="dxa"/>
            <w:tcBorders>
              <w:top w:val="single" w:sz="4" w:space="0" w:color="000000"/>
              <w:left w:val="single" w:sz="4" w:space="0" w:color="000000"/>
              <w:bottom w:val="single" w:sz="4" w:space="0" w:color="000000"/>
              <w:right w:val="single" w:sz="4" w:space="0" w:color="000000"/>
            </w:tcBorders>
          </w:tcPr>
          <w:p w14:paraId="55D65C8C"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5 m/s ili veća </w:t>
            </w:r>
          </w:p>
        </w:tc>
        <w:tc>
          <w:tcPr>
            <w:tcW w:w="1374" w:type="dxa"/>
            <w:tcBorders>
              <w:top w:val="single" w:sz="4" w:space="0" w:color="000000"/>
              <w:left w:val="single" w:sz="4" w:space="0" w:color="000000"/>
              <w:bottom w:val="single" w:sz="4" w:space="0" w:color="000000"/>
              <w:right w:val="single" w:sz="4" w:space="0" w:color="000000"/>
            </w:tcBorders>
          </w:tcPr>
          <w:p w14:paraId="1BA95070"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ekstremno brzo </w:t>
            </w:r>
          </w:p>
        </w:tc>
        <w:tc>
          <w:tcPr>
            <w:tcW w:w="3568" w:type="dxa"/>
            <w:vMerge w:val="restart"/>
            <w:tcBorders>
              <w:top w:val="single" w:sz="4" w:space="0" w:color="000000"/>
              <w:left w:val="single" w:sz="4" w:space="0" w:color="000000"/>
              <w:bottom w:val="nil"/>
              <w:right w:val="single" w:sz="4" w:space="0" w:color="000000"/>
            </w:tcBorders>
            <w:vAlign w:val="bottom"/>
          </w:tcPr>
          <w:p w14:paraId="497F898A"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nije moguća primjena </w:t>
            </w:r>
          </w:p>
        </w:tc>
      </w:tr>
      <w:tr w:rsidR="00472217" w:rsidRPr="00472217" w14:paraId="4982FE8B" w14:textId="77777777" w:rsidTr="00284074">
        <w:trPr>
          <w:trHeight w:val="86"/>
        </w:trPr>
        <w:tc>
          <w:tcPr>
            <w:tcW w:w="765" w:type="dxa"/>
            <w:tcBorders>
              <w:top w:val="single" w:sz="4" w:space="0" w:color="000000"/>
              <w:left w:val="single" w:sz="4" w:space="0" w:color="000000"/>
              <w:bottom w:val="nil"/>
              <w:right w:val="single" w:sz="4" w:space="0" w:color="000000"/>
            </w:tcBorders>
          </w:tcPr>
          <w:p w14:paraId="072A21AE"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c>
          <w:tcPr>
            <w:tcW w:w="1266" w:type="dxa"/>
            <w:tcBorders>
              <w:top w:val="single" w:sz="4" w:space="0" w:color="000000"/>
              <w:left w:val="single" w:sz="4" w:space="0" w:color="000000"/>
              <w:bottom w:val="nil"/>
              <w:right w:val="single" w:sz="4" w:space="0" w:color="000000"/>
            </w:tcBorders>
          </w:tcPr>
          <w:p w14:paraId="765AD152"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c>
          <w:tcPr>
            <w:tcW w:w="1938" w:type="dxa"/>
            <w:tcBorders>
              <w:top w:val="single" w:sz="4" w:space="0" w:color="000000"/>
              <w:left w:val="single" w:sz="4" w:space="0" w:color="000000"/>
              <w:bottom w:val="nil"/>
              <w:right w:val="single" w:sz="4" w:space="0" w:color="000000"/>
            </w:tcBorders>
          </w:tcPr>
          <w:p w14:paraId="151D3113"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c>
          <w:tcPr>
            <w:tcW w:w="1374" w:type="dxa"/>
            <w:tcBorders>
              <w:top w:val="single" w:sz="4" w:space="0" w:color="000000"/>
              <w:left w:val="single" w:sz="4" w:space="0" w:color="000000"/>
              <w:bottom w:val="nil"/>
              <w:right w:val="single" w:sz="4" w:space="0" w:color="000000"/>
            </w:tcBorders>
          </w:tcPr>
          <w:p w14:paraId="1BF06A2A"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c>
          <w:tcPr>
            <w:tcW w:w="0" w:type="auto"/>
            <w:vMerge/>
            <w:tcBorders>
              <w:top w:val="nil"/>
              <w:left w:val="single" w:sz="4" w:space="0" w:color="000000"/>
              <w:bottom w:val="nil"/>
              <w:right w:val="single" w:sz="4" w:space="0" w:color="000000"/>
            </w:tcBorders>
          </w:tcPr>
          <w:p w14:paraId="712592F0"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r>
      <w:tr w:rsidR="00472217" w:rsidRPr="00472217" w14:paraId="3705280D" w14:textId="77777777" w:rsidTr="00284074">
        <w:trPr>
          <w:trHeight w:val="207"/>
        </w:trPr>
        <w:tc>
          <w:tcPr>
            <w:tcW w:w="765" w:type="dxa"/>
            <w:tcBorders>
              <w:top w:val="nil"/>
              <w:left w:val="single" w:sz="4" w:space="0" w:color="000000"/>
              <w:bottom w:val="single" w:sz="4" w:space="0" w:color="000000"/>
              <w:right w:val="single" w:sz="4" w:space="0" w:color="000000"/>
            </w:tcBorders>
          </w:tcPr>
          <w:p w14:paraId="416BEFFD"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6 </w:t>
            </w:r>
          </w:p>
        </w:tc>
        <w:tc>
          <w:tcPr>
            <w:tcW w:w="1266" w:type="dxa"/>
            <w:tcBorders>
              <w:top w:val="nil"/>
              <w:left w:val="single" w:sz="4" w:space="0" w:color="000000"/>
              <w:bottom w:val="single" w:sz="4" w:space="0" w:color="000000"/>
              <w:right w:val="single" w:sz="4" w:space="0" w:color="000000"/>
            </w:tcBorders>
          </w:tcPr>
          <w:p w14:paraId="64E2A06A"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r w:rsidRPr="00472217">
              <w:rPr>
                <w:rFonts w:ascii="Times New Roman" w:eastAsia="Cambria" w:hAnsi="Times New Roman" w:cs="Times New Roman"/>
                <w:sz w:val="24"/>
                <w:szCs w:val="24"/>
              </w:rPr>
              <w:t>5×10</w:t>
            </w:r>
            <w:r w:rsidRPr="00472217">
              <w:rPr>
                <w:rFonts w:ascii="Times New Roman" w:eastAsia="Cambria" w:hAnsi="Times New Roman" w:cs="Times New Roman"/>
                <w:sz w:val="24"/>
                <w:szCs w:val="24"/>
                <w:vertAlign w:val="superscript"/>
              </w:rPr>
              <w:t>1</w:t>
            </w:r>
            <w:r w:rsidRPr="00472217">
              <w:rPr>
                <w:rFonts w:ascii="Times New Roman" w:eastAsia="Cambria" w:hAnsi="Times New Roman" w:cs="Times New Roman"/>
                <w:sz w:val="24"/>
                <w:szCs w:val="24"/>
              </w:rPr>
              <w:t xml:space="preserve"> ~ 5×10</w:t>
            </w:r>
            <w:r w:rsidRPr="00472217">
              <w:rPr>
                <w:rFonts w:ascii="Times New Roman" w:eastAsia="Cambria" w:hAnsi="Times New Roman" w:cs="Times New Roman"/>
                <w:sz w:val="24"/>
                <w:szCs w:val="24"/>
                <w:vertAlign w:val="superscript"/>
              </w:rPr>
              <w:t>3</w:t>
            </w:r>
            <w:r w:rsidRPr="00472217">
              <w:rPr>
                <w:rFonts w:ascii="Times New Roman" w:eastAsia="Cambria" w:hAnsi="Times New Roman" w:cs="Times New Roman"/>
                <w:sz w:val="24"/>
                <w:szCs w:val="24"/>
              </w:rPr>
              <w:t xml:space="preserve"> </w:t>
            </w:r>
          </w:p>
        </w:tc>
        <w:tc>
          <w:tcPr>
            <w:tcW w:w="1938" w:type="dxa"/>
            <w:tcBorders>
              <w:top w:val="nil"/>
              <w:left w:val="single" w:sz="4" w:space="0" w:color="000000"/>
              <w:bottom w:val="single" w:sz="4" w:space="0" w:color="000000"/>
              <w:right w:val="single" w:sz="4" w:space="0" w:color="000000"/>
            </w:tcBorders>
          </w:tcPr>
          <w:p w14:paraId="6530E4BD"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3 m/min ~5 m/s </w:t>
            </w:r>
          </w:p>
        </w:tc>
        <w:tc>
          <w:tcPr>
            <w:tcW w:w="1374" w:type="dxa"/>
            <w:tcBorders>
              <w:top w:val="nil"/>
              <w:left w:val="single" w:sz="4" w:space="0" w:color="000000"/>
              <w:bottom w:val="single" w:sz="4" w:space="0" w:color="000000"/>
              <w:right w:val="single" w:sz="4" w:space="0" w:color="000000"/>
            </w:tcBorders>
          </w:tcPr>
          <w:p w14:paraId="1FC40586"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vrlo brzo </w:t>
            </w:r>
          </w:p>
        </w:tc>
        <w:tc>
          <w:tcPr>
            <w:tcW w:w="3568" w:type="dxa"/>
            <w:tcBorders>
              <w:top w:val="nil"/>
              <w:left w:val="single" w:sz="4" w:space="0" w:color="000000"/>
              <w:bottom w:val="single" w:sz="4" w:space="0" w:color="000000"/>
              <w:right w:val="single" w:sz="4" w:space="0" w:color="000000"/>
            </w:tcBorders>
          </w:tcPr>
          <w:p w14:paraId="3E149782"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r>
      <w:tr w:rsidR="00472217" w:rsidRPr="00472217" w14:paraId="43D48337" w14:textId="77777777" w:rsidTr="00284074">
        <w:trPr>
          <w:trHeight w:val="293"/>
        </w:trPr>
        <w:tc>
          <w:tcPr>
            <w:tcW w:w="765" w:type="dxa"/>
            <w:tcBorders>
              <w:top w:val="single" w:sz="4" w:space="0" w:color="000000"/>
              <w:left w:val="single" w:sz="4" w:space="0" w:color="000000"/>
              <w:bottom w:val="single" w:sz="4" w:space="0" w:color="000000"/>
              <w:right w:val="single" w:sz="4" w:space="0" w:color="000000"/>
            </w:tcBorders>
          </w:tcPr>
          <w:p w14:paraId="5BDE3BAF"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5 </w:t>
            </w:r>
          </w:p>
        </w:tc>
        <w:tc>
          <w:tcPr>
            <w:tcW w:w="1266" w:type="dxa"/>
            <w:tcBorders>
              <w:top w:val="single" w:sz="4" w:space="0" w:color="000000"/>
              <w:left w:val="single" w:sz="4" w:space="0" w:color="000000"/>
              <w:bottom w:val="single" w:sz="4" w:space="0" w:color="000000"/>
              <w:right w:val="single" w:sz="4" w:space="0" w:color="000000"/>
            </w:tcBorders>
          </w:tcPr>
          <w:p w14:paraId="77A494EB"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r w:rsidRPr="00472217">
              <w:rPr>
                <w:rFonts w:ascii="Times New Roman" w:eastAsia="Cambria" w:hAnsi="Times New Roman" w:cs="Times New Roman"/>
                <w:sz w:val="24"/>
                <w:szCs w:val="24"/>
              </w:rPr>
              <w:t>5×10</w:t>
            </w:r>
            <w:r w:rsidRPr="00472217">
              <w:rPr>
                <w:rFonts w:ascii="Times New Roman" w:eastAsia="Cambria" w:hAnsi="Times New Roman" w:cs="Times New Roman"/>
                <w:sz w:val="24"/>
                <w:szCs w:val="24"/>
                <w:vertAlign w:val="superscript"/>
              </w:rPr>
              <w:t>-1</w:t>
            </w:r>
            <w:r w:rsidRPr="00472217">
              <w:rPr>
                <w:rFonts w:ascii="Times New Roman" w:eastAsia="Cambria" w:hAnsi="Times New Roman" w:cs="Times New Roman"/>
                <w:sz w:val="24"/>
                <w:szCs w:val="24"/>
              </w:rPr>
              <w:t xml:space="preserve"> ~ 5×10</w:t>
            </w:r>
            <w:r w:rsidRPr="00472217">
              <w:rPr>
                <w:rFonts w:ascii="Times New Roman" w:eastAsia="Cambria" w:hAnsi="Times New Roman" w:cs="Times New Roman"/>
                <w:sz w:val="24"/>
                <w:szCs w:val="24"/>
                <w:vertAlign w:val="superscript"/>
              </w:rPr>
              <w:t>1</w:t>
            </w:r>
            <w:r w:rsidRPr="00472217">
              <w:rPr>
                <w:rFonts w:ascii="Times New Roman" w:eastAsia="Cambria" w:hAnsi="Times New Roman" w:cs="Times New Roman"/>
                <w:sz w:val="24"/>
                <w:szCs w:val="24"/>
              </w:rPr>
              <w:t xml:space="preserve"> </w:t>
            </w:r>
          </w:p>
        </w:tc>
        <w:tc>
          <w:tcPr>
            <w:tcW w:w="1938" w:type="dxa"/>
            <w:tcBorders>
              <w:top w:val="single" w:sz="4" w:space="0" w:color="000000"/>
              <w:left w:val="single" w:sz="4" w:space="0" w:color="000000"/>
              <w:bottom w:val="single" w:sz="4" w:space="0" w:color="000000"/>
              <w:right w:val="single" w:sz="4" w:space="0" w:color="000000"/>
            </w:tcBorders>
          </w:tcPr>
          <w:p w14:paraId="7FF1EE3C"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1,8 m/h ~ 3 m/min </w:t>
            </w:r>
          </w:p>
        </w:tc>
        <w:tc>
          <w:tcPr>
            <w:tcW w:w="1374" w:type="dxa"/>
            <w:tcBorders>
              <w:top w:val="single" w:sz="4" w:space="0" w:color="000000"/>
              <w:left w:val="single" w:sz="4" w:space="0" w:color="000000"/>
              <w:bottom w:val="single" w:sz="4" w:space="0" w:color="000000"/>
              <w:right w:val="single" w:sz="4" w:space="0" w:color="000000"/>
            </w:tcBorders>
          </w:tcPr>
          <w:p w14:paraId="7F4D5F2A"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brzo </w:t>
            </w:r>
          </w:p>
        </w:tc>
        <w:tc>
          <w:tcPr>
            <w:tcW w:w="3568" w:type="dxa"/>
            <w:vMerge w:val="restart"/>
            <w:tcBorders>
              <w:top w:val="single" w:sz="4" w:space="0" w:color="000000"/>
              <w:left w:val="single" w:sz="4" w:space="0" w:color="000000"/>
              <w:bottom w:val="nil"/>
              <w:right w:val="single" w:sz="4" w:space="0" w:color="000000"/>
            </w:tcBorders>
            <w:vAlign w:val="bottom"/>
          </w:tcPr>
          <w:p w14:paraId="5648D9B3"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evakuacija stanovništva </w:t>
            </w:r>
          </w:p>
        </w:tc>
      </w:tr>
      <w:tr w:rsidR="00472217" w:rsidRPr="00472217" w14:paraId="59706DA3" w14:textId="77777777" w:rsidTr="00284074">
        <w:trPr>
          <w:trHeight w:val="86"/>
        </w:trPr>
        <w:tc>
          <w:tcPr>
            <w:tcW w:w="765" w:type="dxa"/>
            <w:tcBorders>
              <w:top w:val="single" w:sz="4" w:space="0" w:color="000000"/>
              <w:left w:val="single" w:sz="4" w:space="0" w:color="000000"/>
              <w:bottom w:val="nil"/>
              <w:right w:val="single" w:sz="4" w:space="0" w:color="000000"/>
            </w:tcBorders>
          </w:tcPr>
          <w:p w14:paraId="4ABAB0FE"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c>
          <w:tcPr>
            <w:tcW w:w="1266" w:type="dxa"/>
            <w:tcBorders>
              <w:top w:val="single" w:sz="4" w:space="0" w:color="000000"/>
              <w:left w:val="single" w:sz="4" w:space="0" w:color="000000"/>
              <w:bottom w:val="nil"/>
              <w:right w:val="single" w:sz="4" w:space="0" w:color="000000"/>
            </w:tcBorders>
          </w:tcPr>
          <w:p w14:paraId="7724DC35"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c>
          <w:tcPr>
            <w:tcW w:w="1938" w:type="dxa"/>
            <w:tcBorders>
              <w:top w:val="single" w:sz="4" w:space="0" w:color="000000"/>
              <w:left w:val="single" w:sz="4" w:space="0" w:color="000000"/>
              <w:bottom w:val="nil"/>
              <w:right w:val="single" w:sz="4" w:space="0" w:color="000000"/>
            </w:tcBorders>
          </w:tcPr>
          <w:p w14:paraId="5C20D896"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c>
          <w:tcPr>
            <w:tcW w:w="1374" w:type="dxa"/>
            <w:tcBorders>
              <w:top w:val="single" w:sz="4" w:space="0" w:color="000000"/>
              <w:left w:val="single" w:sz="4" w:space="0" w:color="000000"/>
              <w:bottom w:val="nil"/>
              <w:right w:val="single" w:sz="4" w:space="0" w:color="000000"/>
            </w:tcBorders>
          </w:tcPr>
          <w:p w14:paraId="7321CBBB"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c>
          <w:tcPr>
            <w:tcW w:w="0" w:type="auto"/>
            <w:vMerge/>
            <w:tcBorders>
              <w:top w:val="nil"/>
              <w:left w:val="single" w:sz="4" w:space="0" w:color="000000"/>
              <w:bottom w:val="nil"/>
              <w:right w:val="single" w:sz="4" w:space="0" w:color="000000"/>
            </w:tcBorders>
          </w:tcPr>
          <w:p w14:paraId="7291AB95"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r>
      <w:tr w:rsidR="00472217" w:rsidRPr="00472217" w14:paraId="2AE992CA" w14:textId="77777777" w:rsidTr="00284074">
        <w:trPr>
          <w:trHeight w:val="207"/>
        </w:trPr>
        <w:tc>
          <w:tcPr>
            <w:tcW w:w="765" w:type="dxa"/>
            <w:tcBorders>
              <w:top w:val="nil"/>
              <w:left w:val="single" w:sz="4" w:space="0" w:color="000000"/>
              <w:bottom w:val="single" w:sz="4" w:space="0" w:color="000000"/>
              <w:right w:val="single" w:sz="4" w:space="0" w:color="000000"/>
            </w:tcBorders>
          </w:tcPr>
          <w:p w14:paraId="492ADF74"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4 </w:t>
            </w:r>
          </w:p>
        </w:tc>
        <w:tc>
          <w:tcPr>
            <w:tcW w:w="1266" w:type="dxa"/>
            <w:tcBorders>
              <w:top w:val="nil"/>
              <w:left w:val="single" w:sz="4" w:space="0" w:color="000000"/>
              <w:bottom w:val="single" w:sz="4" w:space="0" w:color="000000"/>
              <w:right w:val="single" w:sz="4" w:space="0" w:color="000000"/>
            </w:tcBorders>
          </w:tcPr>
          <w:p w14:paraId="0CCB4BCC"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r w:rsidRPr="00472217">
              <w:rPr>
                <w:rFonts w:ascii="Times New Roman" w:eastAsia="Cambria" w:hAnsi="Times New Roman" w:cs="Times New Roman"/>
                <w:sz w:val="24"/>
                <w:szCs w:val="24"/>
              </w:rPr>
              <w:t>5×10</w:t>
            </w:r>
            <w:r w:rsidRPr="00472217">
              <w:rPr>
                <w:rFonts w:ascii="Times New Roman" w:eastAsia="Cambria" w:hAnsi="Times New Roman" w:cs="Times New Roman"/>
                <w:sz w:val="24"/>
                <w:szCs w:val="24"/>
                <w:vertAlign w:val="superscript"/>
              </w:rPr>
              <w:t>-3</w:t>
            </w:r>
            <w:r w:rsidRPr="00472217">
              <w:rPr>
                <w:rFonts w:ascii="Times New Roman" w:eastAsia="Cambria" w:hAnsi="Times New Roman" w:cs="Times New Roman"/>
                <w:sz w:val="24"/>
                <w:szCs w:val="24"/>
              </w:rPr>
              <w:t xml:space="preserve"> ~ 5×10</w:t>
            </w:r>
            <w:r w:rsidRPr="00472217">
              <w:rPr>
                <w:rFonts w:ascii="Times New Roman" w:eastAsia="Cambria" w:hAnsi="Times New Roman" w:cs="Times New Roman"/>
                <w:sz w:val="24"/>
                <w:szCs w:val="24"/>
                <w:vertAlign w:val="superscript"/>
              </w:rPr>
              <w:t>-1</w:t>
            </w:r>
            <w:r w:rsidRPr="00472217">
              <w:rPr>
                <w:rFonts w:ascii="Times New Roman" w:eastAsia="Cambria" w:hAnsi="Times New Roman" w:cs="Times New Roman"/>
                <w:sz w:val="24"/>
                <w:szCs w:val="24"/>
              </w:rPr>
              <w:t xml:space="preserve"> </w:t>
            </w:r>
          </w:p>
        </w:tc>
        <w:tc>
          <w:tcPr>
            <w:tcW w:w="1938" w:type="dxa"/>
            <w:tcBorders>
              <w:top w:val="nil"/>
              <w:left w:val="single" w:sz="4" w:space="0" w:color="000000"/>
              <w:bottom w:val="single" w:sz="4" w:space="0" w:color="000000"/>
              <w:right w:val="single" w:sz="4" w:space="0" w:color="000000"/>
            </w:tcBorders>
          </w:tcPr>
          <w:p w14:paraId="6E277EBD"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13 m/mjesec ~1,8 m/h </w:t>
            </w:r>
          </w:p>
        </w:tc>
        <w:tc>
          <w:tcPr>
            <w:tcW w:w="1374" w:type="dxa"/>
            <w:tcBorders>
              <w:top w:val="nil"/>
              <w:left w:val="single" w:sz="4" w:space="0" w:color="000000"/>
              <w:bottom w:val="single" w:sz="4" w:space="0" w:color="000000"/>
              <w:right w:val="single" w:sz="4" w:space="0" w:color="000000"/>
            </w:tcBorders>
          </w:tcPr>
          <w:p w14:paraId="7C360A40"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srednje brzo </w:t>
            </w:r>
          </w:p>
        </w:tc>
        <w:tc>
          <w:tcPr>
            <w:tcW w:w="3568" w:type="dxa"/>
            <w:tcBorders>
              <w:top w:val="nil"/>
              <w:left w:val="single" w:sz="4" w:space="0" w:color="000000"/>
              <w:bottom w:val="single" w:sz="4" w:space="0" w:color="000000"/>
              <w:right w:val="single" w:sz="4" w:space="0" w:color="000000"/>
            </w:tcBorders>
          </w:tcPr>
          <w:p w14:paraId="4034212D"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r>
      <w:tr w:rsidR="00472217" w:rsidRPr="00472217" w14:paraId="053474DD" w14:textId="77777777" w:rsidTr="00284074">
        <w:trPr>
          <w:trHeight w:val="293"/>
        </w:trPr>
        <w:tc>
          <w:tcPr>
            <w:tcW w:w="765" w:type="dxa"/>
            <w:tcBorders>
              <w:top w:val="single" w:sz="4" w:space="0" w:color="000000"/>
              <w:left w:val="single" w:sz="4" w:space="0" w:color="000000"/>
              <w:bottom w:val="single" w:sz="4" w:space="0" w:color="000000"/>
              <w:right w:val="single" w:sz="4" w:space="0" w:color="000000"/>
            </w:tcBorders>
          </w:tcPr>
          <w:p w14:paraId="5DB1283F"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3 </w:t>
            </w:r>
          </w:p>
        </w:tc>
        <w:tc>
          <w:tcPr>
            <w:tcW w:w="1266" w:type="dxa"/>
            <w:tcBorders>
              <w:top w:val="single" w:sz="4" w:space="0" w:color="000000"/>
              <w:left w:val="single" w:sz="4" w:space="0" w:color="000000"/>
              <w:bottom w:val="single" w:sz="4" w:space="0" w:color="000000"/>
              <w:right w:val="single" w:sz="4" w:space="0" w:color="000000"/>
            </w:tcBorders>
          </w:tcPr>
          <w:p w14:paraId="7061E30F"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r w:rsidRPr="00472217">
              <w:rPr>
                <w:rFonts w:ascii="Times New Roman" w:eastAsia="Cambria" w:hAnsi="Times New Roman" w:cs="Times New Roman"/>
                <w:sz w:val="24"/>
                <w:szCs w:val="24"/>
              </w:rPr>
              <w:t>5×10</w:t>
            </w:r>
            <w:r w:rsidRPr="00472217">
              <w:rPr>
                <w:rFonts w:ascii="Times New Roman" w:eastAsia="Cambria" w:hAnsi="Times New Roman" w:cs="Times New Roman"/>
                <w:sz w:val="24"/>
                <w:szCs w:val="24"/>
                <w:vertAlign w:val="superscript"/>
              </w:rPr>
              <w:t>-5</w:t>
            </w:r>
            <w:r w:rsidRPr="00472217">
              <w:rPr>
                <w:rFonts w:ascii="Times New Roman" w:eastAsia="Cambria" w:hAnsi="Times New Roman" w:cs="Times New Roman"/>
                <w:sz w:val="24"/>
                <w:szCs w:val="24"/>
              </w:rPr>
              <w:t xml:space="preserve"> ~ 5×10</w:t>
            </w:r>
            <w:r w:rsidRPr="00472217">
              <w:rPr>
                <w:rFonts w:ascii="Times New Roman" w:eastAsia="Cambria" w:hAnsi="Times New Roman" w:cs="Times New Roman"/>
                <w:sz w:val="24"/>
                <w:szCs w:val="24"/>
                <w:vertAlign w:val="superscript"/>
              </w:rPr>
              <w:t>-3</w:t>
            </w:r>
            <w:r w:rsidRPr="00472217">
              <w:rPr>
                <w:rFonts w:ascii="Times New Roman" w:eastAsia="Cambria" w:hAnsi="Times New Roman" w:cs="Times New Roman"/>
                <w:sz w:val="24"/>
                <w:szCs w:val="24"/>
              </w:rPr>
              <w:t xml:space="preserve"> </w:t>
            </w:r>
          </w:p>
        </w:tc>
        <w:tc>
          <w:tcPr>
            <w:tcW w:w="1938" w:type="dxa"/>
            <w:tcBorders>
              <w:top w:val="single" w:sz="4" w:space="0" w:color="000000"/>
              <w:left w:val="single" w:sz="4" w:space="0" w:color="000000"/>
              <w:bottom w:val="single" w:sz="4" w:space="0" w:color="000000"/>
              <w:right w:val="single" w:sz="4" w:space="0" w:color="000000"/>
            </w:tcBorders>
          </w:tcPr>
          <w:p w14:paraId="76509F0C"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1,6 m/god ~13 m/mjesec </w:t>
            </w:r>
          </w:p>
        </w:tc>
        <w:tc>
          <w:tcPr>
            <w:tcW w:w="1374" w:type="dxa"/>
            <w:tcBorders>
              <w:top w:val="single" w:sz="4" w:space="0" w:color="000000"/>
              <w:left w:val="single" w:sz="4" w:space="0" w:color="000000"/>
              <w:bottom w:val="single" w:sz="4" w:space="0" w:color="000000"/>
              <w:right w:val="single" w:sz="4" w:space="0" w:color="000000"/>
            </w:tcBorders>
          </w:tcPr>
          <w:p w14:paraId="0DF27F15"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sporo </w:t>
            </w:r>
          </w:p>
        </w:tc>
        <w:tc>
          <w:tcPr>
            <w:tcW w:w="3568" w:type="dxa"/>
            <w:vMerge w:val="restart"/>
            <w:tcBorders>
              <w:top w:val="single" w:sz="4" w:space="0" w:color="000000"/>
              <w:left w:val="single" w:sz="4" w:space="0" w:color="000000"/>
              <w:bottom w:val="nil"/>
              <w:right w:val="single" w:sz="4" w:space="0" w:color="000000"/>
            </w:tcBorders>
            <w:vAlign w:val="bottom"/>
          </w:tcPr>
          <w:p w14:paraId="2B01F583"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održavanje klizišta mjerama stabilizacije i sanacije </w:t>
            </w:r>
          </w:p>
        </w:tc>
      </w:tr>
      <w:tr w:rsidR="00472217" w:rsidRPr="00472217" w14:paraId="1102BF77" w14:textId="77777777" w:rsidTr="00284074">
        <w:trPr>
          <w:trHeight w:val="86"/>
        </w:trPr>
        <w:tc>
          <w:tcPr>
            <w:tcW w:w="765" w:type="dxa"/>
            <w:tcBorders>
              <w:top w:val="single" w:sz="4" w:space="0" w:color="000000"/>
              <w:left w:val="single" w:sz="4" w:space="0" w:color="000000"/>
              <w:bottom w:val="nil"/>
              <w:right w:val="single" w:sz="4" w:space="0" w:color="000000"/>
            </w:tcBorders>
          </w:tcPr>
          <w:p w14:paraId="487406B2"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c>
          <w:tcPr>
            <w:tcW w:w="1266" w:type="dxa"/>
            <w:tcBorders>
              <w:top w:val="single" w:sz="4" w:space="0" w:color="000000"/>
              <w:left w:val="single" w:sz="4" w:space="0" w:color="000000"/>
              <w:bottom w:val="nil"/>
              <w:right w:val="single" w:sz="4" w:space="0" w:color="000000"/>
            </w:tcBorders>
          </w:tcPr>
          <w:p w14:paraId="2631AE49"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c>
          <w:tcPr>
            <w:tcW w:w="1938" w:type="dxa"/>
            <w:tcBorders>
              <w:top w:val="single" w:sz="4" w:space="0" w:color="000000"/>
              <w:left w:val="single" w:sz="4" w:space="0" w:color="000000"/>
              <w:bottom w:val="nil"/>
              <w:right w:val="single" w:sz="4" w:space="0" w:color="000000"/>
            </w:tcBorders>
          </w:tcPr>
          <w:p w14:paraId="5AF7F545"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c>
          <w:tcPr>
            <w:tcW w:w="1374" w:type="dxa"/>
            <w:tcBorders>
              <w:top w:val="single" w:sz="4" w:space="0" w:color="000000"/>
              <w:left w:val="single" w:sz="4" w:space="0" w:color="000000"/>
              <w:bottom w:val="nil"/>
              <w:right w:val="single" w:sz="4" w:space="0" w:color="000000"/>
            </w:tcBorders>
          </w:tcPr>
          <w:p w14:paraId="75892E3B"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c>
          <w:tcPr>
            <w:tcW w:w="0" w:type="auto"/>
            <w:vMerge/>
            <w:tcBorders>
              <w:top w:val="nil"/>
              <w:left w:val="single" w:sz="4" w:space="0" w:color="000000"/>
              <w:bottom w:val="nil"/>
              <w:right w:val="single" w:sz="4" w:space="0" w:color="000000"/>
            </w:tcBorders>
          </w:tcPr>
          <w:p w14:paraId="2ABF894B"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r>
      <w:tr w:rsidR="00472217" w:rsidRPr="00472217" w14:paraId="5E63AB64" w14:textId="77777777" w:rsidTr="00284074">
        <w:trPr>
          <w:trHeight w:val="207"/>
        </w:trPr>
        <w:tc>
          <w:tcPr>
            <w:tcW w:w="765" w:type="dxa"/>
            <w:tcBorders>
              <w:top w:val="nil"/>
              <w:left w:val="single" w:sz="4" w:space="0" w:color="000000"/>
              <w:bottom w:val="single" w:sz="4" w:space="0" w:color="000000"/>
              <w:right w:val="single" w:sz="4" w:space="0" w:color="000000"/>
            </w:tcBorders>
          </w:tcPr>
          <w:p w14:paraId="3177FB11"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2 </w:t>
            </w:r>
          </w:p>
        </w:tc>
        <w:tc>
          <w:tcPr>
            <w:tcW w:w="1266" w:type="dxa"/>
            <w:tcBorders>
              <w:top w:val="nil"/>
              <w:left w:val="single" w:sz="4" w:space="0" w:color="000000"/>
              <w:bottom w:val="single" w:sz="4" w:space="0" w:color="000000"/>
              <w:right w:val="single" w:sz="4" w:space="0" w:color="000000"/>
            </w:tcBorders>
          </w:tcPr>
          <w:p w14:paraId="62E795EA"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r w:rsidRPr="00472217">
              <w:rPr>
                <w:rFonts w:ascii="Times New Roman" w:eastAsia="Cambria" w:hAnsi="Times New Roman" w:cs="Times New Roman"/>
                <w:sz w:val="24"/>
                <w:szCs w:val="24"/>
              </w:rPr>
              <w:t>5×10</w:t>
            </w:r>
            <w:r w:rsidRPr="00472217">
              <w:rPr>
                <w:rFonts w:ascii="Times New Roman" w:eastAsia="Cambria" w:hAnsi="Times New Roman" w:cs="Times New Roman"/>
                <w:sz w:val="24"/>
                <w:szCs w:val="24"/>
                <w:vertAlign w:val="superscript"/>
              </w:rPr>
              <w:t>-7</w:t>
            </w:r>
            <w:r w:rsidRPr="00472217">
              <w:rPr>
                <w:rFonts w:ascii="Times New Roman" w:eastAsia="Cambria" w:hAnsi="Times New Roman" w:cs="Times New Roman"/>
                <w:sz w:val="24"/>
                <w:szCs w:val="24"/>
              </w:rPr>
              <w:t xml:space="preserve"> ~ 5×10</w:t>
            </w:r>
            <w:r w:rsidRPr="00472217">
              <w:rPr>
                <w:rFonts w:ascii="Times New Roman" w:eastAsia="Cambria" w:hAnsi="Times New Roman" w:cs="Times New Roman"/>
                <w:sz w:val="24"/>
                <w:szCs w:val="24"/>
                <w:vertAlign w:val="superscript"/>
              </w:rPr>
              <w:t>-5</w:t>
            </w:r>
            <w:r w:rsidRPr="00472217">
              <w:rPr>
                <w:rFonts w:ascii="Times New Roman" w:eastAsia="Cambria" w:hAnsi="Times New Roman" w:cs="Times New Roman"/>
                <w:sz w:val="24"/>
                <w:szCs w:val="24"/>
              </w:rPr>
              <w:t xml:space="preserve"> </w:t>
            </w:r>
          </w:p>
        </w:tc>
        <w:tc>
          <w:tcPr>
            <w:tcW w:w="1938" w:type="dxa"/>
            <w:tcBorders>
              <w:top w:val="nil"/>
              <w:left w:val="single" w:sz="4" w:space="0" w:color="000000"/>
              <w:bottom w:val="single" w:sz="4" w:space="0" w:color="000000"/>
              <w:right w:val="single" w:sz="4" w:space="0" w:color="000000"/>
            </w:tcBorders>
          </w:tcPr>
          <w:p w14:paraId="696F0A92"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16 mm/god ~1,6 m/god </w:t>
            </w:r>
          </w:p>
        </w:tc>
        <w:tc>
          <w:tcPr>
            <w:tcW w:w="1374" w:type="dxa"/>
            <w:tcBorders>
              <w:top w:val="nil"/>
              <w:left w:val="single" w:sz="4" w:space="0" w:color="000000"/>
              <w:bottom w:val="single" w:sz="4" w:space="0" w:color="000000"/>
              <w:right w:val="single" w:sz="4" w:space="0" w:color="000000"/>
            </w:tcBorders>
          </w:tcPr>
          <w:p w14:paraId="63F577B3"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vrlo sporo </w:t>
            </w:r>
          </w:p>
        </w:tc>
        <w:tc>
          <w:tcPr>
            <w:tcW w:w="3568" w:type="dxa"/>
            <w:tcBorders>
              <w:top w:val="nil"/>
              <w:left w:val="single" w:sz="4" w:space="0" w:color="000000"/>
              <w:bottom w:val="single" w:sz="4" w:space="0" w:color="000000"/>
              <w:right w:val="single" w:sz="4" w:space="0" w:color="000000"/>
            </w:tcBorders>
          </w:tcPr>
          <w:p w14:paraId="5AFE071C"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p>
        </w:tc>
      </w:tr>
      <w:tr w:rsidR="00472217" w:rsidRPr="00472217" w14:paraId="6CDA61B3" w14:textId="77777777" w:rsidTr="00284074">
        <w:trPr>
          <w:trHeight w:val="295"/>
        </w:trPr>
        <w:tc>
          <w:tcPr>
            <w:tcW w:w="765" w:type="dxa"/>
            <w:tcBorders>
              <w:top w:val="single" w:sz="4" w:space="0" w:color="000000"/>
              <w:left w:val="single" w:sz="4" w:space="0" w:color="000000"/>
              <w:bottom w:val="single" w:sz="4" w:space="0" w:color="000000"/>
              <w:right w:val="single" w:sz="4" w:space="0" w:color="000000"/>
            </w:tcBorders>
          </w:tcPr>
          <w:p w14:paraId="30B2FC96"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1 </w:t>
            </w:r>
          </w:p>
        </w:tc>
        <w:tc>
          <w:tcPr>
            <w:tcW w:w="1266" w:type="dxa"/>
            <w:tcBorders>
              <w:top w:val="single" w:sz="4" w:space="0" w:color="000000"/>
              <w:left w:val="single" w:sz="4" w:space="0" w:color="000000"/>
              <w:bottom w:val="single" w:sz="4" w:space="0" w:color="000000"/>
              <w:right w:val="single" w:sz="4" w:space="0" w:color="000000"/>
            </w:tcBorders>
          </w:tcPr>
          <w:p w14:paraId="5D90D77D"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r w:rsidRPr="00472217">
              <w:rPr>
                <w:rFonts w:ascii="Times New Roman" w:eastAsia="Cambria" w:hAnsi="Times New Roman" w:cs="Times New Roman"/>
                <w:sz w:val="24"/>
                <w:szCs w:val="24"/>
              </w:rPr>
              <w:t>5×10</w:t>
            </w:r>
            <w:r w:rsidRPr="00472217">
              <w:rPr>
                <w:rFonts w:ascii="Times New Roman" w:eastAsia="Cambria" w:hAnsi="Times New Roman" w:cs="Times New Roman"/>
                <w:sz w:val="24"/>
                <w:szCs w:val="24"/>
                <w:vertAlign w:val="superscript"/>
              </w:rPr>
              <w:t>-7</w:t>
            </w:r>
            <w:r w:rsidRPr="00472217">
              <w:rPr>
                <w:rFonts w:ascii="Times New Roman" w:eastAsia="Cambria" w:hAnsi="Times New Roman" w:cs="Times New Roman"/>
                <w:sz w:val="24"/>
                <w:szCs w:val="24"/>
              </w:rPr>
              <w:t xml:space="preserve"> ili manje </w:t>
            </w:r>
          </w:p>
        </w:tc>
        <w:tc>
          <w:tcPr>
            <w:tcW w:w="1938" w:type="dxa"/>
            <w:tcBorders>
              <w:top w:val="single" w:sz="4" w:space="0" w:color="000000"/>
              <w:left w:val="single" w:sz="4" w:space="0" w:color="000000"/>
              <w:bottom w:val="single" w:sz="4" w:space="0" w:color="000000"/>
              <w:right w:val="single" w:sz="4" w:space="0" w:color="000000"/>
            </w:tcBorders>
          </w:tcPr>
          <w:p w14:paraId="18A7BDD0"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16 mm/god ili manje </w:t>
            </w:r>
          </w:p>
        </w:tc>
        <w:tc>
          <w:tcPr>
            <w:tcW w:w="1374" w:type="dxa"/>
            <w:tcBorders>
              <w:top w:val="single" w:sz="4" w:space="0" w:color="000000"/>
              <w:left w:val="single" w:sz="4" w:space="0" w:color="000000"/>
              <w:bottom w:val="single" w:sz="4" w:space="0" w:color="000000"/>
              <w:right w:val="single" w:sz="4" w:space="0" w:color="000000"/>
            </w:tcBorders>
          </w:tcPr>
          <w:p w14:paraId="7629A183" w14:textId="77777777" w:rsidR="00472217" w:rsidRPr="00472217" w:rsidRDefault="00472217" w:rsidP="00472217">
            <w:pPr>
              <w:spacing w:after="0" w:line="240" w:lineRule="auto"/>
              <w:ind w:left="0" w:right="0" w:firstLine="0"/>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ekstremno sporo </w:t>
            </w:r>
          </w:p>
        </w:tc>
        <w:tc>
          <w:tcPr>
            <w:tcW w:w="3568" w:type="dxa"/>
            <w:tcBorders>
              <w:top w:val="single" w:sz="4" w:space="0" w:color="000000"/>
              <w:left w:val="single" w:sz="4" w:space="0" w:color="000000"/>
              <w:bottom w:val="single" w:sz="4" w:space="0" w:color="000000"/>
              <w:right w:val="single" w:sz="4" w:space="0" w:color="000000"/>
            </w:tcBorders>
          </w:tcPr>
          <w:p w14:paraId="36260D56" w14:textId="77777777" w:rsidR="00472217" w:rsidRPr="00472217" w:rsidRDefault="00472217" w:rsidP="00472217">
            <w:pPr>
              <w:spacing w:after="0" w:line="240" w:lineRule="auto"/>
              <w:ind w:left="0" w:right="0" w:firstLine="0"/>
              <w:jc w:val="center"/>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ne primjenjuje se </w:t>
            </w:r>
          </w:p>
        </w:tc>
      </w:tr>
    </w:tbl>
    <w:p w14:paraId="10E2F87B" w14:textId="77777777" w:rsidR="00472217" w:rsidRPr="00A4649E" w:rsidRDefault="00472217" w:rsidP="00472217">
      <w:pPr>
        <w:spacing w:after="0" w:line="240" w:lineRule="auto"/>
        <w:ind w:left="0" w:right="0" w:firstLine="0"/>
        <w:jc w:val="center"/>
        <w:rPr>
          <w:rFonts w:ascii="Times New Roman" w:eastAsia="Cambria" w:hAnsi="Times New Roman" w:cs="Times New Roman"/>
          <w:i/>
          <w:sz w:val="20"/>
          <w:szCs w:val="20"/>
        </w:rPr>
      </w:pPr>
      <w:r w:rsidRPr="00A4649E">
        <w:rPr>
          <w:rFonts w:ascii="Times New Roman" w:eastAsia="Cambria" w:hAnsi="Times New Roman" w:cs="Times New Roman"/>
          <w:i/>
          <w:sz w:val="20"/>
          <w:szCs w:val="20"/>
        </w:rPr>
        <w:t>Izvor: Procjena rizika od katastrofa za Republiku Hrvatsku</w:t>
      </w:r>
    </w:p>
    <w:p w14:paraId="6E634240" w14:textId="77777777" w:rsidR="00472217" w:rsidRPr="00472217" w:rsidRDefault="00472217" w:rsidP="00472217">
      <w:pPr>
        <w:spacing w:after="0" w:line="240" w:lineRule="auto"/>
        <w:ind w:left="0" w:right="0" w:firstLine="0"/>
        <w:rPr>
          <w:rFonts w:ascii="Times New Roman" w:hAnsi="Times New Roman" w:cs="Times New Roman"/>
          <w:sz w:val="24"/>
          <w:szCs w:val="24"/>
          <w:u w:val="single"/>
        </w:rPr>
      </w:pPr>
    </w:p>
    <w:p w14:paraId="70F17A99" w14:textId="77777777" w:rsidR="00472217" w:rsidRPr="00472217" w:rsidRDefault="00472217" w:rsidP="004E1A7D">
      <w:pPr>
        <w:spacing w:after="0" w:line="240" w:lineRule="auto"/>
        <w:ind w:left="0" w:right="0" w:firstLine="709"/>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Do klizanja uglavnom dolazi na nagnutim terenima, tzv. padinama ili kosinama, pri čemu su dovoljni vrlo mali nagibi padina. Učestalost aktivacije klizišta ovisi o učestalosti i intenzitetu događaja koji ih pokreću, kao što su oborine (intenzivna oborina, topljenje snježnog pokrivača), seizmička aktivnost (potres), vulkanska aktivnost i ljudski zahvati (npr. zasijecanje ili opterećenje kosina i dr.). Osim toga, važan prirodni preduvjet za nastanak klizišta je i vrsta stijena i tala koje izgrađuju određeno područje. Usprkos tome što djelomično mogu biti uzrokovana ljudskim djelatnostima, klizišta se smatraju prirodnim prijetnjama (prirodnim hazardima ili geohazardima), jer su to prvenstveno prirodni procesi koji najčešće uzrokuju štete na materijalnim dobrima, a mogu izazvati i gubitke ljudskih života. </w:t>
      </w:r>
    </w:p>
    <w:p w14:paraId="438FFC1E" w14:textId="31CD0A98" w:rsidR="00472217" w:rsidRPr="00472217" w:rsidRDefault="00472217" w:rsidP="004E1A7D">
      <w:pPr>
        <w:spacing w:after="0" w:line="240" w:lineRule="auto"/>
        <w:ind w:left="0" w:right="0" w:firstLine="0"/>
        <w:rPr>
          <w:rFonts w:ascii="Times New Roman" w:eastAsia="Cambria" w:hAnsi="Times New Roman" w:cs="Times New Roman"/>
          <w:sz w:val="24"/>
          <w:szCs w:val="24"/>
        </w:rPr>
      </w:pPr>
      <w:r w:rsidRPr="00472217">
        <w:rPr>
          <w:rFonts w:ascii="Times New Roman" w:eastAsia="Cambria" w:hAnsi="Times New Roman" w:cs="Times New Roman"/>
          <w:sz w:val="24"/>
          <w:szCs w:val="24"/>
        </w:rPr>
        <w:t xml:space="preserve"> </w:t>
      </w:r>
      <w:r w:rsidR="004E1A7D">
        <w:rPr>
          <w:rFonts w:ascii="Times New Roman" w:eastAsia="Cambria" w:hAnsi="Times New Roman" w:cs="Times New Roman"/>
          <w:sz w:val="24"/>
          <w:szCs w:val="24"/>
        </w:rPr>
        <w:tab/>
      </w:r>
      <w:r w:rsidRPr="00472217">
        <w:rPr>
          <w:rFonts w:ascii="Times New Roman" w:eastAsia="Cambria" w:hAnsi="Times New Roman" w:cs="Times New Roman"/>
          <w:sz w:val="24"/>
          <w:szCs w:val="24"/>
        </w:rPr>
        <w:t xml:space="preserve">I u slučaju kada nije katastrofalno, </w:t>
      </w:r>
      <w:r w:rsidRPr="00472217">
        <w:rPr>
          <w:rFonts w:ascii="Times New Roman" w:eastAsia="Cambria" w:hAnsi="Times New Roman" w:cs="Times New Roman"/>
          <w:color w:val="auto"/>
          <w:sz w:val="24"/>
          <w:szCs w:val="24"/>
        </w:rPr>
        <w:t xml:space="preserve">klizanje </w:t>
      </w:r>
      <w:r w:rsidRPr="00472217">
        <w:rPr>
          <w:rFonts w:ascii="Times New Roman" w:eastAsia="Cambria" w:hAnsi="Times New Roman" w:cs="Times New Roman"/>
          <w:sz w:val="24"/>
          <w:szCs w:val="24"/>
        </w:rPr>
        <w:t>predstavlja veliki problem gotovo u svim dijelovima svijeta jer uzrokuje ekonomske i/ili socijalne gubitke, izravne ili neizravne, na privatnim i/ili javnim dobrima (Highland i Bobrowky, 2008). Izravne štete nastaju u trenutku aktiviranja klizišta, oštećivanjem pokretne i nepokretne imovine i ljudskim gubicima (smrt ili povreda) unutar granica prostiranja klizišta. Neizravne štete se iskazuju i kroz dulje vremensko razdoblje: umanjivanjem vrijednosti nekretnina u ugroženim područjima, gubitkom produktivnosti zbog oštećenja na dobrima ili prekida prometa, smanjenjem produktivnosti prouzročenom smrću ljudi, ozljedama ili psihološkim traumama i, konačno, troškovima sanacije šteta.</w:t>
      </w:r>
    </w:p>
    <w:p w14:paraId="05C7D8C1"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5ED30D06" w14:textId="77777777" w:rsidR="00472217" w:rsidRPr="00472217" w:rsidRDefault="00472217" w:rsidP="00C70C9F">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u w:val="single"/>
        </w:rPr>
        <w:t>Situacija na području Grada Zagreba</w:t>
      </w:r>
    </w:p>
    <w:p w14:paraId="71DD3AD9" w14:textId="77777777" w:rsidR="00472217" w:rsidRPr="00472217" w:rsidRDefault="00472217" w:rsidP="004E1A7D">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 xml:space="preserve">Klizišta i nestabilne padine jedan su od trajnih problema obzirom na geološke karakteristike područja Grada Zagreba. </w:t>
      </w:r>
    </w:p>
    <w:p w14:paraId="38F1B306" w14:textId="77777777" w:rsidR="00472217" w:rsidRPr="00472217" w:rsidRDefault="00472217" w:rsidP="004E1A7D">
      <w:pPr>
        <w:spacing w:after="0" w:line="240" w:lineRule="auto"/>
        <w:ind w:left="0" w:right="0" w:firstLine="709"/>
        <w:rPr>
          <w:rFonts w:ascii="Times New Roman" w:eastAsia="Times New Roman" w:hAnsi="Times New Roman" w:cs="Times New Roman"/>
          <w:sz w:val="24"/>
          <w:szCs w:val="24"/>
        </w:rPr>
      </w:pPr>
      <w:r w:rsidRPr="00472217">
        <w:rPr>
          <w:rFonts w:ascii="Times New Roman" w:eastAsia="Times New Roman" w:hAnsi="Times New Roman" w:cs="Times New Roman"/>
          <w:bCs/>
          <w:iCs/>
          <w:sz w:val="24"/>
          <w:szCs w:val="24"/>
        </w:rPr>
        <w:t>Geološka građa</w:t>
      </w:r>
      <w:r w:rsidRPr="00472217">
        <w:rPr>
          <w:rFonts w:ascii="Times New Roman" w:eastAsia="Times New Roman" w:hAnsi="Times New Roman" w:cs="Times New Roman"/>
          <w:sz w:val="24"/>
          <w:szCs w:val="24"/>
        </w:rPr>
        <w:t xml:space="preserve"> podsljemenske zone obilježena je nalijeganjem neogenskih naslaga na starije stijene trupa Medvednice. U području masovnog pojavljivanja nestabilnih padina i klizišta </w:t>
      </w:r>
      <w:r w:rsidRPr="00472217">
        <w:rPr>
          <w:rFonts w:ascii="Times New Roman" w:eastAsia="Times New Roman" w:hAnsi="Times New Roman" w:cs="Times New Roman"/>
          <w:bCs/>
          <w:sz w:val="24"/>
          <w:szCs w:val="24"/>
        </w:rPr>
        <w:t>dominiraju tri stratigrafska člana:</w:t>
      </w:r>
      <w:r w:rsidRPr="00472217">
        <w:rPr>
          <w:rFonts w:ascii="Times New Roman" w:eastAsia="Times New Roman" w:hAnsi="Times New Roman" w:cs="Times New Roman"/>
          <w:sz w:val="24"/>
          <w:szCs w:val="24"/>
        </w:rPr>
        <w:t xml:space="preserve"> najmlađi članovi miocena - </w:t>
      </w:r>
      <w:r w:rsidRPr="00472217">
        <w:rPr>
          <w:rFonts w:ascii="Times New Roman" w:eastAsia="Times New Roman" w:hAnsi="Times New Roman" w:cs="Times New Roman"/>
          <w:bCs/>
          <w:sz w:val="24"/>
          <w:szCs w:val="24"/>
        </w:rPr>
        <w:t>donji i gornji pont (M17 i M27</w:t>
      </w:r>
      <w:r w:rsidRPr="00472217">
        <w:rPr>
          <w:rFonts w:ascii="Times New Roman" w:eastAsia="Times New Roman" w:hAnsi="Times New Roman" w:cs="Times New Roman"/>
          <w:sz w:val="24"/>
          <w:szCs w:val="24"/>
        </w:rPr>
        <w:t xml:space="preserve">) te </w:t>
      </w:r>
      <w:r w:rsidRPr="00472217">
        <w:rPr>
          <w:rFonts w:ascii="Times New Roman" w:eastAsia="Times New Roman" w:hAnsi="Times New Roman" w:cs="Times New Roman"/>
          <w:bCs/>
          <w:sz w:val="24"/>
          <w:szCs w:val="24"/>
        </w:rPr>
        <w:t>pliokvartarne naslage (Pl,Q)</w:t>
      </w:r>
      <w:r w:rsidRPr="00472217">
        <w:rPr>
          <w:rFonts w:ascii="Times New Roman" w:eastAsia="Times New Roman" w:hAnsi="Times New Roman" w:cs="Times New Roman"/>
          <w:sz w:val="24"/>
          <w:szCs w:val="24"/>
        </w:rPr>
        <w:t xml:space="preserve"> koje su mjestimice zastrte </w:t>
      </w:r>
      <w:r w:rsidRPr="00472217">
        <w:rPr>
          <w:rFonts w:ascii="Times New Roman" w:eastAsia="Times New Roman" w:hAnsi="Times New Roman" w:cs="Times New Roman"/>
          <w:bCs/>
          <w:sz w:val="24"/>
          <w:szCs w:val="24"/>
        </w:rPr>
        <w:t>kopnenim praporom (lQ1).</w:t>
      </w:r>
      <w:r w:rsidRPr="00472217">
        <w:rPr>
          <w:rFonts w:ascii="Times New Roman" w:eastAsia="Times New Roman" w:hAnsi="Times New Roman" w:cs="Times New Roman"/>
          <w:sz w:val="24"/>
          <w:szCs w:val="24"/>
        </w:rPr>
        <w:t xml:space="preserve"> </w:t>
      </w:r>
      <w:r w:rsidRPr="00472217">
        <w:rPr>
          <w:rFonts w:ascii="Times New Roman" w:eastAsia="Times New Roman" w:hAnsi="Times New Roman" w:cs="Times New Roman"/>
          <w:bCs/>
          <w:sz w:val="24"/>
          <w:szCs w:val="24"/>
        </w:rPr>
        <w:lastRenderedPageBreak/>
        <w:t>Najbrojnija su klizišta</w:t>
      </w:r>
      <w:r w:rsidRPr="00472217">
        <w:rPr>
          <w:rFonts w:ascii="Times New Roman" w:eastAsia="Times New Roman" w:hAnsi="Times New Roman" w:cs="Times New Roman"/>
          <w:sz w:val="24"/>
          <w:szCs w:val="24"/>
        </w:rPr>
        <w:t xml:space="preserve"> u području miocenskih (M71-2) i pliokvartarnih (Pl,Q) naslaga, koje čine usku podsljemensku zonu izgrađenu od lapora i glina. </w:t>
      </w:r>
    </w:p>
    <w:p w14:paraId="2B6DB5DD" w14:textId="77777777" w:rsidR="00472217" w:rsidRPr="00472217" w:rsidRDefault="00472217" w:rsidP="00472217">
      <w:pPr>
        <w:spacing w:after="0" w:line="240" w:lineRule="auto"/>
        <w:ind w:left="0" w:right="0" w:firstLine="0"/>
        <w:rPr>
          <w:rFonts w:ascii="Times New Roman" w:eastAsia="Times New Roman" w:hAnsi="Times New Roman" w:cs="Times New Roman"/>
          <w:sz w:val="24"/>
          <w:szCs w:val="24"/>
        </w:rPr>
      </w:pPr>
    </w:p>
    <w:p w14:paraId="2AE69A1B" w14:textId="03CFF6F9" w:rsidR="00472217" w:rsidRPr="00472217" w:rsidRDefault="008B3D9F" w:rsidP="00A4649E">
      <w:pPr>
        <w:spacing w:line="240" w:lineRule="auto"/>
        <w:ind w:left="0" w:right="0" w:firstLine="0"/>
        <w:jc w:val="center"/>
        <w:rPr>
          <w:rFonts w:ascii="Times New Roman" w:eastAsia="Times New Roman" w:hAnsi="Times New Roman" w:cs="Times New Roman"/>
          <w:b/>
        </w:rPr>
      </w:pPr>
      <w:r w:rsidRPr="008B3D9F">
        <w:rPr>
          <w:rFonts w:ascii="Times New Roman" w:eastAsia="Times New Roman" w:hAnsi="Times New Roman" w:cs="Times New Roman"/>
          <w:b/>
          <w:color w:val="auto"/>
          <w:sz w:val="24"/>
          <w:szCs w:val="24"/>
        </w:rPr>
        <w:t>Slika 30</w:t>
      </w:r>
      <w:r w:rsidR="00472217" w:rsidRPr="008B3D9F">
        <w:rPr>
          <w:rFonts w:ascii="Times New Roman" w:eastAsia="Times New Roman" w:hAnsi="Times New Roman" w:cs="Times New Roman"/>
          <w:b/>
          <w:color w:val="auto"/>
          <w:sz w:val="24"/>
          <w:szCs w:val="24"/>
        </w:rPr>
        <w:t xml:space="preserve">. Karta klizišta : crveno - aktivna klizišta; ljubičasto – inicijalno klizište; žuto – </w:t>
      </w:r>
      <w:r w:rsidR="00472217" w:rsidRPr="00472217">
        <w:rPr>
          <w:rFonts w:ascii="Times New Roman" w:eastAsia="Times New Roman" w:hAnsi="Times New Roman" w:cs="Times New Roman"/>
          <w:b/>
          <w:sz w:val="24"/>
          <w:szCs w:val="24"/>
        </w:rPr>
        <w:t>umirena klizišta; zeleno – sanirano klizište</w:t>
      </w:r>
    </w:p>
    <w:p w14:paraId="6BB2C7D6" w14:textId="77777777" w:rsidR="00472217" w:rsidRPr="00472217" w:rsidRDefault="00472217" w:rsidP="00472217">
      <w:pPr>
        <w:spacing w:after="0" w:line="240" w:lineRule="auto"/>
        <w:ind w:left="0" w:right="0" w:firstLine="0"/>
        <w:jc w:val="center"/>
        <w:rPr>
          <w:rFonts w:ascii="Times New Roman" w:eastAsia="Times New Roman" w:hAnsi="Times New Roman" w:cs="Times New Roman"/>
        </w:rPr>
      </w:pPr>
      <w:r w:rsidRPr="00472217">
        <w:rPr>
          <w:rFonts w:ascii="Times New Roman" w:eastAsia="Times New Roman" w:hAnsi="Times New Roman" w:cs="Times New Roman"/>
          <w:noProof/>
        </w:rPr>
        <w:drawing>
          <wp:inline distT="0" distB="0" distL="0" distR="0" wp14:anchorId="385D2A11" wp14:editId="08C272AB">
            <wp:extent cx="5252688" cy="3086100"/>
            <wp:effectExtent l="0" t="0" r="5715" b="0"/>
            <wp:docPr id="52284" name="Picture 5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255792" cy="3087924"/>
                    </a:xfrm>
                    <a:prstGeom prst="rect">
                      <a:avLst/>
                    </a:prstGeom>
                    <a:noFill/>
                  </pic:spPr>
                </pic:pic>
              </a:graphicData>
            </a:graphic>
          </wp:inline>
        </w:drawing>
      </w:r>
    </w:p>
    <w:p w14:paraId="44A94844" w14:textId="77777777" w:rsidR="00472217" w:rsidRPr="00A4649E" w:rsidRDefault="00472217" w:rsidP="00472217">
      <w:pPr>
        <w:spacing w:after="0" w:line="240" w:lineRule="auto"/>
        <w:ind w:left="0" w:right="0" w:firstLine="0"/>
        <w:jc w:val="center"/>
        <w:rPr>
          <w:rFonts w:ascii="Times New Roman" w:hAnsi="Times New Roman" w:cs="Times New Roman"/>
          <w:i/>
          <w:sz w:val="20"/>
          <w:szCs w:val="20"/>
        </w:rPr>
      </w:pPr>
      <w:r w:rsidRPr="00A4649E">
        <w:rPr>
          <w:rFonts w:ascii="Times New Roman" w:hAnsi="Times New Roman" w:cs="Times New Roman"/>
          <w:i/>
          <w:sz w:val="20"/>
          <w:szCs w:val="20"/>
        </w:rPr>
        <w:t>Izvor: https://www.hgi-cgs.hr/</w:t>
      </w:r>
    </w:p>
    <w:p w14:paraId="2D46255B" w14:textId="77777777" w:rsidR="00472217" w:rsidRPr="00472217" w:rsidRDefault="00472217" w:rsidP="00472217">
      <w:pPr>
        <w:spacing w:after="0" w:line="240" w:lineRule="auto"/>
        <w:ind w:left="0" w:right="0" w:firstLine="0"/>
        <w:rPr>
          <w:rFonts w:ascii="Times New Roman" w:hAnsi="Times New Roman" w:cs="Times New Roman"/>
          <w:sz w:val="24"/>
          <w:szCs w:val="24"/>
          <w:u w:val="single"/>
        </w:rPr>
      </w:pPr>
    </w:p>
    <w:p w14:paraId="7713E6ED" w14:textId="799F1D78" w:rsidR="00472217" w:rsidRPr="00472217" w:rsidRDefault="00472217" w:rsidP="00A4649E">
      <w:pPr>
        <w:tabs>
          <w:tab w:val="left" w:pos="2730"/>
        </w:tabs>
        <w:spacing w:line="240" w:lineRule="auto"/>
        <w:ind w:left="0" w:right="0" w:firstLine="0"/>
        <w:jc w:val="center"/>
        <w:rPr>
          <w:rFonts w:ascii="Times New Roman" w:hAnsi="Times New Roman" w:cs="Times New Roman"/>
          <w:b/>
          <w:sz w:val="24"/>
          <w:szCs w:val="24"/>
        </w:rPr>
      </w:pPr>
      <w:r w:rsidRPr="008B3D9F">
        <w:rPr>
          <w:rFonts w:ascii="Times New Roman" w:hAnsi="Times New Roman" w:cs="Times New Roman"/>
          <w:b/>
          <w:color w:val="auto"/>
          <w:sz w:val="24"/>
          <w:szCs w:val="24"/>
        </w:rPr>
        <w:t xml:space="preserve">Slika </w:t>
      </w:r>
      <w:r w:rsidR="008B3D9F" w:rsidRPr="008B3D9F">
        <w:rPr>
          <w:rFonts w:ascii="Times New Roman" w:hAnsi="Times New Roman" w:cs="Times New Roman"/>
          <w:b/>
          <w:color w:val="auto"/>
          <w:sz w:val="24"/>
          <w:szCs w:val="24"/>
        </w:rPr>
        <w:t>31</w:t>
      </w:r>
      <w:r w:rsidRPr="008B3D9F">
        <w:rPr>
          <w:rFonts w:ascii="Times New Roman" w:hAnsi="Times New Roman" w:cs="Times New Roman"/>
          <w:b/>
          <w:color w:val="auto"/>
          <w:sz w:val="24"/>
          <w:szCs w:val="24"/>
        </w:rPr>
        <w:t xml:space="preserve">. Pojednostavljena karta gustoće klizišta na podsljemenskom urbaniziranom </w:t>
      </w:r>
      <w:r w:rsidRPr="00472217">
        <w:rPr>
          <w:rFonts w:ascii="Times New Roman" w:hAnsi="Times New Roman" w:cs="Times New Roman"/>
          <w:b/>
          <w:color w:val="auto"/>
          <w:sz w:val="24"/>
          <w:szCs w:val="24"/>
        </w:rPr>
        <w:t>dijelu Grada Zagreba</w:t>
      </w:r>
    </w:p>
    <w:p w14:paraId="518F0E41" w14:textId="77777777" w:rsidR="00472217" w:rsidRPr="00472217" w:rsidRDefault="00472217" w:rsidP="00A4649E">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noProof/>
          <w:sz w:val="24"/>
          <w:szCs w:val="24"/>
        </w:rPr>
        <w:drawing>
          <wp:inline distT="0" distB="0" distL="0" distR="0" wp14:anchorId="17C09554" wp14:editId="5038A8D3">
            <wp:extent cx="5450804" cy="3451225"/>
            <wp:effectExtent l="0" t="0" r="0" b="0"/>
            <wp:docPr id="52285" name="Picture 5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60248" cy="3457205"/>
                    </a:xfrm>
                    <a:prstGeom prst="rect">
                      <a:avLst/>
                    </a:prstGeom>
                    <a:noFill/>
                  </pic:spPr>
                </pic:pic>
              </a:graphicData>
            </a:graphic>
          </wp:inline>
        </w:drawing>
      </w:r>
    </w:p>
    <w:p w14:paraId="7822ACB3" w14:textId="77777777" w:rsidR="00472217" w:rsidRPr="00A4649E" w:rsidRDefault="00472217" w:rsidP="00472217">
      <w:pPr>
        <w:spacing w:after="0" w:line="240" w:lineRule="auto"/>
        <w:ind w:left="0" w:right="0" w:firstLine="0"/>
        <w:jc w:val="center"/>
        <w:rPr>
          <w:rFonts w:ascii="Times New Roman" w:hAnsi="Times New Roman" w:cs="Times New Roman"/>
          <w:i/>
          <w:sz w:val="20"/>
          <w:szCs w:val="20"/>
        </w:rPr>
      </w:pPr>
      <w:r w:rsidRPr="00A4649E">
        <w:rPr>
          <w:rFonts w:ascii="Times New Roman" w:hAnsi="Times New Roman" w:cs="Times New Roman"/>
          <w:i/>
          <w:sz w:val="20"/>
          <w:szCs w:val="20"/>
        </w:rPr>
        <w:t>Izvor: https://www.hgi-cgs.hr</w:t>
      </w:r>
    </w:p>
    <w:p w14:paraId="08E49500" w14:textId="77777777" w:rsidR="00A10E6F" w:rsidRDefault="00472217" w:rsidP="004E1A7D">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lastRenderedPageBreak/>
        <w:t xml:space="preserve">Za potrebe prikaza nagiba terena izrađena je karta nagiba za podsljemensko područje (Slika </w:t>
      </w:r>
      <w:r w:rsidR="004E1A7D">
        <w:rPr>
          <w:rFonts w:ascii="Times New Roman" w:hAnsi="Times New Roman" w:cs="Times New Roman"/>
          <w:sz w:val="24"/>
          <w:szCs w:val="24"/>
        </w:rPr>
        <w:t>31</w:t>
      </w:r>
      <w:r w:rsidRPr="00472217">
        <w:rPr>
          <w:rFonts w:ascii="Times New Roman" w:hAnsi="Times New Roman" w:cs="Times New Roman"/>
          <w:sz w:val="24"/>
          <w:szCs w:val="24"/>
        </w:rPr>
        <w:t xml:space="preserve">.). Karta nagiba terena jedna je od osnovnih faktorskih karata i iz nje se dobije srednji nagib terena. </w:t>
      </w:r>
    </w:p>
    <w:p w14:paraId="37A8D670" w14:textId="77777777" w:rsidR="00A10E6F" w:rsidRDefault="00A10E6F" w:rsidP="00A10E6F">
      <w:pPr>
        <w:spacing w:after="0" w:line="240" w:lineRule="auto"/>
        <w:ind w:right="0"/>
        <w:rPr>
          <w:rFonts w:ascii="Times New Roman" w:hAnsi="Times New Roman" w:cs="Times New Roman"/>
          <w:sz w:val="24"/>
          <w:szCs w:val="24"/>
        </w:rPr>
      </w:pPr>
    </w:p>
    <w:p w14:paraId="21E93E0C" w14:textId="4434C650" w:rsidR="00472217" w:rsidRPr="00472217" w:rsidRDefault="00472217" w:rsidP="00A10E6F">
      <w:pPr>
        <w:spacing w:after="0" w:line="240" w:lineRule="auto"/>
        <w:ind w:right="0"/>
        <w:rPr>
          <w:rFonts w:ascii="Times New Roman" w:hAnsi="Times New Roman" w:cs="Times New Roman"/>
          <w:sz w:val="24"/>
          <w:szCs w:val="24"/>
        </w:rPr>
      </w:pPr>
      <w:r w:rsidRPr="00472217">
        <w:rPr>
          <w:rFonts w:ascii="Times New Roman" w:hAnsi="Times New Roman" w:cs="Times New Roman"/>
          <w:sz w:val="24"/>
          <w:szCs w:val="24"/>
        </w:rPr>
        <w:t>Za izradu karte zadane su četiri kategorije nagiba:</w:t>
      </w:r>
    </w:p>
    <w:p w14:paraId="0BFE1CD7" w14:textId="41FBDA3D" w:rsidR="00472217" w:rsidRPr="00472217" w:rsidRDefault="00A10E6F" w:rsidP="00472217">
      <w:pPr>
        <w:spacing w:after="0" w:line="240" w:lineRule="auto"/>
        <w:ind w:left="0" w:right="0" w:firstLine="0"/>
        <w:rPr>
          <w:rFonts w:ascii="Times New Roman" w:hAnsi="Times New Roman" w:cs="Times New Roman"/>
          <w:sz w:val="24"/>
          <w:szCs w:val="24"/>
        </w:rPr>
      </w:pPr>
      <w:r>
        <w:rPr>
          <w:rFonts w:ascii="Times New Roman" w:hAnsi="Times New Roman" w:cs="Times New Roman"/>
          <w:sz w:val="24"/>
          <w:szCs w:val="24"/>
        </w:rPr>
        <w:t xml:space="preserve">         </w:t>
      </w:r>
      <w:r w:rsidR="00472217" w:rsidRPr="00472217">
        <w:rPr>
          <w:rFonts w:ascii="Times New Roman" w:hAnsi="Times New Roman" w:cs="Times New Roman"/>
          <w:sz w:val="24"/>
          <w:szCs w:val="24"/>
        </w:rPr>
        <w:t>•</w:t>
      </w:r>
      <w:r w:rsidR="00472217" w:rsidRPr="00472217">
        <w:rPr>
          <w:rFonts w:ascii="Times New Roman" w:hAnsi="Times New Roman" w:cs="Times New Roman"/>
          <w:sz w:val="24"/>
          <w:szCs w:val="24"/>
        </w:rPr>
        <w:tab/>
        <w:t>zaravnjeni tereni s nagibom od 0-5° - prikazani su zeleno</w:t>
      </w:r>
    </w:p>
    <w:p w14:paraId="2EA52CB6" w14:textId="75F02C79" w:rsidR="00472217" w:rsidRPr="00472217" w:rsidRDefault="00A10E6F" w:rsidP="00472217">
      <w:pPr>
        <w:spacing w:after="0" w:line="240" w:lineRule="auto"/>
        <w:ind w:left="0" w:right="0" w:firstLine="0"/>
        <w:rPr>
          <w:rFonts w:ascii="Times New Roman" w:hAnsi="Times New Roman" w:cs="Times New Roman"/>
          <w:sz w:val="24"/>
          <w:szCs w:val="24"/>
        </w:rPr>
      </w:pPr>
      <w:r>
        <w:rPr>
          <w:rFonts w:ascii="Times New Roman" w:hAnsi="Times New Roman" w:cs="Times New Roman"/>
          <w:sz w:val="24"/>
          <w:szCs w:val="24"/>
        </w:rPr>
        <w:t xml:space="preserve">         </w:t>
      </w:r>
      <w:r w:rsidR="00472217" w:rsidRPr="00472217">
        <w:rPr>
          <w:rFonts w:ascii="Times New Roman" w:hAnsi="Times New Roman" w:cs="Times New Roman"/>
          <w:sz w:val="24"/>
          <w:szCs w:val="24"/>
        </w:rPr>
        <w:t>•</w:t>
      </w:r>
      <w:r w:rsidR="00472217" w:rsidRPr="00472217">
        <w:rPr>
          <w:rFonts w:ascii="Times New Roman" w:hAnsi="Times New Roman" w:cs="Times New Roman"/>
          <w:sz w:val="24"/>
          <w:szCs w:val="24"/>
        </w:rPr>
        <w:tab/>
        <w:t>blago nagnuti tereni s nagibom od 5-12° - prikazani su žuto</w:t>
      </w:r>
    </w:p>
    <w:p w14:paraId="11B11C56" w14:textId="19E727C1" w:rsidR="00472217" w:rsidRPr="00472217" w:rsidRDefault="00A10E6F" w:rsidP="00472217">
      <w:pPr>
        <w:spacing w:after="0" w:line="240" w:lineRule="auto"/>
        <w:ind w:left="0" w:right="0" w:firstLine="0"/>
        <w:rPr>
          <w:rFonts w:ascii="Times New Roman" w:hAnsi="Times New Roman" w:cs="Times New Roman"/>
          <w:sz w:val="24"/>
          <w:szCs w:val="24"/>
        </w:rPr>
      </w:pPr>
      <w:r>
        <w:rPr>
          <w:rFonts w:ascii="Times New Roman" w:hAnsi="Times New Roman" w:cs="Times New Roman"/>
          <w:sz w:val="24"/>
          <w:szCs w:val="24"/>
        </w:rPr>
        <w:t xml:space="preserve">         </w:t>
      </w:r>
      <w:r w:rsidR="00472217" w:rsidRPr="00472217">
        <w:rPr>
          <w:rFonts w:ascii="Times New Roman" w:hAnsi="Times New Roman" w:cs="Times New Roman"/>
          <w:sz w:val="24"/>
          <w:szCs w:val="24"/>
        </w:rPr>
        <w:t>•</w:t>
      </w:r>
      <w:r w:rsidR="00472217" w:rsidRPr="00472217">
        <w:rPr>
          <w:rFonts w:ascii="Times New Roman" w:hAnsi="Times New Roman" w:cs="Times New Roman"/>
          <w:sz w:val="24"/>
          <w:szCs w:val="24"/>
        </w:rPr>
        <w:tab/>
        <w:t>nagnuti tereni s nagibom od 12-32° - prikazani su narančasto</w:t>
      </w:r>
    </w:p>
    <w:p w14:paraId="5298B707" w14:textId="75D3B003" w:rsidR="00472217" w:rsidRPr="00472217" w:rsidRDefault="00A10E6F" w:rsidP="00472217">
      <w:pPr>
        <w:spacing w:after="0" w:line="240" w:lineRule="auto"/>
        <w:ind w:left="0" w:right="0" w:firstLine="0"/>
        <w:rPr>
          <w:rFonts w:ascii="Times New Roman" w:hAnsi="Times New Roman" w:cs="Times New Roman"/>
          <w:sz w:val="24"/>
          <w:szCs w:val="24"/>
        </w:rPr>
      </w:pPr>
      <w:r>
        <w:rPr>
          <w:rFonts w:ascii="Times New Roman" w:hAnsi="Times New Roman" w:cs="Times New Roman"/>
          <w:sz w:val="24"/>
          <w:szCs w:val="24"/>
        </w:rPr>
        <w:t xml:space="preserve">         </w:t>
      </w:r>
      <w:r w:rsidR="00472217" w:rsidRPr="00472217">
        <w:rPr>
          <w:rFonts w:ascii="Times New Roman" w:hAnsi="Times New Roman" w:cs="Times New Roman"/>
          <w:sz w:val="24"/>
          <w:szCs w:val="24"/>
        </w:rPr>
        <w:t>•</w:t>
      </w:r>
      <w:r w:rsidR="00472217" w:rsidRPr="00472217">
        <w:rPr>
          <w:rFonts w:ascii="Times New Roman" w:hAnsi="Times New Roman" w:cs="Times New Roman"/>
          <w:sz w:val="24"/>
          <w:szCs w:val="24"/>
        </w:rPr>
        <w:tab/>
        <w:t>strme padine i strmci s nagibom više od 32° su tamno smeđi.</w:t>
      </w:r>
    </w:p>
    <w:p w14:paraId="5A6B7BA9" w14:textId="77777777" w:rsidR="00A10E6F" w:rsidRDefault="00A10E6F" w:rsidP="00472217">
      <w:pPr>
        <w:spacing w:after="0" w:line="240" w:lineRule="auto"/>
        <w:ind w:left="0" w:right="0" w:firstLine="0"/>
        <w:rPr>
          <w:rFonts w:ascii="Times New Roman" w:hAnsi="Times New Roman" w:cs="Times New Roman"/>
          <w:sz w:val="24"/>
          <w:szCs w:val="24"/>
        </w:rPr>
      </w:pPr>
    </w:p>
    <w:p w14:paraId="47B272B1" w14:textId="4E2AA332" w:rsidR="00472217" w:rsidRPr="00472217" w:rsidRDefault="00472217" w:rsidP="00472217">
      <w:pPr>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Karta nagiba izrađena je u mjerilu 1:</w:t>
      </w:r>
      <w:r w:rsidR="0088750A">
        <w:rPr>
          <w:rFonts w:ascii="Times New Roman" w:hAnsi="Times New Roman" w:cs="Times New Roman"/>
          <w:sz w:val="24"/>
          <w:szCs w:val="24"/>
        </w:rPr>
        <w:t xml:space="preserve"> </w:t>
      </w:r>
      <w:r w:rsidRPr="00472217">
        <w:rPr>
          <w:rFonts w:ascii="Times New Roman" w:hAnsi="Times New Roman" w:cs="Times New Roman"/>
          <w:sz w:val="24"/>
          <w:szCs w:val="24"/>
        </w:rPr>
        <w:t>25 000</w:t>
      </w:r>
      <w:r w:rsidR="0088750A">
        <w:rPr>
          <w:rFonts w:ascii="Times New Roman" w:hAnsi="Times New Roman" w:cs="Times New Roman"/>
          <w:sz w:val="24"/>
          <w:szCs w:val="24"/>
        </w:rPr>
        <w:t>.</w:t>
      </w:r>
    </w:p>
    <w:p w14:paraId="23E6C067"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666FE98F" w14:textId="77777777" w:rsidR="00472217" w:rsidRPr="00472217" w:rsidRDefault="00472217" w:rsidP="00A10E6F">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 xml:space="preserve">Prostornim planom uređenja Grada Zagreba evidentiran je i označen dio terena na području Grada Zagreba koji spada u pretežito nestabilna područja. To je dio terena omeđen linijom Ilica-Jurišićeva-Vlaška-Maksimirska-Dubrava kao južna granica, te granica Parka prirode Medvednica kao sjeverna granica. </w:t>
      </w:r>
      <w:r w:rsidRPr="00472217">
        <w:rPr>
          <w:rFonts w:ascii="Times New Roman" w:hAnsi="Times New Roman" w:cs="Times New Roman"/>
          <w:color w:val="auto"/>
          <w:sz w:val="24"/>
          <w:szCs w:val="24"/>
        </w:rPr>
        <w:t>Na nestabilne padine otpada oko 14 % ukupne površine navedene zone</w:t>
      </w:r>
      <w:r w:rsidRPr="00472217">
        <w:rPr>
          <w:rFonts w:ascii="Times New Roman" w:hAnsi="Times New Roman" w:cs="Times New Roman"/>
          <w:color w:val="auto"/>
          <w:sz w:val="24"/>
          <w:szCs w:val="24"/>
          <w:vertAlign w:val="superscript"/>
        </w:rPr>
        <w:footnoteReference w:id="116"/>
      </w:r>
      <w:r w:rsidRPr="00472217">
        <w:rPr>
          <w:rFonts w:ascii="Times New Roman" w:hAnsi="Times New Roman" w:cs="Times New Roman"/>
          <w:color w:val="auto"/>
          <w:sz w:val="24"/>
          <w:szCs w:val="24"/>
        </w:rPr>
        <w:t>.</w:t>
      </w:r>
    </w:p>
    <w:p w14:paraId="5D668B08" w14:textId="77777777" w:rsidR="00C70C9F" w:rsidRDefault="00472217" w:rsidP="00C70C9F">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Većina klizišta u Gradu Zagrebu nastaje kao posljedica ljudskog djelovanja, presijecanjem površinskog sloja zemljišta prilikom gradnje, a aktivira se u pravilu nakon veće količine oborina, kad se uslijed natapanja smanji kohezija tla i trenje između slojeva. Klizanje terena ugrožava u prvom redu izgrađene objekte, no i stanovništvo može biti ugroženo ako područje klizišta ne napusti na vrijeme. Procjenjuje se da je aktivnim klizištima koja se nalaze u naseljenim područjima Grada Zagreba ugroženo oko 700 objekata i više od 1.500 stanovnika</w:t>
      </w:r>
      <w:r w:rsidRPr="00472217">
        <w:rPr>
          <w:rFonts w:ascii="Times New Roman" w:hAnsi="Times New Roman" w:cs="Times New Roman"/>
          <w:sz w:val="24"/>
          <w:szCs w:val="24"/>
          <w:vertAlign w:val="superscript"/>
        </w:rPr>
        <w:footnoteReference w:id="117"/>
      </w:r>
      <w:r w:rsidR="00C70C9F">
        <w:rPr>
          <w:rFonts w:ascii="Times New Roman" w:hAnsi="Times New Roman" w:cs="Times New Roman"/>
          <w:sz w:val="24"/>
          <w:szCs w:val="24"/>
        </w:rPr>
        <w:t xml:space="preserve">. </w:t>
      </w:r>
    </w:p>
    <w:p w14:paraId="23E67445" w14:textId="5BEAE52B" w:rsidR="00472217" w:rsidRPr="00472217" w:rsidRDefault="00472217" w:rsidP="00C70C9F">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 xml:space="preserve">Najveći broj klizišta aktiviran je na području gradskih četvrti: Gornji grad – Medveščak, Črnomerec, Gornja Dubrava, Maksimir, Podsljeme, Podsused – Vrapče i Sesvete. Izradom detaljne inženjersko-geološke karte (DIGK-Faza I) (Hrvatski geološki institut) podsljemenske urbanizirane zone iz 2007. godine na području grada Zagreba bilo je registrirano 707 lokacija s registriranim pojavama klizanja dok je 2011. godine dopunjena sa još 78 lokacija te je katastar klizišta sadržavao 785 registriranih klizišta. Tijekom trajanja projekta DIGK-Faza II podsljemenske urbanizirane zone koji je izrađen 2018. godine provedeno je ažuriranje navedenih podataka. Na terenu je izvršena provjera podataka o prijavama klizišta sa 274 lokacije i provjera 35 lokacija za koje je izrađena projektna dokumentacija (309 lokacija ukupno). Nakon izvršene provjere i ažuriranja za 213 klizišta je ispunjen katastarski list odnosno 213 lokacija je uneseno u izrađenu bazu podataka. Do smanjenja broja registriranih klizišta dolazi iz razloga preklapanja podataka odnosno što se više prijava odnosi na istu zonu nestabilnosti, ali s druge strane, na terenu se nalazi više klizišta nego što je obuhvaćeno ovim ažuriranjem jer nisu sva klizišta do kojih se i došlo na terenu i prijavljena (nedostupna područja). Klizišta su zabilježena i na području gradske četvrti Brezovica (Havidić selo, Lipnica, Gornji Dragonožec). </w:t>
      </w:r>
    </w:p>
    <w:p w14:paraId="42542555" w14:textId="705BDC72" w:rsidR="00472217" w:rsidRDefault="00472217" w:rsidP="00A10E6F">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Prema prostornom planu na spomenutom području Grada Zagreba utvrđene su 4 kategorije stabilnosti tla:</w:t>
      </w:r>
    </w:p>
    <w:p w14:paraId="0F24EDEA" w14:textId="77777777" w:rsidR="00A10E6F" w:rsidRPr="00472217" w:rsidRDefault="00A10E6F" w:rsidP="00A10E6F">
      <w:pPr>
        <w:spacing w:after="0" w:line="240" w:lineRule="auto"/>
        <w:ind w:left="0" w:right="0" w:firstLine="709"/>
        <w:rPr>
          <w:rFonts w:ascii="Times New Roman" w:hAnsi="Times New Roman" w:cs="Times New Roman"/>
          <w:sz w:val="24"/>
          <w:szCs w:val="24"/>
        </w:rPr>
      </w:pPr>
    </w:p>
    <w:p w14:paraId="312918A7" w14:textId="77777777" w:rsidR="00472217" w:rsidRPr="00472217" w:rsidRDefault="00472217" w:rsidP="0014113B">
      <w:pPr>
        <w:numPr>
          <w:ilvl w:val="0"/>
          <w:numId w:val="14"/>
        </w:numPr>
        <w:spacing w:after="0" w:line="240" w:lineRule="auto"/>
        <w:ind w:right="0"/>
        <w:contextualSpacing/>
        <w:rPr>
          <w:rFonts w:ascii="Times New Roman" w:hAnsi="Times New Roman" w:cs="Times New Roman"/>
          <w:sz w:val="24"/>
          <w:szCs w:val="24"/>
        </w:rPr>
      </w:pPr>
      <w:r w:rsidRPr="00472217">
        <w:rPr>
          <w:rFonts w:ascii="Times New Roman" w:hAnsi="Times New Roman" w:cs="Times New Roman"/>
          <w:sz w:val="24"/>
          <w:szCs w:val="24"/>
        </w:rPr>
        <w:t>stabilni tereni,</w:t>
      </w:r>
    </w:p>
    <w:p w14:paraId="10A3924B" w14:textId="77777777" w:rsidR="00472217" w:rsidRPr="00472217" w:rsidRDefault="00472217" w:rsidP="0014113B">
      <w:pPr>
        <w:numPr>
          <w:ilvl w:val="0"/>
          <w:numId w:val="14"/>
        </w:numPr>
        <w:spacing w:after="0" w:line="240" w:lineRule="auto"/>
        <w:ind w:right="0"/>
        <w:contextualSpacing/>
        <w:rPr>
          <w:rFonts w:ascii="Times New Roman" w:hAnsi="Times New Roman" w:cs="Times New Roman"/>
          <w:sz w:val="24"/>
          <w:szCs w:val="24"/>
        </w:rPr>
      </w:pPr>
      <w:r w:rsidRPr="00472217">
        <w:rPr>
          <w:rFonts w:ascii="Times New Roman" w:hAnsi="Times New Roman" w:cs="Times New Roman"/>
          <w:sz w:val="24"/>
          <w:szCs w:val="24"/>
        </w:rPr>
        <w:t>uvjetno stabilni tereni,</w:t>
      </w:r>
    </w:p>
    <w:p w14:paraId="6E2FEFA1" w14:textId="77777777" w:rsidR="00472217" w:rsidRPr="00472217" w:rsidRDefault="00472217" w:rsidP="0014113B">
      <w:pPr>
        <w:numPr>
          <w:ilvl w:val="0"/>
          <w:numId w:val="14"/>
        </w:numPr>
        <w:spacing w:after="0" w:line="240" w:lineRule="auto"/>
        <w:ind w:right="0"/>
        <w:contextualSpacing/>
        <w:rPr>
          <w:rFonts w:ascii="Times New Roman" w:hAnsi="Times New Roman" w:cs="Times New Roman"/>
          <w:sz w:val="24"/>
          <w:szCs w:val="24"/>
        </w:rPr>
      </w:pPr>
      <w:r w:rsidRPr="00472217">
        <w:rPr>
          <w:rFonts w:ascii="Times New Roman" w:hAnsi="Times New Roman" w:cs="Times New Roman"/>
          <w:sz w:val="24"/>
          <w:szCs w:val="24"/>
        </w:rPr>
        <w:t>uvjetno nestabilni tereni,</w:t>
      </w:r>
    </w:p>
    <w:p w14:paraId="4008F005" w14:textId="77777777" w:rsidR="00472217" w:rsidRPr="00472217" w:rsidRDefault="00472217" w:rsidP="0014113B">
      <w:pPr>
        <w:numPr>
          <w:ilvl w:val="0"/>
          <w:numId w:val="14"/>
        </w:numPr>
        <w:spacing w:after="0" w:line="240" w:lineRule="auto"/>
        <w:ind w:right="0"/>
        <w:contextualSpacing/>
        <w:rPr>
          <w:rFonts w:ascii="Times New Roman" w:hAnsi="Times New Roman" w:cs="Times New Roman"/>
          <w:sz w:val="24"/>
          <w:szCs w:val="24"/>
        </w:rPr>
      </w:pPr>
      <w:r w:rsidRPr="00472217">
        <w:rPr>
          <w:rFonts w:ascii="Times New Roman" w:hAnsi="Times New Roman" w:cs="Times New Roman"/>
          <w:sz w:val="24"/>
          <w:szCs w:val="24"/>
        </w:rPr>
        <w:t>nestabilni tereni (aktivna klizišta).</w:t>
      </w:r>
    </w:p>
    <w:p w14:paraId="31ECC576"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63600AF2" w14:textId="77777777" w:rsidR="00472217" w:rsidRPr="00472217" w:rsidRDefault="00472217" w:rsidP="00472217">
      <w:pPr>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lastRenderedPageBreak/>
        <w:t xml:space="preserve">I. kategorija - stabilni tereni su područja stabilna u prirodnim uvjetima i uvjetima gradnje građevina. </w:t>
      </w:r>
    </w:p>
    <w:p w14:paraId="7690BFE6"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2A1EE087" w14:textId="77777777" w:rsidR="00472217" w:rsidRPr="00472217" w:rsidRDefault="00472217" w:rsidP="00472217">
      <w:pPr>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 xml:space="preserve">II. kategorija - uvjetno stabilne padine su područja stabilna u prirodnim uvjetima. Prilikom gradnje građevina te padine mogu postati nestabilne zbog nepažljivog rada. </w:t>
      </w:r>
    </w:p>
    <w:p w14:paraId="7D986C30"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5B7B62C6" w14:textId="77777777" w:rsidR="00472217" w:rsidRPr="00472217" w:rsidRDefault="00472217" w:rsidP="00472217">
      <w:pPr>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 xml:space="preserve">III. kategorija - uvjetno nestabilne padine su područja na kojima postoje prirodni uvjeti koji narušavaju stabilnost ili na neki drugi način otežavaju i privremeno onemogućuju privođenje zemljišta gradnji, te su bez vidljivih znakova nestabilnosti. Na tim se područjima može graditi kada se uklone uzroci koji otežavaju ili privremeno onemogućuju gradnju što se postiže preventivnim mjerama za sanaciju terena. </w:t>
      </w:r>
    </w:p>
    <w:p w14:paraId="27893127"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552F7C3C" w14:textId="77777777" w:rsidR="00472217" w:rsidRPr="00472217" w:rsidRDefault="00472217" w:rsidP="00472217">
      <w:pPr>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 xml:space="preserve">IV. kategorija - nestabilne padine su područja zahvaćena klizanjem terena u kojima postoje zone ili plohe sloma duž kojih su parametri posmične čvrstoće pali na rezidualne vrijednosti (aktivna i stara klizanja, ili evidentirane zone sloma u padini tektonskog podrijetla). Na temelju detaljnih geotehničkih istraživanja propisat će se uvjeti za sanaciju terena koja može podrazumijevati i složene sanacijske mjere (dreniranje, nasipavanje, potporne konstrukcije i slično). </w:t>
      </w:r>
    </w:p>
    <w:p w14:paraId="2534717E" w14:textId="77777777" w:rsidR="00472217" w:rsidRPr="00472217" w:rsidRDefault="00472217" w:rsidP="00A10E6F">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Sanacija klizišta uključuje ozbiljne građevinske zahvate kojima prethodi istraživanje što je dugotrajan proces.</w:t>
      </w:r>
    </w:p>
    <w:p w14:paraId="67F2AF22"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6435ACAD" w14:textId="77777777" w:rsidR="00472217" w:rsidRPr="00472217" w:rsidRDefault="00472217" w:rsidP="00472217">
      <w:pPr>
        <w:spacing w:after="0" w:line="240" w:lineRule="auto"/>
        <w:ind w:left="0" w:right="53" w:firstLine="0"/>
        <w:rPr>
          <w:rFonts w:ascii="Times New Roman" w:hAnsi="Times New Roman" w:cs="Times New Roman"/>
          <w:sz w:val="24"/>
          <w:szCs w:val="24"/>
        </w:rPr>
      </w:pPr>
      <w:r w:rsidRPr="00472217">
        <w:rPr>
          <w:rFonts w:ascii="Times New Roman" w:hAnsi="Times New Roman" w:cs="Times New Roman"/>
          <w:sz w:val="24"/>
          <w:szCs w:val="24"/>
        </w:rPr>
        <w:t xml:space="preserve">Prema dosadašnjim iskustvima posljedice aktiviranja klizišta su: </w:t>
      </w:r>
    </w:p>
    <w:p w14:paraId="7A2E5651" w14:textId="77777777" w:rsidR="00472217" w:rsidRPr="00472217" w:rsidRDefault="00472217" w:rsidP="00472217">
      <w:pPr>
        <w:spacing w:after="0" w:line="240" w:lineRule="auto"/>
        <w:ind w:left="0" w:right="53" w:firstLine="0"/>
        <w:rPr>
          <w:rFonts w:ascii="Times New Roman" w:hAnsi="Times New Roman" w:cs="Times New Roman"/>
          <w:sz w:val="24"/>
          <w:szCs w:val="24"/>
        </w:rPr>
      </w:pPr>
    </w:p>
    <w:p w14:paraId="5EB249B9" w14:textId="77777777" w:rsidR="00472217" w:rsidRPr="00472217" w:rsidRDefault="00472217" w:rsidP="0014113B">
      <w:pPr>
        <w:numPr>
          <w:ilvl w:val="0"/>
          <w:numId w:val="12"/>
        </w:numPr>
        <w:spacing w:after="11" w:line="247" w:lineRule="auto"/>
        <w:ind w:right="53"/>
        <w:rPr>
          <w:rFonts w:ascii="Times New Roman" w:hAnsi="Times New Roman" w:cs="Times New Roman"/>
          <w:sz w:val="24"/>
          <w:szCs w:val="24"/>
        </w:rPr>
      </w:pPr>
      <w:r w:rsidRPr="00472217">
        <w:rPr>
          <w:rFonts w:ascii="Times New Roman" w:hAnsi="Times New Roman" w:cs="Times New Roman"/>
          <w:sz w:val="24"/>
          <w:szCs w:val="24"/>
        </w:rPr>
        <w:t xml:space="preserve">potpuno ili djelomično uništenje objekata na klizištu </w:t>
      </w:r>
    </w:p>
    <w:p w14:paraId="78C33869" w14:textId="77777777" w:rsidR="00472217" w:rsidRPr="00472217" w:rsidRDefault="00472217" w:rsidP="0014113B">
      <w:pPr>
        <w:numPr>
          <w:ilvl w:val="0"/>
          <w:numId w:val="12"/>
        </w:numPr>
        <w:spacing w:after="11" w:line="247" w:lineRule="auto"/>
        <w:ind w:right="53"/>
        <w:rPr>
          <w:rFonts w:ascii="Times New Roman" w:hAnsi="Times New Roman" w:cs="Times New Roman"/>
          <w:sz w:val="24"/>
          <w:szCs w:val="24"/>
        </w:rPr>
      </w:pPr>
      <w:r w:rsidRPr="00472217">
        <w:rPr>
          <w:rFonts w:ascii="Times New Roman" w:hAnsi="Times New Roman" w:cs="Times New Roman"/>
          <w:sz w:val="24"/>
          <w:szCs w:val="24"/>
        </w:rPr>
        <w:t>oštećenje komunalnih instalacija i prometnica u zoni zahvaćenoj klizištem</w:t>
      </w:r>
    </w:p>
    <w:p w14:paraId="74581E29" w14:textId="77777777" w:rsidR="00472217" w:rsidRPr="00472217" w:rsidRDefault="00472217" w:rsidP="0014113B">
      <w:pPr>
        <w:numPr>
          <w:ilvl w:val="0"/>
          <w:numId w:val="12"/>
        </w:numPr>
        <w:spacing w:after="11" w:line="247" w:lineRule="auto"/>
        <w:ind w:right="53"/>
        <w:rPr>
          <w:rFonts w:ascii="Times New Roman" w:hAnsi="Times New Roman" w:cs="Times New Roman"/>
          <w:sz w:val="24"/>
          <w:szCs w:val="24"/>
        </w:rPr>
      </w:pPr>
      <w:r w:rsidRPr="00472217">
        <w:rPr>
          <w:rFonts w:ascii="Times New Roman" w:hAnsi="Times New Roman" w:cs="Times New Roman"/>
          <w:sz w:val="24"/>
          <w:szCs w:val="24"/>
        </w:rPr>
        <w:t xml:space="preserve">posljedice po zdravlje ili čak život ljudi koji koriste objekte u zoni klizišta </w:t>
      </w:r>
    </w:p>
    <w:p w14:paraId="7389FB36" w14:textId="77777777" w:rsidR="00472217" w:rsidRPr="00472217" w:rsidRDefault="00472217" w:rsidP="0014113B">
      <w:pPr>
        <w:numPr>
          <w:ilvl w:val="0"/>
          <w:numId w:val="12"/>
        </w:numPr>
        <w:spacing w:after="11" w:line="247" w:lineRule="auto"/>
        <w:ind w:right="53"/>
        <w:rPr>
          <w:rFonts w:ascii="Times New Roman" w:hAnsi="Times New Roman" w:cs="Times New Roman"/>
          <w:sz w:val="24"/>
          <w:szCs w:val="24"/>
        </w:rPr>
      </w:pPr>
      <w:r w:rsidRPr="00472217">
        <w:rPr>
          <w:rFonts w:ascii="Times New Roman" w:hAnsi="Times New Roman" w:cs="Times New Roman"/>
          <w:sz w:val="24"/>
          <w:szCs w:val="24"/>
        </w:rPr>
        <w:t>posljedice po imovinu ljudi u zoni zahvaćenoj klizištem.</w:t>
      </w:r>
    </w:p>
    <w:p w14:paraId="0F772B40" w14:textId="77777777" w:rsidR="00472217" w:rsidRPr="00472217" w:rsidRDefault="00472217" w:rsidP="00472217">
      <w:pPr>
        <w:spacing w:after="0" w:line="259" w:lineRule="auto"/>
        <w:ind w:left="404"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p w14:paraId="69C2E7A0" w14:textId="77777777" w:rsidR="00472217" w:rsidRPr="00472217" w:rsidRDefault="00472217" w:rsidP="00A10E6F">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 xml:space="preserve">Najugroženije područje od pojave klizišta obuhvaća dolinu Velikog potoka-Črnomerec, odnosno područje Grmoščice i Fraterščice u gradskoj četvrti Črnomerec. Područje ugroženosti obuhvaća podsljemensku zonu od Podsuseda do Sesveta, i dio Vukomeričkih gorica u Brezovici. Najveće klizište u gradu Zagrebu je Kostanjek površine 1,2 km², a aktivno je već pedeset godina, još dok je radila cementara u Podsusedu. Na klizištu Kostanjek uz pomoć Japanske vlasti uspostavljen je sustav za praćenje pomaka klizišta. </w:t>
      </w:r>
    </w:p>
    <w:p w14:paraId="753CD9DC" w14:textId="77777777" w:rsidR="00472217" w:rsidRPr="00472217" w:rsidRDefault="00472217" w:rsidP="00472217">
      <w:pPr>
        <w:spacing w:after="0" w:line="240" w:lineRule="auto"/>
        <w:ind w:left="0" w:right="0" w:firstLine="0"/>
        <w:rPr>
          <w:rFonts w:ascii="Times New Roman" w:hAnsi="Times New Roman" w:cs="Times New Roman"/>
          <w:color w:val="FF0000"/>
          <w:sz w:val="24"/>
          <w:szCs w:val="24"/>
        </w:rPr>
      </w:pPr>
      <w:r w:rsidRPr="00472217">
        <w:rPr>
          <w:rFonts w:ascii="Times New Roman" w:hAnsi="Times New Roman" w:cs="Times New Roman"/>
          <w:sz w:val="24"/>
          <w:szCs w:val="24"/>
        </w:rPr>
        <w:t xml:space="preserve">Grad Zagreb ozbiljnije se počeo baviti klizištima 2000.g. kada je Gradski zavod za planiranje prihvatio i uvrstio </w:t>
      </w:r>
      <w:r w:rsidRPr="00472217">
        <w:rPr>
          <w:rFonts w:ascii="Times New Roman" w:hAnsi="Times New Roman" w:cs="Times New Roman"/>
          <w:i/>
          <w:sz w:val="24"/>
          <w:szCs w:val="24"/>
        </w:rPr>
        <w:t>Projekt kompleksnih geotehničkih i seizmičkih istraživanja za potrebe planiranja i građenja na području Grada Zagreba</w:t>
      </w:r>
      <w:r w:rsidRPr="00472217">
        <w:rPr>
          <w:rFonts w:ascii="Times New Roman" w:hAnsi="Times New Roman" w:cs="Times New Roman"/>
          <w:sz w:val="24"/>
          <w:szCs w:val="24"/>
        </w:rPr>
        <w:t xml:space="preserve"> (Ortolan, Ž., Grubić, N., Mavar, R., Aničić, D., Petrić-Jankov, T. Vukelić, I., Kelemen Pepeonik, V. &amp; Mikulić, A., Institut građevinarstva Hrvatske, Zavod za geotehniku, Zagreb, studeni 2000.) te postao sastavni dio PPGZ-a (Službeni Glasnik Grada Zagreba 8/01). U skladu s planom završena je izrada DIGK–Faza 2 "Podsljemenske urbanizirane zone" (detaljna inženjersko-geološka karta površine oko 180 km</w:t>
      </w:r>
      <w:r w:rsidRPr="00472217">
        <w:rPr>
          <w:rFonts w:ascii="Times New Roman" w:hAnsi="Times New Roman" w:cs="Times New Roman"/>
          <w:sz w:val="24"/>
          <w:szCs w:val="24"/>
          <w:vertAlign w:val="superscript"/>
        </w:rPr>
        <w:t>2</w:t>
      </w:r>
      <w:r w:rsidRPr="00472217">
        <w:rPr>
          <w:rFonts w:ascii="Times New Roman" w:hAnsi="Times New Roman" w:cs="Times New Roman"/>
          <w:sz w:val="24"/>
          <w:szCs w:val="24"/>
        </w:rPr>
        <w:t xml:space="preserve">) mjerila 1:5000, koja je registrirala klizišta na tom području (preko 1000 kom). Ista je u upotrebi od 2008. i nadopunjena 2018. godine. Na području Grada evidentirana su područja aktivnih ili mogućih klizišta. </w:t>
      </w:r>
      <w:r w:rsidRPr="00472217">
        <w:rPr>
          <w:rFonts w:ascii="Times New Roman" w:hAnsi="Times New Roman" w:cs="Times New Roman"/>
          <w:color w:val="FF0000"/>
          <w:sz w:val="24"/>
          <w:szCs w:val="24"/>
        </w:rPr>
        <w:t xml:space="preserve"> </w:t>
      </w:r>
    </w:p>
    <w:p w14:paraId="2D8A56A2" w14:textId="77777777" w:rsidR="00472217" w:rsidRPr="00472217" w:rsidRDefault="00472217" w:rsidP="00C70C9F">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Klizišta u Gradu Zagrebu ne ugrožavaju čitavo područje grada, već su mjestimična pojava i razmjeri opasnosti u  kontekstu ekonomske odnosno gospodarske štete nisu veliki u odnosu na svjetska klizišta (iznimku predstavlja klizište Kostanjek). Većina klizišta na području Grada Zagreba posljedica su ljudskih zahvata i postoji stalna mogućnost njihova aktiviranja.</w:t>
      </w:r>
      <w:r w:rsidRPr="00472217">
        <w:rPr>
          <w:rFonts w:ascii="Times New Roman" w:hAnsi="Times New Roman" w:cs="Times New Roman"/>
          <w:color w:val="FF0000"/>
          <w:sz w:val="24"/>
          <w:szCs w:val="24"/>
        </w:rPr>
        <w:t xml:space="preserve"> </w:t>
      </w:r>
      <w:r w:rsidRPr="00472217">
        <w:rPr>
          <w:rFonts w:ascii="Times New Roman" w:hAnsi="Times New Roman" w:cs="Times New Roman"/>
          <w:sz w:val="24"/>
          <w:szCs w:val="24"/>
        </w:rPr>
        <w:t xml:space="preserve">Pokretanje klizišta može nanijeti veliku materijalnu štetu za objekte koji se nalaze u okruženju te za drugu komunalnu infrastrukturu. </w:t>
      </w:r>
    </w:p>
    <w:p w14:paraId="03F606B7" w14:textId="6BE00D56" w:rsidR="00472217" w:rsidRPr="008B3D9F" w:rsidRDefault="00472217" w:rsidP="00472217">
      <w:pPr>
        <w:spacing w:after="0" w:line="240" w:lineRule="auto"/>
        <w:ind w:left="0" w:right="0" w:firstLine="0"/>
        <w:jc w:val="center"/>
        <w:rPr>
          <w:rFonts w:ascii="Times New Roman" w:hAnsi="Times New Roman" w:cs="Times New Roman"/>
          <w:b/>
          <w:color w:val="auto"/>
          <w:sz w:val="24"/>
          <w:szCs w:val="24"/>
        </w:rPr>
      </w:pPr>
      <w:r w:rsidRPr="008B3D9F">
        <w:rPr>
          <w:rFonts w:ascii="Times New Roman" w:hAnsi="Times New Roman" w:cs="Times New Roman"/>
          <w:b/>
          <w:color w:val="auto"/>
          <w:sz w:val="24"/>
          <w:szCs w:val="24"/>
        </w:rPr>
        <w:lastRenderedPageBreak/>
        <w:t xml:space="preserve">Slika </w:t>
      </w:r>
      <w:r w:rsidR="008B3D9F" w:rsidRPr="008B3D9F">
        <w:rPr>
          <w:rFonts w:ascii="Times New Roman" w:hAnsi="Times New Roman" w:cs="Times New Roman"/>
          <w:b/>
          <w:color w:val="auto"/>
          <w:sz w:val="24"/>
          <w:szCs w:val="24"/>
        </w:rPr>
        <w:t>32</w:t>
      </w:r>
      <w:r w:rsidRPr="008B3D9F">
        <w:rPr>
          <w:rFonts w:ascii="Times New Roman" w:hAnsi="Times New Roman" w:cs="Times New Roman"/>
          <w:b/>
          <w:color w:val="auto"/>
          <w:sz w:val="24"/>
          <w:szCs w:val="24"/>
        </w:rPr>
        <w:t>. Površina obuhvaćena klizištima u podsljemenskoj zoni</w:t>
      </w:r>
    </w:p>
    <w:p w14:paraId="106C474A" w14:textId="77777777" w:rsidR="00472217" w:rsidRPr="00472217" w:rsidRDefault="00472217" w:rsidP="00472217">
      <w:pPr>
        <w:spacing w:after="0" w:line="240" w:lineRule="auto"/>
        <w:ind w:left="0" w:right="0" w:firstLine="0"/>
        <w:rPr>
          <w:rFonts w:ascii="Times New Roman" w:hAnsi="Times New Roman" w:cs="Times New Roman"/>
          <w:sz w:val="24"/>
          <w:szCs w:val="24"/>
          <w:u w:val="single"/>
        </w:rPr>
      </w:pPr>
      <w:r w:rsidRPr="00472217">
        <w:rPr>
          <w:noProof/>
        </w:rPr>
        <w:drawing>
          <wp:inline distT="0" distB="0" distL="0" distR="0" wp14:anchorId="325D503B" wp14:editId="40DBC8B1">
            <wp:extent cx="5581015" cy="3949065"/>
            <wp:effectExtent l="0" t="0" r="635" b="0"/>
            <wp:docPr id="52286" name="Picture 5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581015" cy="3949065"/>
                    </a:xfrm>
                    <a:prstGeom prst="rect">
                      <a:avLst/>
                    </a:prstGeom>
                    <a:noFill/>
                    <a:ln>
                      <a:noFill/>
                    </a:ln>
                  </pic:spPr>
                </pic:pic>
              </a:graphicData>
            </a:graphic>
          </wp:inline>
        </w:drawing>
      </w:r>
    </w:p>
    <w:p w14:paraId="24F7AD30" w14:textId="77777777" w:rsidR="00472217" w:rsidRPr="00A4649E" w:rsidRDefault="00472217" w:rsidP="00472217">
      <w:pPr>
        <w:spacing w:after="0" w:line="240" w:lineRule="auto"/>
        <w:ind w:left="0" w:right="0" w:firstLine="0"/>
        <w:jc w:val="center"/>
        <w:rPr>
          <w:rFonts w:ascii="Times New Roman" w:hAnsi="Times New Roman" w:cs="Times New Roman"/>
          <w:i/>
          <w:sz w:val="20"/>
          <w:szCs w:val="20"/>
        </w:rPr>
      </w:pPr>
      <w:r w:rsidRPr="00A4649E">
        <w:rPr>
          <w:rFonts w:ascii="Times New Roman" w:hAnsi="Times New Roman" w:cs="Times New Roman"/>
          <w:i/>
          <w:sz w:val="20"/>
          <w:szCs w:val="20"/>
        </w:rPr>
        <w:t>Izvor: Plan djelovanja civilne zaštite Grada Zagreba</w:t>
      </w:r>
    </w:p>
    <w:p w14:paraId="4CBBD2F8" w14:textId="77777777" w:rsidR="00472217" w:rsidRPr="00472217" w:rsidRDefault="00472217" w:rsidP="00472217">
      <w:pPr>
        <w:spacing w:after="0" w:line="240" w:lineRule="auto"/>
        <w:ind w:left="0" w:right="0" w:firstLine="0"/>
        <w:rPr>
          <w:rFonts w:ascii="Times New Roman" w:hAnsi="Times New Roman" w:cs="Times New Roman"/>
          <w:sz w:val="24"/>
          <w:szCs w:val="24"/>
          <w:u w:val="single"/>
        </w:rPr>
      </w:pPr>
    </w:p>
    <w:p w14:paraId="5C994756" w14:textId="77777777" w:rsidR="00472217" w:rsidRPr="00472217" w:rsidRDefault="00472217" w:rsidP="00C70C9F">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Neki od najčešćih uzroka klizanja su ekstremne oborine, neispravno i slabo ili nikakvo održavanje sustava namijenjenog za prihvat i odvodnju oborinskih voda, potresi, naglo spuštanje kao i podizanje razine podzemne vode, promjene opterećenja padine (zbog neodgovarajućeg građenja na padini, neodgovarajućeg iskopa ili neodgovarajućeg odlaganja iskopanog materijala). Na obroncima Medvednice najveći doprinos smanjenju postojećeg stupnja stabilnosti padina povezan je sa prenamjenom površina (sječa šuma)</w:t>
      </w:r>
      <w:r w:rsidRPr="00472217">
        <w:rPr>
          <w:rFonts w:ascii="Times New Roman" w:hAnsi="Times New Roman" w:cs="Times New Roman"/>
          <w:color w:val="auto"/>
          <w:sz w:val="24"/>
          <w:szCs w:val="24"/>
        </w:rPr>
        <w:t>,</w:t>
      </w:r>
      <w:r w:rsidRPr="00472217">
        <w:rPr>
          <w:rFonts w:ascii="Times New Roman" w:hAnsi="Times New Roman" w:cs="Times New Roman"/>
          <w:sz w:val="24"/>
          <w:szCs w:val="24"/>
        </w:rPr>
        <w:t xml:space="preserve"> sve je prisutnija izgradnja stambenih objekata i prateće infrastrukture – grade se ceste, vodovod, kanalizacija, koja ni do danas nije izgrađena u svim naseljima gdje je izgrađen vodovod što uzrokuje često nekontrolirano odlijevanje vode u podzemlju). Procurenjem septičkih jama aktiviraju se pomaci na ionako nestabilnim padinama. </w:t>
      </w:r>
    </w:p>
    <w:p w14:paraId="20D8CA26" w14:textId="77777777" w:rsidR="00472217" w:rsidRPr="00472217" w:rsidRDefault="00472217" w:rsidP="00C70C9F">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color w:val="auto"/>
          <w:sz w:val="24"/>
          <w:szCs w:val="24"/>
        </w:rPr>
        <w:t>Česti uzroci su i plitka temeljenja zbog loše napravljenih geotehničkih istražnih radova – npr. klizna ploha je na -20,00 m, a piloti se izvedu do dubine – 6,00 ili –7,00 m</w:t>
      </w:r>
      <w:r w:rsidRPr="00472217">
        <w:rPr>
          <w:color w:val="auto"/>
        </w:rPr>
        <w:t xml:space="preserve"> </w:t>
      </w:r>
      <w:r w:rsidRPr="00472217">
        <w:rPr>
          <w:rFonts w:ascii="Times New Roman" w:hAnsi="Times New Roman" w:cs="Times New Roman"/>
          <w:color w:val="auto"/>
          <w:sz w:val="24"/>
          <w:szCs w:val="24"/>
        </w:rPr>
        <w:t xml:space="preserve">ili pak </w:t>
      </w:r>
      <w:r w:rsidRPr="00472217">
        <w:rPr>
          <w:rFonts w:ascii="Times New Roman" w:hAnsi="Times New Roman" w:cs="Times New Roman"/>
          <w:sz w:val="24"/>
          <w:szCs w:val="24"/>
        </w:rPr>
        <w:t xml:space="preserve">izvođenje trakastih temelja na klizištu). Treba još spomenuti i eksploataciju mineralnih sirovina (Müllerov brijeg, Grmošćica – opekarska glina, Kostanjek - lapor i sl.) </w:t>
      </w:r>
    </w:p>
    <w:p w14:paraId="3DF0EF38" w14:textId="77777777" w:rsidR="00472217" w:rsidRPr="00472217" w:rsidRDefault="00472217" w:rsidP="00C70C9F">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Identifikacija opasnosti od klizanja, ili hazarda klizanja, na području Grada Zagreba provedena je procjenom prostorne vjerojatnosti klizišta u odnosu na preduvjete klizanja, reljef i vrstu stijena/tala. Područja koja nisu podložna na klizanje, odnosno područja na kojima nije moguća pojava klizišta jer nisu ispunjeni glavni preduvjeti klizanja (nagib terena i litologija) zauzimaju površinu od 366,4 km</w:t>
      </w:r>
      <w:r w:rsidRPr="00472217">
        <w:rPr>
          <w:rFonts w:ascii="Times New Roman" w:hAnsi="Times New Roman" w:cs="Times New Roman"/>
          <w:sz w:val="24"/>
          <w:szCs w:val="24"/>
          <w:vertAlign w:val="superscript"/>
        </w:rPr>
        <w:t>2</w:t>
      </w:r>
      <w:r w:rsidRPr="00472217">
        <w:rPr>
          <w:rFonts w:ascii="Times New Roman" w:hAnsi="Times New Roman" w:cs="Times New Roman"/>
          <w:sz w:val="24"/>
          <w:szCs w:val="24"/>
        </w:rPr>
        <w:t xml:space="preserve"> ili 57,1% površine Grada Zagreba. Područja s niskom podložnosti na klizanje predstavljaju područja podložna na klizanje na kojima je gustoća klizišta (broj klizišta po km</w:t>
      </w:r>
      <w:r w:rsidRPr="00472217">
        <w:rPr>
          <w:rFonts w:ascii="Times New Roman" w:hAnsi="Times New Roman" w:cs="Times New Roman"/>
          <w:sz w:val="24"/>
          <w:szCs w:val="24"/>
          <w:vertAlign w:val="superscript"/>
        </w:rPr>
        <w:t>2</w:t>
      </w:r>
      <w:r w:rsidRPr="00472217">
        <w:rPr>
          <w:rFonts w:ascii="Times New Roman" w:hAnsi="Times New Roman" w:cs="Times New Roman"/>
          <w:sz w:val="24"/>
          <w:szCs w:val="24"/>
        </w:rPr>
        <w:t>) relativno niska, a ona zauzimaju površinu od 116,2 km</w:t>
      </w:r>
      <w:r w:rsidRPr="00472217">
        <w:rPr>
          <w:rFonts w:ascii="Times New Roman" w:hAnsi="Times New Roman" w:cs="Times New Roman"/>
          <w:sz w:val="24"/>
          <w:szCs w:val="24"/>
          <w:vertAlign w:val="superscript"/>
        </w:rPr>
        <w:t xml:space="preserve">2 </w:t>
      </w:r>
      <w:r w:rsidRPr="00472217">
        <w:rPr>
          <w:rFonts w:ascii="Times New Roman" w:hAnsi="Times New Roman" w:cs="Times New Roman"/>
          <w:sz w:val="24"/>
          <w:szCs w:val="24"/>
        </w:rPr>
        <w:t xml:space="preserve">ili 18,1% površine Grada Zagreba. Područja s visokom podložnosti na klizanje predstavljaju područja na </w:t>
      </w:r>
      <w:r w:rsidRPr="00472217">
        <w:rPr>
          <w:rFonts w:ascii="Times New Roman" w:hAnsi="Times New Roman" w:cs="Times New Roman"/>
          <w:sz w:val="24"/>
          <w:szCs w:val="24"/>
        </w:rPr>
        <w:lastRenderedPageBreak/>
        <w:t>kojima je relativno visoka gustoća klizišta te zauzimaju površinu od 158,7 km</w:t>
      </w:r>
      <w:r w:rsidRPr="00472217">
        <w:rPr>
          <w:rFonts w:ascii="Times New Roman" w:hAnsi="Times New Roman" w:cs="Times New Roman"/>
          <w:sz w:val="24"/>
          <w:szCs w:val="24"/>
          <w:vertAlign w:val="superscript"/>
        </w:rPr>
        <w:t>2</w:t>
      </w:r>
      <w:r w:rsidRPr="00472217">
        <w:rPr>
          <w:rFonts w:ascii="Times New Roman" w:hAnsi="Times New Roman" w:cs="Times New Roman"/>
          <w:sz w:val="24"/>
          <w:szCs w:val="24"/>
        </w:rPr>
        <w:t xml:space="preserve"> ili 24,8% površine Grada Zagreba</w:t>
      </w:r>
      <w:r w:rsidRPr="00472217">
        <w:rPr>
          <w:rFonts w:ascii="Times New Roman" w:hAnsi="Times New Roman" w:cs="Times New Roman"/>
          <w:sz w:val="24"/>
          <w:szCs w:val="24"/>
          <w:vertAlign w:val="superscript"/>
        </w:rPr>
        <w:footnoteReference w:id="118"/>
      </w:r>
      <w:r w:rsidRPr="00472217">
        <w:rPr>
          <w:rFonts w:ascii="Times New Roman" w:hAnsi="Times New Roman" w:cs="Times New Roman"/>
          <w:sz w:val="24"/>
          <w:szCs w:val="24"/>
        </w:rPr>
        <w:t>.</w:t>
      </w:r>
    </w:p>
    <w:p w14:paraId="5F160963" w14:textId="77777777" w:rsidR="00472217" w:rsidRPr="00472217" w:rsidRDefault="00472217" w:rsidP="00472217">
      <w:pPr>
        <w:spacing w:after="0" w:line="240" w:lineRule="auto"/>
        <w:ind w:left="0" w:right="0" w:firstLine="0"/>
        <w:rPr>
          <w:rFonts w:ascii="Times New Roman" w:hAnsi="Times New Roman" w:cs="Times New Roman"/>
          <w:sz w:val="24"/>
          <w:szCs w:val="24"/>
          <w:u w:val="single"/>
        </w:rPr>
      </w:pPr>
    </w:p>
    <w:p w14:paraId="6B731732" w14:textId="77777777" w:rsidR="00472217" w:rsidRPr="00472217" w:rsidRDefault="00472217" w:rsidP="00C70C9F">
      <w:pPr>
        <w:spacing w:after="0" w:line="240" w:lineRule="auto"/>
        <w:ind w:left="0" w:right="0" w:firstLine="709"/>
        <w:rPr>
          <w:rFonts w:ascii="Times New Roman" w:hAnsi="Times New Roman" w:cs="Times New Roman"/>
          <w:sz w:val="24"/>
          <w:szCs w:val="24"/>
          <w:u w:val="single"/>
        </w:rPr>
      </w:pPr>
      <w:r w:rsidRPr="00472217">
        <w:rPr>
          <w:rFonts w:ascii="Times New Roman" w:hAnsi="Times New Roman" w:cs="Times New Roman"/>
          <w:sz w:val="24"/>
          <w:szCs w:val="24"/>
          <w:u w:val="single"/>
        </w:rPr>
        <w:t>Klizište Črešnjevec</w:t>
      </w:r>
    </w:p>
    <w:p w14:paraId="75C4B481" w14:textId="6E49835E" w:rsidR="00472217" w:rsidRPr="00472217" w:rsidRDefault="00472217" w:rsidP="00C70C9F">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Jedno od opasnijih klizišta u Gradu Zagrebu, koje se prati zbog realne opasnosti širenja klizišta i rušenja naseljenih objekata, je klizište Črešnjevec na kojemu je već nekoliko kuća iseljeno a nalazi se u gradskoj četvrti Maksimir. Površinom od preko 20 000 m</w:t>
      </w:r>
      <w:r w:rsidRPr="00472217">
        <w:rPr>
          <w:rFonts w:ascii="Times New Roman" w:hAnsi="Times New Roman" w:cs="Times New Roman"/>
          <w:sz w:val="24"/>
          <w:szCs w:val="24"/>
          <w:vertAlign w:val="superscript"/>
        </w:rPr>
        <w:t>2</w:t>
      </w:r>
      <w:r w:rsidRPr="00472217">
        <w:rPr>
          <w:rFonts w:ascii="Times New Roman" w:hAnsi="Times New Roman" w:cs="Times New Roman"/>
          <w:sz w:val="24"/>
          <w:szCs w:val="24"/>
        </w:rPr>
        <w:t>,</w:t>
      </w:r>
      <w:r w:rsidRPr="00472217">
        <w:rPr>
          <w:rFonts w:ascii="Times New Roman" w:hAnsi="Times New Roman" w:cs="Times New Roman"/>
          <w:sz w:val="24"/>
          <w:szCs w:val="24"/>
          <w:vertAlign w:val="superscript"/>
        </w:rPr>
        <w:t xml:space="preserve"> </w:t>
      </w:r>
      <w:r w:rsidRPr="00472217">
        <w:rPr>
          <w:rFonts w:ascii="Times New Roman" w:hAnsi="Times New Roman" w:cs="Times New Roman"/>
          <w:sz w:val="24"/>
          <w:szCs w:val="24"/>
        </w:rPr>
        <w:t xml:space="preserve">zahvaća veliki dio </w:t>
      </w:r>
      <w:r w:rsidRPr="008B3D9F">
        <w:rPr>
          <w:rFonts w:ascii="Times New Roman" w:hAnsi="Times New Roman" w:cs="Times New Roman"/>
          <w:color w:val="auto"/>
          <w:sz w:val="24"/>
          <w:szCs w:val="24"/>
        </w:rPr>
        <w:t xml:space="preserve">nestabilne padine od južne strane ulice Črešnjevec do jaruge - korita povremenog potoka (Slika </w:t>
      </w:r>
      <w:r w:rsidR="008B3D9F" w:rsidRPr="008B3D9F">
        <w:rPr>
          <w:rFonts w:ascii="Times New Roman" w:hAnsi="Times New Roman" w:cs="Times New Roman"/>
          <w:color w:val="auto"/>
          <w:sz w:val="24"/>
          <w:szCs w:val="24"/>
        </w:rPr>
        <w:t>33</w:t>
      </w:r>
      <w:r w:rsidRPr="008B3D9F">
        <w:rPr>
          <w:rFonts w:ascii="Times New Roman" w:hAnsi="Times New Roman" w:cs="Times New Roman"/>
          <w:color w:val="auto"/>
          <w:sz w:val="24"/>
          <w:szCs w:val="24"/>
        </w:rPr>
        <w:t xml:space="preserve">.) Dugotrajna aktivnost klizišta prouzročila je znatne materijalne štete na postojećim </w:t>
      </w:r>
      <w:r w:rsidRPr="00472217">
        <w:rPr>
          <w:rFonts w:ascii="Times New Roman" w:hAnsi="Times New Roman" w:cs="Times New Roman"/>
          <w:sz w:val="24"/>
          <w:szCs w:val="24"/>
        </w:rPr>
        <w:t xml:space="preserve">objektima i infrastrukturi u ulici ugrožavajući i sigurnost građana. </w:t>
      </w:r>
    </w:p>
    <w:p w14:paraId="164DA091"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3B159D23" w14:textId="11B5EC32" w:rsidR="00472217" w:rsidRPr="008B3D9F" w:rsidRDefault="008B3D9F" w:rsidP="00A4649E">
      <w:pPr>
        <w:spacing w:line="240" w:lineRule="auto"/>
        <w:ind w:left="0" w:right="0" w:firstLine="0"/>
        <w:jc w:val="center"/>
        <w:rPr>
          <w:rFonts w:ascii="Times New Roman" w:hAnsi="Times New Roman" w:cs="Times New Roman"/>
          <w:b/>
          <w:color w:val="auto"/>
          <w:sz w:val="24"/>
          <w:szCs w:val="24"/>
        </w:rPr>
      </w:pPr>
      <w:r w:rsidRPr="008B3D9F">
        <w:rPr>
          <w:rFonts w:ascii="Times New Roman" w:hAnsi="Times New Roman" w:cs="Times New Roman"/>
          <w:b/>
          <w:color w:val="auto"/>
          <w:sz w:val="24"/>
          <w:szCs w:val="24"/>
        </w:rPr>
        <w:t>Slika 33</w:t>
      </w:r>
      <w:r w:rsidR="00472217" w:rsidRPr="008B3D9F">
        <w:rPr>
          <w:rFonts w:ascii="Times New Roman" w:hAnsi="Times New Roman" w:cs="Times New Roman"/>
          <w:b/>
          <w:color w:val="auto"/>
          <w:sz w:val="24"/>
          <w:szCs w:val="24"/>
        </w:rPr>
        <w:t>. Prikaz klizišta Črešnjevec</w:t>
      </w:r>
    </w:p>
    <w:p w14:paraId="1CCFAEA1" w14:textId="77777777" w:rsidR="00472217" w:rsidRPr="00472217" w:rsidRDefault="00472217" w:rsidP="00472217">
      <w:pPr>
        <w:spacing w:after="0" w:line="240" w:lineRule="auto"/>
        <w:ind w:left="0" w:right="0" w:firstLine="0"/>
        <w:rPr>
          <w:rFonts w:ascii="Times New Roman" w:hAnsi="Times New Roman" w:cs="Times New Roman"/>
          <w:sz w:val="24"/>
          <w:szCs w:val="24"/>
        </w:rPr>
      </w:pPr>
      <w:r w:rsidRPr="00472217">
        <w:rPr>
          <w:noProof/>
        </w:rPr>
        <w:drawing>
          <wp:inline distT="0" distB="0" distL="0" distR="0" wp14:anchorId="4AAEFF4C" wp14:editId="3684EE03">
            <wp:extent cx="5581015" cy="3177540"/>
            <wp:effectExtent l="0" t="0" r="635" b="3810"/>
            <wp:docPr id="52287" name="Picture 52287" descr="Slika 1. Prikaz klizišta Črešnjev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lika 1. Prikaz klizišta Črešnjevec"/>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581015" cy="3177540"/>
                    </a:xfrm>
                    <a:prstGeom prst="rect">
                      <a:avLst/>
                    </a:prstGeom>
                    <a:noFill/>
                    <a:ln>
                      <a:noFill/>
                    </a:ln>
                  </pic:spPr>
                </pic:pic>
              </a:graphicData>
            </a:graphic>
          </wp:inline>
        </w:drawing>
      </w:r>
    </w:p>
    <w:p w14:paraId="666B22EA" w14:textId="77777777" w:rsidR="00472217" w:rsidRPr="00A4649E" w:rsidRDefault="00472217" w:rsidP="00472217">
      <w:pPr>
        <w:spacing w:after="0" w:line="240" w:lineRule="auto"/>
        <w:ind w:left="0" w:right="0" w:firstLine="0"/>
        <w:jc w:val="center"/>
        <w:rPr>
          <w:rFonts w:ascii="Times New Roman" w:hAnsi="Times New Roman" w:cs="Times New Roman"/>
          <w:i/>
          <w:sz w:val="20"/>
          <w:szCs w:val="20"/>
        </w:rPr>
      </w:pPr>
      <w:r w:rsidRPr="00A4649E">
        <w:rPr>
          <w:rFonts w:ascii="Times New Roman" w:hAnsi="Times New Roman" w:cs="Times New Roman"/>
          <w:i/>
          <w:sz w:val="20"/>
          <w:szCs w:val="20"/>
        </w:rPr>
        <w:t>Izvor: M. Podbojec, M. Jukić: Sinteza istražnih inženjerskogeoloških i geotehničkih radova i provedenih sanacijskih mjera na klizištu Črešnjevec (1982. – 2016.)</w:t>
      </w:r>
    </w:p>
    <w:p w14:paraId="7A1B7865"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0AE6B8F3" w14:textId="41F0A359" w:rsidR="00472217" w:rsidRDefault="00472217" w:rsidP="00472217">
      <w:pPr>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Inicijalni uzroci klizanja koji su doveli padinu u labilno stanje ravnoteže su:</w:t>
      </w:r>
    </w:p>
    <w:p w14:paraId="47B76752" w14:textId="77777777" w:rsidR="00C70C9F" w:rsidRPr="00472217" w:rsidRDefault="00C70C9F" w:rsidP="00472217">
      <w:pPr>
        <w:spacing w:after="0" w:line="240" w:lineRule="auto"/>
        <w:ind w:left="0" w:right="0" w:firstLine="0"/>
        <w:rPr>
          <w:rFonts w:ascii="Times New Roman" w:hAnsi="Times New Roman" w:cs="Times New Roman"/>
          <w:sz w:val="24"/>
          <w:szCs w:val="24"/>
        </w:rPr>
      </w:pPr>
    </w:p>
    <w:p w14:paraId="5051F84D" w14:textId="28DA630E" w:rsidR="00472217" w:rsidRPr="00472217" w:rsidRDefault="00472217" w:rsidP="0014113B">
      <w:pPr>
        <w:numPr>
          <w:ilvl w:val="0"/>
          <w:numId w:val="13"/>
        </w:numPr>
        <w:spacing w:after="0" w:line="240" w:lineRule="auto"/>
        <w:ind w:right="0"/>
        <w:contextualSpacing/>
        <w:rPr>
          <w:rFonts w:ascii="Times New Roman" w:hAnsi="Times New Roman" w:cs="Times New Roman"/>
          <w:sz w:val="24"/>
          <w:szCs w:val="24"/>
        </w:rPr>
      </w:pPr>
      <w:r w:rsidRPr="00472217">
        <w:rPr>
          <w:rFonts w:ascii="Times New Roman" w:hAnsi="Times New Roman" w:cs="Times New Roman"/>
          <w:sz w:val="24"/>
          <w:szCs w:val="24"/>
        </w:rPr>
        <w:t>geotehničke karakteristike lokacije</w:t>
      </w:r>
    </w:p>
    <w:p w14:paraId="73AF7A63" w14:textId="5D16E521" w:rsidR="00472217" w:rsidRPr="00472217" w:rsidRDefault="00472217" w:rsidP="0014113B">
      <w:pPr>
        <w:numPr>
          <w:ilvl w:val="0"/>
          <w:numId w:val="13"/>
        </w:numPr>
        <w:spacing w:after="0" w:line="240" w:lineRule="auto"/>
        <w:ind w:right="0"/>
        <w:contextualSpacing/>
        <w:rPr>
          <w:rFonts w:ascii="Times New Roman" w:hAnsi="Times New Roman" w:cs="Times New Roman"/>
          <w:sz w:val="24"/>
          <w:szCs w:val="24"/>
        </w:rPr>
      </w:pPr>
      <w:r w:rsidRPr="00472217">
        <w:rPr>
          <w:rFonts w:ascii="Times New Roman" w:hAnsi="Times New Roman" w:cs="Times New Roman"/>
          <w:sz w:val="24"/>
          <w:szCs w:val="24"/>
        </w:rPr>
        <w:t>prihranjivanje tla oborinskim vodama s krovova kuća i prometnica</w:t>
      </w:r>
    </w:p>
    <w:p w14:paraId="2DF70EB1" w14:textId="5261030C" w:rsidR="00472217" w:rsidRPr="00472217" w:rsidRDefault="00472217" w:rsidP="0014113B">
      <w:pPr>
        <w:numPr>
          <w:ilvl w:val="0"/>
          <w:numId w:val="13"/>
        </w:numPr>
        <w:spacing w:after="0" w:line="240" w:lineRule="auto"/>
        <w:ind w:right="0"/>
        <w:contextualSpacing/>
        <w:rPr>
          <w:rFonts w:ascii="Times New Roman" w:hAnsi="Times New Roman" w:cs="Times New Roman"/>
          <w:sz w:val="24"/>
          <w:szCs w:val="24"/>
        </w:rPr>
      </w:pPr>
      <w:r w:rsidRPr="00472217">
        <w:rPr>
          <w:rFonts w:ascii="Times New Roman" w:hAnsi="Times New Roman" w:cs="Times New Roman"/>
          <w:sz w:val="24"/>
          <w:szCs w:val="24"/>
        </w:rPr>
        <w:t>prihranjivanje tla vodom iz starih vodopropusnih cijevi kanalizacije i vodovoda (iz 1994. i 1966. g) i iz kućnih priključaka koji nisu spojeni na kanalizaciju</w:t>
      </w:r>
    </w:p>
    <w:p w14:paraId="79FB7756" w14:textId="77777777" w:rsidR="00472217" w:rsidRPr="00472217" w:rsidRDefault="00472217" w:rsidP="0014113B">
      <w:pPr>
        <w:numPr>
          <w:ilvl w:val="0"/>
          <w:numId w:val="13"/>
        </w:numPr>
        <w:spacing w:after="0" w:line="240" w:lineRule="auto"/>
        <w:ind w:right="0"/>
        <w:contextualSpacing/>
        <w:rPr>
          <w:rFonts w:ascii="Times New Roman" w:hAnsi="Times New Roman" w:cs="Times New Roman"/>
          <w:sz w:val="24"/>
          <w:szCs w:val="24"/>
        </w:rPr>
      </w:pPr>
      <w:r w:rsidRPr="00472217">
        <w:rPr>
          <w:rFonts w:ascii="Times New Roman" w:hAnsi="Times New Roman" w:cs="Times New Roman"/>
          <w:sz w:val="24"/>
          <w:szCs w:val="24"/>
        </w:rPr>
        <w:t>postojanje i korištenje propusnih septičkih jama</w:t>
      </w:r>
      <w:r w:rsidRPr="00472217">
        <w:rPr>
          <w:rFonts w:ascii="Times New Roman" w:hAnsi="Times New Roman" w:cs="Times New Roman"/>
          <w:sz w:val="24"/>
          <w:szCs w:val="24"/>
          <w:vertAlign w:val="superscript"/>
        </w:rPr>
        <w:footnoteReference w:id="119"/>
      </w:r>
      <w:r w:rsidRPr="00472217">
        <w:rPr>
          <w:rFonts w:ascii="Times New Roman" w:hAnsi="Times New Roman" w:cs="Times New Roman"/>
          <w:sz w:val="24"/>
          <w:szCs w:val="24"/>
        </w:rPr>
        <w:t>.</w:t>
      </w:r>
    </w:p>
    <w:p w14:paraId="3F1E12AE"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7FBF8189" w14:textId="77777777" w:rsidR="00472217" w:rsidRPr="00472217" w:rsidRDefault="00472217" w:rsidP="00C70C9F">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U nastojanju Grada Zagreba da smanji ili otkloni znatne materijalne štete na stambenim objektima i infrastrukturi u ulici, prouzročene dugotrajnom aktivnošću klizišta, investirano je u projekte istražnih radova i tehnička rješenja te su provedene mjere stabilizacije.</w:t>
      </w:r>
    </w:p>
    <w:p w14:paraId="70D96D49" w14:textId="7454CFBF" w:rsidR="00472217" w:rsidRDefault="00472217" w:rsidP="00472217">
      <w:pPr>
        <w:spacing w:after="0" w:line="240" w:lineRule="auto"/>
        <w:ind w:left="0" w:right="0" w:firstLine="0"/>
        <w:rPr>
          <w:rFonts w:ascii="Times New Roman" w:hAnsi="Times New Roman" w:cs="Times New Roman"/>
          <w:sz w:val="24"/>
          <w:szCs w:val="24"/>
        </w:rPr>
      </w:pPr>
    </w:p>
    <w:p w14:paraId="4F5B5C19" w14:textId="77777777" w:rsidR="00C70C9F" w:rsidRDefault="00C70C9F" w:rsidP="00472217">
      <w:pPr>
        <w:spacing w:after="0" w:line="240" w:lineRule="auto"/>
        <w:ind w:left="0" w:right="0" w:firstLine="0"/>
        <w:rPr>
          <w:rFonts w:ascii="Times New Roman" w:hAnsi="Times New Roman" w:cs="Times New Roman"/>
          <w:sz w:val="24"/>
          <w:szCs w:val="24"/>
          <w:u w:val="single"/>
        </w:rPr>
      </w:pPr>
    </w:p>
    <w:p w14:paraId="604287EC" w14:textId="50B87488" w:rsidR="00472217" w:rsidRPr="00472217" w:rsidRDefault="00472217" w:rsidP="00C70C9F">
      <w:pPr>
        <w:spacing w:after="0" w:line="240" w:lineRule="auto"/>
        <w:ind w:left="0" w:right="0" w:firstLine="709"/>
        <w:rPr>
          <w:rFonts w:ascii="Times New Roman" w:hAnsi="Times New Roman" w:cs="Times New Roman"/>
          <w:sz w:val="24"/>
          <w:szCs w:val="24"/>
          <w:u w:val="single"/>
        </w:rPr>
      </w:pPr>
      <w:r w:rsidRPr="00472217">
        <w:rPr>
          <w:rFonts w:ascii="Times New Roman" w:hAnsi="Times New Roman" w:cs="Times New Roman"/>
          <w:sz w:val="24"/>
          <w:szCs w:val="24"/>
          <w:u w:val="single"/>
        </w:rPr>
        <w:lastRenderedPageBreak/>
        <w:t>Klizište Kostanjek</w:t>
      </w:r>
    </w:p>
    <w:p w14:paraId="113036A0" w14:textId="77777777" w:rsidR="00472217" w:rsidRPr="00472217" w:rsidRDefault="00472217" w:rsidP="00C70C9F">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Klizište Kostanjek se nalazi na jugozapadnim obroncima planine Medvednica, na zapadnom dijelu Grada Zagreba, u gradskoj četvrti Podsused-Vrapče. S površinom od 1 km</w:t>
      </w:r>
      <w:r w:rsidRPr="00472217">
        <w:rPr>
          <w:rFonts w:ascii="Times New Roman" w:hAnsi="Times New Roman" w:cs="Times New Roman"/>
          <w:sz w:val="24"/>
          <w:szCs w:val="24"/>
          <w:vertAlign w:val="superscript"/>
        </w:rPr>
        <w:t xml:space="preserve">2 </w:t>
      </w:r>
      <w:r w:rsidRPr="00472217">
        <w:rPr>
          <w:rFonts w:ascii="Times New Roman" w:hAnsi="Times New Roman" w:cs="Times New Roman"/>
          <w:sz w:val="24"/>
          <w:szCs w:val="24"/>
        </w:rPr>
        <w:t>ovo klizište je najveće u Republici Hrvatskoj. Klizanjem je zahvaćeno urbanizirano područje s oko 300 stambenih objekata (većinom obiteljskih i gospodarskih) u kojima živi preko 500 stanovnika te pratećom infrastrukturom. Klizište je aktivirano 1963. godine (Ortolan, 1996) kao posljedica rudarskih aktivnosti za potrebe tadašnje tvornice cementa u Podsusedu, a procijenjeno je da ukupan pomak na površini terena u razdoblju od 50 godina iznosi približno sedam metara (Krkač i dr., 2013). Preduvjet za nastanak klizišta je bila i geološka građa šireg područja, izgrađena najvećim dijelom od slojevitih, često i laminiranih, miocenskih lapora, niske do srednje čvrstoće. Pomaci klizišta Kostanjek u zimi 2012/2013. registrirani su na mjernoj opremi za praćenje klizišta koja je postavljena 2011. i 2012. godine u okviru znanstveno-istraživačkog bilateralnog hrvatsko-japanskog SATREPS FY2008 projekta (Mihalić i Arbanas, 2012). Svrha uspostavljenog sustava je kontinuirano praćenje parametara klizanja u realnom vremenu, odnosno gibanja klizišta i pojava koje utječu na aktivnost klizišta kao što su oborine i promjene razine podzemne vode. Najveći registrirani ukupni horizontalni pomak na klizištu Kostanjek iznosio je 18,5 cm u razdoblju od približno pet mjeseci (18.12.2012.-9.5.2013.)</w:t>
      </w:r>
      <w:r w:rsidRPr="00472217">
        <w:rPr>
          <w:rFonts w:ascii="Times New Roman" w:hAnsi="Times New Roman" w:cs="Times New Roman"/>
          <w:sz w:val="24"/>
          <w:szCs w:val="24"/>
          <w:vertAlign w:val="superscript"/>
        </w:rPr>
        <w:footnoteReference w:id="120"/>
      </w:r>
      <w:r w:rsidRPr="00472217">
        <w:rPr>
          <w:rFonts w:ascii="Times New Roman" w:hAnsi="Times New Roman" w:cs="Times New Roman"/>
          <w:sz w:val="24"/>
          <w:szCs w:val="24"/>
        </w:rPr>
        <w:t>. Analize podataka su pokazale da su maksimalne zabilježene brzine klizanja u izrazitoj vezi s razdobljima intenzivnih oborina u vlažnijim dijelovima godine te posljedičnim visokim razinama podzemne vode. Na toj je lokaciji otvoren Opservatorij klizišta Kostanjek Rudarsko-geološko-naftnog fakulteta Sveučilišta u Zagrebu.</w:t>
      </w:r>
      <w:r w:rsidRPr="00472217">
        <w:t xml:space="preserve"> </w:t>
      </w:r>
      <w:r w:rsidRPr="00472217">
        <w:rPr>
          <w:rFonts w:ascii="Times New Roman" w:hAnsi="Times New Roman" w:cs="Times New Roman"/>
          <w:sz w:val="24"/>
          <w:szCs w:val="24"/>
        </w:rPr>
        <w:t>Grad Zagreb proveo je geotehničke istražne radove i napravo projekt sanacije klizišta te ishodio lokacijsku dozvolu, no prije nekoliko godina ista je istekla zbog neriješenih imovinsko-pravnih odnosa.</w:t>
      </w:r>
    </w:p>
    <w:p w14:paraId="01AC5964"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4BEE0CD2" w14:textId="77777777" w:rsidR="00472217" w:rsidRPr="00472217" w:rsidRDefault="00472217" w:rsidP="00472217">
      <w:pPr>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Posljedice su:</w:t>
      </w:r>
    </w:p>
    <w:p w14:paraId="066EB6AD" w14:textId="77777777" w:rsidR="00472217" w:rsidRPr="00472217" w:rsidRDefault="00472217" w:rsidP="0014113B">
      <w:pPr>
        <w:numPr>
          <w:ilvl w:val="0"/>
          <w:numId w:val="15"/>
        </w:numPr>
        <w:spacing w:after="0" w:line="240" w:lineRule="auto"/>
        <w:ind w:right="0"/>
        <w:contextualSpacing/>
        <w:rPr>
          <w:rFonts w:ascii="Times New Roman" w:hAnsi="Times New Roman" w:cs="Times New Roman"/>
          <w:sz w:val="24"/>
          <w:szCs w:val="24"/>
        </w:rPr>
      </w:pPr>
      <w:r w:rsidRPr="00472217">
        <w:rPr>
          <w:rFonts w:ascii="Times New Roman" w:hAnsi="Times New Roman" w:cs="Times New Roman"/>
          <w:sz w:val="24"/>
          <w:szCs w:val="24"/>
        </w:rPr>
        <w:t>pojava pukotina i deformacija na prometnicama, građevinama, dvorištima, zidovima, ogradama i dr.</w:t>
      </w:r>
    </w:p>
    <w:p w14:paraId="6062C1EB" w14:textId="77777777" w:rsidR="00472217" w:rsidRPr="00472217" w:rsidRDefault="00472217" w:rsidP="0014113B">
      <w:pPr>
        <w:numPr>
          <w:ilvl w:val="0"/>
          <w:numId w:val="15"/>
        </w:numPr>
        <w:spacing w:after="0" w:line="240" w:lineRule="auto"/>
        <w:ind w:right="0"/>
        <w:contextualSpacing/>
        <w:rPr>
          <w:rFonts w:ascii="Times New Roman" w:hAnsi="Times New Roman" w:cs="Times New Roman"/>
          <w:sz w:val="24"/>
          <w:szCs w:val="24"/>
        </w:rPr>
      </w:pPr>
      <w:r w:rsidRPr="00472217">
        <w:rPr>
          <w:rFonts w:ascii="Times New Roman" w:hAnsi="Times New Roman" w:cs="Times New Roman"/>
          <w:sz w:val="24"/>
          <w:szCs w:val="24"/>
        </w:rPr>
        <w:t>naginjanje stupova i drveća</w:t>
      </w:r>
    </w:p>
    <w:p w14:paraId="47B6419E" w14:textId="77777777" w:rsidR="00472217" w:rsidRPr="00472217" w:rsidRDefault="00472217" w:rsidP="0014113B">
      <w:pPr>
        <w:numPr>
          <w:ilvl w:val="0"/>
          <w:numId w:val="15"/>
        </w:numPr>
        <w:spacing w:after="0" w:line="240" w:lineRule="auto"/>
        <w:ind w:right="0"/>
        <w:contextualSpacing/>
        <w:rPr>
          <w:rFonts w:ascii="Times New Roman" w:hAnsi="Times New Roman" w:cs="Times New Roman"/>
          <w:sz w:val="24"/>
          <w:szCs w:val="24"/>
        </w:rPr>
      </w:pPr>
      <w:r w:rsidRPr="00472217">
        <w:rPr>
          <w:rFonts w:ascii="Times New Roman" w:hAnsi="Times New Roman" w:cs="Times New Roman"/>
          <w:sz w:val="24"/>
          <w:szCs w:val="24"/>
        </w:rPr>
        <w:t>zadržavanje vode na pojedinim lokacijama</w:t>
      </w:r>
    </w:p>
    <w:p w14:paraId="36001DCB" w14:textId="77777777" w:rsidR="00472217" w:rsidRPr="00472217" w:rsidRDefault="00472217" w:rsidP="0014113B">
      <w:pPr>
        <w:numPr>
          <w:ilvl w:val="0"/>
          <w:numId w:val="15"/>
        </w:numPr>
        <w:spacing w:after="0" w:line="240" w:lineRule="auto"/>
        <w:ind w:right="0"/>
        <w:contextualSpacing/>
        <w:rPr>
          <w:rFonts w:ascii="Times New Roman" w:hAnsi="Times New Roman" w:cs="Times New Roman"/>
          <w:sz w:val="24"/>
          <w:szCs w:val="24"/>
        </w:rPr>
      </w:pPr>
      <w:r w:rsidRPr="00472217">
        <w:rPr>
          <w:rFonts w:ascii="Times New Roman" w:hAnsi="Times New Roman" w:cs="Times New Roman"/>
          <w:sz w:val="24"/>
          <w:szCs w:val="24"/>
        </w:rPr>
        <w:t>pucanje stambenih objekata i pomoćnih objekata. Degradacija vrijednosti imovine</w:t>
      </w:r>
    </w:p>
    <w:p w14:paraId="3D83D4F4" w14:textId="7543E8EB" w:rsidR="00472217" w:rsidRPr="00472217" w:rsidRDefault="00C70C9F" w:rsidP="00472217">
      <w:pPr>
        <w:spacing w:after="0" w:line="240" w:lineRule="auto"/>
        <w:ind w:left="0" w:right="0" w:firstLine="0"/>
        <w:rPr>
          <w:rFonts w:ascii="Times New Roman" w:hAnsi="Times New Roman" w:cs="Times New Roman"/>
          <w:sz w:val="24"/>
          <w:szCs w:val="24"/>
        </w:rPr>
      </w:pPr>
      <w:r>
        <w:rPr>
          <w:rFonts w:ascii="Times New Roman" w:hAnsi="Times New Roman" w:cs="Times New Roman"/>
          <w:sz w:val="24"/>
          <w:szCs w:val="24"/>
        </w:rPr>
        <w:t xml:space="preserve">            </w:t>
      </w:r>
      <w:r w:rsidR="00472217" w:rsidRPr="00472217">
        <w:rPr>
          <w:rFonts w:ascii="Times New Roman" w:hAnsi="Times New Roman" w:cs="Times New Roman"/>
          <w:sz w:val="24"/>
          <w:szCs w:val="24"/>
        </w:rPr>
        <w:t>zbog klizanja terena jedna je od najočitijih posljedica.</w:t>
      </w:r>
    </w:p>
    <w:p w14:paraId="058D772D" w14:textId="77777777" w:rsidR="00472217" w:rsidRPr="00472217" w:rsidRDefault="00472217" w:rsidP="0014113B">
      <w:pPr>
        <w:numPr>
          <w:ilvl w:val="0"/>
          <w:numId w:val="16"/>
        </w:numPr>
        <w:spacing w:after="0" w:line="240" w:lineRule="auto"/>
        <w:ind w:right="0"/>
        <w:contextualSpacing/>
        <w:rPr>
          <w:rFonts w:ascii="Times New Roman" w:hAnsi="Times New Roman" w:cs="Times New Roman"/>
          <w:sz w:val="24"/>
          <w:szCs w:val="24"/>
        </w:rPr>
      </w:pPr>
      <w:r w:rsidRPr="00472217">
        <w:rPr>
          <w:rFonts w:ascii="Times New Roman" w:hAnsi="Times New Roman" w:cs="Times New Roman"/>
          <w:sz w:val="24"/>
          <w:szCs w:val="24"/>
        </w:rPr>
        <w:t>pucanje instalacija vode, kanalizacije i plinovodnih cijevi. Na dijelu klizišta</w:t>
      </w:r>
    </w:p>
    <w:p w14:paraId="1F21A75B" w14:textId="0E50E6F1" w:rsidR="00472217" w:rsidRPr="00472217" w:rsidRDefault="00C70C9F" w:rsidP="00472217">
      <w:pPr>
        <w:spacing w:after="0" w:line="240" w:lineRule="auto"/>
        <w:ind w:left="0" w:right="0" w:firstLine="0"/>
        <w:rPr>
          <w:rFonts w:ascii="Times New Roman" w:hAnsi="Times New Roman" w:cs="Times New Roman"/>
          <w:sz w:val="24"/>
          <w:szCs w:val="24"/>
        </w:rPr>
      </w:pPr>
      <w:r>
        <w:rPr>
          <w:rFonts w:ascii="Times New Roman" w:hAnsi="Times New Roman" w:cs="Times New Roman"/>
          <w:sz w:val="24"/>
          <w:szCs w:val="24"/>
        </w:rPr>
        <w:t xml:space="preserve">            </w:t>
      </w:r>
      <w:r w:rsidR="00472217" w:rsidRPr="00472217">
        <w:rPr>
          <w:rFonts w:ascii="Times New Roman" w:hAnsi="Times New Roman" w:cs="Times New Roman"/>
          <w:sz w:val="24"/>
          <w:szCs w:val="24"/>
        </w:rPr>
        <w:t>stanovnici su zbog sigurnosti tražili da se obustavi dostava plina.</w:t>
      </w:r>
    </w:p>
    <w:p w14:paraId="691E15C3" w14:textId="77777777" w:rsidR="00472217" w:rsidRPr="00472217" w:rsidRDefault="00472217" w:rsidP="0014113B">
      <w:pPr>
        <w:numPr>
          <w:ilvl w:val="0"/>
          <w:numId w:val="16"/>
        </w:numPr>
        <w:spacing w:after="0" w:line="240" w:lineRule="auto"/>
        <w:ind w:right="0"/>
        <w:contextualSpacing/>
        <w:rPr>
          <w:rFonts w:ascii="Times New Roman" w:hAnsi="Times New Roman" w:cs="Times New Roman"/>
          <w:sz w:val="24"/>
          <w:szCs w:val="24"/>
        </w:rPr>
      </w:pPr>
      <w:r w:rsidRPr="00472217">
        <w:rPr>
          <w:rFonts w:ascii="Times New Roman" w:hAnsi="Times New Roman" w:cs="Times New Roman"/>
          <w:sz w:val="24"/>
          <w:szCs w:val="24"/>
        </w:rPr>
        <w:t>nemogućnost daljnjeg razvitka dijela grada što dovodi do depopulacije. Osnovna škola koja se nalazi na Kostanjeku je odavno zatvorena, i to iz dva razloga: objekt je popucao i nije siguran za korištenje, a zbog depopulacije nema niti dovoljno djece školske dobi.</w:t>
      </w:r>
    </w:p>
    <w:p w14:paraId="4235D386"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260094EC" w14:textId="07D3443C" w:rsidR="00472217" w:rsidRDefault="00472217" w:rsidP="00472217">
      <w:pPr>
        <w:spacing w:after="0" w:line="240" w:lineRule="auto"/>
        <w:ind w:left="0" w:right="0" w:firstLine="0"/>
        <w:jc w:val="center"/>
        <w:rPr>
          <w:rFonts w:ascii="Times New Roman" w:hAnsi="Times New Roman" w:cs="Times New Roman"/>
          <w:b/>
          <w:color w:val="FF0000"/>
          <w:sz w:val="24"/>
          <w:szCs w:val="24"/>
        </w:rPr>
      </w:pPr>
    </w:p>
    <w:p w14:paraId="4EED6413" w14:textId="0425022D" w:rsidR="00A4649E" w:rsidRDefault="00A4649E" w:rsidP="00472217">
      <w:pPr>
        <w:spacing w:after="0" w:line="240" w:lineRule="auto"/>
        <w:ind w:left="0" w:right="0" w:firstLine="0"/>
        <w:jc w:val="center"/>
        <w:rPr>
          <w:rFonts w:ascii="Times New Roman" w:hAnsi="Times New Roman" w:cs="Times New Roman"/>
          <w:b/>
          <w:color w:val="FF0000"/>
          <w:sz w:val="24"/>
          <w:szCs w:val="24"/>
        </w:rPr>
      </w:pPr>
    </w:p>
    <w:p w14:paraId="775CC99B" w14:textId="141DB0C5" w:rsidR="00A4649E" w:rsidRDefault="00A4649E" w:rsidP="00472217">
      <w:pPr>
        <w:spacing w:after="0" w:line="240" w:lineRule="auto"/>
        <w:ind w:left="0" w:right="0" w:firstLine="0"/>
        <w:jc w:val="center"/>
        <w:rPr>
          <w:rFonts w:ascii="Times New Roman" w:hAnsi="Times New Roman" w:cs="Times New Roman"/>
          <w:b/>
          <w:color w:val="FF0000"/>
          <w:sz w:val="24"/>
          <w:szCs w:val="24"/>
        </w:rPr>
      </w:pPr>
    </w:p>
    <w:p w14:paraId="52133661" w14:textId="77777777" w:rsidR="00A4649E" w:rsidRDefault="00A4649E" w:rsidP="00472217">
      <w:pPr>
        <w:spacing w:after="0" w:line="240" w:lineRule="auto"/>
        <w:ind w:left="0" w:right="0" w:firstLine="0"/>
        <w:jc w:val="center"/>
        <w:rPr>
          <w:rFonts w:ascii="Times New Roman" w:hAnsi="Times New Roman" w:cs="Times New Roman"/>
          <w:b/>
          <w:color w:val="FF0000"/>
          <w:sz w:val="24"/>
          <w:szCs w:val="24"/>
        </w:rPr>
      </w:pPr>
    </w:p>
    <w:p w14:paraId="085228B0" w14:textId="52EF9040" w:rsidR="00A4649E" w:rsidRDefault="00A4649E" w:rsidP="00472217">
      <w:pPr>
        <w:spacing w:after="0" w:line="240" w:lineRule="auto"/>
        <w:ind w:left="0" w:right="0" w:firstLine="0"/>
        <w:jc w:val="center"/>
        <w:rPr>
          <w:rFonts w:ascii="Times New Roman" w:hAnsi="Times New Roman" w:cs="Times New Roman"/>
          <w:b/>
          <w:color w:val="FF0000"/>
          <w:sz w:val="24"/>
          <w:szCs w:val="24"/>
        </w:rPr>
      </w:pPr>
    </w:p>
    <w:p w14:paraId="4B7DB673" w14:textId="77777777" w:rsidR="00A4649E" w:rsidRPr="00472217" w:rsidRDefault="00A4649E" w:rsidP="00472217">
      <w:pPr>
        <w:spacing w:after="0" w:line="240" w:lineRule="auto"/>
        <w:ind w:left="0" w:right="0" w:firstLine="0"/>
        <w:jc w:val="center"/>
        <w:rPr>
          <w:rFonts w:ascii="Times New Roman" w:hAnsi="Times New Roman" w:cs="Times New Roman"/>
          <w:b/>
          <w:color w:val="FF0000"/>
          <w:sz w:val="24"/>
          <w:szCs w:val="24"/>
        </w:rPr>
      </w:pPr>
    </w:p>
    <w:p w14:paraId="7F5DE205" w14:textId="41F765CD" w:rsidR="00472217" w:rsidRDefault="00472217" w:rsidP="00472217">
      <w:pPr>
        <w:spacing w:after="0" w:line="240" w:lineRule="auto"/>
        <w:ind w:left="0" w:right="0" w:firstLine="0"/>
        <w:jc w:val="center"/>
        <w:rPr>
          <w:rFonts w:ascii="Times New Roman" w:hAnsi="Times New Roman" w:cs="Times New Roman"/>
          <w:b/>
          <w:color w:val="FF0000"/>
          <w:sz w:val="24"/>
          <w:szCs w:val="24"/>
        </w:rPr>
      </w:pPr>
    </w:p>
    <w:p w14:paraId="4B0930BB" w14:textId="3A9F45CF" w:rsidR="00C5768E" w:rsidRDefault="00C5768E" w:rsidP="00472217">
      <w:pPr>
        <w:spacing w:after="0" w:line="240" w:lineRule="auto"/>
        <w:ind w:left="0" w:right="0" w:firstLine="0"/>
        <w:jc w:val="center"/>
        <w:rPr>
          <w:rFonts w:ascii="Times New Roman" w:hAnsi="Times New Roman" w:cs="Times New Roman"/>
          <w:b/>
          <w:color w:val="FF0000"/>
          <w:sz w:val="24"/>
          <w:szCs w:val="24"/>
        </w:rPr>
      </w:pPr>
    </w:p>
    <w:p w14:paraId="0B45E1CE" w14:textId="77777777" w:rsidR="00C5768E" w:rsidRPr="00472217" w:rsidRDefault="00C5768E" w:rsidP="00472217">
      <w:pPr>
        <w:spacing w:after="0" w:line="240" w:lineRule="auto"/>
        <w:ind w:left="0" w:right="0" w:firstLine="0"/>
        <w:jc w:val="center"/>
        <w:rPr>
          <w:rFonts w:ascii="Times New Roman" w:hAnsi="Times New Roman" w:cs="Times New Roman"/>
          <w:b/>
          <w:color w:val="FF0000"/>
          <w:sz w:val="24"/>
          <w:szCs w:val="24"/>
        </w:rPr>
      </w:pPr>
    </w:p>
    <w:p w14:paraId="4FB4D42C" w14:textId="77777777" w:rsidR="00472217" w:rsidRPr="00472217" w:rsidRDefault="00472217" w:rsidP="00472217">
      <w:pPr>
        <w:spacing w:after="0" w:line="240" w:lineRule="auto"/>
        <w:ind w:left="0" w:right="0" w:firstLine="0"/>
        <w:jc w:val="center"/>
        <w:rPr>
          <w:rFonts w:ascii="Times New Roman" w:hAnsi="Times New Roman" w:cs="Times New Roman"/>
          <w:b/>
          <w:color w:val="FF0000"/>
          <w:sz w:val="24"/>
          <w:szCs w:val="24"/>
        </w:rPr>
      </w:pPr>
    </w:p>
    <w:p w14:paraId="673C8DA6" w14:textId="050D53E2" w:rsidR="00472217" w:rsidRPr="00472217" w:rsidRDefault="0013016D" w:rsidP="00472217">
      <w:pPr>
        <w:spacing w:after="0" w:line="240" w:lineRule="auto"/>
        <w:ind w:left="0" w:right="0" w:firstLine="0"/>
        <w:jc w:val="center"/>
        <w:rPr>
          <w:rFonts w:ascii="Times New Roman" w:hAnsi="Times New Roman" w:cs="Times New Roman"/>
          <w:b/>
          <w:color w:val="auto"/>
          <w:sz w:val="24"/>
          <w:szCs w:val="24"/>
          <w:u w:val="single"/>
        </w:rPr>
      </w:pPr>
      <w:r w:rsidRPr="0013016D">
        <w:rPr>
          <w:rFonts w:ascii="Times New Roman" w:hAnsi="Times New Roman" w:cs="Times New Roman"/>
          <w:b/>
          <w:color w:val="auto"/>
          <w:sz w:val="24"/>
          <w:szCs w:val="24"/>
        </w:rPr>
        <w:lastRenderedPageBreak/>
        <w:t>Slika 34</w:t>
      </w:r>
      <w:r w:rsidR="00472217" w:rsidRPr="0013016D">
        <w:rPr>
          <w:rFonts w:ascii="Times New Roman" w:hAnsi="Times New Roman" w:cs="Times New Roman"/>
          <w:b/>
          <w:color w:val="auto"/>
          <w:sz w:val="24"/>
          <w:szCs w:val="24"/>
        </w:rPr>
        <w:t xml:space="preserve">. Horizontalni pomaci klizišta Kostanjek dobiveni na temelju mjerenja </w:t>
      </w:r>
      <w:r w:rsidR="00472217" w:rsidRPr="00472217">
        <w:rPr>
          <w:rFonts w:ascii="Times New Roman" w:hAnsi="Times New Roman" w:cs="Times New Roman"/>
          <w:b/>
          <w:color w:val="auto"/>
          <w:sz w:val="24"/>
          <w:szCs w:val="24"/>
        </w:rPr>
        <w:t>geodetskih točaka iz 2009. i 2012. godine</w:t>
      </w:r>
    </w:p>
    <w:p w14:paraId="19130834"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u w:val="single"/>
        </w:rPr>
      </w:pPr>
      <w:r w:rsidRPr="00472217">
        <w:rPr>
          <w:noProof/>
        </w:rPr>
        <w:drawing>
          <wp:inline distT="0" distB="0" distL="0" distR="0" wp14:anchorId="24ABB60B" wp14:editId="6A738C60">
            <wp:extent cx="4619625" cy="4762500"/>
            <wp:effectExtent l="0" t="0" r="9525"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16725" t="19721" r="50336" b="18058"/>
                    <a:stretch/>
                  </pic:blipFill>
                  <pic:spPr bwMode="auto">
                    <a:xfrm>
                      <a:off x="0" y="0"/>
                      <a:ext cx="4619625" cy="4762500"/>
                    </a:xfrm>
                    <a:prstGeom prst="rect">
                      <a:avLst/>
                    </a:prstGeom>
                    <a:ln>
                      <a:noFill/>
                    </a:ln>
                    <a:extLst>
                      <a:ext uri="{53640926-AAD7-44D8-BBD7-CCE9431645EC}">
                        <a14:shadowObscured xmlns:a14="http://schemas.microsoft.com/office/drawing/2010/main"/>
                      </a:ext>
                    </a:extLst>
                  </pic:spPr>
                </pic:pic>
              </a:graphicData>
            </a:graphic>
          </wp:inline>
        </w:drawing>
      </w:r>
    </w:p>
    <w:p w14:paraId="0A2E5FC7" w14:textId="77777777" w:rsidR="00472217" w:rsidRPr="00A4649E" w:rsidRDefault="00472217" w:rsidP="00472217">
      <w:pPr>
        <w:spacing w:after="0" w:line="240" w:lineRule="auto"/>
        <w:ind w:left="0" w:right="0" w:firstLine="0"/>
        <w:jc w:val="center"/>
        <w:rPr>
          <w:rFonts w:ascii="Times New Roman" w:hAnsi="Times New Roman" w:cs="Times New Roman"/>
          <w:i/>
          <w:sz w:val="20"/>
          <w:szCs w:val="20"/>
        </w:rPr>
      </w:pPr>
      <w:r w:rsidRPr="00A4649E">
        <w:rPr>
          <w:rFonts w:ascii="Times New Roman" w:hAnsi="Times New Roman" w:cs="Times New Roman"/>
          <w:i/>
          <w:sz w:val="20"/>
          <w:szCs w:val="20"/>
        </w:rPr>
        <w:t>Izvor: Županović, Lj., Opatić, K., Bernat, S. (2012): Određivanje pomaka klizišta Kostanjek relativnom statičkom metodom, Ekscentar, br. 15, pp. 46-53</w:t>
      </w:r>
    </w:p>
    <w:p w14:paraId="301D0134" w14:textId="77777777" w:rsidR="00472217" w:rsidRPr="00472217" w:rsidRDefault="00472217" w:rsidP="00472217">
      <w:pPr>
        <w:spacing w:after="0" w:line="240" w:lineRule="auto"/>
        <w:ind w:left="0" w:right="0" w:firstLine="0"/>
        <w:rPr>
          <w:rFonts w:ascii="Times New Roman" w:hAnsi="Times New Roman" w:cs="Times New Roman"/>
          <w:sz w:val="24"/>
          <w:szCs w:val="24"/>
          <w:u w:val="single"/>
        </w:rPr>
      </w:pPr>
    </w:p>
    <w:p w14:paraId="63C3EC4C" w14:textId="77777777" w:rsidR="00472217" w:rsidRPr="00472217" w:rsidRDefault="00472217" w:rsidP="00C70C9F">
      <w:pPr>
        <w:spacing w:after="0" w:line="240" w:lineRule="auto"/>
        <w:ind w:left="0" w:right="0" w:firstLine="709"/>
        <w:rPr>
          <w:rFonts w:ascii="Times New Roman" w:hAnsi="Times New Roman" w:cs="Times New Roman"/>
          <w:sz w:val="24"/>
          <w:szCs w:val="24"/>
          <w:u w:val="single"/>
        </w:rPr>
      </w:pPr>
      <w:r w:rsidRPr="00472217">
        <w:rPr>
          <w:rFonts w:ascii="Times New Roman" w:hAnsi="Times New Roman" w:cs="Times New Roman"/>
          <w:sz w:val="24"/>
          <w:szCs w:val="24"/>
          <w:u w:val="single"/>
        </w:rPr>
        <w:t>Masovno aktiviranje klizišta na području Grada Zagreba tijekom 2013. godine</w:t>
      </w:r>
    </w:p>
    <w:p w14:paraId="1EDBAAF9" w14:textId="77777777" w:rsidR="00472217" w:rsidRPr="00472217" w:rsidRDefault="00472217" w:rsidP="00C70C9F">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Tijekom zime 2012/2013. godine u kontinentalnom dijelu Hrvatske aktiviran je neuobičajeno veliki broj klizišta koja su ugrozila prometnu infrastrukturu i stambene objekte u vrlo kratkom razdoblju od svega nekoliko mjeseci. Na području Grada Zagreba aktivirano je prema podacima iz evidencije Centra 112 područnog ureda za zaštitu i spašavanje Zagreb 108 klizišta</w:t>
      </w:r>
      <w:r w:rsidRPr="00472217">
        <w:rPr>
          <w:rFonts w:ascii="Times New Roman" w:hAnsi="Times New Roman" w:cs="Times New Roman"/>
          <w:sz w:val="24"/>
          <w:szCs w:val="24"/>
          <w:vertAlign w:val="superscript"/>
        </w:rPr>
        <w:footnoteReference w:id="121"/>
      </w:r>
      <w:r w:rsidRPr="00472217">
        <w:rPr>
          <w:rFonts w:ascii="Times New Roman" w:hAnsi="Times New Roman" w:cs="Times New Roman"/>
          <w:sz w:val="24"/>
          <w:szCs w:val="24"/>
        </w:rPr>
        <w:t xml:space="preserve">. Tijekom istog razdoblja ubrzano se kretalo i najveće klizište u Hrvatskoj, klizište Kostanjek koje se nalazi u zapadnom dijelu Grada Zagreba (Mihalić i dr., 2010). Uz pretpostavku da se godišnje na području Grada Zagreba uobičajeno aktivira deset ili manje klizišta, proizlazi da je broj aktiviranih klizišta tijekom ekstremnih hidrometeoroloških uvjeta 2013. godine bio i do 50 puta veći od uobičajenog. </w:t>
      </w:r>
    </w:p>
    <w:p w14:paraId="253E39B5" w14:textId="77777777" w:rsidR="00472217" w:rsidRPr="00472217" w:rsidRDefault="00472217" w:rsidP="00C70C9F">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 xml:space="preserve">Od 1. siječnja do 7. travnja 2013. godine, grad Zagreb je doživio razdoblje intenzivne kiše i snijega s kumulativnom vrijednosti tijekom razdoblja od 97 dana iznad 400 mm, što predstavlja 46% srednje godišnje količine oborina. Za odabrano razdoblje, mjesečna količina oborina kretala se od 130% (veljača i ožujak) do 190% (siječanj) prosječne mjesečne vrijednosti oborine za razdoblje od 1862. do 2012. godine, dakle bila je 2-3 puta veća od prosječne </w:t>
      </w:r>
      <w:r w:rsidRPr="00472217">
        <w:rPr>
          <w:rFonts w:ascii="Times New Roman" w:hAnsi="Times New Roman" w:cs="Times New Roman"/>
          <w:sz w:val="24"/>
          <w:szCs w:val="24"/>
        </w:rPr>
        <w:lastRenderedPageBreak/>
        <w:t>mjesečne oborine koja je izračunata za posljednjih 150 godina (izmjerena na meteorološkoj postaji Zagreb-Grič).</w:t>
      </w:r>
    </w:p>
    <w:p w14:paraId="17A98748" w14:textId="77777777" w:rsidR="00472217" w:rsidRPr="00472217" w:rsidRDefault="00472217" w:rsidP="00C70C9F">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color w:val="161616"/>
          <w:sz w:val="24"/>
          <w:szCs w:val="24"/>
          <w:shd w:val="clear" w:color="auto" w:fill="FFFFFF"/>
        </w:rPr>
        <w:t>Tijekom zime i proljeća 2013. godine u Gradu Zagrebu zaprimljeno je preko 100 dojava o klizištima od čega je 65 dojava imalo obilježje klizišta.</w:t>
      </w:r>
      <w:r w:rsidRPr="00472217">
        <w:rPr>
          <w:rFonts w:ascii="Times New Roman" w:hAnsi="Times New Roman" w:cs="Times New Roman"/>
          <w:sz w:val="24"/>
          <w:szCs w:val="24"/>
        </w:rPr>
        <w:t xml:space="preserve"> Znanstvenici s Rudarsko-geološko-naftnog fakulteta su, nakon provjere klizišta na terenu, utvrdili da je aktivirano ukupno 55 klizišta u podsljemenskoj zoni u Zagrebu. Utvrđeno je da je 44 plitkih klizišta nastalo u prahovito-pjeskovitim tlima, a njihova površina je u rasponu 75-5.000 m</w:t>
      </w:r>
      <w:r w:rsidRPr="00472217">
        <w:rPr>
          <w:rFonts w:ascii="Times New Roman" w:hAnsi="Times New Roman" w:cs="Times New Roman"/>
          <w:sz w:val="24"/>
          <w:szCs w:val="24"/>
          <w:vertAlign w:val="superscript"/>
        </w:rPr>
        <w:t>2</w:t>
      </w:r>
      <w:r w:rsidRPr="00472217">
        <w:rPr>
          <w:rFonts w:ascii="Times New Roman" w:hAnsi="Times New Roman" w:cs="Times New Roman"/>
          <w:sz w:val="24"/>
          <w:szCs w:val="24"/>
        </w:rPr>
        <w:t>. 11 vrlo plitkih klizišta je nastalo u površinskim naslagama koje prekrivaju lapore, a njihova površina je značajno manja i iznosi 60-600 m</w:t>
      </w:r>
      <w:r w:rsidRPr="00472217">
        <w:rPr>
          <w:rFonts w:ascii="Times New Roman" w:hAnsi="Times New Roman" w:cs="Times New Roman"/>
          <w:sz w:val="24"/>
          <w:szCs w:val="24"/>
          <w:vertAlign w:val="superscript"/>
        </w:rPr>
        <w:t>2</w:t>
      </w:r>
      <w:r w:rsidRPr="00472217">
        <w:rPr>
          <w:rFonts w:ascii="Times New Roman" w:hAnsi="Times New Roman" w:cs="Times New Roman"/>
          <w:sz w:val="24"/>
          <w:szCs w:val="24"/>
        </w:rPr>
        <w:t xml:space="preserve">. </w:t>
      </w:r>
    </w:p>
    <w:p w14:paraId="63FECC29" w14:textId="77777777" w:rsidR="00472217" w:rsidRPr="00472217" w:rsidRDefault="00472217" w:rsidP="00C70C9F">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Posebno značajna količina oborina pala je u razdoblju od 30. ožujka do 3. travnja 2013. godine. Taj 5-dnevni događaj bio je obilježen kumulativnom oborinom od 70 mm, te je tijekom tog relativno kratkog razdoblja od približno tjedan dana (re)aktivirano 47 klizišta u Zagrebu (Bernat i dr. 2014). Na 16 lokacija poduzete su hitne mjere s ciljem zaštite ljudi i imovine te sprječavanja nastanka još većih štetnih posljedica od klizanja tla.</w:t>
      </w:r>
    </w:p>
    <w:p w14:paraId="40EB33E9" w14:textId="77777777" w:rsidR="00472217" w:rsidRPr="00472217" w:rsidRDefault="00472217" w:rsidP="00472217">
      <w:pPr>
        <w:spacing w:after="0" w:line="240" w:lineRule="auto"/>
        <w:ind w:left="0" w:right="0" w:firstLine="0"/>
        <w:rPr>
          <w:rFonts w:ascii="Times New Roman" w:hAnsi="Times New Roman" w:cs="Times New Roman"/>
          <w:b/>
          <w:sz w:val="24"/>
          <w:szCs w:val="24"/>
        </w:rPr>
      </w:pPr>
    </w:p>
    <w:p w14:paraId="1A334485" w14:textId="4656902A" w:rsidR="00472217" w:rsidRPr="00472217" w:rsidRDefault="0013016D" w:rsidP="00472217">
      <w:pPr>
        <w:spacing w:after="0" w:line="240" w:lineRule="auto"/>
        <w:ind w:left="0" w:right="0" w:firstLine="0"/>
        <w:jc w:val="center"/>
        <w:rPr>
          <w:rFonts w:ascii="Times New Roman" w:hAnsi="Times New Roman" w:cs="Times New Roman"/>
          <w:b/>
          <w:sz w:val="24"/>
          <w:szCs w:val="24"/>
        </w:rPr>
      </w:pPr>
      <w:r w:rsidRPr="0013016D">
        <w:rPr>
          <w:rFonts w:ascii="Times New Roman" w:hAnsi="Times New Roman" w:cs="Times New Roman"/>
          <w:b/>
          <w:color w:val="auto"/>
          <w:sz w:val="24"/>
          <w:szCs w:val="24"/>
        </w:rPr>
        <w:t>Slika 35</w:t>
      </w:r>
      <w:r w:rsidR="00472217" w:rsidRPr="0013016D">
        <w:rPr>
          <w:rFonts w:ascii="Times New Roman" w:hAnsi="Times New Roman" w:cs="Times New Roman"/>
          <w:b/>
          <w:color w:val="auto"/>
          <w:sz w:val="24"/>
          <w:szCs w:val="24"/>
        </w:rPr>
        <w:t xml:space="preserve">. Karta klizišta potaknutih oborinama u razdoblju od 1. siječnja do 7. travnja </w:t>
      </w:r>
      <w:r w:rsidR="00472217" w:rsidRPr="00472217">
        <w:rPr>
          <w:rFonts w:ascii="Times New Roman" w:hAnsi="Times New Roman" w:cs="Times New Roman"/>
          <w:b/>
          <w:sz w:val="24"/>
          <w:szCs w:val="24"/>
        </w:rPr>
        <w:t>2013. godine (modificirano prema Bernat i dr. 2014)</w:t>
      </w:r>
    </w:p>
    <w:p w14:paraId="3BD851BF" w14:textId="77777777" w:rsidR="00472217" w:rsidRPr="00472217" w:rsidRDefault="00472217" w:rsidP="00472217">
      <w:pPr>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noProof/>
          <w:sz w:val="24"/>
          <w:szCs w:val="24"/>
        </w:rPr>
        <w:drawing>
          <wp:inline distT="0" distB="0" distL="0" distR="0" wp14:anchorId="6DDD2A8B" wp14:editId="58B6175F">
            <wp:extent cx="5584190" cy="2828925"/>
            <wp:effectExtent l="0" t="0" r="0" b="952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584190" cy="2828925"/>
                    </a:xfrm>
                    <a:prstGeom prst="rect">
                      <a:avLst/>
                    </a:prstGeom>
                    <a:noFill/>
                  </pic:spPr>
                </pic:pic>
              </a:graphicData>
            </a:graphic>
          </wp:inline>
        </w:drawing>
      </w:r>
    </w:p>
    <w:p w14:paraId="74C4E566" w14:textId="77777777" w:rsidR="00472217" w:rsidRPr="00A4649E" w:rsidRDefault="00472217" w:rsidP="00472217">
      <w:pPr>
        <w:spacing w:after="0" w:line="240" w:lineRule="auto"/>
        <w:ind w:left="0" w:right="0" w:firstLine="0"/>
        <w:rPr>
          <w:rFonts w:ascii="Times New Roman" w:hAnsi="Times New Roman" w:cs="Times New Roman"/>
          <w:i/>
          <w:sz w:val="20"/>
          <w:szCs w:val="20"/>
        </w:rPr>
      </w:pPr>
      <w:r w:rsidRPr="00A4649E">
        <w:rPr>
          <w:rFonts w:ascii="Times New Roman" w:hAnsi="Times New Roman" w:cs="Times New Roman"/>
          <w:i/>
          <w:sz w:val="20"/>
          <w:szCs w:val="20"/>
        </w:rPr>
        <w:t>Izvor: Šagud, S. (2015) Statistička analiza inventara klizišta podsljemenske zone iz 1979. godine. Diplomski rad. Zagreb, Sveučilište u Zagrebu, Rudarsko-geološko-naftni fakultet</w:t>
      </w:r>
    </w:p>
    <w:p w14:paraId="40A1722A"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0CA595B2" w14:textId="77777777" w:rsidR="00472217" w:rsidRPr="00472217" w:rsidRDefault="00472217" w:rsidP="006F21BC">
      <w:pPr>
        <w:spacing w:after="0" w:line="240" w:lineRule="auto"/>
        <w:ind w:left="0" w:right="0" w:firstLine="709"/>
        <w:rPr>
          <w:rFonts w:ascii="Times New Roman" w:hAnsi="Times New Roman" w:cs="Times New Roman"/>
          <w:sz w:val="24"/>
          <w:szCs w:val="24"/>
          <w:u w:val="single"/>
        </w:rPr>
      </w:pPr>
      <w:r w:rsidRPr="00472217">
        <w:rPr>
          <w:rFonts w:ascii="Times New Roman" w:hAnsi="Times New Roman" w:cs="Times New Roman"/>
          <w:sz w:val="24"/>
          <w:szCs w:val="24"/>
          <w:u w:val="single"/>
        </w:rPr>
        <w:t>Zaključak</w:t>
      </w:r>
    </w:p>
    <w:p w14:paraId="2752C2E2" w14:textId="77777777" w:rsidR="00472217" w:rsidRPr="00472217" w:rsidRDefault="00472217" w:rsidP="00C70C9F">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Klizišta i nestabilne padine jedan su od trajnih problema obzirom na geološke karakteristike područja Grada Zagreba. Klimatske promjene utječu i na hidrološki ciklus, budući se u toplijoj atmosferi zadržava više vlage, pa su se učestalost i intenzitet obilnih kiša povećali od pedesetih godina 20. stoljeća te se očekuje da će se taj trend nastaviti</w:t>
      </w:r>
      <w:r w:rsidRPr="00472217">
        <w:rPr>
          <w:rFonts w:ascii="Times New Roman" w:hAnsi="Times New Roman" w:cs="Times New Roman"/>
          <w:sz w:val="24"/>
          <w:szCs w:val="24"/>
          <w:vertAlign w:val="superscript"/>
        </w:rPr>
        <w:footnoteReference w:id="122"/>
      </w:r>
      <w:r w:rsidRPr="00472217">
        <w:rPr>
          <w:rFonts w:ascii="Times New Roman" w:hAnsi="Times New Roman" w:cs="Times New Roman"/>
          <w:sz w:val="24"/>
          <w:szCs w:val="24"/>
        </w:rPr>
        <w:t>. Znanstveno je dokazana povezanost abnormalnih količina oborina i nastanka klizišta. Dosadašnja iskustva pokazuju da se uslijed ekstremnih hidrometeoroloških uvjeta istodobno aktivira više klizišta, a na teritorijalnom području Grada Zagreba se nalazi i najveće klizište u Republici Hrvatskoj - Kostanjek.</w:t>
      </w:r>
    </w:p>
    <w:p w14:paraId="2D0B20EF" w14:textId="2D62F7B8" w:rsidR="00472217" w:rsidRDefault="00472217" w:rsidP="00472217">
      <w:pPr>
        <w:spacing w:after="0" w:line="240" w:lineRule="auto"/>
        <w:ind w:left="0" w:right="0" w:firstLine="0"/>
        <w:rPr>
          <w:rFonts w:ascii="Times New Roman" w:hAnsi="Times New Roman" w:cs="Times New Roman"/>
          <w:b/>
          <w:sz w:val="24"/>
          <w:szCs w:val="24"/>
        </w:rPr>
      </w:pPr>
    </w:p>
    <w:p w14:paraId="48C624AF" w14:textId="12F459E1" w:rsidR="00C70C9F" w:rsidRDefault="00C70C9F" w:rsidP="00472217">
      <w:pPr>
        <w:spacing w:after="0" w:line="240" w:lineRule="auto"/>
        <w:ind w:left="0" w:right="0" w:firstLine="0"/>
        <w:rPr>
          <w:rFonts w:ascii="Times New Roman" w:hAnsi="Times New Roman" w:cs="Times New Roman"/>
          <w:b/>
          <w:sz w:val="24"/>
          <w:szCs w:val="24"/>
        </w:rPr>
      </w:pPr>
    </w:p>
    <w:p w14:paraId="4328CF80" w14:textId="77777777" w:rsidR="00C5768E" w:rsidRPr="00472217" w:rsidRDefault="00C5768E" w:rsidP="00472217">
      <w:pPr>
        <w:spacing w:after="0" w:line="240" w:lineRule="auto"/>
        <w:ind w:left="0" w:right="0" w:firstLine="0"/>
        <w:rPr>
          <w:rFonts w:ascii="Times New Roman" w:hAnsi="Times New Roman" w:cs="Times New Roman"/>
          <w:b/>
          <w:sz w:val="24"/>
          <w:szCs w:val="24"/>
        </w:rPr>
      </w:pPr>
    </w:p>
    <w:p w14:paraId="1EFB3995" w14:textId="77777777" w:rsidR="00472217" w:rsidRPr="00472217" w:rsidRDefault="00472217" w:rsidP="00C70C9F">
      <w:pPr>
        <w:spacing w:after="0" w:line="240" w:lineRule="auto"/>
        <w:ind w:left="0" w:right="0" w:firstLine="709"/>
        <w:rPr>
          <w:rFonts w:ascii="Times New Roman" w:hAnsi="Times New Roman" w:cs="Times New Roman"/>
          <w:b/>
          <w:sz w:val="24"/>
          <w:szCs w:val="24"/>
        </w:rPr>
      </w:pPr>
      <w:r w:rsidRPr="00472217">
        <w:rPr>
          <w:rFonts w:ascii="Times New Roman" w:hAnsi="Times New Roman" w:cs="Times New Roman"/>
          <w:b/>
          <w:sz w:val="24"/>
          <w:szCs w:val="24"/>
        </w:rPr>
        <w:lastRenderedPageBreak/>
        <w:t>6.8.4. Uzrok</w:t>
      </w:r>
    </w:p>
    <w:p w14:paraId="7F615F47" w14:textId="77777777" w:rsidR="00472217" w:rsidRPr="00472217" w:rsidRDefault="00472217" w:rsidP="00C70C9F">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Svaki događaj klizanja može se pripisati procesu koji je inicirao slom potencijalno nestabilne stijenske mase. Do popuštanja tla dolazi kad naprezanja u tlu premaše čvrstoću tla. Klizišta su u početku spora i gotovo neprimjetna. Ona se mogu polagano pomicati vrlo dugo vremensko razdoblje do trenutka dok nešto ne izazove poremećaj u ravnoteži određenog površinskog dijela tla koje se nalazi na rubu stabilnosti te je spremno za nagli pokret zbog čega nastajte klizište. Uzrok tome mogu biti velike padaline (snijeg, kiša) kao što je to bilo 2013. godine na području Grada Zagreba. Osim padalina koje mogu uzrokovati klizišta, klizišta može uzrokovati i ljudski faktor (zasijecanje padina zbog izgradnje cesta, vodovoda, plinovoda i drugih objekata). Najčešći uzroci klizišta su: erozijsko djelovanje vode, dugotrajne ili intenzivne padaline, vibracije od potresa i sječa šuma, potkopavanje padine i pretjerano navodnjavanje. Zasićenost tla vodom je primarni uzrok aktivacije klizišta, a može se formirati tijekom intenzivnih oborina, otapanja snijega, promjena u režimu podzemnih voda. Klizišta i poplave su stoga usko povezani.</w:t>
      </w:r>
    </w:p>
    <w:p w14:paraId="559112B0" w14:textId="77777777" w:rsidR="00472217" w:rsidRPr="00472217" w:rsidRDefault="00472217" w:rsidP="00472217">
      <w:pPr>
        <w:spacing w:after="0" w:line="240" w:lineRule="auto"/>
        <w:ind w:left="0" w:right="692" w:firstLine="0"/>
        <w:rPr>
          <w:rFonts w:ascii="Times New Roman" w:hAnsi="Times New Roman" w:cs="Times New Roman"/>
          <w:sz w:val="24"/>
          <w:szCs w:val="24"/>
        </w:rPr>
      </w:pPr>
    </w:p>
    <w:p w14:paraId="3986D95B" w14:textId="77777777" w:rsidR="00472217" w:rsidRPr="00472217" w:rsidRDefault="00472217" w:rsidP="00C70C9F">
      <w:pPr>
        <w:spacing w:after="0" w:line="240" w:lineRule="auto"/>
        <w:ind w:left="11" w:right="692" w:firstLine="698"/>
        <w:rPr>
          <w:rFonts w:ascii="Times New Roman" w:hAnsi="Times New Roman" w:cs="Times New Roman"/>
          <w:b/>
          <w:sz w:val="24"/>
          <w:szCs w:val="24"/>
        </w:rPr>
      </w:pPr>
      <w:r w:rsidRPr="00472217">
        <w:rPr>
          <w:rFonts w:ascii="Times New Roman" w:hAnsi="Times New Roman" w:cs="Times New Roman"/>
          <w:b/>
          <w:sz w:val="24"/>
          <w:szCs w:val="24"/>
        </w:rPr>
        <w:t>6.8.4.1. Razvoj događaja</w:t>
      </w:r>
    </w:p>
    <w:p w14:paraId="02DE4FA3" w14:textId="77777777" w:rsidR="00472217" w:rsidRPr="00472217" w:rsidRDefault="00472217" w:rsidP="00C70C9F">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 xml:space="preserve">Krajem zime, početkom proljeća, uslijed popuštanja zimskih hladnoća, na zemljanim površinama koje su natopljene snijegom i kišom nastaju odroni tla, odnosno klizišta. Do pojave klizišta može doći na stambenim i gospodarskim objektima, na poljoprivrednim površinama, pašnjacima i livadama te vinogradima i voćnjacima. Najveće štete nastaju na infrastrukturi i gospodarskim objektima, a osobito na stambenim zgradama, točnije obiteljskim kućama. Javlja se pucanje tla u voćnjacima, klizanje tla na zelenim površinama te odron terena koji prijeti obiteljskim kućama i onemogućava prometovanje. Štete na obiteljskim kućama manifestiraju se u obliku narušene statike, popucalih zidova, propadanja temelja, rušenja zidova te narušavanja priključne, komunalne infrastrukture i rušenje cijelih kuća. Nastala klizišta rapidno se šire i rastu. Uslijed klizanja tla, dolazi do pomicanja vodovodnih cijevi i strujnih stupova što zahtijeva hitnu sanaciju i premještanje infrastrukture. </w:t>
      </w:r>
    </w:p>
    <w:p w14:paraId="25A1C0E3" w14:textId="77777777" w:rsidR="00472217" w:rsidRPr="00472217" w:rsidRDefault="00472217" w:rsidP="00472217">
      <w:pPr>
        <w:spacing w:after="0" w:line="240" w:lineRule="auto"/>
        <w:ind w:left="0" w:right="692" w:firstLine="0"/>
        <w:rPr>
          <w:rFonts w:ascii="Times New Roman" w:hAnsi="Times New Roman" w:cs="Times New Roman"/>
          <w:b/>
          <w:sz w:val="24"/>
          <w:szCs w:val="24"/>
        </w:rPr>
      </w:pPr>
    </w:p>
    <w:p w14:paraId="49717F6F" w14:textId="77777777" w:rsidR="00472217" w:rsidRPr="00472217" w:rsidRDefault="00472217" w:rsidP="006F21BC">
      <w:pPr>
        <w:spacing w:after="0" w:line="240" w:lineRule="auto"/>
        <w:ind w:left="11" w:right="692" w:firstLine="698"/>
        <w:rPr>
          <w:rFonts w:ascii="Times New Roman" w:hAnsi="Times New Roman" w:cs="Times New Roman"/>
          <w:b/>
          <w:sz w:val="24"/>
          <w:szCs w:val="24"/>
        </w:rPr>
      </w:pPr>
      <w:r w:rsidRPr="00472217">
        <w:rPr>
          <w:rFonts w:ascii="Times New Roman" w:hAnsi="Times New Roman" w:cs="Times New Roman"/>
          <w:b/>
          <w:sz w:val="24"/>
          <w:szCs w:val="24"/>
        </w:rPr>
        <w:t>6.8.4.2. Okidač koji je uzrokovao događaj</w:t>
      </w:r>
    </w:p>
    <w:p w14:paraId="0E3B7B77" w14:textId="77777777" w:rsidR="00472217" w:rsidRPr="00472217" w:rsidRDefault="00472217" w:rsidP="006F21BC">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 xml:space="preserve">Uslijed obimnih količina oborina došlo je do djelomičnog infiltriranja vode u tlo, pri čemu se bitno mijenjanju njegove fizičko-mehaničke značajke i tlakovi i dalje gravitacijskim djelovanjem dolazi do pokretanja masa. Unutar klizne mase uslijed infiltriranja vode se događaju složeni procesi u kratkom vremenu i oni su ovisni o litološkim i hidrogeološkim svojstvima tla te o količini infiltrirane vode. </w:t>
      </w:r>
    </w:p>
    <w:p w14:paraId="1AFC2C05" w14:textId="77777777" w:rsidR="00472217" w:rsidRPr="00472217" w:rsidRDefault="00472217" w:rsidP="00472217">
      <w:pPr>
        <w:spacing w:after="0" w:line="240" w:lineRule="auto"/>
        <w:ind w:left="0" w:right="0" w:firstLine="0"/>
        <w:rPr>
          <w:rFonts w:ascii="Times New Roman" w:hAnsi="Times New Roman" w:cs="Times New Roman"/>
          <w:b/>
          <w:sz w:val="24"/>
          <w:szCs w:val="24"/>
        </w:rPr>
      </w:pPr>
    </w:p>
    <w:p w14:paraId="57318099" w14:textId="77777777" w:rsidR="00472217" w:rsidRPr="00472217" w:rsidRDefault="00472217" w:rsidP="006F21BC">
      <w:pPr>
        <w:spacing w:after="0" w:line="240" w:lineRule="auto"/>
        <w:ind w:left="0" w:right="0" w:firstLine="709"/>
        <w:rPr>
          <w:rFonts w:ascii="Times New Roman" w:hAnsi="Times New Roman" w:cs="Times New Roman"/>
          <w:b/>
          <w:sz w:val="24"/>
          <w:szCs w:val="24"/>
        </w:rPr>
      </w:pPr>
      <w:r w:rsidRPr="00472217">
        <w:rPr>
          <w:rFonts w:ascii="Times New Roman" w:hAnsi="Times New Roman" w:cs="Times New Roman"/>
          <w:b/>
          <w:sz w:val="24"/>
          <w:szCs w:val="24"/>
        </w:rPr>
        <w:t>6.8.5. Opis događaja</w:t>
      </w:r>
    </w:p>
    <w:p w14:paraId="4C4DDA81" w14:textId="2CC3EA80" w:rsidR="00472217" w:rsidRDefault="00472217" w:rsidP="006F21BC">
      <w:pPr>
        <w:spacing w:after="0" w:line="240" w:lineRule="auto"/>
        <w:ind w:left="0" w:right="0" w:firstLine="709"/>
        <w:rPr>
          <w:rFonts w:ascii="Times New Roman" w:hAnsi="Times New Roman" w:cs="Times New Roman"/>
          <w:i/>
          <w:sz w:val="24"/>
          <w:szCs w:val="24"/>
        </w:rPr>
      </w:pPr>
      <w:r w:rsidRPr="00472217">
        <w:rPr>
          <w:rFonts w:ascii="Times New Roman" w:hAnsi="Times New Roman" w:cs="Times New Roman"/>
          <w:i/>
          <w:sz w:val="24"/>
          <w:szCs w:val="24"/>
          <w:u w:val="single"/>
        </w:rPr>
        <w:t>Napomena</w:t>
      </w:r>
      <w:r w:rsidRPr="00472217">
        <w:rPr>
          <w:rFonts w:ascii="Times New Roman" w:hAnsi="Times New Roman" w:cs="Times New Roman"/>
          <w:i/>
          <w:sz w:val="24"/>
          <w:szCs w:val="24"/>
        </w:rPr>
        <w:t xml:space="preserve">: </w:t>
      </w:r>
      <w:bookmarkStart w:id="120" w:name="_Hlk108686656"/>
      <w:r w:rsidRPr="00472217">
        <w:rPr>
          <w:rFonts w:ascii="Times New Roman" w:hAnsi="Times New Roman" w:cs="Times New Roman"/>
          <w:i/>
          <w:sz w:val="24"/>
          <w:szCs w:val="24"/>
        </w:rPr>
        <w:t xml:space="preserve">Scenarij se temelji na oborinskom događaju iz ožujka 2013. godine </w:t>
      </w:r>
      <w:bookmarkEnd w:id="120"/>
      <w:r w:rsidRPr="00472217">
        <w:rPr>
          <w:rFonts w:ascii="Times New Roman" w:hAnsi="Times New Roman" w:cs="Times New Roman"/>
          <w:i/>
          <w:sz w:val="24"/>
          <w:szCs w:val="24"/>
        </w:rPr>
        <w:t>kada je u kratkom razdoblju (re)aktivirano 47 klizišta na području Grada Zagreba. Analizom vjerojatnosti pojavljivanja ekstremno velike 100-dnevne količine oborine na postaji Zagreb-Grič, procijenjeno je da se navedeni događaj može očekivati prosječno jednom u 130 godina</w:t>
      </w:r>
      <w:r w:rsidRPr="00472217">
        <w:rPr>
          <w:rFonts w:ascii="Times New Roman" w:hAnsi="Times New Roman" w:cs="Times New Roman"/>
          <w:i/>
          <w:sz w:val="24"/>
          <w:szCs w:val="24"/>
          <w:vertAlign w:val="superscript"/>
        </w:rPr>
        <w:footnoteReference w:id="123"/>
      </w:r>
      <w:r w:rsidRPr="00472217">
        <w:rPr>
          <w:rFonts w:ascii="Times New Roman" w:hAnsi="Times New Roman" w:cs="Times New Roman"/>
          <w:i/>
          <w:sz w:val="24"/>
          <w:szCs w:val="24"/>
        </w:rPr>
        <w:t>. Budući da na dan 01.07.2022. godine nije dostupan jedan od rezultata projekta PRI-MJER</w:t>
      </w:r>
      <w:r w:rsidRPr="00472217">
        <w:rPr>
          <w:rFonts w:ascii="Times New Roman" w:hAnsi="Times New Roman" w:cs="Times New Roman"/>
          <w:i/>
          <w:sz w:val="24"/>
          <w:szCs w:val="24"/>
          <w:vertAlign w:val="superscript"/>
        </w:rPr>
        <w:footnoteReference w:id="124"/>
      </w:r>
      <w:r w:rsidRPr="00472217">
        <w:rPr>
          <w:rFonts w:ascii="Times New Roman" w:hAnsi="Times New Roman" w:cs="Times New Roman"/>
          <w:i/>
          <w:sz w:val="24"/>
          <w:szCs w:val="24"/>
        </w:rPr>
        <w:t xml:space="preserve">, odnosno nije izrađena Karta ugroženosti velikog, dubokog i visoko rizičnog klizišta Kostanjek koja će prikazivati ugroženost materijalnih dobara (prometnice, zgrade, vodotoci, poljoprivredne površine itd.), scenarij će biti ažuriran i uključivati nove podatke u sljedećem </w:t>
      </w:r>
      <w:r w:rsidRPr="00472217">
        <w:rPr>
          <w:rFonts w:ascii="Times New Roman" w:hAnsi="Times New Roman" w:cs="Times New Roman"/>
          <w:i/>
          <w:sz w:val="24"/>
          <w:szCs w:val="24"/>
        </w:rPr>
        <w:lastRenderedPageBreak/>
        <w:t>ciklusu nadopune dokumenta te će tada dodatno biti opisane posljedice urušavanja pokosa napuštenog kopa lapora na klizištu Kostanjek.</w:t>
      </w:r>
    </w:p>
    <w:p w14:paraId="7307FD99" w14:textId="77777777" w:rsidR="00DD0C1F" w:rsidRPr="00472217" w:rsidRDefault="00DD0C1F" w:rsidP="006F21BC">
      <w:pPr>
        <w:spacing w:after="0" w:line="240" w:lineRule="auto"/>
        <w:ind w:left="0" w:right="0" w:firstLine="709"/>
        <w:rPr>
          <w:rFonts w:ascii="Times New Roman" w:hAnsi="Times New Roman" w:cs="Times New Roman"/>
          <w:i/>
          <w:sz w:val="24"/>
          <w:szCs w:val="24"/>
        </w:rPr>
      </w:pPr>
    </w:p>
    <w:p w14:paraId="26261338" w14:textId="1DBC0C16" w:rsidR="00BA0552" w:rsidRPr="00472217" w:rsidRDefault="00472217" w:rsidP="00BA0552">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color w:val="auto"/>
          <w:sz w:val="24"/>
          <w:szCs w:val="24"/>
        </w:rPr>
        <w:t xml:space="preserve">U mjesecu siječnju je u Zagrebu izmjerena rekordna visina snijega od 1949. godine. Nakon cjelodnevnog padanja gustog snijega, tog je dana na postaji Maksimir visina snježnog pokrivača iznosila 68 cm. </w:t>
      </w:r>
      <w:r w:rsidRPr="00472217">
        <w:rPr>
          <w:rFonts w:ascii="Times New Roman" w:hAnsi="Times New Roman" w:cs="Times New Roman"/>
          <w:sz w:val="24"/>
          <w:szCs w:val="24"/>
        </w:rPr>
        <w:t>Nakon dvije snježne ciklone sredinom siječnja, početak zadnje dekade mjeseca je obilježila ciklona donijevši južinu i naglo zatopljenje. Naglo topljenje snijega i obilna kiša koja je padala dovela je do brzog porasta vodostaja u slivnom području Save i problema s poplavama.</w:t>
      </w:r>
      <w:r w:rsidRPr="00472217">
        <w:rPr>
          <w:rFonts w:ascii="Times New Roman" w:hAnsi="Times New Roman" w:cs="Times New Roman"/>
          <w:color w:val="auto"/>
          <w:sz w:val="24"/>
          <w:szCs w:val="24"/>
        </w:rPr>
        <w:t xml:space="preserve"> </w:t>
      </w:r>
      <w:r w:rsidRPr="00472217">
        <w:rPr>
          <w:rFonts w:ascii="Times New Roman" w:hAnsi="Times New Roman" w:cs="Times New Roman"/>
          <w:sz w:val="24"/>
          <w:szCs w:val="24"/>
        </w:rPr>
        <w:t>U mjesecu veljači osim u gorju obilniji snijeg je pao i na području Grada Zagreba pa je tako zadnjeg dana veljače meteorološka postaja Puntijarka sa 140 cm snijega zabilježila novu najveću visinu snijega u povijesti mjerenja. Nakon izmjene kišnih i snježnih razdoblja, te razdoblja naglog otapanja snijega, u mjesecu ožujku se nastavila izrazita ciklonalna aktivnost sa čak 6 ciklona. Oborine su bile česte i obilne pa je na meteorološkoj postaji Zagreb Maksimir zabilježen rekordni oborinski ožujak</w:t>
      </w:r>
      <w:r w:rsidRPr="00472217">
        <w:rPr>
          <w:rFonts w:ascii="Times New Roman" w:hAnsi="Times New Roman" w:cs="Times New Roman"/>
          <w:sz w:val="24"/>
          <w:szCs w:val="24"/>
          <w:vertAlign w:val="superscript"/>
        </w:rPr>
        <w:footnoteReference w:id="125"/>
      </w:r>
      <w:r w:rsidRPr="00472217">
        <w:rPr>
          <w:rFonts w:ascii="Times New Roman" w:hAnsi="Times New Roman" w:cs="Times New Roman"/>
          <w:sz w:val="24"/>
          <w:szCs w:val="24"/>
        </w:rPr>
        <w:t xml:space="preserve">. Posebno značajna količina oborina pala je u razdoblju od 30. ožujka do 3. travnja. Taj 5-dnevni događaj je obilježen kumulativnom oborinom od 70 mm, te su navedene vremenske prilike dovele do (re)aktivacije 47 klizišta na području Grada Zagreba u vrlo kratkom vremenu. </w:t>
      </w:r>
    </w:p>
    <w:p w14:paraId="7FC43A3F" w14:textId="77777777" w:rsidR="00472217" w:rsidRPr="00472217" w:rsidRDefault="00472217" w:rsidP="006F21BC">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Klizišta su se aktivirala u gradskim četvrtima Gornji grad - Medveščak, Maksimir, Črnomerec, Gornja Dubrava, Podsused - Vrapče, Podsljeme, Sesvete i Brezovica. Najviše dojava o aktiviranju klizišta zabilježeno je na području sljedećih mjesnih odbora:</w:t>
      </w:r>
    </w:p>
    <w:tbl>
      <w:tblPr>
        <w:tblStyle w:val="TableGrid60"/>
        <w:tblW w:w="9077" w:type="dxa"/>
        <w:tblLook w:val="04A0" w:firstRow="1" w:lastRow="0" w:firstColumn="1" w:lastColumn="0" w:noHBand="0" w:noVBand="1"/>
      </w:tblPr>
      <w:tblGrid>
        <w:gridCol w:w="4538"/>
        <w:gridCol w:w="4539"/>
      </w:tblGrid>
      <w:tr w:rsidR="00472217" w:rsidRPr="00472217" w14:paraId="6A2795FC" w14:textId="77777777" w:rsidTr="00A4649E">
        <w:trPr>
          <w:trHeight w:val="271"/>
        </w:trPr>
        <w:tc>
          <w:tcPr>
            <w:tcW w:w="4538" w:type="dxa"/>
            <w:shd w:val="clear" w:color="auto" w:fill="FFC000"/>
          </w:tcPr>
          <w:p w14:paraId="25FB7CCC"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Gradska četvrt</w:t>
            </w:r>
          </w:p>
        </w:tc>
        <w:tc>
          <w:tcPr>
            <w:tcW w:w="4539" w:type="dxa"/>
            <w:shd w:val="clear" w:color="auto" w:fill="FFC000"/>
          </w:tcPr>
          <w:p w14:paraId="3BEF65F7"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Mjesni odbori</w:t>
            </w:r>
          </w:p>
        </w:tc>
      </w:tr>
      <w:tr w:rsidR="00472217" w:rsidRPr="00472217" w14:paraId="712E1886" w14:textId="77777777" w:rsidTr="00A4649E">
        <w:trPr>
          <w:trHeight w:val="271"/>
        </w:trPr>
        <w:tc>
          <w:tcPr>
            <w:tcW w:w="4538" w:type="dxa"/>
          </w:tcPr>
          <w:p w14:paraId="0BB1DBE9"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Gornji grad - Medveščak</w:t>
            </w:r>
          </w:p>
        </w:tc>
        <w:tc>
          <w:tcPr>
            <w:tcW w:w="4539" w:type="dxa"/>
          </w:tcPr>
          <w:p w14:paraId="414E3AAF"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Stjepan Radić</w:t>
            </w:r>
          </w:p>
        </w:tc>
      </w:tr>
      <w:tr w:rsidR="00472217" w:rsidRPr="00472217" w14:paraId="306CA38A" w14:textId="77777777" w:rsidTr="00A4649E">
        <w:trPr>
          <w:trHeight w:val="271"/>
        </w:trPr>
        <w:tc>
          <w:tcPr>
            <w:tcW w:w="4538" w:type="dxa"/>
          </w:tcPr>
          <w:p w14:paraId="106FBB6D"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Maksimir</w:t>
            </w:r>
          </w:p>
        </w:tc>
        <w:tc>
          <w:tcPr>
            <w:tcW w:w="4539" w:type="dxa"/>
          </w:tcPr>
          <w:p w14:paraId="29760A0F"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Remete</w:t>
            </w:r>
          </w:p>
        </w:tc>
      </w:tr>
      <w:tr w:rsidR="00472217" w:rsidRPr="00472217" w14:paraId="7B1D63C4" w14:textId="77777777" w:rsidTr="00A4649E">
        <w:trPr>
          <w:trHeight w:val="271"/>
        </w:trPr>
        <w:tc>
          <w:tcPr>
            <w:tcW w:w="4538" w:type="dxa"/>
            <w:shd w:val="clear" w:color="auto" w:fill="auto"/>
          </w:tcPr>
          <w:p w14:paraId="52CAA08D"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Črnomerec</w:t>
            </w:r>
          </w:p>
        </w:tc>
        <w:tc>
          <w:tcPr>
            <w:tcW w:w="4539" w:type="dxa"/>
            <w:shd w:val="clear" w:color="auto" w:fill="auto"/>
          </w:tcPr>
          <w:p w14:paraId="427E1CA3"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Gornja Kustošija, Sveti Duh</w:t>
            </w:r>
          </w:p>
        </w:tc>
      </w:tr>
      <w:tr w:rsidR="00472217" w:rsidRPr="00472217" w14:paraId="1B634141" w14:textId="77777777" w:rsidTr="00A4649E">
        <w:trPr>
          <w:trHeight w:val="271"/>
        </w:trPr>
        <w:tc>
          <w:tcPr>
            <w:tcW w:w="4538" w:type="dxa"/>
            <w:shd w:val="clear" w:color="auto" w:fill="auto"/>
          </w:tcPr>
          <w:p w14:paraId="31894C24"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Gornja Dubrava</w:t>
            </w:r>
          </w:p>
        </w:tc>
        <w:tc>
          <w:tcPr>
            <w:tcW w:w="4539" w:type="dxa"/>
            <w:shd w:val="clear" w:color="auto" w:fill="auto"/>
          </w:tcPr>
          <w:p w14:paraId="7B3AD751"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Dankovec</w:t>
            </w:r>
          </w:p>
        </w:tc>
      </w:tr>
      <w:tr w:rsidR="00472217" w:rsidRPr="00472217" w14:paraId="62BA079F" w14:textId="77777777" w:rsidTr="00A4649E">
        <w:trPr>
          <w:trHeight w:val="557"/>
        </w:trPr>
        <w:tc>
          <w:tcPr>
            <w:tcW w:w="4538" w:type="dxa"/>
            <w:shd w:val="clear" w:color="auto" w:fill="auto"/>
          </w:tcPr>
          <w:p w14:paraId="49CB13C9"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Podsused - Vrapče</w:t>
            </w:r>
          </w:p>
        </w:tc>
        <w:tc>
          <w:tcPr>
            <w:tcW w:w="4539" w:type="dxa"/>
            <w:shd w:val="clear" w:color="auto" w:fill="auto"/>
          </w:tcPr>
          <w:p w14:paraId="0EC2D034"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Podsused, Perjavica-Borčec, Gornje Vrapče</w:t>
            </w:r>
          </w:p>
        </w:tc>
      </w:tr>
      <w:tr w:rsidR="00472217" w:rsidRPr="00472217" w14:paraId="35AEC130" w14:textId="77777777" w:rsidTr="00A4649E">
        <w:trPr>
          <w:trHeight w:val="271"/>
        </w:trPr>
        <w:tc>
          <w:tcPr>
            <w:tcW w:w="4538" w:type="dxa"/>
            <w:shd w:val="clear" w:color="auto" w:fill="auto"/>
          </w:tcPr>
          <w:p w14:paraId="15C34976"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Podsljeme</w:t>
            </w:r>
          </w:p>
        </w:tc>
        <w:tc>
          <w:tcPr>
            <w:tcW w:w="4539" w:type="dxa"/>
            <w:shd w:val="clear" w:color="auto" w:fill="auto"/>
          </w:tcPr>
          <w:p w14:paraId="7FE60084"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Markuševec, Šestine</w:t>
            </w:r>
          </w:p>
        </w:tc>
      </w:tr>
      <w:tr w:rsidR="00472217" w:rsidRPr="00472217" w14:paraId="71C2154D" w14:textId="77777777" w:rsidTr="00A4649E">
        <w:trPr>
          <w:trHeight w:val="271"/>
        </w:trPr>
        <w:tc>
          <w:tcPr>
            <w:tcW w:w="4538" w:type="dxa"/>
            <w:shd w:val="clear" w:color="auto" w:fill="auto"/>
          </w:tcPr>
          <w:p w14:paraId="0C362462"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Sesvete</w:t>
            </w:r>
          </w:p>
        </w:tc>
        <w:tc>
          <w:tcPr>
            <w:tcW w:w="4539" w:type="dxa"/>
            <w:shd w:val="clear" w:color="auto" w:fill="auto"/>
          </w:tcPr>
          <w:p w14:paraId="141E8431"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Goranec, Paruževina, Dobrodol, Kašina</w:t>
            </w:r>
          </w:p>
        </w:tc>
      </w:tr>
      <w:tr w:rsidR="00472217" w:rsidRPr="00472217" w14:paraId="238FCB9A" w14:textId="77777777" w:rsidTr="00A4649E">
        <w:trPr>
          <w:trHeight w:val="271"/>
        </w:trPr>
        <w:tc>
          <w:tcPr>
            <w:tcW w:w="4538" w:type="dxa"/>
            <w:shd w:val="clear" w:color="auto" w:fill="auto"/>
          </w:tcPr>
          <w:p w14:paraId="3DB83272"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Brezovica</w:t>
            </w:r>
          </w:p>
        </w:tc>
        <w:tc>
          <w:tcPr>
            <w:tcW w:w="4539" w:type="dxa"/>
            <w:shd w:val="clear" w:color="auto" w:fill="auto"/>
          </w:tcPr>
          <w:p w14:paraId="5E740279"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Dragonožec, Lipnica, Havidići</w:t>
            </w:r>
          </w:p>
        </w:tc>
      </w:tr>
    </w:tbl>
    <w:p w14:paraId="41905365" w14:textId="77777777" w:rsidR="00D02E7C" w:rsidRDefault="00D02E7C" w:rsidP="006F21BC">
      <w:pPr>
        <w:spacing w:after="0" w:line="240" w:lineRule="auto"/>
        <w:ind w:left="0" w:right="0" w:firstLine="709"/>
        <w:rPr>
          <w:rFonts w:ascii="Times New Roman" w:hAnsi="Times New Roman" w:cs="Times New Roman"/>
          <w:sz w:val="24"/>
          <w:szCs w:val="24"/>
        </w:rPr>
      </w:pPr>
    </w:p>
    <w:p w14:paraId="5420443A" w14:textId="16AE8E28" w:rsidR="00472217" w:rsidRPr="00472217" w:rsidRDefault="00472217" w:rsidP="006F21BC">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U gradskoj četvrti Maksimir najgora situacija je na području klizišta Črešnjevec gdje je ugroženo 14 kuća. U gradskoj četvrti Črnomerec ugrožene su tri kuće te je zbog odrona došlo do prekida prometa ulicom Grmoščica. Osim navedenog, došlo je i do pucanja ogradnih zidova dvorišta, pucanja nosivih zidova kuća, pucanja i propadanja prometnica, ulegnuća, uništenja odvodnih cijevi, puknuća cjevovoda, lokalnih prekida vodova nadzemne elektro-energetske mreže. Zabilježeno je 45 slučajeva odrona koji su otežali prometovanje ili potpuno onemogućili promet lokalnim cestama, najviše na području gradske četvrti Sesvete. Zagrebačke ceste su pristupile postavljanju privremene signalizacije na cestama na kojima je moguće prometovanje, a određen dio prometnica je zbog opasnosti od daljnjeg odronjavanja zatvoren. Zbog toga su pojedini dijelovi naselja odsječeni, te je nemoguć pristup vozilima hitnih službi. Iz tog razloga su stavljene snage Hrvatske gorske službe spašavanja u stanje pripravnosti, kako bi dodatno pomogle pri evakuaciji stanovništva, odnosno dostavi nužnih potrepština uglavnom stanovništvu starije životne dobi koje se nalazi u izoliranim dijelovima podsljemenskih naselja. Na ugroženim područjima komunalne službe zatvaraju sve vodovodne instalacije, te je izvršeno isključivanje struje i zatvaranje plina u neposrednom okruženju ugroženih objekata.</w:t>
      </w:r>
    </w:p>
    <w:p w14:paraId="74E65396"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43219E9F" w14:textId="77777777" w:rsidR="00472217" w:rsidRPr="00472217" w:rsidRDefault="00472217" w:rsidP="006F21BC">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lastRenderedPageBreak/>
        <w:t>Budući je na klizištu Kostanjek zabilježena brzina gibanja od 4,5 mm/dan</w:t>
      </w:r>
      <w:r w:rsidRPr="00472217">
        <w:rPr>
          <w:rFonts w:ascii="Times New Roman" w:hAnsi="Times New Roman" w:cs="Times New Roman"/>
          <w:sz w:val="24"/>
          <w:szCs w:val="24"/>
          <w:vertAlign w:val="superscript"/>
        </w:rPr>
        <w:footnoteReference w:id="126"/>
      </w:r>
      <w:r w:rsidRPr="00472217">
        <w:rPr>
          <w:rFonts w:ascii="Times New Roman" w:hAnsi="Times New Roman" w:cs="Times New Roman"/>
          <w:sz w:val="24"/>
          <w:szCs w:val="24"/>
        </w:rPr>
        <w:t>, pristupilo se preventivnom planiranju nužnog smještaja za 500 stanovnika i to na područjima gradskih četvrti Donja Dubrava, Novi Zagreb - zapad, Peščenica - Žitnjak, Trešnjevka - jug i Trnje. Isto tako, iako nije došlo do potpunog rušenja kuća, već su zabilježena veća oštećenja u obliku napuknuća nosivih zidova, specijalistička postrojba civilne zaštite Grada Zagreba za spašavanje iz ruševina stavljena je u stanje pripravnosti budući da policija ima problema sa dvije obitelji koje se ne žele iseliti iz nesigurnih objekata.</w:t>
      </w:r>
    </w:p>
    <w:p w14:paraId="7BCF20C9"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5429B5DB" w14:textId="77777777" w:rsidR="00472217" w:rsidRPr="006F21BC" w:rsidRDefault="00472217" w:rsidP="006F21BC">
      <w:pPr>
        <w:spacing w:after="0" w:line="240" w:lineRule="auto"/>
        <w:ind w:left="0" w:right="0" w:firstLine="709"/>
        <w:rPr>
          <w:rFonts w:ascii="Times New Roman" w:hAnsi="Times New Roman" w:cs="Times New Roman"/>
          <w:b/>
          <w:sz w:val="24"/>
          <w:szCs w:val="24"/>
        </w:rPr>
      </w:pPr>
      <w:r w:rsidRPr="006F21BC">
        <w:rPr>
          <w:rFonts w:ascii="Times New Roman" w:hAnsi="Times New Roman" w:cs="Times New Roman"/>
          <w:b/>
          <w:sz w:val="24"/>
          <w:szCs w:val="24"/>
        </w:rPr>
        <w:t>6.8.5.1. Posljedice</w:t>
      </w:r>
    </w:p>
    <w:p w14:paraId="5F326FB1" w14:textId="77777777" w:rsidR="00472217" w:rsidRPr="006F21BC" w:rsidRDefault="00472217" w:rsidP="006F21BC">
      <w:pPr>
        <w:spacing w:after="0" w:line="240" w:lineRule="auto"/>
        <w:ind w:left="0" w:right="0" w:firstLine="709"/>
        <w:rPr>
          <w:rFonts w:ascii="Times New Roman" w:hAnsi="Times New Roman" w:cs="Times New Roman"/>
          <w:b/>
          <w:i/>
          <w:sz w:val="24"/>
          <w:szCs w:val="24"/>
        </w:rPr>
      </w:pPr>
      <w:r w:rsidRPr="006F21BC">
        <w:rPr>
          <w:rFonts w:ascii="Times New Roman" w:hAnsi="Times New Roman" w:cs="Times New Roman"/>
          <w:b/>
          <w:i/>
          <w:sz w:val="24"/>
          <w:szCs w:val="24"/>
        </w:rPr>
        <w:t>6.8.5.1.1. Život i zdravlje ljudi</w:t>
      </w:r>
    </w:p>
    <w:p w14:paraId="20A72A27" w14:textId="77777777" w:rsidR="00472217" w:rsidRPr="00472217" w:rsidRDefault="00472217" w:rsidP="006F21BC">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Iako se sukladno scenariju koji se temelji na oborinskom događaju iz ožujka 2013. godine ne očekuju smrtni ishodi zbog naglog rušenja kuća koje se nalaze na aktivnim klizištima, posljedice na život i zdravlje ljudi će biti katastrofalne. Procjenjuje se da će minimalno desetak obitelji biti iseljeno iz svojih kuća zbog opasnosti od daljnjeg klizanja i urušavanja objekata, manji dio stanovnika će biti potpuno cestovno odsječen, dok će se oko 60 000 stanovnika suočiti sa poteškoćama u prometovanju zbog odrona na cestama. Neke ceste će biti potpuno zatvorene pa će se morati ići dužim obilaznim pravcima što će poskupjeti troškove života, neke sužene, a sve do sanacije do nekih dijelova naselja neće voziti niti autobusi. Procjenjuje se da će dio stanovnika imati kratkotrajnih problema sa vodoopskrbom i nestankom električne energije zbog utjecaja klizišta na komunalnu infrastrukturu. Dio stanovnika čije se kuće nalaze na klizištu suočit će se sa strahom i neugodom zbog neizvjesne situacije potaknute vremenskim prilikama.</w:t>
      </w:r>
      <w:r w:rsidRPr="00472217">
        <w:rPr>
          <w:rFonts w:ascii="Times New Roman" w:hAnsi="Times New Roman" w:cs="Times New Roman"/>
          <w:sz w:val="24"/>
          <w:szCs w:val="24"/>
          <w:vertAlign w:val="superscript"/>
        </w:rPr>
        <w:footnoteReference w:id="127"/>
      </w:r>
      <w:r w:rsidRPr="00472217">
        <w:rPr>
          <w:rFonts w:ascii="Times New Roman" w:hAnsi="Times New Roman" w:cs="Times New Roman"/>
          <w:sz w:val="24"/>
          <w:szCs w:val="24"/>
        </w:rPr>
        <w:t xml:space="preserve"> Sve navedene okolnosti će degradirati kvalitetu života stanovnika.</w:t>
      </w:r>
    </w:p>
    <w:p w14:paraId="4808D284" w14:textId="77777777" w:rsidR="00472217" w:rsidRPr="00472217" w:rsidRDefault="00472217" w:rsidP="00472217">
      <w:pPr>
        <w:spacing w:after="0" w:line="240" w:lineRule="auto"/>
        <w:ind w:left="0" w:right="0" w:firstLine="0"/>
        <w:rPr>
          <w:rFonts w:ascii="Times New Roman" w:hAnsi="Times New Roman" w:cs="Times New Roman"/>
          <w:i/>
          <w:sz w:val="24"/>
          <w:szCs w:val="24"/>
        </w:rPr>
      </w:pPr>
    </w:p>
    <w:p w14:paraId="1580DC36" w14:textId="6A61E331" w:rsidR="00472217" w:rsidRPr="005B396A" w:rsidRDefault="00472217" w:rsidP="00472217">
      <w:pPr>
        <w:spacing w:after="0" w:line="240" w:lineRule="auto"/>
        <w:ind w:left="0" w:right="0" w:firstLine="0"/>
        <w:jc w:val="center"/>
        <w:rPr>
          <w:rFonts w:ascii="Times New Roman" w:hAnsi="Times New Roman" w:cs="Times New Roman"/>
          <w:color w:val="auto"/>
          <w:sz w:val="24"/>
          <w:szCs w:val="24"/>
        </w:rPr>
      </w:pPr>
      <w:r w:rsidRPr="005B396A">
        <w:rPr>
          <w:rFonts w:ascii="Times New Roman" w:hAnsi="Times New Roman" w:cs="Times New Roman"/>
          <w:b/>
          <w:color w:val="auto"/>
          <w:sz w:val="24"/>
          <w:szCs w:val="24"/>
        </w:rPr>
        <w:t xml:space="preserve">Tablica </w:t>
      </w:r>
      <w:r w:rsidR="005B396A" w:rsidRPr="005B396A">
        <w:rPr>
          <w:rFonts w:ascii="Times New Roman" w:hAnsi="Times New Roman" w:cs="Times New Roman"/>
          <w:b/>
          <w:color w:val="auto"/>
          <w:sz w:val="24"/>
          <w:szCs w:val="24"/>
        </w:rPr>
        <w:t>127</w:t>
      </w:r>
      <w:r w:rsidRPr="005B396A">
        <w:rPr>
          <w:rFonts w:ascii="Times New Roman" w:hAnsi="Times New Roman" w:cs="Times New Roman"/>
          <w:b/>
          <w:color w:val="auto"/>
          <w:sz w:val="24"/>
          <w:szCs w:val="24"/>
        </w:rPr>
        <w:t>. Vrijednost kriterija za posljedice na život i zdravlje ljudi po kategorijama</w:t>
      </w:r>
    </w:p>
    <w:tbl>
      <w:tblPr>
        <w:tblStyle w:val="TableGrid9"/>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00"/>
        <w:gridCol w:w="2835"/>
        <w:gridCol w:w="2836"/>
        <w:gridCol w:w="1701"/>
      </w:tblGrid>
      <w:tr w:rsidR="00472217" w:rsidRPr="00472217" w14:paraId="30618501" w14:textId="77777777" w:rsidTr="00284074">
        <w:trPr>
          <w:cantSplit/>
          <w:tblHeader/>
        </w:trPr>
        <w:tc>
          <w:tcPr>
            <w:tcW w:w="9072" w:type="dxa"/>
            <w:gridSpan w:val="4"/>
            <w:shd w:val="clear" w:color="auto" w:fill="FFC000"/>
            <w:vAlign w:val="center"/>
          </w:tcPr>
          <w:p w14:paraId="0B8CB752"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b/>
              </w:rPr>
              <w:t xml:space="preserve">Život i zdravlje ljudi – klizišta </w:t>
            </w:r>
          </w:p>
        </w:tc>
      </w:tr>
      <w:tr w:rsidR="00472217" w:rsidRPr="00472217" w14:paraId="520AAA20" w14:textId="77777777" w:rsidTr="00284074">
        <w:trPr>
          <w:cantSplit/>
          <w:tblHeader/>
        </w:trPr>
        <w:tc>
          <w:tcPr>
            <w:tcW w:w="1700" w:type="dxa"/>
            <w:shd w:val="clear" w:color="auto" w:fill="FFC000"/>
            <w:vAlign w:val="center"/>
          </w:tcPr>
          <w:p w14:paraId="28384464"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b/>
              </w:rPr>
              <w:t>Kategorija</w:t>
            </w:r>
          </w:p>
        </w:tc>
        <w:tc>
          <w:tcPr>
            <w:tcW w:w="2835" w:type="dxa"/>
            <w:shd w:val="clear" w:color="auto" w:fill="FFC000"/>
            <w:vAlign w:val="center"/>
          </w:tcPr>
          <w:p w14:paraId="11A47FAE"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b/>
              </w:rPr>
              <w:t>Posljedice</w:t>
            </w:r>
          </w:p>
        </w:tc>
        <w:tc>
          <w:tcPr>
            <w:tcW w:w="2836" w:type="dxa"/>
            <w:shd w:val="clear" w:color="auto" w:fill="FFC000"/>
            <w:vAlign w:val="center"/>
          </w:tcPr>
          <w:p w14:paraId="6EC2F765"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b/>
              </w:rPr>
              <w:t>Kriterij (br.st.)</w:t>
            </w:r>
          </w:p>
        </w:tc>
        <w:tc>
          <w:tcPr>
            <w:tcW w:w="1701" w:type="dxa"/>
            <w:shd w:val="clear" w:color="auto" w:fill="FFC000"/>
            <w:vAlign w:val="center"/>
          </w:tcPr>
          <w:p w14:paraId="4899DEF1"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b/>
              </w:rPr>
              <w:t>ODABRANO</w:t>
            </w:r>
          </w:p>
        </w:tc>
      </w:tr>
      <w:tr w:rsidR="00472217" w:rsidRPr="00472217" w14:paraId="7CEBF291" w14:textId="77777777" w:rsidTr="00284074">
        <w:trPr>
          <w:cantSplit/>
        </w:trPr>
        <w:tc>
          <w:tcPr>
            <w:tcW w:w="1700" w:type="dxa"/>
            <w:vAlign w:val="center"/>
          </w:tcPr>
          <w:p w14:paraId="7E2D8103"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1.</w:t>
            </w:r>
          </w:p>
        </w:tc>
        <w:tc>
          <w:tcPr>
            <w:tcW w:w="2835" w:type="dxa"/>
            <w:vAlign w:val="center"/>
          </w:tcPr>
          <w:p w14:paraId="32BB45CE"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Neznatne</w:t>
            </w:r>
          </w:p>
        </w:tc>
        <w:tc>
          <w:tcPr>
            <w:tcW w:w="2836" w:type="dxa"/>
            <w:vAlign w:val="center"/>
          </w:tcPr>
          <w:p w14:paraId="5571B119"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&lt;8</w:t>
            </w:r>
          </w:p>
        </w:tc>
        <w:tc>
          <w:tcPr>
            <w:tcW w:w="1701" w:type="dxa"/>
            <w:vAlign w:val="center"/>
          </w:tcPr>
          <w:p w14:paraId="05A3EDF1" w14:textId="77777777" w:rsidR="00472217" w:rsidRPr="00472217" w:rsidRDefault="00472217" w:rsidP="00472217">
            <w:pPr>
              <w:spacing w:after="0" w:line="240" w:lineRule="auto"/>
              <w:ind w:left="0" w:right="0" w:firstLine="0"/>
              <w:jc w:val="center"/>
              <w:rPr>
                <w:rFonts w:ascii="Times New Roman" w:hAnsi="Times New Roman" w:cs="Times New Roman"/>
              </w:rPr>
            </w:pPr>
          </w:p>
        </w:tc>
      </w:tr>
      <w:tr w:rsidR="00472217" w:rsidRPr="00472217" w14:paraId="5C61E4FC" w14:textId="77777777" w:rsidTr="00284074">
        <w:trPr>
          <w:cantSplit/>
        </w:trPr>
        <w:tc>
          <w:tcPr>
            <w:tcW w:w="1700" w:type="dxa"/>
            <w:shd w:val="clear" w:color="auto" w:fill="FFC000"/>
            <w:vAlign w:val="center"/>
          </w:tcPr>
          <w:p w14:paraId="02C5917A"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2.</w:t>
            </w:r>
          </w:p>
        </w:tc>
        <w:tc>
          <w:tcPr>
            <w:tcW w:w="2835" w:type="dxa"/>
            <w:shd w:val="clear" w:color="auto" w:fill="FFC000"/>
            <w:vAlign w:val="center"/>
          </w:tcPr>
          <w:p w14:paraId="706A9EE7"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Malene</w:t>
            </w:r>
          </w:p>
        </w:tc>
        <w:tc>
          <w:tcPr>
            <w:tcW w:w="2836" w:type="dxa"/>
            <w:shd w:val="clear" w:color="auto" w:fill="FFC000"/>
            <w:vAlign w:val="center"/>
          </w:tcPr>
          <w:p w14:paraId="455EFCDB"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8-35</w:t>
            </w:r>
          </w:p>
        </w:tc>
        <w:tc>
          <w:tcPr>
            <w:tcW w:w="1701" w:type="dxa"/>
            <w:shd w:val="clear" w:color="auto" w:fill="FFC000"/>
            <w:vAlign w:val="center"/>
          </w:tcPr>
          <w:p w14:paraId="68172E8E" w14:textId="77777777" w:rsidR="00472217" w:rsidRPr="00472217" w:rsidRDefault="00472217" w:rsidP="00472217">
            <w:pPr>
              <w:spacing w:after="0" w:line="240" w:lineRule="auto"/>
              <w:ind w:left="0" w:right="0" w:firstLine="0"/>
              <w:jc w:val="center"/>
              <w:rPr>
                <w:rFonts w:ascii="Times New Roman" w:hAnsi="Times New Roman" w:cs="Times New Roman"/>
              </w:rPr>
            </w:pPr>
          </w:p>
        </w:tc>
      </w:tr>
      <w:tr w:rsidR="00472217" w:rsidRPr="00472217" w14:paraId="078A9EDB" w14:textId="77777777" w:rsidTr="00284074">
        <w:trPr>
          <w:cantSplit/>
        </w:trPr>
        <w:tc>
          <w:tcPr>
            <w:tcW w:w="1700" w:type="dxa"/>
            <w:vAlign w:val="center"/>
          </w:tcPr>
          <w:p w14:paraId="329A8ADD"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3.</w:t>
            </w:r>
          </w:p>
        </w:tc>
        <w:tc>
          <w:tcPr>
            <w:tcW w:w="2835" w:type="dxa"/>
            <w:vAlign w:val="center"/>
          </w:tcPr>
          <w:p w14:paraId="6DCE08AA"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Umjerene</w:t>
            </w:r>
          </w:p>
        </w:tc>
        <w:tc>
          <w:tcPr>
            <w:tcW w:w="2836" w:type="dxa"/>
            <w:vAlign w:val="center"/>
          </w:tcPr>
          <w:p w14:paraId="142F4D6F"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35-85</w:t>
            </w:r>
          </w:p>
        </w:tc>
        <w:tc>
          <w:tcPr>
            <w:tcW w:w="1701" w:type="dxa"/>
            <w:vAlign w:val="center"/>
          </w:tcPr>
          <w:p w14:paraId="75BA4F8C" w14:textId="77777777" w:rsidR="00472217" w:rsidRPr="00472217" w:rsidRDefault="00472217" w:rsidP="00472217">
            <w:pPr>
              <w:spacing w:after="0" w:line="240" w:lineRule="auto"/>
              <w:ind w:left="0" w:right="0" w:firstLine="0"/>
              <w:jc w:val="center"/>
              <w:rPr>
                <w:rFonts w:ascii="Times New Roman" w:hAnsi="Times New Roman" w:cs="Times New Roman"/>
              </w:rPr>
            </w:pPr>
          </w:p>
        </w:tc>
      </w:tr>
      <w:tr w:rsidR="00472217" w:rsidRPr="00472217" w14:paraId="02E89FBF" w14:textId="77777777" w:rsidTr="00284074">
        <w:trPr>
          <w:cantSplit/>
        </w:trPr>
        <w:tc>
          <w:tcPr>
            <w:tcW w:w="1700" w:type="dxa"/>
            <w:shd w:val="clear" w:color="auto" w:fill="FFC000"/>
            <w:vAlign w:val="center"/>
          </w:tcPr>
          <w:p w14:paraId="6BFCE7BC"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4.</w:t>
            </w:r>
          </w:p>
        </w:tc>
        <w:tc>
          <w:tcPr>
            <w:tcW w:w="2835" w:type="dxa"/>
            <w:shd w:val="clear" w:color="auto" w:fill="FFC000"/>
            <w:vAlign w:val="center"/>
          </w:tcPr>
          <w:p w14:paraId="60530FA1"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Znatne</w:t>
            </w:r>
          </w:p>
        </w:tc>
        <w:tc>
          <w:tcPr>
            <w:tcW w:w="2836" w:type="dxa"/>
            <w:shd w:val="clear" w:color="auto" w:fill="FFC000"/>
            <w:vAlign w:val="center"/>
          </w:tcPr>
          <w:p w14:paraId="6D8B88E6"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85-269</w:t>
            </w:r>
          </w:p>
        </w:tc>
        <w:tc>
          <w:tcPr>
            <w:tcW w:w="1701" w:type="dxa"/>
            <w:shd w:val="clear" w:color="auto" w:fill="FFC000"/>
            <w:vAlign w:val="center"/>
          </w:tcPr>
          <w:p w14:paraId="1D0FD199" w14:textId="77777777" w:rsidR="00472217" w:rsidRPr="00472217" w:rsidRDefault="00472217" w:rsidP="00472217">
            <w:pPr>
              <w:spacing w:after="0" w:line="240" w:lineRule="auto"/>
              <w:ind w:left="0" w:right="0" w:firstLine="0"/>
              <w:jc w:val="center"/>
              <w:rPr>
                <w:rFonts w:ascii="Times New Roman" w:hAnsi="Times New Roman" w:cs="Times New Roman"/>
              </w:rPr>
            </w:pPr>
          </w:p>
        </w:tc>
      </w:tr>
      <w:tr w:rsidR="00472217" w:rsidRPr="00472217" w14:paraId="30E3273F" w14:textId="77777777" w:rsidTr="00284074">
        <w:trPr>
          <w:cantSplit/>
        </w:trPr>
        <w:tc>
          <w:tcPr>
            <w:tcW w:w="1700" w:type="dxa"/>
            <w:vAlign w:val="center"/>
          </w:tcPr>
          <w:p w14:paraId="3145089A"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5.</w:t>
            </w:r>
          </w:p>
        </w:tc>
        <w:tc>
          <w:tcPr>
            <w:tcW w:w="2835" w:type="dxa"/>
            <w:vAlign w:val="center"/>
          </w:tcPr>
          <w:p w14:paraId="4067C7DA"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Katastrofalne</w:t>
            </w:r>
          </w:p>
        </w:tc>
        <w:tc>
          <w:tcPr>
            <w:tcW w:w="2836" w:type="dxa"/>
            <w:vAlign w:val="center"/>
          </w:tcPr>
          <w:p w14:paraId="686AC0BF"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&gt;269</w:t>
            </w:r>
          </w:p>
        </w:tc>
        <w:tc>
          <w:tcPr>
            <w:tcW w:w="1701" w:type="dxa"/>
            <w:vAlign w:val="center"/>
          </w:tcPr>
          <w:p w14:paraId="62715552"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x</w:t>
            </w:r>
          </w:p>
        </w:tc>
      </w:tr>
    </w:tbl>
    <w:p w14:paraId="15656A6A" w14:textId="77777777" w:rsidR="00472217" w:rsidRPr="00A4649E" w:rsidRDefault="00472217" w:rsidP="00472217">
      <w:pPr>
        <w:spacing w:after="0" w:line="240" w:lineRule="auto"/>
        <w:ind w:left="0" w:right="0" w:firstLine="0"/>
        <w:rPr>
          <w:rFonts w:ascii="Times New Roman" w:hAnsi="Times New Roman" w:cs="Times New Roman"/>
          <w:sz w:val="24"/>
          <w:szCs w:val="24"/>
        </w:rPr>
      </w:pPr>
    </w:p>
    <w:p w14:paraId="536C89C4" w14:textId="77777777" w:rsidR="00472217" w:rsidRPr="006F21BC" w:rsidRDefault="00472217" w:rsidP="006F21BC">
      <w:pPr>
        <w:spacing w:after="0" w:line="240" w:lineRule="auto"/>
        <w:ind w:left="0" w:right="0" w:firstLine="709"/>
        <w:rPr>
          <w:rFonts w:ascii="Times New Roman" w:hAnsi="Times New Roman" w:cs="Times New Roman"/>
          <w:b/>
          <w:i/>
          <w:sz w:val="24"/>
          <w:szCs w:val="24"/>
        </w:rPr>
      </w:pPr>
      <w:r w:rsidRPr="006F21BC">
        <w:rPr>
          <w:rFonts w:ascii="Times New Roman" w:hAnsi="Times New Roman" w:cs="Times New Roman"/>
          <w:b/>
          <w:i/>
          <w:sz w:val="24"/>
          <w:szCs w:val="24"/>
        </w:rPr>
        <w:t>6.8.5.1.2. Gospodarstvo</w:t>
      </w:r>
    </w:p>
    <w:p w14:paraId="1568C6FB" w14:textId="0E780360" w:rsidR="00472217" w:rsidRPr="00472217" w:rsidRDefault="00472217" w:rsidP="006F21BC">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Prosječne godišnje štete od aktiviranja klizišta i odrona na području Grada Zagreba procjenjuju</w:t>
      </w:r>
      <w:r w:rsidR="00A4649E">
        <w:rPr>
          <w:rFonts w:ascii="Times New Roman" w:hAnsi="Times New Roman" w:cs="Times New Roman"/>
          <w:sz w:val="24"/>
          <w:szCs w:val="24"/>
        </w:rPr>
        <w:t xml:space="preserve"> </w:t>
      </w:r>
      <w:r w:rsidRPr="00472217">
        <w:rPr>
          <w:rFonts w:ascii="Times New Roman" w:hAnsi="Times New Roman" w:cs="Times New Roman"/>
          <w:sz w:val="24"/>
          <w:szCs w:val="24"/>
        </w:rPr>
        <w:t>se na oko 100 milijuna kuna, od čega se oko 30% istih nalazi na privatnim nekretninama</w:t>
      </w:r>
      <w:r w:rsidRPr="00472217">
        <w:rPr>
          <w:rFonts w:ascii="Times New Roman" w:hAnsi="Times New Roman" w:cs="Times New Roman"/>
          <w:sz w:val="24"/>
          <w:szCs w:val="24"/>
          <w:vertAlign w:val="superscript"/>
        </w:rPr>
        <w:footnoteReference w:id="128"/>
      </w:r>
      <w:r w:rsidRPr="00472217">
        <w:rPr>
          <w:rFonts w:ascii="Times New Roman" w:hAnsi="Times New Roman" w:cs="Times New Roman"/>
          <w:sz w:val="24"/>
          <w:szCs w:val="24"/>
        </w:rPr>
        <w:t>. 2013. godine na 16 lokacija poduzete su hitne mjere s ciljem zaštite ljudi i imovine te sprječavanja nastanka još većih štetnih posljedica od klizanja tla. Vrijednost ovih radova iznosila je gotovo 10.000.000 kn. Ocjenom uzroka nastanka, mehanizma klizanja i primjenjivih radova sanacije ovih klizišta, a sve na osnovi iskustvenih podataka o troškovima istraživanja i sanacijskih radova, došlo se do zaključka da bi za sanaciju svih ovih klizišta bilo potrebno izdvojiti ne manje od 110.000.000 kn. U iznos ne ulazi posebni lokalitet Kostanjek za koji se procjenjuje da bi radovi sanacije, uključujući i sanaciju oštećenih objekata, koštali oko 1.600.000.000 kn</w:t>
      </w:r>
      <w:r w:rsidRPr="00472217">
        <w:rPr>
          <w:rFonts w:ascii="Times New Roman" w:hAnsi="Times New Roman" w:cs="Times New Roman"/>
          <w:sz w:val="24"/>
          <w:szCs w:val="24"/>
          <w:vertAlign w:val="superscript"/>
        </w:rPr>
        <w:footnoteReference w:id="129"/>
      </w:r>
      <w:r w:rsidRPr="00472217">
        <w:rPr>
          <w:rFonts w:ascii="Times New Roman" w:hAnsi="Times New Roman" w:cs="Times New Roman"/>
          <w:sz w:val="24"/>
          <w:szCs w:val="24"/>
        </w:rPr>
        <w:t>.</w:t>
      </w:r>
    </w:p>
    <w:p w14:paraId="6FA65A61"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5BE63B37" w14:textId="77777777" w:rsidR="00472217" w:rsidRPr="00472217" w:rsidRDefault="00472217" w:rsidP="006F21BC">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lastRenderedPageBreak/>
        <w:t>Prema drugoj procjeni za prvu fazu sanacije klizišta Kostanjek potrebno je osigurati 10 milijuna kuna, ne uključujući sanaciju tunela, kontrolnu točku, kolektor u produženom Karažniku, sanaciju prometnica s infrastrukturom i oštećene objekte. Procjena za kompletnu sanaciju iznosi 200 milijuna € (eura) odnosno 1.502.358.200 kuna</w:t>
      </w:r>
      <w:r w:rsidRPr="00472217">
        <w:rPr>
          <w:rFonts w:ascii="Times New Roman" w:hAnsi="Times New Roman" w:cs="Times New Roman"/>
          <w:sz w:val="24"/>
          <w:szCs w:val="24"/>
          <w:vertAlign w:val="superscript"/>
        </w:rPr>
        <w:footnoteReference w:id="130"/>
      </w:r>
      <w:r w:rsidRPr="00472217">
        <w:rPr>
          <w:rFonts w:ascii="Times New Roman" w:hAnsi="Times New Roman" w:cs="Times New Roman"/>
          <w:sz w:val="24"/>
          <w:szCs w:val="24"/>
        </w:rPr>
        <w:t xml:space="preserve">. U troškove je potrebno uračunati i hitne radove na komunalnoj infrastrukturi (trošak Zagrebačkih cesta, Zrinjevca, Vodoopskrbe i odvodnje, HEP-a, Javne vatrogasne postrojbe, Hrvatske gorske službe spašavanja). Osim navedenog, potrebno je uzeti u obzir i troškove evakuacije i zamjenskog smještaja za stanovništvo u slučaju potrebe. Sagledavajući sve troškove, oni nisu ispod 2.269.036.800 kuna i u odnosu na proračun Grada Zagreba, smatraju se znatnima. </w:t>
      </w:r>
    </w:p>
    <w:p w14:paraId="2A7A901D" w14:textId="77777777" w:rsidR="00472217" w:rsidRPr="00472217" w:rsidRDefault="00472217" w:rsidP="00472217">
      <w:pPr>
        <w:spacing w:after="0" w:line="240" w:lineRule="auto"/>
        <w:ind w:left="0" w:right="0" w:firstLine="0"/>
        <w:rPr>
          <w:rFonts w:ascii="Times New Roman" w:hAnsi="Times New Roman" w:cs="Times New Roman"/>
          <w:i/>
          <w:sz w:val="24"/>
          <w:szCs w:val="24"/>
        </w:rPr>
      </w:pPr>
    </w:p>
    <w:p w14:paraId="3AF767ED" w14:textId="0CB35918" w:rsidR="00472217" w:rsidRPr="005B396A" w:rsidRDefault="00472217" w:rsidP="00A4649E">
      <w:pPr>
        <w:spacing w:line="240" w:lineRule="auto"/>
        <w:ind w:left="0" w:right="0" w:firstLine="0"/>
        <w:jc w:val="center"/>
        <w:rPr>
          <w:rFonts w:ascii="Times New Roman" w:hAnsi="Times New Roman" w:cs="Times New Roman"/>
          <w:b/>
          <w:iCs/>
          <w:color w:val="auto"/>
          <w:sz w:val="24"/>
          <w:szCs w:val="24"/>
        </w:rPr>
      </w:pPr>
      <w:r w:rsidRPr="005B396A">
        <w:rPr>
          <w:rFonts w:ascii="Times New Roman" w:hAnsi="Times New Roman" w:cs="Times New Roman"/>
          <w:b/>
          <w:iCs/>
          <w:color w:val="auto"/>
          <w:sz w:val="24"/>
          <w:szCs w:val="24"/>
        </w:rPr>
        <w:t xml:space="preserve">Tablica </w:t>
      </w:r>
      <w:r w:rsidR="005B396A" w:rsidRPr="005B396A">
        <w:rPr>
          <w:rFonts w:ascii="Times New Roman" w:hAnsi="Times New Roman" w:cs="Times New Roman"/>
          <w:b/>
          <w:iCs/>
          <w:color w:val="auto"/>
          <w:sz w:val="24"/>
          <w:szCs w:val="24"/>
        </w:rPr>
        <w:t>128</w:t>
      </w:r>
      <w:r w:rsidRPr="005B396A">
        <w:rPr>
          <w:rFonts w:ascii="Times New Roman" w:hAnsi="Times New Roman" w:cs="Times New Roman"/>
          <w:b/>
          <w:iCs/>
          <w:color w:val="auto"/>
          <w:sz w:val="24"/>
          <w:szCs w:val="24"/>
        </w:rPr>
        <w:t>. Vrijednost kriterija za posljedice na gospodarstvo po kategorijama</w:t>
      </w:r>
    </w:p>
    <w:tbl>
      <w:tblPr>
        <w:tblStyle w:val="TableGrid9"/>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01"/>
        <w:gridCol w:w="2835"/>
        <w:gridCol w:w="2835"/>
        <w:gridCol w:w="1701"/>
      </w:tblGrid>
      <w:tr w:rsidR="00472217" w:rsidRPr="00472217" w14:paraId="73F2C6D8" w14:textId="77777777" w:rsidTr="00284074">
        <w:trPr>
          <w:cantSplit/>
        </w:trPr>
        <w:tc>
          <w:tcPr>
            <w:tcW w:w="9072" w:type="dxa"/>
            <w:gridSpan w:val="4"/>
            <w:shd w:val="clear" w:color="auto" w:fill="FFC000"/>
            <w:vAlign w:val="center"/>
          </w:tcPr>
          <w:p w14:paraId="405ABC33"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b/>
              </w:rPr>
              <w:t>Gospodarstvo – klizišta</w:t>
            </w:r>
          </w:p>
        </w:tc>
      </w:tr>
      <w:tr w:rsidR="00472217" w:rsidRPr="00472217" w14:paraId="24285DA1" w14:textId="77777777" w:rsidTr="00284074">
        <w:trPr>
          <w:cantSplit/>
        </w:trPr>
        <w:tc>
          <w:tcPr>
            <w:tcW w:w="1701" w:type="dxa"/>
            <w:shd w:val="clear" w:color="auto" w:fill="FFC000"/>
            <w:vAlign w:val="center"/>
          </w:tcPr>
          <w:p w14:paraId="43C32FE6"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b/>
              </w:rPr>
              <w:t>Kategorija</w:t>
            </w:r>
          </w:p>
        </w:tc>
        <w:tc>
          <w:tcPr>
            <w:tcW w:w="2835" w:type="dxa"/>
            <w:shd w:val="clear" w:color="auto" w:fill="FFC000"/>
            <w:vAlign w:val="center"/>
          </w:tcPr>
          <w:p w14:paraId="321165E5"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b/>
              </w:rPr>
              <w:t>Posljedice</w:t>
            </w:r>
          </w:p>
        </w:tc>
        <w:tc>
          <w:tcPr>
            <w:tcW w:w="2835" w:type="dxa"/>
            <w:shd w:val="clear" w:color="auto" w:fill="FFC000"/>
            <w:vAlign w:val="center"/>
          </w:tcPr>
          <w:p w14:paraId="607EC5C6"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b/>
              </w:rPr>
              <w:t>Kriteriji (kn)</w:t>
            </w:r>
          </w:p>
        </w:tc>
        <w:tc>
          <w:tcPr>
            <w:tcW w:w="1701" w:type="dxa"/>
            <w:shd w:val="clear" w:color="auto" w:fill="FFC000"/>
            <w:vAlign w:val="center"/>
          </w:tcPr>
          <w:p w14:paraId="7A7636FC"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b/>
              </w:rPr>
              <w:t>ODABRANO</w:t>
            </w:r>
          </w:p>
        </w:tc>
      </w:tr>
      <w:tr w:rsidR="00472217" w:rsidRPr="00472217" w14:paraId="210F13E7" w14:textId="77777777" w:rsidTr="00284074">
        <w:trPr>
          <w:cantSplit/>
        </w:trPr>
        <w:tc>
          <w:tcPr>
            <w:tcW w:w="1701" w:type="dxa"/>
            <w:vAlign w:val="center"/>
          </w:tcPr>
          <w:p w14:paraId="3B9CBB89"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1.</w:t>
            </w:r>
          </w:p>
        </w:tc>
        <w:tc>
          <w:tcPr>
            <w:tcW w:w="2835" w:type="dxa"/>
            <w:vAlign w:val="center"/>
          </w:tcPr>
          <w:p w14:paraId="06D34CA4"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Neznatne</w:t>
            </w:r>
          </w:p>
        </w:tc>
        <w:tc>
          <w:tcPr>
            <w:tcW w:w="2835" w:type="dxa"/>
            <w:vAlign w:val="center"/>
          </w:tcPr>
          <w:p w14:paraId="732FE932"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75.634.600 - 151.269.100</w:t>
            </w:r>
          </w:p>
        </w:tc>
        <w:tc>
          <w:tcPr>
            <w:tcW w:w="1701" w:type="dxa"/>
            <w:vAlign w:val="center"/>
          </w:tcPr>
          <w:p w14:paraId="10121728" w14:textId="77777777" w:rsidR="00472217" w:rsidRPr="00472217" w:rsidRDefault="00472217" w:rsidP="00472217">
            <w:pPr>
              <w:spacing w:after="0" w:line="240" w:lineRule="auto"/>
              <w:ind w:left="0" w:right="0" w:firstLine="0"/>
              <w:jc w:val="center"/>
              <w:rPr>
                <w:rFonts w:ascii="Times New Roman" w:hAnsi="Times New Roman" w:cs="Times New Roman"/>
              </w:rPr>
            </w:pPr>
          </w:p>
        </w:tc>
      </w:tr>
      <w:tr w:rsidR="00472217" w:rsidRPr="00472217" w14:paraId="63F4833F" w14:textId="77777777" w:rsidTr="00284074">
        <w:trPr>
          <w:cantSplit/>
        </w:trPr>
        <w:tc>
          <w:tcPr>
            <w:tcW w:w="1701" w:type="dxa"/>
            <w:shd w:val="clear" w:color="auto" w:fill="FFC000"/>
            <w:vAlign w:val="center"/>
          </w:tcPr>
          <w:p w14:paraId="5A7B4B80"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2.</w:t>
            </w:r>
          </w:p>
        </w:tc>
        <w:tc>
          <w:tcPr>
            <w:tcW w:w="2835" w:type="dxa"/>
            <w:shd w:val="clear" w:color="auto" w:fill="FFC000"/>
            <w:vAlign w:val="center"/>
          </w:tcPr>
          <w:p w14:paraId="470C4B63"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Malene</w:t>
            </w:r>
          </w:p>
        </w:tc>
        <w:tc>
          <w:tcPr>
            <w:tcW w:w="2835" w:type="dxa"/>
            <w:shd w:val="clear" w:color="auto" w:fill="FFC000"/>
            <w:vAlign w:val="center"/>
          </w:tcPr>
          <w:p w14:paraId="3DB4DF4B"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151.269.100 - 756.345.600</w:t>
            </w:r>
          </w:p>
        </w:tc>
        <w:tc>
          <w:tcPr>
            <w:tcW w:w="1701" w:type="dxa"/>
            <w:shd w:val="clear" w:color="auto" w:fill="FFC000"/>
            <w:vAlign w:val="center"/>
          </w:tcPr>
          <w:p w14:paraId="5EE72147" w14:textId="77777777" w:rsidR="00472217" w:rsidRPr="00472217" w:rsidRDefault="00472217" w:rsidP="00472217">
            <w:pPr>
              <w:spacing w:after="0" w:line="240" w:lineRule="auto"/>
              <w:ind w:left="0" w:right="0" w:firstLine="0"/>
              <w:jc w:val="center"/>
              <w:rPr>
                <w:rFonts w:ascii="Times New Roman" w:hAnsi="Times New Roman" w:cs="Times New Roman"/>
              </w:rPr>
            </w:pPr>
          </w:p>
        </w:tc>
      </w:tr>
      <w:tr w:rsidR="00472217" w:rsidRPr="00472217" w14:paraId="72CC9A4C" w14:textId="77777777" w:rsidTr="00284074">
        <w:trPr>
          <w:cantSplit/>
        </w:trPr>
        <w:tc>
          <w:tcPr>
            <w:tcW w:w="1701" w:type="dxa"/>
            <w:vAlign w:val="center"/>
          </w:tcPr>
          <w:p w14:paraId="365BFBA7"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3.</w:t>
            </w:r>
          </w:p>
        </w:tc>
        <w:tc>
          <w:tcPr>
            <w:tcW w:w="2835" w:type="dxa"/>
            <w:vAlign w:val="center"/>
          </w:tcPr>
          <w:p w14:paraId="01D20180"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Umjerene</w:t>
            </w:r>
          </w:p>
        </w:tc>
        <w:tc>
          <w:tcPr>
            <w:tcW w:w="2835" w:type="dxa"/>
            <w:vAlign w:val="center"/>
          </w:tcPr>
          <w:p w14:paraId="70903814"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756.345.600 - 2.269.036.800</w:t>
            </w:r>
          </w:p>
        </w:tc>
        <w:tc>
          <w:tcPr>
            <w:tcW w:w="1701" w:type="dxa"/>
            <w:vAlign w:val="center"/>
          </w:tcPr>
          <w:p w14:paraId="67C45A64" w14:textId="77777777" w:rsidR="00472217" w:rsidRPr="00472217" w:rsidRDefault="00472217" w:rsidP="00472217">
            <w:pPr>
              <w:spacing w:after="0" w:line="240" w:lineRule="auto"/>
              <w:ind w:left="0" w:right="0" w:firstLine="0"/>
              <w:jc w:val="center"/>
              <w:rPr>
                <w:rFonts w:ascii="Times New Roman" w:hAnsi="Times New Roman" w:cs="Times New Roman"/>
              </w:rPr>
            </w:pPr>
          </w:p>
        </w:tc>
      </w:tr>
      <w:tr w:rsidR="00472217" w:rsidRPr="00472217" w14:paraId="419AD82C" w14:textId="77777777" w:rsidTr="00284074">
        <w:trPr>
          <w:cantSplit/>
        </w:trPr>
        <w:tc>
          <w:tcPr>
            <w:tcW w:w="1701" w:type="dxa"/>
            <w:shd w:val="clear" w:color="auto" w:fill="FFC000"/>
            <w:vAlign w:val="center"/>
          </w:tcPr>
          <w:p w14:paraId="2E484BFF"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4.</w:t>
            </w:r>
          </w:p>
        </w:tc>
        <w:tc>
          <w:tcPr>
            <w:tcW w:w="2835" w:type="dxa"/>
            <w:shd w:val="clear" w:color="auto" w:fill="FFC000"/>
            <w:vAlign w:val="center"/>
          </w:tcPr>
          <w:p w14:paraId="26984F2E"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Znatne</w:t>
            </w:r>
          </w:p>
        </w:tc>
        <w:tc>
          <w:tcPr>
            <w:tcW w:w="2835" w:type="dxa"/>
            <w:shd w:val="clear" w:color="auto" w:fill="FFC000"/>
            <w:vAlign w:val="center"/>
          </w:tcPr>
          <w:p w14:paraId="3C224D83"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2.269.036.800 - 3.781.727.900</w:t>
            </w:r>
          </w:p>
        </w:tc>
        <w:tc>
          <w:tcPr>
            <w:tcW w:w="1701" w:type="dxa"/>
            <w:shd w:val="clear" w:color="auto" w:fill="FFC000"/>
            <w:vAlign w:val="center"/>
          </w:tcPr>
          <w:p w14:paraId="0B045E1B"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x</w:t>
            </w:r>
          </w:p>
        </w:tc>
      </w:tr>
      <w:tr w:rsidR="00472217" w:rsidRPr="00472217" w14:paraId="1966ECBE" w14:textId="77777777" w:rsidTr="00284074">
        <w:trPr>
          <w:cantSplit/>
        </w:trPr>
        <w:tc>
          <w:tcPr>
            <w:tcW w:w="1701" w:type="dxa"/>
            <w:vAlign w:val="center"/>
          </w:tcPr>
          <w:p w14:paraId="6C63E9D2"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5.</w:t>
            </w:r>
          </w:p>
        </w:tc>
        <w:tc>
          <w:tcPr>
            <w:tcW w:w="2835" w:type="dxa"/>
            <w:vAlign w:val="center"/>
          </w:tcPr>
          <w:p w14:paraId="500E1553"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Katastrofalne</w:t>
            </w:r>
          </w:p>
        </w:tc>
        <w:tc>
          <w:tcPr>
            <w:tcW w:w="2835" w:type="dxa"/>
            <w:vAlign w:val="center"/>
          </w:tcPr>
          <w:p w14:paraId="4754EAB1"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&gt;3.781.727.900</w:t>
            </w:r>
          </w:p>
        </w:tc>
        <w:tc>
          <w:tcPr>
            <w:tcW w:w="1701" w:type="dxa"/>
            <w:vAlign w:val="center"/>
          </w:tcPr>
          <w:p w14:paraId="1FBC6477" w14:textId="77777777" w:rsidR="00472217" w:rsidRPr="00472217" w:rsidRDefault="00472217" w:rsidP="00472217">
            <w:pPr>
              <w:spacing w:after="0" w:line="240" w:lineRule="auto"/>
              <w:ind w:left="0" w:right="0" w:firstLine="0"/>
              <w:jc w:val="center"/>
              <w:rPr>
                <w:rFonts w:ascii="Times New Roman" w:hAnsi="Times New Roman" w:cs="Times New Roman"/>
              </w:rPr>
            </w:pPr>
          </w:p>
        </w:tc>
      </w:tr>
    </w:tbl>
    <w:p w14:paraId="1C9501C1" w14:textId="77777777" w:rsidR="00472217" w:rsidRPr="00472217" w:rsidRDefault="00472217" w:rsidP="00472217">
      <w:pPr>
        <w:spacing w:after="0" w:line="240" w:lineRule="auto"/>
        <w:ind w:left="0" w:right="0" w:firstLine="0"/>
        <w:rPr>
          <w:rFonts w:ascii="Times New Roman" w:hAnsi="Times New Roman" w:cs="Times New Roman"/>
          <w:i/>
          <w:sz w:val="24"/>
          <w:szCs w:val="24"/>
        </w:rPr>
      </w:pPr>
    </w:p>
    <w:p w14:paraId="1B70FC97" w14:textId="77777777" w:rsidR="00472217" w:rsidRPr="006F21BC" w:rsidRDefault="00472217" w:rsidP="006F21BC">
      <w:pPr>
        <w:spacing w:after="0" w:line="240" w:lineRule="auto"/>
        <w:ind w:left="0" w:right="0" w:firstLine="709"/>
        <w:rPr>
          <w:rFonts w:ascii="Times New Roman" w:hAnsi="Times New Roman" w:cs="Times New Roman"/>
          <w:b/>
          <w:i/>
          <w:sz w:val="24"/>
          <w:szCs w:val="24"/>
        </w:rPr>
      </w:pPr>
      <w:r w:rsidRPr="006F21BC">
        <w:rPr>
          <w:rFonts w:ascii="Times New Roman" w:hAnsi="Times New Roman" w:cs="Times New Roman"/>
          <w:b/>
          <w:i/>
          <w:sz w:val="24"/>
          <w:szCs w:val="24"/>
        </w:rPr>
        <w:t>6.8.5.1.3. Društvena stabilnost i politika</w:t>
      </w:r>
    </w:p>
    <w:p w14:paraId="33AF5A6F" w14:textId="77777777" w:rsidR="00472217" w:rsidRPr="00472217" w:rsidRDefault="00472217" w:rsidP="006F21BC">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 xml:space="preserve">Procijenjena ukupna šteta na oštećenoj kritičnoj infrastrukturi tijekom jednog događaja masovnih klizišta na području grada Zagreba iznosi oko 1 milijardu kuna što predstavlja umjerene posljedice. Najviše troškova odnosit će se na sanaciju prometnica, zatim vodovoda i kanalizacije, te popravak elektro-energetske mreže. Procijenjena ukupna šteta na građevinama od javnog društvenog značaja tijekom jednog događaja masovnih klizišta na području Grada Zagreba iznosi oko 500 milijuna kuna što predstavlja malene posljedice. </w:t>
      </w:r>
    </w:p>
    <w:p w14:paraId="692D228C"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039346FB" w14:textId="053123CB" w:rsidR="00472217" w:rsidRPr="00472217" w:rsidRDefault="00472217" w:rsidP="00A4649E">
      <w:pPr>
        <w:spacing w:line="240" w:lineRule="auto"/>
        <w:ind w:left="0" w:right="0" w:firstLine="0"/>
        <w:jc w:val="center"/>
        <w:rPr>
          <w:rFonts w:ascii="Times New Roman" w:hAnsi="Times New Roman" w:cs="Times New Roman"/>
          <w:b/>
          <w:iCs/>
          <w:color w:val="auto"/>
          <w:sz w:val="24"/>
          <w:szCs w:val="24"/>
        </w:rPr>
      </w:pPr>
      <w:r w:rsidRPr="005B396A">
        <w:rPr>
          <w:rFonts w:ascii="Times New Roman" w:hAnsi="Times New Roman" w:cs="Times New Roman"/>
          <w:b/>
          <w:iCs/>
          <w:color w:val="auto"/>
          <w:sz w:val="24"/>
          <w:szCs w:val="24"/>
        </w:rPr>
        <w:t xml:space="preserve">Tablica </w:t>
      </w:r>
      <w:r w:rsidR="005B396A" w:rsidRPr="005B396A">
        <w:rPr>
          <w:rFonts w:ascii="Times New Roman" w:hAnsi="Times New Roman" w:cs="Times New Roman"/>
          <w:b/>
          <w:iCs/>
          <w:color w:val="auto"/>
          <w:sz w:val="24"/>
          <w:szCs w:val="24"/>
        </w:rPr>
        <w:t>129</w:t>
      </w:r>
      <w:r w:rsidRPr="005B396A">
        <w:rPr>
          <w:rFonts w:ascii="Times New Roman" w:hAnsi="Times New Roman" w:cs="Times New Roman"/>
          <w:b/>
          <w:iCs/>
          <w:color w:val="auto"/>
          <w:sz w:val="24"/>
          <w:szCs w:val="24"/>
        </w:rPr>
        <w:t xml:space="preserve">. Vrijednost kriterija za posljedice na društvenu stabilnost i politiku - </w:t>
      </w:r>
      <w:r w:rsidRPr="00472217">
        <w:rPr>
          <w:rFonts w:ascii="Times New Roman" w:hAnsi="Times New Roman" w:cs="Times New Roman"/>
          <w:b/>
          <w:iCs/>
          <w:color w:val="auto"/>
          <w:sz w:val="24"/>
          <w:szCs w:val="24"/>
        </w:rPr>
        <w:t>oštećena kritična infrastruktura</w:t>
      </w:r>
    </w:p>
    <w:tbl>
      <w:tblPr>
        <w:tblStyle w:val="TableGrid9"/>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60" w:type="dxa"/>
        </w:tblCellMar>
        <w:tblLook w:val="04A0" w:firstRow="1" w:lastRow="0" w:firstColumn="1" w:lastColumn="0" w:noHBand="0" w:noVBand="1"/>
      </w:tblPr>
      <w:tblGrid>
        <w:gridCol w:w="1700"/>
        <w:gridCol w:w="2690"/>
        <w:gridCol w:w="3118"/>
        <w:gridCol w:w="1564"/>
      </w:tblGrid>
      <w:tr w:rsidR="00472217" w:rsidRPr="00472217" w14:paraId="358962FE" w14:textId="77777777" w:rsidTr="00284074">
        <w:trPr>
          <w:cantSplit/>
          <w:tblHeader/>
        </w:trPr>
        <w:tc>
          <w:tcPr>
            <w:tcW w:w="9072" w:type="dxa"/>
            <w:gridSpan w:val="4"/>
            <w:shd w:val="clear" w:color="auto" w:fill="FFC000"/>
            <w:vAlign w:val="center"/>
          </w:tcPr>
          <w:p w14:paraId="4416B0CC"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b/>
              </w:rPr>
              <w:t>Oštećena kritična infrastruktura – klizišta</w:t>
            </w:r>
          </w:p>
        </w:tc>
      </w:tr>
      <w:tr w:rsidR="00472217" w:rsidRPr="00472217" w14:paraId="03098412" w14:textId="77777777" w:rsidTr="00284074">
        <w:trPr>
          <w:cantSplit/>
          <w:tblHeader/>
        </w:trPr>
        <w:tc>
          <w:tcPr>
            <w:tcW w:w="1700" w:type="dxa"/>
            <w:shd w:val="clear" w:color="auto" w:fill="FFC000"/>
            <w:vAlign w:val="center"/>
          </w:tcPr>
          <w:p w14:paraId="72A77ECA"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b/>
              </w:rPr>
              <w:t>Kategorija</w:t>
            </w:r>
          </w:p>
        </w:tc>
        <w:tc>
          <w:tcPr>
            <w:tcW w:w="2690" w:type="dxa"/>
            <w:shd w:val="clear" w:color="auto" w:fill="FFC000"/>
            <w:vAlign w:val="center"/>
          </w:tcPr>
          <w:p w14:paraId="1EB80764"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b/>
              </w:rPr>
              <w:t>Posljedice</w:t>
            </w:r>
          </w:p>
        </w:tc>
        <w:tc>
          <w:tcPr>
            <w:tcW w:w="3118" w:type="dxa"/>
            <w:shd w:val="clear" w:color="auto" w:fill="FFC000"/>
            <w:vAlign w:val="center"/>
          </w:tcPr>
          <w:p w14:paraId="1500527C"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b/>
              </w:rPr>
              <w:t>Kriteriji (kn)</w:t>
            </w:r>
          </w:p>
        </w:tc>
        <w:tc>
          <w:tcPr>
            <w:tcW w:w="1564" w:type="dxa"/>
            <w:shd w:val="clear" w:color="auto" w:fill="FFC000"/>
            <w:vAlign w:val="center"/>
          </w:tcPr>
          <w:p w14:paraId="486919A4"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b/>
              </w:rPr>
              <w:t>ODABRANO</w:t>
            </w:r>
          </w:p>
        </w:tc>
      </w:tr>
      <w:tr w:rsidR="00472217" w:rsidRPr="00472217" w14:paraId="6FE50270" w14:textId="77777777" w:rsidTr="00284074">
        <w:trPr>
          <w:cantSplit/>
        </w:trPr>
        <w:tc>
          <w:tcPr>
            <w:tcW w:w="1700" w:type="dxa"/>
            <w:vAlign w:val="center"/>
          </w:tcPr>
          <w:p w14:paraId="1F1C51B3"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1.</w:t>
            </w:r>
          </w:p>
        </w:tc>
        <w:tc>
          <w:tcPr>
            <w:tcW w:w="2690" w:type="dxa"/>
            <w:vAlign w:val="center"/>
          </w:tcPr>
          <w:p w14:paraId="1C770B7C"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Neznatne</w:t>
            </w:r>
          </w:p>
        </w:tc>
        <w:tc>
          <w:tcPr>
            <w:tcW w:w="3118" w:type="dxa"/>
            <w:vAlign w:val="center"/>
          </w:tcPr>
          <w:p w14:paraId="1E005B28"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75.634.600 - 151.269.100</w:t>
            </w:r>
          </w:p>
        </w:tc>
        <w:tc>
          <w:tcPr>
            <w:tcW w:w="1564" w:type="dxa"/>
            <w:vAlign w:val="center"/>
          </w:tcPr>
          <w:p w14:paraId="0EB5CF79" w14:textId="77777777" w:rsidR="00472217" w:rsidRPr="00472217" w:rsidRDefault="00472217" w:rsidP="00472217">
            <w:pPr>
              <w:spacing w:after="0" w:line="240" w:lineRule="auto"/>
              <w:ind w:left="0" w:right="0" w:firstLine="0"/>
              <w:jc w:val="center"/>
              <w:rPr>
                <w:rFonts w:ascii="Times New Roman" w:hAnsi="Times New Roman" w:cs="Times New Roman"/>
              </w:rPr>
            </w:pPr>
          </w:p>
        </w:tc>
      </w:tr>
      <w:tr w:rsidR="00472217" w:rsidRPr="00472217" w14:paraId="77ABFFA7" w14:textId="77777777" w:rsidTr="00284074">
        <w:trPr>
          <w:cantSplit/>
        </w:trPr>
        <w:tc>
          <w:tcPr>
            <w:tcW w:w="1700" w:type="dxa"/>
            <w:shd w:val="clear" w:color="auto" w:fill="FFC000"/>
            <w:vAlign w:val="center"/>
          </w:tcPr>
          <w:p w14:paraId="3F9B6658"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2.</w:t>
            </w:r>
          </w:p>
        </w:tc>
        <w:tc>
          <w:tcPr>
            <w:tcW w:w="2690" w:type="dxa"/>
            <w:shd w:val="clear" w:color="auto" w:fill="FFC000"/>
            <w:vAlign w:val="center"/>
          </w:tcPr>
          <w:p w14:paraId="47B207EC"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Malene</w:t>
            </w:r>
          </w:p>
        </w:tc>
        <w:tc>
          <w:tcPr>
            <w:tcW w:w="3118" w:type="dxa"/>
            <w:shd w:val="clear" w:color="auto" w:fill="FFC000"/>
            <w:vAlign w:val="center"/>
          </w:tcPr>
          <w:p w14:paraId="13E6CD4B"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151.269.100 - 756.345.600</w:t>
            </w:r>
          </w:p>
        </w:tc>
        <w:tc>
          <w:tcPr>
            <w:tcW w:w="1564" w:type="dxa"/>
            <w:shd w:val="clear" w:color="auto" w:fill="FFC000"/>
            <w:vAlign w:val="center"/>
          </w:tcPr>
          <w:p w14:paraId="185E6095" w14:textId="77777777" w:rsidR="00472217" w:rsidRPr="00472217" w:rsidRDefault="00472217" w:rsidP="00472217">
            <w:pPr>
              <w:spacing w:after="0" w:line="240" w:lineRule="auto"/>
              <w:ind w:left="0" w:right="0" w:firstLine="0"/>
              <w:jc w:val="center"/>
              <w:rPr>
                <w:rFonts w:ascii="Times New Roman" w:hAnsi="Times New Roman" w:cs="Times New Roman"/>
              </w:rPr>
            </w:pPr>
          </w:p>
        </w:tc>
      </w:tr>
      <w:tr w:rsidR="00472217" w:rsidRPr="00472217" w14:paraId="777768AB" w14:textId="77777777" w:rsidTr="00284074">
        <w:trPr>
          <w:cantSplit/>
        </w:trPr>
        <w:tc>
          <w:tcPr>
            <w:tcW w:w="1700" w:type="dxa"/>
            <w:vAlign w:val="center"/>
          </w:tcPr>
          <w:p w14:paraId="1C7BAD78"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3.</w:t>
            </w:r>
          </w:p>
        </w:tc>
        <w:tc>
          <w:tcPr>
            <w:tcW w:w="2690" w:type="dxa"/>
            <w:vAlign w:val="center"/>
          </w:tcPr>
          <w:p w14:paraId="4FBA9B8D"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Umjerene</w:t>
            </w:r>
          </w:p>
        </w:tc>
        <w:tc>
          <w:tcPr>
            <w:tcW w:w="3118" w:type="dxa"/>
            <w:vAlign w:val="center"/>
          </w:tcPr>
          <w:p w14:paraId="44EE4A96"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756.345.600 - 2.269.036.800</w:t>
            </w:r>
          </w:p>
        </w:tc>
        <w:tc>
          <w:tcPr>
            <w:tcW w:w="1564" w:type="dxa"/>
            <w:vAlign w:val="center"/>
          </w:tcPr>
          <w:p w14:paraId="04B03895"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x</w:t>
            </w:r>
          </w:p>
        </w:tc>
      </w:tr>
      <w:tr w:rsidR="00472217" w:rsidRPr="00472217" w14:paraId="33113B62" w14:textId="77777777" w:rsidTr="00284074">
        <w:trPr>
          <w:cantSplit/>
        </w:trPr>
        <w:tc>
          <w:tcPr>
            <w:tcW w:w="1700" w:type="dxa"/>
            <w:shd w:val="clear" w:color="auto" w:fill="FFC000"/>
            <w:vAlign w:val="center"/>
          </w:tcPr>
          <w:p w14:paraId="3AF75F55"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4.</w:t>
            </w:r>
          </w:p>
        </w:tc>
        <w:tc>
          <w:tcPr>
            <w:tcW w:w="2690" w:type="dxa"/>
            <w:shd w:val="clear" w:color="auto" w:fill="FFC000"/>
            <w:vAlign w:val="center"/>
          </w:tcPr>
          <w:p w14:paraId="3F11196B"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Znatne</w:t>
            </w:r>
          </w:p>
        </w:tc>
        <w:tc>
          <w:tcPr>
            <w:tcW w:w="3118" w:type="dxa"/>
            <w:shd w:val="clear" w:color="auto" w:fill="FFC000"/>
            <w:vAlign w:val="center"/>
          </w:tcPr>
          <w:p w14:paraId="0E08FA09"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2.269.036.800 - 3.781.727.900</w:t>
            </w:r>
          </w:p>
        </w:tc>
        <w:tc>
          <w:tcPr>
            <w:tcW w:w="1564" w:type="dxa"/>
            <w:shd w:val="clear" w:color="auto" w:fill="FFC000"/>
            <w:vAlign w:val="center"/>
          </w:tcPr>
          <w:p w14:paraId="096CEEC9" w14:textId="77777777" w:rsidR="00472217" w:rsidRPr="00472217" w:rsidRDefault="00472217" w:rsidP="00472217">
            <w:pPr>
              <w:spacing w:after="0" w:line="240" w:lineRule="auto"/>
              <w:ind w:left="0" w:right="0" w:firstLine="0"/>
              <w:jc w:val="center"/>
              <w:rPr>
                <w:rFonts w:ascii="Times New Roman" w:hAnsi="Times New Roman" w:cs="Times New Roman"/>
              </w:rPr>
            </w:pPr>
          </w:p>
        </w:tc>
      </w:tr>
      <w:tr w:rsidR="00472217" w:rsidRPr="00472217" w14:paraId="5D0399F3" w14:textId="77777777" w:rsidTr="00284074">
        <w:trPr>
          <w:cantSplit/>
        </w:trPr>
        <w:tc>
          <w:tcPr>
            <w:tcW w:w="1700" w:type="dxa"/>
            <w:vAlign w:val="center"/>
          </w:tcPr>
          <w:p w14:paraId="371FF871"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5.</w:t>
            </w:r>
          </w:p>
        </w:tc>
        <w:tc>
          <w:tcPr>
            <w:tcW w:w="2690" w:type="dxa"/>
            <w:vAlign w:val="center"/>
          </w:tcPr>
          <w:p w14:paraId="608AD8B9"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Katastrofalne</w:t>
            </w:r>
          </w:p>
        </w:tc>
        <w:tc>
          <w:tcPr>
            <w:tcW w:w="3118" w:type="dxa"/>
            <w:vAlign w:val="center"/>
          </w:tcPr>
          <w:p w14:paraId="49A90A99"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&gt;3.781.727.900</w:t>
            </w:r>
          </w:p>
        </w:tc>
        <w:tc>
          <w:tcPr>
            <w:tcW w:w="1564" w:type="dxa"/>
            <w:vAlign w:val="center"/>
          </w:tcPr>
          <w:p w14:paraId="75085DCE" w14:textId="77777777" w:rsidR="00472217" w:rsidRPr="00472217" w:rsidRDefault="00472217" w:rsidP="00472217">
            <w:pPr>
              <w:spacing w:after="0" w:line="240" w:lineRule="auto"/>
              <w:ind w:left="0" w:right="0" w:firstLine="0"/>
              <w:jc w:val="center"/>
              <w:rPr>
                <w:rFonts w:ascii="Times New Roman" w:hAnsi="Times New Roman" w:cs="Times New Roman"/>
              </w:rPr>
            </w:pPr>
          </w:p>
        </w:tc>
      </w:tr>
    </w:tbl>
    <w:p w14:paraId="2685FB27" w14:textId="0582E5BE" w:rsidR="00472217" w:rsidRPr="00472217" w:rsidRDefault="00472217" w:rsidP="00A4649E">
      <w:pPr>
        <w:spacing w:line="240" w:lineRule="auto"/>
        <w:ind w:left="0" w:right="0" w:firstLine="0"/>
        <w:jc w:val="center"/>
        <w:rPr>
          <w:rFonts w:ascii="Times New Roman" w:hAnsi="Times New Roman" w:cs="Times New Roman"/>
          <w:b/>
          <w:iCs/>
          <w:color w:val="auto"/>
          <w:sz w:val="24"/>
          <w:szCs w:val="24"/>
        </w:rPr>
      </w:pPr>
      <w:r w:rsidRPr="005B396A">
        <w:rPr>
          <w:rFonts w:ascii="Times New Roman" w:hAnsi="Times New Roman" w:cs="Times New Roman"/>
          <w:b/>
          <w:iCs/>
          <w:color w:val="auto"/>
          <w:sz w:val="24"/>
          <w:szCs w:val="24"/>
        </w:rPr>
        <w:t xml:space="preserve">Tablica </w:t>
      </w:r>
      <w:r w:rsidR="005B396A" w:rsidRPr="005B396A">
        <w:rPr>
          <w:rFonts w:ascii="Times New Roman" w:hAnsi="Times New Roman" w:cs="Times New Roman"/>
          <w:b/>
          <w:iCs/>
          <w:color w:val="auto"/>
          <w:sz w:val="24"/>
          <w:szCs w:val="24"/>
        </w:rPr>
        <w:t>130</w:t>
      </w:r>
      <w:r w:rsidRPr="005B396A">
        <w:rPr>
          <w:rFonts w:ascii="Times New Roman" w:hAnsi="Times New Roman" w:cs="Times New Roman"/>
          <w:b/>
          <w:iCs/>
          <w:color w:val="auto"/>
          <w:sz w:val="24"/>
          <w:szCs w:val="24"/>
        </w:rPr>
        <w:t xml:space="preserve">. Vrijednost kriterija za posljedice na društvenu stabilnost i politiku - </w:t>
      </w:r>
      <w:r w:rsidRPr="00472217">
        <w:rPr>
          <w:rFonts w:ascii="Times New Roman" w:hAnsi="Times New Roman" w:cs="Times New Roman"/>
          <w:b/>
          <w:iCs/>
          <w:color w:val="auto"/>
          <w:sz w:val="24"/>
          <w:szCs w:val="24"/>
        </w:rPr>
        <w:t>štete/gubitci na ustanovama/građevinama javnog društvenog značaja</w:t>
      </w:r>
    </w:p>
    <w:tbl>
      <w:tblPr>
        <w:tblStyle w:val="TableGrid9"/>
        <w:tblW w:w="907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60" w:type="dxa"/>
        </w:tblCellMar>
        <w:tblLook w:val="04A0" w:firstRow="1" w:lastRow="0" w:firstColumn="1" w:lastColumn="0" w:noHBand="0" w:noVBand="1"/>
      </w:tblPr>
      <w:tblGrid>
        <w:gridCol w:w="1700"/>
        <w:gridCol w:w="2690"/>
        <w:gridCol w:w="3118"/>
        <w:gridCol w:w="1564"/>
      </w:tblGrid>
      <w:tr w:rsidR="00472217" w:rsidRPr="00472217" w14:paraId="24606B70" w14:textId="77777777" w:rsidTr="00284074">
        <w:trPr>
          <w:cantSplit/>
          <w:tblHeader/>
        </w:trPr>
        <w:tc>
          <w:tcPr>
            <w:tcW w:w="9072" w:type="dxa"/>
            <w:gridSpan w:val="4"/>
            <w:shd w:val="clear" w:color="auto" w:fill="FFC000"/>
            <w:vAlign w:val="center"/>
          </w:tcPr>
          <w:p w14:paraId="7D00D7B6"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b/>
              </w:rPr>
              <w:t>Štete/gubitci na građevinama od javnog društvenog značaja – klizišta</w:t>
            </w:r>
          </w:p>
        </w:tc>
      </w:tr>
      <w:tr w:rsidR="00472217" w:rsidRPr="00472217" w14:paraId="04F93D08" w14:textId="77777777" w:rsidTr="00284074">
        <w:trPr>
          <w:cantSplit/>
          <w:tblHeader/>
        </w:trPr>
        <w:tc>
          <w:tcPr>
            <w:tcW w:w="1700" w:type="dxa"/>
            <w:shd w:val="clear" w:color="auto" w:fill="FFC000"/>
            <w:vAlign w:val="center"/>
          </w:tcPr>
          <w:p w14:paraId="22066727"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b/>
              </w:rPr>
              <w:t>Kategorija</w:t>
            </w:r>
          </w:p>
        </w:tc>
        <w:tc>
          <w:tcPr>
            <w:tcW w:w="2690" w:type="dxa"/>
            <w:shd w:val="clear" w:color="auto" w:fill="FFC000"/>
            <w:vAlign w:val="center"/>
          </w:tcPr>
          <w:p w14:paraId="6AB0173C"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b/>
              </w:rPr>
              <w:t>Posljedice</w:t>
            </w:r>
          </w:p>
        </w:tc>
        <w:tc>
          <w:tcPr>
            <w:tcW w:w="3118" w:type="dxa"/>
            <w:shd w:val="clear" w:color="auto" w:fill="FFC000"/>
            <w:vAlign w:val="center"/>
          </w:tcPr>
          <w:p w14:paraId="0078515C"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b/>
              </w:rPr>
              <w:t>Kriteriji (kn)</w:t>
            </w:r>
          </w:p>
        </w:tc>
        <w:tc>
          <w:tcPr>
            <w:tcW w:w="1564" w:type="dxa"/>
            <w:shd w:val="clear" w:color="auto" w:fill="FFC000"/>
            <w:vAlign w:val="center"/>
          </w:tcPr>
          <w:p w14:paraId="22D5F3DD"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b/>
              </w:rPr>
              <w:t>ODABRANO</w:t>
            </w:r>
          </w:p>
        </w:tc>
      </w:tr>
      <w:tr w:rsidR="00472217" w:rsidRPr="00472217" w14:paraId="4FA1AC27" w14:textId="77777777" w:rsidTr="00284074">
        <w:trPr>
          <w:cantSplit/>
        </w:trPr>
        <w:tc>
          <w:tcPr>
            <w:tcW w:w="1700" w:type="dxa"/>
            <w:vAlign w:val="center"/>
          </w:tcPr>
          <w:p w14:paraId="68A70F6B"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1.</w:t>
            </w:r>
          </w:p>
        </w:tc>
        <w:tc>
          <w:tcPr>
            <w:tcW w:w="2690" w:type="dxa"/>
            <w:vAlign w:val="center"/>
          </w:tcPr>
          <w:p w14:paraId="6C076435"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Neznatne</w:t>
            </w:r>
          </w:p>
        </w:tc>
        <w:tc>
          <w:tcPr>
            <w:tcW w:w="3118" w:type="dxa"/>
            <w:vAlign w:val="center"/>
          </w:tcPr>
          <w:p w14:paraId="729C2FCD"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75.634.600 - 151.269.100</w:t>
            </w:r>
          </w:p>
        </w:tc>
        <w:tc>
          <w:tcPr>
            <w:tcW w:w="1564" w:type="dxa"/>
            <w:vAlign w:val="center"/>
          </w:tcPr>
          <w:p w14:paraId="6CE2B0B3" w14:textId="77777777" w:rsidR="00472217" w:rsidRPr="00472217" w:rsidRDefault="00472217" w:rsidP="00472217">
            <w:pPr>
              <w:spacing w:after="0" w:line="240" w:lineRule="auto"/>
              <w:ind w:left="0" w:right="0" w:firstLine="0"/>
              <w:jc w:val="center"/>
              <w:rPr>
                <w:rFonts w:ascii="Times New Roman" w:hAnsi="Times New Roman" w:cs="Times New Roman"/>
              </w:rPr>
            </w:pPr>
          </w:p>
        </w:tc>
      </w:tr>
      <w:tr w:rsidR="00472217" w:rsidRPr="00472217" w14:paraId="7A323EAE" w14:textId="77777777" w:rsidTr="00284074">
        <w:trPr>
          <w:cantSplit/>
        </w:trPr>
        <w:tc>
          <w:tcPr>
            <w:tcW w:w="1700" w:type="dxa"/>
            <w:shd w:val="clear" w:color="auto" w:fill="FFC000"/>
            <w:vAlign w:val="center"/>
          </w:tcPr>
          <w:p w14:paraId="08562804"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2.</w:t>
            </w:r>
          </w:p>
        </w:tc>
        <w:tc>
          <w:tcPr>
            <w:tcW w:w="2690" w:type="dxa"/>
            <w:shd w:val="clear" w:color="auto" w:fill="FFC000"/>
            <w:vAlign w:val="center"/>
          </w:tcPr>
          <w:p w14:paraId="6C49DEBE"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Malene</w:t>
            </w:r>
          </w:p>
        </w:tc>
        <w:tc>
          <w:tcPr>
            <w:tcW w:w="3118" w:type="dxa"/>
            <w:shd w:val="clear" w:color="auto" w:fill="FFC000"/>
            <w:vAlign w:val="center"/>
          </w:tcPr>
          <w:p w14:paraId="68F30F30"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151.269.100 - 756.345.600</w:t>
            </w:r>
          </w:p>
        </w:tc>
        <w:tc>
          <w:tcPr>
            <w:tcW w:w="1564" w:type="dxa"/>
            <w:shd w:val="clear" w:color="auto" w:fill="FFC000"/>
            <w:vAlign w:val="center"/>
          </w:tcPr>
          <w:p w14:paraId="4F9AA17E"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x</w:t>
            </w:r>
          </w:p>
        </w:tc>
      </w:tr>
      <w:tr w:rsidR="00472217" w:rsidRPr="00472217" w14:paraId="11118FDF" w14:textId="77777777" w:rsidTr="00284074">
        <w:trPr>
          <w:cantSplit/>
        </w:trPr>
        <w:tc>
          <w:tcPr>
            <w:tcW w:w="1700" w:type="dxa"/>
            <w:vAlign w:val="center"/>
          </w:tcPr>
          <w:p w14:paraId="749B863B"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3.</w:t>
            </w:r>
          </w:p>
        </w:tc>
        <w:tc>
          <w:tcPr>
            <w:tcW w:w="2690" w:type="dxa"/>
            <w:vAlign w:val="center"/>
          </w:tcPr>
          <w:p w14:paraId="0D796A5E"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Umjerene</w:t>
            </w:r>
          </w:p>
        </w:tc>
        <w:tc>
          <w:tcPr>
            <w:tcW w:w="3118" w:type="dxa"/>
            <w:vAlign w:val="center"/>
          </w:tcPr>
          <w:p w14:paraId="05F23F0A"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756.345.600 - 2.269.036.800</w:t>
            </w:r>
          </w:p>
        </w:tc>
        <w:tc>
          <w:tcPr>
            <w:tcW w:w="1564" w:type="dxa"/>
            <w:vAlign w:val="center"/>
          </w:tcPr>
          <w:p w14:paraId="39692086" w14:textId="77777777" w:rsidR="00472217" w:rsidRPr="00472217" w:rsidRDefault="00472217" w:rsidP="00472217">
            <w:pPr>
              <w:spacing w:after="0" w:line="240" w:lineRule="auto"/>
              <w:ind w:left="0" w:right="0" w:firstLine="0"/>
              <w:jc w:val="center"/>
              <w:rPr>
                <w:rFonts w:ascii="Times New Roman" w:hAnsi="Times New Roman" w:cs="Times New Roman"/>
              </w:rPr>
            </w:pPr>
          </w:p>
        </w:tc>
      </w:tr>
      <w:tr w:rsidR="00472217" w:rsidRPr="00472217" w14:paraId="49DD4673" w14:textId="77777777" w:rsidTr="00284074">
        <w:trPr>
          <w:cantSplit/>
        </w:trPr>
        <w:tc>
          <w:tcPr>
            <w:tcW w:w="1700" w:type="dxa"/>
            <w:shd w:val="clear" w:color="auto" w:fill="FFC000"/>
            <w:vAlign w:val="center"/>
          </w:tcPr>
          <w:p w14:paraId="69C913A8"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4.</w:t>
            </w:r>
          </w:p>
        </w:tc>
        <w:tc>
          <w:tcPr>
            <w:tcW w:w="2690" w:type="dxa"/>
            <w:shd w:val="clear" w:color="auto" w:fill="FFC000"/>
            <w:vAlign w:val="center"/>
          </w:tcPr>
          <w:p w14:paraId="62041654"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Znatne</w:t>
            </w:r>
          </w:p>
        </w:tc>
        <w:tc>
          <w:tcPr>
            <w:tcW w:w="3118" w:type="dxa"/>
            <w:shd w:val="clear" w:color="auto" w:fill="FFC000"/>
            <w:vAlign w:val="center"/>
          </w:tcPr>
          <w:p w14:paraId="51D98FD9"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2.269.036.800 - 3.781.727.900</w:t>
            </w:r>
          </w:p>
        </w:tc>
        <w:tc>
          <w:tcPr>
            <w:tcW w:w="1564" w:type="dxa"/>
            <w:shd w:val="clear" w:color="auto" w:fill="FFC000"/>
            <w:vAlign w:val="center"/>
          </w:tcPr>
          <w:p w14:paraId="227050ED" w14:textId="77777777" w:rsidR="00472217" w:rsidRPr="00472217" w:rsidRDefault="00472217" w:rsidP="00472217">
            <w:pPr>
              <w:spacing w:after="0" w:line="240" w:lineRule="auto"/>
              <w:ind w:left="0" w:right="0" w:firstLine="0"/>
              <w:jc w:val="center"/>
              <w:rPr>
                <w:rFonts w:ascii="Times New Roman" w:hAnsi="Times New Roman" w:cs="Times New Roman"/>
              </w:rPr>
            </w:pPr>
          </w:p>
        </w:tc>
      </w:tr>
      <w:tr w:rsidR="00472217" w:rsidRPr="00472217" w14:paraId="7AB3577F" w14:textId="77777777" w:rsidTr="00284074">
        <w:trPr>
          <w:cantSplit/>
        </w:trPr>
        <w:tc>
          <w:tcPr>
            <w:tcW w:w="1700" w:type="dxa"/>
            <w:vAlign w:val="center"/>
          </w:tcPr>
          <w:p w14:paraId="48E48604"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5.</w:t>
            </w:r>
          </w:p>
        </w:tc>
        <w:tc>
          <w:tcPr>
            <w:tcW w:w="2690" w:type="dxa"/>
            <w:vAlign w:val="center"/>
          </w:tcPr>
          <w:p w14:paraId="01F611F0"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Katastrofalne</w:t>
            </w:r>
          </w:p>
        </w:tc>
        <w:tc>
          <w:tcPr>
            <w:tcW w:w="3118" w:type="dxa"/>
            <w:vAlign w:val="center"/>
          </w:tcPr>
          <w:p w14:paraId="581AC66E" w14:textId="77777777" w:rsidR="00472217" w:rsidRPr="00472217" w:rsidRDefault="00472217" w:rsidP="00472217">
            <w:pPr>
              <w:spacing w:after="0" w:line="240" w:lineRule="auto"/>
              <w:ind w:left="0" w:right="0" w:firstLine="0"/>
              <w:jc w:val="center"/>
              <w:rPr>
                <w:rFonts w:ascii="Times New Roman" w:hAnsi="Times New Roman" w:cs="Times New Roman"/>
              </w:rPr>
            </w:pPr>
            <w:r w:rsidRPr="00472217">
              <w:rPr>
                <w:rFonts w:ascii="Times New Roman" w:hAnsi="Times New Roman" w:cs="Times New Roman"/>
              </w:rPr>
              <w:t>&gt;3.781.727.900</w:t>
            </w:r>
          </w:p>
        </w:tc>
        <w:tc>
          <w:tcPr>
            <w:tcW w:w="1564" w:type="dxa"/>
            <w:vAlign w:val="center"/>
          </w:tcPr>
          <w:p w14:paraId="163B442E" w14:textId="77777777" w:rsidR="00472217" w:rsidRPr="00472217" w:rsidRDefault="00472217" w:rsidP="00472217">
            <w:pPr>
              <w:spacing w:after="0" w:line="240" w:lineRule="auto"/>
              <w:ind w:left="0" w:right="0" w:firstLine="0"/>
              <w:jc w:val="center"/>
              <w:rPr>
                <w:rFonts w:ascii="Times New Roman" w:hAnsi="Times New Roman" w:cs="Times New Roman"/>
              </w:rPr>
            </w:pPr>
          </w:p>
        </w:tc>
      </w:tr>
    </w:tbl>
    <w:p w14:paraId="4D30AB95"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5F334420" w14:textId="721E5429" w:rsidR="00472217" w:rsidRDefault="00472217" w:rsidP="00A4649E">
      <w:pPr>
        <w:keepNext/>
        <w:keepLines/>
        <w:spacing w:line="268" w:lineRule="auto"/>
        <w:ind w:left="119" w:right="805"/>
        <w:jc w:val="center"/>
        <w:outlineLvl w:val="3"/>
        <w:rPr>
          <w:rFonts w:ascii="Times New Roman" w:hAnsi="Times New Roman" w:cs="Times New Roman"/>
          <w:b/>
          <w:color w:val="auto"/>
          <w:sz w:val="24"/>
          <w:szCs w:val="24"/>
        </w:rPr>
      </w:pPr>
      <w:r w:rsidRPr="005B396A">
        <w:rPr>
          <w:rFonts w:ascii="Times New Roman" w:hAnsi="Times New Roman" w:cs="Times New Roman"/>
          <w:b/>
          <w:color w:val="auto"/>
          <w:sz w:val="24"/>
          <w:szCs w:val="24"/>
        </w:rPr>
        <w:lastRenderedPageBreak/>
        <w:t xml:space="preserve">Tablica </w:t>
      </w:r>
      <w:r w:rsidR="005B396A" w:rsidRPr="005B396A">
        <w:rPr>
          <w:rFonts w:ascii="Times New Roman" w:hAnsi="Times New Roman" w:cs="Times New Roman"/>
          <w:b/>
          <w:color w:val="auto"/>
          <w:sz w:val="24"/>
          <w:szCs w:val="24"/>
        </w:rPr>
        <w:t>131</w:t>
      </w:r>
      <w:r w:rsidRPr="005B396A">
        <w:rPr>
          <w:rFonts w:ascii="Times New Roman" w:hAnsi="Times New Roman" w:cs="Times New Roman"/>
          <w:b/>
          <w:color w:val="auto"/>
          <w:sz w:val="24"/>
          <w:szCs w:val="24"/>
        </w:rPr>
        <w:t xml:space="preserve">. Vrijednost kriterija za društvenu stabilnost i politiku </w:t>
      </w:r>
      <w:r w:rsidR="00A4649E">
        <w:rPr>
          <w:rFonts w:ascii="Times New Roman" w:hAnsi="Times New Roman" w:cs="Times New Roman"/>
          <w:b/>
          <w:color w:val="auto"/>
          <w:sz w:val="24"/>
          <w:szCs w:val="24"/>
        </w:rPr>
        <w:t>–</w:t>
      </w:r>
      <w:r w:rsidRPr="005B396A">
        <w:rPr>
          <w:rFonts w:ascii="Times New Roman" w:hAnsi="Times New Roman" w:cs="Times New Roman"/>
          <w:b/>
          <w:color w:val="auto"/>
          <w:sz w:val="24"/>
          <w:szCs w:val="24"/>
        </w:rPr>
        <w:t xml:space="preserve"> zbirno</w:t>
      </w:r>
    </w:p>
    <w:tbl>
      <w:tblPr>
        <w:tblStyle w:val="TableGrid16"/>
        <w:tblW w:w="9072" w:type="dxa"/>
        <w:tblInd w:w="-5" w:type="dxa"/>
        <w:tblCellMar>
          <w:top w:w="11" w:type="dxa"/>
          <w:left w:w="137" w:type="dxa"/>
          <w:right w:w="49" w:type="dxa"/>
        </w:tblCellMar>
        <w:tblLook w:val="04A0" w:firstRow="1" w:lastRow="0" w:firstColumn="1" w:lastColumn="0" w:noHBand="0" w:noVBand="1"/>
      </w:tblPr>
      <w:tblGrid>
        <w:gridCol w:w="1697"/>
        <w:gridCol w:w="2430"/>
        <w:gridCol w:w="3084"/>
        <w:gridCol w:w="1861"/>
      </w:tblGrid>
      <w:tr w:rsidR="00472217" w:rsidRPr="00472217" w14:paraId="07A67A3E" w14:textId="77777777" w:rsidTr="00284074">
        <w:trPr>
          <w:trHeight w:val="802"/>
        </w:trPr>
        <w:tc>
          <w:tcPr>
            <w:tcW w:w="1697" w:type="dxa"/>
            <w:tcBorders>
              <w:top w:val="single" w:sz="4" w:space="0" w:color="54883D"/>
              <w:left w:val="single" w:sz="4" w:space="0" w:color="54883D"/>
              <w:bottom w:val="single" w:sz="4" w:space="0" w:color="54883D"/>
              <w:right w:val="single" w:sz="4" w:space="0" w:color="54883D"/>
            </w:tcBorders>
            <w:shd w:val="clear" w:color="auto" w:fill="FFC000"/>
            <w:vAlign w:val="center"/>
          </w:tcPr>
          <w:p w14:paraId="4CC96707" w14:textId="77777777" w:rsidR="00472217" w:rsidRPr="00472217" w:rsidRDefault="00472217" w:rsidP="00472217">
            <w:pPr>
              <w:spacing w:after="0" w:line="259" w:lineRule="auto"/>
              <w:ind w:left="20" w:right="0" w:firstLine="0"/>
              <w:jc w:val="center"/>
              <w:rPr>
                <w:rFonts w:ascii="Times New Roman" w:hAnsi="Times New Roman" w:cs="Times New Roman"/>
              </w:rPr>
            </w:pPr>
            <w:r w:rsidRPr="00472217">
              <w:rPr>
                <w:rFonts w:ascii="Times New Roman" w:hAnsi="Times New Roman" w:cs="Times New Roman"/>
                <w:b/>
              </w:rPr>
              <w:t>POSLJEDICE</w:t>
            </w:r>
          </w:p>
        </w:tc>
        <w:tc>
          <w:tcPr>
            <w:tcW w:w="2430" w:type="dxa"/>
            <w:tcBorders>
              <w:top w:val="single" w:sz="4" w:space="0" w:color="54883D"/>
              <w:left w:val="single" w:sz="4" w:space="0" w:color="54883D"/>
              <w:bottom w:val="single" w:sz="4" w:space="0" w:color="54883D"/>
              <w:right w:val="single" w:sz="4" w:space="0" w:color="54883D"/>
            </w:tcBorders>
            <w:shd w:val="clear" w:color="auto" w:fill="FFC000"/>
            <w:vAlign w:val="center"/>
          </w:tcPr>
          <w:p w14:paraId="6582447E" w14:textId="77777777" w:rsidR="00472217" w:rsidRPr="00472217" w:rsidRDefault="00472217" w:rsidP="00472217">
            <w:pPr>
              <w:spacing w:after="0" w:line="259" w:lineRule="auto"/>
              <w:ind w:left="0" w:right="0" w:firstLine="0"/>
              <w:jc w:val="center"/>
              <w:rPr>
                <w:rFonts w:ascii="Times New Roman" w:hAnsi="Times New Roman" w:cs="Times New Roman"/>
              </w:rPr>
            </w:pPr>
            <w:r w:rsidRPr="00472217">
              <w:rPr>
                <w:rFonts w:ascii="Times New Roman" w:hAnsi="Times New Roman" w:cs="Times New Roman"/>
                <w:b/>
              </w:rPr>
              <w:t>KRITIČNA INFRASTRUKTURA</w:t>
            </w:r>
          </w:p>
        </w:tc>
        <w:tc>
          <w:tcPr>
            <w:tcW w:w="3084" w:type="dxa"/>
            <w:tcBorders>
              <w:top w:val="single" w:sz="4" w:space="0" w:color="54883D"/>
              <w:left w:val="single" w:sz="4" w:space="0" w:color="54883D"/>
              <w:bottom w:val="single" w:sz="4" w:space="0" w:color="54883D"/>
              <w:right w:val="single" w:sz="4" w:space="0" w:color="54883D"/>
            </w:tcBorders>
            <w:shd w:val="clear" w:color="auto" w:fill="FFC000"/>
          </w:tcPr>
          <w:p w14:paraId="518A8484" w14:textId="77777777" w:rsidR="00472217" w:rsidRPr="00472217" w:rsidRDefault="00472217" w:rsidP="00472217">
            <w:pPr>
              <w:spacing w:after="19" w:line="259" w:lineRule="auto"/>
              <w:ind w:left="0" w:right="60" w:firstLine="0"/>
              <w:jc w:val="center"/>
              <w:rPr>
                <w:rFonts w:ascii="Times New Roman" w:hAnsi="Times New Roman" w:cs="Times New Roman"/>
              </w:rPr>
            </w:pPr>
            <w:r w:rsidRPr="00472217">
              <w:rPr>
                <w:rFonts w:ascii="Times New Roman" w:hAnsi="Times New Roman" w:cs="Times New Roman"/>
                <w:b/>
              </w:rPr>
              <w:t>USTANOVE/GRAĐEVINE</w:t>
            </w:r>
          </w:p>
          <w:p w14:paraId="4A0AA7A0" w14:textId="77777777" w:rsidR="00472217" w:rsidRPr="00472217" w:rsidRDefault="00472217" w:rsidP="00472217">
            <w:pPr>
              <w:spacing w:after="0" w:line="259" w:lineRule="auto"/>
              <w:ind w:left="0" w:right="0" w:firstLine="0"/>
              <w:jc w:val="center"/>
              <w:rPr>
                <w:rFonts w:ascii="Times New Roman" w:hAnsi="Times New Roman" w:cs="Times New Roman"/>
              </w:rPr>
            </w:pPr>
            <w:r w:rsidRPr="00472217">
              <w:rPr>
                <w:rFonts w:ascii="Times New Roman" w:hAnsi="Times New Roman" w:cs="Times New Roman"/>
                <w:b/>
              </w:rPr>
              <w:t>JAVNOG DRUŠTVENOG ZNAČAJA</w:t>
            </w:r>
          </w:p>
        </w:tc>
        <w:tc>
          <w:tcPr>
            <w:tcW w:w="1861" w:type="dxa"/>
            <w:tcBorders>
              <w:top w:val="single" w:sz="4" w:space="0" w:color="54883D"/>
              <w:left w:val="single" w:sz="4" w:space="0" w:color="54883D"/>
              <w:bottom w:val="single" w:sz="4" w:space="0" w:color="54883D"/>
              <w:right w:val="single" w:sz="4" w:space="0" w:color="54883D"/>
            </w:tcBorders>
            <w:shd w:val="clear" w:color="auto" w:fill="FFC000"/>
            <w:vAlign w:val="center"/>
          </w:tcPr>
          <w:p w14:paraId="15CD7FA4" w14:textId="77777777" w:rsidR="00472217" w:rsidRPr="00472217" w:rsidRDefault="00472217" w:rsidP="00472217">
            <w:pPr>
              <w:spacing w:after="0" w:line="259" w:lineRule="auto"/>
              <w:ind w:left="0" w:right="0" w:firstLine="0"/>
              <w:jc w:val="center"/>
              <w:rPr>
                <w:rFonts w:ascii="Times New Roman" w:hAnsi="Times New Roman" w:cs="Times New Roman"/>
              </w:rPr>
            </w:pPr>
            <w:r w:rsidRPr="00472217">
              <w:rPr>
                <w:rFonts w:ascii="Times New Roman" w:hAnsi="Times New Roman" w:cs="Times New Roman"/>
                <w:b/>
              </w:rPr>
              <w:t>ODABRANO</w:t>
            </w:r>
          </w:p>
        </w:tc>
      </w:tr>
      <w:tr w:rsidR="00472217" w:rsidRPr="00472217" w14:paraId="621ADFC1" w14:textId="77777777" w:rsidTr="00284074">
        <w:trPr>
          <w:trHeight w:val="277"/>
        </w:trPr>
        <w:tc>
          <w:tcPr>
            <w:tcW w:w="1697" w:type="dxa"/>
            <w:tcBorders>
              <w:top w:val="single" w:sz="4" w:space="0" w:color="54883D"/>
              <w:left w:val="single" w:sz="4" w:space="0" w:color="54883D"/>
              <w:bottom w:val="single" w:sz="4" w:space="0" w:color="54883D"/>
              <w:right w:val="single" w:sz="4" w:space="0" w:color="54883D"/>
            </w:tcBorders>
          </w:tcPr>
          <w:p w14:paraId="18AC50D3" w14:textId="77777777" w:rsidR="00472217" w:rsidRPr="00472217" w:rsidRDefault="00472217" w:rsidP="00472217">
            <w:pPr>
              <w:spacing w:after="0" w:line="259" w:lineRule="auto"/>
              <w:ind w:left="0" w:right="94" w:firstLine="0"/>
              <w:jc w:val="center"/>
              <w:rPr>
                <w:rFonts w:ascii="Times New Roman" w:hAnsi="Times New Roman" w:cs="Times New Roman"/>
              </w:rPr>
            </w:pPr>
            <w:r w:rsidRPr="00472217">
              <w:rPr>
                <w:rFonts w:ascii="Times New Roman" w:hAnsi="Times New Roman" w:cs="Times New Roman"/>
              </w:rPr>
              <w:t>Neznatne</w:t>
            </w:r>
          </w:p>
        </w:tc>
        <w:tc>
          <w:tcPr>
            <w:tcW w:w="2430" w:type="dxa"/>
            <w:tcBorders>
              <w:top w:val="single" w:sz="4" w:space="0" w:color="54883D"/>
              <w:left w:val="single" w:sz="4" w:space="0" w:color="54883D"/>
              <w:bottom w:val="single" w:sz="4" w:space="0" w:color="54883D"/>
              <w:right w:val="single" w:sz="4" w:space="0" w:color="54883D"/>
            </w:tcBorders>
          </w:tcPr>
          <w:p w14:paraId="25A58040" w14:textId="77777777" w:rsidR="00472217" w:rsidRPr="00472217" w:rsidRDefault="00472217" w:rsidP="00472217">
            <w:pPr>
              <w:spacing w:after="0" w:line="259" w:lineRule="auto"/>
              <w:ind w:left="0" w:right="34" w:firstLine="0"/>
              <w:jc w:val="center"/>
              <w:rPr>
                <w:rFonts w:ascii="Times New Roman" w:hAnsi="Times New Roman" w:cs="Times New Roman"/>
              </w:rPr>
            </w:pPr>
          </w:p>
        </w:tc>
        <w:tc>
          <w:tcPr>
            <w:tcW w:w="3084" w:type="dxa"/>
            <w:tcBorders>
              <w:top w:val="single" w:sz="4" w:space="0" w:color="54883D"/>
              <w:left w:val="single" w:sz="4" w:space="0" w:color="54883D"/>
              <w:bottom w:val="single" w:sz="4" w:space="0" w:color="54883D"/>
              <w:right w:val="single" w:sz="4" w:space="0" w:color="54883D"/>
            </w:tcBorders>
          </w:tcPr>
          <w:p w14:paraId="5935E9AB" w14:textId="77777777" w:rsidR="00472217" w:rsidRPr="00472217" w:rsidRDefault="00472217" w:rsidP="00472217">
            <w:pPr>
              <w:spacing w:after="0" w:line="259" w:lineRule="auto"/>
              <w:ind w:left="0" w:right="34" w:firstLine="0"/>
              <w:jc w:val="center"/>
              <w:rPr>
                <w:rFonts w:ascii="Times New Roman" w:hAnsi="Times New Roman" w:cs="Times New Roman"/>
              </w:rPr>
            </w:pPr>
          </w:p>
        </w:tc>
        <w:tc>
          <w:tcPr>
            <w:tcW w:w="1861" w:type="dxa"/>
            <w:tcBorders>
              <w:top w:val="single" w:sz="4" w:space="0" w:color="54883D"/>
              <w:left w:val="single" w:sz="4" w:space="0" w:color="54883D"/>
              <w:bottom w:val="single" w:sz="4" w:space="0" w:color="54883D"/>
              <w:right w:val="single" w:sz="4" w:space="0" w:color="54883D"/>
            </w:tcBorders>
          </w:tcPr>
          <w:p w14:paraId="04523DD6" w14:textId="77777777" w:rsidR="00472217" w:rsidRPr="00472217" w:rsidRDefault="00472217" w:rsidP="00472217">
            <w:pPr>
              <w:spacing w:after="0" w:line="259" w:lineRule="auto"/>
              <w:ind w:left="0" w:right="31" w:firstLine="0"/>
              <w:jc w:val="center"/>
              <w:rPr>
                <w:rFonts w:ascii="Times New Roman" w:hAnsi="Times New Roman" w:cs="Times New Roman"/>
              </w:rPr>
            </w:pPr>
          </w:p>
        </w:tc>
      </w:tr>
      <w:tr w:rsidR="00472217" w:rsidRPr="00472217" w14:paraId="04360DC8" w14:textId="77777777" w:rsidTr="00284074">
        <w:trPr>
          <w:trHeight w:val="272"/>
        </w:trPr>
        <w:tc>
          <w:tcPr>
            <w:tcW w:w="1697" w:type="dxa"/>
            <w:tcBorders>
              <w:top w:val="single" w:sz="4" w:space="0" w:color="54883D"/>
              <w:left w:val="single" w:sz="4" w:space="0" w:color="54883D"/>
              <w:bottom w:val="single" w:sz="4" w:space="0" w:color="54883D"/>
              <w:right w:val="single" w:sz="4" w:space="0" w:color="54883D"/>
            </w:tcBorders>
            <w:shd w:val="clear" w:color="auto" w:fill="FFC000"/>
          </w:tcPr>
          <w:p w14:paraId="3C06E4FA" w14:textId="77777777" w:rsidR="00472217" w:rsidRPr="00472217" w:rsidRDefault="00472217" w:rsidP="00472217">
            <w:pPr>
              <w:spacing w:after="0" w:line="259" w:lineRule="auto"/>
              <w:ind w:left="0" w:right="94" w:firstLine="0"/>
              <w:jc w:val="center"/>
              <w:rPr>
                <w:rFonts w:ascii="Times New Roman" w:hAnsi="Times New Roman" w:cs="Times New Roman"/>
              </w:rPr>
            </w:pPr>
            <w:r w:rsidRPr="00472217">
              <w:rPr>
                <w:rFonts w:ascii="Times New Roman" w:hAnsi="Times New Roman" w:cs="Times New Roman"/>
              </w:rPr>
              <w:t>Malene</w:t>
            </w:r>
          </w:p>
        </w:tc>
        <w:tc>
          <w:tcPr>
            <w:tcW w:w="2430" w:type="dxa"/>
            <w:tcBorders>
              <w:top w:val="single" w:sz="4" w:space="0" w:color="54883D"/>
              <w:left w:val="single" w:sz="4" w:space="0" w:color="54883D"/>
              <w:bottom w:val="single" w:sz="4" w:space="0" w:color="54883D"/>
              <w:right w:val="single" w:sz="4" w:space="0" w:color="54883D"/>
            </w:tcBorders>
            <w:shd w:val="clear" w:color="auto" w:fill="FFC000"/>
          </w:tcPr>
          <w:p w14:paraId="6F8B19F1" w14:textId="77777777" w:rsidR="00472217" w:rsidRPr="00472217" w:rsidRDefault="00472217" w:rsidP="00472217">
            <w:pPr>
              <w:spacing w:after="0" w:line="259" w:lineRule="auto"/>
              <w:ind w:left="0" w:right="34" w:firstLine="0"/>
              <w:jc w:val="center"/>
              <w:rPr>
                <w:rFonts w:ascii="Times New Roman" w:hAnsi="Times New Roman" w:cs="Times New Roman"/>
              </w:rPr>
            </w:pPr>
          </w:p>
        </w:tc>
        <w:tc>
          <w:tcPr>
            <w:tcW w:w="3084" w:type="dxa"/>
            <w:tcBorders>
              <w:top w:val="single" w:sz="4" w:space="0" w:color="54883D"/>
              <w:left w:val="single" w:sz="4" w:space="0" w:color="54883D"/>
              <w:bottom w:val="single" w:sz="4" w:space="0" w:color="54883D"/>
              <w:right w:val="single" w:sz="4" w:space="0" w:color="54883D"/>
            </w:tcBorders>
            <w:shd w:val="clear" w:color="auto" w:fill="FFC000"/>
          </w:tcPr>
          <w:p w14:paraId="466F2B8F" w14:textId="77777777" w:rsidR="00472217" w:rsidRPr="00472217" w:rsidRDefault="00472217" w:rsidP="00472217">
            <w:pPr>
              <w:spacing w:after="0" w:line="259" w:lineRule="auto"/>
              <w:ind w:left="0" w:right="34" w:firstLine="0"/>
              <w:jc w:val="center"/>
              <w:rPr>
                <w:rFonts w:ascii="Times New Roman" w:hAnsi="Times New Roman" w:cs="Times New Roman"/>
              </w:rPr>
            </w:pPr>
            <w:r w:rsidRPr="00472217">
              <w:rPr>
                <w:rFonts w:ascii="Times New Roman" w:hAnsi="Times New Roman" w:cs="Times New Roman"/>
              </w:rPr>
              <w:t>x</w:t>
            </w:r>
          </w:p>
        </w:tc>
        <w:tc>
          <w:tcPr>
            <w:tcW w:w="1861" w:type="dxa"/>
            <w:tcBorders>
              <w:top w:val="single" w:sz="4" w:space="0" w:color="54883D"/>
              <w:left w:val="single" w:sz="4" w:space="0" w:color="54883D"/>
              <w:bottom w:val="single" w:sz="4" w:space="0" w:color="54883D"/>
              <w:right w:val="single" w:sz="4" w:space="0" w:color="54883D"/>
            </w:tcBorders>
            <w:shd w:val="clear" w:color="auto" w:fill="FFC000"/>
          </w:tcPr>
          <w:p w14:paraId="31E6F447" w14:textId="77777777" w:rsidR="00472217" w:rsidRPr="00472217" w:rsidRDefault="00472217" w:rsidP="00472217">
            <w:pPr>
              <w:spacing w:after="0" w:line="259" w:lineRule="auto"/>
              <w:ind w:left="0" w:right="31" w:firstLine="0"/>
              <w:jc w:val="center"/>
              <w:rPr>
                <w:rFonts w:ascii="Times New Roman" w:hAnsi="Times New Roman" w:cs="Times New Roman"/>
              </w:rPr>
            </w:pPr>
          </w:p>
        </w:tc>
      </w:tr>
      <w:tr w:rsidR="00472217" w:rsidRPr="00472217" w14:paraId="106CCDC7" w14:textId="77777777" w:rsidTr="00284074">
        <w:trPr>
          <w:trHeight w:val="276"/>
        </w:trPr>
        <w:tc>
          <w:tcPr>
            <w:tcW w:w="1697" w:type="dxa"/>
            <w:tcBorders>
              <w:top w:val="single" w:sz="4" w:space="0" w:color="54883D"/>
              <w:left w:val="single" w:sz="4" w:space="0" w:color="54883D"/>
              <w:bottom w:val="single" w:sz="4" w:space="0" w:color="54883D"/>
              <w:right w:val="single" w:sz="4" w:space="0" w:color="54883D"/>
            </w:tcBorders>
          </w:tcPr>
          <w:p w14:paraId="28BB57CC" w14:textId="77777777" w:rsidR="00472217" w:rsidRPr="00472217" w:rsidRDefault="00472217" w:rsidP="00472217">
            <w:pPr>
              <w:spacing w:after="0" w:line="259" w:lineRule="auto"/>
              <w:ind w:left="0" w:right="91" w:firstLine="0"/>
              <w:jc w:val="center"/>
              <w:rPr>
                <w:rFonts w:ascii="Times New Roman" w:hAnsi="Times New Roman" w:cs="Times New Roman"/>
              </w:rPr>
            </w:pPr>
            <w:r w:rsidRPr="00472217">
              <w:rPr>
                <w:rFonts w:ascii="Times New Roman" w:hAnsi="Times New Roman" w:cs="Times New Roman"/>
              </w:rPr>
              <w:t>Umjerene</w:t>
            </w:r>
          </w:p>
        </w:tc>
        <w:tc>
          <w:tcPr>
            <w:tcW w:w="2430" w:type="dxa"/>
            <w:tcBorders>
              <w:top w:val="single" w:sz="4" w:space="0" w:color="54883D"/>
              <w:left w:val="single" w:sz="4" w:space="0" w:color="54883D"/>
              <w:bottom w:val="single" w:sz="4" w:space="0" w:color="54883D"/>
              <w:right w:val="single" w:sz="4" w:space="0" w:color="54883D"/>
            </w:tcBorders>
          </w:tcPr>
          <w:p w14:paraId="3623F20B" w14:textId="77777777" w:rsidR="00472217" w:rsidRPr="00472217" w:rsidRDefault="00472217" w:rsidP="00472217">
            <w:pPr>
              <w:spacing w:after="0" w:line="259" w:lineRule="auto"/>
              <w:ind w:left="0" w:right="34" w:firstLine="0"/>
              <w:jc w:val="center"/>
              <w:rPr>
                <w:rFonts w:ascii="Times New Roman" w:hAnsi="Times New Roman" w:cs="Times New Roman"/>
              </w:rPr>
            </w:pPr>
            <w:r w:rsidRPr="00472217">
              <w:rPr>
                <w:rFonts w:ascii="Times New Roman" w:hAnsi="Times New Roman" w:cs="Times New Roman"/>
              </w:rPr>
              <w:t>x</w:t>
            </w:r>
          </w:p>
        </w:tc>
        <w:tc>
          <w:tcPr>
            <w:tcW w:w="3084" w:type="dxa"/>
            <w:tcBorders>
              <w:top w:val="single" w:sz="4" w:space="0" w:color="54883D"/>
              <w:left w:val="single" w:sz="4" w:space="0" w:color="54883D"/>
              <w:bottom w:val="single" w:sz="4" w:space="0" w:color="54883D"/>
              <w:right w:val="single" w:sz="4" w:space="0" w:color="54883D"/>
            </w:tcBorders>
          </w:tcPr>
          <w:p w14:paraId="1C096E09" w14:textId="77777777" w:rsidR="00472217" w:rsidRPr="00472217" w:rsidRDefault="00472217" w:rsidP="00472217">
            <w:pPr>
              <w:spacing w:after="0" w:line="259" w:lineRule="auto"/>
              <w:ind w:left="0" w:right="34" w:firstLine="0"/>
              <w:jc w:val="center"/>
              <w:rPr>
                <w:rFonts w:ascii="Times New Roman" w:hAnsi="Times New Roman" w:cs="Times New Roman"/>
              </w:rPr>
            </w:pPr>
          </w:p>
        </w:tc>
        <w:tc>
          <w:tcPr>
            <w:tcW w:w="1861" w:type="dxa"/>
            <w:tcBorders>
              <w:top w:val="single" w:sz="4" w:space="0" w:color="54883D"/>
              <w:left w:val="single" w:sz="4" w:space="0" w:color="54883D"/>
              <w:bottom w:val="single" w:sz="4" w:space="0" w:color="54883D"/>
              <w:right w:val="single" w:sz="4" w:space="0" w:color="54883D"/>
            </w:tcBorders>
          </w:tcPr>
          <w:p w14:paraId="30CF012C" w14:textId="77777777" w:rsidR="00472217" w:rsidRPr="00472217" w:rsidRDefault="00472217" w:rsidP="00472217">
            <w:pPr>
              <w:spacing w:after="0" w:line="259" w:lineRule="auto"/>
              <w:ind w:left="0" w:right="31" w:firstLine="0"/>
              <w:jc w:val="center"/>
              <w:rPr>
                <w:rFonts w:ascii="Times New Roman" w:hAnsi="Times New Roman" w:cs="Times New Roman"/>
              </w:rPr>
            </w:pPr>
            <w:r w:rsidRPr="00472217">
              <w:rPr>
                <w:rFonts w:ascii="Times New Roman" w:hAnsi="Times New Roman" w:cs="Times New Roman"/>
              </w:rPr>
              <w:t>x</w:t>
            </w:r>
          </w:p>
        </w:tc>
      </w:tr>
      <w:tr w:rsidR="00472217" w:rsidRPr="00472217" w14:paraId="2AD27966" w14:textId="77777777" w:rsidTr="00284074">
        <w:trPr>
          <w:trHeight w:val="272"/>
        </w:trPr>
        <w:tc>
          <w:tcPr>
            <w:tcW w:w="1697" w:type="dxa"/>
            <w:tcBorders>
              <w:top w:val="single" w:sz="4" w:space="0" w:color="54883D"/>
              <w:left w:val="single" w:sz="4" w:space="0" w:color="54883D"/>
              <w:bottom w:val="single" w:sz="4" w:space="0" w:color="54883D"/>
              <w:right w:val="single" w:sz="4" w:space="0" w:color="54883D"/>
            </w:tcBorders>
            <w:shd w:val="clear" w:color="auto" w:fill="FFC000"/>
          </w:tcPr>
          <w:p w14:paraId="391F0823" w14:textId="77777777" w:rsidR="00472217" w:rsidRPr="00472217" w:rsidRDefault="00472217" w:rsidP="00472217">
            <w:pPr>
              <w:spacing w:after="0" w:line="259" w:lineRule="auto"/>
              <w:ind w:left="0" w:right="94" w:firstLine="0"/>
              <w:jc w:val="center"/>
              <w:rPr>
                <w:rFonts w:ascii="Times New Roman" w:hAnsi="Times New Roman" w:cs="Times New Roman"/>
              </w:rPr>
            </w:pPr>
            <w:r w:rsidRPr="00472217">
              <w:rPr>
                <w:rFonts w:ascii="Times New Roman" w:hAnsi="Times New Roman" w:cs="Times New Roman"/>
              </w:rPr>
              <w:t>Značajne</w:t>
            </w:r>
          </w:p>
        </w:tc>
        <w:tc>
          <w:tcPr>
            <w:tcW w:w="2430" w:type="dxa"/>
            <w:tcBorders>
              <w:top w:val="single" w:sz="4" w:space="0" w:color="54883D"/>
              <w:left w:val="single" w:sz="4" w:space="0" w:color="54883D"/>
              <w:bottom w:val="single" w:sz="4" w:space="0" w:color="54883D"/>
              <w:right w:val="single" w:sz="4" w:space="0" w:color="54883D"/>
            </w:tcBorders>
            <w:shd w:val="clear" w:color="auto" w:fill="FFC000"/>
          </w:tcPr>
          <w:p w14:paraId="7687ED12" w14:textId="77777777" w:rsidR="00472217" w:rsidRPr="00472217" w:rsidRDefault="00472217" w:rsidP="00472217">
            <w:pPr>
              <w:spacing w:after="0" w:line="259" w:lineRule="auto"/>
              <w:ind w:left="0" w:right="34" w:firstLine="0"/>
              <w:jc w:val="center"/>
              <w:rPr>
                <w:rFonts w:ascii="Times New Roman" w:hAnsi="Times New Roman" w:cs="Times New Roman"/>
              </w:rPr>
            </w:pPr>
          </w:p>
        </w:tc>
        <w:tc>
          <w:tcPr>
            <w:tcW w:w="3084" w:type="dxa"/>
            <w:tcBorders>
              <w:top w:val="single" w:sz="4" w:space="0" w:color="54883D"/>
              <w:left w:val="single" w:sz="4" w:space="0" w:color="54883D"/>
              <w:bottom w:val="single" w:sz="4" w:space="0" w:color="54883D"/>
              <w:right w:val="single" w:sz="4" w:space="0" w:color="54883D"/>
            </w:tcBorders>
            <w:shd w:val="clear" w:color="auto" w:fill="FFC000"/>
          </w:tcPr>
          <w:p w14:paraId="579EBAE2" w14:textId="77777777" w:rsidR="00472217" w:rsidRPr="00472217" w:rsidRDefault="00472217" w:rsidP="00472217">
            <w:pPr>
              <w:spacing w:after="0" w:line="259" w:lineRule="auto"/>
              <w:ind w:left="0" w:right="34" w:firstLine="0"/>
              <w:jc w:val="center"/>
              <w:rPr>
                <w:rFonts w:ascii="Times New Roman" w:hAnsi="Times New Roman" w:cs="Times New Roman"/>
              </w:rPr>
            </w:pPr>
          </w:p>
        </w:tc>
        <w:tc>
          <w:tcPr>
            <w:tcW w:w="1861" w:type="dxa"/>
            <w:tcBorders>
              <w:top w:val="single" w:sz="4" w:space="0" w:color="54883D"/>
              <w:left w:val="single" w:sz="4" w:space="0" w:color="54883D"/>
              <w:bottom w:val="single" w:sz="4" w:space="0" w:color="54883D"/>
              <w:right w:val="single" w:sz="4" w:space="0" w:color="54883D"/>
            </w:tcBorders>
            <w:shd w:val="clear" w:color="auto" w:fill="FFC000"/>
          </w:tcPr>
          <w:p w14:paraId="7F7446F1" w14:textId="77777777" w:rsidR="00472217" w:rsidRPr="00472217" w:rsidRDefault="00472217" w:rsidP="00472217">
            <w:pPr>
              <w:spacing w:after="0" w:line="259" w:lineRule="auto"/>
              <w:ind w:left="0" w:right="31" w:firstLine="0"/>
              <w:jc w:val="center"/>
              <w:rPr>
                <w:rFonts w:ascii="Times New Roman" w:hAnsi="Times New Roman" w:cs="Times New Roman"/>
              </w:rPr>
            </w:pPr>
          </w:p>
        </w:tc>
      </w:tr>
      <w:tr w:rsidR="00472217" w:rsidRPr="00472217" w14:paraId="627AB957" w14:textId="77777777" w:rsidTr="00284074">
        <w:trPr>
          <w:trHeight w:val="277"/>
        </w:trPr>
        <w:tc>
          <w:tcPr>
            <w:tcW w:w="1697" w:type="dxa"/>
            <w:tcBorders>
              <w:top w:val="single" w:sz="4" w:space="0" w:color="54883D"/>
              <w:left w:val="single" w:sz="4" w:space="0" w:color="54883D"/>
              <w:bottom w:val="single" w:sz="4" w:space="0" w:color="54883D"/>
              <w:right w:val="single" w:sz="4" w:space="0" w:color="54883D"/>
            </w:tcBorders>
          </w:tcPr>
          <w:p w14:paraId="6787FC9E" w14:textId="77777777" w:rsidR="00472217" w:rsidRPr="00472217" w:rsidRDefault="00472217" w:rsidP="00472217">
            <w:pPr>
              <w:spacing w:after="0" w:line="259" w:lineRule="auto"/>
              <w:ind w:left="0" w:right="94" w:firstLine="0"/>
              <w:jc w:val="center"/>
              <w:rPr>
                <w:rFonts w:ascii="Times New Roman" w:hAnsi="Times New Roman" w:cs="Times New Roman"/>
              </w:rPr>
            </w:pPr>
            <w:r w:rsidRPr="00472217">
              <w:rPr>
                <w:rFonts w:ascii="Times New Roman" w:hAnsi="Times New Roman" w:cs="Times New Roman"/>
              </w:rPr>
              <w:t>Katastrofalne</w:t>
            </w:r>
          </w:p>
        </w:tc>
        <w:tc>
          <w:tcPr>
            <w:tcW w:w="2430" w:type="dxa"/>
            <w:tcBorders>
              <w:top w:val="single" w:sz="4" w:space="0" w:color="54883D"/>
              <w:left w:val="single" w:sz="4" w:space="0" w:color="54883D"/>
              <w:bottom w:val="single" w:sz="4" w:space="0" w:color="54883D"/>
              <w:right w:val="single" w:sz="4" w:space="0" w:color="54883D"/>
            </w:tcBorders>
          </w:tcPr>
          <w:p w14:paraId="66F32CF0" w14:textId="77777777" w:rsidR="00472217" w:rsidRPr="00472217" w:rsidRDefault="00472217" w:rsidP="00472217">
            <w:pPr>
              <w:spacing w:after="0" w:line="259" w:lineRule="auto"/>
              <w:ind w:left="0" w:right="91" w:firstLine="0"/>
              <w:jc w:val="center"/>
              <w:rPr>
                <w:rFonts w:ascii="Times New Roman" w:hAnsi="Times New Roman" w:cs="Times New Roman"/>
              </w:rPr>
            </w:pPr>
          </w:p>
        </w:tc>
        <w:tc>
          <w:tcPr>
            <w:tcW w:w="3084" w:type="dxa"/>
            <w:tcBorders>
              <w:top w:val="single" w:sz="4" w:space="0" w:color="54883D"/>
              <w:left w:val="single" w:sz="4" w:space="0" w:color="54883D"/>
              <w:bottom w:val="single" w:sz="4" w:space="0" w:color="54883D"/>
              <w:right w:val="single" w:sz="4" w:space="0" w:color="54883D"/>
            </w:tcBorders>
          </w:tcPr>
          <w:p w14:paraId="1A0FD07A" w14:textId="77777777" w:rsidR="00472217" w:rsidRPr="00472217" w:rsidRDefault="00472217" w:rsidP="00472217">
            <w:pPr>
              <w:spacing w:after="0" w:line="259" w:lineRule="auto"/>
              <w:ind w:left="0" w:right="91" w:firstLine="0"/>
              <w:jc w:val="center"/>
              <w:rPr>
                <w:rFonts w:ascii="Times New Roman" w:hAnsi="Times New Roman" w:cs="Times New Roman"/>
              </w:rPr>
            </w:pPr>
          </w:p>
        </w:tc>
        <w:tc>
          <w:tcPr>
            <w:tcW w:w="1861" w:type="dxa"/>
            <w:tcBorders>
              <w:top w:val="single" w:sz="4" w:space="0" w:color="54883D"/>
              <w:left w:val="single" w:sz="4" w:space="0" w:color="54883D"/>
              <w:bottom w:val="single" w:sz="4" w:space="0" w:color="54883D"/>
              <w:right w:val="single" w:sz="4" w:space="0" w:color="54883D"/>
            </w:tcBorders>
          </w:tcPr>
          <w:p w14:paraId="6BBD9143" w14:textId="77777777" w:rsidR="00472217" w:rsidRPr="00472217" w:rsidRDefault="00472217" w:rsidP="00472217">
            <w:pPr>
              <w:spacing w:after="0" w:line="259" w:lineRule="auto"/>
              <w:ind w:left="0" w:right="87" w:firstLine="0"/>
              <w:jc w:val="center"/>
              <w:rPr>
                <w:rFonts w:ascii="Times New Roman" w:hAnsi="Times New Roman" w:cs="Times New Roman"/>
              </w:rPr>
            </w:pPr>
          </w:p>
        </w:tc>
      </w:tr>
    </w:tbl>
    <w:p w14:paraId="19251E24"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40021542" w14:textId="16DA0991" w:rsidR="00472217" w:rsidRDefault="00472217" w:rsidP="006F21BC">
      <w:pPr>
        <w:spacing w:after="0" w:line="240" w:lineRule="auto"/>
        <w:ind w:left="0" w:right="0" w:firstLine="709"/>
        <w:rPr>
          <w:rFonts w:ascii="Times New Roman" w:hAnsi="Times New Roman" w:cs="Times New Roman"/>
          <w:i/>
          <w:sz w:val="24"/>
          <w:szCs w:val="24"/>
          <w:u w:val="single"/>
        </w:rPr>
      </w:pPr>
      <w:r w:rsidRPr="00472217">
        <w:rPr>
          <w:rFonts w:ascii="Times New Roman" w:hAnsi="Times New Roman" w:cs="Times New Roman"/>
          <w:i/>
          <w:sz w:val="24"/>
          <w:szCs w:val="24"/>
          <w:u w:val="single"/>
        </w:rPr>
        <w:t>Zaključak</w:t>
      </w:r>
    </w:p>
    <w:p w14:paraId="2AF65813" w14:textId="77777777" w:rsidR="00472217" w:rsidRPr="00472217" w:rsidRDefault="00472217" w:rsidP="006F21BC">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U slučaju pojave masovnih klizišta na području Grada Zagreba</w:t>
      </w:r>
      <w:r w:rsidRPr="00472217">
        <w:t xml:space="preserve"> </w:t>
      </w:r>
      <w:r w:rsidRPr="00472217">
        <w:rPr>
          <w:rFonts w:ascii="Times New Roman" w:hAnsi="Times New Roman" w:cs="Times New Roman"/>
          <w:sz w:val="24"/>
          <w:szCs w:val="24"/>
        </w:rPr>
        <w:t xml:space="preserve">sukladno scenariju koji se temelji na oborinskom događaju iz ožujka 2013. godine, ne očekuju se smrtni ishodi uslijed iznenadnog urušavanja kuća, ali će dio stanovnika biti iseljen te će im biti ponuđen zamjenski smještaj. Minimalno 60 000 stanovnika suočit će se sa poteškoćama u prometovanju zbog odrona na cestama, a gospodarstvo će trpjeti znatne posljedice zbog visokih troškova sanacije klizišta.  </w:t>
      </w:r>
    </w:p>
    <w:p w14:paraId="479D953D" w14:textId="77777777" w:rsidR="00472217" w:rsidRPr="00472217" w:rsidRDefault="00472217" w:rsidP="00472217">
      <w:pPr>
        <w:spacing w:after="0" w:line="240" w:lineRule="auto"/>
        <w:ind w:left="0" w:right="0" w:firstLine="0"/>
        <w:rPr>
          <w:rFonts w:ascii="Times New Roman" w:hAnsi="Times New Roman" w:cs="Times New Roman"/>
          <w:i/>
          <w:sz w:val="24"/>
          <w:szCs w:val="24"/>
          <w:u w:val="single"/>
        </w:rPr>
      </w:pPr>
    </w:p>
    <w:p w14:paraId="037311D1" w14:textId="36C10E2E" w:rsidR="00472217" w:rsidRDefault="00472217" w:rsidP="006F21BC">
      <w:pPr>
        <w:spacing w:after="0" w:line="240" w:lineRule="auto"/>
        <w:ind w:left="0" w:right="0" w:firstLine="709"/>
        <w:rPr>
          <w:rFonts w:ascii="Times New Roman" w:hAnsi="Times New Roman" w:cs="Times New Roman"/>
          <w:i/>
          <w:sz w:val="24"/>
          <w:szCs w:val="24"/>
          <w:u w:val="single"/>
        </w:rPr>
      </w:pPr>
      <w:r w:rsidRPr="00472217">
        <w:rPr>
          <w:rFonts w:ascii="Times New Roman" w:hAnsi="Times New Roman" w:cs="Times New Roman"/>
          <w:i/>
          <w:sz w:val="24"/>
          <w:szCs w:val="24"/>
          <w:u w:val="single"/>
        </w:rPr>
        <w:t>Vjerojatnost događaja</w:t>
      </w:r>
    </w:p>
    <w:p w14:paraId="707F2B6E" w14:textId="7CBC2A1A" w:rsidR="00472217" w:rsidRDefault="00472217" w:rsidP="006F21BC">
      <w:pPr>
        <w:spacing w:after="0" w:line="240" w:lineRule="auto"/>
        <w:ind w:left="0" w:right="0" w:firstLine="709"/>
        <w:rPr>
          <w:rFonts w:ascii="Times New Roman" w:hAnsi="Times New Roman" w:cs="Times New Roman"/>
          <w:color w:val="auto"/>
          <w:sz w:val="24"/>
          <w:szCs w:val="24"/>
        </w:rPr>
      </w:pPr>
      <w:r w:rsidRPr="00472217">
        <w:rPr>
          <w:rFonts w:ascii="Times New Roman" w:hAnsi="Times New Roman" w:cs="Times New Roman"/>
          <w:sz w:val="24"/>
          <w:szCs w:val="24"/>
        </w:rPr>
        <w:t>Analizom vjerojatnosti pojavljivanja ekstremno velike 100-dnevne količine oborine na postajama Zagreb-Grič, uz ocjenu kišnih i vrlo kišnih uvjeta na 20- i 40-dnevnoj skali za datum 30. ožujka 2013., procijenjeno je da se događaj s najgorim mogućim posljedicama može očekivati prosječno jednom u 130 godina.</w:t>
      </w:r>
      <w:r w:rsidRPr="00472217">
        <w:rPr>
          <w:rFonts w:ascii="Times New Roman" w:hAnsi="Times New Roman" w:cs="Times New Roman"/>
          <w:sz w:val="24"/>
          <w:szCs w:val="24"/>
          <w:vertAlign w:val="superscript"/>
        </w:rPr>
        <w:footnoteReference w:id="131"/>
      </w:r>
      <w:r w:rsidRPr="00472217">
        <w:rPr>
          <w:rFonts w:ascii="Times New Roman" w:hAnsi="Times New Roman" w:cs="Times New Roman"/>
          <w:sz w:val="24"/>
          <w:szCs w:val="24"/>
        </w:rPr>
        <w:t xml:space="preserve">. </w:t>
      </w:r>
      <w:r w:rsidRPr="00472217">
        <w:rPr>
          <w:rFonts w:ascii="Times New Roman" w:hAnsi="Times New Roman" w:cs="Times New Roman"/>
          <w:color w:val="auto"/>
          <w:sz w:val="24"/>
          <w:szCs w:val="24"/>
        </w:rPr>
        <w:t>Za mogućnost nastanka opisanog scenarija s obzirom na dosadašnje pokazatelje može se procijeniti vjerojatnost: kategorija 1. iznimno mala.</w:t>
      </w:r>
    </w:p>
    <w:p w14:paraId="59A810A5" w14:textId="77777777" w:rsidR="00A4649E" w:rsidRPr="00472217" w:rsidRDefault="00A4649E" w:rsidP="00472217">
      <w:pPr>
        <w:spacing w:after="0" w:line="240" w:lineRule="auto"/>
        <w:ind w:left="0" w:right="0" w:firstLine="0"/>
        <w:rPr>
          <w:rFonts w:ascii="Times New Roman" w:hAnsi="Times New Roman" w:cs="Times New Roman"/>
          <w:sz w:val="24"/>
          <w:szCs w:val="24"/>
        </w:rPr>
      </w:pPr>
    </w:p>
    <w:p w14:paraId="677B5776" w14:textId="35BB25D7" w:rsidR="00A4649E" w:rsidRPr="00D30841" w:rsidRDefault="00472217" w:rsidP="00A4649E">
      <w:pPr>
        <w:keepNext/>
        <w:keepLines/>
        <w:spacing w:line="268" w:lineRule="auto"/>
        <w:ind w:left="119" w:right="802"/>
        <w:jc w:val="center"/>
        <w:outlineLvl w:val="3"/>
        <w:rPr>
          <w:rFonts w:ascii="Times New Roman" w:hAnsi="Times New Roman" w:cs="Times New Roman"/>
          <w:b/>
          <w:color w:val="auto"/>
          <w:sz w:val="24"/>
          <w:szCs w:val="24"/>
        </w:rPr>
      </w:pPr>
      <w:r w:rsidRPr="00D30841">
        <w:rPr>
          <w:rFonts w:ascii="Times New Roman" w:hAnsi="Times New Roman" w:cs="Times New Roman"/>
          <w:b/>
          <w:color w:val="auto"/>
          <w:sz w:val="24"/>
          <w:szCs w:val="24"/>
        </w:rPr>
        <w:t xml:space="preserve">Tablica </w:t>
      </w:r>
      <w:r w:rsidR="00D30841" w:rsidRPr="00D30841">
        <w:rPr>
          <w:rFonts w:ascii="Times New Roman" w:hAnsi="Times New Roman" w:cs="Times New Roman"/>
          <w:b/>
          <w:color w:val="auto"/>
          <w:sz w:val="24"/>
          <w:szCs w:val="24"/>
        </w:rPr>
        <w:t>132</w:t>
      </w:r>
      <w:r w:rsidRPr="00D30841">
        <w:rPr>
          <w:rFonts w:ascii="Times New Roman" w:hAnsi="Times New Roman" w:cs="Times New Roman"/>
          <w:b/>
          <w:color w:val="auto"/>
          <w:sz w:val="24"/>
          <w:szCs w:val="24"/>
        </w:rPr>
        <w:t xml:space="preserve">. Vjerojatnost događaja </w:t>
      </w:r>
    </w:p>
    <w:tbl>
      <w:tblPr>
        <w:tblStyle w:val="TableGrid23"/>
        <w:tblW w:w="9108" w:type="dxa"/>
        <w:tblInd w:w="4" w:type="dxa"/>
        <w:tblCellMar>
          <w:top w:w="87" w:type="dxa"/>
          <w:left w:w="142" w:type="dxa"/>
          <w:right w:w="92" w:type="dxa"/>
        </w:tblCellMar>
        <w:tblLook w:val="04A0" w:firstRow="1" w:lastRow="0" w:firstColumn="1" w:lastColumn="0" w:noHBand="0" w:noVBand="1"/>
      </w:tblPr>
      <w:tblGrid>
        <w:gridCol w:w="1389"/>
        <w:gridCol w:w="1595"/>
        <w:gridCol w:w="1565"/>
        <w:gridCol w:w="2986"/>
        <w:gridCol w:w="1573"/>
      </w:tblGrid>
      <w:tr w:rsidR="00472217" w:rsidRPr="00472217" w14:paraId="14CCAD50" w14:textId="77777777" w:rsidTr="00A4649E">
        <w:trPr>
          <w:trHeight w:val="244"/>
        </w:trPr>
        <w:tc>
          <w:tcPr>
            <w:tcW w:w="1389" w:type="dxa"/>
            <w:vMerge w:val="restart"/>
            <w:tcBorders>
              <w:top w:val="single" w:sz="4" w:space="0" w:color="54883D"/>
              <w:left w:val="single" w:sz="4" w:space="0" w:color="54883D"/>
              <w:bottom w:val="single" w:sz="4" w:space="0" w:color="54883D"/>
              <w:right w:val="single" w:sz="4" w:space="0" w:color="54883D"/>
            </w:tcBorders>
            <w:shd w:val="clear" w:color="auto" w:fill="FFC000"/>
            <w:vAlign w:val="center"/>
          </w:tcPr>
          <w:p w14:paraId="202DB2FE" w14:textId="77777777" w:rsidR="00472217" w:rsidRPr="00472217" w:rsidRDefault="00472217" w:rsidP="00472217">
            <w:pPr>
              <w:spacing w:after="0" w:line="259" w:lineRule="auto"/>
              <w:ind w:left="0" w:right="56" w:firstLine="0"/>
              <w:jc w:val="center"/>
              <w:rPr>
                <w:rFonts w:ascii="Times New Roman" w:hAnsi="Times New Roman" w:cs="Times New Roman"/>
              </w:rPr>
            </w:pPr>
            <w:r w:rsidRPr="00472217">
              <w:rPr>
                <w:rFonts w:ascii="Times New Roman" w:hAnsi="Times New Roman" w:cs="Times New Roman"/>
                <w:b/>
              </w:rPr>
              <w:t xml:space="preserve">Kategorija </w:t>
            </w:r>
          </w:p>
        </w:tc>
        <w:tc>
          <w:tcPr>
            <w:tcW w:w="1595" w:type="dxa"/>
            <w:tcBorders>
              <w:top w:val="single" w:sz="4" w:space="0" w:color="54883D"/>
              <w:left w:val="single" w:sz="4" w:space="0" w:color="54883D"/>
              <w:bottom w:val="single" w:sz="4" w:space="0" w:color="54883D"/>
              <w:right w:val="nil"/>
            </w:tcBorders>
            <w:shd w:val="clear" w:color="auto" w:fill="FFC000"/>
          </w:tcPr>
          <w:p w14:paraId="14386CA1" w14:textId="77777777" w:rsidR="00472217" w:rsidRPr="00472217" w:rsidRDefault="00472217" w:rsidP="00472217">
            <w:pPr>
              <w:spacing w:after="160" w:line="259" w:lineRule="auto"/>
              <w:ind w:left="0" w:right="0" w:firstLine="0"/>
              <w:jc w:val="left"/>
              <w:rPr>
                <w:rFonts w:ascii="Times New Roman" w:hAnsi="Times New Roman" w:cs="Times New Roman"/>
              </w:rPr>
            </w:pPr>
          </w:p>
        </w:tc>
        <w:tc>
          <w:tcPr>
            <w:tcW w:w="4551" w:type="dxa"/>
            <w:gridSpan w:val="2"/>
            <w:tcBorders>
              <w:top w:val="single" w:sz="4" w:space="0" w:color="54883D"/>
              <w:left w:val="nil"/>
              <w:bottom w:val="single" w:sz="4" w:space="0" w:color="54883D"/>
              <w:right w:val="nil"/>
            </w:tcBorders>
            <w:shd w:val="clear" w:color="auto" w:fill="FFC000"/>
          </w:tcPr>
          <w:p w14:paraId="53AC125C" w14:textId="77777777" w:rsidR="00472217" w:rsidRPr="00472217" w:rsidRDefault="00472217" w:rsidP="00472217">
            <w:pPr>
              <w:spacing w:after="0" w:line="259" w:lineRule="auto"/>
              <w:ind w:left="0" w:right="84" w:firstLine="0"/>
              <w:jc w:val="center"/>
              <w:rPr>
                <w:rFonts w:ascii="Times New Roman" w:hAnsi="Times New Roman" w:cs="Times New Roman"/>
              </w:rPr>
            </w:pPr>
            <w:r w:rsidRPr="00472217">
              <w:rPr>
                <w:rFonts w:ascii="Times New Roman" w:hAnsi="Times New Roman" w:cs="Times New Roman"/>
                <w:b/>
              </w:rPr>
              <w:t xml:space="preserve">VJEROJATNOST/FREKVENCIJA </w:t>
            </w:r>
          </w:p>
        </w:tc>
        <w:tc>
          <w:tcPr>
            <w:tcW w:w="1573" w:type="dxa"/>
            <w:tcBorders>
              <w:top w:val="single" w:sz="4" w:space="0" w:color="54883D"/>
              <w:left w:val="nil"/>
              <w:bottom w:val="single" w:sz="4" w:space="0" w:color="54883D"/>
              <w:right w:val="single" w:sz="4" w:space="0" w:color="54883D"/>
            </w:tcBorders>
            <w:shd w:val="clear" w:color="auto" w:fill="FFC000"/>
          </w:tcPr>
          <w:p w14:paraId="0B494444" w14:textId="77777777" w:rsidR="00472217" w:rsidRPr="00472217" w:rsidRDefault="00472217" w:rsidP="00472217">
            <w:pPr>
              <w:spacing w:after="160" w:line="259" w:lineRule="auto"/>
              <w:ind w:left="0" w:right="0" w:firstLine="0"/>
              <w:jc w:val="left"/>
              <w:rPr>
                <w:rFonts w:ascii="Times New Roman" w:hAnsi="Times New Roman" w:cs="Times New Roman"/>
              </w:rPr>
            </w:pPr>
          </w:p>
        </w:tc>
      </w:tr>
      <w:tr w:rsidR="00472217" w:rsidRPr="00472217" w14:paraId="3C34F04C" w14:textId="77777777" w:rsidTr="00A4649E">
        <w:trPr>
          <w:trHeight w:val="242"/>
        </w:trPr>
        <w:tc>
          <w:tcPr>
            <w:tcW w:w="0" w:type="auto"/>
            <w:vMerge/>
            <w:tcBorders>
              <w:top w:val="nil"/>
              <w:left w:val="single" w:sz="4" w:space="0" w:color="54883D"/>
              <w:bottom w:val="single" w:sz="4" w:space="0" w:color="54883D"/>
              <w:right w:val="single" w:sz="4" w:space="0" w:color="54883D"/>
            </w:tcBorders>
          </w:tcPr>
          <w:p w14:paraId="0B2189EB" w14:textId="77777777" w:rsidR="00472217" w:rsidRPr="00472217" w:rsidRDefault="00472217" w:rsidP="00472217">
            <w:pPr>
              <w:spacing w:after="160" w:line="259" w:lineRule="auto"/>
              <w:ind w:left="0" w:right="0" w:firstLine="0"/>
              <w:jc w:val="left"/>
              <w:rPr>
                <w:rFonts w:ascii="Times New Roman" w:hAnsi="Times New Roman" w:cs="Times New Roman"/>
              </w:rPr>
            </w:pPr>
          </w:p>
        </w:tc>
        <w:tc>
          <w:tcPr>
            <w:tcW w:w="1595" w:type="dxa"/>
            <w:tcBorders>
              <w:top w:val="single" w:sz="4" w:space="0" w:color="54883D"/>
              <w:left w:val="single" w:sz="4" w:space="0" w:color="54883D"/>
              <w:bottom w:val="single" w:sz="4" w:space="0" w:color="54883D"/>
              <w:right w:val="single" w:sz="4" w:space="0" w:color="54883D"/>
            </w:tcBorders>
            <w:shd w:val="clear" w:color="auto" w:fill="FFC000"/>
          </w:tcPr>
          <w:p w14:paraId="20B4A429" w14:textId="77777777" w:rsidR="00472217" w:rsidRPr="00472217" w:rsidRDefault="00472217" w:rsidP="00472217">
            <w:pPr>
              <w:spacing w:after="0" w:line="259" w:lineRule="auto"/>
              <w:ind w:left="0" w:right="50" w:firstLine="0"/>
              <w:jc w:val="center"/>
              <w:rPr>
                <w:rFonts w:ascii="Times New Roman" w:hAnsi="Times New Roman" w:cs="Times New Roman"/>
              </w:rPr>
            </w:pPr>
            <w:r w:rsidRPr="00472217">
              <w:rPr>
                <w:rFonts w:ascii="Times New Roman" w:hAnsi="Times New Roman" w:cs="Times New Roman"/>
                <w:b/>
              </w:rPr>
              <w:t xml:space="preserve">Kvalitativno </w:t>
            </w:r>
          </w:p>
        </w:tc>
        <w:tc>
          <w:tcPr>
            <w:tcW w:w="1565" w:type="dxa"/>
            <w:tcBorders>
              <w:top w:val="single" w:sz="4" w:space="0" w:color="54883D"/>
              <w:left w:val="single" w:sz="4" w:space="0" w:color="54883D"/>
              <w:bottom w:val="single" w:sz="4" w:space="0" w:color="54883D"/>
              <w:right w:val="single" w:sz="4" w:space="0" w:color="54883D"/>
            </w:tcBorders>
            <w:shd w:val="clear" w:color="auto" w:fill="FFC000"/>
          </w:tcPr>
          <w:p w14:paraId="4D0A7DAE" w14:textId="77777777" w:rsidR="00472217" w:rsidRPr="00472217" w:rsidRDefault="00472217" w:rsidP="00472217">
            <w:pPr>
              <w:spacing w:after="0" w:line="259" w:lineRule="auto"/>
              <w:ind w:left="0" w:right="51" w:firstLine="0"/>
              <w:jc w:val="center"/>
              <w:rPr>
                <w:rFonts w:ascii="Times New Roman" w:hAnsi="Times New Roman" w:cs="Times New Roman"/>
              </w:rPr>
            </w:pPr>
            <w:r w:rsidRPr="00472217">
              <w:rPr>
                <w:rFonts w:ascii="Times New Roman" w:hAnsi="Times New Roman" w:cs="Times New Roman"/>
                <w:b/>
              </w:rPr>
              <w:t xml:space="preserve">Vjerojatnost </w:t>
            </w:r>
          </w:p>
        </w:tc>
        <w:tc>
          <w:tcPr>
            <w:tcW w:w="2985" w:type="dxa"/>
            <w:tcBorders>
              <w:top w:val="single" w:sz="4" w:space="0" w:color="54883D"/>
              <w:left w:val="single" w:sz="4" w:space="0" w:color="54883D"/>
              <w:bottom w:val="single" w:sz="4" w:space="0" w:color="54883D"/>
              <w:right w:val="single" w:sz="4" w:space="0" w:color="54883D"/>
            </w:tcBorders>
            <w:shd w:val="clear" w:color="auto" w:fill="FFC000"/>
          </w:tcPr>
          <w:p w14:paraId="26844C50" w14:textId="77777777" w:rsidR="00472217" w:rsidRPr="00472217" w:rsidRDefault="00472217" w:rsidP="00472217">
            <w:pPr>
              <w:spacing w:after="0" w:line="259" w:lineRule="auto"/>
              <w:ind w:left="0" w:right="58" w:firstLine="0"/>
              <w:jc w:val="center"/>
              <w:rPr>
                <w:rFonts w:ascii="Times New Roman" w:hAnsi="Times New Roman" w:cs="Times New Roman"/>
              </w:rPr>
            </w:pPr>
            <w:r w:rsidRPr="00472217">
              <w:rPr>
                <w:rFonts w:ascii="Times New Roman" w:hAnsi="Times New Roman" w:cs="Times New Roman"/>
                <w:b/>
              </w:rPr>
              <w:t xml:space="preserve">Frekvencija </w:t>
            </w:r>
          </w:p>
        </w:tc>
        <w:tc>
          <w:tcPr>
            <w:tcW w:w="1573" w:type="dxa"/>
            <w:tcBorders>
              <w:top w:val="single" w:sz="4" w:space="0" w:color="54883D"/>
              <w:left w:val="single" w:sz="4" w:space="0" w:color="54883D"/>
              <w:bottom w:val="single" w:sz="4" w:space="0" w:color="54883D"/>
              <w:right w:val="single" w:sz="4" w:space="0" w:color="54883D"/>
            </w:tcBorders>
            <w:shd w:val="clear" w:color="auto" w:fill="FFC000"/>
          </w:tcPr>
          <w:p w14:paraId="3C705335" w14:textId="77777777" w:rsidR="00472217" w:rsidRPr="00472217" w:rsidRDefault="00472217" w:rsidP="00472217">
            <w:pPr>
              <w:spacing w:after="0" w:line="259" w:lineRule="auto"/>
              <w:ind w:left="48" w:right="0" w:firstLine="0"/>
              <w:jc w:val="left"/>
              <w:rPr>
                <w:rFonts w:ascii="Times New Roman" w:hAnsi="Times New Roman" w:cs="Times New Roman"/>
              </w:rPr>
            </w:pPr>
            <w:r w:rsidRPr="00472217">
              <w:rPr>
                <w:rFonts w:ascii="Times New Roman" w:hAnsi="Times New Roman" w:cs="Times New Roman"/>
                <w:b/>
              </w:rPr>
              <w:t xml:space="preserve">ODABRANO </w:t>
            </w:r>
          </w:p>
        </w:tc>
      </w:tr>
      <w:tr w:rsidR="00472217" w:rsidRPr="00472217" w14:paraId="6E3828E1" w14:textId="77777777" w:rsidTr="00A4649E">
        <w:trPr>
          <w:trHeight w:val="246"/>
        </w:trPr>
        <w:tc>
          <w:tcPr>
            <w:tcW w:w="1389" w:type="dxa"/>
            <w:tcBorders>
              <w:top w:val="single" w:sz="4" w:space="0" w:color="54883D"/>
              <w:left w:val="single" w:sz="4" w:space="0" w:color="54883D"/>
              <w:bottom w:val="single" w:sz="4" w:space="0" w:color="54883D"/>
              <w:right w:val="single" w:sz="4" w:space="0" w:color="54883D"/>
            </w:tcBorders>
          </w:tcPr>
          <w:p w14:paraId="55F3577E" w14:textId="77777777" w:rsidR="00472217" w:rsidRPr="00472217" w:rsidRDefault="00472217" w:rsidP="00472217">
            <w:pPr>
              <w:spacing w:after="0" w:line="259" w:lineRule="auto"/>
              <w:ind w:left="0" w:right="53" w:firstLine="0"/>
              <w:jc w:val="center"/>
              <w:rPr>
                <w:rFonts w:ascii="Times New Roman" w:hAnsi="Times New Roman" w:cs="Times New Roman"/>
              </w:rPr>
            </w:pPr>
            <w:r w:rsidRPr="00472217">
              <w:rPr>
                <w:rFonts w:ascii="Times New Roman" w:hAnsi="Times New Roman" w:cs="Times New Roman"/>
                <w:b/>
              </w:rPr>
              <w:t xml:space="preserve">1 </w:t>
            </w:r>
          </w:p>
        </w:tc>
        <w:tc>
          <w:tcPr>
            <w:tcW w:w="1595" w:type="dxa"/>
            <w:tcBorders>
              <w:top w:val="single" w:sz="4" w:space="0" w:color="54883D"/>
              <w:left w:val="single" w:sz="4" w:space="0" w:color="54883D"/>
              <w:bottom w:val="single" w:sz="4" w:space="0" w:color="54883D"/>
              <w:right w:val="single" w:sz="4" w:space="0" w:color="54883D"/>
            </w:tcBorders>
          </w:tcPr>
          <w:p w14:paraId="73706C57" w14:textId="77777777" w:rsidR="00472217" w:rsidRPr="00472217" w:rsidRDefault="00472217" w:rsidP="00472217">
            <w:pPr>
              <w:spacing w:after="0" w:line="259" w:lineRule="auto"/>
              <w:ind w:left="0" w:right="53" w:firstLine="0"/>
              <w:jc w:val="center"/>
              <w:rPr>
                <w:rFonts w:ascii="Times New Roman" w:hAnsi="Times New Roman" w:cs="Times New Roman"/>
              </w:rPr>
            </w:pPr>
            <w:r w:rsidRPr="00472217">
              <w:rPr>
                <w:rFonts w:ascii="Times New Roman" w:hAnsi="Times New Roman" w:cs="Times New Roman"/>
              </w:rPr>
              <w:t xml:space="preserve">Iznimno mala </w:t>
            </w:r>
          </w:p>
        </w:tc>
        <w:tc>
          <w:tcPr>
            <w:tcW w:w="1565" w:type="dxa"/>
            <w:tcBorders>
              <w:top w:val="single" w:sz="4" w:space="0" w:color="54883D"/>
              <w:left w:val="single" w:sz="4" w:space="0" w:color="54883D"/>
              <w:bottom w:val="single" w:sz="4" w:space="0" w:color="54883D"/>
              <w:right w:val="single" w:sz="4" w:space="0" w:color="54883D"/>
            </w:tcBorders>
          </w:tcPr>
          <w:p w14:paraId="3AF93134" w14:textId="77777777" w:rsidR="00472217" w:rsidRPr="00472217" w:rsidRDefault="00472217" w:rsidP="00472217">
            <w:pPr>
              <w:spacing w:after="0" w:line="259" w:lineRule="auto"/>
              <w:ind w:left="0" w:right="50" w:firstLine="0"/>
              <w:jc w:val="center"/>
              <w:rPr>
                <w:rFonts w:ascii="Times New Roman" w:hAnsi="Times New Roman" w:cs="Times New Roman"/>
              </w:rPr>
            </w:pPr>
            <w:r w:rsidRPr="00472217">
              <w:rPr>
                <w:rFonts w:ascii="Times New Roman" w:hAnsi="Times New Roman" w:cs="Times New Roman"/>
              </w:rPr>
              <w:t xml:space="preserve">&lt;1 % </w:t>
            </w:r>
          </w:p>
        </w:tc>
        <w:tc>
          <w:tcPr>
            <w:tcW w:w="2985" w:type="dxa"/>
            <w:tcBorders>
              <w:top w:val="single" w:sz="4" w:space="0" w:color="54883D"/>
              <w:left w:val="single" w:sz="4" w:space="0" w:color="54883D"/>
              <w:bottom w:val="single" w:sz="4" w:space="0" w:color="54883D"/>
              <w:right w:val="single" w:sz="4" w:space="0" w:color="54883D"/>
            </w:tcBorders>
          </w:tcPr>
          <w:p w14:paraId="04E16B71" w14:textId="77777777" w:rsidR="00472217" w:rsidRPr="00472217" w:rsidRDefault="00472217" w:rsidP="00472217">
            <w:pPr>
              <w:spacing w:after="0" w:line="259" w:lineRule="auto"/>
              <w:ind w:left="0" w:right="0" w:firstLine="0"/>
              <w:jc w:val="left"/>
              <w:rPr>
                <w:rFonts w:ascii="Times New Roman" w:hAnsi="Times New Roman" w:cs="Times New Roman"/>
              </w:rPr>
            </w:pPr>
            <w:r w:rsidRPr="00472217">
              <w:rPr>
                <w:rFonts w:ascii="Times New Roman" w:hAnsi="Times New Roman" w:cs="Times New Roman"/>
              </w:rPr>
              <w:t xml:space="preserve">1 događaj u 100 godina i rjeđe </w:t>
            </w:r>
          </w:p>
        </w:tc>
        <w:tc>
          <w:tcPr>
            <w:tcW w:w="1573" w:type="dxa"/>
            <w:tcBorders>
              <w:top w:val="single" w:sz="4" w:space="0" w:color="54883D"/>
              <w:left w:val="single" w:sz="4" w:space="0" w:color="54883D"/>
              <w:bottom w:val="single" w:sz="4" w:space="0" w:color="54883D"/>
              <w:right w:val="single" w:sz="4" w:space="0" w:color="54883D"/>
            </w:tcBorders>
          </w:tcPr>
          <w:p w14:paraId="56E36F78" w14:textId="77777777" w:rsidR="00472217" w:rsidRPr="00472217" w:rsidRDefault="00472217" w:rsidP="00472217">
            <w:pPr>
              <w:spacing w:after="0" w:line="259" w:lineRule="auto"/>
              <w:ind w:left="0" w:right="47" w:firstLine="0"/>
              <w:jc w:val="center"/>
              <w:rPr>
                <w:rFonts w:ascii="Times New Roman" w:hAnsi="Times New Roman" w:cs="Times New Roman"/>
              </w:rPr>
            </w:pPr>
            <w:r w:rsidRPr="00472217">
              <w:rPr>
                <w:rFonts w:ascii="Times New Roman" w:hAnsi="Times New Roman" w:cs="Times New Roman"/>
              </w:rPr>
              <w:t xml:space="preserve">x </w:t>
            </w:r>
          </w:p>
        </w:tc>
      </w:tr>
      <w:tr w:rsidR="00472217" w:rsidRPr="00472217" w14:paraId="6BA2BBF4" w14:textId="77777777" w:rsidTr="00A4649E">
        <w:trPr>
          <w:trHeight w:val="243"/>
        </w:trPr>
        <w:tc>
          <w:tcPr>
            <w:tcW w:w="1389" w:type="dxa"/>
            <w:tcBorders>
              <w:top w:val="single" w:sz="4" w:space="0" w:color="54883D"/>
              <w:left w:val="single" w:sz="4" w:space="0" w:color="54883D"/>
              <w:bottom w:val="single" w:sz="4" w:space="0" w:color="54883D"/>
              <w:right w:val="single" w:sz="4" w:space="0" w:color="54883D"/>
            </w:tcBorders>
            <w:shd w:val="clear" w:color="auto" w:fill="FFC000"/>
          </w:tcPr>
          <w:p w14:paraId="7B853B37" w14:textId="77777777" w:rsidR="00472217" w:rsidRPr="00472217" w:rsidRDefault="00472217" w:rsidP="00472217">
            <w:pPr>
              <w:spacing w:after="0" w:line="259" w:lineRule="auto"/>
              <w:ind w:left="0" w:right="53" w:firstLine="0"/>
              <w:jc w:val="center"/>
              <w:rPr>
                <w:rFonts w:ascii="Times New Roman" w:hAnsi="Times New Roman" w:cs="Times New Roman"/>
              </w:rPr>
            </w:pPr>
            <w:r w:rsidRPr="00472217">
              <w:rPr>
                <w:rFonts w:ascii="Times New Roman" w:hAnsi="Times New Roman" w:cs="Times New Roman"/>
                <w:b/>
              </w:rPr>
              <w:t xml:space="preserve">2 </w:t>
            </w:r>
          </w:p>
        </w:tc>
        <w:tc>
          <w:tcPr>
            <w:tcW w:w="1595" w:type="dxa"/>
            <w:tcBorders>
              <w:top w:val="single" w:sz="4" w:space="0" w:color="54883D"/>
              <w:left w:val="single" w:sz="4" w:space="0" w:color="54883D"/>
              <w:bottom w:val="single" w:sz="4" w:space="0" w:color="54883D"/>
              <w:right w:val="single" w:sz="4" w:space="0" w:color="54883D"/>
            </w:tcBorders>
            <w:shd w:val="clear" w:color="auto" w:fill="FFC000"/>
          </w:tcPr>
          <w:p w14:paraId="413DBA5F" w14:textId="77777777" w:rsidR="00472217" w:rsidRPr="00472217" w:rsidRDefault="00472217" w:rsidP="00472217">
            <w:pPr>
              <w:spacing w:after="0" w:line="259" w:lineRule="auto"/>
              <w:ind w:left="0" w:right="55" w:firstLine="0"/>
              <w:jc w:val="center"/>
              <w:rPr>
                <w:rFonts w:ascii="Times New Roman" w:hAnsi="Times New Roman" w:cs="Times New Roman"/>
              </w:rPr>
            </w:pPr>
            <w:r w:rsidRPr="00472217">
              <w:rPr>
                <w:rFonts w:ascii="Times New Roman" w:hAnsi="Times New Roman" w:cs="Times New Roman"/>
              </w:rPr>
              <w:t xml:space="preserve">Mala </w:t>
            </w:r>
          </w:p>
        </w:tc>
        <w:tc>
          <w:tcPr>
            <w:tcW w:w="1565" w:type="dxa"/>
            <w:tcBorders>
              <w:top w:val="single" w:sz="4" w:space="0" w:color="54883D"/>
              <w:left w:val="single" w:sz="4" w:space="0" w:color="54883D"/>
              <w:bottom w:val="single" w:sz="4" w:space="0" w:color="54883D"/>
              <w:right w:val="single" w:sz="4" w:space="0" w:color="54883D"/>
            </w:tcBorders>
            <w:shd w:val="clear" w:color="auto" w:fill="FFC000"/>
          </w:tcPr>
          <w:p w14:paraId="78239F0E" w14:textId="77777777" w:rsidR="00472217" w:rsidRPr="00472217" w:rsidRDefault="00472217" w:rsidP="00472217">
            <w:pPr>
              <w:spacing w:after="0" w:line="259" w:lineRule="auto"/>
              <w:ind w:left="0" w:right="53" w:firstLine="0"/>
              <w:jc w:val="center"/>
              <w:rPr>
                <w:rFonts w:ascii="Times New Roman" w:hAnsi="Times New Roman" w:cs="Times New Roman"/>
              </w:rPr>
            </w:pPr>
            <w:r w:rsidRPr="00472217">
              <w:rPr>
                <w:rFonts w:ascii="Times New Roman" w:hAnsi="Times New Roman" w:cs="Times New Roman"/>
              </w:rPr>
              <w:t xml:space="preserve">1 – 5 % </w:t>
            </w:r>
          </w:p>
        </w:tc>
        <w:tc>
          <w:tcPr>
            <w:tcW w:w="2985" w:type="dxa"/>
            <w:tcBorders>
              <w:top w:val="single" w:sz="4" w:space="0" w:color="54883D"/>
              <w:left w:val="single" w:sz="4" w:space="0" w:color="54883D"/>
              <w:bottom w:val="single" w:sz="4" w:space="0" w:color="54883D"/>
              <w:right w:val="single" w:sz="4" w:space="0" w:color="54883D"/>
            </w:tcBorders>
            <w:shd w:val="clear" w:color="auto" w:fill="FFC000"/>
          </w:tcPr>
          <w:p w14:paraId="0999E668" w14:textId="77777777" w:rsidR="00472217" w:rsidRPr="00472217" w:rsidRDefault="00472217" w:rsidP="00472217">
            <w:pPr>
              <w:spacing w:after="0" w:line="259" w:lineRule="auto"/>
              <w:ind w:left="22" w:right="0" w:firstLine="0"/>
              <w:jc w:val="left"/>
              <w:rPr>
                <w:rFonts w:ascii="Times New Roman" w:hAnsi="Times New Roman" w:cs="Times New Roman"/>
              </w:rPr>
            </w:pPr>
            <w:r w:rsidRPr="00472217">
              <w:rPr>
                <w:rFonts w:ascii="Times New Roman" w:hAnsi="Times New Roman" w:cs="Times New Roman"/>
              </w:rPr>
              <w:t xml:space="preserve">1 događaj u 20 do 100 godina </w:t>
            </w:r>
          </w:p>
        </w:tc>
        <w:tc>
          <w:tcPr>
            <w:tcW w:w="1573" w:type="dxa"/>
            <w:tcBorders>
              <w:top w:val="single" w:sz="4" w:space="0" w:color="54883D"/>
              <w:left w:val="single" w:sz="4" w:space="0" w:color="54883D"/>
              <w:bottom w:val="single" w:sz="4" w:space="0" w:color="54883D"/>
              <w:right w:val="single" w:sz="4" w:space="0" w:color="54883D"/>
            </w:tcBorders>
            <w:shd w:val="clear" w:color="auto" w:fill="FFC000"/>
          </w:tcPr>
          <w:p w14:paraId="7028E33E" w14:textId="77777777" w:rsidR="00472217" w:rsidRPr="00472217" w:rsidRDefault="00472217" w:rsidP="00472217">
            <w:pPr>
              <w:spacing w:after="0" w:line="259" w:lineRule="auto"/>
              <w:ind w:left="9" w:right="0" w:firstLine="0"/>
              <w:jc w:val="center"/>
              <w:rPr>
                <w:rFonts w:ascii="Times New Roman" w:hAnsi="Times New Roman" w:cs="Times New Roman"/>
              </w:rPr>
            </w:pPr>
            <w:r w:rsidRPr="00472217">
              <w:rPr>
                <w:rFonts w:ascii="Times New Roman" w:hAnsi="Times New Roman" w:cs="Times New Roman"/>
              </w:rPr>
              <w:t xml:space="preserve"> </w:t>
            </w:r>
          </w:p>
        </w:tc>
      </w:tr>
      <w:tr w:rsidR="00472217" w:rsidRPr="00472217" w14:paraId="5F631D12" w14:textId="77777777" w:rsidTr="00A4649E">
        <w:trPr>
          <w:trHeight w:val="245"/>
        </w:trPr>
        <w:tc>
          <w:tcPr>
            <w:tcW w:w="1389" w:type="dxa"/>
            <w:tcBorders>
              <w:top w:val="single" w:sz="4" w:space="0" w:color="54883D"/>
              <w:left w:val="single" w:sz="4" w:space="0" w:color="54883D"/>
              <w:bottom w:val="single" w:sz="4" w:space="0" w:color="54883D"/>
              <w:right w:val="single" w:sz="4" w:space="0" w:color="54883D"/>
            </w:tcBorders>
          </w:tcPr>
          <w:p w14:paraId="5D117859" w14:textId="77777777" w:rsidR="00472217" w:rsidRPr="00472217" w:rsidRDefault="00472217" w:rsidP="00472217">
            <w:pPr>
              <w:spacing w:after="0" w:line="259" w:lineRule="auto"/>
              <w:ind w:left="0" w:right="53" w:firstLine="0"/>
              <w:jc w:val="center"/>
              <w:rPr>
                <w:rFonts w:ascii="Times New Roman" w:hAnsi="Times New Roman" w:cs="Times New Roman"/>
              </w:rPr>
            </w:pPr>
            <w:r w:rsidRPr="00472217">
              <w:rPr>
                <w:rFonts w:ascii="Times New Roman" w:hAnsi="Times New Roman" w:cs="Times New Roman"/>
                <w:b/>
              </w:rPr>
              <w:t xml:space="preserve">3 </w:t>
            </w:r>
          </w:p>
        </w:tc>
        <w:tc>
          <w:tcPr>
            <w:tcW w:w="1595" w:type="dxa"/>
            <w:tcBorders>
              <w:top w:val="single" w:sz="4" w:space="0" w:color="54883D"/>
              <w:left w:val="single" w:sz="4" w:space="0" w:color="54883D"/>
              <w:bottom w:val="single" w:sz="4" w:space="0" w:color="54883D"/>
              <w:right w:val="single" w:sz="4" w:space="0" w:color="54883D"/>
            </w:tcBorders>
          </w:tcPr>
          <w:p w14:paraId="0242E027" w14:textId="77777777" w:rsidR="00472217" w:rsidRPr="00472217" w:rsidRDefault="00472217" w:rsidP="00472217">
            <w:pPr>
              <w:spacing w:after="0" w:line="259" w:lineRule="auto"/>
              <w:ind w:left="0" w:right="53" w:firstLine="0"/>
              <w:jc w:val="center"/>
              <w:rPr>
                <w:rFonts w:ascii="Times New Roman" w:hAnsi="Times New Roman" w:cs="Times New Roman"/>
              </w:rPr>
            </w:pPr>
            <w:r w:rsidRPr="00472217">
              <w:rPr>
                <w:rFonts w:ascii="Times New Roman" w:hAnsi="Times New Roman" w:cs="Times New Roman"/>
              </w:rPr>
              <w:t xml:space="preserve">Umjerena </w:t>
            </w:r>
          </w:p>
        </w:tc>
        <w:tc>
          <w:tcPr>
            <w:tcW w:w="1565" w:type="dxa"/>
            <w:tcBorders>
              <w:top w:val="single" w:sz="4" w:space="0" w:color="54883D"/>
              <w:left w:val="single" w:sz="4" w:space="0" w:color="54883D"/>
              <w:bottom w:val="single" w:sz="4" w:space="0" w:color="54883D"/>
              <w:right w:val="single" w:sz="4" w:space="0" w:color="54883D"/>
            </w:tcBorders>
          </w:tcPr>
          <w:p w14:paraId="5A9DE845" w14:textId="77777777" w:rsidR="00472217" w:rsidRPr="00472217" w:rsidRDefault="00472217" w:rsidP="00472217">
            <w:pPr>
              <w:spacing w:after="0" w:line="259" w:lineRule="auto"/>
              <w:ind w:left="0" w:right="53" w:firstLine="0"/>
              <w:jc w:val="center"/>
              <w:rPr>
                <w:rFonts w:ascii="Times New Roman" w:hAnsi="Times New Roman" w:cs="Times New Roman"/>
              </w:rPr>
            </w:pPr>
            <w:r w:rsidRPr="00472217">
              <w:rPr>
                <w:rFonts w:ascii="Times New Roman" w:hAnsi="Times New Roman" w:cs="Times New Roman"/>
              </w:rPr>
              <w:t xml:space="preserve">5 – 50 % </w:t>
            </w:r>
          </w:p>
        </w:tc>
        <w:tc>
          <w:tcPr>
            <w:tcW w:w="2985" w:type="dxa"/>
            <w:tcBorders>
              <w:top w:val="single" w:sz="4" w:space="0" w:color="54883D"/>
              <w:left w:val="single" w:sz="4" w:space="0" w:color="54883D"/>
              <w:bottom w:val="single" w:sz="4" w:space="0" w:color="54883D"/>
              <w:right w:val="single" w:sz="4" w:space="0" w:color="54883D"/>
            </w:tcBorders>
          </w:tcPr>
          <w:p w14:paraId="76E4906F" w14:textId="77777777" w:rsidR="00472217" w:rsidRPr="00472217" w:rsidRDefault="00472217" w:rsidP="00472217">
            <w:pPr>
              <w:spacing w:after="0" w:line="259" w:lineRule="auto"/>
              <w:ind w:left="0" w:right="57" w:firstLine="0"/>
              <w:jc w:val="center"/>
              <w:rPr>
                <w:rFonts w:ascii="Times New Roman" w:hAnsi="Times New Roman" w:cs="Times New Roman"/>
              </w:rPr>
            </w:pPr>
            <w:r w:rsidRPr="00472217">
              <w:rPr>
                <w:rFonts w:ascii="Times New Roman" w:hAnsi="Times New Roman" w:cs="Times New Roman"/>
              </w:rPr>
              <w:t xml:space="preserve">1 događaj u 2 do 20 godina </w:t>
            </w:r>
          </w:p>
        </w:tc>
        <w:tc>
          <w:tcPr>
            <w:tcW w:w="1573" w:type="dxa"/>
            <w:tcBorders>
              <w:top w:val="single" w:sz="4" w:space="0" w:color="54883D"/>
              <w:left w:val="single" w:sz="4" w:space="0" w:color="54883D"/>
              <w:bottom w:val="single" w:sz="4" w:space="0" w:color="54883D"/>
              <w:right w:val="single" w:sz="4" w:space="0" w:color="54883D"/>
            </w:tcBorders>
          </w:tcPr>
          <w:p w14:paraId="3985DC59" w14:textId="77777777" w:rsidR="00472217" w:rsidRPr="00472217" w:rsidRDefault="00472217" w:rsidP="00472217">
            <w:pPr>
              <w:spacing w:after="0" w:line="259" w:lineRule="auto"/>
              <w:ind w:left="9" w:right="0" w:firstLine="0"/>
              <w:jc w:val="center"/>
              <w:rPr>
                <w:rFonts w:ascii="Times New Roman" w:hAnsi="Times New Roman" w:cs="Times New Roman"/>
              </w:rPr>
            </w:pPr>
            <w:r w:rsidRPr="00472217">
              <w:rPr>
                <w:rFonts w:ascii="Times New Roman" w:hAnsi="Times New Roman" w:cs="Times New Roman"/>
              </w:rPr>
              <w:t xml:space="preserve"> </w:t>
            </w:r>
          </w:p>
        </w:tc>
      </w:tr>
      <w:tr w:rsidR="00472217" w:rsidRPr="00472217" w14:paraId="6CCC447D" w14:textId="77777777" w:rsidTr="00A4649E">
        <w:trPr>
          <w:trHeight w:val="242"/>
        </w:trPr>
        <w:tc>
          <w:tcPr>
            <w:tcW w:w="1389" w:type="dxa"/>
            <w:tcBorders>
              <w:top w:val="single" w:sz="4" w:space="0" w:color="54883D"/>
              <w:left w:val="single" w:sz="4" w:space="0" w:color="54883D"/>
              <w:bottom w:val="single" w:sz="4" w:space="0" w:color="54883D"/>
              <w:right w:val="single" w:sz="4" w:space="0" w:color="54883D"/>
            </w:tcBorders>
            <w:shd w:val="clear" w:color="auto" w:fill="FFC000"/>
          </w:tcPr>
          <w:p w14:paraId="785F141A" w14:textId="77777777" w:rsidR="00472217" w:rsidRPr="00472217" w:rsidRDefault="00472217" w:rsidP="00472217">
            <w:pPr>
              <w:spacing w:after="0" w:line="259" w:lineRule="auto"/>
              <w:ind w:left="0" w:right="53" w:firstLine="0"/>
              <w:jc w:val="center"/>
              <w:rPr>
                <w:rFonts w:ascii="Times New Roman" w:hAnsi="Times New Roman" w:cs="Times New Roman"/>
              </w:rPr>
            </w:pPr>
            <w:r w:rsidRPr="00472217">
              <w:rPr>
                <w:rFonts w:ascii="Times New Roman" w:hAnsi="Times New Roman" w:cs="Times New Roman"/>
                <w:b/>
              </w:rPr>
              <w:t xml:space="preserve">4 </w:t>
            </w:r>
          </w:p>
        </w:tc>
        <w:tc>
          <w:tcPr>
            <w:tcW w:w="1595" w:type="dxa"/>
            <w:tcBorders>
              <w:top w:val="single" w:sz="4" w:space="0" w:color="54883D"/>
              <w:left w:val="single" w:sz="4" w:space="0" w:color="54883D"/>
              <w:bottom w:val="single" w:sz="4" w:space="0" w:color="54883D"/>
              <w:right w:val="single" w:sz="4" w:space="0" w:color="54883D"/>
            </w:tcBorders>
            <w:shd w:val="clear" w:color="auto" w:fill="FFC000"/>
          </w:tcPr>
          <w:p w14:paraId="72931E1B" w14:textId="77777777" w:rsidR="00472217" w:rsidRPr="00472217" w:rsidRDefault="00472217" w:rsidP="00472217">
            <w:pPr>
              <w:spacing w:after="0" w:line="259" w:lineRule="auto"/>
              <w:ind w:left="0" w:right="53" w:firstLine="0"/>
              <w:jc w:val="center"/>
              <w:rPr>
                <w:rFonts w:ascii="Times New Roman" w:hAnsi="Times New Roman" w:cs="Times New Roman"/>
              </w:rPr>
            </w:pPr>
            <w:r w:rsidRPr="00472217">
              <w:rPr>
                <w:rFonts w:ascii="Times New Roman" w:hAnsi="Times New Roman" w:cs="Times New Roman"/>
              </w:rPr>
              <w:t xml:space="preserve">Velika </w:t>
            </w:r>
          </w:p>
        </w:tc>
        <w:tc>
          <w:tcPr>
            <w:tcW w:w="1565" w:type="dxa"/>
            <w:tcBorders>
              <w:top w:val="single" w:sz="4" w:space="0" w:color="54883D"/>
              <w:left w:val="single" w:sz="4" w:space="0" w:color="54883D"/>
              <w:bottom w:val="single" w:sz="4" w:space="0" w:color="54883D"/>
              <w:right w:val="single" w:sz="4" w:space="0" w:color="54883D"/>
            </w:tcBorders>
            <w:shd w:val="clear" w:color="auto" w:fill="FFC000"/>
          </w:tcPr>
          <w:p w14:paraId="10F6EAF9" w14:textId="77777777" w:rsidR="00472217" w:rsidRPr="00472217" w:rsidRDefault="00472217" w:rsidP="00472217">
            <w:pPr>
              <w:spacing w:after="0" w:line="259" w:lineRule="auto"/>
              <w:ind w:left="0" w:right="53" w:firstLine="0"/>
              <w:jc w:val="center"/>
              <w:rPr>
                <w:rFonts w:ascii="Times New Roman" w:hAnsi="Times New Roman" w:cs="Times New Roman"/>
              </w:rPr>
            </w:pPr>
            <w:r w:rsidRPr="00472217">
              <w:rPr>
                <w:rFonts w:ascii="Times New Roman" w:hAnsi="Times New Roman" w:cs="Times New Roman"/>
              </w:rPr>
              <w:t xml:space="preserve">51 – 98 % </w:t>
            </w:r>
          </w:p>
        </w:tc>
        <w:tc>
          <w:tcPr>
            <w:tcW w:w="2985" w:type="dxa"/>
            <w:tcBorders>
              <w:top w:val="single" w:sz="4" w:space="0" w:color="54883D"/>
              <w:left w:val="single" w:sz="4" w:space="0" w:color="54883D"/>
              <w:bottom w:val="single" w:sz="4" w:space="0" w:color="54883D"/>
              <w:right w:val="single" w:sz="4" w:space="0" w:color="54883D"/>
            </w:tcBorders>
            <w:shd w:val="clear" w:color="auto" w:fill="FFC000"/>
          </w:tcPr>
          <w:p w14:paraId="6BA0FAFE" w14:textId="77777777" w:rsidR="00472217" w:rsidRPr="00472217" w:rsidRDefault="00472217" w:rsidP="00472217">
            <w:pPr>
              <w:spacing w:after="0" w:line="259" w:lineRule="auto"/>
              <w:ind w:left="0" w:right="56" w:firstLine="0"/>
              <w:jc w:val="center"/>
              <w:rPr>
                <w:rFonts w:ascii="Times New Roman" w:hAnsi="Times New Roman" w:cs="Times New Roman"/>
              </w:rPr>
            </w:pPr>
            <w:r w:rsidRPr="00472217">
              <w:rPr>
                <w:rFonts w:ascii="Times New Roman" w:hAnsi="Times New Roman" w:cs="Times New Roman"/>
              </w:rPr>
              <w:t xml:space="preserve">1 događaj 1 do 2 godine </w:t>
            </w:r>
          </w:p>
        </w:tc>
        <w:tc>
          <w:tcPr>
            <w:tcW w:w="1573" w:type="dxa"/>
            <w:tcBorders>
              <w:top w:val="single" w:sz="4" w:space="0" w:color="54883D"/>
              <w:left w:val="single" w:sz="4" w:space="0" w:color="54883D"/>
              <w:bottom w:val="single" w:sz="4" w:space="0" w:color="54883D"/>
              <w:right w:val="single" w:sz="4" w:space="0" w:color="54883D"/>
            </w:tcBorders>
            <w:shd w:val="clear" w:color="auto" w:fill="FFC000"/>
          </w:tcPr>
          <w:p w14:paraId="19C9C661" w14:textId="77777777" w:rsidR="00472217" w:rsidRPr="00472217" w:rsidRDefault="00472217" w:rsidP="00472217">
            <w:pPr>
              <w:spacing w:after="0" w:line="259" w:lineRule="auto"/>
              <w:ind w:left="9" w:right="0" w:firstLine="0"/>
              <w:jc w:val="center"/>
              <w:rPr>
                <w:rFonts w:ascii="Times New Roman" w:hAnsi="Times New Roman" w:cs="Times New Roman"/>
              </w:rPr>
            </w:pPr>
            <w:r w:rsidRPr="00472217">
              <w:rPr>
                <w:rFonts w:ascii="Times New Roman" w:hAnsi="Times New Roman" w:cs="Times New Roman"/>
              </w:rPr>
              <w:t xml:space="preserve"> </w:t>
            </w:r>
          </w:p>
        </w:tc>
      </w:tr>
      <w:tr w:rsidR="00472217" w:rsidRPr="00472217" w14:paraId="27FB1831" w14:textId="77777777" w:rsidTr="00A4649E">
        <w:trPr>
          <w:trHeight w:val="245"/>
        </w:trPr>
        <w:tc>
          <w:tcPr>
            <w:tcW w:w="1389" w:type="dxa"/>
            <w:tcBorders>
              <w:top w:val="single" w:sz="4" w:space="0" w:color="54883D"/>
              <w:left w:val="single" w:sz="4" w:space="0" w:color="54883D"/>
              <w:bottom w:val="single" w:sz="4" w:space="0" w:color="54883D"/>
              <w:right w:val="single" w:sz="4" w:space="0" w:color="54883D"/>
            </w:tcBorders>
          </w:tcPr>
          <w:p w14:paraId="736C53A9" w14:textId="77777777" w:rsidR="00472217" w:rsidRPr="00472217" w:rsidRDefault="00472217" w:rsidP="00472217">
            <w:pPr>
              <w:spacing w:after="0" w:line="259" w:lineRule="auto"/>
              <w:ind w:left="0" w:right="53" w:firstLine="0"/>
              <w:jc w:val="center"/>
              <w:rPr>
                <w:rFonts w:ascii="Times New Roman" w:hAnsi="Times New Roman" w:cs="Times New Roman"/>
              </w:rPr>
            </w:pPr>
            <w:r w:rsidRPr="00472217">
              <w:rPr>
                <w:rFonts w:ascii="Times New Roman" w:hAnsi="Times New Roman" w:cs="Times New Roman"/>
                <w:b/>
              </w:rPr>
              <w:t xml:space="preserve">5 </w:t>
            </w:r>
          </w:p>
        </w:tc>
        <w:tc>
          <w:tcPr>
            <w:tcW w:w="1595" w:type="dxa"/>
            <w:tcBorders>
              <w:top w:val="single" w:sz="4" w:space="0" w:color="54883D"/>
              <w:left w:val="single" w:sz="4" w:space="0" w:color="54883D"/>
              <w:bottom w:val="single" w:sz="4" w:space="0" w:color="54883D"/>
              <w:right w:val="single" w:sz="4" w:space="0" w:color="54883D"/>
            </w:tcBorders>
          </w:tcPr>
          <w:p w14:paraId="1DD27C19" w14:textId="77777777" w:rsidR="00472217" w:rsidRPr="00472217" w:rsidRDefault="00472217" w:rsidP="00472217">
            <w:pPr>
              <w:spacing w:after="0" w:line="259" w:lineRule="auto"/>
              <w:ind w:left="19" w:right="0" w:firstLine="0"/>
              <w:jc w:val="left"/>
              <w:rPr>
                <w:rFonts w:ascii="Times New Roman" w:hAnsi="Times New Roman" w:cs="Times New Roman"/>
              </w:rPr>
            </w:pPr>
            <w:r w:rsidRPr="00472217">
              <w:rPr>
                <w:rFonts w:ascii="Times New Roman" w:hAnsi="Times New Roman" w:cs="Times New Roman"/>
              </w:rPr>
              <w:t xml:space="preserve">Iznimno velika </w:t>
            </w:r>
          </w:p>
        </w:tc>
        <w:tc>
          <w:tcPr>
            <w:tcW w:w="1565" w:type="dxa"/>
            <w:tcBorders>
              <w:top w:val="single" w:sz="4" w:space="0" w:color="54883D"/>
              <w:left w:val="single" w:sz="4" w:space="0" w:color="54883D"/>
              <w:bottom w:val="single" w:sz="4" w:space="0" w:color="54883D"/>
              <w:right w:val="single" w:sz="4" w:space="0" w:color="54883D"/>
            </w:tcBorders>
          </w:tcPr>
          <w:p w14:paraId="2EEF8EBE" w14:textId="77777777" w:rsidR="00472217" w:rsidRPr="00472217" w:rsidRDefault="00472217" w:rsidP="00472217">
            <w:pPr>
              <w:spacing w:after="0" w:line="259" w:lineRule="auto"/>
              <w:ind w:left="0" w:right="50" w:firstLine="0"/>
              <w:jc w:val="center"/>
              <w:rPr>
                <w:rFonts w:ascii="Times New Roman" w:hAnsi="Times New Roman" w:cs="Times New Roman"/>
              </w:rPr>
            </w:pPr>
            <w:r w:rsidRPr="00472217">
              <w:rPr>
                <w:rFonts w:ascii="Times New Roman" w:hAnsi="Times New Roman" w:cs="Times New Roman"/>
              </w:rPr>
              <w:t xml:space="preserve">&gt; 98 % </w:t>
            </w:r>
          </w:p>
        </w:tc>
        <w:tc>
          <w:tcPr>
            <w:tcW w:w="2985" w:type="dxa"/>
            <w:tcBorders>
              <w:top w:val="single" w:sz="4" w:space="0" w:color="54883D"/>
              <w:left w:val="single" w:sz="4" w:space="0" w:color="54883D"/>
              <w:bottom w:val="single" w:sz="4" w:space="0" w:color="54883D"/>
              <w:right w:val="single" w:sz="4" w:space="0" w:color="54883D"/>
            </w:tcBorders>
          </w:tcPr>
          <w:p w14:paraId="3743E9B0" w14:textId="77777777" w:rsidR="00472217" w:rsidRPr="00472217" w:rsidRDefault="00472217" w:rsidP="00472217">
            <w:pPr>
              <w:spacing w:after="0" w:line="259" w:lineRule="auto"/>
              <w:ind w:left="0" w:right="58" w:firstLine="0"/>
              <w:jc w:val="center"/>
              <w:rPr>
                <w:rFonts w:ascii="Times New Roman" w:hAnsi="Times New Roman" w:cs="Times New Roman"/>
              </w:rPr>
            </w:pPr>
            <w:r w:rsidRPr="00472217">
              <w:rPr>
                <w:rFonts w:ascii="Times New Roman" w:hAnsi="Times New Roman" w:cs="Times New Roman"/>
              </w:rPr>
              <w:t xml:space="preserve">1 događaj godišnje ili češće </w:t>
            </w:r>
          </w:p>
        </w:tc>
        <w:tc>
          <w:tcPr>
            <w:tcW w:w="1573" w:type="dxa"/>
            <w:tcBorders>
              <w:top w:val="single" w:sz="4" w:space="0" w:color="54883D"/>
              <w:left w:val="single" w:sz="4" w:space="0" w:color="54883D"/>
              <w:bottom w:val="single" w:sz="4" w:space="0" w:color="54883D"/>
              <w:right w:val="single" w:sz="4" w:space="0" w:color="54883D"/>
            </w:tcBorders>
          </w:tcPr>
          <w:p w14:paraId="4368D689" w14:textId="77777777" w:rsidR="00472217" w:rsidRPr="00472217" w:rsidRDefault="00472217" w:rsidP="00472217">
            <w:pPr>
              <w:spacing w:after="0" w:line="259" w:lineRule="auto"/>
              <w:ind w:left="9" w:right="0" w:firstLine="0"/>
              <w:jc w:val="center"/>
              <w:rPr>
                <w:rFonts w:ascii="Times New Roman" w:hAnsi="Times New Roman" w:cs="Times New Roman"/>
              </w:rPr>
            </w:pPr>
            <w:r w:rsidRPr="00472217">
              <w:rPr>
                <w:rFonts w:ascii="Times New Roman" w:hAnsi="Times New Roman" w:cs="Times New Roman"/>
              </w:rPr>
              <w:t xml:space="preserve"> </w:t>
            </w:r>
          </w:p>
        </w:tc>
      </w:tr>
    </w:tbl>
    <w:p w14:paraId="1C7F972F" w14:textId="77777777" w:rsidR="00472217" w:rsidRPr="00472217" w:rsidRDefault="00472217" w:rsidP="00472217">
      <w:pPr>
        <w:spacing w:after="0" w:line="240" w:lineRule="auto"/>
        <w:ind w:left="0" w:right="0" w:firstLine="0"/>
        <w:rPr>
          <w:rFonts w:ascii="Times New Roman" w:hAnsi="Times New Roman" w:cs="Times New Roman"/>
          <w:b/>
          <w:sz w:val="24"/>
          <w:szCs w:val="24"/>
        </w:rPr>
      </w:pPr>
      <w:r w:rsidRPr="00472217">
        <w:rPr>
          <w:rFonts w:ascii="Times New Roman" w:hAnsi="Times New Roman" w:cs="Times New Roman"/>
          <w:b/>
          <w:sz w:val="24"/>
          <w:szCs w:val="24"/>
        </w:rPr>
        <w:t>6.8.5.2. Podaci, izvori i metode izračuna</w:t>
      </w:r>
    </w:p>
    <w:p w14:paraId="65D7B592"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1F5D9787" w14:textId="77777777" w:rsidR="00472217" w:rsidRPr="00472217" w:rsidRDefault="00472217" w:rsidP="006F21BC">
      <w:pPr>
        <w:autoSpaceDE w:val="0"/>
        <w:autoSpaceDN w:val="0"/>
        <w:adjustRightInd w:val="0"/>
        <w:spacing w:after="0" w:line="240" w:lineRule="auto"/>
        <w:ind w:left="0" w:right="0" w:firstLine="709"/>
        <w:rPr>
          <w:rFonts w:ascii="Times New Roman" w:eastAsiaTheme="minorHAnsi" w:hAnsi="Times New Roman" w:cs="Times New Roman"/>
          <w:color w:val="auto"/>
          <w:sz w:val="24"/>
          <w:szCs w:val="24"/>
          <w:u w:val="single"/>
          <w:lang w:eastAsia="en-US"/>
        </w:rPr>
      </w:pPr>
      <w:r w:rsidRPr="00472217">
        <w:rPr>
          <w:rFonts w:ascii="Times New Roman" w:eastAsiaTheme="minorHAnsi" w:hAnsi="Times New Roman" w:cs="Times New Roman"/>
          <w:color w:val="auto"/>
          <w:sz w:val="24"/>
          <w:szCs w:val="24"/>
          <w:u w:val="single"/>
          <w:lang w:eastAsia="en-US"/>
        </w:rPr>
        <w:t>Metodologija</w:t>
      </w:r>
    </w:p>
    <w:p w14:paraId="400D8F30" w14:textId="77777777" w:rsidR="00472217" w:rsidRPr="00472217" w:rsidRDefault="00472217" w:rsidP="006F21BC">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 xml:space="preserve">Tijekom izrade procjene rizika od klizišta korištene su heurističke metode procjene podložnosti na klizanje (za određivanje prostorne vjerojatnosti nastanka/aktiviranja klizišta), statističke metode procjene vremenske vjerojatnosti klizanja na osnovi procjene vremenske vjerojatnosti pokretača klizišta (oborine), kao i heurističke metode procjene rizika od klizišta, što je uključivalo kvantitativnu procjenu elemenata pod rizikom, kao i ukupne štete.  </w:t>
      </w:r>
    </w:p>
    <w:p w14:paraId="633B09D0"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6AF4678C" w14:textId="77777777" w:rsidR="00472217" w:rsidRPr="00472217" w:rsidRDefault="00472217" w:rsidP="00472217">
      <w:pPr>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 xml:space="preserve">Prilikom izračuna procjene rizika korišteni su podaci iz: </w:t>
      </w:r>
    </w:p>
    <w:p w14:paraId="3D3550C8" w14:textId="77777777" w:rsidR="00472217" w:rsidRPr="00472217" w:rsidRDefault="00472217" w:rsidP="006F21BC">
      <w:pPr>
        <w:numPr>
          <w:ilvl w:val="0"/>
          <w:numId w:val="17"/>
        </w:numPr>
        <w:spacing w:after="0" w:line="240" w:lineRule="auto"/>
        <w:ind w:left="567" w:right="0"/>
        <w:rPr>
          <w:rFonts w:ascii="Times New Roman" w:hAnsi="Times New Roman" w:cs="Times New Roman"/>
          <w:sz w:val="24"/>
          <w:szCs w:val="24"/>
        </w:rPr>
      </w:pPr>
      <w:r w:rsidRPr="00472217">
        <w:rPr>
          <w:rFonts w:ascii="Times New Roman" w:hAnsi="Times New Roman" w:cs="Times New Roman"/>
          <w:sz w:val="24"/>
          <w:szCs w:val="24"/>
        </w:rPr>
        <w:lastRenderedPageBreak/>
        <w:t xml:space="preserve">Procjene rizika od katastrofa za Republiku Hrvatsku; </w:t>
      </w:r>
    </w:p>
    <w:p w14:paraId="4168EA4A" w14:textId="77777777" w:rsidR="00472217" w:rsidRPr="00472217" w:rsidRDefault="00472217" w:rsidP="006F21BC">
      <w:pPr>
        <w:numPr>
          <w:ilvl w:val="0"/>
          <w:numId w:val="17"/>
        </w:numPr>
        <w:spacing w:after="0" w:line="240" w:lineRule="auto"/>
        <w:ind w:left="567" w:right="0"/>
        <w:rPr>
          <w:rFonts w:ascii="Times New Roman" w:hAnsi="Times New Roman" w:cs="Times New Roman"/>
          <w:sz w:val="24"/>
          <w:szCs w:val="24"/>
        </w:rPr>
      </w:pPr>
      <w:r w:rsidRPr="00472217">
        <w:rPr>
          <w:rFonts w:ascii="Times New Roman" w:hAnsi="Times New Roman" w:cs="Times New Roman"/>
          <w:sz w:val="24"/>
          <w:szCs w:val="24"/>
        </w:rPr>
        <w:t xml:space="preserve">Statističkog ljetopisa Grada Zagreba, 2021.; </w:t>
      </w:r>
    </w:p>
    <w:p w14:paraId="70F0E65B" w14:textId="77777777" w:rsidR="00472217" w:rsidRPr="00472217" w:rsidRDefault="00472217" w:rsidP="006F21BC">
      <w:pPr>
        <w:numPr>
          <w:ilvl w:val="0"/>
          <w:numId w:val="17"/>
        </w:numPr>
        <w:spacing w:after="0" w:line="240" w:lineRule="auto"/>
        <w:ind w:left="567" w:right="0"/>
        <w:rPr>
          <w:rFonts w:ascii="Times New Roman" w:hAnsi="Times New Roman" w:cs="Times New Roman"/>
          <w:sz w:val="24"/>
          <w:szCs w:val="24"/>
        </w:rPr>
      </w:pPr>
      <w:r w:rsidRPr="00472217">
        <w:rPr>
          <w:rFonts w:ascii="Times New Roman" w:hAnsi="Times New Roman" w:cs="Times New Roman"/>
          <w:sz w:val="24"/>
          <w:szCs w:val="24"/>
        </w:rPr>
        <w:t xml:space="preserve">Izvješća o stanju u prostoru Grada Zagreba, 2018.; </w:t>
      </w:r>
    </w:p>
    <w:p w14:paraId="64C22A37" w14:textId="77777777" w:rsidR="00472217" w:rsidRPr="00472217" w:rsidRDefault="00472217" w:rsidP="006F21BC">
      <w:pPr>
        <w:numPr>
          <w:ilvl w:val="0"/>
          <w:numId w:val="17"/>
        </w:numPr>
        <w:spacing w:after="0" w:line="240" w:lineRule="auto"/>
        <w:ind w:left="567" w:right="0"/>
        <w:rPr>
          <w:rFonts w:ascii="Times New Roman" w:hAnsi="Times New Roman" w:cs="Times New Roman"/>
          <w:sz w:val="24"/>
          <w:szCs w:val="24"/>
        </w:rPr>
      </w:pPr>
      <w:r w:rsidRPr="00472217">
        <w:rPr>
          <w:rFonts w:ascii="Times New Roman" w:hAnsi="Times New Roman" w:cs="Times New Roman"/>
          <w:sz w:val="24"/>
          <w:szCs w:val="24"/>
        </w:rPr>
        <w:t xml:space="preserve">Procjene rizika pravnih osoba; </w:t>
      </w:r>
    </w:p>
    <w:p w14:paraId="07DA753F" w14:textId="77777777" w:rsidR="00472217" w:rsidRPr="00472217" w:rsidRDefault="00472217" w:rsidP="006F21BC">
      <w:pPr>
        <w:numPr>
          <w:ilvl w:val="0"/>
          <w:numId w:val="17"/>
        </w:numPr>
        <w:spacing w:after="0" w:line="240" w:lineRule="auto"/>
        <w:ind w:left="567" w:right="0"/>
        <w:rPr>
          <w:rFonts w:ascii="Times New Roman" w:hAnsi="Times New Roman" w:cs="Times New Roman"/>
          <w:sz w:val="24"/>
          <w:szCs w:val="24"/>
        </w:rPr>
      </w:pPr>
      <w:r w:rsidRPr="00472217">
        <w:rPr>
          <w:rFonts w:ascii="Times New Roman" w:hAnsi="Times New Roman" w:cs="Times New Roman"/>
          <w:sz w:val="24"/>
          <w:szCs w:val="24"/>
        </w:rPr>
        <w:t xml:space="preserve">Državnog zavoda za statistiku. </w:t>
      </w:r>
    </w:p>
    <w:p w14:paraId="62D0AFA0"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p>
    <w:p w14:paraId="7AEE80BC" w14:textId="77777777" w:rsidR="00472217" w:rsidRPr="00472217" w:rsidRDefault="00472217" w:rsidP="00472217">
      <w:pPr>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 xml:space="preserve">Korišteni su podaci iz sljedećih publikacija: </w:t>
      </w:r>
    </w:p>
    <w:p w14:paraId="2ACDB6EA" w14:textId="77777777" w:rsidR="00472217" w:rsidRPr="00472217" w:rsidRDefault="00472217" w:rsidP="00472217">
      <w:pPr>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Cruden, D.M. (1991): A simple definition of a landslide. Bulletin of the International Association of Engineering Geology, 43/1:27-29.</w:t>
      </w:r>
    </w:p>
    <w:p w14:paraId="30EF0A59" w14:textId="77777777" w:rsidR="00472217" w:rsidRPr="00472217" w:rsidRDefault="00472217" w:rsidP="00472217">
      <w:pPr>
        <w:autoSpaceDE w:val="0"/>
        <w:autoSpaceDN w:val="0"/>
        <w:adjustRightInd w:val="0"/>
        <w:spacing w:after="0" w:line="240" w:lineRule="auto"/>
        <w:ind w:left="0" w:right="0" w:firstLine="0"/>
        <w:rPr>
          <w:rFonts w:ascii="Times New Roman" w:hAnsi="Times New Roman" w:cs="Times New Roman"/>
          <w:sz w:val="24"/>
          <w:szCs w:val="24"/>
        </w:rPr>
      </w:pPr>
    </w:p>
    <w:p w14:paraId="5D6CBBEA" w14:textId="77777777" w:rsidR="00472217" w:rsidRPr="00472217" w:rsidRDefault="00472217" w:rsidP="00472217">
      <w:pPr>
        <w:autoSpaceDE w:val="0"/>
        <w:autoSpaceDN w:val="0"/>
        <w:adjustRightInd w:val="0"/>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Dearman, W. R. (1991): Engineering Geological Mapping. Butterworth-Heinemann.</w:t>
      </w:r>
    </w:p>
    <w:p w14:paraId="2F71FA11" w14:textId="77777777" w:rsidR="00472217" w:rsidRPr="00472217" w:rsidRDefault="00472217" w:rsidP="00472217">
      <w:pPr>
        <w:autoSpaceDE w:val="0"/>
        <w:autoSpaceDN w:val="0"/>
        <w:adjustRightInd w:val="0"/>
        <w:spacing w:after="0" w:line="240" w:lineRule="auto"/>
        <w:ind w:left="0" w:right="0" w:firstLine="0"/>
        <w:rPr>
          <w:rFonts w:ascii="Times New Roman" w:hAnsi="Times New Roman" w:cs="Times New Roman"/>
          <w:sz w:val="24"/>
          <w:szCs w:val="24"/>
        </w:rPr>
      </w:pPr>
    </w:p>
    <w:p w14:paraId="429333E5" w14:textId="77777777" w:rsidR="00472217" w:rsidRPr="00472217" w:rsidRDefault="00472217" w:rsidP="00472217">
      <w:pPr>
        <w:autoSpaceDE w:val="0"/>
        <w:autoSpaceDN w:val="0"/>
        <w:adjustRightInd w:val="0"/>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Varnes, D.J. (1978): Slope movements, type and processes. U: Schuster R.L., Krizek R.J. (ur.): Landslide Analysis and Control, Transportation Research Board, Special Report 176. National Academy of Sciences, Washington, 11–33.</w:t>
      </w:r>
    </w:p>
    <w:p w14:paraId="243AAA3D" w14:textId="77777777" w:rsidR="00472217" w:rsidRPr="00472217" w:rsidRDefault="00472217" w:rsidP="00472217">
      <w:pPr>
        <w:autoSpaceDE w:val="0"/>
        <w:autoSpaceDN w:val="0"/>
        <w:adjustRightInd w:val="0"/>
        <w:spacing w:after="0" w:line="240" w:lineRule="auto"/>
        <w:ind w:left="0" w:right="0" w:firstLine="0"/>
        <w:rPr>
          <w:rFonts w:ascii="Times New Roman" w:hAnsi="Times New Roman" w:cs="Times New Roman"/>
          <w:sz w:val="24"/>
          <w:szCs w:val="24"/>
        </w:rPr>
      </w:pPr>
    </w:p>
    <w:p w14:paraId="79A1BC06" w14:textId="77777777" w:rsidR="00472217" w:rsidRPr="00472217" w:rsidRDefault="00472217" w:rsidP="00472217">
      <w:pPr>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Cruden, D.M., Varnes D.J. (1996): Landslide types and processes. U: Turner, A.K., Schuster, R.L. (ur.): Landslides, Investigation and Mitigation. Transportation Research Board, Special Report 247, Washington D.C., USA, 36–75.</w:t>
      </w:r>
    </w:p>
    <w:p w14:paraId="4CB73887" w14:textId="77777777" w:rsidR="00472217" w:rsidRPr="00472217" w:rsidRDefault="00472217" w:rsidP="00472217">
      <w:pPr>
        <w:autoSpaceDE w:val="0"/>
        <w:autoSpaceDN w:val="0"/>
        <w:adjustRightInd w:val="0"/>
        <w:spacing w:after="0" w:line="240" w:lineRule="auto"/>
        <w:ind w:left="0" w:right="0" w:firstLine="0"/>
        <w:rPr>
          <w:rFonts w:ascii="Times New Roman" w:hAnsi="Times New Roman" w:cs="Times New Roman"/>
          <w:sz w:val="24"/>
          <w:szCs w:val="24"/>
        </w:rPr>
      </w:pPr>
    </w:p>
    <w:p w14:paraId="2C0060BF" w14:textId="2336B9FC" w:rsidR="00472217" w:rsidRPr="00472217" w:rsidRDefault="00472217" w:rsidP="00312389">
      <w:pPr>
        <w:autoSpaceDE w:val="0"/>
        <w:autoSpaceDN w:val="0"/>
        <w:adjustRightInd w:val="0"/>
        <w:spacing w:after="0" w:line="240" w:lineRule="auto"/>
        <w:ind w:left="0" w:right="0" w:firstLine="0"/>
        <w:jc w:val="left"/>
        <w:rPr>
          <w:rFonts w:ascii="Times New Roman" w:eastAsiaTheme="minorHAnsi" w:hAnsi="Times New Roman" w:cs="Times New Roman"/>
          <w:color w:val="auto"/>
          <w:sz w:val="24"/>
          <w:szCs w:val="24"/>
          <w:lang w:eastAsia="en-US"/>
        </w:rPr>
      </w:pPr>
      <w:r w:rsidRPr="00472217">
        <w:rPr>
          <w:rFonts w:ascii="Times New Roman" w:eastAsiaTheme="minorHAnsi" w:hAnsi="Times New Roman" w:cs="Times New Roman"/>
          <w:color w:val="auto"/>
          <w:sz w:val="24"/>
          <w:szCs w:val="24"/>
          <w:lang w:eastAsia="en-US"/>
        </w:rPr>
        <w:t xml:space="preserve">IPL (2013): World report on </w:t>
      </w:r>
      <w:r w:rsidRPr="00472217">
        <w:rPr>
          <w:rFonts w:ascii="Times New Roman" w:eastAsiaTheme="minorHAnsi" w:hAnsi="Times New Roman" w:cs="Times New Roman"/>
          <w:color w:val="auto"/>
          <w:sz w:val="24"/>
          <w:szCs w:val="24"/>
          <w:lang w:eastAsia="en-US"/>
        </w:rPr>
        <w:tab/>
        <w:t>landslides, International Program on Landslides</w:t>
      </w:r>
    </w:p>
    <w:p w14:paraId="258C40BA" w14:textId="77777777" w:rsidR="00472217" w:rsidRPr="00472217" w:rsidRDefault="00472217" w:rsidP="00472217">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p>
    <w:p w14:paraId="109BE209" w14:textId="77777777" w:rsidR="00472217" w:rsidRPr="00472217" w:rsidRDefault="00472217" w:rsidP="00472217">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472217">
        <w:rPr>
          <w:rFonts w:ascii="Times New Roman" w:eastAsiaTheme="minorHAnsi" w:hAnsi="Times New Roman" w:cs="Times New Roman"/>
          <w:color w:val="auto"/>
          <w:sz w:val="24"/>
          <w:szCs w:val="24"/>
          <w:lang w:eastAsia="en-US"/>
        </w:rPr>
        <w:t>Van Schalkwyk, A., Thomas, M.A. (1991): Slope failures associated with the floods of September 1987 and February 1988 in Natal and Kwa-Zulu, Republic of South Africa. Geotechnics in the African Environment, Blight et al. (Eds), pp. 57-63.</w:t>
      </w:r>
    </w:p>
    <w:p w14:paraId="473B2B2A" w14:textId="77777777" w:rsidR="00472217" w:rsidRPr="00472217" w:rsidRDefault="00472217" w:rsidP="00472217">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p>
    <w:p w14:paraId="43F3D76E" w14:textId="77777777" w:rsidR="00472217" w:rsidRPr="00472217" w:rsidRDefault="00472217" w:rsidP="00472217">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472217">
        <w:rPr>
          <w:rFonts w:ascii="Times New Roman" w:eastAsiaTheme="minorHAnsi" w:hAnsi="Times New Roman" w:cs="Times New Roman"/>
          <w:color w:val="auto"/>
          <w:sz w:val="24"/>
          <w:szCs w:val="24"/>
          <w:lang w:eastAsia="en-US"/>
        </w:rPr>
        <w:t>Hungr, O. (1981): Dynamics of rock avalanches and other types of slope movements, Ph.D. Thesis, University of Alberta, Edmonton, 500 str.</w:t>
      </w:r>
    </w:p>
    <w:p w14:paraId="7C9C6362" w14:textId="77777777" w:rsidR="00472217" w:rsidRPr="00472217" w:rsidRDefault="00472217" w:rsidP="00472217">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p>
    <w:p w14:paraId="169DB14C" w14:textId="77777777" w:rsidR="00472217" w:rsidRPr="00472217" w:rsidRDefault="00472217" w:rsidP="00472217">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472217">
        <w:rPr>
          <w:rFonts w:ascii="Times New Roman" w:eastAsiaTheme="minorHAnsi" w:hAnsi="Times New Roman" w:cs="Times New Roman"/>
          <w:color w:val="auto"/>
          <w:sz w:val="24"/>
          <w:szCs w:val="24"/>
          <w:lang w:eastAsia="en-US"/>
        </w:rPr>
        <w:t>WP/WLI (International Geotechnical Society’s UNESCO Working Party on World Landslide Inventory) (1995): A suggested method for describing the rate of movement of a landslide, Bulletin of the International Association of Engineering Geology, 52:75-78.</w:t>
      </w:r>
    </w:p>
    <w:p w14:paraId="3AA76C7A" w14:textId="77777777" w:rsidR="00472217" w:rsidRPr="00472217" w:rsidRDefault="00472217" w:rsidP="00472217">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p>
    <w:p w14:paraId="43F9632E" w14:textId="77777777" w:rsidR="00472217" w:rsidRPr="00472217" w:rsidRDefault="00472217" w:rsidP="00472217">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472217">
        <w:rPr>
          <w:rFonts w:ascii="Times New Roman" w:eastAsiaTheme="minorHAnsi" w:hAnsi="Times New Roman" w:cs="Times New Roman"/>
          <w:color w:val="auto"/>
          <w:sz w:val="24"/>
          <w:szCs w:val="24"/>
          <w:lang w:eastAsia="en-US"/>
        </w:rPr>
        <w:t>Highland, L.M., Bobrowky, P. (2008): The Landslide Handbook—A Guide to Understanding Landslides. Reston, Virginia, U.S. Geological Survey Circular 1325, 129 str.</w:t>
      </w:r>
    </w:p>
    <w:p w14:paraId="515EB3E7" w14:textId="77777777" w:rsidR="00472217" w:rsidRPr="00472217" w:rsidRDefault="00472217" w:rsidP="00472217">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p>
    <w:p w14:paraId="392876BE" w14:textId="77777777" w:rsidR="00472217" w:rsidRPr="00472217" w:rsidRDefault="00472217" w:rsidP="00472217">
      <w:pPr>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M. Podbojec, M. Jukić: Sinteza istražnih inženjerskogeoloških i geotehničkih radova i provedenih sanacijskih mjera na klizištu Črešnjevec (1982. – 2016.)</w:t>
      </w:r>
    </w:p>
    <w:p w14:paraId="606017FC" w14:textId="77777777" w:rsidR="00472217" w:rsidRPr="00472217" w:rsidRDefault="00472217" w:rsidP="00472217">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p>
    <w:p w14:paraId="61850AE4" w14:textId="77777777" w:rsidR="00472217" w:rsidRPr="00472217" w:rsidRDefault="00472217" w:rsidP="00472217">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r w:rsidRPr="00472217">
        <w:rPr>
          <w:rFonts w:ascii="Times New Roman" w:hAnsi="Times New Roman" w:cs="Times New Roman"/>
          <w:sz w:val="24"/>
          <w:szCs w:val="24"/>
        </w:rPr>
        <w:t>Kartografski podaci o klizištima u GIS-u kao tematski sloj prirodnih ograničenja vezanih uz klimatske promjene, Rudarsko-geološko-naftni fakultet, prosinac 2019.</w:t>
      </w:r>
    </w:p>
    <w:p w14:paraId="47FFBFB1" w14:textId="77777777" w:rsidR="00472217" w:rsidRPr="00472217" w:rsidRDefault="00472217" w:rsidP="00472217">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p>
    <w:p w14:paraId="3969D499" w14:textId="77777777" w:rsidR="00472217" w:rsidRPr="00472217" w:rsidRDefault="00472217" w:rsidP="00472217">
      <w:pPr>
        <w:autoSpaceDE w:val="0"/>
        <w:autoSpaceDN w:val="0"/>
        <w:adjustRightInd w:val="0"/>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Ortolan, Ž. (1996): Formiranje prostornog inženjersko-geološkog modela dubokog klizišta s više kliznih ploha (Primjer klizišta Kostanjek), doktorska disertacija, Rudarsko-geološko-naftni fakultet Sveučilišta u Zagrebu, Hrvatska, 1996.</w:t>
      </w:r>
    </w:p>
    <w:p w14:paraId="2C0DCF9E" w14:textId="77777777" w:rsidR="00472217" w:rsidRPr="00472217" w:rsidRDefault="00472217" w:rsidP="00472217">
      <w:pPr>
        <w:autoSpaceDE w:val="0"/>
        <w:autoSpaceDN w:val="0"/>
        <w:adjustRightInd w:val="0"/>
        <w:spacing w:after="0" w:line="240" w:lineRule="auto"/>
        <w:ind w:left="0" w:right="0" w:firstLine="0"/>
        <w:rPr>
          <w:rFonts w:ascii="Times New Roman" w:hAnsi="Times New Roman" w:cs="Times New Roman"/>
          <w:sz w:val="24"/>
          <w:szCs w:val="24"/>
        </w:rPr>
      </w:pPr>
    </w:p>
    <w:p w14:paraId="28E2B8AA" w14:textId="77777777" w:rsidR="00472217" w:rsidRPr="00472217" w:rsidRDefault="00472217" w:rsidP="00472217">
      <w:pPr>
        <w:autoSpaceDE w:val="0"/>
        <w:autoSpaceDN w:val="0"/>
        <w:adjustRightInd w:val="0"/>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 xml:space="preserve">Krkač, M., Mihalić Arbanas, S., Nagai, O., Arbanas, Ž. (2013): The Kostanjek landslide - Monitoring system development and sensor network, In: Mihalić Arbanas, S., Arbanas, Ž. (eds): Landslide and Flood Hazard Assessment. Proceedings of the 1st Regional Symposium </w:t>
      </w:r>
      <w:r w:rsidRPr="00472217">
        <w:rPr>
          <w:rFonts w:ascii="Times New Roman" w:hAnsi="Times New Roman" w:cs="Times New Roman"/>
          <w:sz w:val="24"/>
          <w:szCs w:val="24"/>
        </w:rPr>
        <w:lastRenderedPageBreak/>
        <w:t>on Landslides in the Adriatic-Balkan Region, 6-9.4.2013, Zagreb, City of Zagreb, Emergency Management Office.</w:t>
      </w:r>
    </w:p>
    <w:p w14:paraId="1CD32A8D" w14:textId="77777777" w:rsidR="00472217" w:rsidRPr="00472217" w:rsidRDefault="00472217" w:rsidP="00472217">
      <w:pPr>
        <w:autoSpaceDE w:val="0"/>
        <w:autoSpaceDN w:val="0"/>
        <w:adjustRightInd w:val="0"/>
        <w:spacing w:after="0" w:line="240" w:lineRule="auto"/>
        <w:ind w:left="0" w:right="0" w:firstLine="0"/>
        <w:rPr>
          <w:rFonts w:ascii="Times New Roman" w:hAnsi="Times New Roman" w:cs="Times New Roman"/>
          <w:sz w:val="24"/>
          <w:szCs w:val="24"/>
        </w:rPr>
      </w:pPr>
    </w:p>
    <w:p w14:paraId="6C142010" w14:textId="77777777" w:rsidR="00472217" w:rsidRPr="00472217" w:rsidRDefault="00472217" w:rsidP="00472217">
      <w:pPr>
        <w:autoSpaceDE w:val="0"/>
        <w:autoSpaceDN w:val="0"/>
        <w:adjustRightInd w:val="0"/>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Krkač M. Opservatorij za praćenje klizišta Kostanjek</w:t>
      </w:r>
    </w:p>
    <w:p w14:paraId="5B1EF288" w14:textId="77777777" w:rsidR="00472217" w:rsidRPr="00472217" w:rsidRDefault="00472217" w:rsidP="00472217">
      <w:pPr>
        <w:autoSpaceDE w:val="0"/>
        <w:autoSpaceDN w:val="0"/>
        <w:adjustRightInd w:val="0"/>
        <w:spacing w:after="0" w:line="240" w:lineRule="auto"/>
        <w:ind w:left="0" w:right="0" w:firstLine="0"/>
        <w:rPr>
          <w:rFonts w:ascii="Times New Roman" w:hAnsi="Times New Roman" w:cs="Times New Roman"/>
          <w:sz w:val="24"/>
          <w:szCs w:val="24"/>
        </w:rPr>
      </w:pPr>
    </w:p>
    <w:p w14:paraId="4D4B3AD3" w14:textId="77777777" w:rsidR="00472217" w:rsidRPr="00472217" w:rsidRDefault="00472217" w:rsidP="00472217">
      <w:pPr>
        <w:autoSpaceDE w:val="0"/>
        <w:autoSpaceDN w:val="0"/>
        <w:adjustRightInd w:val="0"/>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Mihalić S., Arbanas Ž. (2012): The Croatian–Japanese Joint Research Project on Landslides: Activities and Public Benefits, In: Sassa, K. et al (eds): Landslides: Global Risk Preparedness, DOI 10.1007/978-3-642-22087-6_24, Springer-Verlag, 335-351.</w:t>
      </w:r>
    </w:p>
    <w:p w14:paraId="5A1C8E50" w14:textId="77777777" w:rsidR="00472217" w:rsidRPr="00472217" w:rsidRDefault="00472217" w:rsidP="00472217">
      <w:pPr>
        <w:autoSpaceDE w:val="0"/>
        <w:autoSpaceDN w:val="0"/>
        <w:adjustRightInd w:val="0"/>
        <w:spacing w:after="0" w:line="240" w:lineRule="auto"/>
        <w:ind w:left="0" w:right="0" w:firstLine="0"/>
        <w:rPr>
          <w:rFonts w:ascii="Times New Roman" w:hAnsi="Times New Roman" w:cs="Times New Roman"/>
          <w:sz w:val="24"/>
          <w:szCs w:val="24"/>
        </w:rPr>
      </w:pPr>
    </w:p>
    <w:p w14:paraId="148C6EDA" w14:textId="77777777" w:rsidR="00472217" w:rsidRPr="00472217" w:rsidRDefault="00472217" w:rsidP="00472217">
      <w:pPr>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Podbojec M., Jukić M.: Sinteza istražnih inženjerskogeoloških i geotehničkih radova i provedenih sanacijskih mjera na klizištu Črešnjevec (1982. – 2016.)</w:t>
      </w:r>
    </w:p>
    <w:p w14:paraId="6A85683A"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1AFC5A68" w14:textId="77777777" w:rsidR="00472217" w:rsidRPr="00472217" w:rsidRDefault="00472217" w:rsidP="00472217">
      <w:pPr>
        <w:autoSpaceDE w:val="0"/>
        <w:autoSpaceDN w:val="0"/>
        <w:adjustRightInd w:val="0"/>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Mihalić-Arbanas S., Arbanas Ž, Bernat S., Krkač M., Kalinić P., Martinović K, Fabris N., Sajko J., Antolović A.: Upravljanje kriznim situacijama uslijed pokretanja klizišta</w:t>
      </w:r>
    </w:p>
    <w:p w14:paraId="5E24F962" w14:textId="77777777" w:rsidR="00472217" w:rsidRPr="00472217" w:rsidRDefault="00472217" w:rsidP="00472217">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p>
    <w:p w14:paraId="4B8007E2" w14:textId="77777777" w:rsidR="00472217" w:rsidRPr="00472217" w:rsidRDefault="00472217" w:rsidP="00472217">
      <w:pPr>
        <w:autoSpaceDE w:val="0"/>
        <w:autoSpaceDN w:val="0"/>
        <w:adjustRightInd w:val="0"/>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Mihalić, S., Arbanas, Ž., Krkač, M., Dugonjić, S., Ferić, P. (2010): Karte hazarda klizanja i sustavi ranog upozoravanja u funkciji ublažavanja rizika klizanja, U: Trut, D. (ur.): Zbornik II. Konferencije Hrvatske platforme za smanjenje rizika od katastrofa, 14-15.10.2010, Zagreb, Državna uprava za zaštitu i spašavanje, 18-22.</w:t>
      </w:r>
    </w:p>
    <w:p w14:paraId="09BB366E" w14:textId="77777777" w:rsidR="00472217" w:rsidRPr="00472217" w:rsidRDefault="00472217" w:rsidP="00472217">
      <w:pPr>
        <w:autoSpaceDE w:val="0"/>
        <w:autoSpaceDN w:val="0"/>
        <w:adjustRightInd w:val="0"/>
        <w:spacing w:after="0" w:line="240" w:lineRule="auto"/>
        <w:ind w:left="0" w:right="0" w:firstLine="0"/>
        <w:rPr>
          <w:rFonts w:ascii="Times New Roman" w:hAnsi="Times New Roman" w:cs="Times New Roman"/>
          <w:sz w:val="24"/>
          <w:szCs w:val="24"/>
        </w:rPr>
      </w:pPr>
    </w:p>
    <w:p w14:paraId="6E23DED1" w14:textId="77777777" w:rsidR="00472217" w:rsidRPr="00472217" w:rsidRDefault="00472217" w:rsidP="00472217">
      <w:pPr>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BERNAT, S., MIHALIĆ ARBANAS, S., KRKAČ, M., 2014. Inventory of Precipitation Triggered Landslides in the Winter of 2013 in Zagreb (Croatia, Europe). U: Proceedings of the World Landslide Forum 3. Heidelberg: Springer, 2014, str. 829-836.</w:t>
      </w:r>
    </w:p>
    <w:p w14:paraId="7127F55A" w14:textId="77777777" w:rsidR="00472217" w:rsidRPr="00472217" w:rsidRDefault="00472217" w:rsidP="00472217">
      <w:pPr>
        <w:autoSpaceDE w:val="0"/>
        <w:autoSpaceDN w:val="0"/>
        <w:adjustRightInd w:val="0"/>
        <w:spacing w:after="0" w:line="240" w:lineRule="auto"/>
        <w:ind w:left="0" w:right="0" w:firstLine="0"/>
        <w:rPr>
          <w:rFonts w:ascii="Times New Roman" w:hAnsi="Times New Roman" w:cs="Times New Roman"/>
          <w:sz w:val="24"/>
          <w:szCs w:val="24"/>
        </w:rPr>
      </w:pPr>
    </w:p>
    <w:p w14:paraId="24FC8099" w14:textId="77777777" w:rsidR="00472217" w:rsidRPr="00472217" w:rsidRDefault="00472217" w:rsidP="00472217">
      <w:pPr>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Šagud, S. (2015) Statistička analiza inventara klizišta podsljemenske zone iz 1979. godine. Diplomski rad. Zagreb, Sveučilište u Zagrebu, Rudarsko-geološko-naftni fakultet</w:t>
      </w:r>
    </w:p>
    <w:p w14:paraId="05DE2DA6"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3789F865" w14:textId="77777777" w:rsidR="00472217" w:rsidRPr="00472217" w:rsidRDefault="00472217" w:rsidP="00472217">
      <w:pPr>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Županović, Lj., Opatić, K., Bernat, S. (2012): Određivanje pomaka klizišta Kostanjek relativnom statičkom metodom, Ekscentar, br. 15, pp. 46-53</w:t>
      </w:r>
    </w:p>
    <w:p w14:paraId="430B1248"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1AC93AF6" w14:textId="77777777" w:rsidR="00472217" w:rsidRPr="00472217" w:rsidRDefault="00472217" w:rsidP="00472217">
      <w:pPr>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Sokolić Ž.: Klizišta – mogućnosti smanjenja šteta, Polytechnic &amp; design vol. 1, no. 1, 2013.</w:t>
      </w:r>
    </w:p>
    <w:p w14:paraId="34E7AAF0" w14:textId="77777777" w:rsidR="00472217" w:rsidRPr="00472217" w:rsidRDefault="00472217" w:rsidP="00472217">
      <w:pPr>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Izvješće o stanju u prostoru Grada Zagreba za razdoblje 2013.– 2016.</w:t>
      </w:r>
    </w:p>
    <w:p w14:paraId="36957C2D"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1FC98CA9" w14:textId="77777777" w:rsidR="00472217" w:rsidRPr="00472217" w:rsidRDefault="00472217" w:rsidP="00472217">
      <w:pPr>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Stručna podloga za Državni plan prostornog razvoja, DPPR</w:t>
      </w:r>
    </w:p>
    <w:p w14:paraId="1225FFB9" w14:textId="77777777" w:rsidR="00472217" w:rsidRPr="00472217" w:rsidRDefault="00472217" w:rsidP="00472217">
      <w:pPr>
        <w:autoSpaceDE w:val="0"/>
        <w:autoSpaceDN w:val="0"/>
        <w:adjustRightInd w:val="0"/>
        <w:spacing w:after="0" w:line="240" w:lineRule="auto"/>
        <w:ind w:left="0" w:right="0" w:firstLine="0"/>
      </w:pPr>
    </w:p>
    <w:p w14:paraId="56D004E4" w14:textId="77777777" w:rsidR="00472217" w:rsidRPr="00472217" w:rsidRDefault="00472217" w:rsidP="00472217">
      <w:pPr>
        <w:autoSpaceDE w:val="0"/>
        <w:autoSpaceDN w:val="0"/>
        <w:adjustRightInd w:val="0"/>
        <w:spacing w:after="0" w:line="240" w:lineRule="auto"/>
        <w:ind w:left="0" w:right="0" w:firstLine="0"/>
      </w:pPr>
    </w:p>
    <w:p w14:paraId="055890DF" w14:textId="77777777" w:rsidR="00472217" w:rsidRPr="00472217" w:rsidRDefault="00472217" w:rsidP="00472217">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u w:val="single"/>
          <w:lang w:eastAsia="en-US"/>
        </w:rPr>
      </w:pPr>
      <w:r w:rsidRPr="00472217">
        <w:rPr>
          <w:rFonts w:ascii="Times New Roman" w:eastAsiaTheme="minorHAnsi" w:hAnsi="Times New Roman" w:cs="Times New Roman"/>
          <w:color w:val="auto"/>
          <w:sz w:val="24"/>
          <w:szCs w:val="24"/>
          <w:u w:val="single"/>
          <w:lang w:eastAsia="en-US"/>
        </w:rPr>
        <w:t>Nepouzdanost</w:t>
      </w:r>
    </w:p>
    <w:p w14:paraId="31BA8006" w14:textId="77777777" w:rsidR="00472217" w:rsidRPr="00472217" w:rsidRDefault="00472217" w:rsidP="00BA0552">
      <w:pPr>
        <w:autoSpaceDE w:val="0"/>
        <w:autoSpaceDN w:val="0"/>
        <w:adjustRightInd w:val="0"/>
        <w:spacing w:after="0" w:line="240" w:lineRule="auto"/>
        <w:ind w:left="0" w:right="0" w:firstLine="709"/>
        <w:rPr>
          <w:rFonts w:ascii="Times New Roman" w:eastAsiaTheme="minorHAnsi" w:hAnsi="Times New Roman" w:cs="Times New Roman"/>
          <w:color w:val="auto"/>
          <w:sz w:val="24"/>
          <w:szCs w:val="24"/>
          <w:lang w:eastAsia="en-US"/>
        </w:rPr>
      </w:pPr>
      <w:r w:rsidRPr="00472217">
        <w:rPr>
          <w:rFonts w:ascii="Times New Roman" w:eastAsiaTheme="minorHAnsi" w:hAnsi="Times New Roman" w:cs="Times New Roman"/>
          <w:color w:val="auto"/>
          <w:sz w:val="24"/>
          <w:szCs w:val="24"/>
          <w:lang w:eastAsia="en-US"/>
        </w:rPr>
        <w:t>Nepouzdanost procjene u segmentu procjene podložnosti na klizanje na razinama gradskih četvrti Grada Zagreba je ocijenjena kao niska zbog toga što su karte u sklopu projekta PRI-MJER izradili stručnjaci sa velikim iskustvom koji su sudjelovali u procjeni hazarda i rizika od klizišta na državnoj razini. Scenarij se temelji na dosljednom skupu pretpostavki o ključnim odnosima između opasnog događaja i posljedice. Scenarij uključuje subjektivne pretpostavke o broju očekivanih klizišta i zemljopisne raspodijeljenosti klizišta.</w:t>
      </w:r>
    </w:p>
    <w:p w14:paraId="5ACE24D2" w14:textId="77777777" w:rsidR="00472217" w:rsidRPr="00472217" w:rsidRDefault="00472217" w:rsidP="00472217">
      <w:pPr>
        <w:autoSpaceDE w:val="0"/>
        <w:autoSpaceDN w:val="0"/>
        <w:adjustRightInd w:val="0"/>
        <w:spacing w:after="0" w:line="240" w:lineRule="auto"/>
        <w:ind w:left="0" w:right="0" w:firstLine="0"/>
        <w:rPr>
          <w:rFonts w:ascii="Times New Roman" w:eastAsiaTheme="minorHAnsi" w:hAnsi="Times New Roman" w:cs="Times New Roman"/>
          <w:color w:val="auto"/>
          <w:sz w:val="24"/>
          <w:szCs w:val="24"/>
          <w:lang w:eastAsia="en-US"/>
        </w:rPr>
      </w:pPr>
    </w:p>
    <w:p w14:paraId="3167606F" w14:textId="14BCC2DF" w:rsidR="00472217" w:rsidRDefault="00472217" w:rsidP="00472217">
      <w:pPr>
        <w:spacing w:after="0" w:line="240" w:lineRule="auto"/>
        <w:ind w:left="0" w:right="0" w:firstLine="0"/>
        <w:rPr>
          <w:rFonts w:ascii="Times New Roman" w:hAnsi="Times New Roman" w:cs="Times New Roman"/>
          <w:sz w:val="24"/>
          <w:szCs w:val="24"/>
        </w:rPr>
      </w:pPr>
    </w:p>
    <w:p w14:paraId="288C903F" w14:textId="0FAD3546" w:rsidR="006F21BC" w:rsidRDefault="006F21BC" w:rsidP="00472217">
      <w:pPr>
        <w:spacing w:after="0" w:line="240" w:lineRule="auto"/>
        <w:ind w:left="0" w:right="0" w:firstLine="0"/>
        <w:rPr>
          <w:rFonts w:ascii="Times New Roman" w:hAnsi="Times New Roman" w:cs="Times New Roman"/>
          <w:sz w:val="24"/>
          <w:szCs w:val="24"/>
        </w:rPr>
      </w:pPr>
    </w:p>
    <w:p w14:paraId="02E174C2" w14:textId="1E48DE0B" w:rsidR="00C5768E" w:rsidRDefault="00C5768E" w:rsidP="00472217">
      <w:pPr>
        <w:spacing w:after="0" w:line="240" w:lineRule="auto"/>
        <w:ind w:left="0" w:right="0" w:firstLine="0"/>
        <w:rPr>
          <w:rFonts w:ascii="Times New Roman" w:hAnsi="Times New Roman" w:cs="Times New Roman"/>
          <w:sz w:val="24"/>
          <w:szCs w:val="24"/>
        </w:rPr>
      </w:pPr>
    </w:p>
    <w:p w14:paraId="6C7AFBE0" w14:textId="451DB3D7" w:rsidR="00C5768E" w:rsidRDefault="00C5768E" w:rsidP="00472217">
      <w:pPr>
        <w:spacing w:after="0" w:line="240" w:lineRule="auto"/>
        <w:ind w:left="0" w:right="0" w:firstLine="0"/>
        <w:rPr>
          <w:rFonts w:ascii="Times New Roman" w:hAnsi="Times New Roman" w:cs="Times New Roman"/>
          <w:sz w:val="24"/>
          <w:szCs w:val="24"/>
        </w:rPr>
      </w:pPr>
    </w:p>
    <w:p w14:paraId="1F891580" w14:textId="690A9388" w:rsidR="00C5768E" w:rsidRDefault="00C5768E" w:rsidP="00472217">
      <w:pPr>
        <w:spacing w:after="0" w:line="240" w:lineRule="auto"/>
        <w:ind w:left="0" w:right="0" w:firstLine="0"/>
        <w:rPr>
          <w:rFonts w:ascii="Times New Roman" w:hAnsi="Times New Roman" w:cs="Times New Roman"/>
          <w:sz w:val="24"/>
          <w:szCs w:val="24"/>
        </w:rPr>
      </w:pPr>
    </w:p>
    <w:p w14:paraId="55CAC5E9" w14:textId="77777777" w:rsidR="00C5768E" w:rsidRPr="00472217" w:rsidRDefault="00C5768E" w:rsidP="00472217">
      <w:pPr>
        <w:spacing w:after="0" w:line="240" w:lineRule="auto"/>
        <w:ind w:left="0" w:right="0" w:firstLine="0"/>
        <w:rPr>
          <w:rFonts w:ascii="Times New Roman" w:hAnsi="Times New Roman" w:cs="Times New Roman"/>
          <w:sz w:val="24"/>
          <w:szCs w:val="24"/>
        </w:rPr>
      </w:pPr>
    </w:p>
    <w:p w14:paraId="65EB5B7D" w14:textId="77777777" w:rsidR="00472217" w:rsidRPr="00472217" w:rsidRDefault="00472217" w:rsidP="006F21BC">
      <w:pPr>
        <w:spacing w:after="0" w:line="240" w:lineRule="auto"/>
        <w:ind w:left="0" w:right="1" w:firstLine="709"/>
        <w:rPr>
          <w:rFonts w:ascii="Times New Roman" w:hAnsi="Times New Roman" w:cs="Times New Roman"/>
          <w:b/>
          <w:color w:val="auto"/>
          <w:sz w:val="24"/>
          <w:szCs w:val="24"/>
        </w:rPr>
      </w:pPr>
      <w:r w:rsidRPr="00472217">
        <w:rPr>
          <w:rFonts w:ascii="Times New Roman" w:hAnsi="Times New Roman" w:cs="Times New Roman"/>
          <w:b/>
          <w:color w:val="auto"/>
          <w:sz w:val="24"/>
          <w:szCs w:val="24"/>
        </w:rPr>
        <w:lastRenderedPageBreak/>
        <w:t>6.8.6. Matrice rizika</w:t>
      </w:r>
    </w:p>
    <w:p w14:paraId="1121AA19" w14:textId="77777777" w:rsidR="00472217" w:rsidRPr="00472217" w:rsidRDefault="00472217" w:rsidP="006F21BC">
      <w:pPr>
        <w:spacing w:after="0" w:line="240" w:lineRule="auto"/>
        <w:ind w:left="0" w:right="1" w:firstLine="709"/>
        <w:rPr>
          <w:rFonts w:ascii="Times New Roman" w:hAnsi="Times New Roman" w:cs="Times New Roman"/>
          <w:color w:val="auto"/>
          <w:sz w:val="24"/>
          <w:szCs w:val="24"/>
          <w:u w:val="single"/>
        </w:rPr>
      </w:pPr>
      <w:r w:rsidRPr="00472217">
        <w:rPr>
          <w:rFonts w:ascii="Times New Roman" w:hAnsi="Times New Roman" w:cs="Times New Roman"/>
          <w:color w:val="auto"/>
          <w:sz w:val="24"/>
          <w:szCs w:val="24"/>
          <w:u w:val="single"/>
        </w:rPr>
        <w:t>RIZIK</w:t>
      </w:r>
      <w:r w:rsidRPr="00472217">
        <w:rPr>
          <w:rFonts w:ascii="Times New Roman" w:hAnsi="Times New Roman" w:cs="Times New Roman"/>
          <w:color w:val="auto"/>
          <w:sz w:val="24"/>
          <w:szCs w:val="24"/>
        </w:rPr>
        <w:t>: Klizišta</w:t>
      </w:r>
    </w:p>
    <w:p w14:paraId="538732D5" w14:textId="77777777" w:rsidR="00472217" w:rsidRPr="00472217" w:rsidRDefault="00472217" w:rsidP="006F21BC">
      <w:pPr>
        <w:spacing w:after="0" w:line="240" w:lineRule="auto"/>
        <w:ind w:left="0" w:right="1" w:firstLine="709"/>
        <w:rPr>
          <w:rFonts w:ascii="Times New Roman" w:hAnsi="Times New Roman" w:cs="Times New Roman"/>
          <w:sz w:val="24"/>
          <w:szCs w:val="24"/>
        </w:rPr>
      </w:pPr>
      <w:r w:rsidRPr="00472217">
        <w:rPr>
          <w:rFonts w:ascii="Times New Roman" w:hAnsi="Times New Roman" w:cs="Times New Roman"/>
          <w:color w:val="auto"/>
          <w:sz w:val="24"/>
          <w:szCs w:val="24"/>
          <w:u w:val="single"/>
        </w:rPr>
        <w:t>NAZIV SCENARIJA</w:t>
      </w:r>
      <w:r w:rsidRPr="00472217">
        <w:rPr>
          <w:rFonts w:ascii="Times New Roman" w:hAnsi="Times New Roman" w:cs="Times New Roman"/>
          <w:color w:val="auto"/>
          <w:sz w:val="24"/>
          <w:szCs w:val="24"/>
        </w:rPr>
        <w:t xml:space="preserve">: </w:t>
      </w:r>
    </w:p>
    <w:p w14:paraId="04B60699" w14:textId="77777777" w:rsidR="00472217" w:rsidRPr="00472217" w:rsidRDefault="00472217" w:rsidP="006F21BC">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Na temelju kombinacije dobivenih vrijednosti posljedica za sve tri kategorije (život i zdravlje ljudi, gospodarstvo i društvena stabilnost i politika) i vjerojatnosti izrađene su matrice rizika za prijetnju.</w:t>
      </w:r>
    </w:p>
    <w:p w14:paraId="5627E0AA" w14:textId="77777777" w:rsidR="00472217" w:rsidRPr="00472217" w:rsidRDefault="00472217" w:rsidP="00472217">
      <w:pPr>
        <w:spacing w:after="0" w:line="240" w:lineRule="auto"/>
        <w:ind w:left="0" w:right="0" w:firstLine="0"/>
        <w:rPr>
          <w:rFonts w:ascii="Times New Roman" w:hAnsi="Times New Roman" w:cs="Times New Roman"/>
          <w:sz w:val="24"/>
          <w:szCs w:val="24"/>
        </w:rPr>
      </w:pPr>
    </w:p>
    <w:tbl>
      <w:tblPr>
        <w:tblStyle w:val="TableGrid60"/>
        <w:tblW w:w="86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0" w:type="dxa"/>
        </w:tblCellMar>
        <w:tblLook w:val="04A0" w:firstRow="1" w:lastRow="0" w:firstColumn="1" w:lastColumn="0" w:noHBand="0" w:noVBand="1"/>
      </w:tblPr>
      <w:tblGrid>
        <w:gridCol w:w="2903"/>
        <w:gridCol w:w="2644"/>
        <w:gridCol w:w="3137"/>
      </w:tblGrid>
      <w:tr w:rsidR="00472217" w:rsidRPr="00472217" w14:paraId="5D5714E8" w14:textId="77777777" w:rsidTr="00284074">
        <w:trPr>
          <w:cantSplit/>
          <w:trHeight w:val="146"/>
        </w:trPr>
        <w:tc>
          <w:tcPr>
            <w:tcW w:w="2903" w:type="dxa"/>
          </w:tcPr>
          <w:p w14:paraId="52E2C5BB" w14:textId="77777777" w:rsidR="00472217" w:rsidRPr="00472217" w:rsidRDefault="00472217" w:rsidP="00472217">
            <w:pPr>
              <w:spacing w:after="0" w:line="240" w:lineRule="auto"/>
              <w:ind w:left="0" w:right="0" w:firstLine="0"/>
              <w:rPr>
                <w:rFonts w:ascii="Times New Roman" w:hAnsi="Times New Roman" w:cs="Times New Roman"/>
                <w:b/>
                <w:sz w:val="24"/>
                <w:szCs w:val="24"/>
              </w:rPr>
            </w:pPr>
            <w:r w:rsidRPr="00472217">
              <w:rPr>
                <w:rFonts w:ascii="Times New Roman" w:hAnsi="Times New Roman" w:cs="Times New Roman"/>
                <w:b/>
                <w:sz w:val="24"/>
                <w:szCs w:val="24"/>
              </w:rPr>
              <w:t xml:space="preserve">     Život i zdravlje ljudi</w:t>
            </w:r>
          </w:p>
        </w:tc>
        <w:tc>
          <w:tcPr>
            <w:tcW w:w="2644" w:type="dxa"/>
          </w:tcPr>
          <w:p w14:paraId="60C866F5" w14:textId="77777777" w:rsidR="00472217" w:rsidRPr="00472217" w:rsidRDefault="00472217" w:rsidP="00472217">
            <w:pPr>
              <w:spacing w:after="0" w:line="240" w:lineRule="auto"/>
              <w:ind w:left="0" w:right="0" w:firstLine="0"/>
              <w:rPr>
                <w:rFonts w:ascii="Times New Roman" w:hAnsi="Times New Roman" w:cs="Times New Roman"/>
                <w:b/>
                <w:sz w:val="24"/>
                <w:szCs w:val="24"/>
              </w:rPr>
            </w:pPr>
            <w:r w:rsidRPr="00472217">
              <w:rPr>
                <w:rFonts w:ascii="Times New Roman" w:hAnsi="Times New Roman" w:cs="Times New Roman"/>
                <w:b/>
                <w:sz w:val="24"/>
                <w:szCs w:val="24"/>
              </w:rPr>
              <w:t xml:space="preserve">       Gospodarstvo</w:t>
            </w:r>
          </w:p>
        </w:tc>
        <w:tc>
          <w:tcPr>
            <w:tcW w:w="3137" w:type="dxa"/>
          </w:tcPr>
          <w:p w14:paraId="03229E8C" w14:textId="77777777" w:rsidR="00472217" w:rsidRPr="00472217" w:rsidRDefault="00472217" w:rsidP="00472217">
            <w:pPr>
              <w:spacing w:after="0" w:line="240" w:lineRule="auto"/>
              <w:ind w:left="0" w:right="0" w:firstLine="0"/>
              <w:rPr>
                <w:rFonts w:ascii="Times New Roman" w:hAnsi="Times New Roman" w:cs="Times New Roman"/>
                <w:b/>
                <w:sz w:val="24"/>
                <w:szCs w:val="24"/>
              </w:rPr>
            </w:pPr>
            <w:r w:rsidRPr="00472217">
              <w:rPr>
                <w:rFonts w:ascii="Times New Roman" w:hAnsi="Times New Roman" w:cs="Times New Roman"/>
                <w:b/>
                <w:sz w:val="24"/>
                <w:szCs w:val="24"/>
              </w:rPr>
              <w:t>Društvena stabilnost i politika</w:t>
            </w:r>
          </w:p>
          <w:p w14:paraId="622916A8" w14:textId="77777777" w:rsidR="00472217" w:rsidRPr="00472217" w:rsidRDefault="00472217" w:rsidP="00472217">
            <w:pPr>
              <w:spacing w:after="0" w:line="240" w:lineRule="auto"/>
              <w:ind w:left="0" w:right="0" w:firstLine="0"/>
              <w:rPr>
                <w:rFonts w:ascii="Times New Roman" w:hAnsi="Times New Roman" w:cs="Times New Roman"/>
                <w:b/>
                <w:sz w:val="24"/>
                <w:szCs w:val="24"/>
              </w:rPr>
            </w:pPr>
          </w:p>
        </w:tc>
      </w:tr>
    </w:tbl>
    <w:p w14:paraId="70C9EC02" w14:textId="77777777" w:rsidR="00472217" w:rsidRPr="00472217" w:rsidRDefault="00472217" w:rsidP="00472217">
      <w:pPr>
        <w:spacing w:after="0" w:line="240" w:lineRule="auto"/>
        <w:ind w:left="0" w:right="0" w:firstLine="0"/>
        <w:jc w:val="left"/>
        <w:rPr>
          <w:rFonts w:ascii="Times New Roman" w:hAnsi="Times New Roman" w:cs="Times New Roman"/>
          <w:b/>
          <w:sz w:val="24"/>
          <w:szCs w:val="24"/>
        </w:rPr>
      </w:pPr>
      <w:r w:rsidRPr="00472217">
        <w:rPr>
          <w:rFonts w:ascii="Times New Roman" w:hAnsi="Times New Roman" w:cs="Times New Roman"/>
          <w:b/>
          <w:noProof/>
          <w:color w:val="auto"/>
          <w:sz w:val="24"/>
          <w:szCs w:val="24"/>
        </w:rPr>
        <w:drawing>
          <wp:inline distT="0" distB="0" distL="0" distR="0" wp14:anchorId="5CAB8189" wp14:editId="3A953F6F">
            <wp:extent cx="1771650" cy="1447800"/>
            <wp:effectExtent l="0" t="0" r="0" b="952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771650" cy="1447800"/>
                    </a:xfrm>
                    <a:prstGeom prst="rect">
                      <a:avLst/>
                    </a:prstGeom>
                    <a:noFill/>
                  </pic:spPr>
                </pic:pic>
              </a:graphicData>
            </a:graphic>
          </wp:inline>
        </w:drawing>
      </w:r>
      <w:r w:rsidRPr="00472217">
        <w:rPr>
          <w:rFonts w:ascii="Times New Roman" w:hAnsi="Times New Roman" w:cs="Times New Roman"/>
          <w:b/>
          <w:noProof/>
          <w:sz w:val="24"/>
          <w:szCs w:val="24"/>
        </w:rPr>
        <w:drawing>
          <wp:inline distT="0" distB="0" distL="0" distR="0" wp14:anchorId="0AAF56ED" wp14:editId="03A66E29">
            <wp:extent cx="1657350" cy="142875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657350" cy="1428750"/>
                    </a:xfrm>
                    <a:prstGeom prst="rect">
                      <a:avLst/>
                    </a:prstGeom>
                    <a:noFill/>
                  </pic:spPr>
                </pic:pic>
              </a:graphicData>
            </a:graphic>
          </wp:inline>
        </w:drawing>
      </w:r>
      <w:r w:rsidRPr="00472217">
        <w:rPr>
          <w:rFonts w:ascii="Times New Roman" w:hAnsi="Times New Roman" w:cs="Times New Roman"/>
          <w:b/>
          <w:noProof/>
          <w:sz w:val="24"/>
          <w:szCs w:val="24"/>
        </w:rPr>
        <w:drawing>
          <wp:inline distT="0" distB="0" distL="0" distR="0" wp14:anchorId="22DCC6E1" wp14:editId="0AC6711F">
            <wp:extent cx="1714500" cy="1408430"/>
            <wp:effectExtent l="0" t="0" r="0" b="127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714500" cy="1408430"/>
                    </a:xfrm>
                    <a:prstGeom prst="rect">
                      <a:avLst/>
                    </a:prstGeom>
                    <a:noFill/>
                  </pic:spPr>
                </pic:pic>
              </a:graphicData>
            </a:graphic>
          </wp:inline>
        </w:drawing>
      </w:r>
    </w:p>
    <w:p w14:paraId="3F6903A0" w14:textId="77777777" w:rsidR="00472217" w:rsidRPr="00472217" w:rsidRDefault="00472217" w:rsidP="00472217">
      <w:pPr>
        <w:spacing w:after="0" w:line="240" w:lineRule="auto"/>
        <w:ind w:left="0" w:right="0" w:firstLine="0"/>
        <w:jc w:val="center"/>
        <w:rPr>
          <w:rFonts w:ascii="Times New Roman" w:hAnsi="Times New Roman" w:cs="Times New Roman"/>
          <w:b/>
          <w:sz w:val="24"/>
          <w:szCs w:val="24"/>
        </w:rPr>
      </w:pPr>
    </w:p>
    <w:p w14:paraId="3ABCF60E" w14:textId="77777777" w:rsidR="00472217" w:rsidRPr="00472217" w:rsidRDefault="00472217" w:rsidP="00472217">
      <w:pPr>
        <w:spacing w:after="0" w:line="240" w:lineRule="auto"/>
        <w:ind w:left="0" w:right="0" w:firstLine="0"/>
        <w:jc w:val="center"/>
        <w:rPr>
          <w:rFonts w:ascii="Times New Roman" w:hAnsi="Times New Roman" w:cs="Times New Roman"/>
          <w:b/>
          <w:sz w:val="24"/>
          <w:szCs w:val="24"/>
        </w:rPr>
      </w:pPr>
      <w:r w:rsidRPr="00472217">
        <w:rPr>
          <w:rFonts w:ascii="Times New Roman" w:hAnsi="Times New Roman" w:cs="Times New Roman"/>
          <w:b/>
          <w:sz w:val="24"/>
          <w:szCs w:val="24"/>
        </w:rPr>
        <w:t>Ukupni rizik za KLIZIŠTA - umjeren rizik</w:t>
      </w:r>
    </w:p>
    <w:p w14:paraId="7E384442" w14:textId="77777777" w:rsidR="00472217" w:rsidRPr="00472217" w:rsidRDefault="00472217" w:rsidP="00472217">
      <w:pPr>
        <w:spacing w:after="0" w:line="240" w:lineRule="auto"/>
        <w:ind w:left="0" w:right="1" w:firstLine="0"/>
        <w:jc w:val="center"/>
        <w:rPr>
          <w:rFonts w:ascii="Times New Roman" w:hAnsi="Times New Roman" w:cs="Times New Roman"/>
          <w:b/>
          <w:color w:val="auto"/>
          <w:sz w:val="24"/>
          <w:szCs w:val="24"/>
        </w:rPr>
      </w:pPr>
      <w:r w:rsidRPr="00472217">
        <w:rPr>
          <w:noProof/>
        </w:rPr>
        <w:drawing>
          <wp:inline distT="0" distB="0" distL="0" distR="0" wp14:anchorId="79EE5B65" wp14:editId="4835272E">
            <wp:extent cx="4876800" cy="37719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28448" t="14915" r="26784" b="15082"/>
                    <a:stretch/>
                  </pic:blipFill>
                  <pic:spPr bwMode="auto">
                    <a:xfrm>
                      <a:off x="0" y="0"/>
                      <a:ext cx="4876800" cy="3771900"/>
                    </a:xfrm>
                    <a:prstGeom prst="rect">
                      <a:avLst/>
                    </a:prstGeom>
                    <a:noFill/>
                    <a:ln>
                      <a:noFill/>
                    </a:ln>
                    <a:extLst>
                      <a:ext uri="{53640926-AAD7-44D8-BBD7-CCE9431645EC}">
                        <a14:shadowObscured xmlns:a14="http://schemas.microsoft.com/office/drawing/2010/main"/>
                      </a:ext>
                    </a:extLst>
                  </pic:spPr>
                </pic:pic>
              </a:graphicData>
            </a:graphic>
          </wp:inline>
        </w:drawing>
      </w:r>
    </w:p>
    <w:p w14:paraId="3663FC79" w14:textId="2639FF6E" w:rsidR="00C5768E" w:rsidRDefault="00C5768E" w:rsidP="00472217">
      <w:pPr>
        <w:spacing w:after="0" w:line="240" w:lineRule="auto"/>
        <w:ind w:left="0" w:right="1" w:firstLine="0"/>
        <w:rPr>
          <w:rFonts w:ascii="Times New Roman" w:hAnsi="Times New Roman" w:cs="Times New Roman"/>
          <w:b/>
          <w:color w:val="auto"/>
          <w:sz w:val="24"/>
          <w:szCs w:val="24"/>
        </w:rPr>
      </w:pPr>
    </w:p>
    <w:p w14:paraId="77B183FF" w14:textId="77777777" w:rsidR="004E0BF6" w:rsidRDefault="004E0BF6" w:rsidP="00472217">
      <w:pPr>
        <w:spacing w:after="0" w:line="240" w:lineRule="auto"/>
        <w:ind w:left="0" w:right="1" w:firstLine="0"/>
        <w:rPr>
          <w:rFonts w:ascii="Times New Roman" w:hAnsi="Times New Roman" w:cs="Times New Roman"/>
          <w:b/>
          <w:color w:val="auto"/>
          <w:sz w:val="24"/>
          <w:szCs w:val="24"/>
        </w:rPr>
      </w:pPr>
    </w:p>
    <w:p w14:paraId="39222882" w14:textId="75A28ABE" w:rsidR="00472217" w:rsidRPr="00472217" w:rsidRDefault="00472217" w:rsidP="006F21BC">
      <w:pPr>
        <w:spacing w:after="0" w:line="240" w:lineRule="auto"/>
        <w:ind w:left="0" w:right="1" w:firstLine="709"/>
        <w:rPr>
          <w:rFonts w:ascii="Times New Roman" w:hAnsi="Times New Roman" w:cs="Times New Roman"/>
          <w:b/>
          <w:color w:val="auto"/>
          <w:sz w:val="24"/>
          <w:szCs w:val="24"/>
        </w:rPr>
      </w:pPr>
      <w:r w:rsidRPr="00472217">
        <w:rPr>
          <w:rFonts w:ascii="Times New Roman" w:hAnsi="Times New Roman" w:cs="Times New Roman"/>
          <w:b/>
          <w:color w:val="auto"/>
          <w:sz w:val="24"/>
          <w:szCs w:val="24"/>
        </w:rPr>
        <w:t>6.8.7. Karte rizika</w:t>
      </w:r>
    </w:p>
    <w:p w14:paraId="2F15F7B8" w14:textId="77777777" w:rsidR="00472217" w:rsidRPr="00472217" w:rsidRDefault="00472217" w:rsidP="00472217">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Najniža teritorijalna jedinica za procjenu rizika na području Grada Zagreba je gradska četvrt. Unutar svake gradske četvrti rizik je procijenjen na osnovi triju parametara (kriterija): površina podložnosti na klizanje</w:t>
      </w:r>
      <w:r w:rsidRPr="00472217">
        <w:rPr>
          <w:rFonts w:ascii="Times New Roman" w:hAnsi="Times New Roman" w:cs="Times New Roman"/>
          <w:sz w:val="24"/>
          <w:szCs w:val="24"/>
          <w:vertAlign w:val="superscript"/>
        </w:rPr>
        <w:footnoteReference w:id="132"/>
      </w:r>
      <w:r w:rsidRPr="00472217">
        <w:rPr>
          <w:rFonts w:ascii="Times New Roman" w:hAnsi="Times New Roman" w:cs="Times New Roman"/>
          <w:sz w:val="24"/>
          <w:szCs w:val="24"/>
        </w:rPr>
        <w:t xml:space="preserve">, gustoća naseljenosti i ugroženost kritične infrastrukture. </w:t>
      </w:r>
      <w:r w:rsidRPr="00472217">
        <w:rPr>
          <w:rFonts w:ascii="Times New Roman" w:hAnsi="Times New Roman" w:cs="Times New Roman"/>
          <w:sz w:val="24"/>
          <w:szCs w:val="24"/>
        </w:rPr>
        <w:lastRenderedPageBreak/>
        <w:t>Svaki parametar (kriterij) ima četiri vrijednosti: nizak rizik (zelena boja), umjeren rizik (žuta boja), visok rizik (narančasta boja) i vrlo visok rizik (crvena boja). Što je veći ukupan rizik, teže su posljedice događaja unutar gradske četvrti. Procjena rizika na razinama gradskih četvrti pomaže da se detektiraju kritične točke u prostoru na koje je u slučaju pojave neželjenog događaja potrebno obratiti posebnu pozornost ili područja na kojima je potrebno planirati dodatne preventivne mjere kako bi se smanjio rizik.</w:t>
      </w:r>
    </w:p>
    <w:p w14:paraId="6E255C86" w14:textId="6D862D04" w:rsidR="00472217" w:rsidRDefault="00472217" w:rsidP="00472217">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Podložnost na klizanje</w:t>
      </w:r>
      <w:r w:rsidRPr="00472217">
        <w:t xml:space="preserve"> </w:t>
      </w:r>
      <w:r w:rsidRPr="00472217">
        <w:rPr>
          <w:rFonts w:ascii="Times New Roman" w:hAnsi="Times New Roman" w:cs="Times New Roman"/>
          <w:sz w:val="24"/>
          <w:szCs w:val="24"/>
        </w:rPr>
        <w:t>može se definirati kao prostorna vjerojatnost klizanja (nastanka ili reaktivacije pojave klizišta) za unaprijed definirane preduvjete klizanja.</w:t>
      </w:r>
      <w:r w:rsidRPr="00472217">
        <w:t xml:space="preserve"> </w:t>
      </w:r>
      <w:r w:rsidRPr="00472217">
        <w:rPr>
          <w:rFonts w:ascii="Times New Roman" w:hAnsi="Times New Roman" w:cs="Times New Roman"/>
          <w:sz w:val="24"/>
          <w:szCs w:val="24"/>
        </w:rPr>
        <w:t>Ulazni podaci za analizu podložnosti na klizanje su Osnovna geološka karta mjerila 1:300.000 (HGI, 2009) i karta nagiba terena izvedena iz digitalnog modela terena (DMT) rezolucije 20x20 m</w:t>
      </w:r>
      <w:r w:rsidRPr="00472217">
        <w:rPr>
          <w:rFonts w:ascii="Times New Roman" w:hAnsi="Times New Roman" w:cs="Times New Roman"/>
          <w:sz w:val="24"/>
          <w:szCs w:val="24"/>
          <w:vertAlign w:val="superscript"/>
        </w:rPr>
        <w:footnoteReference w:id="133"/>
      </w:r>
      <w:r w:rsidRPr="00472217">
        <w:rPr>
          <w:rFonts w:ascii="Times New Roman" w:hAnsi="Times New Roman" w:cs="Times New Roman"/>
          <w:sz w:val="24"/>
          <w:szCs w:val="24"/>
        </w:rPr>
        <w:t xml:space="preserve">. </w:t>
      </w:r>
    </w:p>
    <w:p w14:paraId="4F79EB76" w14:textId="77777777" w:rsidR="006F21BC" w:rsidRPr="00472217" w:rsidRDefault="006F21BC" w:rsidP="00472217">
      <w:pPr>
        <w:spacing w:after="0" w:line="240" w:lineRule="auto"/>
        <w:ind w:left="0" w:right="0" w:firstLine="709"/>
        <w:rPr>
          <w:rFonts w:ascii="Times New Roman" w:hAnsi="Times New Roman" w:cs="Times New Roman"/>
          <w:sz w:val="24"/>
          <w:szCs w:val="24"/>
        </w:rPr>
      </w:pPr>
    </w:p>
    <w:p w14:paraId="1235BDD2" w14:textId="77777777" w:rsidR="00472217" w:rsidRPr="00472217" w:rsidRDefault="00472217" w:rsidP="00472217">
      <w:pPr>
        <w:spacing w:after="0" w:line="240" w:lineRule="auto"/>
        <w:ind w:left="0" w:right="0" w:firstLine="709"/>
        <w:rPr>
          <w:rFonts w:ascii="Times New Roman" w:hAnsi="Times New Roman" w:cs="Times New Roman"/>
          <w:color w:val="auto"/>
          <w:sz w:val="24"/>
          <w:szCs w:val="24"/>
        </w:rPr>
      </w:pPr>
      <w:r w:rsidRPr="00472217">
        <w:rPr>
          <w:rFonts w:ascii="Times New Roman" w:hAnsi="Times New Roman" w:cs="Times New Roman"/>
          <w:color w:val="auto"/>
          <w:sz w:val="24"/>
          <w:szCs w:val="24"/>
        </w:rPr>
        <w:t>Vrijednosti parametara (kriterija) procjenjuju se na sljedeći način:</w:t>
      </w:r>
    </w:p>
    <w:p w14:paraId="32BFCC00" w14:textId="77777777" w:rsidR="00472217" w:rsidRPr="00472217" w:rsidRDefault="00472217" w:rsidP="0014113B">
      <w:pPr>
        <w:numPr>
          <w:ilvl w:val="0"/>
          <w:numId w:val="26"/>
        </w:numPr>
        <w:spacing w:after="0" w:line="240" w:lineRule="auto"/>
        <w:ind w:left="0" w:right="0" w:firstLine="709"/>
        <w:contextualSpacing/>
        <w:rPr>
          <w:rFonts w:ascii="Times New Roman" w:hAnsi="Times New Roman" w:cs="Times New Roman"/>
          <w:color w:val="auto"/>
          <w:sz w:val="24"/>
          <w:szCs w:val="24"/>
        </w:rPr>
      </w:pPr>
      <w:r w:rsidRPr="00472217">
        <w:rPr>
          <w:rFonts w:ascii="Times New Roman" w:hAnsi="Times New Roman" w:cs="Times New Roman"/>
          <w:color w:val="auto"/>
          <w:sz w:val="24"/>
          <w:szCs w:val="24"/>
        </w:rPr>
        <w:t>ako površina vrlo visoke i visoke podložnosti na klizanje u pojedinoj gradskoj četvrti iznosi više od 70% u odnosu na ukupnu površinu gradske četvrti, onda je stupanj ugroženosti vrlo visok (crveno),</w:t>
      </w:r>
    </w:p>
    <w:p w14:paraId="0301E403" w14:textId="77777777" w:rsidR="00472217" w:rsidRPr="00472217" w:rsidRDefault="00472217" w:rsidP="0014113B">
      <w:pPr>
        <w:numPr>
          <w:ilvl w:val="0"/>
          <w:numId w:val="26"/>
        </w:numPr>
        <w:spacing w:after="0" w:line="240" w:lineRule="auto"/>
        <w:ind w:left="0" w:right="0" w:firstLine="709"/>
        <w:contextualSpacing/>
        <w:rPr>
          <w:rFonts w:ascii="Times New Roman" w:hAnsi="Times New Roman" w:cs="Times New Roman"/>
          <w:color w:val="auto"/>
          <w:sz w:val="24"/>
          <w:szCs w:val="24"/>
        </w:rPr>
      </w:pPr>
      <w:r w:rsidRPr="00472217">
        <w:rPr>
          <w:rFonts w:ascii="Times New Roman" w:hAnsi="Times New Roman" w:cs="Times New Roman"/>
          <w:color w:val="auto"/>
          <w:sz w:val="24"/>
          <w:szCs w:val="24"/>
        </w:rPr>
        <w:t>ako površina vrlo visoke i visoke podložnosti na klizanje u pojedinoj gradskoj četvrti iznosi između 50 i 70% u odnosu na ukupnu površinu gradske četvrti, onda je stupanj ugroženosti visok,</w:t>
      </w:r>
    </w:p>
    <w:p w14:paraId="7A94E98E" w14:textId="77777777" w:rsidR="00472217" w:rsidRPr="00472217" w:rsidRDefault="00472217" w:rsidP="0014113B">
      <w:pPr>
        <w:numPr>
          <w:ilvl w:val="0"/>
          <w:numId w:val="26"/>
        </w:numPr>
        <w:spacing w:after="0" w:line="240" w:lineRule="auto"/>
        <w:ind w:left="0" w:right="0" w:firstLine="709"/>
        <w:contextualSpacing/>
        <w:rPr>
          <w:rFonts w:ascii="Times New Roman" w:hAnsi="Times New Roman" w:cs="Times New Roman"/>
          <w:color w:val="auto"/>
          <w:sz w:val="24"/>
          <w:szCs w:val="24"/>
        </w:rPr>
      </w:pPr>
      <w:r w:rsidRPr="00472217">
        <w:rPr>
          <w:rFonts w:ascii="Times New Roman" w:hAnsi="Times New Roman" w:cs="Times New Roman"/>
          <w:color w:val="auto"/>
          <w:sz w:val="24"/>
          <w:szCs w:val="24"/>
        </w:rPr>
        <w:t>ako površina vrlo visoke i visoke podložnosti na klizanje u pojedinoj gradskoj četvrti iznosi između 10 i 50% u odnosu na ukupnu površinu gradske četvrti, onda je stupanj ugroženosti umjeren,</w:t>
      </w:r>
    </w:p>
    <w:p w14:paraId="3DD0DBB5" w14:textId="77777777" w:rsidR="00472217" w:rsidRPr="00472217" w:rsidRDefault="00472217" w:rsidP="0014113B">
      <w:pPr>
        <w:numPr>
          <w:ilvl w:val="0"/>
          <w:numId w:val="26"/>
        </w:numPr>
        <w:spacing w:after="0" w:line="240" w:lineRule="auto"/>
        <w:ind w:left="0" w:right="0" w:firstLine="709"/>
        <w:contextualSpacing/>
        <w:rPr>
          <w:rFonts w:ascii="Times New Roman" w:hAnsi="Times New Roman" w:cs="Times New Roman"/>
          <w:color w:val="auto"/>
          <w:sz w:val="24"/>
          <w:szCs w:val="24"/>
        </w:rPr>
      </w:pPr>
      <w:r w:rsidRPr="00472217">
        <w:rPr>
          <w:rFonts w:ascii="Times New Roman" w:hAnsi="Times New Roman" w:cs="Times New Roman"/>
          <w:color w:val="auto"/>
          <w:sz w:val="24"/>
          <w:szCs w:val="24"/>
        </w:rPr>
        <w:t>ako površina vrlo visoke i visoke podložnosti na klizanje u pojedinoj gradskoj četvrti iznosi manje od 10% u odnosu na ukupnu površinu gradske četvrti, onda je stupanj ugroženosti nizak.</w:t>
      </w:r>
    </w:p>
    <w:p w14:paraId="0721C2B4" w14:textId="77777777" w:rsidR="00472217" w:rsidRPr="00472217" w:rsidRDefault="00472217" w:rsidP="00472217">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Rizik je veći ako je veća površina pojedine gradske četvrti obuhvaćena podložnošću na klizanje, jer pretpostavlja se da će uslijed masovne aktivacije klizišta na području Grada Zagreba, ta gradska četvrt imati najveće posljedice (cestovna odsječenost, otežano prometovanje, najviše privremeno evakuiranih stanovnika).</w:t>
      </w:r>
    </w:p>
    <w:p w14:paraId="353739C0" w14:textId="77777777" w:rsidR="00472217" w:rsidRPr="00472217" w:rsidRDefault="00472217" w:rsidP="00472217">
      <w:pPr>
        <w:spacing w:after="0" w:line="240" w:lineRule="auto"/>
        <w:ind w:left="0" w:right="0" w:firstLine="709"/>
        <w:rPr>
          <w:rFonts w:ascii="Times New Roman" w:hAnsi="Times New Roman" w:cs="Times New Roman"/>
          <w:sz w:val="24"/>
          <w:szCs w:val="24"/>
        </w:rPr>
      </w:pPr>
    </w:p>
    <w:p w14:paraId="22AF43BB" w14:textId="77777777" w:rsidR="00472217" w:rsidRPr="00472217" w:rsidRDefault="00472217" w:rsidP="00472217">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Gustoća naseljenosti je bitan parametar koji nam pomaže rangirati opasnost jer što je veći broj stanovnika po četvornom kilometru, veći je i rizik da će klizište napraviti štetu na objektima i komunalnoj infrastrukturi. Crvenom bojom su označene gradske četvrti sa 1501-4500 stanovnika po četvornom kilometru, narančastom bojom gradske četvrti sa 501-1500 stanovnika po četvornom kilometru, a žutom bojom gradske četvrti sa manje od 500 stanovnika po četvornom kilometru.</w:t>
      </w:r>
    </w:p>
    <w:p w14:paraId="26B76109" w14:textId="77777777" w:rsidR="00472217" w:rsidRPr="00472217" w:rsidRDefault="00472217" w:rsidP="00472217">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Utjecaj događaja na kritičnu infrastrukturu procjenjuje se s obzirom na posljedice koje klizište ostavlja poglavito na cestovnu povezanost. U slučaju ugrožavanja bitnih (glavnih) prometnica, rizik je vrlo velik (to je npr. slučaj odrona na Aleji Bologne koji prometno odsijeca zapadni dio grada i onemogućava prometnu komunikaciju prema Zagorju). Utjecaj je procijenjen s obzirom na broj klizišta koja su 2013. godine utjecala na prometnu infrastrukturu.</w:t>
      </w:r>
    </w:p>
    <w:p w14:paraId="2F83D4F4" w14:textId="77777777" w:rsidR="00472217" w:rsidRPr="00472217" w:rsidRDefault="00472217" w:rsidP="00472217">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 xml:space="preserve">Gradske četvrti u kojima niska podložnost na klizanje obuhvaća 100% površine su: Donja Dubrava, Novi Zagreb - zapad, Peščenica - Žitnjak, Trešnjevka - jug i Trnje. Gradske četvrti u kojima površina podložnosti na klizanje iznosi do 10% su: Donji Grad, Stenjevec, Trešnjevka - sjever i Novi Zagreb - istok. Te gradske četvrti na karti su obilježene zelenom bojom, a u tablici su dva parametra (kriterija) obilježena bijelom bojom jer nisu relevantni za procjenjivanje rizika. </w:t>
      </w:r>
    </w:p>
    <w:p w14:paraId="1CE3183E" w14:textId="30F2F299" w:rsidR="00472217" w:rsidRDefault="00472217" w:rsidP="00472217">
      <w:pPr>
        <w:spacing w:after="0" w:line="240" w:lineRule="auto"/>
        <w:ind w:left="0" w:right="0" w:firstLine="709"/>
        <w:rPr>
          <w:rFonts w:ascii="Times New Roman" w:hAnsi="Times New Roman" w:cs="Times New Roman"/>
          <w:sz w:val="24"/>
          <w:szCs w:val="24"/>
        </w:rPr>
      </w:pPr>
      <w:r w:rsidRPr="00472217">
        <w:rPr>
          <w:rFonts w:ascii="Times New Roman" w:hAnsi="Times New Roman" w:cs="Times New Roman"/>
          <w:sz w:val="24"/>
          <w:szCs w:val="24"/>
        </w:rPr>
        <w:t xml:space="preserve">Unatoč tome što površina podložnosti na klizanje u gradskoj četvrti Podsused-Vrapče iznosi 42.54% te je time sukladno kriterijima stupanj ugroženosti umjeren, na području te </w:t>
      </w:r>
      <w:r w:rsidRPr="00472217">
        <w:rPr>
          <w:rFonts w:ascii="Times New Roman" w:hAnsi="Times New Roman" w:cs="Times New Roman"/>
          <w:sz w:val="24"/>
          <w:szCs w:val="24"/>
        </w:rPr>
        <w:lastRenderedPageBreak/>
        <w:t xml:space="preserve">gradske četvrti se nalazi najveće klizište u Republici Hrvatskoj, pa je samim time ukupan rizik procijenjen kao vrlo visok. </w:t>
      </w:r>
    </w:p>
    <w:p w14:paraId="7351ACC6" w14:textId="77777777" w:rsidR="004E0BF6" w:rsidRPr="00472217" w:rsidRDefault="004E0BF6" w:rsidP="00472217">
      <w:pPr>
        <w:spacing w:after="0" w:line="240" w:lineRule="auto"/>
        <w:ind w:left="0" w:right="0" w:firstLine="709"/>
        <w:rPr>
          <w:rFonts w:ascii="Times New Roman" w:hAnsi="Times New Roman" w:cs="Times New Roman"/>
          <w:sz w:val="24"/>
          <w:szCs w:val="24"/>
        </w:rPr>
      </w:pPr>
    </w:p>
    <w:p w14:paraId="758766E0" w14:textId="2F6C354A" w:rsidR="00472217" w:rsidRPr="00867137" w:rsidRDefault="00472217" w:rsidP="00132C6C">
      <w:pPr>
        <w:keepNext/>
        <w:keepLines/>
        <w:spacing w:line="240" w:lineRule="auto"/>
        <w:ind w:left="0" w:right="0" w:firstLine="0"/>
        <w:jc w:val="center"/>
        <w:outlineLvl w:val="3"/>
        <w:rPr>
          <w:rFonts w:ascii="Times New Roman" w:hAnsi="Times New Roman" w:cs="Times New Roman"/>
          <w:b/>
          <w:color w:val="auto"/>
          <w:sz w:val="24"/>
          <w:szCs w:val="24"/>
        </w:rPr>
      </w:pPr>
      <w:r w:rsidRPr="00867137">
        <w:rPr>
          <w:rFonts w:ascii="Times New Roman" w:hAnsi="Times New Roman" w:cs="Times New Roman"/>
          <w:b/>
          <w:color w:val="auto"/>
          <w:sz w:val="24"/>
          <w:szCs w:val="24"/>
        </w:rPr>
        <w:t xml:space="preserve">Tablica </w:t>
      </w:r>
      <w:r w:rsidR="00867137" w:rsidRPr="00867137">
        <w:rPr>
          <w:rFonts w:ascii="Times New Roman" w:hAnsi="Times New Roman" w:cs="Times New Roman"/>
          <w:b/>
          <w:color w:val="auto"/>
          <w:sz w:val="24"/>
          <w:szCs w:val="24"/>
        </w:rPr>
        <w:t>133</w:t>
      </w:r>
      <w:r w:rsidRPr="00867137">
        <w:rPr>
          <w:rFonts w:ascii="Times New Roman" w:hAnsi="Times New Roman" w:cs="Times New Roman"/>
          <w:b/>
          <w:color w:val="auto"/>
          <w:sz w:val="24"/>
          <w:szCs w:val="24"/>
        </w:rPr>
        <w:t xml:space="preserve">. Procjena rizika na razini gradskih četvrti </w:t>
      </w:r>
    </w:p>
    <w:tbl>
      <w:tblPr>
        <w:tblStyle w:val="TableGrid31"/>
        <w:tblW w:w="8784" w:type="dxa"/>
        <w:jc w:val="center"/>
        <w:tblInd w:w="0" w:type="dxa"/>
        <w:tblCellMar>
          <w:top w:w="5" w:type="dxa"/>
          <w:left w:w="107" w:type="dxa"/>
          <w:right w:w="56" w:type="dxa"/>
        </w:tblCellMar>
        <w:tblLook w:val="04A0" w:firstRow="1" w:lastRow="0" w:firstColumn="1" w:lastColumn="0" w:noHBand="0" w:noVBand="1"/>
      </w:tblPr>
      <w:tblGrid>
        <w:gridCol w:w="705"/>
        <w:gridCol w:w="1847"/>
        <w:gridCol w:w="1490"/>
        <w:gridCol w:w="1673"/>
        <w:gridCol w:w="1657"/>
        <w:gridCol w:w="1412"/>
      </w:tblGrid>
      <w:tr w:rsidR="00472217" w:rsidRPr="00472217" w14:paraId="0E5B9370" w14:textId="77777777" w:rsidTr="004E0BF6">
        <w:trPr>
          <w:trHeight w:val="882"/>
          <w:tblHeader/>
          <w:jc w:val="center"/>
        </w:trPr>
        <w:tc>
          <w:tcPr>
            <w:tcW w:w="7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3A5F1777"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bookmarkStart w:id="121" w:name="_Hlk108689151"/>
            <w:r w:rsidRPr="00472217">
              <w:rPr>
                <w:rFonts w:ascii="Times New Roman" w:hAnsi="Times New Roman" w:cs="Times New Roman"/>
                <w:b/>
                <w:sz w:val="24"/>
                <w:szCs w:val="24"/>
              </w:rPr>
              <w:t xml:space="preserve">R.br. </w:t>
            </w:r>
          </w:p>
        </w:tc>
        <w:tc>
          <w:tcPr>
            <w:tcW w:w="1847"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6D13F9A8"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b/>
                <w:sz w:val="24"/>
                <w:szCs w:val="24"/>
              </w:rPr>
              <w:t xml:space="preserve">Gradska četvrt </w:t>
            </w:r>
          </w:p>
        </w:tc>
        <w:tc>
          <w:tcPr>
            <w:tcW w:w="1490" w:type="dxa"/>
            <w:tcBorders>
              <w:top w:val="single" w:sz="4" w:space="0" w:color="000000"/>
              <w:left w:val="single" w:sz="4" w:space="0" w:color="000000"/>
              <w:bottom w:val="single" w:sz="4" w:space="0" w:color="000000"/>
              <w:right w:val="single" w:sz="4" w:space="0" w:color="000000"/>
            </w:tcBorders>
            <w:shd w:val="clear" w:color="auto" w:fill="00B0F0"/>
          </w:tcPr>
          <w:p w14:paraId="325DA289"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b/>
                <w:sz w:val="24"/>
                <w:szCs w:val="24"/>
              </w:rPr>
              <w:t xml:space="preserve">Površina podložnosti na klizanje </w:t>
            </w:r>
          </w:p>
        </w:tc>
        <w:tc>
          <w:tcPr>
            <w:tcW w:w="1673" w:type="dxa"/>
            <w:tcBorders>
              <w:top w:val="single" w:sz="4" w:space="0" w:color="000000"/>
              <w:left w:val="single" w:sz="4" w:space="0" w:color="000000"/>
              <w:bottom w:val="single" w:sz="4" w:space="0" w:color="000000"/>
              <w:right w:val="single" w:sz="4" w:space="0" w:color="000000"/>
            </w:tcBorders>
            <w:shd w:val="clear" w:color="auto" w:fill="00B0F0"/>
          </w:tcPr>
          <w:p w14:paraId="4D312907" w14:textId="77777777" w:rsidR="00472217" w:rsidRPr="00472217" w:rsidRDefault="00472217" w:rsidP="00472217">
            <w:pPr>
              <w:spacing w:after="0" w:line="240" w:lineRule="auto"/>
              <w:ind w:left="0" w:right="0" w:firstLine="0"/>
              <w:jc w:val="center"/>
              <w:rPr>
                <w:rFonts w:ascii="Times New Roman" w:hAnsi="Times New Roman" w:cs="Times New Roman"/>
                <w:b/>
                <w:sz w:val="24"/>
                <w:szCs w:val="24"/>
              </w:rPr>
            </w:pPr>
            <w:r w:rsidRPr="00472217">
              <w:rPr>
                <w:rFonts w:ascii="Times New Roman" w:hAnsi="Times New Roman" w:cs="Times New Roman"/>
                <w:b/>
                <w:sz w:val="24"/>
                <w:szCs w:val="24"/>
              </w:rPr>
              <w:t>Gustoća naseljenosti</w:t>
            </w:r>
          </w:p>
        </w:tc>
        <w:tc>
          <w:tcPr>
            <w:tcW w:w="1657" w:type="dxa"/>
            <w:tcBorders>
              <w:top w:val="single" w:sz="4" w:space="0" w:color="000000"/>
              <w:left w:val="single" w:sz="4" w:space="0" w:color="000000"/>
              <w:bottom w:val="single" w:sz="4" w:space="0" w:color="000000"/>
              <w:right w:val="single" w:sz="4" w:space="0" w:color="000000"/>
            </w:tcBorders>
            <w:shd w:val="clear" w:color="auto" w:fill="00B0F0"/>
          </w:tcPr>
          <w:p w14:paraId="71FFC16A" w14:textId="77777777" w:rsidR="00472217" w:rsidRPr="00472217" w:rsidRDefault="00472217" w:rsidP="00472217">
            <w:pPr>
              <w:spacing w:after="0" w:line="240" w:lineRule="auto"/>
              <w:ind w:left="0" w:right="0" w:firstLine="0"/>
              <w:jc w:val="center"/>
              <w:rPr>
                <w:rFonts w:ascii="Times New Roman" w:hAnsi="Times New Roman" w:cs="Times New Roman"/>
                <w:b/>
                <w:sz w:val="24"/>
                <w:szCs w:val="24"/>
              </w:rPr>
            </w:pPr>
            <w:r w:rsidRPr="00472217">
              <w:rPr>
                <w:rFonts w:ascii="Times New Roman" w:hAnsi="Times New Roman" w:cs="Times New Roman"/>
                <w:b/>
                <w:sz w:val="24"/>
                <w:szCs w:val="24"/>
              </w:rPr>
              <w:t>Kritična infrastruktura</w:t>
            </w:r>
          </w:p>
        </w:tc>
        <w:tc>
          <w:tcPr>
            <w:tcW w:w="1412"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7BABF178"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b/>
                <w:sz w:val="24"/>
                <w:szCs w:val="24"/>
              </w:rPr>
              <w:t xml:space="preserve">UKUPNO </w:t>
            </w:r>
          </w:p>
        </w:tc>
      </w:tr>
      <w:bookmarkEnd w:id="121"/>
      <w:tr w:rsidR="00472217" w:rsidRPr="00472217" w14:paraId="30D17AD4" w14:textId="77777777" w:rsidTr="004E0BF6">
        <w:trPr>
          <w:trHeight w:val="592"/>
          <w:tblHeader/>
          <w:jc w:val="center"/>
        </w:trPr>
        <w:tc>
          <w:tcPr>
            <w:tcW w:w="7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6A33F97D"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1. </w:t>
            </w:r>
          </w:p>
        </w:tc>
        <w:tc>
          <w:tcPr>
            <w:tcW w:w="1847" w:type="dxa"/>
            <w:tcBorders>
              <w:top w:val="single" w:sz="4" w:space="0" w:color="000000"/>
              <w:left w:val="single" w:sz="4" w:space="0" w:color="000000"/>
              <w:bottom w:val="single" w:sz="4" w:space="0" w:color="000000"/>
              <w:right w:val="single" w:sz="4" w:space="0" w:color="000000"/>
            </w:tcBorders>
          </w:tcPr>
          <w:p w14:paraId="66F72D63"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Brezovica </w:t>
            </w:r>
          </w:p>
          <w:p w14:paraId="33952E45"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490"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7D1CD7D7"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673" w:type="dxa"/>
            <w:tcBorders>
              <w:top w:val="single" w:sz="4" w:space="0" w:color="000000"/>
              <w:left w:val="single" w:sz="4" w:space="0" w:color="000000"/>
              <w:bottom w:val="single" w:sz="4" w:space="0" w:color="000000"/>
              <w:right w:val="single" w:sz="4" w:space="0" w:color="000000"/>
            </w:tcBorders>
            <w:shd w:val="clear" w:color="auto" w:fill="FFFF00"/>
          </w:tcPr>
          <w:p w14:paraId="56915DF2"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657" w:type="dxa"/>
            <w:tcBorders>
              <w:top w:val="single" w:sz="4" w:space="0" w:color="000000"/>
              <w:left w:val="single" w:sz="4" w:space="0" w:color="000000"/>
              <w:bottom w:val="single" w:sz="4" w:space="0" w:color="000000"/>
              <w:right w:val="single" w:sz="4" w:space="0" w:color="000000"/>
            </w:tcBorders>
            <w:shd w:val="clear" w:color="auto" w:fill="FFFF00"/>
          </w:tcPr>
          <w:p w14:paraId="21CDFD15"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p>
        </w:tc>
        <w:tc>
          <w:tcPr>
            <w:tcW w:w="141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7672E53E"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r>
      <w:tr w:rsidR="00472217" w:rsidRPr="00472217" w14:paraId="29F291F8" w14:textId="77777777" w:rsidTr="004E0BF6">
        <w:trPr>
          <w:trHeight w:val="592"/>
          <w:tblHeader/>
          <w:jc w:val="center"/>
        </w:trPr>
        <w:tc>
          <w:tcPr>
            <w:tcW w:w="7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6F61E1DE"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2. </w:t>
            </w:r>
          </w:p>
        </w:tc>
        <w:tc>
          <w:tcPr>
            <w:tcW w:w="1847" w:type="dxa"/>
            <w:tcBorders>
              <w:top w:val="single" w:sz="4" w:space="0" w:color="000000"/>
              <w:left w:val="single" w:sz="4" w:space="0" w:color="000000"/>
              <w:bottom w:val="single" w:sz="4" w:space="0" w:color="000000"/>
              <w:right w:val="single" w:sz="4" w:space="0" w:color="000000"/>
            </w:tcBorders>
          </w:tcPr>
          <w:p w14:paraId="1922ED19"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Črnomerec </w:t>
            </w:r>
          </w:p>
          <w:p w14:paraId="6BEE9DD7"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49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C2A1F11"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673" w:type="dxa"/>
            <w:tcBorders>
              <w:top w:val="single" w:sz="4" w:space="0" w:color="000000"/>
              <w:left w:val="single" w:sz="4" w:space="0" w:color="000000"/>
              <w:bottom w:val="single" w:sz="4" w:space="0" w:color="000000"/>
              <w:right w:val="single" w:sz="4" w:space="0" w:color="000000"/>
            </w:tcBorders>
            <w:shd w:val="clear" w:color="auto" w:fill="FF0000"/>
          </w:tcPr>
          <w:p w14:paraId="36F6A0A0" w14:textId="77777777" w:rsidR="00472217" w:rsidRPr="00472217" w:rsidRDefault="00472217" w:rsidP="00472217">
            <w:pPr>
              <w:spacing w:after="0" w:line="240" w:lineRule="auto"/>
              <w:ind w:left="0" w:right="0" w:firstLine="0"/>
              <w:jc w:val="left"/>
              <w:rPr>
                <w:rFonts w:ascii="Times New Roman" w:hAnsi="Times New Roman" w:cs="Times New Roman"/>
                <w:color w:val="FF0000"/>
                <w:sz w:val="24"/>
                <w:szCs w:val="24"/>
              </w:rPr>
            </w:pPr>
            <w:r w:rsidRPr="00472217">
              <w:rPr>
                <w:rFonts w:ascii="Times New Roman" w:hAnsi="Times New Roman" w:cs="Times New Roman"/>
                <w:sz w:val="24"/>
                <w:szCs w:val="24"/>
              </w:rPr>
              <w:t xml:space="preserve"> </w:t>
            </w:r>
          </w:p>
        </w:tc>
        <w:tc>
          <w:tcPr>
            <w:tcW w:w="1657" w:type="dxa"/>
            <w:tcBorders>
              <w:top w:val="single" w:sz="4" w:space="0" w:color="000000"/>
              <w:left w:val="single" w:sz="4" w:space="0" w:color="000000"/>
              <w:bottom w:val="single" w:sz="4" w:space="0" w:color="000000"/>
              <w:right w:val="single" w:sz="4" w:space="0" w:color="000000"/>
            </w:tcBorders>
            <w:shd w:val="clear" w:color="auto" w:fill="FF0000"/>
          </w:tcPr>
          <w:p w14:paraId="2E7CDE9C" w14:textId="77777777" w:rsidR="00472217" w:rsidRPr="00472217" w:rsidRDefault="00472217" w:rsidP="00472217">
            <w:pPr>
              <w:spacing w:after="0" w:line="240" w:lineRule="auto"/>
              <w:ind w:left="0" w:right="0" w:firstLine="0"/>
              <w:jc w:val="left"/>
              <w:rPr>
                <w:rFonts w:ascii="Times New Roman" w:hAnsi="Times New Roman" w:cs="Times New Roman"/>
                <w:color w:val="FF0000"/>
                <w:sz w:val="24"/>
                <w:szCs w:val="24"/>
              </w:rPr>
            </w:pPr>
          </w:p>
        </w:tc>
        <w:tc>
          <w:tcPr>
            <w:tcW w:w="141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0774E144"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r>
      <w:tr w:rsidR="00472217" w:rsidRPr="00472217" w14:paraId="50F4B965" w14:textId="77777777" w:rsidTr="004E0BF6">
        <w:trPr>
          <w:trHeight w:val="593"/>
          <w:tblHeader/>
          <w:jc w:val="center"/>
        </w:trPr>
        <w:tc>
          <w:tcPr>
            <w:tcW w:w="7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9D6ADA2"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3. </w:t>
            </w:r>
          </w:p>
        </w:tc>
        <w:tc>
          <w:tcPr>
            <w:tcW w:w="1847" w:type="dxa"/>
            <w:tcBorders>
              <w:top w:val="single" w:sz="4" w:space="0" w:color="000000"/>
              <w:left w:val="single" w:sz="4" w:space="0" w:color="000000"/>
              <w:bottom w:val="single" w:sz="4" w:space="0" w:color="000000"/>
              <w:right w:val="single" w:sz="4" w:space="0" w:color="000000"/>
            </w:tcBorders>
          </w:tcPr>
          <w:p w14:paraId="1BD01830"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Donja Dubrava </w:t>
            </w:r>
          </w:p>
          <w:p w14:paraId="193CB857"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490"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49789F59"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67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385E696" w14:textId="77777777" w:rsidR="00472217" w:rsidRPr="00472217" w:rsidRDefault="00472217" w:rsidP="00472217">
            <w:pPr>
              <w:spacing w:after="0" w:line="240" w:lineRule="auto"/>
              <w:ind w:left="0" w:right="0" w:firstLine="0"/>
              <w:jc w:val="left"/>
              <w:rPr>
                <w:rFonts w:ascii="Times New Roman" w:hAnsi="Times New Roman" w:cs="Times New Roman"/>
                <w:color w:val="92D050"/>
                <w:sz w:val="24"/>
                <w:szCs w:val="24"/>
              </w:rPr>
            </w:pPr>
            <w:r w:rsidRPr="00472217">
              <w:rPr>
                <w:rFonts w:ascii="Times New Roman" w:hAnsi="Times New Roman" w:cs="Times New Roman"/>
                <w:sz w:val="24"/>
                <w:szCs w:val="24"/>
              </w:rPr>
              <w:t xml:space="preserve"> </w:t>
            </w:r>
          </w:p>
        </w:tc>
        <w:tc>
          <w:tcPr>
            <w:tcW w:w="165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2EBC662"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p>
        </w:tc>
        <w:tc>
          <w:tcPr>
            <w:tcW w:w="141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1A2678CB"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r>
      <w:tr w:rsidR="00472217" w:rsidRPr="00472217" w14:paraId="2EE11F7C" w14:textId="77777777" w:rsidTr="004E0BF6">
        <w:trPr>
          <w:trHeight w:val="591"/>
          <w:tblHeader/>
          <w:jc w:val="center"/>
        </w:trPr>
        <w:tc>
          <w:tcPr>
            <w:tcW w:w="7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77933A1"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4. </w:t>
            </w:r>
          </w:p>
        </w:tc>
        <w:tc>
          <w:tcPr>
            <w:tcW w:w="1847" w:type="dxa"/>
            <w:tcBorders>
              <w:top w:val="single" w:sz="4" w:space="0" w:color="000000"/>
              <w:left w:val="single" w:sz="4" w:space="0" w:color="000000"/>
              <w:bottom w:val="single" w:sz="4" w:space="0" w:color="000000"/>
              <w:right w:val="single" w:sz="4" w:space="0" w:color="000000"/>
            </w:tcBorders>
          </w:tcPr>
          <w:p w14:paraId="5FBE7C75"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Donji Grad </w:t>
            </w:r>
          </w:p>
          <w:p w14:paraId="29B96D98"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490"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49AE38EF"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673" w:type="dxa"/>
            <w:tcBorders>
              <w:top w:val="single" w:sz="4" w:space="0" w:color="000000"/>
              <w:left w:val="single" w:sz="4" w:space="0" w:color="000000"/>
              <w:bottom w:val="single" w:sz="4" w:space="0" w:color="000000"/>
              <w:right w:val="single" w:sz="4" w:space="0" w:color="000000"/>
            </w:tcBorders>
            <w:shd w:val="clear" w:color="auto" w:fill="auto"/>
          </w:tcPr>
          <w:p w14:paraId="3BCB0510" w14:textId="77777777" w:rsidR="00472217" w:rsidRPr="00472217" w:rsidRDefault="00472217" w:rsidP="00472217">
            <w:pPr>
              <w:spacing w:after="0" w:line="240" w:lineRule="auto"/>
              <w:ind w:left="0" w:right="0" w:firstLine="0"/>
              <w:jc w:val="left"/>
              <w:rPr>
                <w:rFonts w:ascii="Times New Roman" w:hAnsi="Times New Roman" w:cs="Times New Roman"/>
                <w:color w:val="FF0000"/>
                <w:sz w:val="24"/>
                <w:szCs w:val="24"/>
              </w:rPr>
            </w:pPr>
            <w:r w:rsidRPr="00472217">
              <w:rPr>
                <w:rFonts w:ascii="Times New Roman" w:hAnsi="Times New Roman" w:cs="Times New Roman"/>
                <w:sz w:val="24"/>
                <w:szCs w:val="24"/>
              </w:rPr>
              <w:t xml:space="preserve"> </w:t>
            </w:r>
          </w:p>
        </w:tc>
        <w:tc>
          <w:tcPr>
            <w:tcW w:w="1657" w:type="dxa"/>
            <w:tcBorders>
              <w:top w:val="single" w:sz="4" w:space="0" w:color="000000"/>
              <w:left w:val="single" w:sz="4" w:space="0" w:color="000000"/>
              <w:bottom w:val="single" w:sz="4" w:space="0" w:color="000000"/>
              <w:right w:val="single" w:sz="4" w:space="0" w:color="000000"/>
            </w:tcBorders>
            <w:shd w:val="clear" w:color="auto" w:fill="auto"/>
          </w:tcPr>
          <w:p w14:paraId="768E014A"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p>
        </w:tc>
        <w:tc>
          <w:tcPr>
            <w:tcW w:w="141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40D462DA"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r>
      <w:tr w:rsidR="00472217" w:rsidRPr="00472217" w14:paraId="4F1D43DF" w14:textId="77777777" w:rsidTr="004E0BF6">
        <w:trPr>
          <w:trHeight w:val="592"/>
          <w:tblHeader/>
          <w:jc w:val="center"/>
        </w:trPr>
        <w:tc>
          <w:tcPr>
            <w:tcW w:w="7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0D81AD2B"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5. </w:t>
            </w:r>
          </w:p>
        </w:tc>
        <w:tc>
          <w:tcPr>
            <w:tcW w:w="1847" w:type="dxa"/>
            <w:tcBorders>
              <w:top w:val="single" w:sz="4" w:space="0" w:color="000000"/>
              <w:left w:val="single" w:sz="4" w:space="0" w:color="000000"/>
              <w:bottom w:val="single" w:sz="4" w:space="0" w:color="000000"/>
              <w:right w:val="single" w:sz="4" w:space="0" w:color="000000"/>
            </w:tcBorders>
          </w:tcPr>
          <w:p w14:paraId="42DD0B49"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Gornja Dubrava </w:t>
            </w:r>
          </w:p>
          <w:p w14:paraId="3506BFFE"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490"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5F005042"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673" w:type="dxa"/>
            <w:tcBorders>
              <w:top w:val="single" w:sz="4" w:space="0" w:color="000000"/>
              <w:left w:val="single" w:sz="4" w:space="0" w:color="000000"/>
              <w:bottom w:val="single" w:sz="4" w:space="0" w:color="000000"/>
              <w:right w:val="single" w:sz="4" w:space="0" w:color="000000"/>
            </w:tcBorders>
            <w:shd w:val="clear" w:color="auto" w:fill="FF0000"/>
          </w:tcPr>
          <w:p w14:paraId="2A13DDC7" w14:textId="77777777" w:rsidR="00472217" w:rsidRPr="00472217" w:rsidRDefault="00472217" w:rsidP="00472217">
            <w:pPr>
              <w:spacing w:after="0" w:line="240" w:lineRule="auto"/>
              <w:ind w:left="0" w:right="0" w:firstLine="0"/>
              <w:jc w:val="left"/>
              <w:rPr>
                <w:rFonts w:ascii="Times New Roman" w:hAnsi="Times New Roman" w:cs="Times New Roman"/>
                <w:color w:val="FFFF00"/>
                <w:sz w:val="24"/>
                <w:szCs w:val="24"/>
              </w:rPr>
            </w:pPr>
            <w:r w:rsidRPr="00472217">
              <w:rPr>
                <w:rFonts w:ascii="Times New Roman" w:hAnsi="Times New Roman" w:cs="Times New Roman"/>
                <w:sz w:val="24"/>
                <w:szCs w:val="24"/>
              </w:rPr>
              <w:t xml:space="preserve"> </w:t>
            </w:r>
          </w:p>
        </w:tc>
        <w:tc>
          <w:tcPr>
            <w:tcW w:w="1657" w:type="dxa"/>
            <w:tcBorders>
              <w:top w:val="single" w:sz="4" w:space="0" w:color="000000"/>
              <w:left w:val="single" w:sz="4" w:space="0" w:color="000000"/>
              <w:bottom w:val="single" w:sz="4" w:space="0" w:color="000000"/>
              <w:right w:val="single" w:sz="4" w:space="0" w:color="000000"/>
            </w:tcBorders>
            <w:shd w:val="clear" w:color="auto" w:fill="FFFF00"/>
          </w:tcPr>
          <w:p w14:paraId="572FE10D"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p>
        </w:tc>
        <w:tc>
          <w:tcPr>
            <w:tcW w:w="141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62D98DAE"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r>
      <w:tr w:rsidR="00472217" w:rsidRPr="00472217" w14:paraId="756CEE22" w14:textId="77777777" w:rsidTr="004E0BF6">
        <w:trPr>
          <w:trHeight w:val="591"/>
          <w:tblHeader/>
          <w:jc w:val="center"/>
        </w:trPr>
        <w:tc>
          <w:tcPr>
            <w:tcW w:w="7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30C19EED"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6. </w:t>
            </w:r>
          </w:p>
        </w:tc>
        <w:tc>
          <w:tcPr>
            <w:tcW w:w="1847" w:type="dxa"/>
            <w:tcBorders>
              <w:top w:val="single" w:sz="4" w:space="0" w:color="000000"/>
              <w:left w:val="single" w:sz="4" w:space="0" w:color="000000"/>
              <w:bottom w:val="single" w:sz="4" w:space="0" w:color="000000"/>
              <w:right w:val="single" w:sz="4" w:space="0" w:color="000000"/>
            </w:tcBorders>
          </w:tcPr>
          <w:p w14:paraId="0EFAA691"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Gornji Grad- </w:t>
            </w:r>
          </w:p>
          <w:p w14:paraId="40D4D28E"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Medveščak </w:t>
            </w:r>
          </w:p>
        </w:tc>
        <w:tc>
          <w:tcPr>
            <w:tcW w:w="1490"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3F9E6F2C" w14:textId="77777777" w:rsidR="00472217" w:rsidRPr="00472217" w:rsidRDefault="00472217" w:rsidP="00472217">
            <w:pPr>
              <w:spacing w:after="0" w:line="240" w:lineRule="auto"/>
              <w:ind w:left="0" w:right="0" w:firstLine="0"/>
              <w:jc w:val="left"/>
              <w:rPr>
                <w:rFonts w:ascii="Times New Roman" w:hAnsi="Times New Roman" w:cs="Times New Roman"/>
                <w:color w:val="FF0000"/>
                <w:sz w:val="24"/>
                <w:szCs w:val="24"/>
              </w:rPr>
            </w:pPr>
            <w:r w:rsidRPr="00472217">
              <w:rPr>
                <w:rFonts w:ascii="Times New Roman" w:hAnsi="Times New Roman" w:cs="Times New Roman"/>
                <w:sz w:val="24"/>
                <w:szCs w:val="24"/>
              </w:rPr>
              <w:t xml:space="preserve"> </w:t>
            </w:r>
          </w:p>
        </w:tc>
        <w:tc>
          <w:tcPr>
            <w:tcW w:w="1673" w:type="dxa"/>
            <w:tcBorders>
              <w:top w:val="single" w:sz="4" w:space="0" w:color="000000"/>
              <w:left w:val="single" w:sz="4" w:space="0" w:color="000000"/>
              <w:bottom w:val="single" w:sz="4" w:space="0" w:color="000000"/>
              <w:right w:val="single" w:sz="4" w:space="0" w:color="000000"/>
            </w:tcBorders>
            <w:shd w:val="clear" w:color="auto" w:fill="FF0000"/>
          </w:tcPr>
          <w:p w14:paraId="3C1BBFCE" w14:textId="77777777" w:rsidR="00472217" w:rsidRPr="00472217" w:rsidRDefault="00472217" w:rsidP="00472217">
            <w:pPr>
              <w:spacing w:after="0" w:line="240" w:lineRule="auto"/>
              <w:ind w:left="0" w:right="0" w:firstLine="0"/>
              <w:jc w:val="left"/>
              <w:rPr>
                <w:rFonts w:ascii="Times New Roman" w:hAnsi="Times New Roman" w:cs="Times New Roman"/>
                <w:color w:val="FF0000"/>
                <w:sz w:val="24"/>
                <w:szCs w:val="24"/>
              </w:rPr>
            </w:pPr>
            <w:r w:rsidRPr="00472217">
              <w:rPr>
                <w:rFonts w:ascii="Times New Roman" w:hAnsi="Times New Roman" w:cs="Times New Roman"/>
                <w:sz w:val="24"/>
                <w:szCs w:val="24"/>
              </w:rPr>
              <w:t xml:space="preserve"> </w:t>
            </w:r>
          </w:p>
        </w:tc>
        <w:tc>
          <w:tcPr>
            <w:tcW w:w="1657" w:type="dxa"/>
            <w:tcBorders>
              <w:top w:val="single" w:sz="4" w:space="0" w:color="000000"/>
              <w:left w:val="single" w:sz="4" w:space="0" w:color="000000"/>
              <w:bottom w:val="single" w:sz="4" w:space="0" w:color="000000"/>
              <w:right w:val="single" w:sz="4" w:space="0" w:color="000000"/>
            </w:tcBorders>
            <w:shd w:val="clear" w:color="auto" w:fill="92D050"/>
          </w:tcPr>
          <w:p w14:paraId="0F9A0CFE" w14:textId="77777777" w:rsidR="00472217" w:rsidRPr="00472217" w:rsidRDefault="00472217" w:rsidP="00472217">
            <w:pPr>
              <w:spacing w:after="0" w:line="240" w:lineRule="auto"/>
              <w:ind w:left="0" w:right="0" w:firstLine="0"/>
              <w:jc w:val="left"/>
              <w:rPr>
                <w:rFonts w:ascii="Times New Roman" w:hAnsi="Times New Roman" w:cs="Times New Roman"/>
                <w:color w:val="FFFF00"/>
                <w:sz w:val="24"/>
                <w:szCs w:val="24"/>
              </w:rPr>
            </w:pPr>
          </w:p>
        </w:tc>
        <w:tc>
          <w:tcPr>
            <w:tcW w:w="141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3F126DF" w14:textId="77777777" w:rsidR="00472217" w:rsidRPr="00472217" w:rsidRDefault="00472217" w:rsidP="00472217">
            <w:pPr>
              <w:spacing w:after="0" w:line="240" w:lineRule="auto"/>
              <w:ind w:left="0" w:right="0" w:firstLine="0"/>
              <w:jc w:val="left"/>
              <w:rPr>
                <w:rFonts w:ascii="Times New Roman" w:hAnsi="Times New Roman" w:cs="Times New Roman"/>
                <w:color w:val="FF0000"/>
                <w:sz w:val="24"/>
                <w:szCs w:val="24"/>
              </w:rPr>
            </w:pPr>
            <w:r w:rsidRPr="00472217">
              <w:rPr>
                <w:rFonts w:ascii="Times New Roman" w:hAnsi="Times New Roman" w:cs="Times New Roman"/>
                <w:color w:val="FFFF00"/>
                <w:sz w:val="24"/>
                <w:szCs w:val="24"/>
              </w:rPr>
              <w:t xml:space="preserve"> </w:t>
            </w:r>
          </w:p>
        </w:tc>
      </w:tr>
      <w:tr w:rsidR="00472217" w:rsidRPr="00472217" w14:paraId="69EBF97E" w14:textId="77777777" w:rsidTr="004E0BF6">
        <w:trPr>
          <w:trHeight w:val="593"/>
          <w:tblHeader/>
          <w:jc w:val="center"/>
        </w:trPr>
        <w:tc>
          <w:tcPr>
            <w:tcW w:w="7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6EF8863C"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7. </w:t>
            </w:r>
          </w:p>
        </w:tc>
        <w:tc>
          <w:tcPr>
            <w:tcW w:w="1847" w:type="dxa"/>
            <w:tcBorders>
              <w:top w:val="single" w:sz="4" w:space="0" w:color="000000"/>
              <w:left w:val="single" w:sz="4" w:space="0" w:color="000000"/>
              <w:bottom w:val="single" w:sz="4" w:space="0" w:color="000000"/>
              <w:right w:val="single" w:sz="4" w:space="0" w:color="000000"/>
            </w:tcBorders>
          </w:tcPr>
          <w:p w14:paraId="4F429D9D"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Maksimir</w:t>
            </w:r>
          </w:p>
          <w:p w14:paraId="49A56694"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p>
        </w:tc>
        <w:tc>
          <w:tcPr>
            <w:tcW w:w="1490"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695D0DBC"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673" w:type="dxa"/>
            <w:tcBorders>
              <w:top w:val="single" w:sz="4" w:space="0" w:color="000000"/>
              <w:left w:val="single" w:sz="4" w:space="0" w:color="000000"/>
              <w:bottom w:val="single" w:sz="4" w:space="0" w:color="000000"/>
              <w:right w:val="single" w:sz="4" w:space="0" w:color="000000"/>
            </w:tcBorders>
            <w:shd w:val="clear" w:color="auto" w:fill="FF0000"/>
          </w:tcPr>
          <w:p w14:paraId="31E4DA90"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657" w:type="dxa"/>
            <w:tcBorders>
              <w:top w:val="single" w:sz="4" w:space="0" w:color="000000"/>
              <w:left w:val="single" w:sz="4" w:space="0" w:color="000000"/>
              <w:bottom w:val="single" w:sz="4" w:space="0" w:color="000000"/>
              <w:right w:val="single" w:sz="4" w:space="0" w:color="000000"/>
            </w:tcBorders>
            <w:shd w:val="clear" w:color="auto" w:fill="FFFF00"/>
          </w:tcPr>
          <w:p w14:paraId="33A1840E"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p>
        </w:tc>
        <w:tc>
          <w:tcPr>
            <w:tcW w:w="141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5653DA56"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r>
      <w:tr w:rsidR="00472217" w:rsidRPr="00472217" w14:paraId="02152972" w14:textId="77777777" w:rsidTr="004E0BF6">
        <w:trPr>
          <w:trHeight w:val="590"/>
          <w:tblHeader/>
          <w:jc w:val="center"/>
        </w:trPr>
        <w:tc>
          <w:tcPr>
            <w:tcW w:w="7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CCF5854"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8. </w:t>
            </w:r>
          </w:p>
        </w:tc>
        <w:tc>
          <w:tcPr>
            <w:tcW w:w="1847" w:type="dxa"/>
            <w:tcBorders>
              <w:top w:val="single" w:sz="4" w:space="0" w:color="000000"/>
              <w:left w:val="single" w:sz="4" w:space="0" w:color="000000"/>
              <w:bottom w:val="single" w:sz="4" w:space="0" w:color="000000"/>
              <w:right w:val="single" w:sz="4" w:space="0" w:color="000000"/>
            </w:tcBorders>
          </w:tcPr>
          <w:p w14:paraId="597C442A"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Novi Zagreb – istok</w:t>
            </w:r>
          </w:p>
        </w:tc>
        <w:tc>
          <w:tcPr>
            <w:tcW w:w="1490"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0F4FDB33" w14:textId="77777777" w:rsidR="00472217" w:rsidRPr="00472217" w:rsidRDefault="00472217" w:rsidP="00472217">
            <w:pPr>
              <w:spacing w:after="0" w:line="240" w:lineRule="auto"/>
              <w:ind w:left="0" w:right="0" w:firstLine="0"/>
              <w:jc w:val="left"/>
              <w:rPr>
                <w:rFonts w:ascii="Times New Roman" w:hAnsi="Times New Roman" w:cs="Times New Roman"/>
                <w:color w:val="FF0000"/>
                <w:sz w:val="24"/>
                <w:szCs w:val="24"/>
              </w:rPr>
            </w:pPr>
            <w:r w:rsidRPr="00472217">
              <w:rPr>
                <w:rFonts w:ascii="Times New Roman" w:hAnsi="Times New Roman" w:cs="Times New Roman"/>
                <w:sz w:val="24"/>
                <w:szCs w:val="24"/>
              </w:rPr>
              <w:t xml:space="preserve"> </w:t>
            </w:r>
          </w:p>
        </w:tc>
        <w:tc>
          <w:tcPr>
            <w:tcW w:w="1673" w:type="dxa"/>
            <w:tcBorders>
              <w:top w:val="single" w:sz="4" w:space="0" w:color="000000"/>
              <w:left w:val="single" w:sz="4" w:space="0" w:color="000000"/>
              <w:bottom w:val="single" w:sz="4" w:space="0" w:color="000000"/>
              <w:right w:val="single" w:sz="4" w:space="0" w:color="000000"/>
            </w:tcBorders>
            <w:shd w:val="clear" w:color="auto" w:fill="auto"/>
          </w:tcPr>
          <w:p w14:paraId="0598E223" w14:textId="77777777" w:rsidR="00472217" w:rsidRPr="00472217" w:rsidRDefault="00472217" w:rsidP="00472217">
            <w:pPr>
              <w:spacing w:after="0" w:line="240" w:lineRule="auto"/>
              <w:ind w:left="0" w:right="0" w:firstLine="0"/>
              <w:jc w:val="left"/>
              <w:rPr>
                <w:rFonts w:ascii="Times New Roman" w:hAnsi="Times New Roman" w:cs="Times New Roman"/>
                <w:color w:val="FF0000"/>
                <w:sz w:val="24"/>
                <w:szCs w:val="24"/>
              </w:rPr>
            </w:pPr>
            <w:r w:rsidRPr="00472217">
              <w:rPr>
                <w:rFonts w:ascii="Times New Roman" w:hAnsi="Times New Roman" w:cs="Times New Roman"/>
                <w:sz w:val="24"/>
                <w:szCs w:val="24"/>
              </w:rPr>
              <w:t xml:space="preserve"> </w:t>
            </w:r>
          </w:p>
        </w:tc>
        <w:tc>
          <w:tcPr>
            <w:tcW w:w="1657" w:type="dxa"/>
            <w:tcBorders>
              <w:top w:val="single" w:sz="4" w:space="0" w:color="000000"/>
              <w:left w:val="single" w:sz="4" w:space="0" w:color="000000"/>
              <w:bottom w:val="single" w:sz="4" w:space="0" w:color="000000"/>
              <w:right w:val="single" w:sz="4" w:space="0" w:color="000000"/>
            </w:tcBorders>
            <w:shd w:val="clear" w:color="auto" w:fill="auto"/>
          </w:tcPr>
          <w:p w14:paraId="55280B71"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p>
        </w:tc>
        <w:tc>
          <w:tcPr>
            <w:tcW w:w="141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7C4BC6C3"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r>
      <w:tr w:rsidR="00472217" w:rsidRPr="00472217" w14:paraId="43811EE9" w14:textId="77777777" w:rsidTr="004E0BF6">
        <w:trPr>
          <w:trHeight w:val="593"/>
          <w:tblHeader/>
          <w:jc w:val="center"/>
        </w:trPr>
        <w:tc>
          <w:tcPr>
            <w:tcW w:w="7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00E39E9C"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9. </w:t>
            </w:r>
          </w:p>
        </w:tc>
        <w:tc>
          <w:tcPr>
            <w:tcW w:w="1847" w:type="dxa"/>
            <w:tcBorders>
              <w:top w:val="single" w:sz="4" w:space="0" w:color="000000"/>
              <w:left w:val="single" w:sz="4" w:space="0" w:color="000000"/>
              <w:bottom w:val="single" w:sz="4" w:space="0" w:color="000000"/>
              <w:right w:val="single" w:sz="4" w:space="0" w:color="000000"/>
            </w:tcBorders>
          </w:tcPr>
          <w:p w14:paraId="37486FE3"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Novi Zagreb – zapad</w:t>
            </w:r>
          </w:p>
        </w:tc>
        <w:tc>
          <w:tcPr>
            <w:tcW w:w="1490"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70F91E30"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67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0081685"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65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154A230"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p>
        </w:tc>
        <w:tc>
          <w:tcPr>
            <w:tcW w:w="141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56DEFC47"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r>
      <w:tr w:rsidR="00472217" w:rsidRPr="00472217" w14:paraId="3DE2CBDB" w14:textId="77777777" w:rsidTr="004E0BF6">
        <w:trPr>
          <w:trHeight w:val="592"/>
          <w:tblHeader/>
          <w:jc w:val="center"/>
        </w:trPr>
        <w:tc>
          <w:tcPr>
            <w:tcW w:w="7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4B8BB8CB"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10. </w:t>
            </w:r>
          </w:p>
        </w:tc>
        <w:tc>
          <w:tcPr>
            <w:tcW w:w="1847" w:type="dxa"/>
            <w:tcBorders>
              <w:top w:val="single" w:sz="4" w:space="0" w:color="000000"/>
              <w:left w:val="single" w:sz="4" w:space="0" w:color="000000"/>
              <w:bottom w:val="single" w:sz="4" w:space="0" w:color="000000"/>
              <w:right w:val="single" w:sz="4" w:space="0" w:color="000000"/>
            </w:tcBorders>
          </w:tcPr>
          <w:p w14:paraId="4A3D3004"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Peščenica – Žitnjak</w:t>
            </w:r>
          </w:p>
        </w:tc>
        <w:tc>
          <w:tcPr>
            <w:tcW w:w="1490"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2867F55A" w14:textId="77777777" w:rsidR="00472217" w:rsidRPr="00472217" w:rsidRDefault="00472217" w:rsidP="00472217">
            <w:pPr>
              <w:spacing w:after="0" w:line="240" w:lineRule="auto"/>
              <w:ind w:left="0" w:right="0" w:firstLine="0"/>
              <w:jc w:val="left"/>
              <w:rPr>
                <w:rFonts w:ascii="Times New Roman" w:hAnsi="Times New Roman" w:cs="Times New Roman"/>
                <w:color w:val="FF0000"/>
                <w:sz w:val="24"/>
                <w:szCs w:val="24"/>
              </w:rPr>
            </w:pPr>
            <w:r w:rsidRPr="00472217">
              <w:rPr>
                <w:rFonts w:ascii="Times New Roman" w:hAnsi="Times New Roman" w:cs="Times New Roman"/>
                <w:sz w:val="24"/>
                <w:szCs w:val="24"/>
              </w:rPr>
              <w:t xml:space="preserve"> </w:t>
            </w:r>
          </w:p>
        </w:tc>
        <w:tc>
          <w:tcPr>
            <w:tcW w:w="167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3C46C0"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65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E73116A"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p>
        </w:tc>
        <w:tc>
          <w:tcPr>
            <w:tcW w:w="141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3F6FC4EF"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r>
      <w:tr w:rsidR="00472217" w:rsidRPr="00472217" w14:paraId="619CEE15" w14:textId="77777777" w:rsidTr="004E0BF6">
        <w:trPr>
          <w:trHeight w:val="592"/>
          <w:tblHeader/>
          <w:jc w:val="center"/>
        </w:trPr>
        <w:tc>
          <w:tcPr>
            <w:tcW w:w="7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40B371E4"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11. </w:t>
            </w:r>
          </w:p>
        </w:tc>
        <w:tc>
          <w:tcPr>
            <w:tcW w:w="1847" w:type="dxa"/>
            <w:tcBorders>
              <w:top w:val="single" w:sz="4" w:space="0" w:color="000000"/>
              <w:left w:val="single" w:sz="4" w:space="0" w:color="000000"/>
              <w:bottom w:val="single" w:sz="4" w:space="0" w:color="000000"/>
              <w:right w:val="single" w:sz="4" w:space="0" w:color="000000"/>
            </w:tcBorders>
          </w:tcPr>
          <w:p w14:paraId="3F250FCB"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Podsljeme</w:t>
            </w:r>
          </w:p>
          <w:p w14:paraId="0BDBC208"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p>
        </w:tc>
        <w:tc>
          <w:tcPr>
            <w:tcW w:w="1490"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08AF53DF" w14:textId="77777777" w:rsidR="00472217" w:rsidRPr="00472217" w:rsidRDefault="00472217" w:rsidP="00472217">
            <w:pPr>
              <w:spacing w:after="0" w:line="240" w:lineRule="auto"/>
              <w:ind w:left="0" w:right="0" w:firstLine="0"/>
              <w:jc w:val="left"/>
              <w:rPr>
                <w:rFonts w:ascii="Times New Roman" w:hAnsi="Times New Roman" w:cs="Times New Roman"/>
                <w:color w:val="FF0000"/>
                <w:sz w:val="24"/>
                <w:szCs w:val="24"/>
              </w:rPr>
            </w:pPr>
            <w:r w:rsidRPr="00472217">
              <w:rPr>
                <w:rFonts w:ascii="Times New Roman" w:hAnsi="Times New Roman" w:cs="Times New Roman"/>
                <w:sz w:val="24"/>
                <w:szCs w:val="24"/>
              </w:rPr>
              <w:t xml:space="preserve"> </w:t>
            </w:r>
          </w:p>
        </w:tc>
        <w:tc>
          <w:tcPr>
            <w:tcW w:w="1673" w:type="dxa"/>
            <w:tcBorders>
              <w:top w:val="single" w:sz="4" w:space="0" w:color="000000"/>
              <w:left w:val="single" w:sz="4" w:space="0" w:color="000000"/>
              <w:bottom w:val="single" w:sz="4" w:space="0" w:color="000000"/>
              <w:right w:val="single" w:sz="4" w:space="0" w:color="000000"/>
            </w:tcBorders>
            <w:shd w:val="clear" w:color="auto" w:fill="FFFF00"/>
          </w:tcPr>
          <w:p w14:paraId="493156DF" w14:textId="77777777" w:rsidR="00472217" w:rsidRPr="00472217" w:rsidRDefault="00472217" w:rsidP="00472217">
            <w:pPr>
              <w:spacing w:after="0" w:line="240" w:lineRule="auto"/>
              <w:ind w:left="0" w:right="0" w:firstLine="0"/>
              <w:jc w:val="left"/>
              <w:rPr>
                <w:rFonts w:ascii="Times New Roman" w:hAnsi="Times New Roman" w:cs="Times New Roman"/>
                <w:color w:val="FFFF00"/>
                <w:sz w:val="24"/>
                <w:szCs w:val="24"/>
              </w:rPr>
            </w:pPr>
            <w:r w:rsidRPr="00472217">
              <w:rPr>
                <w:rFonts w:ascii="Times New Roman" w:hAnsi="Times New Roman" w:cs="Times New Roman"/>
                <w:sz w:val="24"/>
                <w:szCs w:val="24"/>
              </w:rPr>
              <w:t xml:space="preserve"> </w:t>
            </w:r>
          </w:p>
        </w:tc>
        <w:tc>
          <w:tcPr>
            <w:tcW w:w="1657" w:type="dxa"/>
            <w:tcBorders>
              <w:top w:val="single" w:sz="4" w:space="0" w:color="000000"/>
              <w:left w:val="single" w:sz="4" w:space="0" w:color="000000"/>
              <w:bottom w:val="single" w:sz="4" w:space="0" w:color="000000"/>
              <w:right w:val="single" w:sz="4" w:space="0" w:color="000000"/>
            </w:tcBorders>
            <w:shd w:val="clear" w:color="auto" w:fill="FFFF00"/>
          </w:tcPr>
          <w:p w14:paraId="04DE8015"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p>
        </w:tc>
        <w:tc>
          <w:tcPr>
            <w:tcW w:w="141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6E45BA6"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r>
      <w:tr w:rsidR="00472217" w:rsidRPr="00472217" w14:paraId="4A8F1B88" w14:textId="77777777" w:rsidTr="004E0BF6">
        <w:trPr>
          <w:trHeight w:val="593"/>
          <w:tblHeader/>
          <w:jc w:val="center"/>
        </w:trPr>
        <w:tc>
          <w:tcPr>
            <w:tcW w:w="7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C66825B"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12. </w:t>
            </w:r>
          </w:p>
        </w:tc>
        <w:tc>
          <w:tcPr>
            <w:tcW w:w="1847" w:type="dxa"/>
            <w:tcBorders>
              <w:top w:val="single" w:sz="4" w:space="0" w:color="000000"/>
              <w:left w:val="single" w:sz="4" w:space="0" w:color="000000"/>
              <w:bottom w:val="single" w:sz="4" w:space="0" w:color="000000"/>
              <w:right w:val="single" w:sz="4" w:space="0" w:color="000000"/>
            </w:tcBorders>
          </w:tcPr>
          <w:p w14:paraId="63A3B805"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Podsused – Vrapče</w:t>
            </w:r>
          </w:p>
        </w:tc>
        <w:tc>
          <w:tcPr>
            <w:tcW w:w="1490"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1AD7854A"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673" w:type="dxa"/>
            <w:tcBorders>
              <w:top w:val="single" w:sz="4" w:space="0" w:color="000000"/>
              <w:left w:val="single" w:sz="4" w:space="0" w:color="000000"/>
              <w:bottom w:val="single" w:sz="4" w:space="0" w:color="000000"/>
              <w:right w:val="single" w:sz="4" w:space="0" w:color="000000"/>
            </w:tcBorders>
            <w:shd w:val="clear" w:color="auto" w:fill="FFC000"/>
          </w:tcPr>
          <w:p w14:paraId="592129D2"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657" w:type="dxa"/>
            <w:tcBorders>
              <w:top w:val="single" w:sz="4" w:space="0" w:color="000000"/>
              <w:left w:val="single" w:sz="4" w:space="0" w:color="000000"/>
              <w:bottom w:val="single" w:sz="4" w:space="0" w:color="000000"/>
              <w:right w:val="single" w:sz="4" w:space="0" w:color="000000"/>
            </w:tcBorders>
            <w:shd w:val="clear" w:color="auto" w:fill="FF0000"/>
          </w:tcPr>
          <w:p w14:paraId="684E3122"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p>
        </w:tc>
        <w:tc>
          <w:tcPr>
            <w:tcW w:w="1412"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1ABFC902"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r>
      <w:tr w:rsidR="00472217" w:rsidRPr="00472217" w14:paraId="3DFEACCA" w14:textId="77777777" w:rsidTr="004E0BF6">
        <w:trPr>
          <w:trHeight w:val="590"/>
          <w:tblHeader/>
          <w:jc w:val="center"/>
        </w:trPr>
        <w:tc>
          <w:tcPr>
            <w:tcW w:w="7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6F200705"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13. </w:t>
            </w:r>
          </w:p>
        </w:tc>
        <w:tc>
          <w:tcPr>
            <w:tcW w:w="1847" w:type="dxa"/>
            <w:tcBorders>
              <w:top w:val="single" w:sz="4" w:space="0" w:color="000000"/>
              <w:left w:val="single" w:sz="4" w:space="0" w:color="000000"/>
              <w:bottom w:val="single" w:sz="4" w:space="0" w:color="000000"/>
              <w:right w:val="single" w:sz="4" w:space="0" w:color="000000"/>
            </w:tcBorders>
          </w:tcPr>
          <w:p w14:paraId="3ABA4A1F"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Sesvete</w:t>
            </w:r>
          </w:p>
          <w:p w14:paraId="17BA521E"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p>
        </w:tc>
        <w:tc>
          <w:tcPr>
            <w:tcW w:w="149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1ED0DFB"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673" w:type="dxa"/>
            <w:tcBorders>
              <w:top w:val="single" w:sz="4" w:space="0" w:color="000000"/>
              <w:left w:val="single" w:sz="4" w:space="0" w:color="000000"/>
              <w:bottom w:val="single" w:sz="4" w:space="0" w:color="000000"/>
              <w:right w:val="single" w:sz="4" w:space="0" w:color="000000"/>
            </w:tcBorders>
            <w:shd w:val="clear" w:color="auto" w:fill="FFFF00"/>
          </w:tcPr>
          <w:p w14:paraId="5E3E4227"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657" w:type="dxa"/>
            <w:tcBorders>
              <w:top w:val="single" w:sz="4" w:space="0" w:color="000000"/>
              <w:left w:val="single" w:sz="4" w:space="0" w:color="000000"/>
              <w:bottom w:val="single" w:sz="4" w:space="0" w:color="000000"/>
              <w:right w:val="single" w:sz="4" w:space="0" w:color="000000"/>
            </w:tcBorders>
            <w:shd w:val="clear" w:color="auto" w:fill="FF0000"/>
          </w:tcPr>
          <w:p w14:paraId="157CC88F" w14:textId="77777777" w:rsidR="00472217" w:rsidRPr="00472217" w:rsidRDefault="00472217" w:rsidP="00472217">
            <w:pPr>
              <w:spacing w:after="0" w:line="240" w:lineRule="auto"/>
              <w:ind w:left="0" w:right="0" w:firstLine="0"/>
              <w:jc w:val="left"/>
              <w:rPr>
                <w:rFonts w:ascii="Times New Roman" w:hAnsi="Times New Roman" w:cs="Times New Roman"/>
                <w:color w:val="FF0000"/>
                <w:sz w:val="24"/>
                <w:szCs w:val="24"/>
              </w:rPr>
            </w:pPr>
          </w:p>
        </w:tc>
        <w:tc>
          <w:tcPr>
            <w:tcW w:w="141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F26C91F"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r>
      <w:tr w:rsidR="00472217" w:rsidRPr="00472217" w14:paraId="119314A9" w14:textId="77777777" w:rsidTr="004E0BF6">
        <w:trPr>
          <w:trHeight w:val="593"/>
          <w:tblHeader/>
          <w:jc w:val="center"/>
        </w:trPr>
        <w:tc>
          <w:tcPr>
            <w:tcW w:w="7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6E37850A"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14. </w:t>
            </w:r>
          </w:p>
        </w:tc>
        <w:tc>
          <w:tcPr>
            <w:tcW w:w="1847" w:type="dxa"/>
            <w:tcBorders>
              <w:top w:val="single" w:sz="4" w:space="0" w:color="000000"/>
              <w:left w:val="single" w:sz="4" w:space="0" w:color="000000"/>
              <w:bottom w:val="single" w:sz="4" w:space="0" w:color="000000"/>
              <w:right w:val="single" w:sz="4" w:space="0" w:color="000000"/>
            </w:tcBorders>
          </w:tcPr>
          <w:p w14:paraId="62F7D1A8"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Stenjevec</w:t>
            </w:r>
          </w:p>
          <w:p w14:paraId="58331224"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p>
        </w:tc>
        <w:tc>
          <w:tcPr>
            <w:tcW w:w="1490"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3A4BCF70"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673" w:type="dxa"/>
            <w:tcBorders>
              <w:top w:val="single" w:sz="4" w:space="0" w:color="000000"/>
              <w:left w:val="single" w:sz="4" w:space="0" w:color="000000"/>
              <w:bottom w:val="single" w:sz="4" w:space="0" w:color="000000"/>
              <w:right w:val="single" w:sz="4" w:space="0" w:color="000000"/>
            </w:tcBorders>
            <w:shd w:val="clear" w:color="auto" w:fill="auto"/>
          </w:tcPr>
          <w:p w14:paraId="0961C5CC"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657" w:type="dxa"/>
            <w:tcBorders>
              <w:top w:val="single" w:sz="4" w:space="0" w:color="000000"/>
              <w:left w:val="single" w:sz="4" w:space="0" w:color="000000"/>
              <w:bottom w:val="single" w:sz="4" w:space="0" w:color="000000"/>
              <w:right w:val="single" w:sz="4" w:space="0" w:color="000000"/>
            </w:tcBorders>
            <w:shd w:val="clear" w:color="auto" w:fill="auto"/>
          </w:tcPr>
          <w:p w14:paraId="06EDC8E1"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p>
        </w:tc>
        <w:tc>
          <w:tcPr>
            <w:tcW w:w="141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6B4001D4"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r>
      <w:tr w:rsidR="00472217" w:rsidRPr="00472217" w14:paraId="2A5B6A15" w14:textId="77777777" w:rsidTr="004E0BF6">
        <w:trPr>
          <w:trHeight w:val="592"/>
          <w:tblHeader/>
          <w:jc w:val="center"/>
        </w:trPr>
        <w:tc>
          <w:tcPr>
            <w:tcW w:w="7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28C4793"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15. </w:t>
            </w:r>
          </w:p>
        </w:tc>
        <w:tc>
          <w:tcPr>
            <w:tcW w:w="1847" w:type="dxa"/>
            <w:tcBorders>
              <w:top w:val="single" w:sz="4" w:space="0" w:color="000000"/>
              <w:left w:val="single" w:sz="4" w:space="0" w:color="000000"/>
              <w:bottom w:val="single" w:sz="4" w:space="0" w:color="000000"/>
              <w:right w:val="single" w:sz="4" w:space="0" w:color="000000"/>
            </w:tcBorders>
          </w:tcPr>
          <w:p w14:paraId="6AA2A45F"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Trešnjevka – jug</w:t>
            </w:r>
          </w:p>
          <w:p w14:paraId="7C88C5C5"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p>
        </w:tc>
        <w:tc>
          <w:tcPr>
            <w:tcW w:w="1490"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26182109"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67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6B82386"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65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1378992"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p>
        </w:tc>
        <w:tc>
          <w:tcPr>
            <w:tcW w:w="141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2AA5813A"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r>
      <w:tr w:rsidR="00472217" w:rsidRPr="00472217" w14:paraId="4EC7314A" w14:textId="77777777" w:rsidTr="004E0BF6">
        <w:trPr>
          <w:trHeight w:val="592"/>
          <w:tblHeader/>
          <w:jc w:val="center"/>
        </w:trPr>
        <w:tc>
          <w:tcPr>
            <w:tcW w:w="7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0018392"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16. </w:t>
            </w:r>
          </w:p>
        </w:tc>
        <w:tc>
          <w:tcPr>
            <w:tcW w:w="1847" w:type="dxa"/>
            <w:tcBorders>
              <w:top w:val="single" w:sz="4" w:space="0" w:color="000000"/>
              <w:left w:val="single" w:sz="4" w:space="0" w:color="000000"/>
              <w:bottom w:val="single" w:sz="4" w:space="0" w:color="000000"/>
              <w:right w:val="single" w:sz="4" w:space="0" w:color="000000"/>
            </w:tcBorders>
          </w:tcPr>
          <w:p w14:paraId="252126A5"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Trešnjevka – sjever</w:t>
            </w:r>
          </w:p>
        </w:tc>
        <w:tc>
          <w:tcPr>
            <w:tcW w:w="1490"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03D46109"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673" w:type="dxa"/>
            <w:tcBorders>
              <w:top w:val="single" w:sz="4" w:space="0" w:color="000000"/>
              <w:left w:val="single" w:sz="4" w:space="0" w:color="000000"/>
              <w:bottom w:val="single" w:sz="4" w:space="0" w:color="000000"/>
              <w:right w:val="single" w:sz="4" w:space="0" w:color="000000"/>
            </w:tcBorders>
            <w:shd w:val="clear" w:color="auto" w:fill="auto"/>
          </w:tcPr>
          <w:p w14:paraId="059B48A0" w14:textId="77777777" w:rsidR="00472217" w:rsidRPr="00472217" w:rsidRDefault="00472217" w:rsidP="00472217">
            <w:pPr>
              <w:spacing w:after="0" w:line="240" w:lineRule="auto"/>
              <w:ind w:left="0" w:right="0" w:firstLine="0"/>
              <w:jc w:val="left"/>
              <w:rPr>
                <w:rFonts w:ascii="Times New Roman" w:hAnsi="Times New Roman" w:cs="Times New Roman"/>
                <w:color w:val="FF0000"/>
                <w:sz w:val="24"/>
                <w:szCs w:val="24"/>
              </w:rPr>
            </w:pPr>
            <w:r w:rsidRPr="00472217">
              <w:rPr>
                <w:rFonts w:ascii="Times New Roman" w:hAnsi="Times New Roman" w:cs="Times New Roman"/>
                <w:sz w:val="24"/>
                <w:szCs w:val="24"/>
              </w:rPr>
              <w:t xml:space="preserve"> </w:t>
            </w:r>
          </w:p>
        </w:tc>
        <w:tc>
          <w:tcPr>
            <w:tcW w:w="1657" w:type="dxa"/>
            <w:tcBorders>
              <w:top w:val="single" w:sz="4" w:space="0" w:color="000000"/>
              <w:left w:val="single" w:sz="4" w:space="0" w:color="000000"/>
              <w:bottom w:val="single" w:sz="4" w:space="0" w:color="000000"/>
              <w:right w:val="single" w:sz="4" w:space="0" w:color="000000"/>
            </w:tcBorders>
            <w:shd w:val="clear" w:color="auto" w:fill="auto"/>
          </w:tcPr>
          <w:p w14:paraId="313DD800"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p>
        </w:tc>
        <w:tc>
          <w:tcPr>
            <w:tcW w:w="141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2C94427B"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r>
      <w:tr w:rsidR="00472217" w:rsidRPr="00472217" w14:paraId="1D53407E" w14:textId="77777777" w:rsidTr="004E0BF6">
        <w:trPr>
          <w:trHeight w:val="592"/>
          <w:tblHeader/>
          <w:jc w:val="center"/>
        </w:trPr>
        <w:tc>
          <w:tcPr>
            <w:tcW w:w="705"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4ABABE19"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 xml:space="preserve">17. </w:t>
            </w:r>
          </w:p>
        </w:tc>
        <w:tc>
          <w:tcPr>
            <w:tcW w:w="1847" w:type="dxa"/>
            <w:tcBorders>
              <w:top w:val="single" w:sz="4" w:space="0" w:color="000000"/>
              <w:left w:val="single" w:sz="4" w:space="0" w:color="000000"/>
              <w:bottom w:val="single" w:sz="4" w:space="0" w:color="000000"/>
              <w:right w:val="single" w:sz="4" w:space="0" w:color="000000"/>
            </w:tcBorders>
          </w:tcPr>
          <w:p w14:paraId="791B933B" w14:textId="77777777" w:rsidR="00472217" w:rsidRPr="00472217" w:rsidRDefault="00472217" w:rsidP="00472217">
            <w:pPr>
              <w:spacing w:after="0" w:line="240" w:lineRule="auto"/>
              <w:ind w:left="0" w:right="0" w:firstLine="0"/>
              <w:jc w:val="center"/>
              <w:rPr>
                <w:rFonts w:ascii="Times New Roman" w:hAnsi="Times New Roman" w:cs="Times New Roman"/>
                <w:sz w:val="24"/>
                <w:szCs w:val="24"/>
              </w:rPr>
            </w:pPr>
            <w:r w:rsidRPr="00472217">
              <w:rPr>
                <w:rFonts w:ascii="Times New Roman" w:hAnsi="Times New Roman" w:cs="Times New Roman"/>
                <w:sz w:val="24"/>
                <w:szCs w:val="24"/>
              </w:rPr>
              <w:t>Trnje</w:t>
            </w:r>
          </w:p>
        </w:tc>
        <w:tc>
          <w:tcPr>
            <w:tcW w:w="1490"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31EC2995"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67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C040960"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c>
          <w:tcPr>
            <w:tcW w:w="165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1E89652"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p>
        </w:tc>
        <w:tc>
          <w:tcPr>
            <w:tcW w:w="1412"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62DB9796" w14:textId="77777777" w:rsidR="00472217" w:rsidRPr="00472217" w:rsidRDefault="00472217" w:rsidP="00472217">
            <w:pPr>
              <w:spacing w:after="0" w:line="240" w:lineRule="auto"/>
              <w:ind w:left="0" w:right="0" w:firstLine="0"/>
              <w:jc w:val="left"/>
              <w:rPr>
                <w:rFonts w:ascii="Times New Roman" w:hAnsi="Times New Roman" w:cs="Times New Roman"/>
                <w:sz w:val="24"/>
                <w:szCs w:val="24"/>
              </w:rPr>
            </w:pPr>
            <w:r w:rsidRPr="00472217">
              <w:rPr>
                <w:rFonts w:ascii="Times New Roman" w:hAnsi="Times New Roman" w:cs="Times New Roman"/>
                <w:sz w:val="24"/>
                <w:szCs w:val="24"/>
              </w:rPr>
              <w:t xml:space="preserve"> </w:t>
            </w:r>
          </w:p>
        </w:tc>
      </w:tr>
    </w:tbl>
    <w:p w14:paraId="1DDDE3F0" w14:textId="77777777" w:rsidR="00472217" w:rsidRPr="00472217" w:rsidRDefault="00472217" w:rsidP="00472217">
      <w:pPr>
        <w:spacing w:after="0" w:line="240" w:lineRule="auto"/>
        <w:ind w:left="0" w:right="0" w:firstLine="0"/>
        <w:rPr>
          <w:rFonts w:ascii="Times New Roman" w:hAnsi="Times New Roman" w:cs="Times New Roman"/>
          <w:b/>
          <w:sz w:val="24"/>
          <w:szCs w:val="24"/>
        </w:rPr>
      </w:pPr>
    </w:p>
    <w:p w14:paraId="647E3092" w14:textId="77777777" w:rsidR="00472217" w:rsidRPr="00472217" w:rsidRDefault="00472217" w:rsidP="00472217">
      <w:pPr>
        <w:spacing w:after="0" w:line="240" w:lineRule="auto"/>
        <w:ind w:left="0" w:right="0" w:firstLine="0"/>
        <w:rPr>
          <w:rFonts w:ascii="Times New Roman" w:hAnsi="Times New Roman" w:cs="Times New Roman"/>
          <w:b/>
          <w:sz w:val="24"/>
          <w:szCs w:val="24"/>
        </w:rPr>
      </w:pPr>
    </w:p>
    <w:p w14:paraId="581A4EB1" w14:textId="77777777" w:rsidR="00472217" w:rsidRPr="00472217" w:rsidRDefault="00472217" w:rsidP="00472217">
      <w:pPr>
        <w:spacing w:after="0" w:line="240" w:lineRule="auto"/>
        <w:ind w:left="0" w:right="0" w:firstLine="0"/>
        <w:rPr>
          <w:rFonts w:ascii="Times New Roman" w:hAnsi="Times New Roman" w:cs="Times New Roman"/>
          <w:b/>
          <w:sz w:val="24"/>
          <w:szCs w:val="24"/>
        </w:rPr>
      </w:pPr>
    </w:p>
    <w:p w14:paraId="6CDBD20C" w14:textId="77777777" w:rsidR="00472217" w:rsidRPr="00472217" w:rsidRDefault="00472217" w:rsidP="00472217">
      <w:pPr>
        <w:spacing w:after="0" w:line="240" w:lineRule="auto"/>
        <w:ind w:left="0" w:right="0" w:firstLine="0"/>
        <w:rPr>
          <w:rFonts w:ascii="Times New Roman" w:hAnsi="Times New Roman" w:cs="Times New Roman"/>
          <w:b/>
          <w:sz w:val="24"/>
          <w:szCs w:val="24"/>
        </w:rPr>
      </w:pPr>
    </w:p>
    <w:p w14:paraId="4816021B" w14:textId="77777777" w:rsidR="00472217" w:rsidRPr="00472217" w:rsidRDefault="00472217" w:rsidP="00472217">
      <w:pPr>
        <w:spacing w:after="0" w:line="240" w:lineRule="auto"/>
        <w:ind w:left="0" w:right="0" w:firstLine="0"/>
        <w:jc w:val="center"/>
        <w:rPr>
          <w:noProof/>
        </w:rPr>
      </w:pPr>
      <w:r w:rsidRPr="00472217">
        <w:rPr>
          <w:noProof/>
        </w:rPr>
        <w:lastRenderedPageBreak/>
        <w:drawing>
          <wp:inline distT="0" distB="0" distL="0" distR="0" wp14:anchorId="3A2CE25C" wp14:editId="4F4A3778">
            <wp:extent cx="5340885" cy="4543425"/>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0">
                      <a:extLst>
                        <a:ext uri="{28A0092B-C50C-407E-A947-70E740481C1C}">
                          <a14:useLocalDpi xmlns:a14="http://schemas.microsoft.com/office/drawing/2010/main" val="0"/>
                        </a:ext>
                      </a:extLst>
                    </a:blip>
                    <a:srcRect l="32597" t="19525" r="32757" b="20041"/>
                    <a:stretch/>
                  </pic:blipFill>
                  <pic:spPr bwMode="auto">
                    <a:xfrm>
                      <a:off x="0" y="0"/>
                      <a:ext cx="5347424" cy="4548987"/>
                    </a:xfrm>
                    <a:prstGeom prst="rect">
                      <a:avLst/>
                    </a:prstGeom>
                    <a:noFill/>
                    <a:ln>
                      <a:noFill/>
                    </a:ln>
                    <a:extLst>
                      <a:ext uri="{53640926-AAD7-44D8-BBD7-CCE9431645EC}">
                        <a14:shadowObscured xmlns:a14="http://schemas.microsoft.com/office/drawing/2010/main"/>
                      </a:ext>
                    </a:extLst>
                  </pic:spPr>
                </pic:pic>
              </a:graphicData>
            </a:graphic>
          </wp:inline>
        </w:drawing>
      </w:r>
    </w:p>
    <w:p w14:paraId="0F5BA772"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4A336787" w14:textId="77777777" w:rsidR="00472217" w:rsidRPr="00472217" w:rsidRDefault="00472217" w:rsidP="00472217">
      <w:pPr>
        <w:spacing w:after="0" w:line="240" w:lineRule="auto"/>
        <w:ind w:left="0" w:right="0" w:firstLine="0"/>
        <w:rPr>
          <w:rFonts w:ascii="Times New Roman" w:hAnsi="Times New Roman" w:cs="Times New Roman"/>
          <w:sz w:val="24"/>
          <w:szCs w:val="24"/>
        </w:rPr>
      </w:pPr>
    </w:p>
    <w:p w14:paraId="311778D7" w14:textId="77777777" w:rsidR="00472217" w:rsidRPr="00472217" w:rsidRDefault="00472217" w:rsidP="00472217">
      <w:pPr>
        <w:spacing w:after="0" w:line="240" w:lineRule="auto"/>
        <w:ind w:left="0" w:right="0" w:firstLine="0"/>
        <w:rPr>
          <w:noProof/>
        </w:rPr>
      </w:pPr>
    </w:p>
    <w:p w14:paraId="6C839EED" w14:textId="77777777" w:rsidR="00472217" w:rsidRPr="00472217" w:rsidRDefault="00472217" w:rsidP="00472217">
      <w:pPr>
        <w:spacing w:after="0" w:line="240" w:lineRule="auto"/>
        <w:ind w:left="0" w:right="0" w:firstLine="0"/>
        <w:rPr>
          <w:noProof/>
        </w:rPr>
      </w:pPr>
    </w:p>
    <w:p w14:paraId="1074ED9A" w14:textId="77777777" w:rsidR="00472217" w:rsidRPr="00472217" w:rsidRDefault="00472217" w:rsidP="00472217">
      <w:pPr>
        <w:tabs>
          <w:tab w:val="left" w:pos="3615"/>
        </w:tabs>
        <w:spacing w:after="0" w:line="240" w:lineRule="auto"/>
        <w:ind w:left="0" w:right="0" w:firstLine="0"/>
        <w:rPr>
          <w:rFonts w:ascii="Times New Roman" w:hAnsi="Times New Roman" w:cs="Times New Roman"/>
          <w:sz w:val="24"/>
          <w:szCs w:val="24"/>
        </w:rPr>
      </w:pPr>
      <w:r w:rsidRPr="00472217">
        <w:rPr>
          <w:rFonts w:ascii="Times New Roman" w:hAnsi="Times New Roman" w:cs="Times New Roman"/>
          <w:sz w:val="24"/>
          <w:szCs w:val="24"/>
        </w:rPr>
        <w:tab/>
      </w:r>
    </w:p>
    <w:p w14:paraId="509FC9E9" w14:textId="77777777" w:rsidR="00950DC1" w:rsidRDefault="00950DC1" w:rsidP="00950DC1">
      <w:pPr>
        <w:rPr>
          <w:rFonts w:ascii="Times New Roman" w:hAnsi="Times New Roman" w:cs="Times New Roman"/>
          <w:sz w:val="24"/>
        </w:rPr>
      </w:pPr>
    </w:p>
    <w:p w14:paraId="03330B86" w14:textId="25599A52" w:rsidR="00CE4763" w:rsidRDefault="00950DC1" w:rsidP="00950DC1">
      <w:pPr>
        <w:tabs>
          <w:tab w:val="left" w:pos="1275"/>
        </w:tabs>
        <w:rPr>
          <w:rFonts w:ascii="Times New Roman" w:hAnsi="Times New Roman" w:cs="Times New Roman"/>
          <w:sz w:val="24"/>
        </w:rPr>
      </w:pPr>
      <w:r>
        <w:rPr>
          <w:rFonts w:ascii="Times New Roman" w:hAnsi="Times New Roman" w:cs="Times New Roman"/>
          <w:sz w:val="24"/>
        </w:rPr>
        <w:tab/>
      </w:r>
    </w:p>
    <w:p w14:paraId="7981F388" w14:textId="63DAC7A5" w:rsidR="00435702" w:rsidRDefault="00435702" w:rsidP="00950DC1">
      <w:pPr>
        <w:tabs>
          <w:tab w:val="left" w:pos="1275"/>
        </w:tabs>
        <w:rPr>
          <w:rFonts w:ascii="Times New Roman" w:hAnsi="Times New Roman" w:cs="Times New Roman"/>
          <w:sz w:val="24"/>
        </w:rPr>
      </w:pPr>
    </w:p>
    <w:p w14:paraId="5B29E898" w14:textId="0C6CACDD" w:rsidR="00435702" w:rsidRDefault="00435702" w:rsidP="00950DC1">
      <w:pPr>
        <w:tabs>
          <w:tab w:val="left" w:pos="1275"/>
        </w:tabs>
        <w:rPr>
          <w:rFonts w:ascii="Times New Roman" w:hAnsi="Times New Roman" w:cs="Times New Roman"/>
          <w:sz w:val="24"/>
        </w:rPr>
      </w:pPr>
    </w:p>
    <w:p w14:paraId="403054F4" w14:textId="3AEDC288" w:rsidR="00435702" w:rsidRDefault="00435702" w:rsidP="00950DC1">
      <w:pPr>
        <w:tabs>
          <w:tab w:val="left" w:pos="1275"/>
        </w:tabs>
        <w:rPr>
          <w:rFonts w:ascii="Times New Roman" w:hAnsi="Times New Roman" w:cs="Times New Roman"/>
          <w:sz w:val="24"/>
        </w:rPr>
      </w:pPr>
    </w:p>
    <w:p w14:paraId="4E4CA968" w14:textId="09F0FA24" w:rsidR="00435702" w:rsidRDefault="00435702" w:rsidP="00950DC1">
      <w:pPr>
        <w:tabs>
          <w:tab w:val="left" w:pos="1275"/>
        </w:tabs>
        <w:rPr>
          <w:rFonts w:ascii="Times New Roman" w:hAnsi="Times New Roman" w:cs="Times New Roman"/>
          <w:sz w:val="24"/>
        </w:rPr>
      </w:pPr>
    </w:p>
    <w:p w14:paraId="7CB8FFFB" w14:textId="279A436F" w:rsidR="00435702" w:rsidRDefault="00435702" w:rsidP="00950DC1">
      <w:pPr>
        <w:tabs>
          <w:tab w:val="left" w:pos="1275"/>
        </w:tabs>
        <w:rPr>
          <w:rFonts w:ascii="Times New Roman" w:hAnsi="Times New Roman" w:cs="Times New Roman"/>
          <w:sz w:val="24"/>
        </w:rPr>
      </w:pPr>
    </w:p>
    <w:p w14:paraId="6419CE5E" w14:textId="175290E1" w:rsidR="00435702" w:rsidRDefault="00435702" w:rsidP="00950DC1">
      <w:pPr>
        <w:tabs>
          <w:tab w:val="left" w:pos="1275"/>
        </w:tabs>
        <w:rPr>
          <w:rFonts w:ascii="Times New Roman" w:hAnsi="Times New Roman" w:cs="Times New Roman"/>
          <w:sz w:val="24"/>
        </w:rPr>
      </w:pPr>
    </w:p>
    <w:p w14:paraId="558CBD9C" w14:textId="3214F5BF" w:rsidR="00435702" w:rsidRDefault="00435702" w:rsidP="00950DC1">
      <w:pPr>
        <w:tabs>
          <w:tab w:val="left" w:pos="1275"/>
        </w:tabs>
        <w:rPr>
          <w:rFonts w:ascii="Times New Roman" w:hAnsi="Times New Roman" w:cs="Times New Roman"/>
          <w:sz w:val="24"/>
        </w:rPr>
      </w:pPr>
    </w:p>
    <w:p w14:paraId="69246997" w14:textId="74F67131" w:rsidR="00435702" w:rsidRDefault="00435702" w:rsidP="00950DC1">
      <w:pPr>
        <w:tabs>
          <w:tab w:val="left" w:pos="1275"/>
        </w:tabs>
        <w:rPr>
          <w:rFonts w:ascii="Times New Roman" w:hAnsi="Times New Roman" w:cs="Times New Roman"/>
          <w:sz w:val="24"/>
        </w:rPr>
      </w:pPr>
    </w:p>
    <w:p w14:paraId="2D616A79" w14:textId="140FDB72" w:rsidR="00435702" w:rsidRDefault="00435702" w:rsidP="00950DC1">
      <w:pPr>
        <w:tabs>
          <w:tab w:val="left" w:pos="1275"/>
        </w:tabs>
        <w:rPr>
          <w:rFonts w:ascii="Times New Roman" w:hAnsi="Times New Roman" w:cs="Times New Roman"/>
          <w:sz w:val="24"/>
        </w:rPr>
      </w:pPr>
    </w:p>
    <w:p w14:paraId="3F625F3C" w14:textId="77777777" w:rsidR="00435702" w:rsidRDefault="00435702" w:rsidP="00950DC1">
      <w:pPr>
        <w:tabs>
          <w:tab w:val="left" w:pos="1275"/>
        </w:tabs>
        <w:rPr>
          <w:rFonts w:ascii="Times New Roman" w:hAnsi="Times New Roman" w:cs="Times New Roman"/>
          <w:sz w:val="24"/>
        </w:rPr>
      </w:pPr>
    </w:p>
    <w:p w14:paraId="581DDEE9" w14:textId="77777777" w:rsidR="00435702" w:rsidRPr="00435702" w:rsidRDefault="00435702" w:rsidP="00435702">
      <w:pPr>
        <w:spacing w:after="0" w:line="240" w:lineRule="auto"/>
        <w:ind w:left="0" w:right="0" w:firstLine="0"/>
        <w:jc w:val="left"/>
        <w:rPr>
          <w:rFonts w:ascii="Times New Roman" w:eastAsia="Calibri" w:hAnsi="Times New Roman" w:cs="Times New Roman"/>
          <w:b/>
          <w:bCs/>
          <w:color w:val="auto"/>
          <w:sz w:val="28"/>
          <w:szCs w:val="28"/>
          <w:lang w:eastAsia="en-US"/>
        </w:rPr>
      </w:pPr>
      <w:r w:rsidRPr="00435702">
        <w:rPr>
          <w:rFonts w:ascii="Times New Roman" w:eastAsia="Calibri" w:hAnsi="Times New Roman" w:cs="Times New Roman"/>
          <w:b/>
          <w:bCs/>
          <w:color w:val="auto"/>
          <w:sz w:val="28"/>
          <w:szCs w:val="28"/>
          <w:lang w:eastAsia="en-US"/>
        </w:rPr>
        <w:lastRenderedPageBreak/>
        <w:t>7. Usporedba rizika</w:t>
      </w:r>
    </w:p>
    <w:p w14:paraId="0CFD7580" w14:textId="77777777" w:rsidR="00435702" w:rsidRPr="00435702" w:rsidRDefault="00435702" w:rsidP="00435702">
      <w:pPr>
        <w:spacing w:after="0" w:line="240" w:lineRule="auto"/>
        <w:ind w:left="0" w:right="0" w:firstLine="0"/>
        <w:jc w:val="left"/>
        <w:rPr>
          <w:rFonts w:ascii="Times New Roman" w:eastAsia="Calibri" w:hAnsi="Times New Roman" w:cs="Times New Roman"/>
          <w:color w:val="auto"/>
          <w:sz w:val="24"/>
          <w:szCs w:val="24"/>
          <w:lang w:eastAsia="en-US"/>
        </w:rPr>
      </w:pPr>
    </w:p>
    <w:p w14:paraId="729175B4" w14:textId="77777777" w:rsidR="00435702" w:rsidRPr="00435702" w:rsidRDefault="00435702" w:rsidP="00435702">
      <w:pPr>
        <w:spacing w:after="0" w:line="240" w:lineRule="auto"/>
        <w:ind w:left="0" w:right="0" w:firstLine="709"/>
        <w:rPr>
          <w:rFonts w:ascii="Times New Roman" w:eastAsia="Calibri" w:hAnsi="Times New Roman" w:cs="Times New Roman"/>
          <w:color w:val="auto"/>
          <w:sz w:val="24"/>
          <w:szCs w:val="24"/>
          <w:lang w:eastAsia="en-US"/>
        </w:rPr>
      </w:pPr>
      <w:r w:rsidRPr="00435702">
        <w:rPr>
          <w:rFonts w:ascii="Times New Roman" w:eastAsia="Calibri" w:hAnsi="Times New Roman" w:cs="Times New Roman"/>
          <w:color w:val="auto"/>
          <w:sz w:val="24"/>
          <w:szCs w:val="24"/>
          <w:lang w:eastAsia="en-US"/>
        </w:rPr>
        <w:t>U ovom poglavlju prikazana je usporedba rezultata procjene jednostavnih rizika te obrada svih scenarija. Svi rezultati iskazani su u zajedničkoj matrici.</w:t>
      </w:r>
    </w:p>
    <w:p w14:paraId="515D8229" w14:textId="77777777" w:rsidR="00435702" w:rsidRPr="00435702" w:rsidRDefault="00435702" w:rsidP="00435702">
      <w:pPr>
        <w:spacing w:after="0" w:line="240" w:lineRule="auto"/>
        <w:ind w:left="0" w:right="0" w:firstLine="709"/>
        <w:rPr>
          <w:rFonts w:ascii="Times New Roman" w:eastAsia="Calibri" w:hAnsi="Times New Roman" w:cs="Times New Roman"/>
          <w:color w:val="auto"/>
          <w:sz w:val="24"/>
          <w:szCs w:val="24"/>
          <w:lang w:eastAsia="en-US"/>
        </w:rPr>
      </w:pPr>
      <w:r w:rsidRPr="00435702">
        <w:rPr>
          <w:rFonts w:ascii="Times New Roman" w:eastAsia="Calibri" w:hAnsi="Times New Roman" w:cs="Times New Roman"/>
          <w:color w:val="auto"/>
          <w:sz w:val="24"/>
          <w:szCs w:val="24"/>
          <w:lang w:eastAsia="en-US"/>
        </w:rPr>
        <w:t>Za usporedbu se koristi identična matrica koja se koristi i za prikazivanje pojedinačnih rizika. Analizirani rizici (scenariji) za Grad Zagreb prikazani u odvojenim matricama uspoređuju se u zajedničkoj matrici koja se kasnije koristi tijekom vrednovanja i prioritizacije rizika.</w:t>
      </w:r>
    </w:p>
    <w:p w14:paraId="0B573DD5" w14:textId="2B9B7A41" w:rsidR="00435702" w:rsidRDefault="00435702" w:rsidP="00435702">
      <w:pPr>
        <w:spacing w:after="0" w:line="240" w:lineRule="auto"/>
        <w:ind w:left="0" w:right="0" w:firstLine="0"/>
        <w:jc w:val="left"/>
        <w:rPr>
          <w:rFonts w:ascii="Times New Roman" w:eastAsia="Calibri" w:hAnsi="Times New Roman" w:cs="Times New Roman"/>
          <w:color w:val="auto"/>
          <w:sz w:val="24"/>
          <w:szCs w:val="24"/>
          <w:lang w:eastAsia="en-US"/>
        </w:rPr>
      </w:pPr>
    </w:p>
    <w:p w14:paraId="06ADDC92" w14:textId="77777777" w:rsidR="00435702" w:rsidRPr="00435702" w:rsidRDefault="00435702" w:rsidP="00435702">
      <w:pPr>
        <w:spacing w:after="0" w:line="240" w:lineRule="auto"/>
        <w:ind w:left="0" w:right="0" w:firstLine="0"/>
        <w:jc w:val="left"/>
        <w:rPr>
          <w:rFonts w:ascii="Times New Roman" w:eastAsia="Calibri" w:hAnsi="Times New Roman" w:cs="Times New Roman"/>
          <w:color w:val="auto"/>
          <w:sz w:val="24"/>
          <w:szCs w:val="24"/>
          <w:lang w:eastAsia="en-US"/>
        </w:rPr>
      </w:pPr>
    </w:p>
    <w:p w14:paraId="3A54216A" w14:textId="328FE0D5" w:rsidR="00CE4763" w:rsidRDefault="00375232">
      <w:pPr>
        <w:spacing w:after="160" w:line="259" w:lineRule="auto"/>
        <w:ind w:left="0" w:right="0" w:firstLine="0"/>
        <w:jc w:val="left"/>
        <w:rPr>
          <w:rFonts w:ascii="Times New Roman" w:hAnsi="Times New Roman" w:cs="Times New Roman"/>
          <w:sz w:val="24"/>
        </w:rPr>
      </w:pPr>
      <w:r>
        <w:rPr>
          <w:noProof/>
        </w:rPr>
        <w:drawing>
          <wp:inline distT="0" distB="0" distL="0" distR="0" wp14:anchorId="4A7311A1" wp14:editId="282945E7">
            <wp:extent cx="5760720" cy="5086350"/>
            <wp:effectExtent l="0" t="0" r="0" b="0"/>
            <wp:docPr id="72928" name="Picture 7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60720" cy="5086350"/>
                    </a:xfrm>
                    <a:prstGeom prst="rect">
                      <a:avLst/>
                    </a:prstGeom>
                    <a:noFill/>
                    <a:ln>
                      <a:noFill/>
                    </a:ln>
                  </pic:spPr>
                </pic:pic>
              </a:graphicData>
            </a:graphic>
          </wp:inline>
        </w:drawing>
      </w:r>
      <w:r w:rsidR="00CE4763">
        <w:rPr>
          <w:rFonts w:ascii="Times New Roman" w:hAnsi="Times New Roman" w:cs="Times New Roman"/>
          <w:sz w:val="24"/>
        </w:rPr>
        <w:br w:type="page"/>
      </w:r>
    </w:p>
    <w:p w14:paraId="74F56368" w14:textId="77777777" w:rsidR="00CE4763" w:rsidRPr="00CE4763" w:rsidRDefault="00950DC1" w:rsidP="00CE4763">
      <w:pPr>
        <w:spacing w:after="0" w:line="240" w:lineRule="auto"/>
        <w:ind w:right="0"/>
        <w:rPr>
          <w:rFonts w:ascii="Times New Roman" w:hAnsi="Times New Roman" w:cs="Times New Roman"/>
          <w:b/>
          <w:sz w:val="28"/>
        </w:rPr>
      </w:pPr>
      <w:r>
        <w:rPr>
          <w:rFonts w:ascii="Times New Roman" w:hAnsi="Times New Roman" w:cs="Times New Roman"/>
          <w:sz w:val="24"/>
        </w:rPr>
        <w:lastRenderedPageBreak/>
        <w:tab/>
      </w:r>
      <w:r w:rsidR="00CE4763" w:rsidRPr="00CE4763">
        <w:rPr>
          <w:rFonts w:ascii="Times New Roman" w:hAnsi="Times New Roman" w:cs="Times New Roman"/>
          <w:b/>
          <w:sz w:val="28"/>
        </w:rPr>
        <w:t>8. Analiza sustava civilne zaštite</w:t>
      </w:r>
    </w:p>
    <w:p w14:paraId="04F37B4E"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0BCE0FD1"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Analiza na području preventive sastoji se od sljedećih elemenata:</w:t>
      </w:r>
    </w:p>
    <w:p w14:paraId="7B418C67" w14:textId="77777777" w:rsidR="00CE4763" w:rsidRPr="00CE4763" w:rsidRDefault="00CE4763" w:rsidP="00CE4763">
      <w:pPr>
        <w:spacing w:after="0" w:line="240" w:lineRule="auto"/>
        <w:ind w:right="0"/>
        <w:rPr>
          <w:rFonts w:ascii="Times New Roman" w:hAnsi="Times New Roman" w:cs="Times New Roman"/>
          <w:sz w:val="24"/>
        </w:rPr>
      </w:pPr>
    </w:p>
    <w:p w14:paraId="1CB45690"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1.</w:t>
      </w:r>
      <w:r w:rsidRPr="00CE4763">
        <w:rPr>
          <w:rFonts w:ascii="Times New Roman" w:hAnsi="Times New Roman" w:cs="Times New Roman"/>
          <w:sz w:val="24"/>
          <w:u w:color="000000"/>
        </w:rPr>
        <w:tab/>
      </w:r>
      <w:r w:rsidRPr="00CE4763">
        <w:rPr>
          <w:rFonts w:ascii="Times New Roman" w:hAnsi="Times New Roman" w:cs="Times New Roman"/>
          <w:sz w:val="24"/>
        </w:rPr>
        <w:t>Donošenja strategija, normativne uređenosti te izrađenosti procjena i planova od značenja za sustav civilne zaštite</w:t>
      </w:r>
    </w:p>
    <w:p w14:paraId="4D6991A0"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Procjena spremnosti sustava civilne zaštite provela se na temelju analize izrađenosti i donošenja sektorskih strategija i planova, procjena te ostalih dokumenta smanjenja rizika od velikih nesreća na području Grada Zagreba.</w:t>
      </w:r>
    </w:p>
    <w:p w14:paraId="6604939F" w14:textId="77777777" w:rsidR="00CE4763" w:rsidRPr="00CE4763" w:rsidRDefault="00CE4763" w:rsidP="00CE4763">
      <w:pPr>
        <w:spacing w:after="0" w:line="240" w:lineRule="auto"/>
        <w:ind w:right="0"/>
        <w:rPr>
          <w:rFonts w:ascii="Times New Roman" w:hAnsi="Times New Roman" w:cs="Times New Roman"/>
          <w:sz w:val="24"/>
        </w:rPr>
      </w:pPr>
    </w:p>
    <w:p w14:paraId="58A01533"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2.</w:t>
      </w:r>
      <w:r w:rsidRPr="00CE4763">
        <w:rPr>
          <w:rFonts w:ascii="Times New Roman" w:hAnsi="Times New Roman" w:cs="Times New Roman"/>
          <w:sz w:val="24"/>
          <w:u w:color="000000"/>
        </w:rPr>
        <w:tab/>
      </w:r>
      <w:r w:rsidRPr="00CE4763">
        <w:rPr>
          <w:rFonts w:ascii="Times New Roman" w:hAnsi="Times New Roman" w:cs="Times New Roman"/>
          <w:sz w:val="24"/>
        </w:rPr>
        <w:t>Sustavi ranog upozoravanja i suradnja sa susjednim jedinicama lokalne i područne (regionalne) samouprave</w:t>
      </w:r>
    </w:p>
    <w:p w14:paraId="105A2896"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Procjena spremnosti sustava civilne zaštite provela se na temelju analize razvijenosti sustava ranog upozoravanja, stupnja razmjene informacija i njihova korištenja za podizanje spremnosti sustava civilne zaštite tijekom priprema za provođenje mjera i aktivnosti radi smanjivanja posljedica neposrednih i nastupajućih prijetnji.</w:t>
      </w:r>
    </w:p>
    <w:p w14:paraId="6DD3BAE9" w14:textId="77777777" w:rsidR="00CE4763" w:rsidRPr="00CE4763" w:rsidRDefault="00CE4763" w:rsidP="00CE4763">
      <w:pPr>
        <w:spacing w:after="0" w:line="240" w:lineRule="auto"/>
        <w:ind w:right="0"/>
        <w:rPr>
          <w:rFonts w:ascii="Times New Roman" w:hAnsi="Times New Roman" w:cs="Times New Roman"/>
          <w:sz w:val="24"/>
        </w:rPr>
      </w:pPr>
    </w:p>
    <w:p w14:paraId="6EB6743A"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3.</w:t>
      </w:r>
      <w:r w:rsidRPr="00CE4763">
        <w:rPr>
          <w:rFonts w:ascii="Times New Roman" w:hAnsi="Times New Roman" w:cs="Times New Roman"/>
          <w:sz w:val="24"/>
          <w:u w:color="000000"/>
        </w:rPr>
        <w:tab/>
      </w:r>
      <w:r w:rsidRPr="00CE4763">
        <w:rPr>
          <w:rFonts w:ascii="Times New Roman" w:hAnsi="Times New Roman" w:cs="Times New Roman"/>
          <w:sz w:val="24"/>
        </w:rPr>
        <w:t>Stanje svijesti pojedinaca, pripadnika ranjivih skupina, upravljačkih i odgovornih tijela</w:t>
      </w:r>
    </w:p>
    <w:p w14:paraId="6895D160"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Procjena spremnosti sustava civilne zaštite provela se na temelju analize stanja svijesti pojedinaca, pripadnika ranjivih skupina, upravljačkih i odgovornih tijela u sustavu civilne zaštite o identificiranim prijetnjama i rizicima i optimalnom postupanju u provođenju obveza iz njihovih nadležnosti kako bi se umanjile posljedice prijetnji.</w:t>
      </w:r>
    </w:p>
    <w:p w14:paraId="568E36E6"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28DD0C65"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4.</w:t>
      </w:r>
      <w:r w:rsidRPr="00CE4763">
        <w:rPr>
          <w:rFonts w:ascii="Times New Roman" w:hAnsi="Times New Roman" w:cs="Times New Roman"/>
          <w:sz w:val="24"/>
          <w:u w:color="000000"/>
        </w:rPr>
        <w:tab/>
      </w:r>
      <w:r w:rsidRPr="00CE4763">
        <w:rPr>
          <w:rFonts w:ascii="Times New Roman" w:hAnsi="Times New Roman" w:cs="Times New Roman"/>
          <w:sz w:val="24"/>
        </w:rPr>
        <w:t>Ocjena stanja prostornog planiranja, izrade prostornih i urbanističkih planova razvoja, planskog korištenja zemljišta</w:t>
      </w:r>
    </w:p>
    <w:p w14:paraId="43313550"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Procjena spremnosti sustava civilne zaštite provela se na temelju analize i ocjene stanja prostornog planiranja, stupnja izrađenosti prostornih i urbanističkih planova razvoja, planskog korištenja zemljišta kao bitnog nacionalnog resursa, utjecaja provođenja legalizacije bespravno izgrađenih građevina na sigurnost zajednica te primjene posebnih građevinskih preventivnih mjera/standarda u postupcima ugradnje zahtjeva i posebnih uvjeta u projektnu dokumentaciju te u postupcima izdavanja lokacijskih i građevinskih dozvola.</w:t>
      </w:r>
    </w:p>
    <w:p w14:paraId="51D727DC"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46210F0B"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5.</w:t>
      </w:r>
      <w:r w:rsidRPr="00CE4763">
        <w:rPr>
          <w:rFonts w:ascii="Times New Roman" w:hAnsi="Times New Roman" w:cs="Times New Roman"/>
          <w:sz w:val="24"/>
          <w:u w:color="000000"/>
        </w:rPr>
        <w:tab/>
      </w:r>
      <w:r w:rsidRPr="00CE4763">
        <w:rPr>
          <w:rFonts w:ascii="Times New Roman" w:hAnsi="Times New Roman" w:cs="Times New Roman"/>
          <w:sz w:val="24"/>
        </w:rPr>
        <w:t>Ocjena fiskalne situacije i njezine perspektive</w:t>
      </w:r>
    </w:p>
    <w:p w14:paraId="7D4AF6F4"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Procjena spremnosti sustava civilne zaštite analizirala se na temelju ocjena fiskalne situacije i njezine perspektive posebno za prenamjenu dijela sredstava koja se koriste za reagiranje za potrebe financiranja provođenja preventivnih mjera.</w:t>
      </w:r>
    </w:p>
    <w:p w14:paraId="3FF0E64D"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17BFF4F6"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6.</w:t>
      </w:r>
      <w:r w:rsidRPr="00CE4763">
        <w:rPr>
          <w:rFonts w:ascii="Times New Roman" w:hAnsi="Times New Roman" w:cs="Times New Roman"/>
          <w:sz w:val="24"/>
          <w:u w:color="000000"/>
        </w:rPr>
        <w:tab/>
      </w:r>
      <w:r w:rsidRPr="00CE4763">
        <w:rPr>
          <w:rFonts w:ascii="Times New Roman" w:hAnsi="Times New Roman" w:cs="Times New Roman"/>
          <w:sz w:val="24"/>
        </w:rPr>
        <w:t>Baze podataka</w:t>
      </w:r>
    </w:p>
    <w:p w14:paraId="3A2544CE"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Ovaj segment analizirao se procjenom kvalitete doprinosa za podizanje spremnosti sustava civilne zaštite koju daje GIS civilne zaštite te drugi izvori i baze podataka kao što su službena statistika, dokumenti i studije, prije svega provedena znanstvena istraživanja i druge baze podataka i podloge za potrebe sustava civilne zaštite.</w:t>
      </w:r>
    </w:p>
    <w:p w14:paraId="42CD5898" w14:textId="77777777" w:rsidR="00CE4763" w:rsidRPr="00CE4763" w:rsidRDefault="00CE4763" w:rsidP="00CE4763">
      <w:pPr>
        <w:spacing w:after="0" w:line="240" w:lineRule="auto"/>
        <w:ind w:right="0"/>
        <w:rPr>
          <w:rFonts w:ascii="Times New Roman" w:hAnsi="Times New Roman" w:cs="Times New Roman"/>
          <w:sz w:val="24"/>
        </w:rPr>
      </w:pPr>
    </w:p>
    <w:p w14:paraId="5ACC9D2D"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Analiza na području reagiranja sastoji se od sljedećih elemenata:</w:t>
      </w:r>
    </w:p>
    <w:p w14:paraId="76B6BF01"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rPr>
        <w:t>1. Spremnost odgovornih i upravljačkih kapaciteta</w:t>
      </w:r>
    </w:p>
    <w:p w14:paraId="5BCA8CA3"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Procjena spremnosti sustava civilne zaštite na temelju spremnosti odgovornih i upravljačkih kapaciteta sustava civilne zaštite provedena je analizom podataka o razini odgovornosti, osposobljenosti i uvježbanosti:</w:t>
      </w:r>
    </w:p>
    <w:p w14:paraId="04822C0D"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lastRenderedPageBreak/>
        <w:t>-</w:t>
      </w:r>
      <w:r w:rsidRPr="00CE4763">
        <w:rPr>
          <w:rFonts w:ascii="Times New Roman" w:hAnsi="Times New Roman" w:cs="Times New Roman"/>
          <w:sz w:val="24"/>
          <w:u w:color="000000"/>
        </w:rPr>
        <w:tab/>
      </w:r>
      <w:r w:rsidRPr="00CE4763">
        <w:rPr>
          <w:rFonts w:ascii="Times New Roman" w:hAnsi="Times New Roman" w:cs="Times New Roman"/>
          <w:sz w:val="24"/>
        </w:rPr>
        <w:t>svih čelnih osoba u Gradu Zagrebu odgovornih za provođenje zakonom utvrđenih operativnih obveza u fazi reagiranja sustava civilne zaštite na razinama njihove odgovornosti,</w:t>
      </w:r>
    </w:p>
    <w:p w14:paraId="10E0923E"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spremnosti svih stožera civilne zaštite na svim razinama ustrojavanja te</w:t>
      </w:r>
    </w:p>
    <w:p w14:paraId="12570BC0"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spremnosti koordinatora na mjestu izvanrednog događaja.</w:t>
      </w:r>
    </w:p>
    <w:p w14:paraId="306A7335"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Odgovornost je mjerljiva uz analiziranje provođenja formalnih obveza propisanih Zakonom o sustavu civilne zaštite i provedbenih propisa, osobito izrade i usvajanja procjena, planova i drugih dokumenata na području civilne zaštite, stanja svijesti i sposobnosti sustava te analize rezultata njihova rada/doprinosa u provođenju mjera i aktivnosti sustava civilne zaštite na njihovim razinama u stvarnim situacijama.</w:t>
      </w:r>
    </w:p>
    <w:p w14:paraId="7ED28367"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Osposobljenost se procjenjuje na temelju podataka o polaženju formalnih programa neformalnog obrazovanja za izvršavanja zakonskih obveza u sustavu civilne zaštite te njihova stvarnog rada u realnim situacijama.</w:t>
      </w:r>
    </w:p>
    <w:p w14:paraId="6D080DBC"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Uvježbanost se procjenjuje na temelju podataka o sudjelovanju u organizaciji i provođenju svih vrsta vježbi civilne zaštite u određenim razdobljima.</w:t>
      </w:r>
    </w:p>
    <w:p w14:paraId="6903E74C" w14:textId="77777777" w:rsidR="00CE4763" w:rsidRPr="00CE4763" w:rsidRDefault="00CE4763" w:rsidP="00CE4763">
      <w:pPr>
        <w:spacing w:after="0" w:line="240" w:lineRule="auto"/>
        <w:ind w:right="0"/>
        <w:rPr>
          <w:rFonts w:ascii="Times New Roman" w:hAnsi="Times New Roman" w:cs="Times New Roman"/>
          <w:sz w:val="24"/>
          <w:u w:color="000000"/>
        </w:rPr>
      </w:pPr>
    </w:p>
    <w:p w14:paraId="55CD2E24"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 xml:space="preserve">2. </w:t>
      </w:r>
      <w:r w:rsidRPr="00CE4763">
        <w:rPr>
          <w:rFonts w:ascii="Times New Roman" w:hAnsi="Times New Roman" w:cs="Times New Roman"/>
          <w:sz w:val="24"/>
        </w:rPr>
        <w:t>Spremnost operativnih kapaciteta</w:t>
      </w:r>
    </w:p>
    <w:p w14:paraId="3B700B9F"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Procjena spremnosti sustava civilne zaštite na temelju spremnosti operativnih kapaciteta sustava civilne zaštite za provođenje svih mjera i aktivnosti spašavanja društvenih vrijednosti izloženih štetnim utjecajima u velikim nesrećama, zbirni je prikaz stanja spremnosti najvažnijih operativnih snaga sustava civilne zaštite po predmetu analize, i to na svim razinama sustava na području Grada Zagreba, osobito po stanju:</w:t>
      </w:r>
    </w:p>
    <w:p w14:paraId="547AA5DB"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popunjenosti ljudstvom</w:t>
      </w:r>
    </w:p>
    <w:p w14:paraId="0039AD43"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spremnosti zapovjednog osoblja</w:t>
      </w:r>
    </w:p>
    <w:p w14:paraId="3FB889A1"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osposobljenosti ljudstva i zapovjednog osoblja</w:t>
      </w:r>
    </w:p>
    <w:p w14:paraId="2584B85D"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uvježbanosti</w:t>
      </w:r>
    </w:p>
    <w:p w14:paraId="6FA18599"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opremljenosti materijalnim sredstvima i opremom - vremenu mobilizacijske spremnosti / operativne gotovosti</w:t>
      </w:r>
    </w:p>
    <w:p w14:paraId="228F392B"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samodostatnosti i logističkoj potpori.</w:t>
      </w:r>
    </w:p>
    <w:p w14:paraId="6B90E063" w14:textId="77777777" w:rsidR="00CE4763" w:rsidRPr="00CE4763" w:rsidRDefault="00CE4763" w:rsidP="00CE4763">
      <w:pPr>
        <w:spacing w:after="0" w:line="240" w:lineRule="auto"/>
        <w:ind w:right="0"/>
        <w:rPr>
          <w:rFonts w:ascii="Times New Roman" w:hAnsi="Times New Roman" w:cs="Times New Roman"/>
          <w:sz w:val="24"/>
        </w:rPr>
      </w:pPr>
    </w:p>
    <w:p w14:paraId="2FFD37E4"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3.</w:t>
      </w:r>
      <w:r w:rsidRPr="00CE4763">
        <w:rPr>
          <w:rFonts w:ascii="Times New Roman" w:hAnsi="Times New Roman" w:cs="Times New Roman"/>
          <w:sz w:val="24"/>
          <w:u w:color="000000"/>
        </w:rPr>
        <w:tab/>
      </w:r>
      <w:r w:rsidRPr="00CE4763">
        <w:rPr>
          <w:rFonts w:ascii="Times New Roman" w:hAnsi="Times New Roman" w:cs="Times New Roman"/>
          <w:sz w:val="24"/>
        </w:rPr>
        <w:t>Stanje mobilnosti operativnih kapaciteta sustava civilne zaštite i stanja komunikacijskih kapaciteta</w:t>
      </w:r>
    </w:p>
    <w:p w14:paraId="2055FE78"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Procjena spremnosti sustava civilne zaštite na temelju procjene stanja mobilnosti operativnih kapaciteta sustava civilne zaštite i stanja komunikacijskih kapaciteta na temelju procjene stanja transportne potpore i komunikacijskih kapaciteta.</w:t>
      </w:r>
    </w:p>
    <w:p w14:paraId="1E1016DD"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Analiza sustava na području reagiranja izrađuje se za svaki rizik obrađen u procjeni rizika.</w:t>
      </w:r>
    </w:p>
    <w:p w14:paraId="6A49EAE2" w14:textId="77777777" w:rsidR="00CE4763" w:rsidRPr="00CE4763" w:rsidRDefault="00CE4763" w:rsidP="00CE4763">
      <w:pPr>
        <w:spacing w:after="0" w:line="240" w:lineRule="auto"/>
        <w:ind w:left="0" w:right="0" w:firstLine="0"/>
        <w:rPr>
          <w:rFonts w:ascii="Times New Roman" w:hAnsi="Times New Roman" w:cs="Times New Roman"/>
          <w:sz w:val="24"/>
        </w:rPr>
      </w:pPr>
      <w:bookmarkStart w:id="122" w:name="_Toc2938627"/>
    </w:p>
    <w:p w14:paraId="30C4CEB2" w14:textId="77777777" w:rsidR="00CE4763" w:rsidRPr="00CE4763" w:rsidRDefault="00CE4763" w:rsidP="006F21BC">
      <w:pPr>
        <w:spacing w:after="0" w:line="240" w:lineRule="auto"/>
        <w:ind w:left="0" w:right="0" w:firstLine="0"/>
        <w:rPr>
          <w:rFonts w:ascii="Times New Roman" w:hAnsi="Times New Roman" w:cs="Times New Roman"/>
          <w:b/>
          <w:sz w:val="24"/>
        </w:rPr>
      </w:pPr>
      <w:r w:rsidRPr="00CE4763">
        <w:rPr>
          <w:rFonts w:ascii="Times New Roman" w:hAnsi="Times New Roman" w:cs="Times New Roman"/>
          <w:b/>
          <w:sz w:val="24"/>
        </w:rPr>
        <w:t>8.1. Analiza sustava civilne zaštite - područje preventive</w:t>
      </w:r>
      <w:bookmarkEnd w:id="122"/>
    </w:p>
    <w:p w14:paraId="093A6067" w14:textId="77777777" w:rsidR="00CE4763" w:rsidRPr="00CE4763" w:rsidRDefault="00CE4763" w:rsidP="00CE4763">
      <w:pPr>
        <w:spacing w:after="0" w:line="240" w:lineRule="auto"/>
        <w:ind w:left="0" w:right="0" w:firstLine="0"/>
        <w:jc w:val="left"/>
        <w:rPr>
          <w:rFonts w:ascii="Times New Roman" w:eastAsia="Calibri" w:hAnsi="Times New Roman" w:cs="Times New Roman"/>
          <w:sz w:val="24"/>
        </w:rPr>
      </w:pPr>
    </w:p>
    <w:p w14:paraId="1F910BD0"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Analiza na području preventive sastoji se od sljedećih elemenata:</w:t>
      </w:r>
    </w:p>
    <w:p w14:paraId="6FBE3C59" w14:textId="701E1DF6" w:rsidR="00132C6C" w:rsidRPr="00132C6C" w:rsidRDefault="00CE4763" w:rsidP="00132C6C">
      <w:pPr>
        <w:pStyle w:val="ListParagraph"/>
        <w:numPr>
          <w:ilvl w:val="0"/>
          <w:numId w:val="28"/>
        </w:numPr>
        <w:spacing w:after="0" w:line="240" w:lineRule="auto"/>
        <w:ind w:right="0"/>
        <w:rPr>
          <w:rFonts w:ascii="Times New Roman" w:hAnsi="Times New Roman" w:cs="Times New Roman"/>
          <w:b/>
        </w:rPr>
      </w:pPr>
      <w:bookmarkStart w:id="123" w:name="_Toc2938628"/>
      <w:r w:rsidRPr="00132C6C">
        <w:rPr>
          <w:rFonts w:ascii="Times New Roman" w:hAnsi="Times New Roman" w:cs="Times New Roman"/>
          <w:b/>
          <w:sz w:val="24"/>
        </w:rPr>
        <w:t>Donesena</w:t>
      </w:r>
      <w:r w:rsidRPr="00132C6C">
        <w:rPr>
          <w:rFonts w:ascii="Times New Roman" w:hAnsi="Times New Roman" w:cs="Times New Roman"/>
          <w:b/>
        </w:rPr>
        <w:t xml:space="preserve"> strategija, normativna uređenost te izrađenost procjena i planova od </w:t>
      </w:r>
    </w:p>
    <w:p w14:paraId="1A7EED7A" w14:textId="55CE8B2E" w:rsidR="00CE4763" w:rsidRPr="00132C6C" w:rsidRDefault="00CE4763" w:rsidP="00132C6C">
      <w:pPr>
        <w:pStyle w:val="ListParagraph"/>
        <w:spacing w:after="0" w:line="240" w:lineRule="auto"/>
        <w:ind w:left="1069" w:right="0" w:firstLine="0"/>
        <w:rPr>
          <w:rFonts w:ascii="Times New Roman" w:hAnsi="Times New Roman" w:cs="Times New Roman"/>
          <w:b/>
        </w:rPr>
      </w:pPr>
      <w:r w:rsidRPr="00132C6C">
        <w:rPr>
          <w:rFonts w:ascii="Times New Roman" w:hAnsi="Times New Roman" w:cs="Times New Roman"/>
          <w:b/>
        </w:rPr>
        <w:t>značenja za sustav civilne zaštite</w:t>
      </w:r>
      <w:bookmarkEnd w:id="123"/>
    </w:p>
    <w:p w14:paraId="12691CAB" w14:textId="77777777" w:rsidR="00CE4763" w:rsidRPr="00CE4763" w:rsidRDefault="00CE4763" w:rsidP="00CE4763">
      <w:pPr>
        <w:spacing w:after="0" w:line="240" w:lineRule="auto"/>
        <w:ind w:left="0" w:right="0" w:firstLine="709"/>
        <w:rPr>
          <w:rFonts w:ascii="Times New Roman" w:hAnsi="Times New Roman" w:cs="Times New Roman"/>
          <w:b/>
        </w:rPr>
      </w:pPr>
    </w:p>
    <w:p w14:paraId="657D7A33"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U Službenom glasniku Grada Zagreba objavljeni su sljedeći pravni akti važni za sustav </w:t>
      </w:r>
    </w:p>
    <w:p w14:paraId="19C5EB91"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civilne zaštite (kronološki od najnovijega):</w:t>
      </w:r>
    </w:p>
    <w:p w14:paraId="58EAE8E0"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Zaključak o izmjeni Zaključka o osnivanju i imenovanju Stožera civilne zaštite Grada Zagreba i razrješenju i imenovanju zamjenika načelnika i člana (broj 3 od 1. veljače 2022.)</w:t>
      </w:r>
    </w:p>
    <w:p w14:paraId="46F4B2FD"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lastRenderedPageBreak/>
        <w:t>- Plan vježbi civilne zaštite na području Grada Zagreba za 2022. godinu (broj 29 od 14. prosinca 2021.);</w:t>
      </w:r>
    </w:p>
    <w:p w14:paraId="3483770B"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t>Plan razvoja sustava civilne zaštite Grada Zagreba za 2022. (broj 29 od 14. prosinca 2021.);</w:t>
      </w:r>
    </w:p>
    <w:p w14:paraId="327AA063"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Analiza stanja sustava civilne zaštite Grada Zagreba za 2021. (broj 29 od 14. prosinca 2021.);</w:t>
      </w:r>
    </w:p>
    <w:p w14:paraId="2567C311"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Zaključak o razrješenju i imenovanju člana Stožera civilne zaštite Grada Zagreba (broj 26 od 3. studenoga 2021.)</w:t>
      </w:r>
    </w:p>
    <w:p w14:paraId="18B3397F"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Plan djelovanja Grada Zagreba u području prirodnih nepogoda za 2022.</w:t>
      </w:r>
      <w:r w:rsidRPr="00CE4763">
        <w:rPr>
          <w:color w:val="auto"/>
        </w:rPr>
        <w:t xml:space="preserve"> </w:t>
      </w:r>
      <w:r w:rsidRPr="00CE4763">
        <w:rPr>
          <w:rFonts w:ascii="Times New Roman" w:hAnsi="Times New Roman" w:cs="Times New Roman"/>
          <w:color w:val="auto"/>
          <w:sz w:val="24"/>
          <w:u w:color="000000"/>
        </w:rPr>
        <w:t>(broj 26 od 3. studenoga 2021.)</w:t>
      </w:r>
    </w:p>
    <w:p w14:paraId="2EB17A34"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t>Zaključak o imenovanju članova Stožera civilne zaštite Gradske četvrti Trnje (broj 22 od 28. rujna 2021.);</w:t>
      </w:r>
    </w:p>
    <w:p w14:paraId="69A9F827"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t>Zaključak o imenovanju članova Stožera civilne zaštite Gradske četvrti Trešnjevka - sjever (broj 22 od 28. rujna 2021.);</w:t>
      </w:r>
    </w:p>
    <w:p w14:paraId="38A1D326"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t>Zaključak o imenovanju članova Stožera civilne zaštite Gradske četvrti Trešnjevka - jug (broj 22 od 28. rujna 2021.);</w:t>
      </w:r>
    </w:p>
    <w:p w14:paraId="332E309F"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t>Zaključak o imenovanju članova Stožera civilne zaštite Gradske četvrti Stenjevec (broj 22 od 28. rujna 2021.);</w:t>
      </w:r>
    </w:p>
    <w:p w14:paraId="0E0C191C"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t>Zaključak o imenovanju članova Stožera civilne zaštite Gradske četvrti Sesvete (broj 22 od 28. rujna 2021.);</w:t>
      </w:r>
    </w:p>
    <w:p w14:paraId="012BF662"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t>Zaključak o imenovanju članova Stožera civilne zaštite Gradske četvrti Peščenica - Žitnjak (broj 22 od 28. rujna 2021.);</w:t>
      </w:r>
    </w:p>
    <w:p w14:paraId="0E97AB5A"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t>Zaključak o imenovanju članova Stožera civilne zaštite Gradske četvrti Novi Zagreb - zapad (broj 22 od 28. rujna 2021.);</w:t>
      </w:r>
    </w:p>
    <w:p w14:paraId="6B955371"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t>Zaključak o imenovanju članova Stožera civilne zaštite Gradske četvrti Novi Zagreb - istok (broj 22 od 28. rujna 2021.);</w:t>
      </w:r>
    </w:p>
    <w:p w14:paraId="5AAF00C9"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t>Zaključak o imenovanju članova Stožera civilne zaštite Gradske četvrti Maksimir (broj 22 od 28. rujna 2021.);</w:t>
      </w:r>
    </w:p>
    <w:p w14:paraId="06BE0274"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t>Zaključak o imenovanju članova Stožera civilne zaštite Gradske četvrti Gornji grad - Medveščak (broj 22 od 28. rujna 2021.);</w:t>
      </w:r>
    </w:p>
    <w:p w14:paraId="4270D10A"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t>Zaključak o imenovanju članova Stožera civilne zaštite Gradske četvrti Gornja Dubrava (broj 22 od 28. rujna 2021.);</w:t>
      </w:r>
    </w:p>
    <w:p w14:paraId="7D104F9C"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t>Zaključak o imenovanju članova Stožera civilne zaštite Gradske četvrti Donja Dubrava (broj 22 od 28. rujna 2021.);</w:t>
      </w:r>
    </w:p>
    <w:p w14:paraId="75CB11D9"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t>Zaključak o imenovanju članova Stožera civilne zaštite Gradske četvrti Črnomerec (broj 22 od 28. rujna 2021.);</w:t>
      </w:r>
    </w:p>
    <w:p w14:paraId="0A78AD8B"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Zaključak o imenovanju Povjerenstva za ocjenjivanje prijavljenih projekata za dodjelu sredstava za sufinanciranje provedbe projekata udruga ugovorenih iz programa Europske unije, fondova Europske unije i inozemnih fondova iz područja sustava civilne zaštite (broj 22 od 28. rujna 2021.);</w:t>
      </w:r>
    </w:p>
    <w:p w14:paraId="52A65CC6"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Zaključak o razrješenju i imenovanju zamjenika načelnika Stožera civilne zaštite Grada Zagreba (broj 22 od 28. rujna 2021.);</w:t>
      </w:r>
    </w:p>
    <w:p w14:paraId="5342095F"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Zaključak o izmjeni Zaključka o osnivanju i imenovanju Stožera civilne zaštite Grada Zagreba (broj 18 od 4. kolovoza 2021.);</w:t>
      </w:r>
    </w:p>
    <w:p w14:paraId="276E5B81"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Zaključak o imenovanju Stožera civilne zaštite Grada Zagreba (broj 16 od 21. lipnja 2021.);</w:t>
      </w:r>
    </w:p>
    <w:p w14:paraId="4FB91D1C"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Zaključak o razrješenju i imenovanju člana Povjerenstva za ocjenjivanje prijava na javni poziv za podnošenje prijava za dodjelu jednokratnih financijskih potpora udrugama iz područja sustava civilne zaštite (broj 13 od 14. svibnja 2021.);</w:t>
      </w:r>
    </w:p>
    <w:p w14:paraId="0B9E8C53"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lastRenderedPageBreak/>
        <w:t>- Zaključak o izmjeni Zaključka o osnivanju i imenovanju Stožera civilne zaštite Grada Zagreba (broj 10 od 8. travnja 2021.);</w:t>
      </w:r>
    </w:p>
    <w:p w14:paraId="5C79F4C3"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Zaključak o izmjeni Zaključka o osnivanju i imenovanju Stožera civilne zaštite Grada Zagreba i razrješenju člana i imenovanju načelnika (broj 7 od 15. ožujka 2021.);</w:t>
      </w:r>
    </w:p>
    <w:p w14:paraId="4DAFC7E9"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xml:space="preserve">- Plan vježbi civilne zaštite na području Grada Zagreba za 2021. godinu (broj 1 od 12. </w:t>
      </w:r>
    </w:p>
    <w:p w14:paraId="6B952523"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xml:space="preserve">   siječnja 2021.);</w:t>
      </w:r>
    </w:p>
    <w:p w14:paraId="53BE9458"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Smjernice za organizaciju i razvoj sustava civilne zaštite na području Grada Zagreba za razdoblje od 2021. do 2024.</w:t>
      </w:r>
      <w:r w:rsidRPr="00CE4763">
        <w:rPr>
          <w:color w:val="auto"/>
        </w:rPr>
        <w:t xml:space="preserve"> </w:t>
      </w:r>
      <w:r w:rsidRPr="00CE4763">
        <w:rPr>
          <w:rFonts w:ascii="Times New Roman" w:hAnsi="Times New Roman" w:cs="Times New Roman"/>
          <w:color w:val="auto"/>
          <w:sz w:val="24"/>
          <w:u w:color="000000"/>
        </w:rPr>
        <w:t>(broj 34 od 15. prosinca 2020.);</w:t>
      </w:r>
    </w:p>
    <w:p w14:paraId="514DCBB6"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t>Plan razvoja sustava civilne zaštite Grada Zagreba za 2021. (broj 34 od 15. prosinca 2020.);</w:t>
      </w:r>
    </w:p>
    <w:p w14:paraId="308CD37E"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Analiza stanja sustava civilne zaštite Grada Zagreba za 2020. (broj 34 od 15. prosinca 2020.);</w:t>
      </w:r>
    </w:p>
    <w:p w14:paraId="259A6277"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Program sufinanciranja provedbe projekata udruga ugovorenih iz programa Europske unije, fondova Europske unije i inozemnih fondova u 2021. za područje sustava civilne zaštite (broj 34 od 15. prosinca 2020.);</w:t>
      </w:r>
    </w:p>
    <w:p w14:paraId="2EC032F8"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Program financiranja udruga iz područja sustava civilne zaštite u 2021.</w:t>
      </w:r>
      <w:r w:rsidRPr="00CE4763">
        <w:rPr>
          <w:color w:val="auto"/>
        </w:rPr>
        <w:t xml:space="preserve"> </w:t>
      </w:r>
      <w:r w:rsidRPr="00CE4763">
        <w:rPr>
          <w:rFonts w:ascii="Times New Roman" w:hAnsi="Times New Roman" w:cs="Times New Roman"/>
          <w:color w:val="auto"/>
          <w:sz w:val="24"/>
          <w:u w:color="000000"/>
        </w:rPr>
        <w:t>(broj 34 od 15. prosinca 2020.);</w:t>
      </w:r>
    </w:p>
    <w:p w14:paraId="1E700F5D"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Zaključak o razrješenju i imenovanju člana Stožera civilne zaštite Gradske četvrti Gornja Dubrava (Svjetlana Palić, Nada Mednolučain)</w:t>
      </w:r>
      <w:r w:rsidRPr="00CE4763">
        <w:rPr>
          <w:color w:val="auto"/>
        </w:rPr>
        <w:t xml:space="preserve"> </w:t>
      </w:r>
      <w:r w:rsidRPr="00CE4763">
        <w:rPr>
          <w:rFonts w:ascii="Times New Roman" w:hAnsi="Times New Roman" w:cs="Times New Roman"/>
          <w:color w:val="auto"/>
          <w:sz w:val="24"/>
          <w:u w:color="000000"/>
        </w:rPr>
        <w:t>(broj 33 od 10. prosinca 2020.);</w:t>
      </w:r>
    </w:p>
    <w:p w14:paraId="4C0A3043"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Zaključak o izmjenama Zaključka o osnivanju i imenovanju Stožera civilne zaštite Grada Zagreba i imenovanju članova (broj 33 od 10. prosinca 2020.);</w:t>
      </w:r>
    </w:p>
    <w:p w14:paraId="3DEA4D23"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Zaključak o izmjeni Zaključka o osnivanju i imenovanju Stožera civilne zaštite Grada Zagreba i imenovanju članova (broj 32 od 7. prosinca 2020.);</w:t>
      </w:r>
    </w:p>
    <w:p w14:paraId="609E068A"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Zaključak o razrješenju i imenovanju člana Stožera civilne zaštite Grada Zagreba (broj 30 od 10. studenog 2020.);</w:t>
      </w:r>
    </w:p>
    <w:p w14:paraId="296DB945"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Plan djelovanja Grada Zagreba u području prirodnih nepogoda za 2021.</w:t>
      </w:r>
      <w:r w:rsidRPr="00CE4763">
        <w:rPr>
          <w:color w:val="auto"/>
        </w:rPr>
        <w:t xml:space="preserve"> </w:t>
      </w:r>
      <w:r w:rsidRPr="00CE4763">
        <w:rPr>
          <w:rFonts w:ascii="Times New Roman" w:hAnsi="Times New Roman" w:cs="Times New Roman"/>
          <w:color w:val="auto"/>
          <w:sz w:val="24"/>
          <w:u w:color="000000"/>
        </w:rPr>
        <w:t>(broj 28 od 4. studenog 2020.);</w:t>
      </w:r>
    </w:p>
    <w:p w14:paraId="71695D70"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t>Zaključak o razrješenju i imenovanju člana Stožera civilne zaštite Gradske četvrti Trešnjevka – jug (Davor Laura, Marin Galić) (broj 27 od 30. listopada 2020.);</w:t>
      </w:r>
    </w:p>
    <w:p w14:paraId="72327590"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Zaključak o imenovanju Povjerenstva za provjeru ispunjavanja propisanih uvjeta javnog natječaja za financiranje programa i projekata udruga iz područja sustava civilne zaštite iz proračuna Grada Zagreba (broj 21 od 3. rujna 2020.);</w:t>
      </w:r>
    </w:p>
    <w:p w14:paraId="14D51A77"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Zaključak o imenovanju Povjerenstva za ocjenjivanje prijava na javni poziv za podnošenje prijava za dodjelu jednokratnih financijskih potpora udrugama iz područja sustava civilne zaštite (broj 21 od 3. rujna 2020.);</w:t>
      </w:r>
    </w:p>
    <w:p w14:paraId="4E64F22A"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Zaključak o imenovanju Povjerenstva za ocjenjivanje prijavljenih programa i projekata na javni natječaj za financiranje programa i projekata udruga iz područja sustava civilne zaštite iz proračuna Grada Zagreba (broj 21 od 3. rujna 2020.);</w:t>
      </w:r>
    </w:p>
    <w:p w14:paraId="11AB122C"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Zaključak o imenovanju Povjerenstva za ocjenjivanje prijavljenih projekata za dodjelu sredstava za sufinanciranje provedbe projekata udruga ugovorenih iz programa Europske unije, fondova Europske unije i inozemnih fondova iz područja sustava civilne zaštite (broj 21 od 3. rujna 2020.);</w:t>
      </w:r>
    </w:p>
    <w:p w14:paraId="6AE4DE73"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Zaključak o izmjeni Zaključka o osnivanju i imenovanju Stožera civilne zaštite Grada Zagreba i razrješenju i imenovanju načelnika i članova (broj 6 od 6. travnja 2020.);</w:t>
      </w:r>
    </w:p>
    <w:p w14:paraId="6936D205"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Zaključak o izmjeni Zaključka o osnivanju i imenovanju Stožera civilne zaštite Grada Zagreba i imenovanju člana (broj 7 od 30. ožujka 2020.);</w:t>
      </w:r>
    </w:p>
    <w:p w14:paraId="7723E78C"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Zaključak o razrješenju i imenovanju načelnika Stožera civilne zaštite Grada Zagreba (KLASA: 804-02/20-01/2, URBROJ: 251-03-02-20-5, od 16. ožujka 2020.)</w:t>
      </w:r>
      <w:r w:rsidRPr="00CE4763">
        <w:rPr>
          <w:color w:val="auto"/>
        </w:rPr>
        <w:t xml:space="preserve"> </w:t>
      </w:r>
      <w:r w:rsidRPr="00CE4763">
        <w:rPr>
          <w:rFonts w:ascii="Times New Roman" w:hAnsi="Times New Roman" w:cs="Times New Roman"/>
          <w:color w:val="auto"/>
          <w:sz w:val="24"/>
          <w:u w:color="000000"/>
        </w:rPr>
        <w:t>(broj 7 od 30. ožujka 2020.);</w:t>
      </w:r>
    </w:p>
    <w:p w14:paraId="3776EEFB"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lastRenderedPageBreak/>
        <w:t>- Zaključak o izmjeni Zaključka o osnivanju i imenovanju Stožera civilne zaštite Grada Zagreba i imenovanju člana (broj 6 od 24. ožujka 2020.);</w:t>
      </w:r>
    </w:p>
    <w:p w14:paraId="68BAD63E"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Izmjene i dopune Programa sufinanciranja provedbe projekata udruga ugovorenih iz programa i fondova Europske unije u 2020. za područje sustava civilne zaštite (broj 6 od 24. ožujka 2020.);</w:t>
      </w:r>
    </w:p>
    <w:p w14:paraId="62B9F82A"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Odluka o određivanju pravnih osoba od interesa za sustav civilne zaštite na području Grada Zagreba (broj 6 od 24. ožujka 2020.);</w:t>
      </w:r>
    </w:p>
    <w:p w14:paraId="137255D4"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Zaključak o imenovanju povjerenika i zamjenika povjerenika civilne zaštite Grada Zagreba (broj 1 od 20. siječnja 2020.);</w:t>
      </w:r>
    </w:p>
    <w:p w14:paraId="24534F14"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Zaključak (Vanjski plan zaštite i spašavanja u slučaju nesreća koje uključuju opasne tvari za područja postrojenja TE-TO Zagreb operatera HEP-Proizvodnja d.o.o., Terminal Žitnjak operatera JANAF d.d. i UNP1 Zagreb operatera INA-Industrija nafte d.d.) (broj 1 od 20. siječnja 2020.);</w:t>
      </w:r>
    </w:p>
    <w:p w14:paraId="0A22DEE1"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t>Plan razvoja sustava civilne zaštite Grada Zagreba za 2020. (broj 24 od 17. prosinca 2019.);</w:t>
      </w:r>
    </w:p>
    <w:p w14:paraId="76CD2046"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Analiza stanja sustava civilne zaštite Grada Zagreba za 2019. (broj 24 od 17. prosinca 2019.);</w:t>
      </w:r>
    </w:p>
    <w:p w14:paraId="365C02A9"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t>Program sufinanciranja provedbe projekata udruga ugovorenih iz programa i fondova Europske unije u 2020. za područje sustava civilne zaštite (broj 24 od 17. prosinca 2019.);</w:t>
      </w:r>
    </w:p>
    <w:p w14:paraId="02DED029"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t>Program financiranja udruga iz područja sustava civilne zaštite u 2020. (broj 24 od 17. prosinca 2019.);</w:t>
      </w:r>
    </w:p>
    <w:p w14:paraId="38E4624D"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t>Program javnih potreba za obavljanje djelatnosti Hrvatske gorske službe spašavanja - Stanice Zagreb za 2020. (broj 24 od 17. prosinca 2019.);</w:t>
      </w:r>
    </w:p>
    <w:p w14:paraId="2C9C00AA"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Zaključak o osnivanju i imenovanju stručnog Povjerenstva za izradu zajedničkog Vanjskog plana zaštite i spašavanja u slučaju nesreća koje uključuju opasne tvari za područja postrojenja TE-TO Zagreb operatera HEP-Proizvodnja d.o.o., Terminal Žitnjak operatera JANAF d.d. i UNP1 Zagreb operatera INA-Industrija nafte d.d.</w:t>
      </w:r>
      <w:r w:rsidRPr="00CE4763">
        <w:rPr>
          <w:color w:val="auto"/>
        </w:rPr>
        <w:t xml:space="preserve"> </w:t>
      </w:r>
      <w:r w:rsidRPr="00CE4763">
        <w:rPr>
          <w:rFonts w:ascii="Times New Roman" w:hAnsi="Times New Roman" w:cs="Times New Roman"/>
          <w:color w:val="auto"/>
          <w:sz w:val="24"/>
          <w:u w:color="000000"/>
        </w:rPr>
        <w:t>(broj 18 od 23. rujna 2019.);</w:t>
      </w:r>
    </w:p>
    <w:p w14:paraId="77D23852"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Plan djelovanja civilne zaštite Grada Zagreba (broj 16 od 21. kolovoza 2019.);</w:t>
      </w:r>
    </w:p>
    <w:p w14:paraId="56C79554" w14:textId="77777777" w:rsidR="00CE4763" w:rsidRPr="00CE4763" w:rsidRDefault="00CE4763" w:rsidP="00CE4763">
      <w:pPr>
        <w:spacing w:after="0" w:line="240" w:lineRule="auto"/>
        <w:ind w:left="879" w:right="0" w:hanging="170"/>
        <w:rPr>
          <w:rFonts w:ascii="Times New Roman" w:hAnsi="Times New Roman" w:cs="Times New Roman"/>
          <w:color w:val="auto"/>
          <w:sz w:val="24"/>
          <w:u w:color="000000"/>
        </w:rPr>
      </w:pPr>
      <w:r w:rsidRPr="00CE4763">
        <w:rPr>
          <w:rFonts w:ascii="Times New Roman" w:hAnsi="Times New Roman" w:cs="Times New Roman"/>
          <w:color w:val="auto"/>
          <w:sz w:val="24"/>
          <w:u w:color="000000"/>
        </w:rPr>
        <w:t>- Zaključak o osnivanju i imenovanju Radne skupine za izradu Plana djelovanja civilne zaštite Grada Zagreba (broj 11 od 23. svibnja 2019.);</w:t>
      </w:r>
    </w:p>
    <w:p w14:paraId="41B894F4" w14:textId="77777777" w:rsidR="00CE4763" w:rsidRPr="00CE4763" w:rsidRDefault="00CE4763" w:rsidP="00CE4763">
      <w:pPr>
        <w:spacing w:after="0" w:line="240" w:lineRule="auto"/>
        <w:ind w:left="879" w:right="0" w:hanging="170"/>
        <w:rPr>
          <w:rFonts w:ascii="Times New Roman" w:hAnsi="Times New Roman" w:cs="Times New Roman"/>
          <w:color w:val="auto"/>
          <w:sz w:val="24"/>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t>Plan</w:t>
      </w:r>
      <w:r w:rsidRPr="00CE4763">
        <w:rPr>
          <w:rFonts w:ascii="Times New Roman" w:hAnsi="Times New Roman" w:cs="Times New Roman"/>
          <w:color w:val="auto"/>
          <w:sz w:val="24"/>
        </w:rPr>
        <w:t xml:space="preserve"> razvoja sustava civilne zaštite Grada Zagreba za 2018. (broj 4 od 28. veljače 2019.);</w:t>
      </w:r>
    </w:p>
    <w:p w14:paraId="61371B85"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Analiza stanja sustava civilne zaštite Grada Zagreba za 2017. (broj 4 od 28. veljače </w:t>
      </w:r>
    </w:p>
    <w:p w14:paraId="1A27B714"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2019.);</w:t>
      </w:r>
    </w:p>
    <w:p w14:paraId="39FFE5C3" w14:textId="77777777" w:rsidR="00CE4763" w:rsidRPr="00CE4763" w:rsidRDefault="00CE4763" w:rsidP="00CE4763">
      <w:pPr>
        <w:spacing w:after="0" w:line="240" w:lineRule="auto"/>
        <w:ind w:left="879" w:right="0" w:hanging="170"/>
        <w:rPr>
          <w:rFonts w:ascii="Times New Roman" w:hAnsi="Times New Roman" w:cs="Times New Roman"/>
          <w:color w:val="auto"/>
          <w:sz w:val="24"/>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r>
      <w:r w:rsidRPr="00CE4763">
        <w:rPr>
          <w:rFonts w:ascii="Times New Roman" w:hAnsi="Times New Roman" w:cs="Times New Roman"/>
          <w:color w:val="auto"/>
          <w:sz w:val="24"/>
        </w:rPr>
        <w:t>Zaključak o imenovanju pripadnika upravljačkih skupina postrojbi civilne zaštite opće namjene Grada Zagreba (broj 23 od 2. studenoga 2018.);</w:t>
      </w:r>
    </w:p>
    <w:p w14:paraId="291E3D0D"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Zaključak o imenovanju pripadnika upravljačke skupine Postrojbe civilne zaštite za traganje i spašavanje iz ruševina (srednja kategorija) (broj 23 od 2. studenoga 2018.);</w:t>
      </w:r>
    </w:p>
    <w:p w14:paraId="0818D75F"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t>Odluka</w:t>
      </w:r>
      <w:r w:rsidRPr="00CE4763">
        <w:rPr>
          <w:rFonts w:ascii="Times New Roman" w:hAnsi="Times New Roman" w:cs="Times New Roman"/>
          <w:sz w:val="24"/>
        </w:rPr>
        <w:t xml:space="preserve"> o osnivanju postrojbi civilne zaštite specijalističke namjene Grada Zagreba (broj 11 od 9. svibnja 2018.);</w:t>
      </w:r>
    </w:p>
    <w:p w14:paraId="3C0AFB1A"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t>Odluka</w:t>
      </w:r>
      <w:r w:rsidRPr="00CE4763">
        <w:rPr>
          <w:rFonts w:ascii="Times New Roman" w:hAnsi="Times New Roman" w:cs="Times New Roman"/>
          <w:sz w:val="24"/>
        </w:rPr>
        <w:t xml:space="preserve"> o osnivanju postrojbi civilne zaštite opće namjene Grada Zagreba (broj 11 od 9. svibnja 2018.);</w:t>
      </w:r>
    </w:p>
    <w:p w14:paraId="0C4FF901"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t>Zaključak</w:t>
      </w:r>
      <w:r w:rsidRPr="00CE4763">
        <w:rPr>
          <w:rFonts w:ascii="Times New Roman" w:hAnsi="Times New Roman" w:cs="Times New Roman"/>
          <w:sz w:val="24"/>
        </w:rPr>
        <w:t xml:space="preserve"> o osnivanju stožera civilne zaštite gradskih četvrti Grada Zagreba (broj 21 od 21. studenoga 2017.);</w:t>
      </w:r>
    </w:p>
    <w:p w14:paraId="731045B2"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t>Zaključak</w:t>
      </w:r>
      <w:r w:rsidRPr="00CE4763">
        <w:rPr>
          <w:rFonts w:ascii="Times New Roman" w:hAnsi="Times New Roman" w:cs="Times New Roman"/>
          <w:sz w:val="24"/>
        </w:rPr>
        <w:t xml:space="preserve"> o izmjeni Zaključka o osnivanju i imenovanju Stožera civilne zaštite Grada Zagreba (broj 19 od 30. listopada 2017.);</w:t>
      </w:r>
    </w:p>
    <w:p w14:paraId="524EAF8E"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 xml:space="preserve">Zaključak o osnivanju i imenovanju Stožera civilne zaštite Grada Zagreba (broj 18 od 4. </w:t>
      </w:r>
      <w:r w:rsidRPr="00CE4763">
        <w:rPr>
          <w:rFonts w:ascii="Times New Roman" w:hAnsi="Times New Roman" w:cs="Times New Roman"/>
          <w:sz w:val="24"/>
          <w:u w:color="000000"/>
        </w:rPr>
        <w:t>listopada</w:t>
      </w:r>
      <w:r w:rsidRPr="00CE4763">
        <w:rPr>
          <w:rFonts w:ascii="Times New Roman" w:hAnsi="Times New Roman" w:cs="Times New Roman"/>
          <w:sz w:val="24"/>
        </w:rPr>
        <w:t xml:space="preserve"> 2017.);</w:t>
      </w:r>
    </w:p>
    <w:p w14:paraId="2FB1B806"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lastRenderedPageBreak/>
        <w:t>-</w:t>
      </w:r>
      <w:r w:rsidRPr="00CE4763">
        <w:rPr>
          <w:rFonts w:ascii="Times New Roman" w:hAnsi="Times New Roman" w:cs="Times New Roman"/>
          <w:sz w:val="24"/>
          <w:u w:color="000000"/>
        </w:rPr>
        <w:tab/>
        <w:t>Poslovnik</w:t>
      </w:r>
      <w:r w:rsidRPr="00CE4763">
        <w:rPr>
          <w:rFonts w:ascii="Times New Roman" w:hAnsi="Times New Roman" w:cs="Times New Roman"/>
          <w:sz w:val="24"/>
        </w:rPr>
        <w:t xml:space="preserve"> o radu Stožera civilne zaštite Grada Zagreba (broj 18 od 4. listopada 2017.);</w:t>
      </w:r>
    </w:p>
    <w:p w14:paraId="4FED8510"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 xml:space="preserve">Odluka o načinu postupanja na nestabilnim padinama na zemljištu u privatnom </w:t>
      </w:r>
      <w:r w:rsidRPr="00CE4763">
        <w:rPr>
          <w:rFonts w:ascii="Times New Roman" w:hAnsi="Times New Roman" w:cs="Times New Roman"/>
          <w:sz w:val="24"/>
          <w:u w:color="000000"/>
        </w:rPr>
        <w:t>vlasništvu</w:t>
      </w:r>
      <w:r w:rsidRPr="00CE4763">
        <w:rPr>
          <w:rFonts w:ascii="Times New Roman" w:hAnsi="Times New Roman" w:cs="Times New Roman"/>
          <w:sz w:val="24"/>
        </w:rPr>
        <w:t xml:space="preserve"> (broj 21 od 15. listopada 2014.);</w:t>
      </w:r>
    </w:p>
    <w:p w14:paraId="66168A35" w14:textId="77777777" w:rsidR="00CE4763" w:rsidRPr="00CE4763" w:rsidRDefault="00CE4763" w:rsidP="00CE4763">
      <w:pPr>
        <w:spacing w:after="0" w:line="240" w:lineRule="auto"/>
        <w:ind w:right="0"/>
        <w:rPr>
          <w:rFonts w:ascii="Times New Roman" w:hAnsi="Times New Roman" w:cs="Times New Roman"/>
          <w:sz w:val="24"/>
        </w:rPr>
      </w:pPr>
    </w:p>
    <w:p w14:paraId="4C6FAFC4" w14:textId="7FE8424D" w:rsidR="00F74363" w:rsidRPr="00CE4763" w:rsidRDefault="00CE4763" w:rsidP="00942295">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sz w:val="24"/>
        </w:rPr>
        <w:t xml:space="preserve">Gradonačelnik Grada Zagreba je 28. prosinca 2016. donio Smjernice za izradu Procjene rizika od velikih nesreća na području Grada Zagreba temeljem kojih se izrađuje Procjena rizika </w:t>
      </w:r>
      <w:r w:rsidRPr="00CE4763">
        <w:rPr>
          <w:rFonts w:ascii="Times New Roman" w:hAnsi="Times New Roman" w:cs="Times New Roman"/>
          <w:color w:val="auto"/>
          <w:sz w:val="24"/>
        </w:rPr>
        <w:t>od velikih nesreća, a 2017. godine i Shemu mobilizacije Stožera civilne zaštite Grada Zagreba.</w:t>
      </w:r>
      <w:r w:rsidR="00F74363" w:rsidRPr="00F74363">
        <w:rPr>
          <w:rFonts w:ascii="Times New Roman" w:hAnsi="Times New Roman" w:cs="Times New Roman"/>
          <w:color w:val="auto"/>
          <w:sz w:val="24"/>
        </w:rPr>
        <w:t xml:space="preserve">. </w:t>
      </w:r>
      <w:r w:rsidR="00942295" w:rsidRPr="00942295">
        <w:rPr>
          <w:rFonts w:ascii="Times New Roman" w:hAnsi="Times New Roman" w:cs="Times New Roman"/>
          <w:color w:val="auto"/>
          <w:sz w:val="24"/>
        </w:rPr>
        <w:t xml:space="preserve">Grad Zagreb </w:t>
      </w:r>
      <w:r w:rsidR="00942295">
        <w:rPr>
          <w:rFonts w:ascii="Times New Roman" w:hAnsi="Times New Roman" w:cs="Times New Roman"/>
          <w:color w:val="auto"/>
          <w:sz w:val="24"/>
        </w:rPr>
        <w:t xml:space="preserve">je u razdoblju od 2019. do 2021. godine izradio i </w:t>
      </w:r>
      <w:r w:rsidR="00942295" w:rsidRPr="00942295">
        <w:rPr>
          <w:rFonts w:ascii="Times New Roman" w:hAnsi="Times New Roman" w:cs="Times New Roman"/>
          <w:color w:val="auto"/>
          <w:sz w:val="24"/>
        </w:rPr>
        <w:t>usvojio sve planske dokumente koje je bio obvezan usvojiti temeljem odredbi Zakona o sustavu civilne zaštite (Procjena rizika od velikih nesreća, Plan djelovanja civilne zaštite, Vanjski plan zaštite i spašavanja u slučaju nesreća koje uključuju opasne tvari i Smjernice za organizaciju i razvoj sustava civilne zaštite na području Grada Zagreba za razdoblje od 2021. do 2024. godine)</w:t>
      </w:r>
      <w:r w:rsidR="00942295">
        <w:rPr>
          <w:rFonts w:ascii="Times New Roman" w:hAnsi="Times New Roman" w:cs="Times New Roman"/>
          <w:color w:val="auto"/>
          <w:sz w:val="24"/>
        </w:rPr>
        <w:t>.</w:t>
      </w:r>
    </w:p>
    <w:p w14:paraId="4A48D866" w14:textId="77777777" w:rsidR="00CE4763" w:rsidRPr="00CE4763" w:rsidRDefault="00CE4763" w:rsidP="00CE4763">
      <w:pPr>
        <w:spacing w:after="0" w:line="240" w:lineRule="auto"/>
        <w:ind w:right="0"/>
        <w:rPr>
          <w:rFonts w:ascii="Times New Roman" w:hAnsi="Times New Roman" w:cs="Times New Roman"/>
          <w:color w:val="auto"/>
          <w:sz w:val="24"/>
        </w:rPr>
      </w:pPr>
    </w:p>
    <w:p w14:paraId="67A2956C" w14:textId="432EA04D"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Osim navedenoga, Ured za upravljanje u hitnim situacijama</w:t>
      </w:r>
      <w:r w:rsidR="00B96E60">
        <w:rPr>
          <w:rStyle w:val="FootnoteReference"/>
          <w:rFonts w:ascii="Times New Roman" w:hAnsi="Times New Roman" w:cs="Times New Roman"/>
          <w:color w:val="auto"/>
          <w:sz w:val="24"/>
        </w:rPr>
        <w:footnoteReference w:id="134"/>
      </w:r>
      <w:r w:rsidRPr="00CE4763">
        <w:rPr>
          <w:rFonts w:ascii="Times New Roman" w:hAnsi="Times New Roman" w:cs="Times New Roman"/>
          <w:color w:val="auto"/>
          <w:sz w:val="24"/>
        </w:rPr>
        <w:t xml:space="preserve"> je donio sljedeće interne akte:</w:t>
      </w:r>
    </w:p>
    <w:p w14:paraId="634B3E4D" w14:textId="77777777" w:rsidR="00CE4763" w:rsidRPr="00CE4763" w:rsidRDefault="00CE4763" w:rsidP="00CE4763">
      <w:pPr>
        <w:spacing w:after="0" w:line="240" w:lineRule="auto"/>
        <w:ind w:left="993" w:right="0" w:hanging="284"/>
        <w:rPr>
          <w:rFonts w:ascii="Times New Roman" w:hAnsi="Times New Roman" w:cs="Times New Roman"/>
          <w:color w:val="auto"/>
          <w:sz w:val="24"/>
        </w:rPr>
      </w:pPr>
      <w:r w:rsidRPr="00CE4763">
        <w:rPr>
          <w:rFonts w:ascii="Times New Roman" w:hAnsi="Times New Roman" w:cs="Times New Roman"/>
          <w:color w:val="auto"/>
          <w:sz w:val="24"/>
          <w:u w:color="000000"/>
        </w:rPr>
        <w:t>1.</w:t>
      </w:r>
      <w:r w:rsidRPr="00CE4763">
        <w:rPr>
          <w:rFonts w:ascii="Times New Roman" w:hAnsi="Times New Roman" w:cs="Times New Roman"/>
          <w:color w:val="auto"/>
          <w:sz w:val="24"/>
          <w:u w:color="000000"/>
        </w:rPr>
        <w:tab/>
      </w:r>
      <w:r w:rsidRPr="00CE4763">
        <w:rPr>
          <w:rFonts w:ascii="Times New Roman" w:hAnsi="Times New Roman" w:cs="Times New Roman"/>
          <w:color w:val="auto"/>
          <w:sz w:val="24"/>
        </w:rPr>
        <w:t>Standardni operativni postupak za djelovanje službenika Ureda raspoređenih na pasivna dežurstva;</w:t>
      </w:r>
    </w:p>
    <w:p w14:paraId="58A209A8" w14:textId="77777777" w:rsidR="00CE4763" w:rsidRPr="00CE4763" w:rsidRDefault="00CE4763" w:rsidP="00CE4763">
      <w:pPr>
        <w:spacing w:after="0" w:line="240" w:lineRule="auto"/>
        <w:ind w:left="993" w:right="0" w:hanging="284"/>
        <w:rPr>
          <w:rFonts w:ascii="Times New Roman" w:hAnsi="Times New Roman" w:cs="Times New Roman"/>
          <w:color w:val="auto"/>
          <w:sz w:val="24"/>
        </w:rPr>
      </w:pPr>
      <w:r w:rsidRPr="00CE4763">
        <w:rPr>
          <w:rFonts w:ascii="Times New Roman" w:hAnsi="Times New Roman" w:cs="Times New Roman"/>
          <w:color w:val="auto"/>
          <w:sz w:val="24"/>
          <w:u w:color="000000"/>
        </w:rPr>
        <w:t>2.</w:t>
      </w:r>
      <w:r w:rsidRPr="00CE4763">
        <w:rPr>
          <w:rFonts w:ascii="Times New Roman" w:hAnsi="Times New Roman" w:cs="Times New Roman"/>
          <w:color w:val="auto"/>
          <w:sz w:val="24"/>
          <w:u w:color="000000"/>
        </w:rPr>
        <w:tab/>
      </w:r>
      <w:r w:rsidRPr="00CE4763">
        <w:rPr>
          <w:rFonts w:ascii="Times New Roman" w:hAnsi="Times New Roman" w:cs="Times New Roman"/>
          <w:color w:val="auto"/>
          <w:sz w:val="24"/>
        </w:rPr>
        <w:t>Izvješće o verifikaciji mjesta (površina) za evakuaciju stanovništva i pravaca evakuacije na prostoru Grada Zagreba u sklopu Operativnog plana za spašavanje u slučaju potresa;</w:t>
      </w:r>
    </w:p>
    <w:p w14:paraId="5B594B45" w14:textId="77777777" w:rsidR="00CE4763" w:rsidRPr="00CE4763" w:rsidRDefault="00CE4763" w:rsidP="00CE4763">
      <w:pPr>
        <w:spacing w:after="0" w:line="240" w:lineRule="auto"/>
        <w:ind w:left="993" w:right="0" w:hanging="284"/>
        <w:rPr>
          <w:rFonts w:ascii="Times New Roman" w:hAnsi="Times New Roman" w:cs="Times New Roman"/>
          <w:sz w:val="24"/>
        </w:rPr>
      </w:pPr>
      <w:r w:rsidRPr="00CE4763">
        <w:rPr>
          <w:rFonts w:ascii="Times New Roman" w:hAnsi="Times New Roman" w:cs="Times New Roman"/>
          <w:color w:val="auto"/>
          <w:sz w:val="24"/>
          <w:u w:color="000000"/>
        </w:rPr>
        <w:t>3.</w:t>
      </w:r>
      <w:r w:rsidRPr="00CE4763">
        <w:rPr>
          <w:rFonts w:ascii="Times New Roman" w:hAnsi="Times New Roman" w:cs="Times New Roman"/>
          <w:color w:val="auto"/>
          <w:sz w:val="24"/>
          <w:u w:color="000000"/>
        </w:rPr>
        <w:tab/>
      </w:r>
      <w:r w:rsidRPr="00CE4763">
        <w:rPr>
          <w:rFonts w:ascii="Times New Roman" w:hAnsi="Times New Roman" w:cs="Times New Roman"/>
          <w:color w:val="auto"/>
          <w:sz w:val="24"/>
        </w:rPr>
        <w:t xml:space="preserve">Izvješće o obilasku i analizi lokacija za odlaganje građevnog materijala od ruševina </w:t>
      </w:r>
      <w:r w:rsidRPr="00CE4763">
        <w:rPr>
          <w:rFonts w:ascii="Times New Roman" w:hAnsi="Times New Roman" w:cs="Times New Roman"/>
          <w:sz w:val="24"/>
        </w:rPr>
        <w:t>u slučaju jakog potresa na području Grada Zagreba.</w:t>
      </w:r>
    </w:p>
    <w:p w14:paraId="0BA97CB9"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Jednako su tako, utvrđene površine za zbrinjavanje životinjskih leševa ukopom u slučaju velike nesreće ili katastrofe na području Grada Zagreba. Ured je objavio i kartu Grada Zagreba s prikazom operativnih snaga za zaštitu i spašavanje u slučaju potresa.</w:t>
      </w:r>
    </w:p>
    <w:p w14:paraId="002272D8"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Stožer civilne zaštite Grada Zagreba donio je:</w:t>
      </w:r>
    </w:p>
    <w:p w14:paraId="449C6D55"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Operativni postupovnik postrojbi civilne zaštite opće namjene Grada Zagreba te</w:t>
      </w:r>
    </w:p>
    <w:p w14:paraId="401B3DCE"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Operativni postupovnik postrojbi civilne zaštite specijalističke namjene Grada Zagreba za traganje i spašavanje u ruševinama.</w:t>
      </w:r>
    </w:p>
    <w:p w14:paraId="701EED96"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Navedeno možemo grupirati u:</w:t>
      </w:r>
    </w:p>
    <w:p w14:paraId="6D8D86F4"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odluke o imenovanju (postrojbe i dužnosti u sustavu civilne zaštite),</w:t>
      </w:r>
    </w:p>
    <w:p w14:paraId="697F3B65"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planske dokumente koji su zakonska obveza i</w:t>
      </w:r>
    </w:p>
    <w:p w14:paraId="51167C2A"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planove koji nisu zakonska obveza ali su od interesa za jačanje spremnosti u slučaju nastanka velikih nesreća/katastrofa.</w:t>
      </w:r>
    </w:p>
    <w:p w14:paraId="66A6355E" w14:textId="77777777" w:rsidR="00CE4763" w:rsidRPr="00CE4763" w:rsidRDefault="00CE4763" w:rsidP="00CE4763">
      <w:pPr>
        <w:spacing w:after="0" w:line="240" w:lineRule="auto"/>
        <w:ind w:left="0" w:right="0" w:firstLine="0"/>
        <w:rPr>
          <w:rFonts w:ascii="Times New Roman" w:hAnsi="Times New Roman" w:cs="Times New Roman"/>
          <w:sz w:val="24"/>
        </w:rPr>
      </w:pPr>
    </w:p>
    <w:p w14:paraId="115A3663"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Grad Zagreb ustrojio je 17 postrojbi civilne zaštite opće namjene (teritorijalna nadležnost po gradskim četvrtima) i postrojbe civilne zaštite specijalističke namjene (postrojba civilne zaštite za traganje i spašavanje iz ruševina, postrojba civilne zaštite za traganje i spašavanje u poplavama i postrojba civilne zaštite za tehničko-taktičku potporu). Jednako su tako imenovani članovi Stožera po svim gradskim četvrtima. Povjerenici i zamjenici povjerenika civilne zaštite Grada Zagreba imenovani su Zaključkom o imenovanju povjerenika i zamjenika povjerenika civilne zaštite Grada Zagreba (Službeni glasnik Grada Zagreba 1/20) početkom 2020. te su se dužni su odazvati na poziv načelnika nadležnog stožera civilne zaštite Grada Zagreba no nisu prošli osposobljavanje koje provodi središnje tijelo državne uprave nadležno za poslove civilne zaštite pa stoga nisu dovoljno upoznati s obvezama koje su im propisane u velikim nesrećama i katastrofama.</w:t>
      </w:r>
      <w:r w:rsidRPr="00CE4763">
        <w:t xml:space="preserve"> </w:t>
      </w:r>
      <w:r w:rsidRPr="00CE4763">
        <w:rPr>
          <w:rFonts w:ascii="Times New Roman" w:hAnsi="Times New Roman" w:cs="Times New Roman"/>
          <w:sz w:val="24"/>
        </w:rPr>
        <w:t xml:space="preserve">Do sada je 450 povjerenika i zamjenika povjerenika opremljeno osobnom zaštitnom opremom. Dinamika njihovog osposobljavanja, </w:t>
      </w:r>
      <w:r w:rsidRPr="00CE4763">
        <w:rPr>
          <w:rFonts w:ascii="Times New Roman" w:hAnsi="Times New Roman" w:cs="Times New Roman"/>
          <w:sz w:val="24"/>
        </w:rPr>
        <w:lastRenderedPageBreak/>
        <w:t>sukladno Zakonu o sustavu civilne zaštite, dogovorena je sa Nastavnim nacionalnim središtem civilne zaštite, no zbog epidemioloških razloga se nije provodila.</w:t>
      </w:r>
    </w:p>
    <w:p w14:paraId="0D6094A6" w14:textId="6DF5030F" w:rsidR="00CE4763" w:rsidRPr="00D614CF" w:rsidRDefault="00CE4763" w:rsidP="00D614CF">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Usvojeni su svi planski dokumenti sukladno Zakonu o sustavu civilne zaštite.</w:t>
      </w:r>
    </w:p>
    <w:p w14:paraId="4D336724" w14:textId="77777777" w:rsidR="00CE4763" w:rsidRPr="00CE4763" w:rsidRDefault="00CE4763" w:rsidP="00CE4763">
      <w:pPr>
        <w:spacing w:after="0" w:line="240" w:lineRule="auto"/>
        <w:ind w:left="0" w:right="0" w:firstLine="709"/>
        <w:rPr>
          <w:rFonts w:ascii="Times New Roman" w:hAnsi="Times New Roman" w:cs="Times New Roman"/>
          <w:sz w:val="24"/>
          <w:u w:val="single"/>
        </w:rPr>
      </w:pPr>
      <w:r w:rsidRPr="00CE4763">
        <w:rPr>
          <w:rFonts w:ascii="Times New Roman" w:hAnsi="Times New Roman" w:cs="Times New Roman"/>
          <w:sz w:val="24"/>
          <w:u w:val="single"/>
        </w:rPr>
        <w:t>Zaključak</w:t>
      </w:r>
    </w:p>
    <w:p w14:paraId="4808AAD1"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 xml:space="preserve">Osnovane su postrojbe, imenovani stožeri i upravljačke skupine postrojbi civilne zaštite, doneseni su i dodatni interni akti u vezi s procesom jačanja spremnosti u slučaju nastanka velikih nesreća/katastrofa koji nisu propisani Zakonom i podzakonskim aktima što se smatra dodatnom prednošću. Usvojeni su svi planski dokumenti sukladno Zakonu o sustavu civilne zaštite. Uzimajući u obzir sve navedeno, smatra se da je usvojenost strategija, normativna uređenost te izrađenost procjena i planova od značenja za sustav civilne zaštite na </w:t>
      </w:r>
      <w:r w:rsidRPr="00CE4763">
        <w:rPr>
          <w:rFonts w:ascii="Times New Roman" w:hAnsi="Times New Roman" w:cs="Times New Roman"/>
          <w:sz w:val="24"/>
          <w:u w:val="single" w:color="000000"/>
        </w:rPr>
        <w:t>visokoj</w:t>
      </w:r>
      <w:r w:rsidRPr="00CE4763">
        <w:rPr>
          <w:rFonts w:ascii="Times New Roman" w:hAnsi="Times New Roman" w:cs="Times New Roman"/>
          <w:sz w:val="24"/>
          <w:u w:val="single"/>
        </w:rPr>
        <w:t xml:space="preserve"> </w:t>
      </w:r>
      <w:r w:rsidRPr="00CE4763">
        <w:rPr>
          <w:rFonts w:ascii="Times New Roman" w:hAnsi="Times New Roman" w:cs="Times New Roman"/>
          <w:sz w:val="24"/>
          <w:u w:val="single" w:color="000000"/>
        </w:rPr>
        <w:t>razini</w:t>
      </w:r>
      <w:r w:rsidRPr="00CE4763">
        <w:rPr>
          <w:rFonts w:ascii="Times New Roman" w:hAnsi="Times New Roman" w:cs="Times New Roman"/>
          <w:sz w:val="24"/>
        </w:rPr>
        <w:t>.</w:t>
      </w:r>
    </w:p>
    <w:p w14:paraId="0F8DEC7F" w14:textId="77777777" w:rsidR="00CE4763" w:rsidRPr="00CE4763" w:rsidRDefault="00CE4763" w:rsidP="00CE4763">
      <w:pPr>
        <w:spacing w:after="0" w:line="240" w:lineRule="auto"/>
        <w:ind w:right="0"/>
        <w:rPr>
          <w:rFonts w:ascii="Times New Roman" w:hAnsi="Times New Roman" w:cs="Times New Roman"/>
          <w:sz w:val="24"/>
        </w:rPr>
      </w:pPr>
    </w:p>
    <w:p w14:paraId="03F64516" w14:textId="19C509E0" w:rsidR="00132C6C" w:rsidRPr="00132C6C" w:rsidRDefault="00CE4763" w:rsidP="00132C6C">
      <w:pPr>
        <w:pStyle w:val="ListParagraph"/>
        <w:numPr>
          <w:ilvl w:val="0"/>
          <w:numId w:val="28"/>
        </w:numPr>
        <w:spacing w:after="0" w:line="240" w:lineRule="auto"/>
        <w:ind w:right="0"/>
        <w:rPr>
          <w:rFonts w:ascii="Times New Roman" w:hAnsi="Times New Roman" w:cs="Times New Roman"/>
          <w:b/>
          <w:sz w:val="24"/>
          <w:szCs w:val="24"/>
        </w:rPr>
      </w:pPr>
      <w:bookmarkStart w:id="124" w:name="_Toc2938629"/>
      <w:r w:rsidRPr="00132C6C">
        <w:rPr>
          <w:rFonts w:ascii="Times New Roman" w:hAnsi="Times New Roman" w:cs="Times New Roman"/>
          <w:b/>
          <w:sz w:val="24"/>
          <w:szCs w:val="24"/>
        </w:rPr>
        <w:t xml:space="preserve">Sustavi ranog upozoravanja i suradnja sa susjednim jedinicama lokalne i </w:t>
      </w:r>
    </w:p>
    <w:p w14:paraId="52B66C13" w14:textId="26E6EBF1" w:rsidR="00CE4763" w:rsidRPr="00132C6C" w:rsidRDefault="00CE4763" w:rsidP="00132C6C">
      <w:pPr>
        <w:pStyle w:val="ListParagraph"/>
        <w:spacing w:after="0" w:line="240" w:lineRule="auto"/>
        <w:ind w:left="1069" w:right="0" w:firstLine="0"/>
        <w:rPr>
          <w:rFonts w:ascii="Times New Roman" w:hAnsi="Times New Roman" w:cs="Times New Roman"/>
          <w:b/>
          <w:sz w:val="24"/>
          <w:szCs w:val="24"/>
        </w:rPr>
      </w:pPr>
      <w:r w:rsidRPr="00132C6C">
        <w:rPr>
          <w:rFonts w:ascii="Times New Roman" w:hAnsi="Times New Roman" w:cs="Times New Roman"/>
          <w:b/>
          <w:sz w:val="24"/>
          <w:szCs w:val="24"/>
        </w:rPr>
        <w:t>područne (regionalne) samouprave</w:t>
      </w:r>
      <w:bookmarkEnd w:id="124"/>
    </w:p>
    <w:p w14:paraId="3B5CE7A0"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sz w:val="24"/>
          <w:szCs w:val="24"/>
        </w:rPr>
        <w:t>Sve organizacije, kao što su Državni hidrometeorološki zavod, inspekcije, operateri, središnja</w:t>
      </w:r>
      <w:r w:rsidRPr="00CE4763">
        <w:rPr>
          <w:rFonts w:ascii="Times New Roman" w:hAnsi="Times New Roman" w:cs="Times New Roman"/>
          <w:sz w:val="24"/>
        </w:rPr>
        <w:t xml:space="preserve"> tijela državne uprave nadležna za obranu i unutarnje poslove, sigurnosno-obavještajna zajednica, druge organizacije kojima su prikupljanje i obrada informacija od značenja za civilnu </w:t>
      </w:r>
      <w:r w:rsidRPr="00CE4763">
        <w:rPr>
          <w:rFonts w:ascii="Times New Roman" w:hAnsi="Times New Roman" w:cs="Times New Roman"/>
          <w:color w:val="auto"/>
          <w:sz w:val="24"/>
        </w:rPr>
        <w:t>zaštitu dio redovne djelatnosti te ostali sudionici sustava civilne zaštite, dužni su informacije o prijetnjama do kojih su došli iz vlastitih izvora ili međunarodnim sustavom razmjene, a koje mogu izazvati katastrofu i veliku nesreću, odmah po saznanju dostaviti Ravnateljstvu civilne zaštite - Područnom uredu Zagreb, a koja ih dalje koristi za poduzimanje mjera iz svoje nadležnosti te provođenje operativnih postupaka.</w:t>
      </w:r>
    </w:p>
    <w:p w14:paraId="762EACFA" w14:textId="5E28D82A" w:rsidR="00CE4763" w:rsidRPr="00CE4763" w:rsidRDefault="00CE4763" w:rsidP="00CE4763">
      <w:pPr>
        <w:spacing w:after="0" w:line="240" w:lineRule="auto"/>
        <w:ind w:left="0" w:right="0" w:firstLine="709"/>
        <w:rPr>
          <w:rFonts w:ascii="Times New Roman" w:hAnsi="Times New Roman" w:cs="Times New Roman"/>
          <w:color w:val="auto"/>
          <w:sz w:val="24"/>
        </w:rPr>
      </w:pPr>
      <w:r w:rsidRPr="00FB2492">
        <w:rPr>
          <w:rFonts w:ascii="Times New Roman" w:hAnsi="Times New Roman" w:cs="Times New Roman"/>
          <w:color w:val="auto"/>
          <w:sz w:val="24"/>
        </w:rPr>
        <w:t>Te podatke Ravnateljstvo civilne zaštite - Područni ured Zagreb, Županijski centar 112 preko Gradskog ureda za mjesnu samoupravu, civilnu zaštitu i sigurnost</w:t>
      </w:r>
      <w:r w:rsidR="0081626E" w:rsidRPr="00FB2492">
        <w:rPr>
          <w:rFonts w:ascii="Times New Roman" w:hAnsi="Times New Roman" w:cs="Times New Roman"/>
          <w:color w:val="auto"/>
          <w:sz w:val="24"/>
        </w:rPr>
        <w:t xml:space="preserve">, Sektora za </w:t>
      </w:r>
      <w:r w:rsidR="00FB2492" w:rsidRPr="00FB2492">
        <w:rPr>
          <w:rFonts w:ascii="Times New Roman" w:hAnsi="Times New Roman" w:cs="Times New Roman"/>
          <w:color w:val="auto"/>
          <w:sz w:val="24"/>
        </w:rPr>
        <w:t>civilnu zaštitu i sigurnos</w:t>
      </w:r>
      <w:r w:rsidR="00B96E60">
        <w:rPr>
          <w:rFonts w:ascii="Times New Roman" w:hAnsi="Times New Roman" w:cs="Times New Roman"/>
          <w:color w:val="auto"/>
          <w:sz w:val="24"/>
        </w:rPr>
        <w:t>t</w:t>
      </w:r>
      <w:r w:rsidR="00C52618" w:rsidRPr="00FB2492">
        <w:rPr>
          <w:rStyle w:val="FootnoteReference"/>
          <w:rFonts w:ascii="Times New Roman" w:hAnsi="Times New Roman" w:cs="Times New Roman"/>
          <w:color w:val="auto"/>
          <w:sz w:val="24"/>
        </w:rPr>
        <w:footnoteReference w:id="135"/>
      </w:r>
      <w:r w:rsidRPr="00FB2492">
        <w:rPr>
          <w:rFonts w:ascii="Times New Roman" w:hAnsi="Times New Roman" w:cs="Times New Roman"/>
          <w:color w:val="auto"/>
          <w:sz w:val="24"/>
        </w:rPr>
        <w:t xml:space="preserve"> </w:t>
      </w:r>
      <w:r w:rsidR="00C52618" w:rsidRPr="00FB2492">
        <w:rPr>
          <w:rFonts w:ascii="Times New Roman" w:hAnsi="Times New Roman" w:cs="Times New Roman"/>
          <w:color w:val="auto"/>
          <w:sz w:val="24"/>
        </w:rPr>
        <w:t xml:space="preserve">u kojem je osigurano 24-satno pasivno dežurstvo, </w:t>
      </w:r>
      <w:r w:rsidRPr="00FB2492">
        <w:rPr>
          <w:rFonts w:ascii="Times New Roman" w:hAnsi="Times New Roman" w:cs="Times New Roman"/>
          <w:color w:val="auto"/>
          <w:sz w:val="24"/>
        </w:rPr>
        <w:t>dostavlja gradonačelniku Grada Zagreba koji nalaže pripravnost operativnih snaga i poduzima druge odgovarajuće mjere iz Plana djelovanja civilne zaštite Grada Zagreba.</w:t>
      </w:r>
    </w:p>
    <w:p w14:paraId="77AEFA70"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U slučaju bilo koje vrste prijetnji Državni hidrometeorološki zavod, Hrvatske vode, Vatrogasna zajednica Grada Zagreba, Hrvatski zavod za javno zdravstvo, Veterinarska stanica Grada Zagreba te operateri koji prevoze opasne tvari, dužni su o tome dostaviti podatke Županijskom centru 112 i Gradskom uredu za mjesnu samoupravu, civilnu zaštitu i sigurnost.</w:t>
      </w:r>
    </w:p>
    <w:p w14:paraId="0ECA9234"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Gradonačelnik Grada Zagreba informacije o mogućim ugrozama preko Gradskog ureda za mjesnu samoupravu, civilnu zaštitu i sigurnost dobiva od:</w:t>
      </w:r>
    </w:p>
    <w:p w14:paraId="0C577D95" w14:textId="77777777" w:rsidR="00CE4763" w:rsidRPr="00CE4763" w:rsidRDefault="00CE4763" w:rsidP="00CE4763">
      <w:pPr>
        <w:spacing w:after="0" w:line="240" w:lineRule="auto"/>
        <w:ind w:left="879" w:right="0" w:hanging="170"/>
        <w:rPr>
          <w:rFonts w:ascii="Times New Roman" w:hAnsi="Times New Roman" w:cs="Times New Roman"/>
          <w:color w:val="auto"/>
          <w:sz w:val="24"/>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r>
      <w:r w:rsidRPr="00CE4763">
        <w:rPr>
          <w:rFonts w:ascii="Times New Roman" w:hAnsi="Times New Roman" w:cs="Times New Roman"/>
          <w:color w:val="auto"/>
          <w:sz w:val="24"/>
        </w:rPr>
        <w:t>Županijskog centra 112 Zagreb,</w:t>
      </w:r>
    </w:p>
    <w:p w14:paraId="13796272" w14:textId="77777777" w:rsidR="00CE4763" w:rsidRPr="00CE4763" w:rsidRDefault="00CE4763" w:rsidP="00CE4763">
      <w:pPr>
        <w:spacing w:after="0" w:line="240" w:lineRule="auto"/>
        <w:ind w:left="879" w:right="0" w:hanging="170"/>
        <w:rPr>
          <w:rFonts w:ascii="Times New Roman" w:hAnsi="Times New Roman" w:cs="Times New Roman"/>
          <w:color w:val="auto"/>
          <w:sz w:val="24"/>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r>
      <w:r w:rsidRPr="00CE4763">
        <w:rPr>
          <w:rFonts w:ascii="Times New Roman" w:hAnsi="Times New Roman" w:cs="Times New Roman"/>
          <w:color w:val="auto"/>
          <w:sz w:val="24"/>
        </w:rPr>
        <w:t>Ravnateljstva civilne zaštite - Područnog ureda Zagreb,</w:t>
      </w:r>
    </w:p>
    <w:p w14:paraId="32C2746D" w14:textId="77777777" w:rsidR="00CE4763" w:rsidRPr="00CE4763" w:rsidRDefault="00CE4763" w:rsidP="00CE4763">
      <w:pPr>
        <w:spacing w:after="0" w:line="240" w:lineRule="auto"/>
        <w:ind w:left="879" w:right="0" w:hanging="170"/>
        <w:rPr>
          <w:rFonts w:ascii="Times New Roman" w:hAnsi="Times New Roman" w:cs="Times New Roman"/>
          <w:color w:val="auto"/>
          <w:sz w:val="24"/>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r>
      <w:r w:rsidRPr="00CE4763">
        <w:rPr>
          <w:rFonts w:ascii="Times New Roman" w:hAnsi="Times New Roman" w:cs="Times New Roman"/>
          <w:color w:val="auto"/>
          <w:sz w:val="24"/>
        </w:rPr>
        <w:t>pravnih subjekta, središnjih tijela državne uprave, zavoda, institucija, inspekcija, - građana,</w:t>
      </w:r>
    </w:p>
    <w:p w14:paraId="68F9383C" w14:textId="77777777" w:rsidR="00CE4763" w:rsidRPr="00CE4763" w:rsidRDefault="00CE4763" w:rsidP="00CE4763">
      <w:pPr>
        <w:spacing w:after="0" w:line="240" w:lineRule="auto"/>
        <w:ind w:left="879" w:right="0" w:hanging="170"/>
        <w:rPr>
          <w:rFonts w:ascii="Times New Roman" w:hAnsi="Times New Roman" w:cs="Times New Roman"/>
          <w:color w:val="auto"/>
          <w:sz w:val="24"/>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r>
      <w:r w:rsidRPr="00CE4763">
        <w:rPr>
          <w:rFonts w:ascii="Times New Roman" w:hAnsi="Times New Roman" w:cs="Times New Roman"/>
          <w:color w:val="auto"/>
          <w:sz w:val="24"/>
        </w:rPr>
        <w:t>neposrednim stjecanjem uvida u stanje i događaje na svom području koji bi mogli pogoditi područje Grada Zagreba.</w:t>
      </w:r>
    </w:p>
    <w:p w14:paraId="3BEF504E"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Na temelju zaprimljenih informacija gradonačelnik preko Gradskog ureda za mjesnu samoupravu, civilnu zaštitu i sigurnost o prijetnjama i rizicima koji bi mogli izazvati katastrofu ili veliku nesreću informira sljedeće subjekte:</w:t>
      </w:r>
    </w:p>
    <w:p w14:paraId="66E89980" w14:textId="77777777" w:rsidR="00CE4763" w:rsidRPr="00CE4763" w:rsidRDefault="00CE4763" w:rsidP="00CE4763">
      <w:pPr>
        <w:spacing w:after="0" w:line="240" w:lineRule="auto"/>
        <w:ind w:left="993" w:right="0" w:hanging="284"/>
        <w:rPr>
          <w:rFonts w:ascii="Times New Roman" w:hAnsi="Times New Roman" w:cs="Times New Roman"/>
          <w:sz w:val="24"/>
        </w:rPr>
      </w:pPr>
      <w:r w:rsidRPr="00CE4763">
        <w:rPr>
          <w:rFonts w:ascii="Times New Roman" w:hAnsi="Times New Roman" w:cs="Times New Roman"/>
          <w:sz w:val="24"/>
          <w:u w:color="000000"/>
        </w:rPr>
        <w:t>1.</w:t>
      </w:r>
      <w:r w:rsidRPr="00CE4763">
        <w:rPr>
          <w:rFonts w:ascii="Times New Roman" w:hAnsi="Times New Roman" w:cs="Times New Roman"/>
          <w:sz w:val="24"/>
          <w:u w:color="000000"/>
        </w:rPr>
        <w:tab/>
      </w:r>
      <w:r w:rsidRPr="00CE4763">
        <w:rPr>
          <w:rFonts w:ascii="Times New Roman" w:hAnsi="Times New Roman" w:cs="Times New Roman"/>
          <w:sz w:val="24"/>
        </w:rPr>
        <w:t>Stožer civilne zaštite Grada Zagreba,</w:t>
      </w:r>
    </w:p>
    <w:p w14:paraId="0455A330" w14:textId="77777777" w:rsidR="00CE4763" w:rsidRPr="00CE4763" w:rsidRDefault="00CE4763" w:rsidP="00CE4763">
      <w:pPr>
        <w:spacing w:after="0" w:line="240" w:lineRule="auto"/>
        <w:ind w:left="993" w:right="0" w:hanging="284"/>
        <w:rPr>
          <w:rFonts w:ascii="Times New Roman" w:hAnsi="Times New Roman" w:cs="Times New Roman"/>
          <w:sz w:val="24"/>
        </w:rPr>
      </w:pPr>
      <w:r w:rsidRPr="00CE4763">
        <w:rPr>
          <w:rFonts w:ascii="Times New Roman" w:hAnsi="Times New Roman" w:cs="Times New Roman"/>
          <w:sz w:val="24"/>
          <w:u w:color="000000"/>
        </w:rPr>
        <w:t>2.</w:t>
      </w:r>
      <w:r w:rsidRPr="00CE4763">
        <w:rPr>
          <w:rFonts w:ascii="Times New Roman" w:hAnsi="Times New Roman" w:cs="Times New Roman"/>
          <w:sz w:val="24"/>
          <w:u w:color="000000"/>
        </w:rPr>
        <w:tab/>
      </w:r>
      <w:r w:rsidRPr="00CE4763">
        <w:rPr>
          <w:rFonts w:ascii="Times New Roman" w:hAnsi="Times New Roman" w:cs="Times New Roman"/>
          <w:sz w:val="24"/>
        </w:rPr>
        <w:t>operativne snage sustava civilne zaštite,</w:t>
      </w:r>
    </w:p>
    <w:p w14:paraId="64621A30" w14:textId="77777777" w:rsidR="00CE4763" w:rsidRPr="00CE4763" w:rsidRDefault="00CE4763" w:rsidP="00CE4763">
      <w:pPr>
        <w:spacing w:after="0" w:line="240" w:lineRule="auto"/>
        <w:ind w:left="993" w:right="0" w:hanging="284"/>
        <w:rPr>
          <w:rFonts w:ascii="Times New Roman" w:hAnsi="Times New Roman" w:cs="Times New Roman"/>
          <w:sz w:val="24"/>
        </w:rPr>
      </w:pPr>
      <w:r w:rsidRPr="00CE4763">
        <w:rPr>
          <w:rFonts w:ascii="Times New Roman" w:hAnsi="Times New Roman" w:cs="Times New Roman"/>
          <w:sz w:val="24"/>
          <w:u w:color="000000"/>
        </w:rPr>
        <w:t>3.</w:t>
      </w:r>
      <w:r w:rsidRPr="00CE4763">
        <w:rPr>
          <w:rFonts w:ascii="Times New Roman" w:hAnsi="Times New Roman" w:cs="Times New Roman"/>
          <w:sz w:val="24"/>
          <w:u w:color="000000"/>
        </w:rPr>
        <w:tab/>
      </w:r>
      <w:r w:rsidRPr="00CE4763">
        <w:rPr>
          <w:rFonts w:ascii="Times New Roman" w:hAnsi="Times New Roman" w:cs="Times New Roman"/>
          <w:sz w:val="24"/>
        </w:rPr>
        <w:t>pravne osobe od interesa za sustav civilne zaštite,</w:t>
      </w:r>
    </w:p>
    <w:p w14:paraId="229394A8" w14:textId="77777777" w:rsidR="00CE4763" w:rsidRPr="00CE4763" w:rsidRDefault="00CE4763" w:rsidP="00CE4763">
      <w:pPr>
        <w:spacing w:after="0" w:line="240" w:lineRule="auto"/>
        <w:ind w:left="993" w:right="0" w:hanging="284"/>
        <w:rPr>
          <w:rFonts w:ascii="Times New Roman" w:hAnsi="Times New Roman" w:cs="Times New Roman"/>
          <w:sz w:val="24"/>
        </w:rPr>
      </w:pPr>
      <w:r w:rsidRPr="00CE4763">
        <w:rPr>
          <w:rFonts w:ascii="Times New Roman" w:hAnsi="Times New Roman" w:cs="Times New Roman"/>
          <w:sz w:val="24"/>
          <w:u w:color="000000"/>
        </w:rPr>
        <w:t>4.</w:t>
      </w:r>
      <w:r w:rsidRPr="00CE4763">
        <w:rPr>
          <w:rFonts w:ascii="Times New Roman" w:hAnsi="Times New Roman" w:cs="Times New Roman"/>
          <w:sz w:val="24"/>
          <w:u w:color="000000"/>
        </w:rPr>
        <w:tab/>
      </w:r>
      <w:r w:rsidRPr="00CE4763">
        <w:rPr>
          <w:rFonts w:ascii="Times New Roman" w:hAnsi="Times New Roman" w:cs="Times New Roman"/>
          <w:sz w:val="24"/>
        </w:rPr>
        <w:t>udruge građana od interesa za sustav civilne zaštite,</w:t>
      </w:r>
    </w:p>
    <w:p w14:paraId="12BAB61E" w14:textId="77777777" w:rsidR="00CE4763" w:rsidRPr="00CE4763" w:rsidRDefault="00CE4763" w:rsidP="00CE4763">
      <w:pPr>
        <w:spacing w:after="0" w:line="240" w:lineRule="auto"/>
        <w:ind w:left="993" w:right="0" w:hanging="284"/>
        <w:rPr>
          <w:rFonts w:ascii="Times New Roman" w:hAnsi="Times New Roman" w:cs="Times New Roman"/>
          <w:sz w:val="24"/>
        </w:rPr>
      </w:pPr>
      <w:r w:rsidRPr="00CE4763">
        <w:rPr>
          <w:rFonts w:ascii="Times New Roman" w:hAnsi="Times New Roman" w:cs="Times New Roman"/>
          <w:sz w:val="24"/>
          <w:u w:color="000000"/>
        </w:rPr>
        <w:t>5.</w:t>
      </w:r>
      <w:r w:rsidRPr="00CE4763">
        <w:rPr>
          <w:rFonts w:ascii="Times New Roman" w:hAnsi="Times New Roman" w:cs="Times New Roman"/>
          <w:sz w:val="24"/>
          <w:u w:color="000000"/>
        </w:rPr>
        <w:tab/>
      </w:r>
      <w:r w:rsidRPr="00CE4763">
        <w:rPr>
          <w:rFonts w:ascii="Times New Roman" w:hAnsi="Times New Roman" w:cs="Times New Roman"/>
          <w:sz w:val="24"/>
        </w:rPr>
        <w:t>gradske četvrti, mjesne odbore i stanovništvo potencijalno ugroženih područja.</w:t>
      </w:r>
    </w:p>
    <w:p w14:paraId="1FE96282"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lastRenderedPageBreak/>
        <w:t>Informacije kojima je cilj upozoravanje stanovništva, operativnih snaga i drugih pravnih osoba s obzirom na moguće prijetnje, gradonačelnik dostavlja:</w:t>
      </w:r>
    </w:p>
    <w:p w14:paraId="5774E540"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eastAsia="Calibri" w:hAnsi="Times New Roman" w:cs="Times New Roman"/>
          <w:sz w:val="24"/>
          <w:u w:color="000000"/>
        </w:rPr>
        <w:t>-</w:t>
      </w:r>
      <w:r w:rsidRPr="00CE4763">
        <w:rPr>
          <w:rFonts w:ascii="Times New Roman" w:eastAsia="Calibri" w:hAnsi="Times New Roman" w:cs="Times New Roman"/>
          <w:sz w:val="24"/>
          <w:u w:color="000000"/>
        </w:rPr>
        <w:tab/>
      </w:r>
      <w:r w:rsidRPr="00CE4763">
        <w:rPr>
          <w:rFonts w:ascii="Times New Roman" w:hAnsi="Times New Roman" w:cs="Times New Roman"/>
          <w:sz w:val="24"/>
        </w:rPr>
        <w:t>operativnim snagama civilne zaštite koje djeluju na području Grada Zagreba,</w:t>
      </w:r>
    </w:p>
    <w:p w14:paraId="3A8BA1CA"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eastAsia="Calibri" w:hAnsi="Times New Roman" w:cs="Times New Roman"/>
          <w:sz w:val="24"/>
          <w:u w:color="000000"/>
        </w:rPr>
        <w:t>-</w:t>
      </w:r>
      <w:r w:rsidRPr="00CE4763">
        <w:rPr>
          <w:rFonts w:ascii="Times New Roman" w:eastAsia="Calibri" w:hAnsi="Times New Roman" w:cs="Times New Roman"/>
          <w:sz w:val="24"/>
          <w:u w:color="000000"/>
        </w:rPr>
        <w:tab/>
      </w:r>
      <w:r w:rsidRPr="00CE4763">
        <w:rPr>
          <w:rFonts w:ascii="Times New Roman" w:hAnsi="Times New Roman" w:cs="Times New Roman"/>
          <w:sz w:val="24"/>
        </w:rPr>
        <w:t>pravnim osobama koje će poradi nekog interesa dobiti zadaće u civilnoj zaštiti stanovništva, materijalnih i kulturnih dobara na području Grada Zagreba,</w:t>
      </w:r>
    </w:p>
    <w:p w14:paraId="19CA9E8C"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eastAsia="Calibri" w:hAnsi="Times New Roman" w:cs="Times New Roman"/>
          <w:sz w:val="24"/>
          <w:u w:color="000000"/>
        </w:rPr>
        <w:t>-</w:t>
      </w:r>
      <w:r w:rsidRPr="00CE4763">
        <w:rPr>
          <w:rFonts w:ascii="Times New Roman" w:eastAsia="Calibri" w:hAnsi="Times New Roman" w:cs="Times New Roman"/>
          <w:sz w:val="24"/>
          <w:u w:color="000000"/>
        </w:rPr>
        <w:tab/>
      </w:r>
      <w:r w:rsidRPr="00CE4763">
        <w:rPr>
          <w:rFonts w:ascii="Times New Roman" w:hAnsi="Times New Roman" w:cs="Times New Roman"/>
          <w:sz w:val="24"/>
        </w:rPr>
        <w:t>pravnim osobama od posebnog interesa za civilnu zaštitu koje postupaju prema vlastitim operativnim planovima.</w:t>
      </w:r>
    </w:p>
    <w:p w14:paraId="0D312460"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U slučaju neposredne prijetnje od nastanka velike nesreće ili katastrofe na području Grada Zagreba, gradonačelnik obavještava sve čelnike susjednih jedinica lokalne samouprave o nadolazećoj ugrozi.</w:t>
      </w:r>
    </w:p>
    <w:p w14:paraId="314D1D3D"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Sustavom javnog uzbunjivanja na području Grada Zagreba upravlja Županijski centar 112 Zagreb, a redovito testiranje sirena provodi se svake prve subote u mjesecu u 12:00 sati.</w:t>
      </w:r>
    </w:p>
    <w:p w14:paraId="766786FF"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Temeljem odredbi Zakona o sustavu civilne zaštite svi su operateri koji se koriste opasnim tvarima dužni instalirati sustave uzbunjivanja, kako za potrebe uzbunjivanja o nesreći unutar postrojenja tako i za uzbunjivanje stanovništva u radijusu unutar kojeg su moguće posljedice industrijske nesreće. Ti se sustavi za uzbunjivanje, ovisno o dojavi o nesreći, procjenama razvoja izvanrednog događaja, nalozima odgovornih osoba i stožera, mogu koristiti i za potrebe govornog upozoravanja o nastaloj industrijskoj nesreći te o mjerama zaštite koje treba žurno poduzeti.</w:t>
      </w:r>
    </w:p>
    <w:p w14:paraId="7CB2DCAB"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 xml:space="preserve">Svi </w:t>
      </w:r>
      <w:r w:rsidRPr="00CE4763">
        <w:rPr>
          <w:rFonts w:ascii="Times New Roman" w:hAnsi="Times New Roman" w:cs="Times New Roman"/>
          <w:color w:val="auto"/>
          <w:sz w:val="24"/>
        </w:rPr>
        <w:t xml:space="preserve">protokoli informiranja o opasnim događajima ili razvoju opasnih događaja definirani su pa tako Gradski ured za mjesnu samoupravu, civilnu zaštitu i sigurnost redovito od DHMZ-a dobiva </w:t>
      </w:r>
      <w:r w:rsidRPr="00CE4763">
        <w:rPr>
          <w:rFonts w:ascii="Times New Roman" w:hAnsi="Times New Roman" w:cs="Times New Roman"/>
          <w:i/>
          <w:color w:val="auto"/>
          <w:sz w:val="24"/>
        </w:rPr>
        <w:t>Vremensku prognozu za ceste na zagrebačkom području (grad i okolno gorje)</w:t>
      </w:r>
      <w:r w:rsidRPr="00CE4763">
        <w:rPr>
          <w:rFonts w:ascii="Times New Roman" w:hAnsi="Times New Roman" w:cs="Times New Roman"/>
          <w:color w:val="auto"/>
          <w:sz w:val="24"/>
        </w:rPr>
        <w:t xml:space="preserve"> i </w:t>
      </w:r>
      <w:r w:rsidRPr="00CE4763">
        <w:rPr>
          <w:rFonts w:ascii="Times New Roman" w:hAnsi="Times New Roman" w:cs="Times New Roman"/>
          <w:i/>
          <w:color w:val="auto"/>
          <w:sz w:val="24"/>
        </w:rPr>
        <w:t>Upozorenja na opasne vremenske pojave</w:t>
      </w:r>
      <w:r w:rsidRPr="00CE4763">
        <w:rPr>
          <w:rFonts w:ascii="Times New Roman" w:hAnsi="Times New Roman" w:cs="Times New Roman"/>
          <w:color w:val="auto"/>
          <w:sz w:val="24"/>
        </w:rPr>
        <w:t xml:space="preserve"> te </w:t>
      </w:r>
      <w:r w:rsidRPr="00CE4763">
        <w:rPr>
          <w:rFonts w:ascii="Times New Roman" w:hAnsi="Times New Roman" w:cs="Times New Roman"/>
          <w:i/>
          <w:color w:val="auto"/>
          <w:sz w:val="24"/>
        </w:rPr>
        <w:t xml:space="preserve">Obavijesti o potresima </w:t>
      </w:r>
      <w:r w:rsidRPr="00CE4763">
        <w:rPr>
          <w:rFonts w:ascii="Times New Roman" w:hAnsi="Times New Roman" w:cs="Times New Roman"/>
          <w:color w:val="auto"/>
          <w:sz w:val="24"/>
        </w:rPr>
        <w:t>od Seizmološke službe RH.</w:t>
      </w:r>
    </w:p>
    <w:p w14:paraId="74C88C05"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Zbog visokoga seizmičkog potencijala Grada Zagreba i okolnih područja sustavno se i kontinuirano instrumentalno prate seizmičke aktivnosti te je s tim u vezi i uspostavljena Zagrebačka seizmološka mreža. U tu je svrhu uspostavljena lokalna mreža digitalnih seizmografa, ukupno šest seizmografa, koja je omogućila detaljnije istraživanje karakteristika seizmičke aktivnosti užega lokalnog i širega regionalnog prostora, radi definiranja što egzaktnijih seizmoloških i seizmotektonskih modela generiranja potresa. Tako dobiveni rezultati osnova su za podloge pri planiranju, projektiranju, gradnji i poduzimanju drugih preventivnih mjera zaštite od djelovanja potresa, a pravnu osnovu za ovakav način suradnje pruža Sporazum o poslovnoj suradnji što su ga potpisali Grad Zagreb i Prirodoslovnomatematički fakultet Sveučilišta u Zagrebu. Ta suradnja u skladu je i s aktivnostima Projekta kompleksnih geotehničkih i seizmičkih istraživanja za potrebe planiranja i gradnje na području Grada Zagreba.</w:t>
      </w:r>
    </w:p>
    <w:p w14:paraId="4CB09E6A"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2EBA396D" w14:textId="77777777" w:rsidR="00CE4763" w:rsidRPr="00CE4763" w:rsidRDefault="00CE4763" w:rsidP="00CE4763">
      <w:pPr>
        <w:spacing w:after="0" w:line="240" w:lineRule="auto"/>
        <w:ind w:left="0" w:right="0" w:firstLine="709"/>
        <w:rPr>
          <w:rFonts w:ascii="Times New Roman" w:hAnsi="Times New Roman" w:cs="Times New Roman"/>
          <w:sz w:val="24"/>
          <w:u w:val="single"/>
        </w:rPr>
      </w:pPr>
      <w:r w:rsidRPr="00CE4763">
        <w:rPr>
          <w:rFonts w:ascii="Times New Roman" w:hAnsi="Times New Roman" w:cs="Times New Roman"/>
          <w:sz w:val="24"/>
          <w:u w:val="single"/>
        </w:rPr>
        <w:t>Zaključak</w:t>
      </w:r>
    </w:p>
    <w:p w14:paraId="3939DA2C"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Postoji razmjena podataka između izvršnog tijela Grada Zagreba nadležnog za područje civilne zaštite, Ravnateljstva civilne zaštite i ostalih institucija od interesa o mogućim brzo narastajućim prijetnjama. Stanje sustava uzbunjivanja na području Grada Zagreba je zadovoljavajuće i redovito se provodi testiranje sirena. Županijski centar 112 sukladno protokolu redovito izvješćuje dežurne službenike Gradskog ureda za mjesnu samoupravu, civilnu zaštitu i sigurnost o svim događajima koji uključuju značajnije i složenije intervencije žurnih službi te se ostvaruje suradnja sa susjednim jedinicama lokalne i područne (regionalne) samouprave. Temeljem navedenoga kada je riječ o sustavima ranog upozoravanja i suradnji sa susjednim jedinicama lokalne i područne (regionalne) samouprave procjenjuje se </w:t>
      </w:r>
      <w:r w:rsidRPr="00CE4763">
        <w:rPr>
          <w:rFonts w:ascii="Times New Roman" w:hAnsi="Times New Roman" w:cs="Times New Roman"/>
          <w:color w:val="auto"/>
          <w:sz w:val="24"/>
          <w:u w:val="single" w:color="000000"/>
        </w:rPr>
        <w:t>visoka</w:t>
      </w:r>
      <w:r w:rsidRPr="00CE4763">
        <w:rPr>
          <w:rFonts w:ascii="Times New Roman" w:hAnsi="Times New Roman" w:cs="Times New Roman"/>
          <w:color w:val="auto"/>
          <w:sz w:val="24"/>
        </w:rPr>
        <w:t xml:space="preserve"> razina spremnosti.</w:t>
      </w:r>
    </w:p>
    <w:p w14:paraId="7B73A013" w14:textId="4A856027" w:rsidR="00CE4763" w:rsidRDefault="00CE4763" w:rsidP="00CE4763">
      <w:pPr>
        <w:spacing w:after="0" w:line="240" w:lineRule="auto"/>
        <w:ind w:left="0" w:right="0" w:firstLine="0"/>
        <w:jc w:val="left"/>
        <w:rPr>
          <w:rFonts w:ascii="Times New Roman" w:hAnsi="Times New Roman" w:cs="Times New Roman"/>
          <w:sz w:val="24"/>
        </w:rPr>
      </w:pPr>
    </w:p>
    <w:p w14:paraId="79C69CDE" w14:textId="77777777" w:rsidR="00385A37" w:rsidRPr="00CE4763" w:rsidRDefault="00385A37" w:rsidP="00CE4763">
      <w:pPr>
        <w:spacing w:after="0" w:line="240" w:lineRule="auto"/>
        <w:ind w:left="0" w:right="0" w:firstLine="0"/>
        <w:jc w:val="left"/>
        <w:rPr>
          <w:rFonts w:ascii="Times New Roman" w:hAnsi="Times New Roman" w:cs="Times New Roman"/>
          <w:sz w:val="24"/>
        </w:rPr>
      </w:pPr>
    </w:p>
    <w:p w14:paraId="084204C7" w14:textId="67BE0D19" w:rsidR="00132C6C" w:rsidRPr="00132C6C" w:rsidRDefault="00CE4763" w:rsidP="00132C6C">
      <w:pPr>
        <w:pStyle w:val="ListParagraph"/>
        <w:numPr>
          <w:ilvl w:val="0"/>
          <w:numId w:val="28"/>
        </w:numPr>
        <w:spacing w:after="0" w:line="240" w:lineRule="auto"/>
        <w:ind w:right="0"/>
        <w:rPr>
          <w:rFonts w:ascii="Times New Roman" w:hAnsi="Times New Roman" w:cs="Times New Roman"/>
          <w:b/>
          <w:sz w:val="24"/>
        </w:rPr>
      </w:pPr>
      <w:bookmarkStart w:id="125" w:name="_Toc2938630"/>
      <w:r w:rsidRPr="00132C6C">
        <w:rPr>
          <w:rFonts w:ascii="Times New Roman" w:hAnsi="Times New Roman" w:cs="Times New Roman"/>
          <w:b/>
          <w:sz w:val="24"/>
        </w:rPr>
        <w:lastRenderedPageBreak/>
        <w:t xml:space="preserve">Stanje svijesti pojedinaca, pripadnika ranjivih skupina, upravljačkih i </w:t>
      </w:r>
    </w:p>
    <w:p w14:paraId="1DD0EDCB" w14:textId="0C21D055" w:rsidR="00CE4763" w:rsidRPr="00132C6C" w:rsidRDefault="00CE4763" w:rsidP="00132C6C">
      <w:pPr>
        <w:pStyle w:val="ListParagraph"/>
        <w:spacing w:after="0" w:line="240" w:lineRule="auto"/>
        <w:ind w:left="1069" w:right="0" w:firstLine="0"/>
        <w:rPr>
          <w:rFonts w:ascii="Times New Roman" w:hAnsi="Times New Roman" w:cs="Times New Roman"/>
          <w:b/>
          <w:sz w:val="24"/>
        </w:rPr>
      </w:pPr>
      <w:r w:rsidRPr="00132C6C">
        <w:rPr>
          <w:rFonts w:ascii="Times New Roman" w:hAnsi="Times New Roman" w:cs="Times New Roman"/>
          <w:b/>
          <w:sz w:val="24"/>
        </w:rPr>
        <w:t>odgovornih tijela</w:t>
      </w:r>
      <w:bookmarkEnd w:id="125"/>
    </w:p>
    <w:p w14:paraId="733F4601"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sz w:val="24"/>
        </w:rPr>
        <w:t>Građani su najšira operativna baza sustava civilne zaštite koja je dužna provoditi preventivne mjere prije nastanka te mjere osobne i uzajamne zaštite kada nastane katastrofa. Također, dužni su se odazvati pozivu gradonačelnika Grada Zagreba po prethodno zaprimljenoj obavijesti ranog upozoravanja, te pomagati u zbrinjavanju evakuiranih osoba i obavljati druge jednostavne poslove u provođenju mjera zaštite i spašavanja u mjestu stanovanja</w:t>
      </w:r>
      <w:r w:rsidRPr="00CE4763">
        <w:rPr>
          <w:rFonts w:ascii="Times New Roman" w:hAnsi="Times New Roman" w:cs="Times New Roman"/>
          <w:color w:val="auto"/>
          <w:sz w:val="24"/>
        </w:rPr>
        <w:t xml:space="preserve">. Ured za upravljanje u hitnim situacijama pripremio je, tiskao i distribuirao edukativne letke pod nazivom </w:t>
      </w:r>
      <w:r w:rsidRPr="00CE4763">
        <w:rPr>
          <w:rFonts w:ascii="Times New Roman" w:hAnsi="Times New Roman" w:cs="Times New Roman"/>
          <w:i/>
          <w:color w:val="auto"/>
          <w:sz w:val="24"/>
        </w:rPr>
        <w:t>4 koraka do sigurnosti</w:t>
      </w:r>
      <w:r w:rsidRPr="00CE4763">
        <w:rPr>
          <w:rFonts w:ascii="Times New Roman" w:hAnsi="Times New Roman" w:cs="Times New Roman"/>
          <w:color w:val="auto"/>
          <w:sz w:val="24"/>
        </w:rPr>
        <w:t xml:space="preserve">, </w:t>
      </w:r>
      <w:r w:rsidRPr="00CE4763">
        <w:rPr>
          <w:rFonts w:ascii="Times New Roman" w:hAnsi="Times New Roman" w:cs="Times New Roman"/>
          <w:i/>
          <w:color w:val="auto"/>
          <w:sz w:val="24"/>
        </w:rPr>
        <w:t>Potres</w:t>
      </w:r>
      <w:r w:rsidRPr="00CE4763">
        <w:rPr>
          <w:rFonts w:ascii="Times New Roman" w:hAnsi="Times New Roman" w:cs="Times New Roman"/>
          <w:color w:val="auto"/>
          <w:sz w:val="24"/>
        </w:rPr>
        <w:t xml:space="preserve">, </w:t>
      </w:r>
      <w:r w:rsidRPr="00CE4763">
        <w:rPr>
          <w:rFonts w:ascii="Times New Roman" w:hAnsi="Times New Roman" w:cs="Times New Roman"/>
          <w:i/>
          <w:color w:val="auto"/>
          <w:sz w:val="24"/>
        </w:rPr>
        <w:t>Opasne kemikalije</w:t>
      </w:r>
      <w:r w:rsidRPr="00CE4763">
        <w:rPr>
          <w:rFonts w:ascii="Times New Roman" w:hAnsi="Times New Roman" w:cs="Times New Roman"/>
          <w:color w:val="auto"/>
          <w:sz w:val="24"/>
        </w:rPr>
        <w:t xml:space="preserve">, </w:t>
      </w:r>
      <w:r w:rsidRPr="00CE4763">
        <w:rPr>
          <w:rFonts w:ascii="Times New Roman" w:hAnsi="Times New Roman" w:cs="Times New Roman"/>
          <w:i/>
          <w:color w:val="auto"/>
          <w:sz w:val="24"/>
        </w:rPr>
        <w:t>Požar</w:t>
      </w:r>
      <w:r w:rsidRPr="00CE4763">
        <w:rPr>
          <w:rFonts w:ascii="Times New Roman" w:hAnsi="Times New Roman" w:cs="Times New Roman"/>
          <w:color w:val="auto"/>
          <w:sz w:val="24"/>
        </w:rPr>
        <w:t xml:space="preserve"> i </w:t>
      </w:r>
      <w:r w:rsidRPr="00CE4763">
        <w:rPr>
          <w:rFonts w:ascii="Times New Roman" w:hAnsi="Times New Roman" w:cs="Times New Roman"/>
          <w:i/>
          <w:color w:val="auto"/>
          <w:sz w:val="24"/>
        </w:rPr>
        <w:t>Zaštita od zračenja</w:t>
      </w:r>
      <w:r w:rsidRPr="00CE4763">
        <w:rPr>
          <w:rFonts w:ascii="Times New Roman" w:hAnsi="Times New Roman" w:cs="Times New Roman"/>
          <w:color w:val="auto"/>
          <w:sz w:val="24"/>
        </w:rPr>
        <w:t xml:space="preserve">. Navedeni edukativni letci distribuirani su u 390.000 primjeraka na sve adrese na području Grada Zagreba. Svrha letaka je podizanje razine svijesti građana Grada Zagreba te unaprjeđenje postupanja u slučaju nesreće. U letku se nalaze praktične informacije za samozaštitu o tome kako se ponašati te što učiniti tijekom i poslije nesreće. Jednako je tako izdan i letak </w:t>
      </w:r>
      <w:r w:rsidRPr="00CE4763">
        <w:rPr>
          <w:rFonts w:ascii="Times New Roman" w:hAnsi="Times New Roman" w:cs="Times New Roman"/>
          <w:i/>
          <w:color w:val="auto"/>
          <w:sz w:val="24"/>
        </w:rPr>
        <w:t>Upute za slučaj potresa u Gradu Zagrebu</w:t>
      </w:r>
      <w:r w:rsidRPr="00CE4763">
        <w:rPr>
          <w:rFonts w:ascii="Times New Roman" w:hAnsi="Times New Roman" w:cs="Times New Roman"/>
          <w:color w:val="auto"/>
          <w:sz w:val="24"/>
        </w:rPr>
        <w:t xml:space="preserve"> a na javnim mjestima (panoi u javnom gradskom prijevozu i na tramvajskim/autobusnim stajalištima) postavljene su </w:t>
      </w:r>
      <w:r w:rsidRPr="00CE4763">
        <w:rPr>
          <w:rFonts w:ascii="Times New Roman" w:hAnsi="Times New Roman" w:cs="Times New Roman"/>
          <w:i/>
          <w:color w:val="auto"/>
          <w:sz w:val="24"/>
        </w:rPr>
        <w:t xml:space="preserve">Upute za evakuaciju i prihvat građana u slučaju potresa za Grad Zagreb </w:t>
      </w:r>
      <w:r w:rsidRPr="00CE4763">
        <w:rPr>
          <w:rFonts w:ascii="Times New Roman" w:hAnsi="Times New Roman" w:cs="Times New Roman"/>
          <w:color w:val="auto"/>
          <w:sz w:val="24"/>
        </w:rPr>
        <w:t>s prikazom evakuacijskih koridora i prihvatnih i evakuacijskih površina.</w:t>
      </w:r>
    </w:p>
    <w:p w14:paraId="5D6D9C95"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Službenici Ureda u suradnji s Ravnateljstvom civilne zaštite i PUZ-om redovito educiraju djecu predškolske i školske dobi u sklopu programa </w:t>
      </w:r>
      <w:r w:rsidRPr="00CE4763">
        <w:rPr>
          <w:rFonts w:ascii="Times New Roman" w:hAnsi="Times New Roman" w:cs="Times New Roman"/>
          <w:i/>
          <w:color w:val="auto"/>
          <w:sz w:val="24"/>
        </w:rPr>
        <w:t>Edukacija djece u području civilne zaštite</w:t>
      </w:r>
      <w:r w:rsidRPr="00CE4763">
        <w:rPr>
          <w:rFonts w:ascii="Times New Roman" w:hAnsi="Times New Roman" w:cs="Times New Roman"/>
          <w:color w:val="auto"/>
          <w:sz w:val="24"/>
        </w:rPr>
        <w:t xml:space="preserve"> u prostorima Grada mladih i Doma Crvenog križa Zagreb. U 2018. započelo se i s edukacijom srednjoškolaca.</w:t>
      </w:r>
    </w:p>
    <w:p w14:paraId="511CE2A9" w14:textId="44A348EC" w:rsid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sz w:val="24"/>
        </w:rPr>
        <w:t>Člankom 65. Zakona o sustavu civilne zaštite propisano je da se za potrebe sustava civilne zaštite uz građane provodi osposobljavanje i za općinske načelnike, gradonačelnike, župane, članove stožera civilne zaštite na svim razinama ustrojavanja, pripadnike postrojbi civilne zaštite, povjerenike civilne zaštite i njihove zamjenike, tijela državne uprave koja obavljaju upravne, stručne i druge poslove od interesa za sustav civilne zaštite te službe i postrojbe pravnih osoba kojima je zaštita i spašavanje redovna djelatnost</w:t>
      </w:r>
      <w:r w:rsidRPr="00CE4763">
        <w:rPr>
          <w:rFonts w:ascii="Times New Roman" w:hAnsi="Times New Roman" w:cs="Times New Roman"/>
          <w:color w:val="auto"/>
          <w:sz w:val="24"/>
        </w:rPr>
        <w:t xml:space="preserve">. Tijekom 2018. obavljeno je osposobljavanje postrojbi civilne zaštite svih 17 gradskih četvrti i osposobljavanje članova Stožera civilne zaštite Grada Zagreba te članova stožera na razini gradskih četvrti Grada Zagreba. Godišnje se </w:t>
      </w:r>
      <w:r w:rsidR="00092A6A">
        <w:rPr>
          <w:rFonts w:ascii="Times New Roman" w:hAnsi="Times New Roman" w:cs="Times New Roman"/>
          <w:color w:val="auto"/>
          <w:sz w:val="24"/>
        </w:rPr>
        <w:t xml:space="preserve">sukladno Planu vježbi </w:t>
      </w:r>
      <w:r w:rsidRPr="00CE4763">
        <w:rPr>
          <w:rFonts w:ascii="Times New Roman" w:hAnsi="Times New Roman" w:cs="Times New Roman"/>
          <w:color w:val="auto"/>
          <w:sz w:val="24"/>
        </w:rPr>
        <w:t>prov</w:t>
      </w:r>
      <w:r w:rsidR="00092A6A">
        <w:rPr>
          <w:rFonts w:ascii="Times New Roman" w:hAnsi="Times New Roman" w:cs="Times New Roman"/>
          <w:color w:val="auto"/>
          <w:sz w:val="24"/>
        </w:rPr>
        <w:t xml:space="preserve">ode </w:t>
      </w:r>
      <w:r w:rsidRPr="00CE4763">
        <w:rPr>
          <w:rFonts w:ascii="Times New Roman" w:hAnsi="Times New Roman" w:cs="Times New Roman"/>
          <w:color w:val="auto"/>
          <w:sz w:val="24"/>
        </w:rPr>
        <w:t>vježbe u kojima sudjeluju pripadnici postrojbi općih i specijalističkih namjena te se redovito dijeli oprema pripadnicima.</w:t>
      </w:r>
    </w:p>
    <w:p w14:paraId="2F835570" w14:textId="77777777" w:rsidR="008917E7" w:rsidRPr="00CE4763" w:rsidRDefault="008917E7" w:rsidP="00CE4763">
      <w:pPr>
        <w:spacing w:after="0" w:line="240" w:lineRule="auto"/>
        <w:ind w:left="0" w:right="0" w:firstLine="709"/>
        <w:rPr>
          <w:rFonts w:ascii="Times New Roman" w:hAnsi="Times New Roman" w:cs="Times New Roman"/>
          <w:color w:val="auto"/>
          <w:sz w:val="24"/>
        </w:rPr>
      </w:pPr>
    </w:p>
    <w:p w14:paraId="5C3041C3" w14:textId="77777777" w:rsidR="00CE4763" w:rsidRPr="00CE4763" w:rsidRDefault="00CE4763" w:rsidP="00CE4763">
      <w:pPr>
        <w:spacing w:after="0" w:line="240" w:lineRule="auto"/>
        <w:ind w:left="0" w:right="0" w:firstLine="709"/>
        <w:rPr>
          <w:rFonts w:ascii="Times New Roman" w:hAnsi="Times New Roman" w:cs="Times New Roman"/>
          <w:sz w:val="24"/>
          <w:u w:val="single"/>
        </w:rPr>
      </w:pPr>
      <w:r w:rsidRPr="00CE4763">
        <w:rPr>
          <w:rFonts w:ascii="Times New Roman" w:hAnsi="Times New Roman" w:cs="Times New Roman"/>
          <w:sz w:val="24"/>
          <w:u w:val="single"/>
        </w:rPr>
        <w:t>Zaključak</w:t>
      </w:r>
    </w:p>
    <w:p w14:paraId="4257C3E9"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 xml:space="preserve">Javnost se konstantno educira o rizicima (letci, infopanoi na javnim mjestima) radi jačanja svijesti </w:t>
      </w:r>
      <w:r w:rsidRPr="00CE4763">
        <w:rPr>
          <w:rFonts w:ascii="Times New Roman" w:hAnsi="Times New Roman" w:cs="Times New Roman"/>
          <w:color w:val="auto"/>
          <w:sz w:val="24"/>
        </w:rPr>
        <w:t xml:space="preserve">stanovništva, redovito se educiraju djeca predškolske i školske dobi, obavljeno je osposobljavanje postrojbi civilne zaštite opće namjene po svim gradskim četvrtima, svake dvije godine educiraju se članovi stožera civilne zaštite, godišnje se provodi više vježbi u kojima sudjeluju pripadnici postrojbi opće i specijalističke namjene. S obzirom na brojne </w:t>
      </w:r>
      <w:r w:rsidRPr="00CE4763">
        <w:rPr>
          <w:rFonts w:ascii="Times New Roman" w:hAnsi="Times New Roman" w:cs="Times New Roman"/>
          <w:sz w:val="24"/>
        </w:rPr>
        <w:t xml:space="preserve">aktivnosti edukacije stanovništva, djece predškolske i školske dobi i upravljačkih i odgovornih tijela uključujući pripadnike postrojbi civilne zaštite Grada Zagreba, smatra se da je postignuta </w:t>
      </w:r>
      <w:r w:rsidRPr="00CE4763">
        <w:rPr>
          <w:rFonts w:ascii="Times New Roman" w:hAnsi="Times New Roman" w:cs="Times New Roman"/>
          <w:sz w:val="24"/>
          <w:u w:val="single" w:color="000000"/>
        </w:rPr>
        <w:t>vrlo visoka razina</w:t>
      </w:r>
      <w:r w:rsidRPr="00CE4763">
        <w:rPr>
          <w:rFonts w:ascii="Times New Roman" w:hAnsi="Times New Roman" w:cs="Times New Roman"/>
          <w:sz w:val="24"/>
        </w:rPr>
        <w:t xml:space="preserve"> spremnosti.</w:t>
      </w:r>
    </w:p>
    <w:p w14:paraId="3C0394F7"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7076A0F8" w14:textId="654F5BB8" w:rsidR="00CE4763" w:rsidRPr="00132C6C" w:rsidRDefault="00CE4763" w:rsidP="00132C6C">
      <w:pPr>
        <w:pStyle w:val="ListParagraph"/>
        <w:numPr>
          <w:ilvl w:val="0"/>
          <w:numId w:val="28"/>
        </w:numPr>
        <w:spacing w:after="0" w:line="240" w:lineRule="auto"/>
        <w:ind w:right="0"/>
        <w:jc w:val="left"/>
        <w:rPr>
          <w:rFonts w:ascii="Times New Roman" w:hAnsi="Times New Roman" w:cs="Times New Roman"/>
          <w:b/>
          <w:color w:val="auto"/>
          <w:sz w:val="24"/>
        </w:rPr>
      </w:pPr>
      <w:bookmarkStart w:id="126" w:name="_Toc2938631"/>
      <w:r w:rsidRPr="00132C6C">
        <w:rPr>
          <w:rFonts w:ascii="Times New Roman" w:hAnsi="Times New Roman" w:cs="Times New Roman"/>
          <w:b/>
          <w:color w:val="auto"/>
          <w:sz w:val="24"/>
        </w:rPr>
        <w:t>Ocjena stanja prostornog planiranja, izrade prostornih i urbanističkih planova razvoja, planskog korištenja zemljišta</w:t>
      </w:r>
      <w:bookmarkEnd w:id="126"/>
    </w:p>
    <w:p w14:paraId="120A30C0"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Grad Zagreb raspolaže sljedećim dokumentima prostornog planiranja:</w:t>
      </w:r>
    </w:p>
    <w:p w14:paraId="2BFCE388"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Odluka o izradi izmjena i dopuna Urbanističkog plana uređenja Slobodne carinske </w:t>
      </w:r>
    </w:p>
    <w:p w14:paraId="1FB1B193"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zone Jankomir (Službeni glasnik Grada Zagreba 19/22)</w:t>
      </w:r>
    </w:p>
    <w:p w14:paraId="7EF60DB8"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Odluka o donošenju Urbanističkog plana uređenja Groblje Kupinečki Kraljevec </w:t>
      </w:r>
    </w:p>
    <w:p w14:paraId="40794A53"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(Službeni glasnik Grada Zagreba 26/21)</w:t>
      </w:r>
    </w:p>
    <w:p w14:paraId="08251D02"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Odluka o donošenju Urbanističkog plana uređenja Groblje Stenjevec (Službeni glasnik </w:t>
      </w:r>
    </w:p>
    <w:p w14:paraId="12D69AD0"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lastRenderedPageBreak/>
        <w:t xml:space="preserve">  Grada Zagreba 8/21)</w:t>
      </w:r>
    </w:p>
    <w:p w14:paraId="4DFDE32C" w14:textId="77777777" w:rsidR="00CE4763" w:rsidRPr="00CE4763" w:rsidRDefault="00CE4763" w:rsidP="00CE4763">
      <w:pPr>
        <w:spacing w:after="0"/>
        <w:rPr>
          <w:rFonts w:ascii="Times New Roman" w:hAnsi="Times New Roman" w:cs="Times New Roman"/>
          <w:color w:val="auto"/>
          <w:sz w:val="24"/>
        </w:rPr>
      </w:pPr>
      <w:r w:rsidRPr="00CE4763">
        <w:rPr>
          <w:rFonts w:ascii="Times New Roman" w:hAnsi="Times New Roman" w:cs="Times New Roman"/>
          <w:color w:val="auto"/>
          <w:sz w:val="24"/>
        </w:rPr>
        <w:t xml:space="preserve">            - Odluka o izradi izmjena i dopuna Urbanističkog plana uređenja Jankomir –  </w:t>
      </w:r>
    </w:p>
    <w:p w14:paraId="2000DF03" w14:textId="77777777" w:rsidR="00CE4763" w:rsidRPr="00CE4763" w:rsidRDefault="00CE4763" w:rsidP="00CE4763">
      <w:pPr>
        <w:spacing w:after="0"/>
        <w:rPr>
          <w:rFonts w:ascii="Times New Roman" w:hAnsi="Times New Roman" w:cs="Times New Roman"/>
          <w:color w:val="auto"/>
          <w:sz w:val="24"/>
        </w:rPr>
      </w:pPr>
      <w:r w:rsidRPr="00CE4763">
        <w:rPr>
          <w:rFonts w:ascii="Times New Roman" w:hAnsi="Times New Roman" w:cs="Times New Roman"/>
          <w:color w:val="auto"/>
          <w:sz w:val="24"/>
        </w:rPr>
        <w:t xml:space="preserve">               Malešnica (Službeni glasnik Grada Zagreba 4/21)</w:t>
      </w:r>
    </w:p>
    <w:p w14:paraId="5C782944"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Odluka o izradi izmjena i dopuna Urbanističkog plana uređenja Jankomir – Prisavišće </w:t>
      </w:r>
    </w:p>
    <w:p w14:paraId="08D3F1DE"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(Službeni glasnik Grada Zagreba 4/21)</w:t>
      </w:r>
    </w:p>
    <w:p w14:paraId="45F29529"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Odluka o izradi Urbanističkog plana uređenja Savska ulica – Prisavlje (Službeni    </w:t>
      </w:r>
    </w:p>
    <w:p w14:paraId="065112A0"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glasnik Grada Zagreba 27/20)</w:t>
      </w:r>
    </w:p>
    <w:p w14:paraId="6F443799"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Odluka o izradi izmjena i dopuna Prostornog plana Grada Zagreba (Službeni    </w:t>
      </w:r>
    </w:p>
    <w:p w14:paraId="2715E09E"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glasnik Grada Zagreba 27/20)</w:t>
      </w:r>
    </w:p>
    <w:p w14:paraId="0D56E6F1"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Odluka o izradi izmjena i dopuna Urbanističkog plana uređenja USA škola (Službeni    </w:t>
      </w:r>
    </w:p>
    <w:p w14:paraId="59E66159"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glasnik Grada Zagreba 22/20)</w:t>
      </w:r>
    </w:p>
    <w:p w14:paraId="76317D34"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Odluka o izradi izmjena i dopuna Urbanističkog plana uređenja Odra II (Službeni    </w:t>
      </w:r>
    </w:p>
    <w:p w14:paraId="639D26FB"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glasnik Grada Zagreba 22/20)</w:t>
      </w:r>
    </w:p>
    <w:p w14:paraId="1EED4506"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Odluka o donošenju Urbanističkog plana uređenja Studentski kampus Borongaj </w:t>
      </w:r>
    </w:p>
    <w:p w14:paraId="0F7DC8DB"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(pročišćeni tekst) (Službeni glasnik Grada Zagreba 17/19)</w:t>
      </w:r>
    </w:p>
    <w:p w14:paraId="678F2C95"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Odluka o donošenju Urbanističkog plana uređenja Branovečina II (Službeni glasnik </w:t>
      </w:r>
    </w:p>
    <w:p w14:paraId="7AAE44B7"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Grada Zagreba 15/20)</w:t>
      </w:r>
    </w:p>
    <w:p w14:paraId="0A8F129A"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Odluka o donošenju Urbanističkog plana uređenja "Petlja Lučko"(pročišćeni tekst) </w:t>
      </w:r>
    </w:p>
    <w:p w14:paraId="2DC943A3"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(Službeni glasnik Grada Zagreba 14/19)</w:t>
      </w:r>
    </w:p>
    <w:p w14:paraId="1D3485B4"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Odluka o izradi Urbanističkog plana uređenja Branovečina II (Službeni glasnik </w:t>
      </w:r>
    </w:p>
    <w:p w14:paraId="02FA1ACB" w14:textId="642EAF5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w:t>
      </w:r>
      <w:r w:rsidR="005D175B">
        <w:rPr>
          <w:rFonts w:ascii="Times New Roman" w:hAnsi="Times New Roman" w:cs="Times New Roman"/>
          <w:color w:val="auto"/>
          <w:sz w:val="24"/>
        </w:rPr>
        <w:t>Grada Zagreba 14/19</w:t>
      </w:r>
      <w:r w:rsidRPr="00CE4763">
        <w:rPr>
          <w:rFonts w:ascii="Times New Roman" w:hAnsi="Times New Roman" w:cs="Times New Roman"/>
          <w:color w:val="auto"/>
          <w:sz w:val="24"/>
        </w:rPr>
        <w:t>)</w:t>
      </w:r>
    </w:p>
    <w:p w14:paraId="4FE28D66"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Odluka o donošenju Urbanističkog plana uređenja Bornina - Erdödyjeva - Branimirova </w:t>
      </w:r>
    </w:p>
    <w:p w14:paraId="41576FFA"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 Domagojeva (Službeni glasnik Grada Zagreba 14/19)</w:t>
      </w:r>
    </w:p>
    <w:p w14:paraId="526FA635"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Odluka o izradi izmjena i dopuna Detaljnog plana uređenja stambenog naselja na </w:t>
      </w:r>
    </w:p>
    <w:p w14:paraId="204817AC"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lokaciji Sopnica – Jelkovec (Službeni glasnik Grada Zagreba 12/19)</w:t>
      </w:r>
    </w:p>
    <w:p w14:paraId="08C0E1DA"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Odluka o izradi Urbanističkog plana uređenja Groblje Granešina (Službeni glasnik </w:t>
      </w:r>
    </w:p>
    <w:p w14:paraId="6AA51CCB"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Grada Zagreba 6/19)</w:t>
      </w:r>
    </w:p>
    <w:p w14:paraId="5B4E8537"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Odluka o izradi izmjena i dopuna Urbanističkog plana uređenja Studentski kampus </w:t>
      </w:r>
    </w:p>
    <w:p w14:paraId="6E597747"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Borongaj (Službeni glasnik Grada Zagreba 4/19)</w:t>
      </w:r>
    </w:p>
    <w:p w14:paraId="7941D8FF"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Odluka o izradi Urbanističkog plana uređenja Groblje Stenjevec (Službeni glasnik </w:t>
      </w:r>
    </w:p>
    <w:p w14:paraId="6E2EB8BA"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Grada Zagreba 4/19)</w:t>
      </w:r>
    </w:p>
    <w:p w14:paraId="1171AEC9"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Odluka o izradi izmjena i dopuna Urbanističkog plana uređenja Petrine – Županići </w:t>
      </w:r>
    </w:p>
    <w:p w14:paraId="514B0832"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(Službeni glasnik Grada Zagreba 4/19)</w:t>
      </w:r>
    </w:p>
    <w:p w14:paraId="46864253"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Odluka o donošenju Urbanističkog plana uređenja Trnava IV  (Službeni glasnik Grada </w:t>
      </w:r>
    </w:p>
    <w:p w14:paraId="27AB5407"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Zagreba 4/19)</w:t>
      </w:r>
    </w:p>
    <w:p w14:paraId="72C35D44"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Odluka o donošenju Urbanističkog plana uređenja "Gradišćanska - Cankarova - Ulica </w:t>
      </w:r>
    </w:p>
    <w:p w14:paraId="4BDDF9E8"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baruna Filipovića"(Službeni glasnik Grada Zagreba 2/19)</w:t>
      </w:r>
    </w:p>
    <w:p w14:paraId="1DC90B08"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Odluka o donošenju Urbanističkog plana uređenja Dubravica – Karažnik (Službeni </w:t>
      </w:r>
    </w:p>
    <w:p w14:paraId="44B8EBE7"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   glasnik Grada Zagreba 2/19)</w:t>
      </w:r>
    </w:p>
    <w:p w14:paraId="053EC707"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Odluka o donošenju Prostornoga plana Grada Zagreba (Službeni glasnik Grada Zagreba 8/01, 16/02, 11/03, 2/06, 1/09, 8/09, 21/14, 23/14 - pročišćeni tekst, 26/15, 3/16 - pročišćeni tekst, 22/17, 3/18 - pročišćeni tekst);</w:t>
      </w:r>
    </w:p>
    <w:p w14:paraId="5465FD4E" w14:textId="77777777" w:rsidR="00CE4763" w:rsidRPr="00CE4763" w:rsidRDefault="00CE4763" w:rsidP="00CE4763">
      <w:pPr>
        <w:spacing w:after="0" w:line="240" w:lineRule="auto"/>
        <w:ind w:left="879" w:right="0" w:hanging="170"/>
        <w:rPr>
          <w:rFonts w:ascii="Times New Roman" w:hAnsi="Times New Roman" w:cs="Times New Roman"/>
          <w:sz w:val="24"/>
        </w:rPr>
      </w:pPr>
      <w:bookmarkStart w:id="127" w:name="_Hlk3378599"/>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Odluka o donošenju Generalnoga urbanističkog plana grada Zagreba (Službeni glasnik Grada Zagreba 16/07, 8/09, 7/13, 9/16, 12/16 - pročišćeni tekst);</w:t>
      </w:r>
    </w:p>
    <w:p w14:paraId="67B38827"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rPr>
        <w:t>-</w:t>
      </w:r>
      <w:r w:rsidRPr="00CE4763">
        <w:rPr>
          <w:rFonts w:ascii="Times New Roman" w:hAnsi="Times New Roman" w:cs="Times New Roman"/>
          <w:sz w:val="24"/>
        </w:rPr>
        <w:tab/>
        <w:t>Odluka o donošenju Generalnoga urbanističkog plana Sesveta (Službeni glasnik Grada Zagreba 14/03, 17/06, 1/09, 7/13, 19/15, 22/15 - pročišćeni tekst);</w:t>
      </w:r>
    </w:p>
    <w:p w14:paraId="6D7B32CE"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Odluka o realizaciji gradskog projekta Zona Badel (Službeni glasnik Grada Zagreba 11/18).</w:t>
      </w:r>
    </w:p>
    <w:p w14:paraId="2A590598" w14:textId="77777777" w:rsidR="00CE4763" w:rsidRPr="003E2F12" w:rsidRDefault="00CE4763" w:rsidP="00CE4763">
      <w:pPr>
        <w:spacing w:after="0" w:line="240" w:lineRule="auto"/>
        <w:ind w:left="879"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Odluka o donošenju Detaljnog plana uređenja:</w:t>
      </w:r>
    </w:p>
    <w:p w14:paraId="34385C54"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rPr>
        <w:lastRenderedPageBreak/>
        <w:t>-</w:t>
      </w:r>
      <w:r w:rsidRPr="003E2F12">
        <w:rPr>
          <w:rFonts w:ascii="Times New Roman" w:hAnsi="Times New Roman" w:cs="Times New Roman"/>
          <w:sz w:val="24"/>
          <w:szCs w:val="24"/>
        </w:rPr>
        <w:tab/>
        <w:t>Vjersko kulturni centar "Sesvetska Sopnica" (Službeni glasnik Grada Zagreba 20/98);</w:t>
      </w:r>
    </w:p>
    <w:p w14:paraId="713AE09F"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rPr>
        <w:t>-</w:t>
      </w:r>
      <w:r w:rsidRPr="003E2F12">
        <w:rPr>
          <w:rFonts w:ascii="Times New Roman" w:hAnsi="Times New Roman" w:cs="Times New Roman"/>
          <w:sz w:val="24"/>
          <w:szCs w:val="24"/>
        </w:rPr>
        <w:tab/>
        <w:t>"Zona javne namjene u Buzinu" (Službeni glasnik Grada Zagreba 17/00, 19/01);</w:t>
      </w:r>
    </w:p>
    <w:p w14:paraId="7AC8395B"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stambenog naselja na lokaciji vojarne Špansko - Oranice (Službeni glasnik Grada Zagreba 22/03, 4/05, 10/06 - ispr., 18/06 - ispr., 15/08 - ispr., 19/08 - ispr.);</w:t>
      </w:r>
    </w:p>
    <w:p w14:paraId="6E4D532A" w14:textId="4852E3CD"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stambenog naselja na lokaciji Sopnica - Jelkovec (Službeni glasnik Grada Zagreba 22/03, 9/07, 17/16, 20/16</w:t>
      </w:r>
      <w:r w:rsidR="005D175B">
        <w:rPr>
          <w:rFonts w:ascii="Times New Roman" w:hAnsi="Times New Roman" w:cs="Times New Roman"/>
          <w:sz w:val="24"/>
          <w:szCs w:val="24"/>
        </w:rPr>
        <w:t>-pročišćeni tekst, 27/20 i 32/20-pročišćeni tekst</w:t>
      </w:r>
      <w:r w:rsidRPr="003E2F12">
        <w:rPr>
          <w:rFonts w:ascii="Times New Roman" w:hAnsi="Times New Roman" w:cs="Times New Roman"/>
          <w:sz w:val="24"/>
          <w:szCs w:val="24"/>
        </w:rPr>
        <w:t>);</w:t>
      </w:r>
    </w:p>
    <w:p w14:paraId="277C5CE2"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Vrbik - uz Ulicu Ivana Lučića (Sveučilišna aleja) (Službeni glasnik Grada Zagreba 22/03);</w:t>
      </w:r>
    </w:p>
    <w:p w14:paraId="69040FDC"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Savska - Vukovarska (Službeni glasnik Grada Zagreba 22/03, 13/12);</w:t>
      </w:r>
    </w:p>
    <w:p w14:paraId="5BE148E1"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proširenja groblja u Brezovici - I. etapa (Službeni glasnik Grada Zagreba 6/05);</w:t>
      </w:r>
    </w:p>
    <w:p w14:paraId="6CB5D765"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Farme Sesvetski Kraljevec (Službeni glasnik Grada Zagreba 14/06);</w:t>
      </w:r>
    </w:p>
    <w:p w14:paraId="171540F8"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Ilica - Preobraženska - Preradovićev trg - Varšavska - Gundulićeva (Službeni glasnik Grada Zagreba 1/08);</w:t>
      </w:r>
    </w:p>
    <w:p w14:paraId="256A2690"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proširenja groblja Markovo polje (Službeni glasnik Grada Zagreba 8/09).</w:t>
      </w:r>
    </w:p>
    <w:p w14:paraId="74562C30" w14:textId="77777777" w:rsidR="00CE4763" w:rsidRPr="003E2F12" w:rsidRDefault="00CE4763" w:rsidP="00CE4763">
      <w:pPr>
        <w:spacing w:after="0" w:line="240" w:lineRule="auto"/>
        <w:ind w:left="879"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Odluka o donošenju Urbanističkog plana uređenja:</w:t>
      </w:r>
    </w:p>
    <w:p w14:paraId="28EA3163"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"Odra I" (Službeni glasnik Grada Zagreba 3/99);</w:t>
      </w:r>
    </w:p>
    <w:p w14:paraId="3B7577DC"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područja nekadašnje Tvornice cementa u Podsusedu (Službeni glasnik Grada Zagreba 13/99);</w:t>
      </w:r>
    </w:p>
    <w:p w14:paraId="2484050C" w14:textId="7C390670"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Petrine - Županići (Službeni glasnik Grada Zagreba 17/99</w:t>
      </w:r>
      <w:r w:rsidR="005D175B">
        <w:rPr>
          <w:rFonts w:ascii="Times New Roman" w:hAnsi="Times New Roman" w:cs="Times New Roman"/>
          <w:sz w:val="24"/>
          <w:szCs w:val="24"/>
        </w:rPr>
        <w:t>, 18/19 i 20/19-pročišćeni tekst</w:t>
      </w:r>
      <w:r w:rsidRPr="003E2F12">
        <w:rPr>
          <w:rFonts w:ascii="Times New Roman" w:hAnsi="Times New Roman" w:cs="Times New Roman"/>
          <w:sz w:val="24"/>
          <w:szCs w:val="24"/>
        </w:rPr>
        <w:t>);</w:t>
      </w:r>
    </w:p>
    <w:p w14:paraId="77C253D4"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središta Sesveta (Službeni glasnik Grada Zagreba 17/99);</w:t>
      </w:r>
    </w:p>
    <w:p w14:paraId="7516EE3D"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Vrbani III. (Službeni glasnik Grada Zagreba 4/05, 12/06);</w:t>
      </w:r>
    </w:p>
    <w:p w14:paraId="0BBE8EAD"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Savska Opatovina (Službeni glasnik Grada Zagreba 4/05, 10/06 - ispr., 21/08);</w:t>
      </w:r>
    </w:p>
    <w:p w14:paraId="287447B5"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dijela naselja Popovec (Službeni glasnik Grada Zagreba 4/05);</w:t>
      </w:r>
    </w:p>
    <w:p w14:paraId="0FEFC1D3"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Odra II. (Službeni glasnik Grada Zagreba 4/05);</w:t>
      </w:r>
    </w:p>
    <w:p w14:paraId="7BEB71AC"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omeđenog ulicama LJ. Posavskog - Zavrtnicom - Branimirovom - Crvenog križa (Službeni glasnik Grada Zagreba 6/05, 2/07);</w:t>
      </w:r>
    </w:p>
    <w:p w14:paraId="1274D244"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Slobodne carinske zone Jankomir (Službeni glasnik Grada Zagreba 6/05, 21/08, 5/18, 10/18 - pročišćeni tekst);</w:t>
      </w:r>
    </w:p>
    <w:p w14:paraId="26B33B12"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Hrvatski Leskovac - središnji dio naselja (Službeni glasnik Grada Zagreba 6/05, 22/15, 25/15 - pročišćeni tekst);</w:t>
      </w:r>
    </w:p>
    <w:p w14:paraId="44EDD624"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rPr>
        <w:t>-</w:t>
      </w:r>
      <w:r w:rsidRPr="003E2F12">
        <w:rPr>
          <w:rFonts w:ascii="Times New Roman" w:hAnsi="Times New Roman" w:cs="Times New Roman"/>
          <w:sz w:val="24"/>
          <w:szCs w:val="24"/>
        </w:rPr>
        <w:tab/>
        <w:t>Gospodarske zone Hrvatski Leskovac (Službeni glasnik Grada Zagreba 6/05);</w:t>
      </w:r>
    </w:p>
    <w:p w14:paraId="733CEA2F"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Dubravica - Karažnik (Službeni glasnik Grada Zagreba 6/05, 9/07, 28/18, 2/19 - pročišćeni tekst);</w:t>
      </w:r>
    </w:p>
    <w:p w14:paraId="02F0F561" w14:textId="231FE042"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Peščenica sjever - Štrigina (Službeni glasnik Grada Zagreba 6/05, 4/16</w:t>
      </w:r>
      <w:r w:rsidR="005D175B">
        <w:rPr>
          <w:rFonts w:ascii="Times New Roman" w:hAnsi="Times New Roman" w:cs="Times New Roman"/>
          <w:sz w:val="24"/>
          <w:szCs w:val="24"/>
        </w:rPr>
        <w:t xml:space="preserve"> i 6/16-pročišćeni tekst</w:t>
      </w:r>
      <w:r w:rsidRPr="003E2F12">
        <w:rPr>
          <w:rFonts w:ascii="Times New Roman" w:hAnsi="Times New Roman" w:cs="Times New Roman"/>
          <w:sz w:val="24"/>
          <w:szCs w:val="24"/>
        </w:rPr>
        <w:t>);</w:t>
      </w:r>
    </w:p>
    <w:p w14:paraId="710237B8"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Gospodarske zone Sesvete - sjever (Službeni glasnik Grada Zagreba 6/05, 1/08, 23/18, 28/18 - pročišćeni tekst);</w:t>
      </w:r>
    </w:p>
    <w:p w14:paraId="7D20717F"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"Buzinski Krči - Ranžirni kolodvor jug" (Službeni glasnik Grada Zagreba 20/05, 18/06, 9/08, 17/11);</w:t>
      </w:r>
    </w:p>
    <w:p w14:paraId="60AF1C61"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"Petlja Lučko - Sjever" (Službeni glasnik Grada Zagreba 21/05, 1/08, 26/14, 1/15 - pročišćeni tekst);</w:t>
      </w:r>
    </w:p>
    <w:p w14:paraId="38E0B032"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"Oranice - TEP tematski park" (Službeni glasnik Grada Zagreba 21/05, 2/08, 9/17, 17/17 - pročišćeni tekst);</w:t>
      </w:r>
    </w:p>
    <w:p w14:paraId="1ED44AC7"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"Ulica grada Gospića - jugozapad" (Službeni glasnik Grada Zagreba 21/05);</w:t>
      </w:r>
    </w:p>
    <w:p w14:paraId="51457B40"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"Ferenščica - istok" (Službeni glasnik Grada Zagreba 2/06, 2/09 - ispr.);</w:t>
      </w:r>
    </w:p>
    <w:p w14:paraId="7196209C"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Heinzelova - Radnička - željeznička pruga (Službeni glasnik Grada Zagreba 7/06, 19/08 - ispr., 11/09 - ispr.);</w:t>
      </w:r>
    </w:p>
    <w:p w14:paraId="276E0320"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Heinzelova - Vukovarska (Službeni glasnik Grada Zagreba 7/06);</w:t>
      </w:r>
    </w:p>
    <w:p w14:paraId="427A9F3E"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lastRenderedPageBreak/>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Poslovne zone Veliko polje (Službeni glasnik Grada Zagreba 7/06, 8/09);</w:t>
      </w:r>
    </w:p>
    <w:p w14:paraId="753BE556"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Njivice (Službeni glasnik Grada Zagreba 7/06);</w:t>
      </w:r>
    </w:p>
    <w:p w14:paraId="15DA0FF4"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Gospodarska zona Sesvete - jug (Službeni glasnik Grada Zagreba 10/06, 21/14, 23/14 - pročišćeni tekst);</w:t>
      </w:r>
    </w:p>
    <w:p w14:paraId="69A2B2EB"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"Ulica grada Gospića - sjeveroistok" (Službeni glasnik Grada Zagreba 10/06, 1/08, 9/12);</w:t>
      </w:r>
    </w:p>
    <w:p w14:paraId="21B6D2D1"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"Oporovečka - sjever" (Službeni glasnik Grada Zagreba 10/06, 16/06);</w:t>
      </w:r>
    </w:p>
    <w:p w14:paraId="7DC24F8C"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"Sigečica" (Službeni glasnik Grada Zagreba 12/06);</w:t>
      </w:r>
    </w:p>
    <w:p w14:paraId="2272B3D5"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"Vrbik - središnji prostor" (Službeni glasnik Grada Zagreba 12/06, 18/07 - ispr.);</w:t>
      </w:r>
    </w:p>
    <w:p w14:paraId="2569C387"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"Martinovka - zona zapad" (Službeni glasnik Grada Zagreba 12/06, 11/09 - ispr.);</w:t>
      </w:r>
    </w:p>
    <w:p w14:paraId="657EE104"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"Gradišćanska - Cankarova - Ulica baruna Filipovića" (Službeni glasnik Grada Zagreba 12/06, 1/08, 12/11, 28/18, 2/19 - pročišćeni tekst);</w:t>
      </w:r>
    </w:p>
    <w:p w14:paraId="4F8B4186"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"Staro Brestje - Delec" (Službeni glasnik Grada Zagreba 12/06);</w:t>
      </w:r>
    </w:p>
    <w:p w14:paraId="2C5DA12D"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područja omeđenog ulicama "Banjavčićeva - Heinzelova - Branimirova - Zavrtnica" (Službeni glasnik Grada Zagreba 12/06, 16/18, 18/18 - pročišćeni tekst);</w:t>
      </w:r>
    </w:p>
    <w:p w14:paraId="1EFCF99E"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"Svetice" (Službeni glasnik Grada Zagreba 14/06, 2/09 - ispr., 7/09 - ispr.);</w:t>
      </w:r>
    </w:p>
    <w:p w14:paraId="6A00D3B3"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"Vrbik - Savska - Slavonska" (Službeni glasnik Grada Zagreba 15/06);</w:t>
      </w:r>
    </w:p>
    <w:p w14:paraId="3CC667CC"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Novo Brestje - zapad (Službeni glasnik Grada Zagreba 15/06);</w:t>
      </w:r>
    </w:p>
    <w:p w14:paraId="2288DAEC" w14:textId="009B791D"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Rudeš (Službeni glasnik Grada Zagreba 18/06, 7/09</w:t>
      </w:r>
      <w:r w:rsidR="005D175B">
        <w:rPr>
          <w:rFonts w:ascii="Times New Roman" w:hAnsi="Times New Roman" w:cs="Times New Roman"/>
          <w:sz w:val="24"/>
          <w:szCs w:val="24"/>
        </w:rPr>
        <w:t>-ispr.</w:t>
      </w:r>
      <w:r w:rsidRPr="003E2F12">
        <w:rPr>
          <w:rFonts w:ascii="Times New Roman" w:hAnsi="Times New Roman" w:cs="Times New Roman"/>
          <w:sz w:val="24"/>
          <w:szCs w:val="24"/>
        </w:rPr>
        <w:t>);</w:t>
      </w:r>
    </w:p>
    <w:p w14:paraId="77435318"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Podbrežje (Službeni glasnik Grada Zagreba 8/07, 12/11);</w:t>
      </w:r>
    </w:p>
    <w:p w14:paraId="6CD7A4DF" w14:textId="62DEB090"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"Petlja Lučko" (Službeni glasnik Grada Zagreba 9/07, 16/14, 19/14 - pročišćeni tekst</w:t>
      </w:r>
      <w:r w:rsidR="005D175B">
        <w:rPr>
          <w:rFonts w:ascii="Times New Roman" w:hAnsi="Times New Roman" w:cs="Times New Roman"/>
          <w:sz w:val="24"/>
          <w:szCs w:val="24"/>
        </w:rPr>
        <w:t>, 12/19 i 14/19-pročišćeni tekst</w:t>
      </w:r>
      <w:r w:rsidRPr="003E2F12">
        <w:rPr>
          <w:rFonts w:ascii="Times New Roman" w:hAnsi="Times New Roman" w:cs="Times New Roman"/>
          <w:sz w:val="24"/>
          <w:szCs w:val="24"/>
        </w:rPr>
        <w:t>);</w:t>
      </w:r>
    </w:p>
    <w:p w14:paraId="27DCE13F"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Prečko - jug (Službeni glasnik Grada Zagreba 9/07);</w:t>
      </w:r>
    </w:p>
    <w:p w14:paraId="5FB9E675"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Savica - središnja zona (Službeni glasnik Grada Zagreba 9/07);</w:t>
      </w:r>
    </w:p>
    <w:p w14:paraId="79CAF5A9"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"Središće - zapad " (Službeni glasnik Grada Zagreba 12/07, 13/12);</w:t>
      </w:r>
    </w:p>
    <w:p w14:paraId="7A3F4875"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"Jankomir - Prisavišće" (Službeni glasnik Grada Zagreba 1/08);</w:t>
      </w:r>
    </w:p>
    <w:p w14:paraId="68CB9847"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rPr>
        <w:t>-</w:t>
      </w:r>
      <w:r w:rsidRPr="003E2F12">
        <w:rPr>
          <w:rFonts w:ascii="Times New Roman" w:hAnsi="Times New Roman" w:cs="Times New Roman"/>
          <w:sz w:val="24"/>
          <w:szCs w:val="24"/>
        </w:rPr>
        <w:tab/>
        <w:t>Degidovec (Službeni glasnik Grada Zagreba 1/08);</w:t>
      </w:r>
    </w:p>
    <w:p w14:paraId="659DCBA9"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"Petlja Lučko - jug" (Službeni glasnik Grada Zagreba 1/08);</w:t>
      </w:r>
    </w:p>
    <w:p w14:paraId="719AF380"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Vukomerec (Službeni glasnik Grada Zagreba 1/08);</w:t>
      </w:r>
    </w:p>
    <w:p w14:paraId="607C5EEC"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Blato - jug (Službeni glasnik Grada Zagreba 1/08);</w:t>
      </w:r>
    </w:p>
    <w:p w14:paraId="1E527374"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"Jankomir - Malešnica" (Službeni glasnik Grada Zagreba 1/08);</w:t>
      </w:r>
    </w:p>
    <w:p w14:paraId="5C23FC4F"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Čulinečka - zapad (Službeni glasnik Grada Zagreba 1/08);</w:t>
      </w:r>
    </w:p>
    <w:p w14:paraId="6B93545D"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"Kruge" (Službeni glasnik Grada Zagreba 1/08, 7/09 - ispr., 11/09 - ispr.);</w:t>
      </w:r>
    </w:p>
    <w:p w14:paraId="0E1862AF"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Resnik III (Službeni glasnik Grada Zagreba 1/08, 19/17, 22/17 - pročišćeni tekst);</w:t>
      </w:r>
    </w:p>
    <w:p w14:paraId="588E8075"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Gajišće - jug (Službeni glasnik Grada Zagreba 1/08, 8/08 - ispr.);</w:t>
      </w:r>
    </w:p>
    <w:p w14:paraId="6DE2DAC6"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Sesvetska Selnica - jug (Službeni glasnik Grada Zagreba 1/08);</w:t>
      </w:r>
    </w:p>
    <w:p w14:paraId="32EFC8B4"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Selčina - sjever (Službeni glasnik Grada Zagreba 1/08);</w:t>
      </w:r>
    </w:p>
    <w:p w14:paraId="33F37516"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"Savska - Šarengradska - jug" (Službeni glasnik Grada Zagreba 1/08, 5/08 - ispr., 8/09, 11/09 - ispr.);</w:t>
      </w:r>
    </w:p>
    <w:p w14:paraId="1DDFA2B6"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"Tvornica autobusa" (Službeni glasnik Grada Zagreba 2/08);</w:t>
      </w:r>
    </w:p>
    <w:p w14:paraId="2771F22A"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Remetinec rotor - zapad (Službeni glasnik Grada Zagreba 2/08);</w:t>
      </w:r>
    </w:p>
    <w:p w14:paraId="59640B20"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Zona Ciglana - Sesvete (Službeni glasnik Grada Zagreba 2/08, 15/08 - ispr.);</w:t>
      </w:r>
    </w:p>
    <w:p w14:paraId="6E0BAA9B"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Savska - Šarengradska sjever (Službeni glasnik Grada Zagreba 6/08);</w:t>
      </w:r>
    </w:p>
    <w:p w14:paraId="509CF04C"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Resnik II (Službeni glasnik Grada Zagreba 6/08);</w:t>
      </w:r>
    </w:p>
    <w:p w14:paraId="2FBB7458"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"Munja" (Službeni glasnik Grada Zagreba 7/08, 8/09 - ispr.);</w:t>
      </w:r>
    </w:p>
    <w:p w14:paraId="456B1A8D"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"Savski park - istok" (Službeni glasnik Grada Zagreba 9/08);</w:t>
      </w:r>
    </w:p>
    <w:p w14:paraId="38E6711C"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"Savski park - zapad" (Službeni glasnik Grada Zagreba 9/08);</w:t>
      </w:r>
    </w:p>
    <w:p w14:paraId="7B8E097F"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"Sveti Duh" (Službeni glasnik Grada Zagreba 16/08, 7/09 - ispr.);</w:t>
      </w:r>
    </w:p>
    <w:p w14:paraId="130F5489"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Brezje - zona jug (Službeni glasnik Grada Zagreba 7/09);</w:t>
      </w:r>
    </w:p>
    <w:p w14:paraId="4E2AC7F0"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"Ferenščica - zapad" (Službeni glasnik Grada Zagreba 8/09);</w:t>
      </w:r>
    </w:p>
    <w:p w14:paraId="5A45168E"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lastRenderedPageBreak/>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"Prečko - zapad" (Službeni glasnik Grada Zagreba 8/09);</w:t>
      </w:r>
    </w:p>
    <w:p w14:paraId="277F33A8"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"TOZ" (Službeni glasnik Grada Zagreba 23/09);</w:t>
      </w:r>
    </w:p>
    <w:p w14:paraId="55ED875A"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Borovje - sjeverna zona (Službeni glasnik Grada Zagreba 9/10);</w:t>
      </w:r>
    </w:p>
    <w:p w14:paraId="146E60F0" w14:textId="0A24639F"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USA škola (Službeni glasnik Grada Zagreba 4/11</w:t>
      </w:r>
      <w:r w:rsidR="005D175B">
        <w:rPr>
          <w:rFonts w:ascii="Times New Roman" w:hAnsi="Times New Roman" w:cs="Times New Roman"/>
          <w:sz w:val="24"/>
          <w:szCs w:val="24"/>
        </w:rPr>
        <w:t>, 8/22 i 11/22-pročišćeni tekst</w:t>
      </w:r>
      <w:r w:rsidRPr="003E2F12">
        <w:rPr>
          <w:rFonts w:ascii="Times New Roman" w:hAnsi="Times New Roman" w:cs="Times New Roman"/>
          <w:sz w:val="24"/>
          <w:szCs w:val="24"/>
        </w:rPr>
        <w:t>);</w:t>
      </w:r>
    </w:p>
    <w:p w14:paraId="69899779" w14:textId="77777777" w:rsidR="00CE4763" w:rsidRPr="003E2F12" w:rsidRDefault="00CE4763" w:rsidP="00CE4763">
      <w:pPr>
        <w:spacing w:after="0" w:line="240" w:lineRule="auto"/>
        <w:ind w:leftChars="438" w:left="1134" w:right="0" w:hanging="170"/>
        <w:rPr>
          <w:rFonts w:ascii="Times New Roman" w:hAnsi="Times New Roman" w:cs="Times New Roman"/>
          <w:sz w:val="24"/>
          <w:szCs w:val="24"/>
        </w:rPr>
      </w:pPr>
      <w:r w:rsidRPr="003E2F12">
        <w:rPr>
          <w:rFonts w:ascii="Times New Roman" w:hAnsi="Times New Roman" w:cs="Times New Roman"/>
          <w:sz w:val="24"/>
          <w:szCs w:val="24"/>
          <w:u w:color="000000"/>
        </w:rPr>
        <w:t>-</w:t>
      </w:r>
      <w:r w:rsidRPr="003E2F12">
        <w:rPr>
          <w:rFonts w:ascii="Times New Roman" w:hAnsi="Times New Roman" w:cs="Times New Roman"/>
          <w:sz w:val="24"/>
          <w:szCs w:val="24"/>
          <w:u w:color="000000"/>
        </w:rPr>
        <w:tab/>
      </w:r>
      <w:r w:rsidRPr="003E2F12">
        <w:rPr>
          <w:rFonts w:ascii="Times New Roman" w:hAnsi="Times New Roman" w:cs="Times New Roman"/>
          <w:sz w:val="24"/>
          <w:szCs w:val="24"/>
        </w:rPr>
        <w:t>Gospodarske zone Sesvetski Kraljevec - jug (Službeni glasnik Grada Zagreba 15/11);</w:t>
      </w:r>
    </w:p>
    <w:p w14:paraId="5E84F750" w14:textId="77777777" w:rsidR="00CE4763" w:rsidRPr="00CE4763" w:rsidRDefault="00CE4763" w:rsidP="00CE4763">
      <w:pPr>
        <w:spacing w:after="0" w:line="240" w:lineRule="auto"/>
        <w:ind w:leftChars="438" w:left="1134"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Staro Trnje, Savica za zonu Prisavlje - Ulica V. Ruždjaka, planirana Strojarska (Službeni glasnik Grada Zagreba 6/12);</w:t>
      </w:r>
    </w:p>
    <w:p w14:paraId="2E10A9A8" w14:textId="77777777" w:rsidR="00CE4763" w:rsidRPr="00CE4763" w:rsidRDefault="00CE4763" w:rsidP="00CE4763">
      <w:pPr>
        <w:spacing w:after="0" w:line="240" w:lineRule="auto"/>
        <w:ind w:leftChars="438" w:left="1134"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Oporovec - jug (Službeni glasnik Grada Zagreba 13/12);</w:t>
      </w:r>
    </w:p>
    <w:p w14:paraId="50495398" w14:textId="77777777" w:rsidR="00CE4763" w:rsidRPr="00CE4763" w:rsidRDefault="00CE4763" w:rsidP="00CE4763">
      <w:pPr>
        <w:spacing w:after="0" w:line="240" w:lineRule="auto"/>
        <w:ind w:leftChars="438" w:left="1134"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Gospodarske zone "Sesvetski Kraljevec - istok" (Službeni glasnik Grada Zagreba 15/12);</w:t>
      </w:r>
    </w:p>
    <w:p w14:paraId="2818C596" w14:textId="77777777" w:rsidR="00CE4763" w:rsidRPr="00CE4763" w:rsidRDefault="00CE4763" w:rsidP="00CE4763">
      <w:pPr>
        <w:spacing w:after="0" w:line="240" w:lineRule="auto"/>
        <w:ind w:leftChars="438" w:left="1134"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Dubrava - centar (Službeni glasnik Grada Zagreba 6/13);</w:t>
      </w:r>
    </w:p>
    <w:p w14:paraId="5960DD63" w14:textId="17CD49BD" w:rsidR="00CE4763" w:rsidRPr="00CE4763" w:rsidRDefault="00CE4763" w:rsidP="00CE4763">
      <w:pPr>
        <w:spacing w:after="0" w:line="240" w:lineRule="auto"/>
        <w:ind w:leftChars="438" w:left="1134"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Studentski kampus Borongaj (Službeni glasnik Grada Zagreba 9/13</w:t>
      </w:r>
      <w:r w:rsidR="005D175B">
        <w:rPr>
          <w:rFonts w:ascii="Times New Roman" w:hAnsi="Times New Roman" w:cs="Times New Roman"/>
          <w:sz w:val="24"/>
        </w:rPr>
        <w:t>, 14/19 i 17/19-pročišćeni tekst</w:t>
      </w:r>
      <w:r w:rsidRPr="00CE4763">
        <w:rPr>
          <w:rFonts w:ascii="Times New Roman" w:hAnsi="Times New Roman" w:cs="Times New Roman"/>
          <w:sz w:val="24"/>
        </w:rPr>
        <w:t>);</w:t>
      </w:r>
    </w:p>
    <w:p w14:paraId="741A0D42" w14:textId="77777777" w:rsidR="00CE4763" w:rsidRPr="00CE4763" w:rsidRDefault="00CE4763" w:rsidP="00CE4763">
      <w:pPr>
        <w:spacing w:after="0" w:line="240" w:lineRule="auto"/>
        <w:ind w:leftChars="438" w:left="1134"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Martinovka - zona istok (Službeni glasnik Grada Zagreba 17/14);</w:t>
      </w:r>
    </w:p>
    <w:p w14:paraId="267B8534" w14:textId="77777777" w:rsidR="00CE4763" w:rsidRPr="00CE4763" w:rsidRDefault="00CE4763" w:rsidP="00CE4763">
      <w:pPr>
        <w:spacing w:after="0" w:line="240" w:lineRule="auto"/>
        <w:ind w:leftChars="438" w:left="1134"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Radnička - Slavonska avenija (Službeni glasnik Grada Zagreba 5/15);</w:t>
      </w:r>
    </w:p>
    <w:p w14:paraId="6BB1E8D7" w14:textId="77777777" w:rsidR="00CE4763" w:rsidRPr="00CE4763" w:rsidRDefault="00CE4763" w:rsidP="00CE4763">
      <w:pPr>
        <w:spacing w:after="0" w:line="240" w:lineRule="auto"/>
        <w:ind w:leftChars="438" w:left="1134"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groblja Moravče (Službeni glasnik Grada Zagreba 21/16);</w:t>
      </w:r>
    </w:p>
    <w:p w14:paraId="233E6EDA" w14:textId="77777777" w:rsidR="00CE4763" w:rsidRPr="00CE4763" w:rsidRDefault="00CE4763" w:rsidP="00CE4763">
      <w:pPr>
        <w:spacing w:after="0" w:line="240" w:lineRule="auto"/>
        <w:ind w:leftChars="438" w:left="1134" w:right="0" w:hanging="170"/>
        <w:rPr>
          <w:rFonts w:ascii="Times New Roman" w:hAnsi="Times New Roman" w:cs="Times New Roman"/>
          <w:sz w:val="24"/>
        </w:rPr>
      </w:pPr>
      <w:r w:rsidRPr="00CE4763">
        <w:rPr>
          <w:rFonts w:ascii="Times New Roman" w:hAnsi="Times New Roman" w:cs="Times New Roman"/>
          <w:sz w:val="24"/>
        </w:rPr>
        <w:t>-</w:t>
      </w:r>
      <w:r w:rsidRPr="00CE4763">
        <w:rPr>
          <w:rFonts w:ascii="Times New Roman" w:hAnsi="Times New Roman" w:cs="Times New Roman"/>
          <w:sz w:val="24"/>
        </w:rPr>
        <w:tab/>
        <w:t>groblja Markovo polje (Službeni glasnik Grada Zagreba 7/17);</w:t>
      </w:r>
    </w:p>
    <w:bookmarkEnd w:id="127"/>
    <w:p w14:paraId="2D2F66A8"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Izvješće o stanju u prostoru Grada Zagreba 2013. - 2016. (Službeni glasnik Grada Zagreba 4/18).</w:t>
      </w:r>
    </w:p>
    <w:p w14:paraId="0E81FD1F"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U postupcima izdavanja lokacijskih i građevinskih dozvola prije svega se primjenjuju:</w:t>
      </w:r>
    </w:p>
    <w:p w14:paraId="2BD849AE" w14:textId="4A55DD88"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 xml:space="preserve">Zakon o prostornom uređenju </w:t>
      </w:r>
      <w:r w:rsidR="005D175B">
        <w:rPr>
          <w:rFonts w:ascii="Times New Roman" w:hAnsi="Times New Roman" w:cs="Times New Roman"/>
          <w:sz w:val="24"/>
        </w:rPr>
        <w:t xml:space="preserve">(Narodne novine 153/13, 65/17, </w:t>
      </w:r>
      <w:r w:rsidRPr="00CE4763">
        <w:rPr>
          <w:rFonts w:ascii="Times New Roman" w:hAnsi="Times New Roman" w:cs="Times New Roman"/>
          <w:sz w:val="24"/>
        </w:rPr>
        <w:t>114/18</w:t>
      </w:r>
      <w:r w:rsidR="005D175B">
        <w:rPr>
          <w:rFonts w:ascii="Times New Roman" w:hAnsi="Times New Roman" w:cs="Times New Roman"/>
          <w:sz w:val="24"/>
        </w:rPr>
        <w:t>, 39/19 i 98/19</w:t>
      </w:r>
      <w:r w:rsidRPr="00CE4763">
        <w:rPr>
          <w:rFonts w:ascii="Times New Roman" w:hAnsi="Times New Roman" w:cs="Times New Roman"/>
          <w:sz w:val="24"/>
        </w:rPr>
        <w:t>),</w:t>
      </w:r>
    </w:p>
    <w:p w14:paraId="238F73A0" w14:textId="5FC494EE"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Zakon o g</w:t>
      </w:r>
      <w:r w:rsidR="005D175B">
        <w:rPr>
          <w:rFonts w:ascii="Times New Roman" w:hAnsi="Times New Roman" w:cs="Times New Roman"/>
          <w:sz w:val="24"/>
        </w:rPr>
        <w:t xml:space="preserve">radnji (Narodne novine 153/13, </w:t>
      </w:r>
      <w:r w:rsidRPr="00CE4763">
        <w:rPr>
          <w:rFonts w:ascii="Times New Roman" w:hAnsi="Times New Roman" w:cs="Times New Roman"/>
          <w:sz w:val="24"/>
        </w:rPr>
        <w:t>20/17</w:t>
      </w:r>
      <w:r w:rsidR="005D175B">
        <w:rPr>
          <w:rFonts w:ascii="Times New Roman" w:hAnsi="Times New Roman" w:cs="Times New Roman"/>
          <w:sz w:val="24"/>
        </w:rPr>
        <w:t>, 39/19 i 125/19</w:t>
      </w:r>
      <w:r w:rsidRPr="00CE4763">
        <w:rPr>
          <w:rFonts w:ascii="Times New Roman" w:hAnsi="Times New Roman" w:cs="Times New Roman"/>
          <w:sz w:val="24"/>
        </w:rPr>
        <w:t>),</w:t>
      </w:r>
    </w:p>
    <w:p w14:paraId="51538BAE"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Zakon o postupanju s nezakonito izgrađenim zgradama (Narodne novine 86/12, 143/13, 65/17 i 14/19),</w:t>
      </w:r>
    </w:p>
    <w:p w14:paraId="0D2261CA"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Zahtjevi zaštite i spašavanja u dokumentima prostornog uređenja te drugi zakoni, posebni propisi i tehnički normativi, ovisno o vrsti zahvata u prostoru.</w:t>
      </w:r>
    </w:p>
    <w:p w14:paraId="7B0E321C"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Osim navedenoga, donesena je Odluka o načinu postupanja na nestabilnim padinama na zemljištu u privatnom vlasništvu (Službeni glasnik Grada Zagreba 21/14) kojom se propisuje postupanje nadležnih gradskih upravnih tijela prilikom pojave nestabilnih padina na zemljištu u privatnom vlasništvu. S ciljem rješavanja problema koji su izravno povezani sa stanjem u prostoru, pokrenut je postupak legalizacije nezakonito izgrađenih građevina provedbom kojeg se rješavaju višedesetljetni problemi povezani s bespravno izgrađenim građevinama. Prostornim planovima su definirane posebno vrijedne poljoprivredne površine, šumska područja, parkovi prirode, područja pogodna za odlaganje neopasnog otpada i komunalnog otpada.</w:t>
      </w:r>
    </w:p>
    <w:p w14:paraId="6AA5510F"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63239413" w14:textId="77777777" w:rsidR="00CE4763" w:rsidRPr="00CE4763" w:rsidRDefault="00CE4763" w:rsidP="00CE4763">
      <w:pPr>
        <w:spacing w:after="0" w:line="240" w:lineRule="auto"/>
        <w:ind w:left="0" w:right="0" w:firstLine="709"/>
        <w:rPr>
          <w:rFonts w:ascii="Times New Roman" w:hAnsi="Times New Roman" w:cs="Times New Roman"/>
          <w:sz w:val="24"/>
          <w:u w:val="single"/>
        </w:rPr>
      </w:pPr>
      <w:r w:rsidRPr="00CE4763">
        <w:rPr>
          <w:rFonts w:ascii="Times New Roman" w:hAnsi="Times New Roman" w:cs="Times New Roman"/>
          <w:sz w:val="24"/>
          <w:u w:val="single"/>
        </w:rPr>
        <w:t>Zaključak</w:t>
      </w:r>
    </w:p>
    <w:p w14:paraId="66F47EC2"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 xml:space="preserve">Iznimno je važno da građevine ne budu izgrađene u području gdje ih se ne može štititi (primjerice u inundacijskom području, u području aktivnih klizišta i slično) te da imaju odgovarajuću otpornost na prisutne prijetnje. Također je važno da se postojeći prirodni resursi i okoliš ne devastiraju. Uz prostorne, urbanističke i detaljne planove uređenja donesena je i odluka o načinu postupanja u specifičnim situacijama poput pojave klizišta a pokrenut je i Projekt kompleksnih geotehničkih i seizmičkih istraživanja za potrebe planiranja i gradnje na području Grada Zagreba. Na temelju navedenoga razina spremnosti ove kategorije procijenjena je </w:t>
      </w:r>
      <w:r w:rsidRPr="00CE4763">
        <w:rPr>
          <w:rFonts w:ascii="Times New Roman" w:hAnsi="Times New Roman" w:cs="Times New Roman"/>
          <w:sz w:val="24"/>
          <w:u w:val="single" w:color="000000"/>
        </w:rPr>
        <w:t>visokom</w:t>
      </w:r>
      <w:r w:rsidRPr="00CE4763">
        <w:rPr>
          <w:rFonts w:ascii="Times New Roman" w:hAnsi="Times New Roman" w:cs="Times New Roman"/>
          <w:sz w:val="24"/>
        </w:rPr>
        <w:t>.</w:t>
      </w:r>
    </w:p>
    <w:p w14:paraId="4CAFBADB" w14:textId="1794C8F4" w:rsidR="00CE4763" w:rsidRDefault="00CE4763" w:rsidP="00CE4763">
      <w:pPr>
        <w:spacing w:after="0" w:line="240" w:lineRule="auto"/>
        <w:ind w:left="0" w:right="0" w:firstLine="0"/>
        <w:jc w:val="left"/>
        <w:rPr>
          <w:rFonts w:ascii="Times New Roman" w:hAnsi="Times New Roman" w:cs="Times New Roman"/>
          <w:sz w:val="24"/>
        </w:rPr>
      </w:pPr>
    </w:p>
    <w:p w14:paraId="41EDE8BF" w14:textId="5D926E28" w:rsidR="005D175B" w:rsidRDefault="005D175B" w:rsidP="00CE4763">
      <w:pPr>
        <w:spacing w:after="0" w:line="240" w:lineRule="auto"/>
        <w:ind w:left="0" w:right="0" w:firstLine="0"/>
        <w:jc w:val="left"/>
        <w:rPr>
          <w:rFonts w:ascii="Times New Roman" w:hAnsi="Times New Roman" w:cs="Times New Roman"/>
          <w:sz w:val="24"/>
        </w:rPr>
      </w:pPr>
    </w:p>
    <w:p w14:paraId="5598EF30" w14:textId="07BBC567" w:rsidR="005D175B" w:rsidRDefault="005D175B" w:rsidP="00CE4763">
      <w:pPr>
        <w:spacing w:after="0" w:line="240" w:lineRule="auto"/>
        <w:ind w:left="0" w:right="0" w:firstLine="0"/>
        <w:jc w:val="left"/>
        <w:rPr>
          <w:rFonts w:ascii="Times New Roman" w:hAnsi="Times New Roman" w:cs="Times New Roman"/>
          <w:sz w:val="24"/>
        </w:rPr>
      </w:pPr>
    </w:p>
    <w:p w14:paraId="4990C55A" w14:textId="77777777" w:rsidR="005D175B" w:rsidRPr="00CE4763" w:rsidRDefault="005D175B" w:rsidP="00CE4763">
      <w:pPr>
        <w:spacing w:after="0" w:line="240" w:lineRule="auto"/>
        <w:ind w:left="0" w:right="0" w:firstLine="0"/>
        <w:jc w:val="left"/>
        <w:rPr>
          <w:rFonts w:ascii="Times New Roman" w:hAnsi="Times New Roman" w:cs="Times New Roman"/>
          <w:sz w:val="24"/>
        </w:rPr>
      </w:pPr>
    </w:p>
    <w:p w14:paraId="0CA0505C" w14:textId="77777777" w:rsidR="00CE4763" w:rsidRPr="00CE4763" w:rsidRDefault="00CE4763" w:rsidP="00CE4763">
      <w:pPr>
        <w:spacing w:after="0" w:line="240" w:lineRule="auto"/>
        <w:ind w:left="0" w:right="0" w:firstLine="709"/>
        <w:rPr>
          <w:rFonts w:ascii="Times New Roman" w:hAnsi="Times New Roman" w:cs="Times New Roman"/>
          <w:b/>
          <w:color w:val="auto"/>
          <w:sz w:val="24"/>
        </w:rPr>
      </w:pPr>
      <w:bookmarkStart w:id="128" w:name="_Toc2938632"/>
      <w:r w:rsidRPr="00CE4763">
        <w:rPr>
          <w:rFonts w:ascii="Times New Roman" w:hAnsi="Times New Roman" w:cs="Times New Roman"/>
          <w:b/>
          <w:color w:val="auto"/>
          <w:sz w:val="24"/>
        </w:rPr>
        <w:lastRenderedPageBreak/>
        <w:t>5) Ocjena fiskalne situacije i njezine perspektive</w:t>
      </w:r>
      <w:bookmarkEnd w:id="128"/>
    </w:p>
    <w:p w14:paraId="7D378301"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Proračun Grada Zagreba za 2022. iznosi </w:t>
      </w:r>
      <w:r w:rsidRPr="00CE4763">
        <w:rPr>
          <w:rFonts w:ascii="Times New Roman" w:hAnsi="Times New Roman" w:cs="Times New Roman"/>
          <w:b/>
          <w:color w:val="auto"/>
          <w:sz w:val="24"/>
        </w:rPr>
        <w:t>15.126.911.800 kuna</w:t>
      </w:r>
      <w:r w:rsidRPr="00CE4763">
        <w:rPr>
          <w:rFonts w:ascii="Times New Roman" w:hAnsi="Times New Roman" w:cs="Times New Roman"/>
          <w:color w:val="auto"/>
          <w:sz w:val="24"/>
        </w:rPr>
        <w:t>. Predviđena sredstva iz Proračuna Grada Zagreba za sustav civilne zaštite u 2018. iznosila su 123.781.000,00 kn od čega se izdvaja:</w:t>
      </w:r>
    </w:p>
    <w:p w14:paraId="55A9B64C" w14:textId="77777777" w:rsidR="00CE4763" w:rsidRPr="00CE4763" w:rsidRDefault="00CE4763" w:rsidP="00CE4763">
      <w:pPr>
        <w:spacing w:after="0" w:line="240" w:lineRule="auto"/>
        <w:ind w:left="0" w:right="0" w:firstLine="709"/>
        <w:rPr>
          <w:rFonts w:ascii="Times New Roman" w:hAnsi="Times New Roman" w:cs="Times New Roman"/>
          <w:color w:val="auto"/>
          <w:sz w:val="24"/>
          <w:u w:color="000000"/>
        </w:rPr>
      </w:pPr>
      <w:r w:rsidRPr="00CE4763">
        <w:rPr>
          <w:rFonts w:ascii="Times New Roman" w:hAnsi="Times New Roman" w:cs="Times New Roman"/>
          <w:color w:val="auto"/>
          <w:sz w:val="24"/>
          <w:u w:color="000000"/>
        </w:rPr>
        <w:t>- za razvoj sustava civilne zaštite Grada Zagreba 980.000,00 kn,</w:t>
      </w:r>
    </w:p>
    <w:p w14:paraId="6AC3620A" w14:textId="77777777" w:rsidR="00CE4763" w:rsidRPr="00CE4763" w:rsidRDefault="00CE4763" w:rsidP="00CE4763">
      <w:pPr>
        <w:spacing w:after="0" w:line="240" w:lineRule="auto"/>
        <w:ind w:left="0" w:right="0" w:firstLine="709"/>
        <w:rPr>
          <w:rFonts w:ascii="Times New Roman" w:hAnsi="Times New Roman" w:cs="Times New Roman"/>
          <w:color w:val="auto"/>
          <w:sz w:val="24"/>
          <w:u w:color="000000"/>
        </w:rPr>
      </w:pPr>
      <w:r w:rsidRPr="00CE4763">
        <w:rPr>
          <w:rFonts w:ascii="Times New Roman" w:hAnsi="Times New Roman" w:cs="Times New Roman"/>
          <w:color w:val="auto"/>
          <w:sz w:val="24"/>
          <w:u w:color="000000"/>
        </w:rPr>
        <w:t>- za Vatrogasnu zajednicu Grada Zagreba 14.088.000,00 kn,</w:t>
      </w:r>
    </w:p>
    <w:p w14:paraId="64951111" w14:textId="77777777" w:rsidR="00CE4763" w:rsidRPr="00CE4763" w:rsidRDefault="00CE4763" w:rsidP="00CE4763">
      <w:pPr>
        <w:spacing w:after="0" w:line="240" w:lineRule="auto"/>
        <w:ind w:left="0" w:right="0" w:firstLine="709"/>
        <w:rPr>
          <w:rFonts w:ascii="Times New Roman" w:hAnsi="Times New Roman" w:cs="Times New Roman"/>
          <w:color w:val="auto"/>
          <w:sz w:val="24"/>
          <w:u w:color="000000"/>
        </w:rPr>
      </w:pPr>
      <w:r w:rsidRPr="00CE4763">
        <w:rPr>
          <w:rFonts w:ascii="Times New Roman" w:hAnsi="Times New Roman" w:cs="Times New Roman"/>
          <w:color w:val="auto"/>
          <w:sz w:val="24"/>
          <w:u w:color="000000"/>
        </w:rPr>
        <w:t>- za Gorsku službu spašavanja 710.000,00 kn,</w:t>
      </w:r>
    </w:p>
    <w:p w14:paraId="45BCA78C" w14:textId="77777777" w:rsidR="00CE4763" w:rsidRPr="00CE4763" w:rsidRDefault="00CE4763" w:rsidP="00CE4763">
      <w:pPr>
        <w:spacing w:after="0" w:line="240" w:lineRule="auto"/>
        <w:ind w:left="0" w:right="0" w:firstLine="709"/>
        <w:rPr>
          <w:rFonts w:ascii="Times New Roman" w:hAnsi="Times New Roman" w:cs="Times New Roman"/>
          <w:color w:val="auto"/>
          <w:sz w:val="24"/>
          <w:u w:color="000000"/>
        </w:rPr>
      </w:pPr>
      <w:r w:rsidRPr="00CE4763">
        <w:rPr>
          <w:rFonts w:ascii="Times New Roman" w:hAnsi="Times New Roman" w:cs="Times New Roman"/>
          <w:color w:val="auto"/>
          <w:sz w:val="24"/>
          <w:u w:color="000000"/>
        </w:rPr>
        <w:t>- za Gradsko društvo Crvenog križa Zagreb 9.500.000,00 kn,</w:t>
      </w:r>
    </w:p>
    <w:p w14:paraId="71746EB0" w14:textId="77777777" w:rsidR="00CE4763" w:rsidRPr="00CE4763" w:rsidRDefault="00CE4763" w:rsidP="00CE4763">
      <w:pPr>
        <w:spacing w:after="0" w:line="240" w:lineRule="auto"/>
        <w:ind w:left="0" w:right="0" w:firstLine="709"/>
        <w:rPr>
          <w:rFonts w:ascii="Times New Roman" w:hAnsi="Times New Roman" w:cs="Times New Roman"/>
          <w:color w:val="auto"/>
          <w:sz w:val="24"/>
          <w:u w:color="000000"/>
        </w:rPr>
      </w:pPr>
      <w:r w:rsidRPr="00CE4763">
        <w:rPr>
          <w:rFonts w:ascii="Times New Roman" w:hAnsi="Times New Roman" w:cs="Times New Roman"/>
          <w:color w:val="auto"/>
          <w:sz w:val="24"/>
          <w:u w:color="000000"/>
        </w:rPr>
        <w:t xml:space="preserve">- za Javnu vatrogasnu postrojbu Grada Zagreba 93.430.000,00 kn. </w:t>
      </w:r>
    </w:p>
    <w:p w14:paraId="03469E2A" w14:textId="784D07AB" w:rsidR="00CE4763" w:rsidRDefault="00CE4763" w:rsidP="000C12EC">
      <w:pPr>
        <w:spacing w:after="0" w:line="240" w:lineRule="auto"/>
        <w:ind w:left="0" w:right="0" w:firstLine="709"/>
        <w:rPr>
          <w:rFonts w:ascii="Times New Roman" w:hAnsi="Times New Roman" w:cs="Times New Roman"/>
          <w:color w:val="auto"/>
          <w:sz w:val="24"/>
        </w:rPr>
      </w:pPr>
      <w:r w:rsidRPr="001967E9">
        <w:rPr>
          <w:rFonts w:ascii="Times New Roman" w:hAnsi="Times New Roman" w:cs="Times New Roman"/>
          <w:color w:val="auto"/>
          <w:sz w:val="24"/>
        </w:rPr>
        <w:t xml:space="preserve">U Tablici </w:t>
      </w:r>
      <w:r w:rsidR="001967E9" w:rsidRPr="001967E9">
        <w:rPr>
          <w:rFonts w:ascii="Times New Roman" w:hAnsi="Times New Roman" w:cs="Times New Roman"/>
          <w:color w:val="auto"/>
          <w:sz w:val="24"/>
        </w:rPr>
        <w:t>134</w:t>
      </w:r>
      <w:r w:rsidRPr="001967E9">
        <w:rPr>
          <w:rFonts w:ascii="Times New Roman" w:hAnsi="Times New Roman" w:cs="Times New Roman"/>
          <w:color w:val="auto"/>
          <w:sz w:val="24"/>
        </w:rPr>
        <w:t xml:space="preserve">. prikazane su orijentacijske vrijednosti, odnosno planirana sredstva za </w:t>
      </w:r>
      <w:r w:rsidRPr="00CE4763">
        <w:rPr>
          <w:rFonts w:ascii="Times New Roman" w:hAnsi="Times New Roman" w:cs="Times New Roman"/>
          <w:color w:val="auto"/>
          <w:sz w:val="24"/>
        </w:rPr>
        <w:t>trogodišnje razdoblje financiranja sustava civilne zaštite na temelju Proračuna Grada Zagreba za 2022. te Projekcije Proračuna Grada Zagreba za 2023. i 2024. godinu.</w:t>
      </w:r>
    </w:p>
    <w:p w14:paraId="48D15C5B" w14:textId="77777777" w:rsidR="000C12EC" w:rsidRPr="000C12EC" w:rsidRDefault="000C12EC" w:rsidP="008A65DF">
      <w:pPr>
        <w:spacing w:after="0" w:line="240" w:lineRule="auto"/>
        <w:ind w:left="0" w:right="0" w:firstLine="0"/>
        <w:rPr>
          <w:rFonts w:ascii="Times New Roman" w:hAnsi="Times New Roman" w:cs="Times New Roman"/>
          <w:color w:val="auto"/>
          <w:sz w:val="24"/>
        </w:rPr>
      </w:pPr>
    </w:p>
    <w:p w14:paraId="472E6508" w14:textId="2A531309" w:rsidR="00CE4763" w:rsidRPr="001967E9" w:rsidRDefault="00CE4763" w:rsidP="00CE4763">
      <w:pPr>
        <w:spacing w:after="0" w:line="240" w:lineRule="auto"/>
        <w:ind w:left="0" w:right="0" w:firstLine="0"/>
        <w:jc w:val="center"/>
        <w:rPr>
          <w:rFonts w:ascii="Times New Roman" w:hAnsi="Times New Roman" w:cs="Times New Roman"/>
          <w:b/>
          <w:color w:val="auto"/>
          <w:sz w:val="24"/>
        </w:rPr>
      </w:pPr>
      <w:bookmarkStart w:id="129" w:name="_Toc2938633"/>
      <w:r w:rsidRPr="001967E9">
        <w:rPr>
          <w:rFonts w:ascii="Times New Roman" w:hAnsi="Times New Roman" w:cs="Times New Roman"/>
          <w:b/>
          <w:color w:val="auto"/>
          <w:sz w:val="24"/>
        </w:rPr>
        <w:t xml:space="preserve">Tablica </w:t>
      </w:r>
      <w:r w:rsidR="001967E9" w:rsidRPr="001967E9">
        <w:rPr>
          <w:rFonts w:ascii="Times New Roman" w:hAnsi="Times New Roman" w:cs="Times New Roman"/>
          <w:b/>
          <w:color w:val="auto"/>
          <w:sz w:val="24"/>
        </w:rPr>
        <w:t>134</w:t>
      </w:r>
      <w:r w:rsidRPr="001967E9">
        <w:rPr>
          <w:rFonts w:ascii="Times New Roman" w:hAnsi="Times New Roman" w:cs="Times New Roman"/>
          <w:b/>
          <w:color w:val="auto"/>
          <w:sz w:val="24"/>
        </w:rPr>
        <w:t>. Planirano financiranje sustava civilne zaštite po pozicijama</w:t>
      </w:r>
      <w:bookmarkEnd w:id="129"/>
      <w:r w:rsidRPr="001967E9">
        <w:rPr>
          <w:rFonts w:ascii="Times New Roman" w:hAnsi="Times New Roman" w:cs="Times New Roman"/>
          <w:b/>
          <w:color w:val="auto"/>
          <w:sz w:val="24"/>
        </w:rPr>
        <w:t xml:space="preserve"> </w:t>
      </w:r>
    </w:p>
    <w:p w14:paraId="59E6D174" w14:textId="77777777" w:rsidR="00CE4763" w:rsidRPr="00CE4763" w:rsidRDefault="00CE4763" w:rsidP="00CE4763">
      <w:pPr>
        <w:spacing w:after="0" w:line="240" w:lineRule="auto"/>
        <w:ind w:left="0" w:right="0" w:firstLine="0"/>
        <w:rPr>
          <w:rFonts w:ascii="Times New Roman" w:hAnsi="Times New Roman" w:cs="Times New Roman"/>
          <w:color w:val="auto"/>
          <w:sz w:val="24"/>
        </w:rPr>
      </w:pPr>
    </w:p>
    <w:tbl>
      <w:tblPr>
        <w:tblStyle w:val="TableGrid"/>
        <w:tblpPr w:leftFromText="180" w:rightFromText="180" w:vertAnchor="text" w:tblpY="1"/>
        <w:tblOverlap w:val="never"/>
        <w:tblW w:w="8998" w:type="dxa"/>
        <w:tblInd w:w="0" w:type="dxa"/>
        <w:tblLayout w:type="fixed"/>
        <w:tblCellMar>
          <w:left w:w="60" w:type="dxa"/>
          <w:right w:w="57" w:type="dxa"/>
        </w:tblCellMar>
        <w:tblLook w:val="04A0" w:firstRow="1" w:lastRow="0" w:firstColumn="1" w:lastColumn="0" w:noHBand="0" w:noVBand="1"/>
      </w:tblPr>
      <w:tblGrid>
        <w:gridCol w:w="3979"/>
        <w:gridCol w:w="1544"/>
        <w:gridCol w:w="1719"/>
        <w:gridCol w:w="1756"/>
      </w:tblGrid>
      <w:tr w:rsidR="00CE4763" w:rsidRPr="00CE4763" w14:paraId="5614E581" w14:textId="77777777" w:rsidTr="00284074">
        <w:trPr>
          <w:cantSplit/>
          <w:trHeight w:val="567"/>
          <w:tblHeader/>
        </w:trPr>
        <w:tc>
          <w:tcPr>
            <w:tcW w:w="397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6FE2F0D" w14:textId="77777777" w:rsidR="00CE4763" w:rsidRPr="00CE4763" w:rsidRDefault="00CE4763" w:rsidP="00CE4763">
            <w:pPr>
              <w:spacing w:after="0" w:line="240" w:lineRule="auto"/>
              <w:ind w:left="0" w:right="0" w:firstLine="0"/>
              <w:jc w:val="center"/>
              <w:rPr>
                <w:rFonts w:ascii="Times New Roman" w:hAnsi="Times New Roman" w:cs="Times New Roman"/>
                <w:color w:val="auto"/>
              </w:rPr>
            </w:pPr>
            <w:r w:rsidRPr="00CE4763">
              <w:rPr>
                <w:rFonts w:ascii="Times New Roman" w:hAnsi="Times New Roman" w:cs="Times New Roman"/>
                <w:b/>
                <w:color w:val="auto"/>
              </w:rPr>
              <w:t>NAZIV AKTIVNOSTI</w:t>
            </w:r>
          </w:p>
        </w:tc>
        <w:tc>
          <w:tcPr>
            <w:tcW w:w="154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05FCC61" w14:textId="77777777" w:rsidR="00CE4763" w:rsidRPr="00CE4763" w:rsidRDefault="00CE4763" w:rsidP="00CE4763">
            <w:pPr>
              <w:spacing w:after="0" w:line="240" w:lineRule="auto"/>
              <w:ind w:left="0" w:right="0" w:firstLine="0"/>
              <w:jc w:val="center"/>
              <w:rPr>
                <w:rFonts w:ascii="Times New Roman" w:hAnsi="Times New Roman" w:cs="Times New Roman"/>
                <w:color w:val="auto"/>
              </w:rPr>
            </w:pPr>
            <w:r w:rsidRPr="00CE4763">
              <w:rPr>
                <w:rFonts w:ascii="Times New Roman" w:hAnsi="Times New Roman" w:cs="Times New Roman"/>
                <w:b/>
                <w:color w:val="auto"/>
              </w:rPr>
              <w:t>PLAN              2022.</w:t>
            </w:r>
          </w:p>
        </w:tc>
        <w:tc>
          <w:tcPr>
            <w:tcW w:w="171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6308A17" w14:textId="77777777" w:rsidR="00CE4763" w:rsidRPr="00CE4763" w:rsidRDefault="00CE4763" w:rsidP="00CE4763">
            <w:pPr>
              <w:spacing w:after="0" w:line="240" w:lineRule="auto"/>
              <w:ind w:left="0" w:right="0" w:firstLine="0"/>
              <w:jc w:val="center"/>
              <w:rPr>
                <w:rFonts w:ascii="Times New Roman" w:hAnsi="Times New Roman" w:cs="Times New Roman"/>
                <w:color w:val="auto"/>
              </w:rPr>
            </w:pPr>
            <w:r w:rsidRPr="00CE4763">
              <w:rPr>
                <w:rFonts w:ascii="Times New Roman" w:hAnsi="Times New Roman" w:cs="Times New Roman"/>
                <w:b/>
                <w:color w:val="auto"/>
              </w:rPr>
              <w:t>PROJEKCIJA 2023.</w:t>
            </w:r>
          </w:p>
        </w:tc>
        <w:tc>
          <w:tcPr>
            <w:tcW w:w="175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F2E80EE" w14:textId="77777777" w:rsidR="00CE4763" w:rsidRPr="00CE4763" w:rsidRDefault="00CE4763" w:rsidP="00CE4763">
            <w:pPr>
              <w:spacing w:after="0" w:line="240" w:lineRule="auto"/>
              <w:ind w:left="0" w:right="0" w:firstLine="0"/>
              <w:jc w:val="center"/>
              <w:rPr>
                <w:rFonts w:ascii="Times New Roman" w:hAnsi="Times New Roman" w:cs="Times New Roman"/>
                <w:color w:val="auto"/>
              </w:rPr>
            </w:pPr>
            <w:r w:rsidRPr="00CE4763">
              <w:rPr>
                <w:rFonts w:ascii="Times New Roman" w:hAnsi="Times New Roman" w:cs="Times New Roman"/>
                <w:b/>
                <w:color w:val="auto"/>
              </w:rPr>
              <w:t>PROJEKCIJA 2024.</w:t>
            </w:r>
          </w:p>
        </w:tc>
      </w:tr>
      <w:tr w:rsidR="00CE4763" w:rsidRPr="00CE4763" w14:paraId="4BE4B5EB" w14:textId="77777777" w:rsidTr="00284074">
        <w:trPr>
          <w:cantSplit/>
          <w:trHeight w:val="534"/>
        </w:trPr>
        <w:tc>
          <w:tcPr>
            <w:tcW w:w="8998" w:type="dxa"/>
            <w:gridSpan w:val="4"/>
            <w:tcBorders>
              <w:top w:val="single" w:sz="8" w:space="0" w:color="000000"/>
              <w:left w:val="single" w:sz="8" w:space="0" w:color="000000"/>
              <w:bottom w:val="single" w:sz="8" w:space="0" w:color="000000"/>
              <w:right w:val="single" w:sz="4" w:space="0" w:color="auto"/>
            </w:tcBorders>
            <w:shd w:val="clear" w:color="auto" w:fill="auto"/>
            <w:vAlign w:val="center"/>
          </w:tcPr>
          <w:p w14:paraId="7AB564CB" w14:textId="77777777" w:rsidR="00CE4763" w:rsidRPr="00CE4763" w:rsidRDefault="00CE4763" w:rsidP="00CE4763">
            <w:pPr>
              <w:spacing w:after="0" w:line="259" w:lineRule="auto"/>
              <w:ind w:left="0" w:right="0" w:firstLine="0"/>
              <w:jc w:val="left"/>
              <w:rPr>
                <w:rFonts w:ascii="Times New Roman" w:hAnsi="Times New Roman" w:cs="Times New Roman"/>
                <w:b/>
                <w:color w:val="auto"/>
                <w:sz w:val="20"/>
                <w:szCs w:val="20"/>
              </w:rPr>
            </w:pPr>
            <w:r w:rsidRPr="00CE4763">
              <w:rPr>
                <w:rFonts w:ascii="Times New Roman" w:hAnsi="Times New Roman" w:cs="Times New Roman"/>
                <w:b/>
                <w:color w:val="auto"/>
                <w:sz w:val="20"/>
                <w:szCs w:val="20"/>
              </w:rPr>
              <w:t>Razdjel 005 GRADSKI URED ZA MJESNU SAMOUPRAVU, CIVILNU ZAŠTITU I SIGURNOST</w:t>
            </w:r>
          </w:p>
          <w:p w14:paraId="1BE8C545" w14:textId="77777777" w:rsidR="00CE4763" w:rsidRPr="00CE4763" w:rsidRDefault="00CE4763" w:rsidP="00CE4763">
            <w:pPr>
              <w:spacing w:after="0" w:line="259" w:lineRule="auto"/>
              <w:ind w:left="0" w:right="0" w:firstLine="0"/>
              <w:jc w:val="left"/>
              <w:rPr>
                <w:color w:val="auto"/>
                <w:sz w:val="20"/>
                <w:szCs w:val="20"/>
              </w:rPr>
            </w:pPr>
            <w:r w:rsidRPr="00CE4763">
              <w:rPr>
                <w:rFonts w:ascii="Times New Roman" w:hAnsi="Times New Roman" w:cs="Times New Roman"/>
                <w:b/>
                <w:color w:val="auto"/>
                <w:sz w:val="20"/>
                <w:szCs w:val="20"/>
              </w:rPr>
              <w:t>Glava 00501 GRADSKI URED ZA MJESNU SAMOUPRAVU, CIVILNU ZAŠTITU I SIGURNOST</w:t>
            </w:r>
          </w:p>
        </w:tc>
      </w:tr>
      <w:tr w:rsidR="00CE4763" w:rsidRPr="00CE4763" w14:paraId="17AEE587" w14:textId="77777777" w:rsidTr="00284074">
        <w:trPr>
          <w:cantSplit/>
          <w:trHeight w:val="267"/>
        </w:trPr>
        <w:tc>
          <w:tcPr>
            <w:tcW w:w="8998" w:type="dxa"/>
            <w:gridSpan w:val="4"/>
            <w:tcBorders>
              <w:top w:val="single" w:sz="8" w:space="0" w:color="000000"/>
              <w:left w:val="single" w:sz="8" w:space="0" w:color="000000"/>
              <w:bottom w:val="single" w:sz="8" w:space="0" w:color="000000"/>
              <w:right w:val="single" w:sz="8" w:space="0" w:color="000000"/>
            </w:tcBorders>
            <w:shd w:val="clear" w:color="auto" w:fill="auto"/>
            <w:vAlign w:val="center"/>
          </w:tcPr>
          <w:p w14:paraId="2023C7A6" w14:textId="77777777" w:rsidR="00CE4763" w:rsidRPr="00CE4763" w:rsidRDefault="00CE4763" w:rsidP="00CE4763">
            <w:pPr>
              <w:spacing w:after="0" w:line="240" w:lineRule="auto"/>
              <w:ind w:left="0" w:right="0" w:firstLine="0"/>
              <w:rPr>
                <w:rFonts w:ascii="Times New Roman" w:hAnsi="Times New Roman" w:cs="Times New Roman"/>
                <w:b/>
                <w:color w:val="auto"/>
                <w:sz w:val="20"/>
              </w:rPr>
            </w:pPr>
            <w:r w:rsidRPr="00CE4763">
              <w:rPr>
                <w:rFonts w:ascii="Times New Roman" w:hAnsi="Times New Roman" w:cs="Times New Roman"/>
                <w:b/>
                <w:color w:val="auto"/>
                <w:sz w:val="20"/>
              </w:rPr>
              <w:t>Program 1605 VATROGASNA ZAJEDNICA GRADA ZAGREBA</w:t>
            </w:r>
          </w:p>
        </w:tc>
      </w:tr>
      <w:tr w:rsidR="00CE4763" w:rsidRPr="00CE4763" w14:paraId="5DC4597B" w14:textId="77777777" w:rsidTr="00284074">
        <w:trPr>
          <w:cantSplit/>
          <w:trHeight w:val="768"/>
        </w:trPr>
        <w:tc>
          <w:tcPr>
            <w:tcW w:w="397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BA824B1" w14:textId="77777777" w:rsidR="00CE4763" w:rsidRPr="00CE4763" w:rsidRDefault="00CE4763" w:rsidP="00CE4763">
            <w:pPr>
              <w:spacing w:after="0" w:line="240" w:lineRule="auto"/>
              <w:ind w:left="0" w:right="0" w:firstLine="0"/>
              <w:jc w:val="left"/>
              <w:rPr>
                <w:rFonts w:ascii="Times New Roman" w:hAnsi="Times New Roman" w:cs="Times New Roman"/>
                <w:color w:val="auto"/>
                <w:sz w:val="20"/>
              </w:rPr>
            </w:pPr>
            <w:r w:rsidRPr="00CE4763">
              <w:rPr>
                <w:rFonts w:ascii="Times New Roman" w:hAnsi="Times New Roman" w:cs="Times New Roman"/>
                <w:color w:val="auto"/>
                <w:sz w:val="20"/>
              </w:rPr>
              <w:t>Aktivnost A160501 REDOVNA DJELATNOST VATROGASNE ZAJEDNICE GRADA ZAGREBA</w:t>
            </w:r>
          </w:p>
        </w:tc>
        <w:tc>
          <w:tcPr>
            <w:tcW w:w="1544" w:type="dxa"/>
            <w:tcBorders>
              <w:top w:val="single" w:sz="8" w:space="0" w:color="000000"/>
              <w:left w:val="single" w:sz="8" w:space="0" w:color="000000"/>
              <w:bottom w:val="single" w:sz="8" w:space="0" w:color="000000"/>
              <w:right w:val="single" w:sz="8" w:space="0" w:color="000000"/>
            </w:tcBorders>
            <w:shd w:val="clear" w:color="auto" w:fill="auto"/>
            <w:vAlign w:val="bottom"/>
          </w:tcPr>
          <w:p w14:paraId="6C945A10" w14:textId="77777777" w:rsidR="00CE4763" w:rsidRPr="00CE4763" w:rsidRDefault="00CE4763" w:rsidP="00CE4763">
            <w:pPr>
              <w:spacing w:after="0" w:line="240" w:lineRule="auto"/>
              <w:ind w:left="0" w:right="0" w:firstLine="0"/>
              <w:jc w:val="right"/>
              <w:rPr>
                <w:rFonts w:ascii="Times New Roman" w:hAnsi="Times New Roman" w:cs="Times New Roman"/>
                <w:color w:val="auto"/>
              </w:rPr>
            </w:pPr>
            <w:r w:rsidRPr="00CE4763">
              <w:rPr>
                <w:rFonts w:ascii="Times New Roman" w:hAnsi="Times New Roman" w:cs="Times New Roman"/>
                <w:color w:val="auto"/>
              </w:rPr>
              <w:t>14.088.000,00</w:t>
            </w:r>
          </w:p>
        </w:tc>
        <w:tc>
          <w:tcPr>
            <w:tcW w:w="1719" w:type="dxa"/>
            <w:tcBorders>
              <w:top w:val="single" w:sz="8" w:space="0" w:color="000000"/>
              <w:left w:val="single" w:sz="8" w:space="0" w:color="000000"/>
              <w:bottom w:val="single" w:sz="8" w:space="0" w:color="000000"/>
              <w:right w:val="single" w:sz="8" w:space="0" w:color="000000"/>
            </w:tcBorders>
            <w:shd w:val="clear" w:color="auto" w:fill="auto"/>
            <w:vAlign w:val="bottom"/>
          </w:tcPr>
          <w:p w14:paraId="125007C2" w14:textId="77777777" w:rsidR="00CE4763" w:rsidRPr="00CE4763" w:rsidRDefault="00CE4763" w:rsidP="00CE4763">
            <w:pPr>
              <w:spacing w:after="0" w:line="240" w:lineRule="auto"/>
              <w:ind w:left="0" w:right="0" w:firstLine="0"/>
              <w:jc w:val="right"/>
              <w:rPr>
                <w:rFonts w:ascii="Times New Roman" w:hAnsi="Times New Roman" w:cs="Times New Roman"/>
                <w:color w:val="auto"/>
              </w:rPr>
            </w:pPr>
            <w:r w:rsidRPr="00CE4763">
              <w:rPr>
                <w:rFonts w:ascii="Times New Roman" w:hAnsi="Times New Roman" w:cs="Times New Roman"/>
                <w:color w:val="auto"/>
              </w:rPr>
              <w:t>14.088.000,00</w:t>
            </w:r>
          </w:p>
        </w:tc>
        <w:tc>
          <w:tcPr>
            <w:tcW w:w="1755" w:type="dxa"/>
            <w:tcBorders>
              <w:top w:val="single" w:sz="8" w:space="0" w:color="000000"/>
              <w:left w:val="single" w:sz="8" w:space="0" w:color="000000"/>
              <w:bottom w:val="single" w:sz="8" w:space="0" w:color="000000"/>
              <w:right w:val="single" w:sz="8" w:space="0" w:color="000000"/>
            </w:tcBorders>
            <w:shd w:val="clear" w:color="auto" w:fill="auto"/>
            <w:vAlign w:val="bottom"/>
          </w:tcPr>
          <w:p w14:paraId="23465F57" w14:textId="77777777" w:rsidR="00CE4763" w:rsidRPr="00CE4763" w:rsidRDefault="00CE4763" w:rsidP="00CE4763">
            <w:pPr>
              <w:spacing w:after="0" w:line="240" w:lineRule="auto"/>
              <w:ind w:left="0" w:right="0" w:firstLine="0"/>
              <w:jc w:val="right"/>
              <w:rPr>
                <w:rFonts w:ascii="Times New Roman" w:hAnsi="Times New Roman" w:cs="Times New Roman"/>
                <w:color w:val="auto"/>
              </w:rPr>
            </w:pPr>
            <w:r w:rsidRPr="00CE4763">
              <w:rPr>
                <w:rFonts w:ascii="Times New Roman" w:hAnsi="Times New Roman" w:cs="Times New Roman"/>
                <w:color w:val="auto"/>
              </w:rPr>
              <w:t>14.088.000,00</w:t>
            </w:r>
          </w:p>
        </w:tc>
      </w:tr>
      <w:tr w:rsidR="00CE4763" w:rsidRPr="00CE4763" w14:paraId="1823974D" w14:textId="77777777" w:rsidTr="00284074">
        <w:trPr>
          <w:cantSplit/>
          <w:trHeight w:val="267"/>
        </w:trPr>
        <w:tc>
          <w:tcPr>
            <w:tcW w:w="8998" w:type="dxa"/>
            <w:gridSpan w:val="4"/>
            <w:tcBorders>
              <w:top w:val="single" w:sz="8" w:space="0" w:color="000000"/>
              <w:left w:val="single" w:sz="8" w:space="0" w:color="000000"/>
              <w:bottom w:val="single" w:sz="8" w:space="0" w:color="000000"/>
              <w:right w:val="single" w:sz="8" w:space="0" w:color="000000"/>
            </w:tcBorders>
            <w:shd w:val="clear" w:color="auto" w:fill="auto"/>
            <w:vAlign w:val="center"/>
          </w:tcPr>
          <w:p w14:paraId="50A9AB75" w14:textId="77777777" w:rsidR="00CE4763" w:rsidRPr="00CE4763" w:rsidRDefault="00CE4763" w:rsidP="00CE4763">
            <w:pPr>
              <w:spacing w:after="0" w:line="240" w:lineRule="auto"/>
              <w:ind w:left="0" w:right="0" w:firstLine="0"/>
              <w:rPr>
                <w:rFonts w:ascii="Times New Roman" w:hAnsi="Times New Roman" w:cs="Times New Roman"/>
                <w:b/>
                <w:color w:val="auto"/>
              </w:rPr>
            </w:pPr>
            <w:r w:rsidRPr="00CE4763">
              <w:rPr>
                <w:rFonts w:ascii="Times New Roman" w:hAnsi="Times New Roman" w:cs="Times New Roman"/>
                <w:b/>
                <w:color w:val="auto"/>
                <w:sz w:val="20"/>
              </w:rPr>
              <w:t>Program 1705 ZAŠTITA I SPAŠAVANJE ZA GRAD ZAGREB</w:t>
            </w:r>
          </w:p>
        </w:tc>
      </w:tr>
      <w:tr w:rsidR="00CE4763" w:rsidRPr="00CE4763" w14:paraId="6814C6EE" w14:textId="77777777" w:rsidTr="00284074">
        <w:trPr>
          <w:cantSplit/>
          <w:trHeight w:val="517"/>
        </w:trPr>
        <w:tc>
          <w:tcPr>
            <w:tcW w:w="397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87018C0" w14:textId="77777777" w:rsidR="00CE4763" w:rsidRPr="00CE4763" w:rsidRDefault="00CE4763" w:rsidP="00CE4763">
            <w:pPr>
              <w:spacing w:after="0" w:line="240" w:lineRule="auto"/>
              <w:ind w:left="0" w:right="0" w:firstLine="0"/>
              <w:jc w:val="left"/>
              <w:rPr>
                <w:rFonts w:ascii="Times New Roman" w:hAnsi="Times New Roman" w:cs="Times New Roman"/>
                <w:color w:val="auto"/>
              </w:rPr>
            </w:pPr>
            <w:r w:rsidRPr="00CE4763">
              <w:rPr>
                <w:rFonts w:ascii="Times New Roman" w:hAnsi="Times New Roman" w:cs="Times New Roman"/>
                <w:color w:val="auto"/>
                <w:sz w:val="20"/>
              </w:rPr>
              <w:t>Aktivnost A170501GORSKA SLUŽBA SPAŠAVANJA</w:t>
            </w:r>
          </w:p>
        </w:tc>
        <w:tc>
          <w:tcPr>
            <w:tcW w:w="1544" w:type="dxa"/>
            <w:tcBorders>
              <w:top w:val="single" w:sz="8" w:space="0" w:color="000000"/>
              <w:left w:val="single" w:sz="8" w:space="0" w:color="000000"/>
              <w:bottom w:val="single" w:sz="8" w:space="0" w:color="000000"/>
              <w:right w:val="single" w:sz="8" w:space="0" w:color="000000"/>
            </w:tcBorders>
            <w:shd w:val="clear" w:color="auto" w:fill="auto"/>
            <w:vAlign w:val="bottom"/>
          </w:tcPr>
          <w:p w14:paraId="6F7244EE" w14:textId="77777777" w:rsidR="00CE4763" w:rsidRPr="00CE4763" w:rsidRDefault="00CE4763" w:rsidP="00CE4763">
            <w:pPr>
              <w:spacing w:after="0" w:line="240" w:lineRule="auto"/>
              <w:ind w:left="0" w:right="0" w:firstLine="0"/>
              <w:jc w:val="right"/>
              <w:rPr>
                <w:rFonts w:ascii="Times New Roman" w:hAnsi="Times New Roman" w:cs="Times New Roman"/>
                <w:color w:val="auto"/>
              </w:rPr>
            </w:pPr>
            <w:r w:rsidRPr="00CE4763">
              <w:rPr>
                <w:rFonts w:ascii="Times New Roman" w:hAnsi="Times New Roman" w:cs="Times New Roman"/>
                <w:color w:val="auto"/>
              </w:rPr>
              <w:t>710.000,00</w:t>
            </w:r>
          </w:p>
        </w:tc>
        <w:tc>
          <w:tcPr>
            <w:tcW w:w="1719" w:type="dxa"/>
            <w:tcBorders>
              <w:top w:val="single" w:sz="8" w:space="0" w:color="000000"/>
              <w:left w:val="single" w:sz="8" w:space="0" w:color="000000"/>
              <w:bottom w:val="single" w:sz="8" w:space="0" w:color="000000"/>
              <w:right w:val="single" w:sz="8" w:space="0" w:color="000000"/>
            </w:tcBorders>
            <w:shd w:val="clear" w:color="auto" w:fill="auto"/>
            <w:vAlign w:val="bottom"/>
          </w:tcPr>
          <w:p w14:paraId="0DCB4DBC" w14:textId="77777777" w:rsidR="00CE4763" w:rsidRPr="00CE4763" w:rsidRDefault="00CE4763" w:rsidP="00CE4763">
            <w:pPr>
              <w:spacing w:after="0" w:line="240" w:lineRule="auto"/>
              <w:ind w:left="0" w:right="0" w:firstLine="0"/>
              <w:jc w:val="right"/>
              <w:rPr>
                <w:rFonts w:ascii="Times New Roman" w:hAnsi="Times New Roman" w:cs="Times New Roman"/>
                <w:color w:val="auto"/>
              </w:rPr>
            </w:pPr>
            <w:r w:rsidRPr="00CE4763">
              <w:rPr>
                <w:rFonts w:ascii="Times New Roman" w:hAnsi="Times New Roman" w:cs="Times New Roman"/>
                <w:color w:val="auto"/>
              </w:rPr>
              <w:t>710.000,00</w:t>
            </w:r>
          </w:p>
        </w:tc>
        <w:tc>
          <w:tcPr>
            <w:tcW w:w="1755" w:type="dxa"/>
            <w:tcBorders>
              <w:top w:val="single" w:sz="8" w:space="0" w:color="000000"/>
              <w:left w:val="single" w:sz="8" w:space="0" w:color="000000"/>
              <w:bottom w:val="single" w:sz="8" w:space="0" w:color="000000"/>
              <w:right w:val="single" w:sz="8" w:space="0" w:color="000000"/>
            </w:tcBorders>
            <w:shd w:val="clear" w:color="auto" w:fill="auto"/>
            <w:vAlign w:val="bottom"/>
          </w:tcPr>
          <w:p w14:paraId="4B71CEBB" w14:textId="77777777" w:rsidR="00CE4763" w:rsidRPr="00CE4763" w:rsidRDefault="00CE4763" w:rsidP="00CE4763">
            <w:pPr>
              <w:spacing w:after="0" w:line="240" w:lineRule="auto"/>
              <w:ind w:left="0" w:right="0" w:firstLine="0"/>
              <w:jc w:val="right"/>
              <w:rPr>
                <w:rFonts w:ascii="Times New Roman" w:hAnsi="Times New Roman" w:cs="Times New Roman"/>
                <w:color w:val="auto"/>
              </w:rPr>
            </w:pPr>
            <w:r w:rsidRPr="00CE4763">
              <w:rPr>
                <w:rFonts w:ascii="Times New Roman" w:hAnsi="Times New Roman" w:cs="Times New Roman"/>
                <w:color w:val="auto"/>
              </w:rPr>
              <w:t>710.000,00</w:t>
            </w:r>
          </w:p>
        </w:tc>
      </w:tr>
      <w:tr w:rsidR="00CE4763" w:rsidRPr="00CE4763" w14:paraId="063E45EE" w14:textId="77777777" w:rsidTr="00284074">
        <w:trPr>
          <w:cantSplit/>
          <w:trHeight w:val="768"/>
        </w:trPr>
        <w:tc>
          <w:tcPr>
            <w:tcW w:w="397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02080FD" w14:textId="77777777" w:rsidR="00CE4763" w:rsidRPr="00CE4763" w:rsidRDefault="00CE4763" w:rsidP="00CE4763">
            <w:pPr>
              <w:spacing w:after="0" w:line="240" w:lineRule="auto"/>
              <w:ind w:left="0" w:right="0" w:firstLine="0"/>
              <w:jc w:val="left"/>
              <w:rPr>
                <w:rFonts w:ascii="Times New Roman" w:hAnsi="Times New Roman" w:cs="Times New Roman"/>
                <w:color w:val="auto"/>
              </w:rPr>
            </w:pPr>
            <w:r w:rsidRPr="00CE4763">
              <w:rPr>
                <w:rFonts w:ascii="Times New Roman" w:hAnsi="Times New Roman" w:cs="Times New Roman"/>
                <w:color w:val="auto"/>
                <w:sz w:val="20"/>
              </w:rPr>
              <w:t>Aktivnost A170503 SUDJELOVANJE UDRUGA U SUSTAVU ZAŠTITE I SPAŠAVANJA</w:t>
            </w:r>
          </w:p>
        </w:tc>
        <w:tc>
          <w:tcPr>
            <w:tcW w:w="1544" w:type="dxa"/>
            <w:tcBorders>
              <w:top w:val="single" w:sz="8" w:space="0" w:color="000000"/>
              <w:left w:val="single" w:sz="8" w:space="0" w:color="000000"/>
              <w:bottom w:val="single" w:sz="8" w:space="0" w:color="000000"/>
              <w:right w:val="single" w:sz="8" w:space="0" w:color="000000"/>
            </w:tcBorders>
            <w:shd w:val="clear" w:color="auto" w:fill="auto"/>
            <w:vAlign w:val="bottom"/>
          </w:tcPr>
          <w:p w14:paraId="7A012C4B" w14:textId="77777777" w:rsidR="00CE4763" w:rsidRPr="00CE4763" w:rsidRDefault="00CE4763" w:rsidP="00CE4763">
            <w:pPr>
              <w:spacing w:after="0" w:line="240" w:lineRule="auto"/>
              <w:ind w:left="0" w:right="0" w:firstLine="0"/>
              <w:jc w:val="right"/>
              <w:rPr>
                <w:rFonts w:ascii="Times New Roman" w:hAnsi="Times New Roman" w:cs="Times New Roman"/>
                <w:color w:val="auto"/>
              </w:rPr>
            </w:pPr>
            <w:r w:rsidRPr="00CE4763">
              <w:rPr>
                <w:rFonts w:ascii="Times New Roman" w:hAnsi="Times New Roman" w:cs="Times New Roman"/>
                <w:color w:val="auto"/>
              </w:rPr>
              <w:t>100.000,00</w:t>
            </w:r>
          </w:p>
        </w:tc>
        <w:tc>
          <w:tcPr>
            <w:tcW w:w="1719" w:type="dxa"/>
            <w:tcBorders>
              <w:top w:val="single" w:sz="8" w:space="0" w:color="000000"/>
              <w:left w:val="single" w:sz="8" w:space="0" w:color="000000"/>
              <w:bottom w:val="single" w:sz="8" w:space="0" w:color="000000"/>
              <w:right w:val="single" w:sz="8" w:space="0" w:color="000000"/>
            </w:tcBorders>
            <w:shd w:val="clear" w:color="auto" w:fill="auto"/>
            <w:vAlign w:val="bottom"/>
          </w:tcPr>
          <w:p w14:paraId="1A0D36E8" w14:textId="77777777" w:rsidR="00CE4763" w:rsidRPr="00CE4763" w:rsidRDefault="00CE4763" w:rsidP="00CE4763">
            <w:pPr>
              <w:spacing w:after="0" w:line="240" w:lineRule="auto"/>
              <w:ind w:left="0" w:right="0" w:firstLine="0"/>
              <w:jc w:val="right"/>
              <w:rPr>
                <w:rFonts w:ascii="Times New Roman" w:hAnsi="Times New Roman" w:cs="Times New Roman"/>
                <w:color w:val="auto"/>
              </w:rPr>
            </w:pPr>
            <w:r w:rsidRPr="00CE4763">
              <w:rPr>
                <w:rFonts w:ascii="Times New Roman" w:hAnsi="Times New Roman" w:cs="Times New Roman"/>
                <w:color w:val="auto"/>
              </w:rPr>
              <w:t>100.000,00</w:t>
            </w:r>
          </w:p>
        </w:tc>
        <w:tc>
          <w:tcPr>
            <w:tcW w:w="1755" w:type="dxa"/>
            <w:tcBorders>
              <w:top w:val="single" w:sz="8" w:space="0" w:color="000000"/>
              <w:left w:val="single" w:sz="8" w:space="0" w:color="000000"/>
              <w:bottom w:val="single" w:sz="8" w:space="0" w:color="000000"/>
              <w:right w:val="single" w:sz="8" w:space="0" w:color="000000"/>
            </w:tcBorders>
            <w:shd w:val="clear" w:color="auto" w:fill="auto"/>
            <w:vAlign w:val="bottom"/>
          </w:tcPr>
          <w:p w14:paraId="08001550" w14:textId="77777777" w:rsidR="00CE4763" w:rsidRPr="00CE4763" w:rsidRDefault="00CE4763" w:rsidP="00CE4763">
            <w:pPr>
              <w:spacing w:after="0" w:line="240" w:lineRule="auto"/>
              <w:ind w:left="0" w:right="0" w:firstLine="0"/>
              <w:jc w:val="right"/>
              <w:rPr>
                <w:rFonts w:ascii="Times New Roman" w:hAnsi="Times New Roman" w:cs="Times New Roman"/>
                <w:color w:val="auto"/>
              </w:rPr>
            </w:pPr>
            <w:r w:rsidRPr="00CE4763">
              <w:rPr>
                <w:rFonts w:ascii="Times New Roman" w:hAnsi="Times New Roman" w:cs="Times New Roman"/>
                <w:color w:val="auto"/>
              </w:rPr>
              <w:t>100.000,00</w:t>
            </w:r>
          </w:p>
        </w:tc>
      </w:tr>
      <w:tr w:rsidR="00CE4763" w:rsidRPr="00CE4763" w14:paraId="08D05E45" w14:textId="77777777" w:rsidTr="00284074">
        <w:trPr>
          <w:cantSplit/>
          <w:trHeight w:val="517"/>
        </w:trPr>
        <w:tc>
          <w:tcPr>
            <w:tcW w:w="397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E0D60DA" w14:textId="77777777" w:rsidR="00CE4763" w:rsidRPr="00CE4763" w:rsidRDefault="00CE4763" w:rsidP="00CE4763">
            <w:pPr>
              <w:spacing w:after="0" w:line="240" w:lineRule="auto"/>
              <w:ind w:left="0" w:right="0" w:firstLine="0"/>
              <w:jc w:val="left"/>
              <w:rPr>
                <w:rFonts w:ascii="Times New Roman" w:hAnsi="Times New Roman" w:cs="Times New Roman"/>
                <w:color w:val="auto"/>
                <w:sz w:val="20"/>
              </w:rPr>
            </w:pPr>
            <w:r w:rsidRPr="00CE4763">
              <w:rPr>
                <w:rFonts w:ascii="Times New Roman" w:hAnsi="Times New Roman" w:cs="Times New Roman"/>
                <w:color w:val="auto"/>
                <w:sz w:val="20"/>
              </w:rPr>
              <w:t>Aktivnost A170504 RAZVOJ CIVILNEZAŠTITE GRADA ZAGREBA</w:t>
            </w:r>
          </w:p>
        </w:tc>
        <w:tc>
          <w:tcPr>
            <w:tcW w:w="1544" w:type="dxa"/>
            <w:tcBorders>
              <w:top w:val="single" w:sz="8" w:space="0" w:color="000000"/>
              <w:left w:val="single" w:sz="8" w:space="0" w:color="000000"/>
              <w:bottom w:val="single" w:sz="8" w:space="0" w:color="000000"/>
              <w:right w:val="single" w:sz="8" w:space="0" w:color="000000"/>
            </w:tcBorders>
            <w:shd w:val="clear" w:color="auto" w:fill="auto"/>
            <w:vAlign w:val="bottom"/>
          </w:tcPr>
          <w:p w14:paraId="0249572D" w14:textId="77777777" w:rsidR="00CE4763" w:rsidRPr="00CE4763" w:rsidRDefault="00CE4763" w:rsidP="00CE4763">
            <w:pPr>
              <w:spacing w:after="0" w:line="240" w:lineRule="auto"/>
              <w:ind w:left="0" w:right="0" w:firstLine="0"/>
              <w:jc w:val="right"/>
              <w:rPr>
                <w:rFonts w:ascii="Times New Roman" w:hAnsi="Times New Roman" w:cs="Times New Roman"/>
                <w:color w:val="auto"/>
              </w:rPr>
            </w:pPr>
            <w:r w:rsidRPr="00CE4763">
              <w:rPr>
                <w:rFonts w:ascii="Times New Roman" w:hAnsi="Times New Roman" w:cs="Times New Roman"/>
                <w:color w:val="auto"/>
              </w:rPr>
              <w:t>980.000,00</w:t>
            </w:r>
          </w:p>
        </w:tc>
        <w:tc>
          <w:tcPr>
            <w:tcW w:w="1719" w:type="dxa"/>
            <w:tcBorders>
              <w:top w:val="single" w:sz="8" w:space="0" w:color="000000"/>
              <w:left w:val="single" w:sz="8" w:space="0" w:color="000000"/>
              <w:bottom w:val="single" w:sz="8" w:space="0" w:color="000000"/>
              <w:right w:val="single" w:sz="8" w:space="0" w:color="000000"/>
            </w:tcBorders>
            <w:shd w:val="clear" w:color="auto" w:fill="auto"/>
            <w:vAlign w:val="bottom"/>
          </w:tcPr>
          <w:p w14:paraId="52A213DE" w14:textId="77777777" w:rsidR="00CE4763" w:rsidRPr="00CE4763" w:rsidRDefault="00CE4763" w:rsidP="00CE4763">
            <w:pPr>
              <w:spacing w:after="0" w:line="240" w:lineRule="auto"/>
              <w:ind w:left="0" w:right="0" w:firstLine="0"/>
              <w:jc w:val="right"/>
              <w:rPr>
                <w:rFonts w:ascii="Times New Roman" w:hAnsi="Times New Roman" w:cs="Times New Roman"/>
                <w:color w:val="auto"/>
              </w:rPr>
            </w:pPr>
            <w:r w:rsidRPr="00CE4763">
              <w:rPr>
                <w:rFonts w:ascii="Times New Roman" w:hAnsi="Times New Roman" w:cs="Times New Roman"/>
                <w:color w:val="auto"/>
              </w:rPr>
              <w:t>1.130.000,00</w:t>
            </w:r>
          </w:p>
        </w:tc>
        <w:tc>
          <w:tcPr>
            <w:tcW w:w="1755" w:type="dxa"/>
            <w:tcBorders>
              <w:top w:val="single" w:sz="8" w:space="0" w:color="000000"/>
              <w:left w:val="single" w:sz="8" w:space="0" w:color="000000"/>
              <w:bottom w:val="single" w:sz="8" w:space="0" w:color="000000"/>
              <w:right w:val="single" w:sz="8" w:space="0" w:color="000000"/>
            </w:tcBorders>
            <w:shd w:val="clear" w:color="auto" w:fill="auto"/>
            <w:vAlign w:val="bottom"/>
          </w:tcPr>
          <w:p w14:paraId="2EE1002C" w14:textId="77777777" w:rsidR="00CE4763" w:rsidRPr="00CE4763" w:rsidRDefault="00CE4763" w:rsidP="00CE4763">
            <w:pPr>
              <w:spacing w:after="0" w:line="240" w:lineRule="auto"/>
              <w:ind w:left="0" w:right="0" w:firstLine="0"/>
              <w:jc w:val="right"/>
              <w:rPr>
                <w:rFonts w:ascii="Times New Roman" w:hAnsi="Times New Roman" w:cs="Times New Roman"/>
                <w:color w:val="auto"/>
              </w:rPr>
            </w:pPr>
            <w:r w:rsidRPr="00CE4763">
              <w:rPr>
                <w:rFonts w:ascii="Times New Roman" w:hAnsi="Times New Roman" w:cs="Times New Roman"/>
                <w:color w:val="auto"/>
              </w:rPr>
              <w:t>1.180.000,00</w:t>
            </w:r>
          </w:p>
        </w:tc>
      </w:tr>
      <w:tr w:rsidR="00CE4763" w:rsidRPr="00CE4763" w14:paraId="334787CD" w14:textId="77777777" w:rsidTr="00284074">
        <w:trPr>
          <w:cantSplit/>
          <w:trHeight w:val="517"/>
        </w:trPr>
        <w:tc>
          <w:tcPr>
            <w:tcW w:w="8998" w:type="dxa"/>
            <w:gridSpan w:val="4"/>
            <w:tcBorders>
              <w:top w:val="single" w:sz="8" w:space="0" w:color="000000"/>
              <w:left w:val="single" w:sz="8" w:space="0" w:color="000000"/>
              <w:bottom w:val="single" w:sz="8" w:space="0" w:color="000000"/>
              <w:right w:val="single" w:sz="8" w:space="0" w:color="000000"/>
            </w:tcBorders>
            <w:shd w:val="clear" w:color="auto" w:fill="auto"/>
            <w:vAlign w:val="center"/>
          </w:tcPr>
          <w:p w14:paraId="3CBD3F14" w14:textId="77777777" w:rsidR="00CE4763" w:rsidRPr="00CE4763" w:rsidRDefault="00CE4763" w:rsidP="00CE4763">
            <w:pPr>
              <w:spacing w:after="0" w:line="240" w:lineRule="auto"/>
              <w:ind w:left="0" w:right="0" w:firstLine="0"/>
              <w:jc w:val="left"/>
              <w:rPr>
                <w:rFonts w:ascii="Times New Roman" w:hAnsi="Times New Roman" w:cs="Times New Roman"/>
                <w:b/>
                <w:color w:val="auto"/>
                <w:sz w:val="20"/>
                <w:szCs w:val="20"/>
              </w:rPr>
            </w:pPr>
            <w:r w:rsidRPr="00CE4763">
              <w:rPr>
                <w:rFonts w:ascii="Times New Roman" w:hAnsi="Times New Roman" w:cs="Times New Roman"/>
                <w:b/>
                <w:color w:val="auto"/>
                <w:sz w:val="20"/>
                <w:szCs w:val="20"/>
              </w:rPr>
              <w:t>Glava 00503 JAVNA VATROGASNA POSTROJBA</w:t>
            </w:r>
          </w:p>
          <w:p w14:paraId="4329BD14" w14:textId="77777777" w:rsidR="00CE4763" w:rsidRPr="00CE4763" w:rsidRDefault="00CE4763" w:rsidP="00CE4763">
            <w:pPr>
              <w:spacing w:after="0" w:line="240" w:lineRule="auto"/>
              <w:ind w:left="0" w:right="0" w:firstLine="0"/>
              <w:rPr>
                <w:rFonts w:ascii="Times New Roman" w:hAnsi="Times New Roman" w:cs="Times New Roman"/>
                <w:color w:val="auto"/>
              </w:rPr>
            </w:pPr>
            <w:r w:rsidRPr="00CE4763">
              <w:rPr>
                <w:rFonts w:ascii="Times New Roman" w:hAnsi="Times New Roman" w:cs="Times New Roman"/>
                <w:b/>
                <w:color w:val="auto"/>
                <w:sz w:val="20"/>
                <w:szCs w:val="20"/>
              </w:rPr>
              <w:t>Program 2119 JAVNA VATROGASNA POSTROJBA GRADA ZAGREBA</w:t>
            </w:r>
          </w:p>
        </w:tc>
      </w:tr>
      <w:tr w:rsidR="00CE4763" w:rsidRPr="00CE4763" w14:paraId="21D118E4" w14:textId="77777777" w:rsidTr="00284074">
        <w:trPr>
          <w:cantSplit/>
          <w:trHeight w:val="768"/>
        </w:trPr>
        <w:tc>
          <w:tcPr>
            <w:tcW w:w="397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A318DA7" w14:textId="77777777" w:rsidR="00CE4763" w:rsidRPr="00CE4763" w:rsidRDefault="00CE4763" w:rsidP="00CE4763">
            <w:pPr>
              <w:spacing w:after="0" w:line="240" w:lineRule="auto"/>
              <w:ind w:left="0" w:right="0" w:firstLine="0"/>
              <w:jc w:val="left"/>
              <w:rPr>
                <w:rFonts w:ascii="Times New Roman" w:hAnsi="Times New Roman" w:cs="Times New Roman"/>
                <w:color w:val="auto"/>
                <w:sz w:val="20"/>
                <w:szCs w:val="20"/>
              </w:rPr>
            </w:pPr>
            <w:r w:rsidRPr="00CE4763">
              <w:rPr>
                <w:rFonts w:ascii="Times New Roman" w:hAnsi="Times New Roman" w:cs="Times New Roman"/>
                <w:color w:val="auto"/>
                <w:sz w:val="20"/>
                <w:szCs w:val="20"/>
              </w:rPr>
              <w:t>Aktivnost A211901 REDOVNA DJELATNOST PRORAČUNSKIH KORISNIKA</w:t>
            </w:r>
          </w:p>
        </w:tc>
        <w:tc>
          <w:tcPr>
            <w:tcW w:w="1544" w:type="dxa"/>
            <w:tcBorders>
              <w:top w:val="single" w:sz="8" w:space="0" w:color="000000"/>
              <w:left w:val="single" w:sz="8" w:space="0" w:color="000000"/>
              <w:bottom w:val="single" w:sz="8" w:space="0" w:color="000000"/>
              <w:right w:val="single" w:sz="8" w:space="0" w:color="000000"/>
            </w:tcBorders>
            <w:shd w:val="clear" w:color="auto" w:fill="auto"/>
            <w:vAlign w:val="bottom"/>
          </w:tcPr>
          <w:p w14:paraId="3A1412C4" w14:textId="77777777" w:rsidR="00CE4763" w:rsidRPr="00CE4763" w:rsidRDefault="00CE4763" w:rsidP="00CE4763">
            <w:pPr>
              <w:spacing w:after="0" w:line="240" w:lineRule="auto"/>
              <w:ind w:left="0" w:right="0" w:firstLine="0"/>
              <w:jc w:val="right"/>
              <w:rPr>
                <w:rFonts w:ascii="Times New Roman" w:hAnsi="Times New Roman" w:cs="Times New Roman"/>
                <w:color w:val="auto"/>
              </w:rPr>
            </w:pPr>
            <w:r w:rsidRPr="00CE4763">
              <w:rPr>
                <w:rFonts w:ascii="Times New Roman" w:hAnsi="Times New Roman" w:cs="Times New Roman"/>
                <w:color w:val="auto"/>
              </w:rPr>
              <w:t>92.530.000,00</w:t>
            </w:r>
          </w:p>
        </w:tc>
        <w:tc>
          <w:tcPr>
            <w:tcW w:w="1719" w:type="dxa"/>
            <w:tcBorders>
              <w:top w:val="single" w:sz="8" w:space="0" w:color="000000"/>
              <w:left w:val="single" w:sz="8" w:space="0" w:color="000000"/>
              <w:bottom w:val="single" w:sz="8" w:space="0" w:color="000000"/>
              <w:right w:val="single" w:sz="8" w:space="0" w:color="000000"/>
            </w:tcBorders>
            <w:shd w:val="clear" w:color="auto" w:fill="auto"/>
            <w:vAlign w:val="bottom"/>
          </w:tcPr>
          <w:p w14:paraId="2F20AD8A" w14:textId="77777777" w:rsidR="00CE4763" w:rsidRPr="00CE4763" w:rsidRDefault="00CE4763" w:rsidP="00CE4763">
            <w:pPr>
              <w:spacing w:after="0" w:line="240" w:lineRule="auto"/>
              <w:ind w:left="0" w:right="0" w:firstLine="0"/>
              <w:jc w:val="right"/>
              <w:rPr>
                <w:rFonts w:ascii="Times New Roman" w:hAnsi="Times New Roman" w:cs="Times New Roman"/>
                <w:color w:val="auto"/>
              </w:rPr>
            </w:pPr>
            <w:r w:rsidRPr="00CE4763">
              <w:rPr>
                <w:rFonts w:ascii="Times New Roman" w:hAnsi="Times New Roman" w:cs="Times New Roman"/>
                <w:color w:val="auto"/>
              </w:rPr>
              <w:t>92.530.000,00</w:t>
            </w:r>
          </w:p>
        </w:tc>
        <w:tc>
          <w:tcPr>
            <w:tcW w:w="1755" w:type="dxa"/>
            <w:tcBorders>
              <w:top w:val="single" w:sz="8" w:space="0" w:color="000000"/>
              <w:left w:val="single" w:sz="8" w:space="0" w:color="000000"/>
              <w:bottom w:val="single" w:sz="8" w:space="0" w:color="000000"/>
              <w:right w:val="single" w:sz="8" w:space="0" w:color="000000"/>
            </w:tcBorders>
            <w:shd w:val="clear" w:color="auto" w:fill="auto"/>
            <w:vAlign w:val="bottom"/>
          </w:tcPr>
          <w:p w14:paraId="13AE53CA" w14:textId="77777777" w:rsidR="00CE4763" w:rsidRPr="00CE4763" w:rsidRDefault="00CE4763" w:rsidP="00CE4763">
            <w:pPr>
              <w:spacing w:after="0" w:line="240" w:lineRule="auto"/>
              <w:ind w:left="0" w:right="0" w:firstLine="0"/>
              <w:jc w:val="right"/>
              <w:rPr>
                <w:rFonts w:ascii="Times New Roman" w:hAnsi="Times New Roman" w:cs="Times New Roman"/>
                <w:color w:val="auto"/>
              </w:rPr>
            </w:pPr>
            <w:r w:rsidRPr="00CE4763">
              <w:rPr>
                <w:rFonts w:ascii="Times New Roman" w:hAnsi="Times New Roman" w:cs="Times New Roman"/>
                <w:color w:val="auto"/>
              </w:rPr>
              <w:t>92.530.000,00</w:t>
            </w:r>
          </w:p>
        </w:tc>
      </w:tr>
      <w:tr w:rsidR="00CE4763" w:rsidRPr="00CE4763" w14:paraId="75BDB560" w14:textId="77777777" w:rsidTr="00284074">
        <w:trPr>
          <w:cantSplit/>
          <w:trHeight w:val="517"/>
        </w:trPr>
        <w:tc>
          <w:tcPr>
            <w:tcW w:w="397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DB4B89E" w14:textId="77777777" w:rsidR="00CE4763" w:rsidRPr="00CE4763" w:rsidRDefault="00CE4763" w:rsidP="00CE4763">
            <w:pPr>
              <w:spacing w:after="0" w:line="240" w:lineRule="auto"/>
              <w:ind w:left="0" w:right="0" w:firstLine="0"/>
              <w:jc w:val="left"/>
              <w:rPr>
                <w:rFonts w:ascii="Times New Roman" w:hAnsi="Times New Roman" w:cs="Times New Roman"/>
                <w:color w:val="auto"/>
                <w:sz w:val="20"/>
                <w:szCs w:val="20"/>
              </w:rPr>
            </w:pPr>
            <w:r w:rsidRPr="00CE4763">
              <w:rPr>
                <w:rFonts w:ascii="Times New Roman" w:hAnsi="Times New Roman" w:cs="Times New Roman"/>
                <w:color w:val="auto"/>
                <w:sz w:val="20"/>
                <w:szCs w:val="20"/>
              </w:rPr>
              <w:t>Aktivnost A211902 OPREMANJE JAVNE VATROGASNE POSTROJBE</w:t>
            </w:r>
          </w:p>
        </w:tc>
        <w:tc>
          <w:tcPr>
            <w:tcW w:w="1544" w:type="dxa"/>
            <w:tcBorders>
              <w:top w:val="single" w:sz="8" w:space="0" w:color="000000"/>
              <w:left w:val="single" w:sz="8" w:space="0" w:color="000000"/>
              <w:bottom w:val="single" w:sz="8" w:space="0" w:color="000000"/>
              <w:right w:val="single" w:sz="8" w:space="0" w:color="000000"/>
            </w:tcBorders>
            <w:shd w:val="clear" w:color="auto" w:fill="auto"/>
            <w:vAlign w:val="bottom"/>
          </w:tcPr>
          <w:p w14:paraId="491B84C7" w14:textId="77777777" w:rsidR="00CE4763" w:rsidRPr="00CE4763" w:rsidRDefault="00CE4763" w:rsidP="00CE4763">
            <w:pPr>
              <w:spacing w:after="0" w:line="240" w:lineRule="auto"/>
              <w:ind w:left="0" w:right="0" w:firstLine="0"/>
              <w:jc w:val="right"/>
              <w:rPr>
                <w:rFonts w:ascii="Times New Roman" w:hAnsi="Times New Roman" w:cs="Times New Roman"/>
                <w:color w:val="auto"/>
              </w:rPr>
            </w:pPr>
            <w:r w:rsidRPr="00CE4763">
              <w:rPr>
                <w:rFonts w:ascii="Times New Roman" w:hAnsi="Times New Roman" w:cs="Times New Roman"/>
                <w:color w:val="auto"/>
              </w:rPr>
              <w:t>900.000,00</w:t>
            </w:r>
          </w:p>
        </w:tc>
        <w:tc>
          <w:tcPr>
            <w:tcW w:w="1719" w:type="dxa"/>
            <w:tcBorders>
              <w:top w:val="single" w:sz="8" w:space="0" w:color="000000"/>
              <w:left w:val="single" w:sz="8" w:space="0" w:color="000000"/>
              <w:bottom w:val="single" w:sz="8" w:space="0" w:color="000000"/>
              <w:right w:val="single" w:sz="8" w:space="0" w:color="000000"/>
            </w:tcBorders>
            <w:shd w:val="clear" w:color="auto" w:fill="auto"/>
            <w:vAlign w:val="bottom"/>
          </w:tcPr>
          <w:p w14:paraId="3FC1980A" w14:textId="77777777" w:rsidR="00CE4763" w:rsidRPr="00CE4763" w:rsidRDefault="00CE4763" w:rsidP="00CE4763">
            <w:pPr>
              <w:spacing w:after="0" w:line="240" w:lineRule="auto"/>
              <w:ind w:left="0" w:right="0" w:firstLine="0"/>
              <w:jc w:val="right"/>
              <w:rPr>
                <w:rFonts w:ascii="Times New Roman" w:hAnsi="Times New Roman" w:cs="Times New Roman"/>
                <w:color w:val="auto"/>
              </w:rPr>
            </w:pPr>
            <w:r w:rsidRPr="00CE4763">
              <w:rPr>
                <w:rFonts w:ascii="Times New Roman" w:hAnsi="Times New Roman" w:cs="Times New Roman"/>
                <w:color w:val="auto"/>
              </w:rPr>
              <w:t>900.000,00</w:t>
            </w:r>
          </w:p>
        </w:tc>
        <w:tc>
          <w:tcPr>
            <w:tcW w:w="1755" w:type="dxa"/>
            <w:tcBorders>
              <w:top w:val="single" w:sz="8" w:space="0" w:color="000000"/>
              <w:left w:val="single" w:sz="8" w:space="0" w:color="000000"/>
              <w:bottom w:val="single" w:sz="8" w:space="0" w:color="000000"/>
              <w:right w:val="single" w:sz="8" w:space="0" w:color="000000"/>
            </w:tcBorders>
            <w:shd w:val="clear" w:color="auto" w:fill="auto"/>
            <w:vAlign w:val="bottom"/>
          </w:tcPr>
          <w:p w14:paraId="00F297FF" w14:textId="77777777" w:rsidR="00CE4763" w:rsidRPr="00CE4763" w:rsidRDefault="00CE4763" w:rsidP="00CE4763">
            <w:pPr>
              <w:spacing w:after="0" w:line="240" w:lineRule="auto"/>
              <w:ind w:left="0" w:right="0" w:firstLine="0"/>
              <w:jc w:val="right"/>
              <w:rPr>
                <w:rFonts w:ascii="Times New Roman" w:hAnsi="Times New Roman" w:cs="Times New Roman"/>
                <w:color w:val="auto"/>
              </w:rPr>
            </w:pPr>
            <w:r w:rsidRPr="00CE4763">
              <w:rPr>
                <w:rFonts w:ascii="Times New Roman" w:hAnsi="Times New Roman" w:cs="Times New Roman"/>
                <w:color w:val="auto"/>
              </w:rPr>
              <w:t>900.000,00</w:t>
            </w:r>
          </w:p>
        </w:tc>
      </w:tr>
      <w:tr w:rsidR="00CE4763" w:rsidRPr="00CE4763" w14:paraId="0E3AE825" w14:textId="77777777" w:rsidTr="00284074">
        <w:trPr>
          <w:cantSplit/>
          <w:trHeight w:val="517"/>
        </w:trPr>
        <w:tc>
          <w:tcPr>
            <w:tcW w:w="8998" w:type="dxa"/>
            <w:gridSpan w:val="4"/>
            <w:tcBorders>
              <w:top w:val="single" w:sz="8" w:space="0" w:color="000000"/>
              <w:left w:val="single" w:sz="8" w:space="0" w:color="000000"/>
              <w:bottom w:val="single" w:sz="8" w:space="0" w:color="000000"/>
              <w:right w:val="single" w:sz="8" w:space="0" w:color="000000"/>
            </w:tcBorders>
            <w:shd w:val="clear" w:color="auto" w:fill="auto"/>
            <w:vAlign w:val="center"/>
          </w:tcPr>
          <w:p w14:paraId="09E4165F" w14:textId="77777777" w:rsidR="00CE4763" w:rsidRPr="00CE4763" w:rsidRDefault="00CE4763" w:rsidP="00CE4763">
            <w:pPr>
              <w:spacing w:after="0" w:line="240" w:lineRule="auto"/>
              <w:ind w:left="0" w:right="0" w:firstLine="0"/>
              <w:rPr>
                <w:rFonts w:ascii="Times New Roman" w:hAnsi="Times New Roman" w:cs="Times New Roman"/>
                <w:color w:val="auto"/>
              </w:rPr>
            </w:pPr>
            <w:r w:rsidRPr="00CE4763">
              <w:rPr>
                <w:rFonts w:ascii="Times New Roman" w:hAnsi="Times New Roman" w:cs="Times New Roman"/>
                <w:b/>
                <w:color w:val="auto"/>
                <w:sz w:val="20"/>
              </w:rPr>
              <w:t>Razdjel 021 GRADSKI URED ZA SOCIJALNU ZAŠTITU, ZDRAVSTVO, BRANITELJE I OSOBE S INVALIDITETOM</w:t>
            </w:r>
          </w:p>
        </w:tc>
      </w:tr>
      <w:tr w:rsidR="00CE4763" w:rsidRPr="00CE4763" w14:paraId="298819BA" w14:textId="77777777" w:rsidTr="00284074">
        <w:trPr>
          <w:cantSplit/>
          <w:trHeight w:val="784"/>
        </w:trPr>
        <w:tc>
          <w:tcPr>
            <w:tcW w:w="8998" w:type="dxa"/>
            <w:gridSpan w:val="4"/>
            <w:tcBorders>
              <w:top w:val="single" w:sz="8" w:space="0" w:color="000000"/>
              <w:left w:val="single" w:sz="8" w:space="0" w:color="000000"/>
              <w:bottom w:val="single" w:sz="8" w:space="0" w:color="000000"/>
              <w:right w:val="single" w:sz="8" w:space="0" w:color="000000"/>
            </w:tcBorders>
            <w:shd w:val="clear" w:color="auto" w:fill="auto"/>
            <w:vAlign w:val="center"/>
          </w:tcPr>
          <w:p w14:paraId="04E89EAC" w14:textId="77777777" w:rsidR="00CE4763" w:rsidRPr="00CE4763" w:rsidRDefault="00CE4763" w:rsidP="00CE4763">
            <w:pPr>
              <w:spacing w:after="0" w:line="240" w:lineRule="auto"/>
              <w:ind w:left="0" w:right="0" w:firstLine="0"/>
              <w:jc w:val="left"/>
              <w:rPr>
                <w:rFonts w:ascii="Times New Roman" w:hAnsi="Times New Roman" w:cs="Times New Roman"/>
                <w:b/>
                <w:color w:val="auto"/>
                <w:sz w:val="20"/>
              </w:rPr>
            </w:pPr>
            <w:r w:rsidRPr="00CE4763">
              <w:rPr>
                <w:rFonts w:ascii="Times New Roman" w:hAnsi="Times New Roman" w:cs="Times New Roman"/>
                <w:b/>
                <w:color w:val="auto"/>
                <w:sz w:val="20"/>
              </w:rPr>
              <w:t>Glava 02101 GRADSKI URED ZA SOCIJALNU ZAŠTITU, ZDRAVSTVO, BRANITELJE I OSOBE S INVALIDITETOM</w:t>
            </w:r>
          </w:p>
          <w:p w14:paraId="6B1BEE0B" w14:textId="77777777" w:rsidR="00CE4763" w:rsidRPr="00CE4763" w:rsidRDefault="00CE4763" w:rsidP="00CE4763">
            <w:pPr>
              <w:spacing w:after="0" w:line="240" w:lineRule="auto"/>
              <w:ind w:left="0" w:right="0" w:firstLine="0"/>
              <w:jc w:val="left"/>
              <w:rPr>
                <w:rFonts w:ascii="Times New Roman" w:hAnsi="Times New Roman" w:cs="Times New Roman"/>
                <w:b/>
                <w:color w:val="auto"/>
                <w:sz w:val="20"/>
              </w:rPr>
            </w:pPr>
            <w:r w:rsidRPr="00CE4763">
              <w:rPr>
                <w:rFonts w:ascii="Times New Roman" w:hAnsi="Times New Roman" w:cs="Times New Roman"/>
                <w:b/>
                <w:color w:val="auto"/>
                <w:sz w:val="20"/>
              </w:rPr>
              <w:t>Program 1210 OPĆI JAVNOZDRAVSTVENI PROGRAMI</w:t>
            </w:r>
          </w:p>
        </w:tc>
      </w:tr>
      <w:tr w:rsidR="00CE4763" w:rsidRPr="00CE4763" w14:paraId="1AD0930C" w14:textId="77777777" w:rsidTr="00284074">
        <w:trPr>
          <w:cantSplit/>
          <w:trHeight w:val="517"/>
        </w:trPr>
        <w:tc>
          <w:tcPr>
            <w:tcW w:w="397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54FC69D" w14:textId="77777777" w:rsidR="00CE4763" w:rsidRPr="00CE4763" w:rsidRDefault="00CE4763" w:rsidP="00CE4763">
            <w:pPr>
              <w:spacing w:after="0" w:line="240" w:lineRule="auto"/>
              <w:ind w:left="0" w:right="0" w:firstLine="0"/>
              <w:jc w:val="left"/>
              <w:rPr>
                <w:rFonts w:ascii="Times New Roman" w:hAnsi="Times New Roman" w:cs="Times New Roman"/>
                <w:color w:val="auto"/>
                <w:sz w:val="20"/>
              </w:rPr>
            </w:pPr>
            <w:r w:rsidRPr="00CE4763">
              <w:rPr>
                <w:rFonts w:ascii="Times New Roman" w:hAnsi="Times New Roman" w:cs="Times New Roman"/>
                <w:color w:val="auto"/>
                <w:sz w:val="20"/>
              </w:rPr>
              <w:t>Aktivnost A121004 GRADSKO DRUŠTVO CRVENOG KRIŽA ZAGREB</w:t>
            </w:r>
          </w:p>
        </w:tc>
        <w:tc>
          <w:tcPr>
            <w:tcW w:w="1544" w:type="dxa"/>
            <w:tcBorders>
              <w:top w:val="single" w:sz="8" w:space="0" w:color="000000"/>
              <w:left w:val="single" w:sz="8" w:space="0" w:color="000000"/>
              <w:bottom w:val="single" w:sz="8" w:space="0" w:color="000000"/>
              <w:right w:val="single" w:sz="8" w:space="0" w:color="000000"/>
            </w:tcBorders>
            <w:shd w:val="clear" w:color="auto" w:fill="auto"/>
            <w:vAlign w:val="bottom"/>
          </w:tcPr>
          <w:p w14:paraId="40837144" w14:textId="77777777" w:rsidR="00CE4763" w:rsidRPr="00CE4763" w:rsidRDefault="00CE4763" w:rsidP="00CE4763">
            <w:pPr>
              <w:spacing w:after="0" w:line="240" w:lineRule="auto"/>
              <w:ind w:left="0" w:right="0" w:firstLine="0"/>
              <w:jc w:val="right"/>
              <w:rPr>
                <w:rFonts w:ascii="Times New Roman" w:hAnsi="Times New Roman" w:cs="Times New Roman"/>
                <w:color w:val="auto"/>
              </w:rPr>
            </w:pPr>
            <w:r w:rsidRPr="00CE4763">
              <w:rPr>
                <w:rFonts w:ascii="Times New Roman" w:hAnsi="Times New Roman" w:cs="Times New Roman"/>
                <w:color w:val="auto"/>
              </w:rPr>
              <w:t>9.500.000,00</w:t>
            </w:r>
          </w:p>
        </w:tc>
        <w:tc>
          <w:tcPr>
            <w:tcW w:w="1719" w:type="dxa"/>
            <w:tcBorders>
              <w:top w:val="single" w:sz="8" w:space="0" w:color="000000"/>
              <w:left w:val="single" w:sz="8" w:space="0" w:color="000000"/>
              <w:bottom w:val="single" w:sz="8" w:space="0" w:color="000000"/>
              <w:right w:val="single" w:sz="8" w:space="0" w:color="000000"/>
            </w:tcBorders>
            <w:shd w:val="clear" w:color="auto" w:fill="auto"/>
            <w:vAlign w:val="bottom"/>
          </w:tcPr>
          <w:p w14:paraId="0D9D1DB1" w14:textId="77777777" w:rsidR="00CE4763" w:rsidRPr="00CE4763" w:rsidRDefault="00CE4763" w:rsidP="00CE4763">
            <w:pPr>
              <w:spacing w:after="0" w:line="240" w:lineRule="auto"/>
              <w:ind w:left="0" w:right="0" w:firstLine="0"/>
              <w:jc w:val="right"/>
              <w:rPr>
                <w:rFonts w:ascii="Times New Roman" w:hAnsi="Times New Roman" w:cs="Times New Roman"/>
                <w:color w:val="auto"/>
              </w:rPr>
            </w:pPr>
            <w:r w:rsidRPr="00CE4763">
              <w:rPr>
                <w:rFonts w:ascii="Times New Roman" w:hAnsi="Times New Roman" w:cs="Times New Roman"/>
                <w:color w:val="auto"/>
              </w:rPr>
              <w:t>10.000.000,00</w:t>
            </w:r>
          </w:p>
        </w:tc>
        <w:tc>
          <w:tcPr>
            <w:tcW w:w="1755" w:type="dxa"/>
            <w:tcBorders>
              <w:top w:val="single" w:sz="8" w:space="0" w:color="000000"/>
              <w:left w:val="single" w:sz="8" w:space="0" w:color="000000"/>
              <w:bottom w:val="single" w:sz="8" w:space="0" w:color="000000"/>
              <w:right w:val="single" w:sz="8" w:space="0" w:color="000000"/>
            </w:tcBorders>
            <w:shd w:val="clear" w:color="auto" w:fill="auto"/>
            <w:vAlign w:val="bottom"/>
          </w:tcPr>
          <w:p w14:paraId="5F88B690" w14:textId="77777777" w:rsidR="00CE4763" w:rsidRPr="00CE4763" w:rsidRDefault="00CE4763" w:rsidP="00CE4763">
            <w:pPr>
              <w:spacing w:after="0" w:line="240" w:lineRule="auto"/>
              <w:ind w:left="0" w:right="0" w:firstLine="0"/>
              <w:jc w:val="right"/>
              <w:rPr>
                <w:rFonts w:ascii="Times New Roman" w:hAnsi="Times New Roman" w:cs="Times New Roman"/>
                <w:color w:val="auto"/>
              </w:rPr>
            </w:pPr>
            <w:r w:rsidRPr="00CE4763">
              <w:rPr>
                <w:rFonts w:ascii="Times New Roman" w:hAnsi="Times New Roman" w:cs="Times New Roman"/>
                <w:color w:val="auto"/>
              </w:rPr>
              <w:t>10.000.000,00</w:t>
            </w:r>
          </w:p>
        </w:tc>
      </w:tr>
      <w:tr w:rsidR="00CE4763" w:rsidRPr="00CE4763" w14:paraId="059C6482" w14:textId="77777777" w:rsidTr="00284074">
        <w:trPr>
          <w:cantSplit/>
          <w:trHeight w:val="283"/>
        </w:trPr>
        <w:tc>
          <w:tcPr>
            <w:tcW w:w="397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EA5F9F1" w14:textId="77777777" w:rsidR="00CE4763" w:rsidRPr="00CE4763" w:rsidRDefault="00CE4763" w:rsidP="00CE4763">
            <w:pPr>
              <w:spacing w:after="0" w:line="240" w:lineRule="auto"/>
              <w:ind w:left="0" w:right="0" w:firstLine="0"/>
              <w:jc w:val="left"/>
              <w:rPr>
                <w:rFonts w:ascii="Times New Roman" w:hAnsi="Times New Roman" w:cs="Times New Roman"/>
                <w:color w:val="auto"/>
                <w:sz w:val="20"/>
              </w:rPr>
            </w:pPr>
            <w:r w:rsidRPr="00CE4763">
              <w:rPr>
                <w:rFonts w:ascii="Times New Roman" w:hAnsi="Times New Roman" w:cs="Times New Roman"/>
                <w:b/>
                <w:color w:val="auto"/>
                <w:sz w:val="20"/>
              </w:rPr>
              <w:t>UKUPNO:</w:t>
            </w:r>
          </w:p>
        </w:tc>
        <w:tc>
          <w:tcPr>
            <w:tcW w:w="1544" w:type="dxa"/>
            <w:tcBorders>
              <w:top w:val="single" w:sz="8" w:space="0" w:color="000000"/>
              <w:left w:val="single" w:sz="8" w:space="0" w:color="000000"/>
              <w:bottom w:val="single" w:sz="8" w:space="0" w:color="000000"/>
              <w:right w:val="single" w:sz="8" w:space="0" w:color="000000"/>
            </w:tcBorders>
            <w:vAlign w:val="bottom"/>
          </w:tcPr>
          <w:p w14:paraId="5072706F" w14:textId="77777777" w:rsidR="00CE4763" w:rsidRPr="00CE4763" w:rsidRDefault="00CE4763" w:rsidP="00CE4763">
            <w:pPr>
              <w:spacing w:after="0" w:line="240" w:lineRule="auto"/>
              <w:ind w:left="0" w:right="0" w:firstLine="0"/>
              <w:jc w:val="right"/>
              <w:rPr>
                <w:rFonts w:ascii="Times New Roman" w:hAnsi="Times New Roman" w:cs="Times New Roman"/>
                <w:color w:val="auto"/>
              </w:rPr>
            </w:pPr>
            <w:r w:rsidRPr="00CE4763">
              <w:rPr>
                <w:rFonts w:ascii="Times New Roman" w:hAnsi="Times New Roman" w:cs="Times New Roman"/>
                <w:color w:val="auto"/>
              </w:rPr>
              <w:t xml:space="preserve">118.808.000,00 </w:t>
            </w:r>
          </w:p>
        </w:tc>
        <w:tc>
          <w:tcPr>
            <w:tcW w:w="1719" w:type="dxa"/>
            <w:tcBorders>
              <w:top w:val="single" w:sz="8" w:space="0" w:color="000000"/>
              <w:left w:val="single" w:sz="8" w:space="0" w:color="000000"/>
              <w:bottom w:val="single" w:sz="8" w:space="0" w:color="000000"/>
              <w:right w:val="single" w:sz="8" w:space="0" w:color="000000"/>
            </w:tcBorders>
            <w:vAlign w:val="bottom"/>
          </w:tcPr>
          <w:p w14:paraId="51504304" w14:textId="77777777" w:rsidR="00CE4763" w:rsidRPr="00CE4763" w:rsidRDefault="00CE4763" w:rsidP="00CE4763">
            <w:pPr>
              <w:spacing w:after="0" w:line="240" w:lineRule="auto"/>
              <w:ind w:left="0" w:right="0" w:firstLine="0"/>
              <w:jc w:val="right"/>
              <w:rPr>
                <w:rFonts w:ascii="Times New Roman" w:hAnsi="Times New Roman" w:cs="Times New Roman"/>
                <w:color w:val="auto"/>
              </w:rPr>
            </w:pPr>
            <w:r w:rsidRPr="00CE4763">
              <w:rPr>
                <w:rFonts w:ascii="Times New Roman" w:hAnsi="Times New Roman" w:cs="Times New Roman"/>
                <w:color w:val="auto"/>
              </w:rPr>
              <w:t xml:space="preserve">119.458.000,00 </w:t>
            </w:r>
          </w:p>
        </w:tc>
        <w:tc>
          <w:tcPr>
            <w:tcW w:w="1755" w:type="dxa"/>
            <w:tcBorders>
              <w:top w:val="single" w:sz="8" w:space="0" w:color="000000"/>
              <w:left w:val="single" w:sz="8" w:space="0" w:color="000000"/>
              <w:bottom w:val="single" w:sz="8" w:space="0" w:color="000000"/>
              <w:right w:val="single" w:sz="8" w:space="0" w:color="000000"/>
            </w:tcBorders>
            <w:vAlign w:val="bottom"/>
          </w:tcPr>
          <w:p w14:paraId="0F27D17D" w14:textId="77777777" w:rsidR="00CE4763" w:rsidRPr="00CE4763" w:rsidRDefault="00CE4763" w:rsidP="00CE4763">
            <w:pPr>
              <w:spacing w:after="0" w:line="240" w:lineRule="auto"/>
              <w:ind w:left="0" w:right="0" w:firstLine="0"/>
              <w:jc w:val="right"/>
              <w:rPr>
                <w:rFonts w:ascii="Times New Roman" w:hAnsi="Times New Roman" w:cs="Times New Roman"/>
                <w:color w:val="auto"/>
              </w:rPr>
            </w:pPr>
            <w:r w:rsidRPr="00CE4763">
              <w:rPr>
                <w:rFonts w:ascii="Times New Roman" w:hAnsi="Times New Roman" w:cs="Times New Roman"/>
                <w:color w:val="auto"/>
              </w:rPr>
              <w:t xml:space="preserve">119.508.000,00 </w:t>
            </w:r>
          </w:p>
        </w:tc>
      </w:tr>
    </w:tbl>
    <w:p w14:paraId="5BC87643" w14:textId="1D8E54B0" w:rsidR="00CE4763" w:rsidRPr="00CE4763" w:rsidRDefault="00CE4763" w:rsidP="00CE4763">
      <w:pPr>
        <w:spacing w:after="0" w:line="240" w:lineRule="auto"/>
        <w:ind w:left="0" w:right="0" w:firstLine="0"/>
        <w:jc w:val="center"/>
        <w:rPr>
          <w:rFonts w:ascii="Times New Roman" w:hAnsi="Times New Roman" w:cs="Times New Roman"/>
          <w:i/>
          <w:color w:val="auto"/>
          <w:sz w:val="20"/>
        </w:rPr>
      </w:pPr>
      <w:r w:rsidRPr="00CE4763">
        <w:rPr>
          <w:rFonts w:ascii="Times New Roman" w:hAnsi="Times New Roman" w:cs="Times New Roman"/>
          <w:i/>
          <w:color w:val="auto"/>
          <w:sz w:val="20"/>
        </w:rPr>
        <w:t>Izvor: Plan razvoja sustava civilne zaštite Grada Zagreba za 2022.</w:t>
      </w:r>
    </w:p>
    <w:p w14:paraId="346DDA88" w14:textId="77777777" w:rsidR="00CE4763" w:rsidRPr="00CE4763" w:rsidRDefault="00CE4763" w:rsidP="00CE4763">
      <w:pPr>
        <w:spacing w:after="0" w:line="240" w:lineRule="auto"/>
        <w:ind w:left="0" w:right="0" w:firstLine="0"/>
        <w:jc w:val="left"/>
        <w:rPr>
          <w:rFonts w:ascii="Times New Roman" w:hAnsi="Times New Roman" w:cs="Times New Roman"/>
          <w:color w:val="0070C0"/>
          <w:sz w:val="24"/>
        </w:rPr>
      </w:pPr>
    </w:p>
    <w:p w14:paraId="75656659" w14:textId="77777777" w:rsidR="00CE4763" w:rsidRPr="00CE4763" w:rsidRDefault="00CE4763" w:rsidP="00CE4763">
      <w:pPr>
        <w:spacing w:after="0" w:line="240" w:lineRule="auto"/>
        <w:ind w:left="0" w:right="0" w:firstLine="709"/>
        <w:rPr>
          <w:rFonts w:ascii="Times New Roman" w:hAnsi="Times New Roman" w:cs="Times New Roman"/>
          <w:sz w:val="24"/>
          <w:u w:val="single"/>
        </w:rPr>
      </w:pPr>
      <w:r w:rsidRPr="00CE4763">
        <w:rPr>
          <w:rFonts w:ascii="Times New Roman" w:hAnsi="Times New Roman" w:cs="Times New Roman"/>
          <w:sz w:val="24"/>
          <w:u w:val="single"/>
        </w:rPr>
        <w:t>Zaključak</w:t>
      </w:r>
    </w:p>
    <w:p w14:paraId="4661CF1F" w14:textId="537CF5A5" w:rsidR="003E2F12" w:rsidRPr="00CE4763" w:rsidRDefault="00CE4763" w:rsidP="00385A37">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 xml:space="preserve">S obzirom na podatke o opremanju postrojbi civilne zaštite opće namjene, provođenju osposobljavanja i održavanja vježbi civilne zaštite te s obzirom na plan financiranja sustava </w:t>
      </w:r>
      <w:r w:rsidRPr="00CE4763">
        <w:rPr>
          <w:rFonts w:ascii="Times New Roman" w:hAnsi="Times New Roman" w:cs="Times New Roman"/>
          <w:sz w:val="24"/>
        </w:rPr>
        <w:lastRenderedPageBreak/>
        <w:t xml:space="preserve">civilne zaštite u trogodišnjem razdoblju iz kojeg je vidljivo da se svake godine planira povećavanje izdvajanja za sustav civilne zaštite, ocjena fiskalne situacije i njezine perspektive je povoljna odnosno ocjena u ovom segmentu je - </w:t>
      </w:r>
      <w:r w:rsidRPr="00CE4763">
        <w:rPr>
          <w:rFonts w:ascii="Times New Roman" w:hAnsi="Times New Roman" w:cs="Times New Roman"/>
          <w:sz w:val="24"/>
          <w:u w:val="single" w:color="000000"/>
        </w:rPr>
        <w:t>visoka</w:t>
      </w:r>
      <w:r w:rsidRPr="00CE4763">
        <w:rPr>
          <w:rFonts w:ascii="Times New Roman" w:hAnsi="Times New Roman" w:cs="Times New Roman"/>
          <w:sz w:val="24"/>
        </w:rPr>
        <w:t xml:space="preserve"> razina spremnosti. U proračunu Grada Zagreba osiguravaju se dostatna financijska sredstva koja omogućavaju razvoj sustava civilne zaštite na području Grada Zagreba te tako ustrojeni sustav Grada Zagreba može obaviti sve zadaće civilne zaštite.</w:t>
      </w:r>
    </w:p>
    <w:p w14:paraId="2E0782EB" w14:textId="77777777" w:rsidR="00CE4763" w:rsidRPr="00CE4763" w:rsidRDefault="00CE4763" w:rsidP="00CE4763">
      <w:pPr>
        <w:spacing w:after="0" w:line="240" w:lineRule="auto"/>
        <w:ind w:left="0" w:right="0" w:firstLine="709"/>
        <w:rPr>
          <w:rFonts w:ascii="Times New Roman" w:hAnsi="Times New Roman" w:cs="Times New Roman"/>
          <w:b/>
          <w:sz w:val="24"/>
        </w:rPr>
      </w:pPr>
      <w:bookmarkStart w:id="130" w:name="_Toc2938634"/>
      <w:r w:rsidRPr="00CE4763">
        <w:rPr>
          <w:rFonts w:ascii="Times New Roman" w:hAnsi="Times New Roman" w:cs="Times New Roman"/>
          <w:b/>
          <w:sz w:val="24"/>
        </w:rPr>
        <w:t>6) Baza podataka</w:t>
      </w:r>
      <w:bookmarkEnd w:id="130"/>
    </w:p>
    <w:p w14:paraId="7136461D"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Bazu podataka može se definirati kao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te za potrebe provođenja osposobljavanja.</w:t>
      </w:r>
    </w:p>
    <w:p w14:paraId="4A2CB115"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sz w:val="24"/>
        </w:rPr>
        <w:t xml:space="preserve">Grad Zagreb vodi elektroničku </w:t>
      </w:r>
      <w:r w:rsidRPr="00CE4763">
        <w:rPr>
          <w:rFonts w:ascii="Times New Roman" w:hAnsi="Times New Roman" w:cs="Times New Roman"/>
          <w:i/>
          <w:sz w:val="24"/>
        </w:rPr>
        <w:t>Bazu podataka o pripadnicima operativnih snaga sustava civilne zaštite</w:t>
      </w:r>
      <w:r w:rsidRPr="00CE4763">
        <w:rPr>
          <w:rFonts w:ascii="Times New Roman" w:hAnsi="Times New Roman" w:cs="Times New Roman"/>
          <w:sz w:val="24"/>
        </w:rPr>
        <w:t xml:space="preserve"> za članove stožera civilne zaštite, pripadnike postrojbi civilne zaštite opće i specijalističke namjene i povjerenike civilne zaštite, za koordinatore na lokaciji te pravne osobe u sustavu civilne zaštite, uz pomoć koje se redovito ažuriraju podaci o kontaktima pripadnika i o tome kad im je podijeljena oprema odnosno koja su osposobljavanja prošli i na kojim su sve vježbama sudjelovali. Osim navedenoga, ažuriraju se i podaci građevinskih tvrtki koje će sudjelovati u raščišćavanju ruševina u slučaju razornog potresa, i to imena i prezimena vozača, telefonski brojevi i popis kompletne mehanizacije raspoložive za raščišćavanje s navođenjem podataka o zonama raščišćavanja za svaku tvrtku. Značajni su i drugi izvori, baze </w:t>
      </w:r>
      <w:r w:rsidRPr="00CE4763">
        <w:rPr>
          <w:rFonts w:ascii="Times New Roman" w:hAnsi="Times New Roman" w:cs="Times New Roman"/>
          <w:color w:val="auto"/>
          <w:sz w:val="24"/>
        </w:rPr>
        <w:t>podataka i podloge za potrebe sustava civilne zaštite (službene statistike, dokumenti i studije te provedena znanstvena istraživanja) koje se kontinuirano prikupljaju u Gradskom uredu za mjesnu samoupravu, civilnu zaštitu i sigurnost iz različitih izvora i uz suradnju s drugim gradskim tijelima te koristeći GIS platformu Grada Zagreba.</w:t>
      </w:r>
    </w:p>
    <w:p w14:paraId="2F9257DC" w14:textId="77777777" w:rsidR="00CE4763" w:rsidRPr="00CE4763" w:rsidRDefault="00CE4763" w:rsidP="00CE4763">
      <w:pPr>
        <w:spacing w:after="0" w:line="240" w:lineRule="auto"/>
        <w:ind w:right="0"/>
        <w:rPr>
          <w:rFonts w:ascii="Times New Roman" w:hAnsi="Times New Roman" w:cs="Times New Roman"/>
          <w:sz w:val="24"/>
        </w:rPr>
      </w:pPr>
    </w:p>
    <w:p w14:paraId="1C41559C" w14:textId="77777777" w:rsidR="00CE4763" w:rsidRPr="00CE4763" w:rsidRDefault="00CE4763" w:rsidP="00CE4763">
      <w:pPr>
        <w:spacing w:after="0" w:line="240" w:lineRule="auto"/>
        <w:ind w:left="0" w:right="0" w:firstLine="709"/>
        <w:rPr>
          <w:rFonts w:ascii="Times New Roman" w:hAnsi="Times New Roman" w:cs="Times New Roman"/>
          <w:sz w:val="24"/>
          <w:u w:val="single"/>
        </w:rPr>
      </w:pPr>
      <w:r w:rsidRPr="00CE4763">
        <w:rPr>
          <w:rFonts w:ascii="Times New Roman" w:hAnsi="Times New Roman" w:cs="Times New Roman"/>
          <w:sz w:val="24"/>
          <w:u w:val="single"/>
        </w:rPr>
        <w:t>Zaključak</w:t>
      </w:r>
    </w:p>
    <w:p w14:paraId="117E0E7A"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 xml:space="preserve">Razina spremnosti ove kategorije je procijenjena </w:t>
      </w:r>
      <w:r w:rsidRPr="00CE4763">
        <w:rPr>
          <w:rFonts w:ascii="Times New Roman" w:hAnsi="Times New Roman" w:cs="Times New Roman"/>
          <w:sz w:val="24"/>
          <w:u w:val="single" w:color="000000"/>
        </w:rPr>
        <w:t>visokom</w:t>
      </w:r>
      <w:r w:rsidRPr="00CE4763">
        <w:rPr>
          <w:rFonts w:ascii="Times New Roman" w:hAnsi="Times New Roman" w:cs="Times New Roman"/>
          <w:sz w:val="24"/>
        </w:rPr>
        <w:t xml:space="preserve"> zbog postojanja online </w:t>
      </w:r>
      <w:r w:rsidRPr="00CE4763">
        <w:rPr>
          <w:rFonts w:ascii="Times New Roman" w:hAnsi="Times New Roman" w:cs="Times New Roman"/>
          <w:color w:val="auto"/>
          <w:sz w:val="24"/>
        </w:rPr>
        <w:t>elektroničke baze podataka o pripadnicima postrojbi civilne zaštite koju je uspostavio ukinuti Ured za upravljanje u hitnim situacijama te zbog mogućnosti korištenja zajedničke Zagrebačke infrastrukture prostornih podataka odnosno GIS platforme za potrebe sustava civilne zaštite zajedno s drugim upravnim tijelima Grada Zagreba. Navedenu bazu podataka nastavlja koristiti Gradski ured za mjesnu samoupravu, civilnu zaštitu i sigurnost u čiju su nadležnost po ukidanju Ureda za upravljanje u hitnim situacijama dodijeljeni poslovi civilne zaštite.</w:t>
      </w:r>
      <w:bookmarkStart w:id="131" w:name="_Toc2938635"/>
    </w:p>
    <w:p w14:paraId="2BFE18C4" w14:textId="77777777" w:rsidR="00CE4763" w:rsidRPr="00CE4763" w:rsidRDefault="00CE4763" w:rsidP="00CE4763">
      <w:pPr>
        <w:spacing w:after="0" w:line="240" w:lineRule="auto"/>
        <w:ind w:left="0" w:right="0" w:firstLine="709"/>
        <w:rPr>
          <w:rFonts w:ascii="Times New Roman" w:hAnsi="Times New Roman" w:cs="Times New Roman"/>
          <w:sz w:val="24"/>
        </w:rPr>
      </w:pPr>
    </w:p>
    <w:p w14:paraId="4E08E4C1" w14:textId="7B7E9D2E" w:rsidR="00CE4763" w:rsidRPr="007E05EB" w:rsidRDefault="00CE4763" w:rsidP="00132C6C">
      <w:pPr>
        <w:spacing w:line="240" w:lineRule="auto"/>
        <w:ind w:left="0" w:right="0" w:firstLine="0"/>
        <w:jc w:val="center"/>
        <w:rPr>
          <w:rFonts w:ascii="Times New Roman" w:hAnsi="Times New Roman" w:cs="Times New Roman"/>
          <w:b/>
          <w:color w:val="auto"/>
          <w:sz w:val="24"/>
        </w:rPr>
      </w:pPr>
      <w:bookmarkStart w:id="132" w:name="_Hlk109892028"/>
      <w:r w:rsidRPr="007E05EB">
        <w:rPr>
          <w:rFonts w:ascii="Times New Roman" w:hAnsi="Times New Roman" w:cs="Times New Roman"/>
          <w:b/>
          <w:color w:val="auto"/>
          <w:sz w:val="24"/>
        </w:rPr>
        <w:t xml:space="preserve">Tablica </w:t>
      </w:r>
      <w:r w:rsidR="007E05EB" w:rsidRPr="007E05EB">
        <w:rPr>
          <w:rFonts w:ascii="Times New Roman" w:hAnsi="Times New Roman" w:cs="Times New Roman"/>
          <w:b/>
          <w:color w:val="auto"/>
          <w:sz w:val="24"/>
        </w:rPr>
        <w:t>135</w:t>
      </w:r>
      <w:r w:rsidRPr="007E05EB">
        <w:rPr>
          <w:rFonts w:ascii="Times New Roman" w:hAnsi="Times New Roman" w:cs="Times New Roman"/>
          <w:b/>
          <w:color w:val="auto"/>
          <w:sz w:val="24"/>
        </w:rPr>
        <w:t xml:space="preserve">. </w:t>
      </w:r>
      <w:bookmarkEnd w:id="132"/>
      <w:r w:rsidRPr="007E05EB">
        <w:rPr>
          <w:rFonts w:ascii="Times New Roman" w:hAnsi="Times New Roman" w:cs="Times New Roman"/>
          <w:b/>
          <w:color w:val="auto"/>
          <w:sz w:val="24"/>
        </w:rPr>
        <w:t>Analiza sustava civilne zaštite - područje preventive</w:t>
      </w:r>
      <w:bookmarkEnd w:id="131"/>
    </w:p>
    <w:tbl>
      <w:tblPr>
        <w:tblStyle w:val="TableGrid"/>
        <w:tblW w:w="9072" w:type="dxa"/>
        <w:tblInd w:w="0" w:type="dxa"/>
        <w:tblLayout w:type="fixed"/>
        <w:tblCellMar>
          <w:top w:w="5" w:type="dxa"/>
          <w:left w:w="57" w:type="dxa"/>
          <w:right w:w="57" w:type="dxa"/>
        </w:tblCellMar>
        <w:tblLook w:val="04A0" w:firstRow="1" w:lastRow="0" w:firstColumn="1" w:lastColumn="0" w:noHBand="0" w:noVBand="1"/>
      </w:tblPr>
      <w:tblGrid>
        <w:gridCol w:w="2640"/>
        <w:gridCol w:w="1608"/>
        <w:gridCol w:w="1608"/>
        <w:gridCol w:w="1608"/>
        <w:gridCol w:w="1608"/>
      </w:tblGrid>
      <w:tr w:rsidR="00CE4763" w:rsidRPr="00CE4763" w14:paraId="23C9FAF6" w14:textId="77777777" w:rsidTr="00284074">
        <w:trPr>
          <w:cantSplit/>
          <w:tblHeader/>
        </w:trPr>
        <w:tc>
          <w:tcPr>
            <w:tcW w:w="2640" w:type="dxa"/>
            <w:vMerge w:val="restart"/>
            <w:tcBorders>
              <w:top w:val="single" w:sz="4" w:space="0" w:color="000000"/>
              <w:left w:val="single" w:sz="4" w:space="0" w:color="000000"/>
              <w:bottom w:val="single" w:sz="4" w:space="0" w:color="000000"/>
              <w:right w:val="single" w:sz="4" w:space="0" w:color="000000"/>
            </w:tcBorders>
            <w:vAlign w:val="center"/>
          </w:tcPr>
          <w:p w14:paraId="1DE81772"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PODRUČJE PREVENTIVE</w:t>
            </w:r>
          </w:p>
        </w:tc>
        <w:tc>
          <w:tcPr>
            <w:tcW w:w="160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6BD8278F"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Vrlo niska spremnost</w:t>
            </w:r>
          </w:p>
        </w:tc>
        <w:tc>
          <w:tcPr>
            <w:tcW w:w="160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E728D29"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color w:val="FFFFFF"/>
              </w:rPr>
              <w:t>Niska spremnost</w:t>
            </w:r>
          </w:p>
        </w:tc>
        <w:tc>
          <w:tcPr>
            <w:tcW w:w="160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6B9E539B"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Visoka spremnost</w:t>
            </w:r>
          </w:p>
        </w:tc>
        <w:tc>
          <w:tcPr>
            <w:tcW w:w="160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33FA48DC"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color w:val="FFFFFF"/>
              </w:rPr>
              <w:t>Vrlo visoka spremnost</w:t>
            </w:r>
          </w:p>
        </w:tc>
      </w:tr>
      <w:tr w:rsidR="00CE4763" w:rsidRPr="00CE4763" w14:paraId="1D15DEC3" w14:textId="77777777" w:rsidTr="00284074">
        <w:trPr>
          <w:cantSplit/>
          <w:tblHeader/>
        </w:trPr>
        <w:tc>
          <w:tcPr>
            <w:tcW w:w="2640" w:type="dxa"/>
            <w:vMerge/>
            <w:tcBorders>
              <w:top w:val="nil"/>
              <w:left w:val="single" w:sz="4" w:space="0" w:color="000000"/>
              <w:bottom w:val="single" w:sz="4" w:space="0" w:color="000000"/>
              <w:right w:val="single" w:sz="4" w:space="0" w:color="000000"/>
            </w:tcBorders>
            <w:vAlign w:val="center"/>
          </w:tcPr>
          <w:p w14:paraId="16AD7D72"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608" w:type="dxa"/>
            <w:tcBorders>
              <w:top w:val="single" w:sz="4" w:space="0" w:color="000000"/>
              <w:left w:val="single" w:sz="4" w:space="0" w:color="000000"/>
              <w:bottom w:val="single" w:sz="4" w:space="0" w:color="000000"/>
              <w:right w:val="single" w:sz="4" w:space="0" w:color="000000"/>
            </w:tcBorders>
            <w:vAlign w:val="center"/>
          </w:tcPr>
          <w:p w14:paraId="18B23C3C"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4</w:t>
            </w:r>
          </w:p>
        </w:tc>
        <w:tc>
          <w:tcPr>
            <w:tcW w:w="1608" w:type="dxa"/>
            <w:tcBorders>
              <w:top w:val="single" w:sz="4" w:space="0" w:color="000000"/>
              <w:left w:val="single" w:sz="4" w:space="0" w:color="000000"/>
              <w:bottom w:val="single" w:sz="4" w:space="0" w:color="000000"/>
              <w:right w:val="single" w:sz="4" w:space="0" w:color="000000"/>
            </w:tcBorders>
            <w:vAlign w:val="center"/>
          </w:tcPr>
          <w:p w14:paraId="08BD77A8"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3</w:t>
            </w:r>
          </w:p>
        </w:tc>
        <w:tc>
          <w:tcPr>
            <w:tcW w:w="1608" w:type="dxa"/>
            <w:tcBorders>
              <w:top w:val="single" w:sz="4" w:space="0" w:color="000000"/>
              <w:left w:val="single" w:sz="4" w:space="0" w:color="000000"/>
              <w:bottom w:val="single" w:sz="4" w:space="0" w:color="000000"/>
              <w:right w:val="single" w:sz="4" w:space="0" w:color="000000"/>
            </w:tcBorders>
            <w:vAlign w:val="center"/>
          </w:tcPr>
          <w:p w14:paraId="67A421CD"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2</w:t>
            </w:r>
          </w:p>
        </w:tc>
        <w:tc>
          <w:tcPr>
            <w:tcW w:w="1608" w:type="dxa"/>
            <w:tcBorders>
              <w:top w:val="single" w:sz="4" w:space="0" w:color="000000"/>
              <w:left w:val="single" w:sz="4" w:space="0" w:color="000000"/>
              <w:bottom w:val="single" w:sz="4" w:space="0" w:color="000000"/>
              <w:right w:val="single" w:sz="4" w:space="0" w:color="000000"/>
            </w:tcBorders>
            <w:vAlign w:val="center"/>
          </w:tcPr>
          <w:p w14:paraId="1EB1910A"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1</w:t>
            </w:r>
          </w:p>
        </w:tc>
      </w:tr>
      <w:tr w:rsidR="00CE4763" w:rsidRPr="00CE4763" w14:paraId="636F7867" w14:textId="77777777" w:rsidTr="00284074">
        <w:trPr>
          <w:cantSplit/>
        </w:trPr>
        <w:tc>
          <w:tcPr>
            <w:tcW w:w="2640" w:type="dxa"/>
            <w:tcBorders>
              <w:top w:val="single" w:sz="4" w:space="0" w:color="000000"/>
              <w:left w:val="single" w:sz="4" w:space="0" w:color="000000"/>
              <w:bottom w:val="single" w:sz="4" w:space="0" w:color="000000"/>
              <w:right w:val="single" w:sz="4" w:space="0" w:color="000000"/>
            </w:tcBorders>
          </w:tcPr>
          <w:p w14:paraId="6B0FA62B"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Donošenje strategija, normativne uređenosti te izrađenost procjena i planova od značenja za sustav civilne zaštite</w:t>
            </w:r>
          </w:p>
        </w:tc>
        <w:tc>
          <w:tcPr>
            <w:tcW w:w="1608" w:type="dxa"/>
            <w:tcBorders>
              <w:top w:val="single" w:sz="4" w:space="0" w:color="000000"/>
              <w:left w:val="single" w:sz="4" w:space="0" w:color="000000"/>
              <w:bottom w:val="single" w:sz="4" w:space="0" w:color="000000"/>
              <w:right w:val="single" w:sz="4" w:space="0" w:color="000000"/>
            </w:tcBorders>
            <w:vAlign w:val="center"/>
          </w:tcPr>
          <w:p w14:paraId="5266BCD3"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608" w:type="dxa"/>
            <w:tcBorders>
              <w:top w:val="single" w:sz="4" w:space="0" w:color="000000"/>
              <w:left w:val="single" w:sz="4" w:space="0" w:color="000000"/>
              <w:bottom w:val="single" w:sz="4" w:space="0" w:color="000000"/>
              <w:right w:val="single" w:sz="4" w:space="0" w:color="000000"/>
            </w:tcBorders>
            <w:vAlign w:val="center"/>
          </w:tcPr>
          <w:p w14:paraId="4A66D892"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608" w:type="dxa"/>
            <w:tcBorders>
              <w:top w:val="single" w:sz="4" w:space="0" w:color="000000"/>
              <w:left w:val="single" w:sz="4" w:space="0" w:color="000000"/>
              <w:bottom w:val="single" w:sz="4" w:space="0" w:color="000000"/>
              <w:right w:val="single" w:sz="4" w:space="0" w:color="000000"/>
            </w:tcBorders>
            <w:vAlign w:val="center"/>
          </w:tcPr>
          <w:p w14:paraId="668F44C9"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608" w:type="dxa"/>
            <w:tcBorders>
              <w:top w:val="single" w:sz="4" w:space="0" w:color="000000"/>
              <w:left w:val="single" w:sz="4" w:space="0" w:color="000000"/>
              <w:bottom w:val="single" w:sz="4" w:space="0" w:color="000000"/>
              <w:right w:val="single" w:sz="4" w:space="0" w:color="000000"/>
            </w:tcBorders>
            <w:vAlign w:val="center"/>
          </w:tcPr>
          <w:p w14:paraId="214EB481"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rPr>
              <w:t>x</w:t>
            </w:r>
          </w:p>
        </w:tc>
      </w:tr>
      <w:tr w:rsidR="00CE4763" w:rsidRPr="00CE4763" w14:paraId="6EFB259B" w14:textId="77777777" w:rsidTr="00284074">
        <w:trPr>
          <w:cantSplit/>
        </w:trPr>
        <w:tc>
          <w:tcPr>
            <w:tcW w:w="2640" w:type="dxa"/>
            <w:tcBorders>
              <w:top w:val="single" w:sz="4" w:space="0" w:color="000000"/>
              <w:left w:val="single" w:sz="4" w:space="0" w:color="000000"/>
              <w:bottom w:val="single" w:sz="4" w:space="0" w:color="000000"/>
              <w:right w:val="single" w:sz="4" w:space="0" w:color="000000"/>
            </w:tcBorders>
          </w:tcPr>
          <w:p w14:paraId="466AE275"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Sustavi ranog upozoravanja i suradnja sa susjednim jedinicama lokalne i područne (regionalne) samouprave</w:t>
            </w:r>
          </w:p>
        </w:tc>
        <w:tc>
          <w:tcPr>
            <w:tcW w:w="1608" w:type="dxa"/>
            <w:tcBorders>
              <w:top w:val="single" w:sz="4" w:space="0" w:color="000000"/>
              <w:left w:val="single" w:sz="4" w:space="0" w:color="000000"/>
              <w:bottom w:val="single" w:sz="4" w:space="0" w:color="000000"/>
              <w:right w:val="single" w:sz="4" w:space="0" w:color="000000"/>
            </w:tcBorders>
            <w:vAlign w:val="center"/>
          </w:tcPr>
          <w:p w14:paraId="0D7E7095"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608" w:type="dxa"/>
            <w:tcBorders>
              <w:top w:val="single" w:sz="4" w:space="0" w:color="000000"/>
              <w:left w:val="single" w:sz="4" w:space="0" w:color="000000"/>
              <w:bottom w:val="single" w:sz="4" w:space="0" w:color="000000"/>
              <w:right w:val="single" w:sz="4" w:space="0" w:color="000000"/>
            </w:tcBorders>
            <w:vAlign w:val="center"/>
          </w:tcPr>
          <w:p w14:paraId="46B1C1F2"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608" w:type="dxa"/>
            <w:tcBorders>
              <w:top w:val="single" w:sz="4" w:space="0" w:color="000000"/>
              <w:left w:val="single" w:sz="4" w:space="0" w:color="000000"/>
              <w:bottom w:val="single" w:sz="4" w:space="0" w:color="000000"/>
              <w:right w:val="single" w:sz="4" w:space="0" w:color="000000"/>
            </w:tcBorders>
            <w:vAlign w:val="center"/>
          </w:tcPr>
          <w:p w14:paraId="2C6A3523"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608" w:type="dxa"/>
            <w:tcBorders>
              <w:top w:val="single" w:sz="4" w:space="0" w:color="000000"/>
              <w:left w:val="single" w:sz="4" w:space="0" w:color="000000"/>
              <w:bottom w:val="single" w:sz="4" w:space="0" w:color="000000"/>
              <w:right w:val="single" w:sz="4" w:space="0" w:color="000000"/>
            </w:tcBorders>
            <w:vAlign w:val="center"/>
          </w:tcPr>
          <w:p w14:paraId="0185397D"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2CD88A55" w14:textId="77777777" w:rsidTr="00284074">
        <w:trPr>
          <w:cantSplit/>
        </w:trPr>
        <w:tc>
          <w:tcPr>
            <w:tcW w:w="2640" w:type="dxa"/>
            <w:tcBorders>
              <w:top w:val="single" w:sz="4" w:space="0" w:color="000000"/>
              <w:left w:val="single" w:sz="4" w:space="0" w:color="000000"/>
              <w:bottom w:val="single" w:sz="4" w:space="0" w:color="000000"/>
              <w:right w:val="single" w:sz="4" w:space="0" w:color="000000"/>
            </w:tcBorders>
          </w:tcPr>
          <w:p w14:paraId="33DEAA2A"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lastRenderedPageBreak/>
              <w:t>Stanje svijesti pojedinaca, pripadnika ranjivih skupina, upravljačkih i odgovornih tijela</w:t>
            </w:r>
          </w:p>
        </w:tc>
        <w:tc>
          <w:tcPr>
            <w:tcW w:w="1608" w:type="dxa"/>
            <w:tcBorders>
              <w:top w:val="single" w:sz="4" w:space="0" w:color="000000"/>
              <w:left w:val="single" w:sz="4" w:space="0" w:color="000000"/>
              <w:bottom w:val="single" w:sz="4" w:space="0" w:color="000000"/>
              <w:right w:val="single" w:sz="4" w:space="0" w:color="000000"/>
            </w:tcBorders>
            <w:vAlign w:val="center"/>
          </w:tcPr>
          <w:p w14:paraId="0032E035"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608" w:type="dxa"/>
            <w:tcBorders>
              <w:top w:val="single" w:sz="4" w:space="0" w:color="000000"/>
              <w:left w:val="single" w:sz="4" w:space="0" w:color="000000"/>
              <w:bottom w:val="single" w:sz="4" w:space="0" w:color="000000"/>
              <w:right w:val="single" w:sz="4" w:space="0" w:color="000000"/>
            </w:tcBorders>
            <w:vAlign w:val="center"/>
          </w:tcPr>
          <w:p w14:paraId="3AD007A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608" w:type="dxa"/>
            <w:tcBorders>
              <w:top w:val="single" w:sz="4" w:space="0" w:color="000000"/>
              <w:left w:val="single" w:sz="4" w:space="0" w:color="000000"/>
              <w:bottom w:val="single" w:sz="4" w:space="0" w:color="000000"/>
              <w:right w:val="single" w:sz="4" w:space="0" w:color="000000"/>
            </w:tcBorders>
            <w:vAlign w:val="center"/>
          </w:tcPr>
          <w:p w14:paraId="59C26690"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608" w:type="dxa"/>
            <w:tcBorders>
              <w:top w:val="single" w:sz="4" w:space="0" w:color="000000"/>
              <w:left w:val="single" w:sz="4" w:space="0" w:color="000000"/>
              <w:bottom w:val="single" w:sz="4" w:space="0" w:color="000000"/>
              <w:right w:val="single" w:sz="4" w:space="0" w:color="000000"/>
            </w:tcBorders>
            <w:vAlign w:val="center"/>
          </w:tcPr>
          <w:p w14:paraId="11E582D3"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r>
      <w:tr w:rsidR="00CE4763" w:rsidRPr="00CE4763" w14:paraId="0E0683EA" w14:textId="77777777" w:rsidTr="00284074">
        <w:trPr>
          <w:cantSplit/>
        </w:trPr>
        <w:tc>
          <w:tcPr>
            <w:tcW w:w="2640" w:type="dxa"/>
            <w:tcBorders>
              <w:top w:val="single" w:sz="4" w:space="0" w:color="000000"/>
              <w:left w:val="single" w:sz="4" w:space="0" w:color="000000"/>
              <w:bottom w:val="single" w:sz="4" w:space="0" w:color="000000"/>
              <w:right w:val="single" w:sz="4" w:space="0" w:color="000000"/>
            </w:tcBorders>
          </w:tcPr>
          <w:p w14:paraId="0A3FA2C4"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Ocjena stanja prostornog planiranja, izrade prostornih i urbanističkih planova razvoja, planskog korištenja zemljišta</w:t>
            </w:r>
          </w:p>
        </w:tc>
        <w:tc>
          <w:tcPr>
            <w:tcW w:w="1608" w:type="dxa"/>
            <w:tcBorders>
              <w:top w:val="single" w:sz="4" w:space="0" w:color="000000"/>
              <w:left w:val="single" w:sz="4" w:space="0" w:color="000000"/>
              <w:bottom w:val="single" w:sz="4" w:space="0" w:color="000000"/>
              <w:right w:val="single" w:sz="4" w:space="0" w:color="000000"/>
            </w:tcBorders>
            <w:vAlign w:val="center"/>
          </w:tcPr>
          <w:p w14:paraId="46540268"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608" w:type="dxa"/>
            <w:tcBorders>
              <w:top w:val="single" w:sz="4" w:space="0" w:color="000000"/>
              <w:left w:val="single" w:sz="4" w:space="0" w:color="000000"/>
              <w:bottom w:val="single" w:sz="4" w:space="0" w:color="000000"/>
              <w:right w:val="single" w:sz="4" w:space="0" w:color="000000"/>
            </w:tcBorders>
            <w:vAlign w:val="center"/>
          </w:tcPr>
          <w:p w14:paraId="1FED3B61"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608" w:type="dxa"/>
            <w:tcBorders>
              <w:top w:val="single" w:sz="4" w:space="0" w:color="000000"/>
              <w:left w:val="single" w:sz="4" w:space="0" w:color="000000"/>
              <w:bottom w:val="single" w:sz="4" w:space="0" w:color="000000"/>
              <w:right w:val="single" w:sz="4" w:space="0" w:color="000000"/>
            </w:tcBorders>
            <w:vAlign w:val="center"/>
          </w:tcPr>
          <w:p w14:paraId="6B0BCBC8"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608" w:type="dxa"/>
            <w:tcBorders>
              <w:top w:val="single" w:sz="4" w:space="0" w:color="000000"/>
              <w:left w:val="single" w:sz="4" w:space="0" w:color="000000"/>
              <w:bottom w:val="single" w:sz="4" w:space="0" w:color="000000"/>
              <w:right w:val="single" w:sz="4" w:space="0" w:color="000000"/>
            </w:tcBorders>
            <w:vAlign w:val="center"/>
          </w:tcPr>
          <w:p w14:paraId="3E95A5CD"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265CDC72" w14:textId="77777777" w:rsidTr="00284074">
        <w:trPr>
          <w:cantSplit/>
        </w:trPr>
        <w:tc>
          <w:tcPr>
            <w:tcW w:w="2640" w:type="dxa"/>
            <w:tcBorders>
              <w:top w:val="single" w:sz="4" w:space="0" w:color="000000"/>
              <w:left w:val="single" w:sz="4" w:space="0" w:color="000000"/>
              <w:bottom w:val="single" w:sz="4" w:space="0" w:color="000000"/>
              <w:right w:val="single" w:sz="4" w:space="0" w:color="000000"/>
            </w:tcBorders>
          </w:tcPr>
          <w:p w14:paraId="2AFF64B4"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Ocjena fiskalne situacije i njezine perspektive</w:t>
            </w:r>
          </w:p>
        </w:tc>
        <w:tc>
          <w:tcPr>
            <w:tcW w:w="1608" w:type="dxa"/>
            <w:tcBorders>
              <w:top w:val="single" w:sz="4" w:space="0" w:color="000000"/>
              <w:left w:val="single" w:sz="4" w:space="0" w:color="000000"/>
              <w:bottom w:val="single" w:sz="4" w:space="0" w:color="000000"/>
              <w:right w:val="single" w:sz="4" w:space="0" w:color="000000"/>
            </w:tcBorders>
            <w:vAlign w:val="center"/>
          </w:tcPr>
          <w:p w14:paraId="22C705D0"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608" w:type="dxa"/>
            <w:tcBorders>
              <w:top w:val="single" w:sz="4" w:space="0" w:color="000000"/>
              <w:left w:val="single" w:sz="4" w:space="0" w:color="000000"/>
              <w:bottom w:val="single" w:sz="4" w:space="0" w:color="000000"/>
              <w:right w:val="single" w:sz="4" w:space="0" w:color="000000"/>
            </w:tcBorders>
            <w:vAlign w:val="center"/>
          </w:tcPr>
          <w:p w14:paraId="4836CDC9"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608" w:type="dxa"/>
            <w:tcBorders>
              <w:top w:val="single" w:sz="4" w:space="0" w:color="000000"/>
              <w:left w:val="single" w:sz="4" w:space="0" w:color="000000"/>
              <w:bottom w:val="single" w:sz="4" w:space="0" w:color="000000"/>
              <w:right w:val="single" w:sz="4" w:space="0" w:color="000000"/>
            </w:tcBorders>
            <w:vAlign w:val="center"/>
          </w:tcPr>
          <w:p w14:paraId="79816DF6"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608" w:type="dxa"/>
            <w:tcBorders>
              <w:top w:val="single" w:sz="4" w:space="0" w:color="000000"/>
              <w:left w:val="single" w:sz="4" w:space="0" w:color="000000"/>
              <w:bottom w:val="single" w:sz="4" w:space="0" w:color="000000"/>
              <w:right w:val="single" w:sz="4" w:space="0" w:color="000000"/>
            </w:tcBorders>
            <w:vAlign w:val="center"/>
          </w:tcPr>
          <w:p w14:paraId="75645D51"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15B21584" w14:textId="77777777" w:rsidTr="00284074">
        <w:trPr>
          <w:cantSplit/>
        </w:trPr>
        <w:tc>
          <w:tcPr>
            <w:tcW w:w="2640" w:type="dxa"/>
            <w:tcBorders>
              <w:top w:val="single" w:sz="4" w:space="0" w:color="000000"/>
              <w:left w:val="single" w:sz="4" w:space="0" w:color="000000"/>
              <w:bottom w:val="single" w:sz="4" w:space="0" w:color="000000"/>
              <w:right w:val="single" w:sz="4" w:space="0" w:color="000000"/>
            </w:tcBorders>
          </w:tcPr>
          <w:p w14:paraId="5381CA2B"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Baze podataka</w:t>
            </w:r>
          </w:p>
        </w:tc>
        <w:tc>
          <w:tcPr>
            <w:tcW w:w="1608" w:type="dxa"/>
            <w:tcBorders>
              <w:top w:val="single" w:sz="4" w:space="0" w:color="000000"/>
              <w:left w:val="single" w:sz="4" w:space="0" w:color="000000"/>
              <w:bottom w:val="single" w:sz="4" w:space="0" w:color="000000"/>
              <w:right w:val="single" w:sz="4" w:space="0" w:color="000000"/>
            </w:tcBorders>
            <w:vAlign w:val="center"/>
          </w:tcPr>
          <w:p w14:paraId="3535BBC6"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608" w:type="dxa"/>
            <w:tcBorders>
              <w:top w:val="single" w:sz="4" w:space="0" w:color="000000"/>
              <w:left w:val="single" w:sz="4" w:space="0" w:color="000000"/>
              <w:bottom w:val="single" w:sz="4" w:space="0" w:color="000000"/>
              <w:right w:val="single" w:sz="4" w:space="0" w:color="000000"/>
            </w:tcBorders>
            <w:vAlign w:val="center"/>
          </w:tcPr>
          <w:p w14:paraId="697160D6"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608" w:type="dxa"/>
            <w:tcBorders>
              <w:top w:val="single" w:sz="4" w:space="0" w:color="000000"/>
              <w:left w:val="single" w:sz="4" w:space="0" w:color="000000"/>
              <w:bottom w:val="single" w:sz="4" w:space="0" w:color="000000"/>
              <w:right w:val="single" w:sz="4" w:space="0" w:color="000000"/>
            </w:tcBorders>
            <w:vAlign w:val="center"/>
          </w:tcPr>
          <w:p w14:paraId="3D9CDDA4"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608" w:type="dxa"/>
            <w:tcBorders>
              <w:top w:val="single" w:sz="4" w:space="0" w:color="000000"/>
              <w:left w:val="single" w:sz="4" w:space="0" w:color="000000"/>
              <w:bottom w:val="single" w:sz="4" w:space="0" w:color="000000"/>
              <w:right w:val="single" w:sz="4" w:space="0" w:color="000000"/>
            </w:tcBorders>
            <w:vAlign w:val="center"/>
          </w:tcPr>
          <w:p w14:paraId="45EFA5A2"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28F44473" w14:textId="77777777" w:rsidTr="00284074">
        <w:trPr>
          <w:cantSplit/>
        </w:trPr>
        <w:tc>
          <w:tcPr>
            <w:tcW w:w="2640" w:type="dxa"/>
            <w:tcBorders>
              <w:top w:val="single" w:sz="4" w:space="0" w:color="000000"/>
              <w:left w:val="single" w:sz="4" w:space="0" w:color="000000"/>
              <w:bottom w:val="single" w:sz="4" w:space="0" w:color="000000"/>
              <w:right w:val="single" w:sz="4" w:space="0" w:color="000000"/>
            </w:tcBorders>
          </w:tcPr>
          <w:p w14:paraId="6BF01E60"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Područje preventive - ZBIRNO</w:t>
            </w:r>
          </w:p>
        </w:tc>
        <w:tc>
          <w:tcPr>
            <w:tcW w:w="1608" w:type="dxa"/>
            <w:tcBorders>
              <w:top w:val="single" w:sz="4" w:space="0" w:color="000000"/>
              <w:left w:val="single" w:sz="4" w:space="0" w:color="000000"/>
              <w:bottom w:val="single" w:sz="4" w:space="0" w:color="000000"/>
              <w:right w:val="single" w:sz="4" w:space="0" w:color="000000"/>
            </w:tcBorders>
            <w:vAlign w:val="center"/>
          </w:tcPr>
          <w:p w14:paraId="75CA3644"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608" w:type="dxa"/>
            <w:tcBorders>
              <w:top w:val="single" w:sz="4" w:space="0" w:color="000000"/>
              <w:left w:val="single" w:sz="4" w:space="0" w:color="000000"/>
              <w:bottom w:val="single" w:sz="4" w:space="0" w:color="000000"/>
              <w:right w:val="single" w:sz="4" w:space="0" w:color="000000"/>
            </w:tcBorders>
            <w:vAlign w:val="center"/>
          </w:tcPr>
          <w:p w14:paraId="6990D665"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608" w:type="dxa"/>
            <w:tcBorders>
              <w:top w:val="single" w:sz="4" w:space="0" w:color="000000"/>
              <w:left w:val="single" w:sz="4" w:space="0" w:color="000000"/>
              <w:bottom w:val="single" w:sz="4" w:space="0" w:color="000000"/>
              <w:right w:val="single" w:sz="4" w:space="0" w:color="000000"/>
            </w:tcBorders>
            <w:vAlign w:val="center"/>
          </w:tcPr>
          <w:p w14:paraId="747DDF18"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608" w:type="dxa"/>
            <w:tcBorders>
              <w:top w:val="single" w:sz="4" w:space="0" w:color="000000"/>
              <w:left w:val="single" w:sz="4" w:space="0" w:color="000000"/>
              <w:bottom w:val="single" w:sz="4" w:space="0" w:color="000000"/>
              <w:right w:val="single" w:sz="4" w:space="0" w:color="000000"/>
            </w:tcBorders>
            <w:vAlign w:val="center"/>
          </w:tcPr>
          <w:p w14:paraId="1BE485F8" w14:textId="77777777" w:rsidR="00CE4763" w:rsidRPr="00CE4763" w:rsidRDefault="00CE4763" w:rsidP="00CE4763">
            <w:pPr>
              <w:spacing w:after="0" w:line="240" w:lineRule="auto"/>
              <w:ind w:left="0" w:right="0" w:firstLine="0"/>
              <w:jc w:val="center"/>
              <w:rPr>
                <w:rFonts w:ascii="Times New Roman" w:hAnsi="Times New Roman" w:cs="Times New Roman"/>
              </w:rPr>
            </w:pPr>
          </w:p>
        </w:tc>
      </w:tr>
    </w:tbl>
    <w:p w14:paraId="7DD1924A" w14:textId="77777777" w:rsidR="003E2F12" w:rsidRDefault="003E2F12" w:rsidP="00CE4763">
      <w:pPr>
        <w:spacing w:after="0" w:line="240" w:lineRule="auto"/>
        <w:ind w:left="0" w:right="0" w:firstLine="0"/>
        <w:rPr>
          <w:rFonts w:ascii="Times New Roman" w:hAnsi="Times New Roman" w:cs="Times New Roman"/>
          <w:b/>
          <w:sz w:val="24"/>
        </w:rPr>
      </w:pPr>
      <w:bookmarkStart w:id="133" w:name="_Toc2938636"/>
    </w:p>
    <w:p w14:paraId="252DAF95" w14:textId="1EAA1418" w:rsidR="00CE4763" w:rsidRPr="00CE4763" w:rsidRDefault="00CE4763" w:rsidP="00CE4763">
      <w:pPr>
        <w:spacing w:after="0" w:line="240" w:lineRule="auto"/>
        <w:ind w:left="0" w:right="0" w:firstLine="0"/>
        <w:rPr>
          <w:rFonts w:ascii="Times New Roman" w:hAnsi="Times New Roman" w:cs="Times New Roman"/>
          <w:b/>
          <w:sz w:val="24"/>
        </w:rPr>
      </w:pPr>
      <w:r w:rsidRPr="00CE4763">
        <w:rPr>
          <w:rFonts w:ascii="Times New Roman" w:hAnsi="Times New Roman" w:cs="Times New Roman"/>
          <w:b/>
          <w:sz w:val="24"/>
        </w:rPr>
        <w:t>8.2. Analiza sustava civilne zaštite - područje reagiranja</w:t>
      </w:r>
      <w:bookmarkEnd w:id="133"/>
    </w:p>
    <w:p w14:paraId="64B5AFA8" w14:textId="77777777" w:rsidR="00CE4763" w:rsidRPr="00CE4763" w:rsidRDefault="00CE4763" w:rsidP="00CE4763">
      <w:pPr>
        <w:spacing w:after="0" w:line="240" w:lineRule="auto"/>
        <w:ind w:left="0" w:right="0" w:firstLine="0"/>
        <w:rPr>
          <w:rFonts w:ascii="Times New Roman" w:hAnsi="Times New Roman" w:cs="Times New Roman"/>
          <w:sz w:val="24"/>
        </w:rPr>
      </w:pPr>
    </w:p>
    <w:p w14:paraId="2920B9A4"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Analiza na području reagiranja sastoji se od sljedećih elemenata:</w:t>
      </w:r>
    </w:p>
    <w:p w14:paraId="677E9AD9" w14:textId="77777777" w:rsidR="00CE4763" w:rsidRPr="00CE4763" w:rsidRDefault="00CE4763" w:rsidP="00CE4763">
      <w:pPr>
        <w:spacing w:after="0" w:line="240" w:lineRule="auto"/>
        <w:ind w:left="0" w:right="0" w:firstLine="709"/>
        <w:rPr>
          <w:rFonts w:ascii="Times New Roman" w:hAnsi="Times New Roman" w:cs="Times New Roman"/>
          <w:b/>
          <w:sz w:val="24"/>
        </w:rPr>
      </w:pPr>
      <w:bookmarkStart w:id="134" w:name="_Toc2938637"/>
      <w:r w:rsidRPr="00CE4763">
        <w:rPr>
          <w:rFonts w:ascii="Times New Roman" w:hAnsi="Times New Roman" w:cs="Times New Roman"/>
          <w:b/>
          <w:sz w:val="24"/>
        </w:rPr>
        <w:t>1) Spremnost odgovornih i upravljačkih kapaciteta</w:t>
      </w:r>
      <w:bookmarkEnd w:id="134"/>
    </w:p>
    <w:p w14:paraId="7F07619A"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Procjena spremnosti sustava civilne zaštite na temelju spremnosti odgovornih i upravljačkih kapaciteta sustava civilne zaštite provedena je analizom podataka o razini odgovornosti, osposobljenosti i uvježbanosti: čelnih osoba Grada Zagreba koji su nadležni za provođenje zakonom utvrđenih operativnih obaveza u fazi reagiranja sustava civilne zaštite, spremnost Stožera civilne zaštite Grada Zagreba, spremnost stožera civilne zaštite gradskih četvrti Grada Zagreba te spremnost koordinatora na mjestu izvanrednog događaja.</w:t>
      </w:r>
    </w:p>
    <w:p w14:paraId="59384AED" w14:textId="77777777" w:rsidR="00CE4763" w:rsidRPr="00CE4763" w:rsidRDefault="00CE4763" w:rsidP="00CE4763">
      <w:pPr>
        <w:spacing w:after="0" w:line="240" w:lineRule="auto"/>
        <w:ind w:right="0"/>
        <w:rPr>
          <w:rFonts w:ascii="Times New Roman" w:hAnsi="Times New Roman" w:cs="Times New Roman"/>
          <w:sz w:val="24"/>
        </w:rPr>
      </w:pPr>
    </w:p>
    <w:p w14:paraId="5F9F5B35"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b/>
          <w:sz w:val="24"/>
          <w:u w:val="single" w:color="000000"/>
        </w:rPr>
        <w:t>Čelne osobe</w:t>
      </w:r>
      <w:r w:rsidRPr="00CE4763">
        <w:rPr>
          <w:rFonts w:ascii="Times New Roman" w:hAnsi="Times New Roman" w:cs="Times New Roman"/>
          <w:sz w:val="24"/>
        </w:rPr>
        <w:t xml:space="preserve">: Razina odgovornosti gradonačelnika Grada Zagreba i načelnika Stožera </w:t>
      </w:r>
      <w:r w:rsidRPr="00CE4763">
        <w:rPr>
          <w:rFonts w:ascii="Times New Roman" w:hAnsi="Times New Roman" w:cs="Times New Roman"/>
          <w:color w:val="auto"/>
          <w:sz w:val="24"/>
        </w:rPr>
        <w:t xml:space="preserve">civilne zaštite Grada Zagreba procjenjuje se s </w:t>
      </w:r>
      <w:r w:rsidRPr="00CE4763">
        <w:rPr>
          <w:rFonts w:ascii="Times New Roman" w:hAnsi="Times New Roman" w:cs="Times New Roman"/>
          <w:color w:val="auto"/>
          <w:sz w:val="24"/>
          <w:u w:val="single" w:color="000000"/>
        </w:rPr>
        <w:t>visokom spremnošću</w:t>
      </w:r>
      <w:r w:rsidRPr="00CE4763">
        <w:rPr>
          <w:rFonts w:ascii="Times New Roman" w:hAnsi="Times New Roman" w:cs="Times New Roman"/>
          <w:color w:val="auto"/>
          <w:sz w:val="24"/>
        </w:rPr>
        <w:t>. Razina osposobljenosti i uvježbanosti je također visoka zbog provedene edukacije i održavanja vježbi postrojbi specijalističke i opće namjene Grada Zagreba više puta godišnje.</w:t>
      </w:r>
    </w:p>
    <w:p w14:paraId="7F7AFCC8" w14:textId="77777777" w:rsidR="00CE4763" w:rsidRPr="00CE4763" w:rsidRDefault="00CE4763" w:rsidP="00CE4763">
      <w:pPr>
        <w:spacing w:after="0" w:line="240" w:lineRule="auto"/>
        <w:ind w:right="0"/>
        <w:rPr>
          <w:rFonts w:ascii="Times New Roman" w:hAnsi="Times New Roman" w:cs="Times New Roman"/>
          <w:sz w:val="24"/>
        </w:rPr>
      </w:pPr>
    </w:p>
    <w:p w14:paraId="2C408084" w14:textId="77777777" w:rsidR="00CE4763" w:rsidRPr="00CE4763" w:rsidRDefault="00CE4763" w:rsidP="00CE4763">
      <w:pPr>
        <w:spacing w:after="0" w:line="240" w:lineRule="auto"/>
        <w:ind w:left="0" w:right="0" w:firstLine="709"/>
        <w:jc w:val="left"/>
        <w:rPr>
          <w:rFonts w:ascii="Times New Roman" w:hAnsi="Times New Roman" w:cs="Times New Roman"/>
          <w:sz w:val="24"/>
        </w:rPr>
      </w:pPr>
      <w:r w:rsidRPr="00CE4763">
        <w:rPr>
          <w:rFonts w:ascii="Times New Roman" w:hAnsi="Times New Roman" w:cs="Times New Roman"/>
          <w:b/>
          <w:sz w:val="24"/>
          <w:u w:val="single" w:color="000000"/>
        </w:rPr>
        <w:t>Stožer civilne zaštite Grada Zagreba</w:t>
      </w:r>
      <w:r w:rsidRPr="00CE4763">
        <w:rPr>
          <w:rFonts w:ascii="Times New Roman" w:hAnsi="Times New Roman" w:cs="Times New Roman"/>
          <w:sz w:val="24"/>
        </w:rPr>
        <w:t>:</w:t>
      </w:r>
    </w:p>
    <w:p w14:paraId="418F052B"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Zaključkom gradonačelnika Grada Zagreba (Službeni glasnik Grada Zagreba 18/17, 19/17, 5/18, 14/18, 18/19, 6/20, 7/20, 8/20, 30/20, 32/20, 33/20, 7/21, 10/21, 16/21, 18/21, 22/21, 26/21, 3/22 i 5/22) osnovan je i imenovan Stožer civilne zaštite Grada Zagreba. Stožer je stručno, operativno i koordinativno tijelo koje usklađuje djelovanje operativnih snaga civilne zaštite u pripremnoj fazi prije nastanka posljedica izvanrednog događaja i tijekom provođenja mjera i aktivnosti civilne zaštite u velikim nesrećama i katastrofama. Stožer ima načelnika, zamjenika načelnika i 12 članova. Načelnik Stožera je dr. sc. Luka Korlaet, zamjenik gradonačelnika Grada Zagreba, a zamjenica načelnika</w:t>
      </w:r>
      <w:r w:rsidRPr="00CE4763">
        <w:rPr>
          <w:color w:val="auto"/>
        </w:rPr>
        <w:t xml:space="preserve"> </w:t>
      </w:r>
      <w:r w:rsidRPr="00CE4763">
        <w:rPr>
          <w:rFonts w:ascii="Times New Roman" w:hAnsi="Times New Roman" w:cs="Times New Roman"/>
          <w:color w:val="auto"/>
          <w:sz w:val="24"/>
        </w:rPr>
        <w:t>Renata Šimon, dipl. iur., pročelnica Gradskog ureda za mjesnu samoupravu, civilnu zaštitu i sigurnost.</w:t>
      </w:r>
    </w:p>
    <w:p w14:paraId="26C62BD3"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Rad stožera odvija se u skladu s Poslovnikom o radu Stožera civilne zaštite Grada Zagreba (Službeni glasnik Grada Zagreba 18/17). Stožer obavlja zadaće koje se odnose na prikupljanje i obradu informacija ranog upozoravanja o mogućnostima nastanka velike nesreće i katastrofe, razvija plan djelovanja sustava civilne zaštite na svom području, upravlja reagiranjem sustava civilne zaštite, obavlja poslove informiranja javnosti i predlaže odluke o prestanku provođenja mjera i aktivnosti u sustavu civilne zaštite.</w:t>
      </w:r>
    </w:p>
    <w:p w14:paraId="1B8BF208"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lastRenderedPageBreak/>
        <w:t>Radom Stožera rukovodi načelnik Stožera, a kad se proglasi velika nesreća ili katastrofa, rukovođenje preuzima gradonačelnik Grada Zagreba ili po ovlaštenju gradonačelnika Grada Zagreba, načelnik Stožera. U svim aktivnostima Stožer usko surađuje s Ravnateljstvom civilne zaštite - Područnim uredom Zagreb, Policijskom upravom zagrebačkom i ostalim operativnim snagama sustava civilne zaštite na području Grada Zagreba. Stožer civilne zaštite Grada Zagreba je upoznat sa odredbama Zakona o sustavu civilne zaštite, podzakonskim aktima, načinom djelovanja sustava civilne zaštite, načelima sustava civilne zaštite i sl. Temeljem članka 6. stavka 2. Pravilnika o mobilizaciji, uvjetima i načinu rada operativnih snaga sustava civilne zaštite (Narodne novine 69/16), u slučaju velike nesreće, Stožer civilne zaštite Grada Zagreba može predložiti organiziranje volontera i način njihova uključivanja u provođenje određenih mjera i aktivnosti u velikim nesrećama i katastrofama, u suradnji sa središnjim tijelom državne uprave nadležnim za organiziranje volontera.</w:t>
      </w:r>
    </w:p>
    <w:p w14:paraId="62D0CF1B"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 xml:space="preserve">Razina odgovornosti Stožera civilne zaštite Grada Zagreba procijenjena je </w:t>
      </w:r>
      <w:r w:rsidRPr="00CE4763">
        <w:rPr>
          <w:rFonts w:ascii="Times New Roman" w:hAnsi="Times New Roman" w:cs="Times New Roman"/>
          <w:sz w:val="24"/>
          <w:u w:val="single" w:color="000000"/>
        </w:rPr>
        <w:t>visokom</w:t>
      </w:r>
      <w:r w:rsidRPr="00CE4763">
        <w:rPr>
          <w:rFonts w:ascii="Times New Roman" w:hAnsi="Times New Roman" w:cs="Times New Roman"/>
          <w:sz w:val="24"/>
        </w:rPr>
        <w:t xml:space="preserve"> razinom spremnosti. Razina osposobljenosti i razina uvježbanosti procijenjena je </w:t>
      </w:r>
      <w:r w:rsidRPr="00CE4763">
        <w:rPr>
          <w:rFonts w:ascii="Times New Roman" w:hAnsi="Times New Roman" w:cs="Times New Roman"/>
          <w:sz w:val="24"/>
          <w:u w:val="single" w:color="000000"/>
        </w:rPr>
        <w:t>visokom</w:t>
      </w:r>
      <w:r w:rsidRPr="00CE4763">
        <w:rPr>
          <w:rFonts w:ascii="Times New Roman" w:hAnsi="Times New Roman" w:cs="Times New Roman"/>
          <w:sz w:val="24"/>
        </w:rPr>
        <w:t>.</w:t>
      </w:r>
    </w:p>
    <w:p w14:paraId="7EF1776E" w14:textId="77777777" w:rsidR="007872F3" w:rsidRPr="00CE4763" w:rsidRDefault="007872F3" w:rsidP="000473BA">
      <w:pPr>
        <w:spacing w:after="0" w:line="240" w:lineRule="auto"/>
        <w:ind w:left="0" w:right="0" w:firstLine="0"/>
        <w:rPr>
          <w:rFonts w:ascii="Times New Roman" w:hAnsi="Times New Roman" w:cs="Times New Roman"/>
          <w:sz w:val="24"/>
        </w:rPr>
      </w:pPr>
    </w:p>
    <w:p w14:paraId="26117BAE" w14:textId="77777777" w:rsidR="00CE4763" w:rsidRPr="00CE4763" w:rsidRDefault="00CE4763" w:rsidP="00CE4763">
      <w:pPr>
        <w:spacing w:after="0" w:line="240" w:lineRule="auto"/>
        <w:ind w:left="0" w:right="0" w:firstLine="709"/>
        <w:jc w:val="left"/>
        <w:rPr>
          <w:rFonts w:ascii="Times New Roman" w:hAnsi="Times New Roman" w:cs="Times New Roman"/>
          <w:b/>
          <w:color w:val="auto"/>
          <w:sz w:val="24"/>
        </w:rPr>
      </w:pPr>
      <w:r w:rsidRPr="00CE4763">
        <w:rPr>
          <w:rFonts w:ascii="Times New Roman" w:hAnsi="Times New Roman" w:cs="Times New Roman"/>
          <w:b/>
          <w:color w:val="auto"/>
          <w:sz w:val="24"/>
          <w:u w:val="single" w:color="000000"/>
        </w:rPr>
        <w:t>Stožeri civilne zaštite gradskih četvrti Grada Zagreba</w:t>
      </w:r>
    </w:p>
    <w:p w14:paraId="07C28A12" w14:textId="77777777" w:rsidR="00CE4763" w:rsidRPr="00CE4763" w:rsidRDefault="00CE4763" w:rsidP="00CE4763">
      <w:pPr>
        <w:spacing w:after="0" w:line="240" w:lineRule="auto"/>
        <w:ind w:left="0" w:right="0" w:firstLine="709"/>
        <w:rPr>
          <w:rFonts w:ascii="Times New Roman" w:hAnsi="Times New Roman" w:cs="Times New Roman"/>
          <w:b/>
          <w:sz w:val="24"/>
        </w:rPr>
      </w:pPr>
      <w:r w:rsidRPr="00CE4763">
        <w:rPr>
          <w:rFonts w:ascii="Times New Roman" w:hAnsi="Times New Roman" w:cs="Times New Roman"/>
          <w:color w:val="auto"/>
          <w:sz w:val="24"/>
        </w:rPr>
        <w:t xml:space="preserve">Zaključkom gradonačelnika Grada Zagreba (Službeni glasnik Grada Zagreba 21/17) osnovani su stožeri civilne zaštite gradskih četvrti Grada Zagreba. U Gradu Zagrebu osnovano </w:t>
      </w:r>
      <w:r w:rsidRPr="00CE4763">
        <w:rPr>
          <w:rFonts w:ascii="Times New Roman" w:hAnsi="Times New Roman" w:cs="Times New Roman"/>
          <w:sz w:val="24"/>
        </w:rPr>
        <w:t>je 17 stožera, i to kako slijedi:</w:t>
      </w:r>
    </w:p>
    <w:p w14:paraId="4D378F6F"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1.</w:t>
      </w:r>
      <w:r w:rsidRPr="00CE4763">
        <w:rPr>
          <w:rFonts w:ascii="Times New Roman" w:hAnsi="Times New Roman" w:cs="Times New Roman"/>
          <w:sz w:val="24"/>
          <w:u w:color="000000"/>
        </w:rPr>
        <w:tab/>
      </w:r>
      <w:r w:rsidRPr="00CE4763">
        <w:rPr>
          <w:rFonts w:ascii="Times New Roman" w:hAnsi="Times New Roman" w:cs="Times New Roman"/>
          <w:sz w:val="24"/>
        </w:rPr>
        <w:t>Stožer civilne zaštite Gradske četvrti Donji grad;</w:t>
      </w:r>
    </w:p>
    <w:p w14:paraId="67866652"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2.</w:t>
      </w:r>
      <w:r w:rsidRPr="00CE4763">
        <w:rPr>
          <w:rFonts w:ascii="Times New Roman" w:hAnsi="Times New Roman" w:cs="Times New Roman"/>
          <w:sz w:val="24"/>
          <w:u w:color="000000"/>
        </w:rPr>
        <w:tab/>
      </w:r>
      <w:r w:rsidRPr="00CE4763">
        <w:rPr>
          <w:rFonts w:ascii="Times New Roman" w:hAnsi="Times New Roman" w:cs="Times New Roman"/>
          <w:sz w:val="24"/>
        </w:rPr>
        <w:t>Stožer civilne zaštite Gradske četvrti Gornji grad - Medveščak;</w:t>
      </w:r>
    </w:p>
    <w:p w14:paraId="2A103F31"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3.</w:t>
      </w:r>
      <w:r w:rsidRPr="00CE4763">
        <w:rPr>
          <w:rFonts w:ascii="Times New Roman" w:hAnsi="Times New Roman" w:cs="Times New Roman"/>
          <w:sz w:val="24"/>
          <w:u w:color="000000"/>
        </w:rPr>
        <w:tab/>
      </w:r>
      <w:r w:rsidRPr="00CE4763">
        <w:rPr>
          <w:rFonts w:ascii="Times New Roman" w:hAnsi="Times New Roman" w:cs="Times New Roman"/>
          <w:sz w:val="24"/>
        </w:rPr>
        <w:t>Stožer civilne zaštite Gradske četvrti Trnje;</w:t>
      </w:r>
    </w:p>
    <w:p w14:paraId="4C5507C0"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4.</w:t>
      </w:r>
      <w:r w:rsidRPr="00CE4763">
        <w:rPr>
          <w:rFonts w:ascii="Times New Roman" w:hAnsi="Times New Roman" w:cs="Times New Roman"/>
          <w:sz w:val="24"/>
          <w:u w:color="000000"/>
        </w:rPr>
        <w:tab/>
      </w:r>
      <w:r w:rsidRPr="00CE4763">
        <w:rPr>
          <w:rFonts w:ascii="Times New Roman" w:hAnsi="Times New Roman" w:cs="Times New Roman"/>
          <w:sz w:val="24"/>
        </w:rPr>
        <w:t>Stožer civilne zaštite Gradske četvrti Maksimir;</w:t>
      </w:r>
    </w:p>
    <w:p w14:paraId="75173F7E"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5.</w:t>
      </w:r>
      <w:r w:rsidRPr="00CE4763">
        <w:rPr>
          <w:rFonts w:ascii="Times New Roman" w:hAnsi="Times New Roman" w:cs="Times New Roman"/>
          <w:sz w:val="24"/>
          <w:u w:color="000000"/>
        </w:rPr>
        <w:tab/>
      </w:r>
      <w:r w:rsidRPr="00CE4763">
        <w:rPr>
          <w:rFonts w:ascii="Times New Roman" w:hAnsi="Times New Roman" w:cs="Times New Roman"/>
          <w:sz w:val="24"/>
        </w:rPr>
        <w:t>Stožer civilne zaštite Gradske četvrti Peščenica - Žitnjak;</w:t>
      </w:r>
    </w:p>
    <w:p w14:paraId="17EBB073"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6.</w:t>
      </w:r>
      <w:r w:rsidRPr="00CE4763">
        <w:rPr>
          <w:rFonts w:ascii="Times New Roman" w:hAnsi="Times New Roman" w:cs="Times New Roman"/>
          <w:sz w:val="24"/>
          <w:u w:color="000000"/>
        </w:rPr>
        <w:tab/>
      </w:r>
      <w:r w:rsidRPr="00CE4763">
        <w:rPr>
          <w:rFonts w:ascii="Times New Roman" w:hAnsi="Times New Roman" w:cs="Times New Roman"/>
          <w:sz w:val="24"/>
        </w:rPr>
        <w:t>Stožer civilne zaštite Gradske četvrti Novi Zagreb - istok;</w:t>
      </w:r>
    </w:p>
    <w:p w14:paraId="47DCE001"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7.</w:t>
      </w:r>
      <w:r w:rsidRPr="00CE4763">
        <w:rPr>
          <w:rFonts w:ascii="Times New Roman" w:hAnsi="Times New Roman" w:cs="Times New Roman"/>
          <w:sz w:val="24"/>
          <w:u w:color="000000"/>
        </w:rPr>
        <w:tab/>
      </w:r>
      <w:r w:rsidRPr="00CE4763">
        <w:rPr>
          <w:rFonts w:ascii="Times New Roman" w:hAnsi="Times New Roman" w:cs="Times New Roman"/>
          <w:sz w:val="24"/>
        </w:rPr>
        <w:t>Stožer civilne zaštite Gradske četvrti Novi Zagreb - zapad;</w:t>
      </w:r>
    </w:p>
    <w:p w14:paraId="7F8A50FD"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8.</w:t>
      </w:r>
      <w:r w:rsidRPr="00CE4763">
        <w:rPr>
          <w:rFonts w:ascii="Times New Roman" w:hAnsi="Times New Roman" w:cs="Times New Roman"/>
          <w:sz w:val="24"/>
          <w:u w:color="000000"/>
        </w:rPr>
        <w:tab/>
      </w:r>
      <w:r w:rsidRPr="00CE4763">
        <w:rPr>
          <w:rFonts w:ascii="Times New Roman" w:hAnsi="Times New Roman" w:cs="Times New Roman"/>
          <w:sz w:val="24"/>
        </w:rPr>
        <w:t>Stožer civilne zaštite Gradske četvrti Trešnjevka - sjever;</w:t>
      </w:r>
    </w:p>
    <w:p w14:paraId="7851F6D0"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9.</w:t>
      </w:r>
      <w:r w:rsidRPr="00CE4763">
        <w:rPr>
          <w:rFonts w:ascii="Times New Roman" w:hAnsi="Times New Roman" w:cs="Times New Roman"/>
          <w:sz w:val="24"/>
          <w:u w:color="000000"/>
        </w:rPr>
        <w:tab/>
      </w:r>
      <w:r w:rsidRPr="00CE4763">
        <w:rPr>
          <w:rFonts w:ascii="Times New Roman" w:hAnsi="Times New Roman" w:cs="Times New Roman"/>
          <w:sz w:val="24"/>
        </w:rPr>
        <w:t>Stožer civilne zaštite Gradske četvrti Trešnjevka - jug;</w:t>
      </w:r>
    </w:p>
    <w:p w14:paraId="7B7681F8"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10.</w:t>
      </w:r>
      <w:r w:rsidRPr="00CE4763">
        <w:rPr>
          <w:rFonts w:ascii="Times New Roman" w:hAnsi="Times New Roman" w:cs="Times New Roman"/>
          <w:sz w:val="24"/>
          <w:u w:color="000000"/>
        </w:rPr>
        <w:tab/>
      </w:r>
      <w:r w:rsidRPr="00CE4763">
        <w:rPr>
          <w:rFonts w:ascii="Times New Roman" w:hAnsi="Times New Roman" w:cs="Times New Roman"/>
          <w:sz w:val="24"/>
        </w:rPr>
        <w:t>Stožer civilne zaštite Gradske četvrti Črnomerec;</w:t>
      </w:r>
    </w:p>
    <w:p w14:paraId="0C650367"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11.</w:t>
      </w:r>
      <w:r w:rsidRPr="00CE4763">
        <w:rPr>
          <w:rFonts w:ascii="Times New Roman" w:hAnsi="Times New Roman" w:cs="Times New Roman"/>
          <w:sz w:val="24"/>
          <w:u w:color="000000"/>
        </w:rPr>
        <w:tab/>
      </w:r>
      <w:r w:rsidRPr="00CE4763">
        <w:rPr>
          <w:rFonts w:ascii="Times New Roman" w:hAnsi="Times New Roman" w:cs="Times New Roman"/>
          <w:sz w:val="24"/>
        </w:rPr>
        <w:t>Stožer civilne zaštite Gradske četvrti Gornja Dubrava;</w:t>
      </w:r>
    </w:p>
    <w:p w14:paraId="1A404715"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12.</w:t>
      </w:r>
      <w:r w:rsidRPr="00CE4763">
        <w:rPr>
          <w:rFonts w:ascii="Times New Roman" w:hAnsi="Times New Roman" w:cs="Times New Roman"/>
          <w:sz w:val="24"/>
          <w:u w:color="000000"/>
        </w:rPr>
        <w:tab/>
      </w:r>
      <w:r w:rsidRPr="00CE4763">
        <w:rPr>
          <w:rFonts w:ascii="Times New Roman" w:hAnsi="Times New Roman" w:cs="Times New Roman"/>
          <w:sz w:val="24"/>
        </w:rPr>
        <w:t>Stožer civilne zaštite Gradske četvrti Donja Dubrava;</w:t>
      </w:r>
    </w:p>
    <w:p w14:paraId="2EF3C11A"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13.</w:t>
      </w:r>
      <w:r w:rsidRPr="00CE4763">
        <w:rPr>
          <w:rFonts w:ascii="Times New Roman" w:hAnsi="Times New Roman" w:cs="Times New Roman"/>
          <w:sz w:val="24"/>
          <w:u w:color="000000"/>
        </w:rPr>
        <w:tab/>
      </w:r>
      <w:r w:rsidRPr="00CE4763">
        <w:rPr>
          <w:rFonts w:ascii="Times New Roman" w:hAnsi="Times New Roman" w:cs="Times New Roman"/>
          <w:sz w:val="24"/>
        </w:rPr>
        <w:t>Stožer civilne zaštite Gradske četvrti Stenjevec;</w:t>
      </w:r>
    </w:p>
    <w:p w14:paraId="5843DF6E"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14.</w:t>
      </w:r>
      <w:r w:rsidRPr="00CE4763">
        <w:rPr>
          <w:rFonts w:ascii="Times New Roman" w:hAnsi="Times New Roman" w:cs="Times New Roman"/>
          <w:sz w:val="24"/>
          <w:u w:color="000000"/>
        </w:rPr>
        <w:tab/>
      </w:r>
      <w:r w:rsidRPr="00CE4763">
        <w:rPr>
          <w:rFonts w:ascii="Times New Roman" w:hAnsi="Times New Roman" w:cs="Times New Roman"/>
          <w:sz w:val="24"/>
        </w:rPr>
        <w:t>Stožer civilne zaštite Gradske četvrti Podsused - Vrapče;</w:t>
      </w:r>
    </w:p>
    <w:p w14:paraId="3EDF68C3"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15.</w:t>
      </w:r>
      <w:r w:rsidRPr="00CE4763">
        <w:rPr>
          <w:rFonts w:ascii="Times New Roman" w:hAnsi="Times New Roman" w:cs="Times New Roman"/>
          <w:sz w:val="24"/>
          <w:u w:color="000000"/>
        </w:rPr>
        <w:tab/>
      </w:r>
      <w:r w:rsidRPr="00CE4763">
        <w:rPr>
          <w:rFonts w:ascii="Times New Roman" w:hAnsi="Times New Roman" w:cs="Times New Roman"/>
          <w:sz w:val="24"/>
        </w:rPr>
        <w:t>Stožer civilne zaštite Gradske četvrti Podsljeme;</w:t>
      </w:r>
    </w:p>
    <w:p w14:paraId="1BC2C69A"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16.</w:t>
      </w:r>
      <w:r w:rsidRPr="00CE4763">
        <w:rPr>
          <w:rFonts w:ascii="Times New Roman" w:hAnsi="Times New Roman" w:cs="Times New Roman"/>
          <w:sz w:val="24"/>
          <w:u w:color="000000"/>
        </w:rPr>
        <w:tab/>
      </w:r>
      <w:r w:rsidRPr="00CE4763">
        <w:rPr>
          <w:rFonts w:ascii="Times New Roman" w:hAnsi="Times New Roman" w:cs="Times New Roman"/>
          <w:sz w:val="24"/>
        </w:rPr>
        <w:t>Stožer civilne zaštite Gradske četvrti Sesvete;</w:t>
      </w:r>
    </w:p>
    <w:p w14:paraId="1A49B98B"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17.</w:t>
      </w:r>
      <w:r w:rsidRPr="00CE4763">
        <w:rPr>
          <w:rFonts w:ascii="Times New Roman" w:hAnsi="Times New Roman" w:cs="Times New Roman"/>
          <w:sz w:val="24"/>
          <w:u w:color="000000"/>
        </w:rPr>
        <w:tab/>
      </w:r>
      <w:r w:rsidRPr="00CE4763">
        <w:rPr>
          <w:rFonts w:ascii="Times New Roman" w:hAnsi="Times New Roman" w:cs="Times New Roman"/>
          <w:sz w:val="24"/>
        </w:rPr>
        <w:t>Stožer civilne zaštite Gradske četvrti Brezovica.</w:t>
      </w:r>
    </w:p>
    <w:p w14:paraId="195FDACC"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sz w:val="24"/>
        </w:rPr>
        <w:t xml:space="preserve">Stožeri su tijela koja sudjeluju u provođenju civilne zaštite na području gradskih četvrti u Gradu Zagrebu. Članove stožera imenuju vijeća gradskih četvrti. Stožeri imaju načelnika, zamjenika načelnika i 5 članova. Načelnik je po dužnosti predsjednik vijeća gradske četvrti i rukovodi radom stožera, zamjenik načelnika je po dužnosti potpredsjednik vijeća gradske </w:t>
      </w:r>
      <w:r w:rsidRPr="00CE4763">
        <w:rPr>
          <w:rFonts w:ascii="Times New Roman" w:hAnsi="Times New Roman" w:cs="Times New Roman"/>
          <w:color w:val="auto"/>
          <w:sz w:val="24"/>
        </w:rPr>
        <w:t>četvrti. Tri člana stožera su iz redova vijeća gradske četvrti a dva člana su iz redova stručnih osoba za pojedina područja prirodnih, tehničkih i drugih znanosti, po prethodno pribavljenom mišljenju pravne osobe kojoj je redovna djelatnost zaštita i spašavanje.</w:t>
      </w:r>
    </w:p>
    <w:p w14:paraId="0D597AA9"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 xml:space="preserve">Razina odgovornosti stožera civilne zaštite gradskih četvrti procijenjena je </w:t>
      </w:r>
      <w:r w:rsidRPr="00CE4763">
        <w:rPr>
          <w:rFonts w:ascii="Times New Roman" w:hAnsi="Times New Roman" w:cs="Times New Roman"/>
          <w:sz w:val="24"/>
          <w:u w:val="single" w:color="000000"/>
        </w:rPr>
        <w:t>visokom</w:t>
      </w:r>
      <w:r w:rsidRPr="00CE4763">
        <w:rPr>
          <w:rFonts w:ascii="Times New Roman" w:hAnsi="Times New Roman" w:cs="Times New Roman"/>
          <w:sz w:val="24"/>
        </w:rPr>
        <w:t xml:space="preserve"> razinom spremnosti. Razina osposobljenosti i razina uvježbanosti procijenjena je jednako tako </w:t>
      </w:r>
      <w:r w:rsidRPr="00CE4763">
        <w:rPr>
          <w:rFonts w:ascii="Times New Roman" w:hAnsi="Times New Roman" w:cs="Times New Roman"/>
          <w:sz w:val="24"/>
          <w:u w:val="single" w:color="000000"/>
        </w:rPr>
        <w:t>visokom</w:t>
      </w:r>
      <w:r w:rsidRPr="00CE4763">
        <w:rPr>
          <w:rFonts w:ascii="Times New Roman" w:hAnsi="Times New Roman" w:cs="Times New Roman"/>
          <w:sz w:val="24"/>
        </w:rPr>
        <w:t>.</w:t>
      </w:r>
    </w:p>
    <w:p w14:paraId="3CC361DD" w14:textId="77777777" w:rsidR="00CE4763" w:rsidRPr="00CE4763" w:rsidRDefault="00CE4763" w:rsidP="00CE4763">
      <w:pPr>
        <w:spacing w:after="0" w:line="240" w:lineRule="auto"/>
        <w:ind w:left="0" w:right="0" w:firstLine="0"/>
        <w:jc w:val="left"/>
        <w:rPr>
          <w:rFonts w:ascii="Times New Roman" w:hAnsi="Times New Roman" w:cs="Times New Roman"/>
          <w:sz w:val="24"/>
          <w:u w:color="000000"/>
        </w:rPr>
      </w:pPr>
    </w:p>
    <w:p w14:paraId="2E8E252A" w14:textId="77777777" w:rsidR="00CE4763" w:rsidRPr="00CE4763" w:rsidRDefault="00CE4763" w:rsidP="00CE4763">
      <w:pPr>
        <w:spacing w:after="0" w:line="240" w:lineRule="auto"/>
        <w:ind w:left="0" w:right="0" w:firstLine="709"/>
        <w:jc w:val="left"/>
        <w:rPr>
          <w:rFonts w:ascii="Times New Roman" w:hAnsi="Times New Roman" w:cs="Times New Roman"/>
          <w:sz w:val="24"/>
        </w:rPr>
      </w:pPr>
      <w:r w:rsidRPr="00CE4763">
        <w:rPr>
          <w:rFonts w:ascii="Times New Roman" w:hAnsi="Times New Roman" w:cs="Times New Roman"/>
          <w:b/>
          <w:sz w:val="24"/>
          <w:u w:val="single" w:color="000000"/>
        </w:rPr>
        <w:t>Koordinator na lokaciji</w:t>
      </w:r>
    </w:p>
    <w:p w14:paraId="1E3499D8" w14:textId="77777777" w:rsidR="00CE4763" w:rsidRPr="00CE4763" w:rsidRDefault="00CE4763" w:rsidP="00CE4763">
      <w:pPr>
        <w:spacing w:after="0" w:line="240" w:lineRule="auto"/>
        <w:ind w:left="0" w:right="0" w:firstLine="709"/>
        <w:rPr>
          <w:rFonts w:ascii="Times New Roman" w:hAnsi="Times New Roman" w:cs="Times New Roman"/>
          <w:color w:val="FF0000"/>
          <w:sz w:val="24"/>
        </w:rPr>
      </w:pPr>
      <w:r w:rsidRPr="00CE4763">
        <w:rPr>
          <w:rFonts w:ascii="Times New Roman" w:hAnsi="Times New Roman" w:cs="Times New Roman"/>
          <w:sz w:val="24"/>
        </w:rPr>
        <w:t xml:space="preserve">Koordinator na lokaciji procjenjuje nastalu situaciju i njezine posljedice na terenu te u suradnji s stožerom civilne zaštite usklađuje djelovanje operativnih snaga sustava civilne </w:t>
      </w:r>
      <w:r w:rsidRPr="00CE4763">
        <w:rPr>
          <w:rFonts w:ascii="Times New Roman" w:hAnsi="Times New Roman" w:cs="Times New Roman"/>
          <w:color w:val="auto"/>
          <w:sz w:val="24"/>
        </w:rPr>
        <w:lastRenderedPageBreak/>
        <w:t>zaštite, poradi poduzimanja mjera i aktivnosti za otklanjanje posljedica izvanrednog događaja. Koordinatora na lokaciji, sukladno specifičnostima izvanrednog događaja, određuje načelnik stožera civilne zaštite iz redova operativnih snaga sustava civilne zaštite. Temeljem članka 26. stavka 2. Pravilnika o mobilizaciji, uvjetima i načinu rada operativnih snaga sustava civilne zaštite (Narodne novine 69/16) Grad Zagreb će u suradnji s operativnim snagama civilne zaštite, utvrditi popis potencijalnih koordinatora na lokaciji. S obzirom na to da koordinator na lokaciji još uvijek nije imenovan, unatoč činjenici da je razina odgovornosti i uvježbanosti postojećih pripadnika upravljačkih skupina operativnih snaga koji bi bili imenovani koordinatorima visoka, razina odgovornosti, osposobljenosti i uvježbanosti procijenjena je niskom.</w:t>
      </w:r>
    </w:p>
    <w:p w14:paraId="62FEC849" w14:textId="4DD401B1" w:rsidR="00CE4763" w:rsidRDefault="00CE4763" w:rsidP="00CE4763">
      <w:pPr>
        <w:spacing w:after="0" w:line="240" w:lineRule="auto"/>
        <w:ind w:right="0"/>
        <w:rPr>
          <w:rFonts w:ascii="Times New Roman" w:hAnsi="Times New Roman" w:cs="Times New Roman"/>
          <w:sz w:val="24"/>
        </w:rPr>
      </w:pPr>
    </w:p>
    <w:p w14:paraId="63568A09" w14:textId="77777777" w:rsidR="00CE4763" w:rsidRPr="00CE4763" w:rsidRDefault="00CE4763" w:rsidP="00CE4763">
      <w:pPr>
        <w:spacing w:after="0" w:line="240" w:lineRule="auto"/>
        <w:ind w:left="0" w:right="0" w:firstLine="709"/>
        <w:rPr>
          <w:rFonts w:ascii="Times New Roman" w:hAnsi="Times New Roman" w:cs="Times New Roman"/>
          <w:sz w:val="24"/>
          <w:u w:val="single"/>
        </w:rPr>
      </w:pPr>
      <w:r w:rsidRPr="00CE4763">
        <w:rPr>
          <w:rFonts w:ascii="Times New Roman" w:hAnsi="Times New Roman" w:cs="Times New Roman"/>
          <w:sz w:val="24"/>
          <w:u w:val="single"/>
        </w:rPr>
        <w:t>Zaključak</w:t>
      </w:r>
    </w:p>
    <w:p w14:paraId="09FA5C3B"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Spremnost odgovornih i upravljačkih kapaciteta je na </w:t>
      </w:r>
      <w:r w:rsidRPr="00CE4763">
        <w:rPr>
          <w:rFonts w:ascii="Times New Roman" w:hAnsi="Times New Roman" w:cs="Times New Roman"/>
          <w:color w:val="auto"/>
          <w:sz w:val="24"/>
          <w:u w:val="single" w:color="000000"/>
        </w:rPr>
        <w:t>visokoj</w:t>
      </w:r>
      <w:r w:rsidRPr="00CE4763">
        <w:rPr>
          <w:rFonts w:ascii="Times New Roman" w:hAnsi="Times New Roman" w:cs="Times New Roman"/>
          <w:color w:val="auto"/>
          <w:sz w:val="24"/>
        </w:rPr>
        <w:t xml:space="preserve"> razini. Stožeri civilne zaštite na razini Grada Zagreba i gradskih četvrti su ustrojeni, odgovorne osobe su imenovane i educirane, a poslove koji se odnose na planiranje, razvoj, učinkovito funkcioniranje i financiranje sustava civilne zaštite, obrane, zaštite od požara, elementarnih nepogoda i vatrogastva u izvršavanju prava, obveza i odgovornosti Gradske skupštine i gradonačelnika obavlja Gradski ured za mjesnu samoupravu, civilnu zaštitu i sigurnost. </w:t>
      </w:r>
    </w:p>
    <w:p w14:paraId="64B0F88E" w14:textId="77777777" w:rsidR="00CE4763" w:rsidRPr="00CE4763" w:rsidRDefault="00CE4763" w:rsidP="00CE4763">
      <w:pPr>
        <w:spacing w:after="0" w:line="240" w:lineRule="auto"/>
        <w:ind w:right="0"/>
        <w:rPr>
          <w:rFonts w:ascii="Times New Roman" w:hAnsi="Times New Roman" w:cs="Times New Roman"/>
          <w:sz w:val="24"/>
        </w:rPr>
      </w:pPr>
    </w:p>
    <w:p w14:paraId="743C5778" w14:textId="77777777" w:rsidR="00CE4763" w:rsidRPr="00CE4763" w:rsidRDefault="00CE4763" w:rsidP="00CE4763">
      <w:pPr>
        <w:spacing w:after="0" w:line="240" w:lineRule="auto"/>
        <w:ind w:left="0" w:right="0" w:firstLine="709"/>
        <w:rPr>
          <w:rFonts w:ascii="Times New Roman" w:hAnsi="Times New Roman" w:cs="Times New Roman"/>
          <w:b/>
          <w:sz w:val="24"/>
        </w:rPr>
      </w:pPr>
      <w:bookmarkStart w:id="135" w:name="_Toc2938638"/>
      <w:r w:rsidRPr="00CE4763">
        <w:rPr>
          <w:rFonts w:ascii="Times New Roman" w:hAnsi="Times New Roman" w:cs="Times New Roman"/>
          <w:b/>
          <w:sz w:val="24"/>
        </w:rPr>
        <w:t>2) Spremnost operativnih kapaciteta</w:t>
      </w:r>
      <w:bookmarkEnd w:id="135"/>
    </w:p>
    <w:p w14:paraId="49F48869"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Procjena spremnosti sustava civilne zaštite provedena je na temelju operativnih kapaciteta sustava civilne zaštite za provođenje svih mjera i aktivnosti sustava civilne zaštite. Spremnost operativnih kapaciteta analizirana je po sljedećim parametrima: popunjenost ljudstvom, spremnost zapovjedništva, osposobljenosti i uvježbanosti ljudstva i zapovjednog osoblja, opremljenosti materijalno-tehničkim sredstvima, vremenu mobilizacijske spremnosti, samodostatnosti te logističkoj potpori.</w:t>
      </w:r>
    </w:p>
    <w:p w14:paraId="4521FAB0"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Načelo samodostatnosti označava da postrojbe civilne zaštite raspolažu potrebnim materijalno-tehničkim sredstvima (osobna i skupna oprema, uključujući vozila, opremu za smještaj, vodu, hranu, sanitarije) kojima mogu samostalno djelovati na lokaciji intervencije u propisanom razdoblju s ciljem ostvarivanja kontinuiteta djelovanja i nemaju logističkih zahtjeva prema nadležnom tijelu primatelja pomoći kada pružaju pomoć izvan matičnog područja nadležnosti.</w:t>
      </w:r>
    </w:p>
    <w:p w14:paraId="439B03E9" w14:textId="77777777" w:rsidR="00CE4763" w:rsidRPr="00CE4763" w:rsidRDefault="00CE4763" w:rsidP="00CE4763">
      <w:pPr>
        <w:spacing w:after="0" w:line="240" w:lineRule="auto"/>
        <w:ind w:right="0"/>
        <w:rPr>
          <w:rFonts w:ascii="Times New Roman" w:hAnsi="Times New Roman" w:cs="Times New Roman"/>
          <w:sz w:val="24"/>
        </w:rPr>
      </w:pPr>
    </w:p>
    <w:p w14:paraId="2CF1D08C" w14:textId="77777777" w:rsidR="00CE4763" w:rsidRPr="00CE4763" w:rsidRDefault="00CE4763" w:rsidP="00CE4763">
      <w:pPr>
        <w:spacing w:after="0" w:line="240" w:lineRule="auto"/>
        <w:ind w:left="0" w:right="0" w:firstLine="709"/>
        <w:rPr>
          <w:rFonts w:ascii="Times New Roman" w:hAnsi="Times New Roman" w:cs="Times New Roman"/>
          <w:b/>
          <w:sz w:val="24"/>
        </w:rPr>
      </w:pPr>
      <w:bookmarkStart w:id="136" w:name="_Toc2938639"/>
      <w:r w:rsidRPr="00CE4763">
        <w:rPr>
          <w:rFonts w:ascii="Times New Roman" w:hAnsi="Times New Roman" w:cs="Times New Roman"/>
          <w:b/>
          <w:sz w:val="24"/>
        </w:rPr>
        <w:t>Postrojbe civilne zaštite Grada Zagreba (opće i specijalističke)</w:t>
      </w:r>
      <w:bookmarkEnd w:id="136"/>
    </w:p>
    <w:p w14:paraId="53DA4899"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Gradska skupština Grada Zagreba Odlukom o osnivanju postrojbi civilne zaštite opće namjene Grada Zagreba (Službeni glasnik Grada Zagreba 11/18) osnovala je sljedeće postrojbe:</w:t>
      </w:r>
    </w:p>
    <w:p w14:paraId="78200931"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1.</w:t>
      </w:r>
      <w:r w:rsidRPr="00CE4763">
        <w:rPr>
          <w:rFonts w:ascii="Times New Roman" w:hAnsi="Times New Roman" w:cs="Times New Roman"/>
          <w:sz w:val="24"/>
          <w:u w:color="000000"/>
        </w:rPr>
        <w:tab/>
      </w:r>
      <w:r w:rsidRPr="00CE4763">
        <w:rPr>
          <w:rFonts w:ascii="Times New Roman" w:hAnsi="Times New Roman" w:cs="Times New Roman"/>
          <w:sz w:val="24"/>
        </w:rPr>
        <w:t>Postrojbu civilne zaštite opće namjene Gradske četvrti Donji grad,</w:t>
      </w:r>
    </w:p>
    <w:p w14:paraId="000DA76C"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rPr>
        <w:t>2.</w:t>
      </w:r>
      <w:r w:rsidRPr="00CE4763">
        <w:rPr>
          <w:rFonts w:ascii="Times New Roman" w:hAnsi="Times New Roman" w:cs="Times New Roman"/>
          <w:sz w:val="24"/>
        </w:rPr>
        <w:tab/>
        <w:t>Postrojbu civilne zaštite opće namjene Gradske četvrti Gornji grad - Medveščak,</w:t>
      </w:r>
    </w:p>
    <w:p w14:paraId="26DC8F36"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rPr>
        <w:t>3.</w:t>
      </w:r>
      <w:r w:rsidRPr="00CE4763">
        <w:rPr>
          <w:rFonts w:ascii="Times New Roman" w:hAnsi="Times New Roman" w:cs="Times New Roman"/>
          <w:sz w:val="24"/>
        </w:rPr>
        <w:tab/>
        <w:t>Postrojbu civilne zaštite opće namjene Gradske četvrti Trnje,</w:t>
      </w:r>
    </w:p>
    <w:p w14:paraId="766ECE33"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rPr>
        <w:t>4.</w:t>
      </w:r>
      <w:r w:rsidRPr="00CE4763">
        <w:rPr>
          <w:rFonts w:ascii="Times New Roman" w:hAnsi="Times New Roman" w:cs="Times New Roman"/>
          <w:sz w:val="24"/>
        </w:rPr>
        <w:tab/>
        <w:t>Postrojbu civilne zaštite opće namjene Gradske četvrti Maksimir,</w:t>
      </w:r>
    </w:p>
    <w:p w14:paraId="13E9823A"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rPr>
        <w:t>5.</w:t>
      </w:r>
      <w:r w:rsidRPr="00CE4763">
        <w:rPr>
          <w:rFonts w:ascii="Times New Roman" w:hAnsi="Times New Roman" w:cs="Times New Roman"/>
          <w:sz w:val="24"/>
        </w:rPr>
        <w:tab/>
        <w:t>Postrojbu civilne zaštite opće namjene Gradske četvrti Peščenica - Žitnjak,</w:t>
      </w:r>
    </w:p>
    <w:p w14:paraId="00359CC1"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rPr>
        <w:t>6.</w:t>
      </w:r>
      <w:r w:rsidRPr="00CE4763">
        <w:rPr>
          <w:rFonts w:ascii="Times New Roman" w:hAnsi="Times New Roman" w:cs="Times New Roman"/>
          <w:sz w:val="24"/>
        </w:rPr>
        <w:tab/>
        <w:t>Postrojbu civilne zaštite opće namjene Gradske četvrti Novi Zagreb - istok,</w:t>
      </w:r>
    </w:p>
    <w:p w14:paraId="23CB35A3"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rPr>
        <w:t>7.</w:t>
      </w:r>
      <w:r w:rsidRPr="00CE4763">
        <w:rPr>
          <w:rFonts w:ascii="Times New Roman" w:hAnsi="Times New Roman" w:cs="Times New Roman"/>
          <w:sz w:val="24"/>
        </w:rPr>
        <w:tab/>
        <w:t>Postrojbu civilne zaštite opće namjene Gradske četvrti Novi Zagreb - zapad,</w:t>
      </w:r>
    </w:p>
    <w:p w14:paraId="45D5776C"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rPr>
        <w:t>8.</w:t>
      </w:r>
      <w:r w:rsidRPr="00CE4763">
        <w:rPr>
          <w:rFonts w:ascii="Times New Roman" w:hAnsi="Times New Roman" w:cs="Times New Roman"/>
          <w:sz w:val="24"/>
        </w:rPr>
        <w:tab/>
        <w:t>Postrojbu civilne zaštite opće namjene Gradske četvrti Trešnjevka - sjever,</w:t>
      </w:r>
    </w:p>
    <w:p w14:paraId="29533DDB"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rPr>
        <w:t>9.</w:t>
      </w:r>
      <w:r w:rsidRPr="00CE4763">
        <w:rPr>
          <w:rFonts w:ascii="Times New Roman" w:hAnsi="Times New Roman" w:cs="Times New Roman"/>
          <w:sz w:val="24"/>
        </w:rPr>
        <w:tab/>
        <w:t>Postrojbu civilne zaštite opće namjene Gradske četvrti Trešnjevka - jug,</w:t>
      </w:r>
    </w:p>
    <w:p w14:paraId="7978C94E"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rPr>
        <w:t>10.</w:t>
      </w:r>
      <w:r w:rsidRPr="00CE4763">
        <w:rPr>
          <w:rFonts w:ascii="Times New Roman" w:hAnsi="Times New Roman" w:cs="Times New Roman"/>
          <w:sz w:val="24"/>
        </w:rPr>
        <w:tab/>
        <w:t>Postrojbu civilne zaštite opće namjene Gradske četvrti Črnomerec,</w:t>
      </w:r>
    </w:p>
    <w:p w14:paraId="29CFB1DE"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rPr>
        <w:t>11.</w:t>
      </w:r>
      <w:r w:rsidRPr="00CE4763">
        <w:rPr>
          <w:rFonts w:ascii="Times New Roman" w:hAnsi="Times New Roman" w:cs="Times New Roman"/>
          <w:sz w:val="24"/>
        </w:rPr>
        <w:tab/>
        <w:t>Postrojbu civilne zaštite opće namjene Gradske četvrti Gornja Dubrava,</w:t>
      </w:r>
    </w:p>
    <w:p w14:paraId="1FE7674B"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rPr>
        <w:t>12.</w:t>
      </w:r>
      <w:r w:rsidRPr="00CE4763">
        <w:rPr>
          <w:rFonts w:ascii="Times New Roman" w:hAnsi="Times New Roman" w:cs="Times New Roman"/>
          <w:sz w:val="24"/>
        </w:rPr>
        <w:tab/>
        <w:t>Postrojbu civilne zaštite opće namjene Gradske četvrti Donja Dubrava,</w:t>
      </w:r>
    </w:p>
    <w:p w14:paraId="0B727354"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rPr>
        <w:t>13.</w:t>
      </w:r>
      <w:r w:rsidRPr="00CE4763">
        <w:rPr>
          <w:rFonts w:ascii="Times New Roman" w:hAnsi="Times New Roman" w:cs="Times New Roman"/>
          <w:sz w:val="24"/>
        </w:rPr>
        <w:tab/>
        <w:t>Postrojbu civilne zaštite opće namjene Gradske četvrti Stenjevec,</w:t>
      </w:r>
    </w:p>
    <w:p w14:paraId="40BF1124"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rPr>
        <w:t>14.</w:t>
      </w:r>
      <w:r w:rsidRPr="00CE4763">
        <w:rPr>
          <w:rFonts w:ascii="Times New Roman" w:hAnsi="Times New Roman" w:cs="Times New Roman"/>
          <w:sz w:val="24"/>
        </w:rPr>
        <w:tab/>
        <w:t>Postrojbu civilne zaštite opće namjene Gradske četvrti Podsused - Vrapče,</w:t>
      </w:r>
    </w:p>
    <w:p w14:paraId="7D0171AF"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rPr>
        <w:t>15.</w:t>
      </w:r>
      <w:r w:rsidRPr="00CE4763">
        <w:rPr>
          <w:rFonts w:ascii="Times New Roman" w:hAnsi="Times New Roman" w:cs="Times New Roman"/>
          <w:sz w:val="24"/>
        </w:rPr>
        <w:tab/>
        <w:t>Postrojbu civilne zaštite opće namjene Gradske četvrti Podsljeme,</w:t>
      </w:r>
    </w:p>
    <w:p w14:paraId="3B733E16"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rPr>
        <w:lastRenderedPageBreak/>
        <w:t>16.</w:t>
      </w:r>
      <w:r w:rsidRPr="00CE4763">
        <w:rPr>
          <w:rFonts w:ascii="Times New Roman" w:hAnsi="Times New Roman" w:cs="Times New Roman"/>
          <w:sz w:val="24"/>
        </w:rPr>
        <w:tab/>
        <w:t>Postrojbu civilne zaštite opće namjene Gradske četvrti Sesvete,</w:t>
      </w:r>
    </w:p>
    <w:p w14:paraId="4F21A10A"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rPr>
        <w:t>17.</w:t>
      </w:r>
      <w:r w:rsidRPr="00CE4763">
        <w:rPr>
          <w:rFonts w:ascii="Times New Roman" w:hAnsi="Times New Roman" w:cs="Times New Roman"/>
          <w:sz w:val="24"/>
        </w:rPr>
        <w:tab/>
        <w:t>Postrojbu civilne zaštite opće namjene Gradske četvrti Brezovica.</w:t>
      </w:r>
    </w:p>
    <w:p w14:paraId="582BEEAC" w14:textId="77777777" w:rsidR="00CE4763" w:rsidRPr="00CE4763" w:rsidRDefault="00CE4763" w:rsidP="00CE4763">
      <w:pPr>
        <w:spacing w:after="0" w:line="240" w:lineRule="auto"/>
        <w:ind w:left="0" w:right="0" w:firstLine="709"/>
        <w:rPr>
          <w:rFonts w:ascii="Times New Roman" w:hAnsi="Times New Roman" w:cs="Times New Roman"/>
          <w:color w:val="auto"/>
          <w:sz w:val="24"/>
          <w:szCs w:val="24"/>
        </w:rPr>
      </w:pPr>
      <w:r w:rsidRPr="00CE4763">
        <w:rPr>
          <w:rFonts w:ascii="Times New Roman" w:hAnsi="Times New Roman" w:cs="Times New Roman"/>
          <w:color w:val="auto"/>
          <w:sz w:val="24"/>
          <w:szCs w:val="24"/>
        </w:rPr>
        <w:t>Upućivani su medijski pozivi građanima Grada Zagreba na dobrovoljno uključivanje u postrojbe civilne zaštite Grada Zagreba te je sa zainteresiranim građanima održano više sastanaka na kojima je prezentirano stanje ustroja i opremljenosti civilne zaštite. Zainteresirani građani uključeni su u sustav civilne zaštite Grada Zagreba rasporedom u postrojbe civilne zaštite. 2021. godine izdan je i letak Pridruži se civilnoj zaštiti kojim se željelo animirati mlade ljude da dobrovoljno pristupe postrojbama civilne zaštite opće namjene. Nakon javnog poziva, primijećeno je povećano zanimanje za pristup postrojbama te su oni koji su iskazali interes, uvedeni u evidenciju pripadnika.</w:t>
      </w:r>
    </w:p>
    <w:p w14:paraId="287027DC"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Svaka se postrojba sastoji od upravljačke i najmanje dviju operativnih skupina. Upravljačka skupina sastoji se od 2 pripadnika, a svaka operativna skupina sastoji se od 8 do 10 pripadnika, sukladno potrebama koje proizlaze iz Procjene ugroženosti stanovništva, materijalnih i kulturnih dobara i okoliša od katastrofa i velikih nesreća za područje Grada Zagreba.</w:t>
      </w:r>
    </w:p>
    <w:p w14:paraId="71B5E18F"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Gradska skupština Grada Zagreba je Odlukom o osnivanju postrojbi civilne zaštite specijalističke namjene Grada Zagreba (Službeni glasnik Grada Zagreba 11/18) osnovala sljedeće postrojbe:</w:t>
      </w:r>
    </w:p>
    <w:p w14:paraId="699B2574"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Postrojbu civilne zaštite za spašavanje iz ruševina srednje kategorije - sastoji se od upravljačke skupine s 4 pripadnika, dviju operativnih skupina sa po 12 pripadnika i logističke skupine sa 6 pripadnika;</w:t>
      </w:r>
    </w:p>
    <w:p w14:paraId="7FF8D2BD"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Postrojbu za traganje i spašavanje u poplavama lake kategorije - sastoji se od upravljačke skupine s 2 pripadnika, dviju operativnih skupina sa po 5 pripadnika i logističke skupine s 4 pripadnika;</w:t>
      </w:r>
    </w:p>
    <w:p w14:paraId="07B9A9AE"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Postrojbu za tehničko-taktičku potporu - sastoji se od upravljačke skupine s 1 pripadnikom, operativne skupine sa 8 pripadnika i logističke skupine s 3 pripadnika.</w:t>
      </w:r>
    </w:p>
    <w:p w14:paraId="78AF25FD"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Postrojbe civilne zaštite specijalističke namjene Grada Zagreba popunjavaju se ponajprije članovima udruga građana i drugih pravnih osoba koje se u svojoj djelatnosti bave određenim oblikom zaštite i spašavanja ili su za to osnovane te imateljima specijalističkih znanja od značenja za sustav civilne zaštite.</w:t>
      </w:r>
    </w:p>
    <w:p w14:paraId="72515A6F"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Provođen je postupak javne nabave za nabavu opreme postrojbama civilne zaštite opće i specijalističke namjene Grada Zagreba, i to: kišne kabanice, vreće za spavanje, kompleti detektora pokreta, kompleti skupne opreme za rad na visini, kompleti za spašavanje iz dubina i visina, kompleti osobne zaštitne opreme za pripadnike specijalističke postrojbe civilne zaštite, prikolice za prijevoz pitke vode, ručne radiostanice, kompleti osobne zaštitne opreme za postrojbe specijalističke namjene Grada Zagreba, vibraskop, uređaj za tehničko pretraživanje terena odnosno traganje za nastradalima i ozlijeđenima u ruševinama, mobilni agregat snage 100 kW, kompleti za satelitsku komunikaciju, podupirači za vertikalno i koso podupiranje nesigurnih objekata za spašavanje iz ruševina.</w:t>
      </w:r>
    </w:p>
    <w:p w14:paraId="36075A86" w14:textId="2AE647F7" w:rsidR="00CE4763" w:rsidRPr="00FC2495"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sz w:val="24"/>
        </w:rPr>
        <w:t xml:space="preserve">Postrojbe će se mobilizirati u slučaju neposredne prijetnje, katastrofe i velike nesreće </w:t>
      </w:r>
      <w:r w:rsidRPr="00FC2495">
        <w:rPr>
          <w:rFonts w:ascii="Times New Roman" w:hAnsi="Times New Roman" w:cs="Times New Roman"/>
          <w:color w:val="auto"/>
          <w:sz w:val="24"/>
        </w:rPr>
        <w:t>posljedice kojih nadilaze mogućnosti redovnih operativnih snaga. Postrojbe civilne zaštite opće namjene Grada Zagreba u 20</w:t>
      </w:r>
      <w:r w:rsidR="00FC2495" w:rsidRPr="00FC2495">
        <w:rPr>
          <w:rFonts w:ascii="Times New Roman" w:hAnsi="Times New Roman" w:cs="Times New Roman"/>
          <w:color w:val="auto"/>
          <w:sz w:val="24"/>
        </w:rPr>
        <w:t>22</w:t>
      </w:r>
      <w:r w:rsidRPr="00FC2495">
        <w:rPr>
          <w:rFonts w:ascii="Times New Roman" w:hAnsi="Times New Roman" w:cs="Times New Roman"/>
          <w:color w:val="auto"/>
          <w:sz w:val="24"/>
        </w:rPr>
        <w:t xml:space="preserve">. popunjene su s ukupno </w:t>
      </w:r>
      <w:r w:rsidR="00FC2495" w:rsidRPr="00FC2495">
        <w:rPr>
          <w:rFonts w:ascii="Times New Roman" w:hAnsi="Times New Roman" w:cs="Times New Roman"/>
          <w:color w:val="auto"/>
          <w:sz w:val="24"/>
        </w:rPr>
        <w:t>3047</w:t>
      </w:r>
      <w:r w:rsidRPr="00FC2495">
        <w:rPr>
          <w:rFonts w:ascii="Times New Roman" w:hAnsi="Times New Roman" w:cs="Times New Roman"/>
          <w:color w:val="auto"/>
          <w:sz w:val="24"/>
        </w:rPr>
        <w:t xml:space="preserve"> pripadnika dok postrojbe civilne zaštite specijalističke namjene Grada Zagreba imaju ukupno </w:t>
      </w:r>
      <w:r w:rsidR="00FC2495" w:rsidRPr="00FC2495">
        <w:rPr>
          <w:rFonts w:ascii="Times New Roman" w:hAnsi="Times New Roman" w:cs="Times New Roman"/>
          <w:color w:val="auto"/>
          <w:sz w:val="24"/>
        </w:rPr>
        <w:t>803</w:t>
      </w:r>
      <w:r w:rsidRPr="00FC2495">
        <w:rPr>
          <w:rFonts w:ascii="Times New Roman" w:hAnsi="Times New Roman" w:cs="Times New Roman"/>
          <w:color w:val="auto"/>
          <w:sz w:val="24"/>
        </w:rPr>
        <w:t xml:space="preserve"> pripadnika. Osposobljavanje za pripadnike postrojbi civilne zaštite opće namjene po svim gradskim četvrtima obavljeno je 2018. godine.</w:t>
      </w:r>
    </w:p>
    <w:p w14:paraId="53288671"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54BA8CFE" w14:textId="77777777" w:rsidR="00CE4763" w:rsidRPr="00CE4763" w:rsidRDefault="00CE4763" w:rsidP="00CE4763">
      <w:pPr>
        <w:spacing w:after="0" w:line="240" w:lineRule="auto"/>
        <w:ind w:left="0" w:right="0" w:firstLine="709"/>
        <w:rPr>
          <w:rFonts w:ascii="Times New Roman" w:hAnsi="Times New Roman" w:cs="Times New Roman"/>
          <w:b/>
          <w:sz w:val="24"/>
        </w:rPr>
      </w:pPr>
      <w:bookmarkStart w:id="137" w:name="_Toc2938640"/>
      <w:r w:rsidRPr="00CE4763">
        <w:rPr>
          <w:rFonts w:ascii="Times New Roman" w:hAnsi="Times New Roman" w:cs="Times New Roman"/>
          <w:b/>
          <w:sz w:val="24"/>
        </w:rPr>
        <w:t>Spremnost operativnih kapaciteta - povjerenika civilne zaštite</w:t>
      </w:r>
      <w:bookmarkEnd w:id="137"/>
    </w:p>
    <w:p w14:paraId="13BFD45A" w14:textId="2EBC1AE2" w:rsidR="00CE4763" w:rsidRPr="00CE4763" w:rsidRDefault="00CE4763" w:rsidP="00CE4763">
      <w:pPr>
        <w:spacing w:after="0" w:line="240" w:lineRule="auto"/>
        <w:ind w:left="0" w:right="0" w:firstLine="709"/>
        <w:rPr>
          <w:rFonts w:ascii="Times New Roman" w:hAnsi="Times New Roman" w:cs="Times New Roman"/>
          <w:color w:val="FF0000"/>
          <w:sz w:val="24"/>
        </w:rPr>
      </w:pPr>
      <w:r w:rsidRPr="00CE4763">
        <w:rPr>
          <w:rFonts w:ascii="Times New Roman" w:hAnsi="Times New Roman" w:cs="Times New Roman"/>
          <w:color w:val="auto"/>
          <w:sz w:val="24"/>
        </w:rPr>
        <w:t>Povjerenici i zamjenici povjerenika civilne zaštite Grada Zagreba zaključkom gradonačelnika imenovani su početkom 2020. godine.</w:t>
      </w:r>
      <w:r w:rsidR="005A0C31" w:rsidRPr="005A0C31">
        <w:t xml:space="preserve"> </w:t>
      </w:r>
      <w:r w:rsidR="005A0C31" w:rsidRPr="005A0C31">
        <w:rPr>
          <w:rFonts w:ascii="Times New Roman" w:hAnsi="Times New Roman" w:cs="Times New Roman"/>
          <w:color w:val="auto"/>
          <w:sz w:val="24"/>
        </w:rPr>
        <w:t xml:space="preserve">Gradonačelnik Grada Zagreba je 13. siječnja 2020. donio Zaključak o imenovanju povjerenika i zamjenika povjerenika civilne </w:t>
      </w:r>
      <w:r w:rsidR="005A0C31" w:rsidRPr="005A0C31">
        <w:rPr>
          <w:rFonts w:ascii="Times New Roman" w:hAnsi="Times New Roman" w:cs="Times New Roman"/>
          <w:color w:val="auto"/>
          <w:sz w:val="24"/>
        </w:rPr>
        <w:lastRenderedPageBreak/>
        <w:t>zaštite Grada Zagreba (Službeni glasnik Grada Zagreba 1/20). Zaključkom su imenovana 604 povjerenika i 225 zamjenika povjerenika na području 17 gradskih četvrti Grada Zagreba.</w:t>
      </w:r>
    </w:p>
    <w:p w14:paraId="41423FA3" w14:textId="77777777" w:rsidR="00CE4763" w:rsidRPr="00CE4763" w:rsidRDefault="00CE4763" w:rsidP="00CE4763">
      <w:pPr>
        <w:spacing w:after="0" w:line="240" w:lineRule="auto"/>
        <w:ind w:right="0"/>
        <w:rPr>
          <w:rFonts w:ascii="Times New Roman" w:hAnsi="Times New Roman" w:cs="Times New Roman"/>
          <w:color w:val="auto"/>
          <w:sz w:val="24"/>
        </w:rPr>
      </w:pPr>
    </w:p>
    <w:p w14:paraId="259019DF" w14:textId="77777777" w:rsidR="00CE4763" w:rsidRPr="00CE4763" w:rsidRDefault="00CE4763" w:rsidP="00CE4763">
      <w:pPr>
        <w:spacing w:after="0" w:line="240" w:lineRule="auto"/>
        <w:ind w:left="0" w:right="0" w:firstLine="709"/>
        <w:rPr>
          <w:rFonts w:ascii="Times New Roman" w:hAnsi="Times New Roman" w:cs="Times New Roman"/>
          <w:b/>
          <w:color w:val="auto"/>
          <w:sz w:val="24"/>
        </w:rPr>
      </w:pPr>
      <w:bookmarkStart w:id="138" w:name="_Toc2938641"/>
      <w:r w:rsidRPr="00CE4763">
        <w:rPr>
          <w:rFonts w:ascii="Times New Roman" w:hAnsi="Times New Roman" w:cs="Times New Roman"/>
          <w:b/>
          <w:color w:val="auto"/>
          <w:sz w:val="24"/>
        </w:rPr>
        <w:t>Operativne snage vatrogastva</w:t>
      </w:r>
      <w:bookmarkEnd w:id="138"/>
    </w:p>
    <w:p w14:paraId="243D48B2" w14:textId="328A8C44"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Operativne snage vatrogastva na području Grada Zagreba sastavljene su od Javne vatrogasne postrojbe Grada Zagreba i dobrovoljnih vatrogasnih društva udruženih u Vatrogasnu zajednicu Grada Zagreba. JVP GZ sastavljena je od 3</w:t>
      </w:r>
      <w:r w:rsidR="00F86D15">
        <w:rPr>
          <w:rFonts w:ascii="Times New Roman" w:hAnsi="Times New Roman" w:cs="Times New Roman"/>
          <w:color w:val="auto"/>
          <w:sz w:val="24"/>
        </w:rPr>
        <w:t>18</w:t>
      </w:r>
      <w:r w:rsidRPr="00CE4763">
        <w:rPr>
          <w:rFonts w:ascii="Times New Roman" w:hAnsi="Times New Roman" w:cs="Times New Roman"/>
          <w:color w:val="auto"/>
          <w:sz w:val="24"/>
        </w:rPr>
        <w:t xml:space="preserve"> operativnih vatrogasaca raspoređenih u pet vatrogasnih postaja na području Grada Zagreba, i to: Vatrogasne postaje Centar, Vatrogasne postaje Dubrava, Vatrogasne postaje Jankomir, Vatrogasne postaje Novi Zagreb i Vatrogasne postaje Žitnjak.</w:t>
      </w:r>
    </w:p>
    <w:p w14:paraId="5E1A8F7B" w14:textId="107FAC14" w:rsid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Timovi vatrogasaca kontinuirano provode vježbe u koje su uključene i druge službe koje u slučaju katastrofe izazvane potresom ili urušavanjem građevina kao timovi spašavaju građane. Pripadnici JVP GZ-a posebno su osposobljeni prema programima i stupnjevima - 1/2/3 za spašavanje u ruševinama (u daljnjem tekstu: SUR), kako slijedi:</w:t>
      </w:r>
    </w:p>
    <w:p w14:paraId="0CF92B26" w14:textId="77777777" w:rsidR="007872F3" w:rsidRPr="00CE4763" w:rsidRDefault="007872F3" w:rsidP="00CE4763">
      <w:pPr>
        <w:spacing w:after="0" w:line="240" w:lineRule="auto"/>
        <w:ind w:left="0" w:right="0" w:firstLine="709"/>
        <w:rPr>
          <w:rFonts w:ascii="Times New Roman" w:hAnsi="Times New Roman" w:cs="Times New Roman"/>
          <w:color w:val="auto"/>
          <w:sz w:val="24"/>
        </w:rPr>
      </w:pPr>
    </w:p>
    <w:p w14:paraId="3BFF5214" w14:textId="77777777" w:rsidR="00CE4763" w:rsidRPr="00CE4763" w:rsidRDefault="00CE4763" w:rsidP="00CE4763">
      <w:pPr>
        <w:spacing w:after="0" w:line="240" w:lineRule="auto"/>
        <w:ind w:left="879" w:right="0" w:hanging="170"/>
        <w:rPr>
          <w:rFonts w:ascii="Times New Roman" w:hAnsi="Times New Roman" w:cs="Times New Roman"/>
          <w:color w:val="auto"/>
          <w:sz w:val="24"/>
        </w:rPr>
      </w:pPr>
      <w:r w:rsidRPr="00CE4763">
        <w:rPr>
          <w:rFonts w:ascii="Times New Roman" w:hAnsi="Times New Roman" w:cs="Times New Roman"/>
          <w:color w:val="auto"/>
          <w:sz w:val="24"/>
        </w:rPr>
        <w:t>-</w:t>
      </w:r>
      <w:r w:rsidRPr="00CE4763">
        <w:rPr>
          <w:rFonts w:ascii="Times New Roman" w:hAnsi="Times New Roman" w:cs="Times New Roman"/>
          <w:color w:val="auto"/>
          <w:sz w:val="24"/>
        </w:rPr>
        <w:tab/>
        <w:t>11 pripadnika JVP GZ-a osposobljeno je prema programu SUR-1;</w:t>
      </w:r>
    </w:p>
    <w:p w14:paraId="4CFC8E6D" w14:textId="77777777" w:rsidR="00CE4763" w:rsidRPr="00CE4763" w:rsidRDefault="00CE4763" w:rsidP="00CE4763">
      <w:pPr>
        <w:spacing w:after="0" w:line="240" w:lineRule="auto"/>
        <w:ind w:left="879" w:right="0" w:hanging="170"/>
        <w:rPr>
          <w:rFonts w:ascii="Times New Roman" w:hAnsi="Times New Roman" w:cs="Times New Roman"/>
          <w:color w:val="auto"/>
          <w:sz w:val="24"/>
        </w:rPr>
      </w:pPr>
      <w:r w:rsidRPr="00CE4763">
        <w:rPr>
          <w:rFonts w:ascii="Times New Roman" w:hAnsi="Times New Roman" w:cs="Times New Roman"/>
          <w:color w:val="auto"/>
          <w:sz w:val="24"/>
        </w:rPr>
        <w:t>-</w:t>
      </w:r>
      <w:r w:rsidRPr="00CE4763">
        <w:rPr>
          <w:rFonts w:ascii="Times New Roman" w:hAnsi="Times New Roman" w:cs="Times New Roman"/>
          <w:color w:val="auto"/>
          <w:sz w:val="24"/>
        </w:rPr>
        <w:tab/>
        <w:t>38 pripadnika JVP GZ-a osposobljeno je prema programu SUR-2;</w:t>
      </w:r>
    </w:p>
    <w:p w14:paraId="0FF0B82D" w14:textId="77777777" w:rsidR="00CE4763" w:rsidRPr="00CE4763" w:rsidRDefault="00CE4763" w:rsidP="00CE4763">
      <w:pPr>
        <w:spacing w:after="0" w:line="240" w:lineRule="auto"/>
        <w:ind w:left="879" w:right="0" w:hanging="170"/>
        <w:rPr>
          <w:rFonts w:ascii="Times New Roman" w:hAnsi="Times New Roman" w:cs="Times New Roman"/>
          <w:color w:val="auto"/>
          <w:sz w:val="24"/>
        </w:rPr>
      </w:pPr>
      <w:r w:rsidRPr="00CE4763">
        <w:rPr>
          <w:rFonts w:ascii="Times New Roman" w:hAnsi="Times New Roman" w:cs="Times New Roman"/>
          <w:color w:val="auto"/>
          <w:sz w:val="24"/>
        </w:rPr>
        <w:t>-</w:t>
      </w:r>
      <w:r w:rsidRPr="00CE4763">
        <w:rPr>
          <w:rFonts w:ascii="Times New Roman" w:hAnsi="Times New Roman" w:cs="Times New Roman"/>
          <w:color w:val="auto"/>
          <w:sz w:val="24"/>
        </w:rPr>
        <w:tab/>
        <w:t>3 pripadnika JVP GZ-a osposobljeno je prema programu SUR-3;</w:t>
      </w:r>
    </w:p>
    <w:p w14:paraId="20D66241" w14:textId="77777777" w:rsidR="00CE4763" w:rsidRPr="00CE4763" w:rsidRDefault="00CE4763" w:rsidP="00CE4763">
      <w:pPr>
        <w:spacing w:after="0" w:line="240" w:lineRule="auto"/>
        <w:ind w:left="879" w:right="0" w:hanging="170"/>
        <w:rPr>
          <w:rFonts w:ascii="Times New Roman" w:hAnsi="Times New Roman" w:cs="Times New Roman"/>
          <w:color w:val="auto"/>
          <w:sz w:val="24"/>
        </w:rPr>
      </w:pPr>
      <w:r w:rsidRPr="00CE4763">
        <w:rPr>
          <w:rFonts w:ascii="Times New Roman" w:hAnsi="Times New Roman" w:cs="Times New Roman"/>
          <w:color w:val="auto"/>
          <w:sz w:val="24"/>
        </w:rPr>
        <w:t>-</w:t>
      </w:r>
      <w:r w:rsidRPr="00CE4763">
        <w:rPr>
          <w:rFonts w:ascii="Times New Roman" w:hAnsi="Times New Roman" w:cs="Times New Roman"/>
          <w:color w:val="auto"/>
          <w:sz w:val="24"/>
        </w:rPr>
        <w:tab/>
        <w:t>16 pripadnika JVP GZ-a osposobljeno je prema programu vatrogasno ronilačke izobrazbe, od toga 15 ronilaca ima liječničko uvjerenje da su sposobni obavljati ronilačke aktivnosti. Ronioci su završili obuku za naprednog ronioca sa specijalnošću: ronjenje na olupinama, noćno ronjenje, navigacijsko ronjenje, prva pomoć unesrećenom roniocu. Tri člana ronilačkog tima završili su izobrazbu za instruktore ronjenja. Deset ronilaca ima prekvalifikaciju: ronitelj za podvodne metalske radove.</w:t>
      </w:r>
    </w:p>
    <w:p w14:paraId="5B840B2A" w14:textId="77777777" w:rsidR="00CE4763" w:rsidRPr="00CE4763" w:rsidRDefault="00CE4763" w:rsidP="00CE4763">
      <w:pPr>
        <w:spacing w:after="0" w:line="240" w:lineRule="auto"/>
        <w:ind w:right="0" w:firstLine="699"/>
        <w:rPr>
          <w:rFonts w:ascii="Times New Roman" w:hAnsi="Times New Roman" w:cs="Times New Roman"/>
          <w:color w:val="auto"/>
          <w:sz w:val="24"/>
        </w:rPr>
      </w:pPr>
      <w:r w:rsidRPr="00CE4763">
        <w:rPr>
          <w:rFonts w:ascii="Times New Roman" w:hAnsi="Times New Roman" w:cs="Times New Roman"/>
          <w:color w:val="auto"/>
          <w:sz w:val="24"/>
        </w:rPr>
        <w:t>Javna vatrogasna postrojba raspolaže sa 68 vatrogasnih vozila, a prema vrstama razvrstani su na:</w:t>
      </w:r>
    </w:p>
    <w:p w14:paraId="73AD22E5" w14:textId="77777777" w:rsidR="00CE4763" w:rsidRPr="00CE4763" w:rsidRDefault="00CE4763" w:rsidP="00CE4763">
      <w:pPr>
        <w:spacing w:after="0" w:line="240" w:lineRule="auto"/>
        <w:ind w:left="0" w:right="0" w:firstLine="709"/>
        <w:rPr>
          <w:rFonts w:ascii="Times New Roman" w:hAnsi="Times New Roman" w:cs="Times New Roman"/>
          <w:color w:val="auto"/>
          <w:sz w:val="24"/>
          <w:u w:color="000000"/>
        </w:rPr>
      </w:pPr>
      <w:r w:rsidRPr="00CE4763">
        <w:rPr>
          <w:rFonts w:ascii="Times New Roman" w:hAnsi="Times New Roman" w:cs="Times New Roman"/>
          <w:color w:val="auto"/>
          <w:sz w:val="24"/>
          <w:u w:color="000000"/>
        </w:rPr>
        <w:t>-   12 navalnih vozila</w:t>
      </w:r>
    </w:p>
    <w:p w14:paraId="5420A6D2" w14:textId="77777777" w:rsidR="00CE4763" w:rsidRPr="00CE4763" w:rsidRDefault="00CE4763" w:rsidP="00CE4763">
      <w:pPr>
        <w:spacing w:after="0" w:line="240" w:lineRule="auto"/>
        <w:ind w:left="0" w:right="0" w:firstLine="709"/>
        <w:rPr>
          <w:rFonts w:ascii="Times New Roman" w:hAnsi="Times New Roman" w:cs="Times New Roman"/>
          <w:color w:val="auto"/>
          <w:sz w:val="24"/>
          <w:u w:color="000000"/>
        </w:rPr>
      </w:pPr>
      <w:r w:rsidRPr="00CE4763">
        <w:rPr>
          <w:rFonts w:ascii="Times New Roman" w:hAnsi="Times New Roman" w:cs="Times New Roman"/>
          <w:color w:val="auto"/>
          <w:sz w:val="24"/>
          <w:u w:color="000000"/>
        </w:rPr>
        <w:t>-   9 zapovjednih vozila</w:t>
      </w:r>
    </w:p>
    <w:p w14:paraId="03ACBB68" w14:textId="77777777" w:rsidR="00CE4763" w:rsidRPr="00CE4763" w:rsidRDefault="00CE4763" w:rsidP="00CE4763">
      <w:pPr>
        <w:spacing w:after="0" w:line="240" w:lineRule="auto"/>
        <w:ind w:left="0" w:right="0" w:firstLine="709"/>
        <w:rPr>
          <w:rFonts w:ascii="Times New Roman" w:hAnsi="Times New Roman" w:cs="Times New Roman"/>
          <w:color w:val="auto"/>
          <w:sz w:val="24"/>
          <w:u w:color="000000"/>
        </w:rPr>
      </w:pPr>
      <w:r w:rsidRPr="00CE4763">
        <w:rPr>
          <w:rFonts w:ascii="Times New Roman" w:hAnsi="Times New Roman" w:cs="Times New Roman"/>
          <w:color w:val="auto"/>
          <w:sz w:val="24"/>
          <w:u w:color="000000"/>
        </w:rPr>
        <w:t>-   7 autocisterni</w:t>
      </w:r>
    </w:p>
    <w:p w14:paraId="149E3497" w14:textId="77777777" w:rsidR="00CE4763" w:rsidRPr="00CE4763" w:rsidRDefault="00CE4763" w:rsidP="00CE4763">
      <w:pPr>
        <w:spacing w:after="0" w:line="240" w:lineRule="auto"/>
        <w:ind w:left="0" w:right="0" w:firstLine="709"/>
        <w:rPr>
          <w:rFonts w:ascii="Times New Roman" w:hAnsi="Times New Roman" w:cs="Times New Roman"/>
          <w:color w:val="auto"/>
          <w:sz w:val="24"/>
          <w:u w:color="000000"/>
        </w:rPr>
      </w:pPr>
      <w:r w:rsidRPr="00CE4763">
        <w:rPr>
          <w:rFonts w:ascii="Times New Roman" w:hAnsi="Times New Roman" w:cs="Times New Roman"/>
          <w:color w:val="auto"/>
          <w:sz w:val="24"/>
          <w:u w:color="000000"/>
        </w:rPr>
        <w:t>-   4 šumara</w:t>
      </w:r>
    </w:p>
    <w:p w14:paraId="145433FD" w14:textId="77777777" w:rsidR="00CE4763" w:rsidRPr="00CE4763" w:rsidRDefault="00CE4763" w:rsidP="00CE4763">
      <w:pPr>
        <w:spacing w:after="0" w:line="240" w:lineRule="auto"/>
        <w:ind w:left="0" w:right="0" w:firstLine="709"/>
        <w:rPr>
          <w:rFonts w:ascii="Times New Roman" w:hAnsi="Times New Roman" w:cs="Times New Roman"/>
          <w:color w:val="auto"/>
          <w:sz w:val="24"/>
          <w:u w:color="000000"/>
        </w:rPr>
      </w:pPr>
      <w:r w:rsidRPr="00CE4763">
        <w:rPr>
          <w:rFonts w:ascii="Times New Roman" w:hAnsi="Times New Roman" w:cs="Times New Roman"/>
          <w:color w:val="auto"/>
          <w:sz w:val="24"/>
          <w:u w:color="000000"/>
        </w:rPr>
        <w:t>-   10 tehničkih vozila</w:t>
      </w:r>
    </w:p>
    <w:p w14:paraId="7D5B2E0C" w14:textId="77777777" w:rsidR="00CE4763" w:rsidRPr="00CE4763" w:rsidRDefault="00CE4763" w:rsidP="00CE4763">
      <w:pPr>
        <w:spacing w:after="0" w:line="240" w:lineRule="auto"/>
        <w:ind w:left="0" w:right="0" w:firstLine="709"/>
        <w:rPr>
          <w:rFonts w:ascii="Times New Roman" w:hAnsi="Times New Roman" w:cs="Times New Roman"/>
          <w:color w:val="auto"/>
          <w:sz w:val="24"/>
          <w:u w:color="000000"/>
        </w:rPr>
      </w:pPr>
      <w:r w:rsidRPr="00CE4763">
        <w:rPr>
          <w:rFonts w:ascii="Times New Roman" w:hAnsi="Times New Roman" w:cs="Times New Roman"/>
          <w:color w:val="auto"/>
          <w:sz w:val="24"/>
          <w:u w:color="000000"/>
        </w:rPr>
        <w:t>-   3 vozila za prijevoz vatrogasaca</w:t>
      </w:r>
    </w:p>
    <w:p w14:paraId="2E028AF4" w14:textId="77777777" w:rsidR="00CE4763" w:rsidRPr="00CE4763" w:rsidRDefault="00CE4763" w:rsidP="00CE4763">
      <w:pPr>
        <w:spacing w:after="0" w:line="240" w:lineRule="auto"/>
        <w:ind w:left="0" w:right="0" w:firstLine="709"/>
        <w:rPr>
          <w:rFonts w:ascii="Times New Roman" w:hAnsi="Times New Roman" w:cs="Times New Roman"/>
          <w:color w:val="auto"/>
          <w:sz w:val="24"/>
          <w:u w:color="000000"/>
        </w:rPr>
      </w:pPr>
      <w:r w:rsidRPr="00CE4763">
        <w:rPr>
          <w:rFonts w:ascii="Times New Roman" w:hAnsi="Times New Roman" w:cs="Times New Roman"/>
          <w:color w:val="auto"/>
          <w:sz w:val="24"/>
          <w:u w:color="000000"/>
        </w:rPr>
        <w:t>-   3 vozila za prijevoz vatrogasaca i opreme (Caddy, Crafter, VW transporter)</w:t>
      </w:r>
    </w:p>
    <w:p w14:paraId="32999193" w14:textId="77777777" w:rsidR="00CE4763" w:rsidRPr="00CE4763" w:rsidRDefault="00CE4763" w:rsidP="00CE4763">
      <w:pPr>
        <w:spacing w:after="0" w:line="240" w:lineRule="auto"/>
        <w:ind w:left="0" w:right="0" w:firstLine="709"/>
        <w:rPr>
          <w:rFonts w:ascii="Times New Roman" w:hAnsi="Times New Roman" w:cs="Times New Roman"/>
          <w:color w:val="auto"/>
          <w:sz w:val="24"/>
          <w:u w:color="000000"/>
        </w:rPr>
      </w:pPr>
      <w:r w:rsidRPr="00CE4763">
        <w:rPr>
          <w:rFonts w:ascii="Times New Roman" w:hAnsi="Times New Roman" w:cs="Times New Roman"/>
          <w:color w:val="auto"/>
          <w:sz w:val="24"/>
          <w:u w:color="000000"/>
        </w:rPr>
        <w:t>-   16 specijalnih vatrogasnih vozila</w:t>
      </w:r>
    </w:p>
    <w:p w14:paraId="48729390" w14:textId="77777777" w:rsidR="00CE4763" w:rsidRPr="00CE4763" w:rsidRDefault="00CE4763" w:rsidP="00CE4763">
      <w:pPr>
        <w:spacing w:after="0" w:line="240" w:lineRule="auto"/>
        <w:ind w:left="0" w:right="0" w:firstLine="709"/>
        <w:rPr>
          <w:rFonts w:ascii="Times New Roman" w:hAnsi="Times New Roman" w:cs="Times New Roman"/>
          <w:color w:val="auto"/>
          <w:sz w:val="24"/>
          <w:u w:color="000000"/>
        </w:rPr>
      </w:pPr>
      <w:r w:rsidRPr="00CE4763">
        <w:rPr>
          <w:rFonts w:ascii="Times New Roman" w:hAnsi="Times New Roman" w:cs="Times New Roman"/>
          <w:color w:val="auto"/>
          <w:sz w:val="24"/>
          <w:u w:color="000000"/>
        </w:rPr>
        <w:t>-   4 ostalih vozila (autobus, teretno i servisno vozilo).</w:t>
      </w:r>
    </w:p>
    <w:p w14:paraId="6E93C903" w14:textId="77777777" w:rsidR="00CE4763" w:rsidRPr="00CE4763" w:rsidRDefault="00CE4763" w:rsidP="00CE4763">
      <w:pPr>
        <w:spacing w:after="0" w:line="240" w:lineRule="auto"/>
        <w:ind w:left="0" w:right="0" w:firstLine="709"/>
        <w:rPr>
          <w:rFonts w:ascii="Times New Roman" w:hAnsi="Times New Roman" w:cs="Times New Roman"/>
          <w:color w:val="auto"/>
          <w:sz w:val="24"/>
          <w:u w:color="000000"/>
        </w:rPr>
      </w:pPr>
      <w:r w:rsidRPr="00CE4763">
        <w:rPr>
          <w:rFonts w:ascii="Times New Roman" w:hAnsi="Times New Roman" w:cs="Times New Roman"/>
          <w:color w:val="auto"/>
          <w:sz w:val="24"/>
          <w:u w:color="000000"/>
        </w:rPr>
        <w:t>JVP GZ posjeduje i:</w:t>
      </w:r>
    </w:p>
    <w:p w14:paraId="36935FCB" w14:textId="77777777" w:rsidR="00CE4763" w:rsidRPr="00CE4763" w:rsidRDefault="00CE4763" w:rsidP="00CE4763">
      <w:pPr>
        <w:spacing w:after="0" w:line="240" w:lineRule="auto"/>
        <w:ind w:left="0" w:right="0" w:firstLine="709"/>
        <w:rPr>
          <w:rFonts w:ascii="Times New Roman" w:hAnsi="Times New Roman" w:cs="Times New Roman"/>
          <w:color w:val="auto"/>
          <w:sz w:val="24"/>
          <w:u w:color="000000"/>
        </w:rPr>
      </w:pPr>
      <w:r w:rsidRPr="00CE4763">
        <w:rPr>
          <w:rFonts w:ascii="Times New Roman" w:hAnsi="Times New Roman" w:cs="Times New Roman"/>
          <w:color w:val="auto"/>
          <w:sz w:val="24"/>
          <w:u w:color="000000"/>
        </w:rPr>
        <w:t>-   6 čamaca s prikolicom + 1 čamac za spašavanje iz poplava</w:t>
      </w:r>
    </w:p>
    <w:p w14:paraId="4ECEB135" w14:textId="77777777" w:rsidR="00CE4763" w:rsidRPr="00CE4763" w:rsidRDefault="00CE4763" w:rsidP="00CE4763">
      <w:pPr>
        <w:spacing w:after="0" w:line="240" w:lineRule="auto"/>
        <w:ind w:left="0" w:right="0" w:firstLine="709"/>
        <w:rPr>
          <w:rFonts w:ascii="Times New Roman" w:hAnsi="Times New Roman" w:cs="Times New Roman"/>
          <w:color w:val="auto"/>
          <w:sz w:val="24"/>
          <w:u w:color="000000"/>
        </w:rPr>
      </w:pPr>
      <w:r w:rsidRPr="00CE4763">
        <w:rPr>
          <w:rFonts w:ascii="Times New Roman" w:hAnsi="Times New Roman" w:cs="Times New Roman"/>
          <w:color w:val="auto"/>
          <w:sz w:val="24"/>
          <w:u w:color="000000"/>
        </w:rPr>
        <w:t>-   2 prikolice za prijevoz građe</w:t>
      </w:r>
    </w:p>
    <w:p w14:paraId="6A711C83" w14:textId="77777777" w:rsidR="00CE4763" w:rsidRPr="00CE4763" w:rsidRDefault="00CE4763" w:rsidP="00CE4763">
      <w:pPr>
        <w:spacing w:after="0" w:line="240" w:lineRule="auto"/>
        <w:ind w:left="0" w:right="0" w:firstLine="709"/>
        <w:rPr>
          <w:rFonts w:ascii="Times New Roman" w:hAnsi="Times New Roman" w:cs="Times New Roman"/>
          <w:color w:val="auto"/>
          <w:sz w:val="24"/>
          <w:u w:color="000000"/>
        </w:rPr>
      </w:pPr>
      <w:r w:rsidRPr="00CE4763">
        <w:rPr>
          <w:rFonts w:ascii="Times New Roman" w:hAnsi="Times New Roman" w:cs="Times New Roman"/>
          <w:color w:val="auto"/>
          <w:sz w:val="24"/>
          <w:u w:color="000000"/>
        </w:rPr>
        <w:t>-   prikolicu zapovjednu za veće intervencije</w:t>
      </w:r>
    </w:p>
    <w:p w14:paraId="105FBAC3" w14:textId="77777777" w:rsidR="00CE4763" w:rsidRPr="00CE4763" w:rsidRDefault="00CE4763" w:rsidP="00CE4763">
      <w:pPr>
        <w:spacing w:after="0" w:line="240" w:lineRule="auto"/>
        <w:ind w:left="0" w:right="0" w:firstLine="709"/>
        <w:rPr>
          <w:rFonts w:ascii="Times New Roman" w:hAnsi="Times New Roman" w:cs="Times New Roman"/>
          <w:color w:val="auto"/>
          <w:sz w:val="24"/>
          <w:u w:color="000000"/>
        </w:rPr>
      </w:pPr>
      <w:r w:rsidRPr="00CE4763">
        <w:rPr>
          <w:rFonts w:ascii="Times New Roman" w:hAnsi="Times New Roman" w:cs="Times New Roman"/>
          <w:color w:val="auto"/>
          <w:sz w:val="24"/>
          <w:u w:color="000000"/>
        </w:rPr>
        <w:t>-   prikolicu za tehničke intervencije tzv. Parateh</w:t>
      </w:r>
    </w:p>
    <w:p w14:paraId="438C9744" w14:textId="77777777" w:rsidR="00CE4763" w:rsidRPr="00CE4763" w:rsidRDefault="00CE4763" w:rsidP="00CE4763">
      <w:pPr>
        <w:spacing w:after="0" w:line="240" w:lineRule="auto"/>
        <w:ind w:left="0" w:right="0" w:firstLine="709"/>
        <w:rPr>
          <w:rFonts w:ascii="Times New Roman" w:hAnsi="Times New Roman" w:cs="Times New Roman"/>
          <w:color w:val="auto"/>
          <w:sz w:val="24"/>
          <w:u w:color="000000"/>
        </w:rPr>
      </w:pPr>
      <w:r w:rsidRPr="00CE4763">
        <w:rPr>
          <w:rFonts w:ascii="Times New Roman" w:hAnsi="Times New Roman" w:cs="Times New Roman"/>
          <w:color w:val="auto"/>
          <w:sz w:val="24"/>
          <w:u w:color="000000"/>
        </w:rPr>
        <w:t>-   2 prikolice za prijevoz opreme</w:t>
      </w:r>
    </w:p>
    <w:p w14:paraId="0393F009" w14:textId="77777777" w:rsidR="00CE4763" w:rsidRPr="00CE4763" w:rsidRDefault="00CE4763" w:rsidP="00CE4763">
      <w:pPr>
        <w:spacing w:after="0" w:line="240" w:lineRule="auto"/>
        <w:ind w:left="0" w:right="0" w:firstLine="709"/>
        <w:rPr>
          <w:rFonts w:ascii="Times New Roman" w:hAnsi="Times New Roman" w:cs="Times New Roman"/>
          <w:color w:val="auto"/>
          <w:sz w:val="24"/>
          <w:u w:color="000000"/>
        </w:rPr>
      </w:pPr>
      <w:r w:rsidRPr="00CE4763">
        <w:rPr>
          <w:rFonts w:ascii="Times New Roman" w:hAnsi="Times New Roman" w:cs="Times New Roman"/>
          <w:color w:val="auto"/>
          <w:sz w:val="24"/>
          <w:u w:color="000000"/>
        </w:rPr>
        <w:t>-   2 prikolice s agregatom za struju</w:t>
      </w:r>
    </w:p>
    <w:p w14:paraId="5D6C4510" w14:textId="77777777" w:rsidR="00CE4763" w:rsidRPr="00CE4763" w:rsidRDefault="00CE4763" w:rsidP="00CE4763">
      <w:pPr>
        <w:spacing w:after="0" w:line="240" w:lineRule="auto"/>
        <w:ind w:left="0" w:right="0" w:firstLine="709"/>
        <w:rPr>
          <w:rFonts w:ascii="Times New Roman" w:hAnsi="Times New Roman" w:cs="Times New Roman"/>
          <w:color w:val="auto"/>
          <w:sz w:val="24"/>
          <w:u w:color="000000"/>
        </w:rPr>
      </w:pPr>
      <w:r w:rsidRPr="00CE4763">
        <w:rPr>
          <w:rFonts w:ascii="Times New Roman" w:hAnsi="Times New Roman" w:cs="Times New Roman"/>
          <w:color w:val="auto"/>
          <w:sz w:val="24"/>
          <w:u w:color="000000"/>
        </w:rPr>
        <w:t>-   10 prikolica sa spremnikom za vodu.</w:t>
      </w:r>
    </w:p>
    <w:p w14:paraId="1DA24EB5"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u w:color="000000"/>
        </w:rPr>
        <w:t xml:space="preserve"> </w:t>
      </w:r>
      <w:r w:rsidRPr="00CE4763">
        <w:rPr>
          <w:rFonts w:ascii="Times New Roman" w:hAnsi="Times New Roman" w:cs="Times New Roman"/>
          <w:color w:val="auto"/>
          <w:sz w:val="24"/>
        </w:rPr>
        <w:t>Tijekom 2021. pripadnici JVP GZ-a imali su 3808 intervenciju, od čega je bilo 1068 vatrogasnih intervencija gašenja požara, 1958 tehničkih intervencija, 5 intervencija s opasnim tvarima,</w:t>
      </w:r>
      <w:r w:rsidRPr="00CE4763">
        <w:rPr>
          <w:color w:val="auto"/>
        </w:rPr>
        <w:t xml:space="preserve"> </w:t>
      </w:r>
      <w:r w:rsidRPr="00CE4763">
        <w:rPr>
          <w:rFonts w:ascii="Times New Roman" w:hAnsi="Times New Roman" w:cs="Times New Roman"/>
          <w:color w:val="auto"/>
          <w:sz w:val="24"/>
        </w:rPr>
        <w:t>3 ostale operativne aktivnosti i 774 ostalih intervencija. Broj pripadnika JVP GZ-a koji su sudjelovali u intervencijama u prosjeku je 5 vatrogasaca na jednu intervenciju.</w:t>
      </w:r>
    </w:p>
    <w:p w14:paraId="76B22BB3"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U 57 dobrovoljnih vatrogasnih društava udruženih u Vatrogasnu zajednicu Grada Zagreba ukupno je bilo učlanjeno 9187 osoba, od čega je 2546 članova djece i mladeži uzrasta </w:t>
      </w:r>
      <w:r w:rsidRPr="00CE4763">
        <w:rPr>
          <w:rFonts w:ascii="Times New Roman" w:hAnsi="Times New Roman" w:cs="Times New Roman"/>
          <w:color w:val="auto"/>
          <w:sz w:val="24"/>
        </w:rPr>
        <w:lastRenderedPageBreak/>
        <w:t>od 6 do 18 godina. Članova vatrogasnih postrojbi dobrovoljnih vatrogasnih društava udruženih u Vatrogasnu zajednicu Grada Zagreba je 3728, dok je broj pričuvnih članova 2913.</w:t>
      </w:r>
    </w:p>
    <w:p w14:paraId="2C4369D7"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Pripadnici dobrovoljnih vatrogasnih društava Grada Zagreba (u daljnjem tekstu: DVD GZ) posebno su osposobljeni za spašavanje u ruševinama, prema programima, i to kako slijedi:</w:t>
      </w:r>
    </w:p>
    <w:p w14:paraId="314021AB" w14:textId="77777777" w:rsidR="00CE4763" w:rsidRPr="00CE4763" w:rsidRDefault="00CE4763" w:rsidP="00CE4763">
      <w:pPr>
        <w:spacing w:after="0" w:line="240" w:lineRule="auto"/>
        <w:ind w:left="879" w:right="0" w:hanging="170"/>
        <w:rPr>
          <w:rFonts w:ascii="Times New Roman" w:hAnsi="Times New Roman" w:cs="Times New Roman"/>
          <w:color w:val="auto"/>
          <w:sz w:val="24"/>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t>553</w:t>
      </w:r>
      <w:r w:rsidRPr="00CE4763">
        <w:rPr>
          <w:rFonts w:ascii="Times New Roman" w:hAnsi="Times New Roman" w:cs="Times New Roman"/>
          <w:color w:val="auto"/>
          <w:sz w:val="24"/>
        </w:rPr>
        <w:t xml:space="preserve"> člana DVD GZ-a osposobljena su prema programu SUR-1,</w:t>
      </w:r>
    </w:p>
    <w:p w14:paraId="04585852" w14:textId="77777777" w:rsidR="00CE4763" w:rsidRPr="00CE4763" w:rsidRDefault="00CE4763" w:rsidP="00CE4763">
      <w:pPr>
        <w:spacing w:after="0" w:line="240" w:lineRule="auto"/>
        <w:ind w:left="879" w:right="0" w:hanging="170"/>
        <w:rPr>
          <w:rFonts w:ascii="Times New Roman" w:hAnsi="Times New Roman" w:cs="Times New Roman"/>
          <w:color w:val="auto"/>
          <w:sz w:val="24"/>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r>
      <w:r w:rsidRPr="00CE4763">
        <w:rPr>
          <w:rFonts w:ascii="Times New Roman" w:hAnsi="Times New Roman" w:cs="Times New Roman"/>
          <w:color w:val="auto"/>
          <w:sz w:val="24"/>
        </w:rPr>
        <w:t>55 članova DVD GZ-a osposobljeno je prema programu SUR-2,</w:t>
      </w:r>
    </w:p>
    <w:p w14:paraId="4C40E1EF" w14:textId="77777777" w:rsidR="00CE4763" w:rsidRPr="00CE4763" w:rsidRDefault="00CE4763" w:rsidP="00CE4763">
      <w:pPr>
        <w:spacing w:after="0" w:line="240" w:lineRule="auto"/>
        <w:ind w:left="879" w:right="0" w:hanging="170"/>
        <w:rPr>
          <w:rFonts w:ascii="Times New Roman" w:hAnsi="Times New Roman" w:cs="Times New Roman"/>
          <w:color w:val="auto"/>
          <w:sz w:val="24"/>
        </w:rPr>
      </w:pPr>
      <w:r w:rsidRPr="00CE4763">
        <w:rPr>
          <w:rFonts w:ascii="Times New Roman" w:hAnsi="Times New Roman" w:cs="Times New Roman"/>
          <w:color w:val="auto"/>
          <w:sz w:val="24"/>
        </w:rPr>
        <w:t>- 3 člana DVD-ova osposobljena su prema programu SUR-3.</w:t>
      </w:r>
    </w:p>
    <w:p w14:paraId="702864BD"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Dobrovoljna vatrogasna društva Grada Zagreba imaju 109 vatrogasnih vozila, i to:</w:t>
      </w:r>
    </w:p>
    <w:p w14:paraId="58AD9B79" w14:textId="77777777" w:rsidR="00CE4763" w:rsidRPr="00CE4763" w:rsidRDefault="00CE4763" w:rsidP="00CE4763">
      <w:pPr>
        <w:spacing w:after="0" w:line="240" w:lineRule="auto"/>
        <w:ind w:left="879" w:right="0" w:hanging="170"/>
        <w:rPr>
          <w:rFonts w:ascii="Times New Roman" w:hAnsi="Times New Roman" w:cs="Times New Roman"/>
          <w:color w:val="auto"/>
          <w:sz w:val="24"/>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r>
      <w:r w:rsidRPr="00CE4763">
        <w:rPr>
          <w:rFonts w:ascii="Times New Roman" w:hAnsi="Times New Roman" w:cs="Times New Roman"/>
          <w:color w:val="auto"/>
          <w:sz w:val="24"/>
        </w:rPr>
        <w:t>9 navalnih vozila,</w:t>
      </w:r>
    </w:p>
    <w:p w14:paraId="173251B1" w14:textId="77777777" w:rsidR="00CE4763" w:rsidRPr="00CE4763" w:rsidRDefault="00CE4763" w:rsidP="00CE4763">
      <w:pPr>
        <w:spacing w:after="0" w:line="240" w:lineRule="auto"/>
        <w:ind w:left="879" w:right="0" w:hanging="170"/>
        <w:rPr>
          <w:rFonts w:ascii="Times New Roman" w:hAnsi="Times New Roman" w:cs="Times New Roman"/>
          <w:color w:val="auto"/>
          <w:sz w:val="24"/>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r>
      <w:r w:rsidRPr="00CE4763">
        <w:rPr>
          <w:rFonts w:ascii="Times New Roman" w:hAnsi="Times New Roman" w:cs="Times New Roman"/>
          <w:color w:val="auto"/>
          <w:sz w:val="24"/>
        </w:rPr>
        <w:t>4 zapovjedna vozila,</w:t>
      </w:r>
    </w:p>
    <w:p w14:paraId="0074B9E3" w14:textId="77777777" w:rsidR="00CE4763" w:rsidRPr="00CE4763" w:rsidRDefault="00CE4763" w:rsidP="00CE4763">
      <w:pPr>
        <w:spacing w:after="0" w:line="240" w:lineRule="auto"/>
        <w:ind w:left="879" w:right="0" w:hanging="170"/>
        <w:rPr>
          <w:rFonts w:ascii="Times New Roman" w:hAnsi="Times New Roman" w:cs="Times New Roman"/>
          <w:color w:val="auto"/>
          <w:sz w:val="24"/>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r>
      <w:r w:rsidRPr="00CE4763">
        <w:rPr>
          <w:rFonts w:ascii="Times New Roman" w:hAnsi="Times New Roman" w:cs="Times New Roman"/>
          <w:color w:val="auto"/>
          <w:sz w:val="24"/>
        </w:rPr>
        <w:t>23 autocisterni,</w:t>
      </w:r>
    </w:p>
    <w:p w14:paraId="190BF0FD" w14:textId="77777777" w:rsidR="00CE4763" w:rsidRPr="00CE4763" w:rsidRDefault="00CE4763" w:rsidP="00CE4763">
      <w:pPr>
        <w:spacing w:after="0" w:line="240" w:lineRule="auto"/>
        <w:ind w:left="879" w:right="0" w:hanging="170"/>
        <w:rPr>
          <w:rFonts w:ascii="Times New Roman" w:hAnsi="Times New Roman" w:cs="Times New Roman"/>
          <w:color w:val="auto"/>
          <w:sz w:val="24"/>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r>
      <w:r w:rsidRPr="00CE4763">
        <w:rPr>
          <w:rFonts w:ascii="Times New Roman" w:hAnsi="Times New Roman" w:cs="Times New Roman"/>
          <w:color w:val="auto"/>
          <w:sz w:val="24"/>
        </w:rPr>
        <w:t>9 šumara,</w:t>
      </w:r>
    </w:p>
    <w:p w14:paraId="7A28E43D" w14:textId="77777777" w:rsidR="00CE4763" w:rsidRPr="00CE4763" w:rsidRDefault="00CE4763" w:rsidP="00CE4763">
      <w:pPr>
        <w:spacing w:after="0" w:line="240" w:lineRule="auto"/>
        <w:ind w:left="879" w:right="0" w:hanging="170"/>
        <w:rPr>
          <w:rFonts w:ascii="Times New Roman" w:hAnsi="Times New Roman" w:cs="Times New Roman"/>
          <w:color w:val="auto"/>
          <w:sz w:val="24"/>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r>
      <w:r w:rsidRPr="00CE4763">
        <w:rPr>
          <w:rFonts w:ascii="Times New Roman" w:hAnsi="Times New Roman" w:cs="Times New Roman"/>
          <w:color w:val="auto"/>
          <w:sz w:val="24"/>
        </w:rPr>
        <w:t>48 terenskih vozila s ugrađenim visokotlačnim modulom za gašenje požara,</w:t>
      </w:r>
    </w:p>
    <w:p w14:paraId="0DC8E4B2" w14:textId="77777777" w:rsidR="00CE4763" w:rsidRPr="00CE4763" w:rsidRDefault="00CE4763" w:rsidP="00CE4763">
      <w:pPr>
        <w:spacing w:after="0" w:line="240" w:lineRule="auto"/>
        <w:ind w:left="879" w:right="0" w:hanging="170"/>
        <w:rPr>
          <w:rFonts w:ascii="Times New Roman" w:hAnsi="Times New Roman" w:cs="Times New Roman"/>
          <w:color w:val="auto"/>
          <w:sz w:val="24"/>
        </w:rPr>
      </w:pPr>
      <w:r w:rsidRPr="00CE4763">
        <w:rPr>
          <w:rFonts w:ascii="Times New Roman" w:hAnsi="Times New Roman" w:cs="Times New Roman"/>
          <w:color w:val="auto"/>
          <w:sz w:val="24"/>
        </w:rPr>
        <w:t>-</w:t>
      </w:r>
      <w:r w:rsidRPr="00CE4763">
        <w:rPr>
          <w:rFonts w:ascii="Times New Roman" w:hAnsi="Times New Roman" w:cs="Times New Roman"/>
          <w:color w:val="auto"/>
          <w:sz w:val="24"/>
        </w:rPr>
        <w:tab/>
        <w:t>24 vozila za prijevoz vatrogasaca i vatrogasne opreme.</w:t>
      </w:r>
    </w:p>
    <w:p w14:paraId="6EFA4B84"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Tijekom 2021. pripadnici DVD GZ-a imali su 2167 intervencija.</w:t>
      </w:r>
    </w:p>
    <w:p w14:paraId="132FF267" w14:textId="77777777" w:rsidR="00CE4763" w:rsidRPr="00CE4763" w:rsidRDefault="00CE4763" w:rsidP="00CE4763">
      <w:pPr>
        <w:spacing w:after="0" w:line="240" w:lineRule="auto"/>
        <w:ind w:left="0" w:right="0" w:firstLine="709"/>
        <w:rPr>
          <w:rFonts w:ascii="Times New Roman" w:hAnsi="Times New Roman" w:cs="Times New Roman"/>
          <w:color w:val="FF0000"/>
          <w:sz w:val="24"/>
        </w:rPr>
      </w:pPr>
      <w:r w:rsidRPr="00CE4763">
        <w:rPr>
          <w:rFonts w:ascii="Times New Roman" w:hAnsi="Times New Roman" w:cs="Times New Roman"/>
          <w:color w:val="auto"/>
          <w:sz w:val="24"/>
        </w:rPr>
        <w:t>Ekipe za intervencije stižu do krajnje točke djelovanja u propisanom roku od 15 minuta. Smanjenje broja intervencija rezultat je dugogodišnjeg rada s građanstvom, školama, vrtićima, edukativnih programa, posjeta školama te dana otvorenih vrata Javne vatrogasne postrojbe Grada Zagreba. Postignut je visok stupanj jedinstva profesionalnog i dobrovoljnog vatrogastva.</w:t>
      </w:r>
    </w:p>
    <w:p w14:paraId="31731F2D" w14:textId="77777777" w:rsidR="00CE4763" w:rsidRPr="00CE4763" w:rsidRDefault="00CE4763" w:rsidP="00CE4763">
      <w:pPr>
        <w:spacing w:after="0" w:line="240" w:lineRule="auto"/>
        <w:ind w:right="0"/>
        <w:rPr>
          <w:rFonts w:ascii="Times New Roman" w:hAnsi="Times New Roman" w:cs="Times New Roman"/>
          <w:sz w:val="24"/>
        </w:rPr>
      </w:pPr>
    </w:p>
    <w:p w14:paraId="287FDF4F"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b/>
          <w:color w:val="auto"/>
          <w:sz w:val="24"/>
        </w:rPr>
        <w:t>Operativne snage Hrvatskog Crvenog križa - Gradsko društvo Crvenog križa Zagreb</w:t>
      </w:r>
    </w:p>
    <w:p w14:paraId="4CA6AAFF"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Gradsko društvo Crvenog križa Zagreb dio je Međunarodnog pokreta Crvenog križa i Crvenog polumjeseca i prema Strategiji 2020. djeluje na 4 osnovna područja:</w:t>
      </w:r>
    </w:p>
    <w:p w14:paraId="30FAD58D" w14:textId="77777777" w:rsidR="00CE4763" w:rsidRPr="00CE4763" w:rsidRDefault="00CE4763" w:rsidP="00CE4763">
      <w:pPr>
        <w:spacing w:after="0" w:line="240" w:lineRule="auto"/>
        <w:ind w:left="879" w:right="0" w:hanging="170"/>
        <w:rPr>
          <w:rFonts w:ascii="Times New Roman" w:hAnsi="Times New Roman" w:cs="Times New Roman"/>
          <w:color w:val="auto"/>
          <w:sz w:val="24"/>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r>
      <w:r w:rsidRPr="00CE4763">
        <w:rPr>
          <w:rFonts w:ascii="Times New Roman" w:hAnsi="Times New Roman" w:cs="Times New Roman"/>
          <w:color w:val="auto"/>
          <w:sz w:val="24"/>
        </w:rPr>
        <w:t>promicanje temeljnih načela Pokreta i humanih vrednota,</w:t>
      </w:r>
    </w:p>
    <w:p w14:paraId="21DF3EB1" w14:textId="77777777" w:rsidR="00CE4763" w:rsidRPr="00CE4763" w:rsidRDefault="00CE4763" w:rsidP="00CE4763">
      <w:pPr>
        <w:spacing w:after="0" w:line="240" w:lineRule="auto"/>
        <w:ind w:left="879" w:right="0" w:hanging="170"/>
        <w:rPr>
          <w:rFonts w:ascii="Times New Roman" w:hAnsi="Times New Roman" w:cs="Times New Roman"/>
          <w:color w:val="auto"/>
          <w:sz w:val="24"/>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r>
      <w:r w:rsidRPr="00CE4763">
        <w:rPr>
          <w:rFonts w:ascii="Times New Roman" w:hAnsi="Times New Roman" w:cs="Times New Roman"/>
          <w:color w:val="auto"/>
          <w:sz w:val="24"/>
        </w:rPr>
        <w:t>pomoć u katastrofama,</w:t>
      </w:r>
    </w:p>
    <w:p w14:paraId="0C74D62F" w14:textId="77777777" w:rsidR="00CE4763" w:rsidRPr="00CE4763" w:rsidRDefault="00CE4763" w:rsidP="00CE4763">
      <w:pPr>
        <w:spacing w:after="0" w:line="240" w:lineRule="auto"/>
        <w:ind w:left="879" w:right="0" w:hanging="170"/>
        <w:rPr>
          <w:rFonts w:ascii="Times New Roman" w:hAnsi="Times New Roman" w:cs="Times New Roman"/>
          <w:color w:val="auto"/>
          <w:sz w:val="24"/>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r>
      <w:r w:rsidRPr="00CE4763">
        <w:rPr>
          <w:rFonts w:ascii="Times New Roman" w:hAnsi="Times New Roman" w:cs="Times New Roman"/>
          <w:color w:val="auto"/>
          <w:sz w:val="24"/>
        </w:rPr>
        <w:t>priprema i osposobljavanje za djelovanje u katastrofama,</w:t>
      </w:r>
    </w:p>
    <w:p w14:paraId="7949804B" w14:textId="77777777" w:rsidR="00CE4763" w:rsidRPr="00CE4763" w:rsidRDefault="00CE4763" w:rsidP="00CE4763">
      <w:pPr>
        <w:spacing w:after="0" w:line="240" w:lineRule="auto"/>
        <w:ind w:left="879" w:right="0" w:hanging="170"/>
        <w:rPr>
          <w:rFonts w:ascii="Times New Roman" w:hAnsi="Times New Roman" w:cs="Times New Roman"/>
          <w:color w:val="auto"/>
          <w:sz w:val="24"/>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r>
      <w:r w:rsidRPr="00CE4763">
        <w:rPr>
          <w:rFonts w:ascii="Times New Roman" w:hAnsi="Times New Roman" w:cs="Times New Roman"/>
          <w:color w:val="auto"/>
          <w:sz w:val="24"/>
        </w:rPr>
        <w:t>briga o zdravlju i socijalnoj podršci u zajednici.</w:t>
      </w:r>
    </w:p>
    <w:p w14:paraId="13CBB86E"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Gradsko društvo Crvenog križa Zagreb kao punopravni član Hrvatskog Crvenog križa uživa posebnu zaštitu i skrb Republike Hrvatske. Gradsko društvo Crvenog križa Zagreb djeluje na području Grada Zagreba. Sjedište društva je u Zagrebu, Ilica 223. Osim sjedišta u Ilici 223, društvo ima u vlasništvu i odmaralište za djecu u Novom Vinodolskom te raspolaže odmaralištem za djecu na Sljemenu. Specijalnosti Gradskog društva Crvenog križa Zagreb su organiziranje i vođenje službe spašavanja, prihvat i podjela humanitarne pomoći, prva pomoć, spašavanje života na vodi te osposobljavanje spašavatelja.</w:t>
      </w:r>
    </w:p>
    <w:p w14:paraId="096F1F1E"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Ukupan broj članova interventnog tima je 50 članova, od čega je 30 aktivnih članova. Unutar GDCK Zagreb djeluje i Spasilački klub "Henry Dunant" koji broji 25 članova od kojih su svi aktivni. Članovi kluba su licencirani spasioci na vodi koji su prošli napredni tečaj za spašavanje u otežanim uvjetima te su osposobljeni za spašavanja u urbanim poplavama, velikim poplavama i slično. Društvo raspolaže s 13 vozila i jednim plovilom te materijalnim sredstvima i opremom za provođenje mjera i aktivnosti sustava civilne zaštite, i to: 6 šatora 35 m2,1 šator 45 m2, 1 šator na napuhavanje 30 m2, 3 pop-up šatora 9 m2, 500 vreća za spavanje, 1000 deka, 38 ležajeva na rasklapanje, 10 aluminijskih kreveta, 20 bolničkih kreveta, 2 agregata, 2 pumpe za vodu, 80 isušivača vlage, 10 električnih grijalica, 2 uljna grijača, 1 daska za imobilizaciju, 1 daska za evakuaciju, osobna zaštitna oprema, 6 TETRA radiostanica, 1 mobilni ured (2 računala, printer, 2 tableta, 2 mobitela), razni alat, lopate, 2 motorne pile, 15 setova klupa i stolova.</w:t>
      </w:r>
    </w:p>
    <w:p w14:paraId="07097C7F"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Za obavljanje djelatnosti sukladno posebnim propisima GDCK Zagreb raspolaže i prostorom za smještaj beskućnika u Velikoj Kosnici pokraj Zagreba. Kapacitet prihvata osoba je 135 korisnika.</w:t>
      </w:r>
    </w:p>
    <w:p w14:paraId="36AAE0DD" w14:textId="7BE8A4A9" w:rsidR="00CE4763" w:rsidRPr="00385A37" w:rsidRDefault="00CE4763" w:rsidP="00385A37">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lastRenderedPageBreak/>
        <w:t>GDCK Zagreb otvorilo je novi logističko-distributivni centar za prikupljanje humanitarne pomoći socijalno ugroženim građanima Grada Zagreba. Također, centar se koristi za skladištenje kompletne opreme za djelovanje u kriznim situacijama, a u slučaju velikih katastrofa služi za prikupljanje humanitarne pomoći. GDCK Zagreb koristi i dva pričuvna skladišta. U sklopu centra napravljena je i prostorija za boravak i dežurstvo operativnih snaga.</w:t>
      </w:r>
    </w:p>
    <w:p w14:paraId="548149BD" w14:textId="77777777" w:rsidR="00CE4763" w:rsidRPr="00CE4763" w:rsidRDefault="00CE4763" w:rsidP="00CE4763">
      <w:pPr>
        <w:spacing w:after="0" w:line="240" w:lineRule="auto"/>
        <w:ind w:left="0" w:right="0" w:firstLine="709"/>
        <w:rPr>
          <w:rFonts w:ascii="Times New Roman" w:hAnsi="Times New Roman" w:cs="Times New Roman"/>
          <w:b/>
          <w:color w:val="auto"/>
          <w:sz w:val="24"/>
        </w:rPr>
      </w:pPr>
      <w:bookmarkStart w:id="139" w:name="_Toc2938642"/>
      <w:r w:rsidRPr="00CE4763">
        <w:rPr>
          <w:rFonts w:ascii="Times New Roman" w:hAnsi="Times New Roman" w:cs="Times New Roman"/>
          <w:b/>
          <w:color w:val="auto"/>
          <w:sz w:val="24"/>
        </w:rPr>
        <w:t>Operativne snage Hrvatske gorske službe spašavanja - Stanica Zagreb</w:t>
      </w:r>
      <w:bookmarkEnd w:id="139"/>
    </w:p>
    <w:p w14:paraId="7EF6AE20"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HGSS je nositelj pojedinih djelatnosti i resurs koji se koristi u izvanrednim okolnostima, na visokim objektima, u slučaju potresa, vremenskih nepogoda, većih i drugih nesreća. HGSS posjeduje i razvija potrebne sposobnosti, resurse i operativne snage: osposobljene timove za pružanje medicinske pomoći i potragu za nestalim i zatrpanim osobama, trenira potražne pse, posjeduje opremu za izvlačenje ozlijeđenih, spašavanje na vodama te provodi i druge akcije.</w:t>
      </w:r>
    </w:p>
    <w:p w14:paraId="5882F2FE"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Hrvatska gorska služba spašavanja - stanica Zagreb ima 86 članova: 78 spašavatelja, od toga je 12 instruktora HGSS-a i 8 pripravnika. U svom sastavu ima 5 liječnika, jednog medicinskog tehničara, 8 članova s položenim tečajem za asistenciju liječnicima pri helikopterskom spašavanju, 38 članova s ITLS licencom,</w:t>
      </w:r>
      <w:r w:rsidRPr="00CE4763">
        <w:rPr>
          <w:color w:val="auto"/>
        </w:rPr>
        <w:t xml:space="preserve"> </w:t>
      </w:r>
      <w:r w:rsidRPr="00CE4763">
        <w:rPr>
          <w:rFonts w:ascii="Times New Roman" w:hAnsi="Times New Roman" w:cs="Times New Roman"/>
          <w:color w:val="auto"/>
          <w:sz w:val="24"/>
        </w:rPr>
        <w:t>86 članova s položenom prvom pomoći, 5 letača spašavatelja, 2 instruktora helikopterskog spašavanja s licencom Air Zermatt, 9 učitelja skijanja, 16 osoba osposobljenih za digitalnu kartografiju i vođenje potraga, jednog licenciranog pilota bespilotnih letjelica, 2 potražna tima s psom, 15 osposobljenih voditelja spašavanja u speleološkim objektima, 31 ronioca raznih kategorija od toga trojicu osposobljenih za spašavanje iz potopljenih speleoloških objekata ili dubina do 100 metara, 29 članova osposobljenih za spašavanje na brzim vodama i potopljenim područjima, te 14 spašavatelja s položenim ispitom za rukovanje eksplozivnim tvarima.</w:t>
      </w:r>
    </w:p>
    <w:p w14:paraId="32B0CD5F"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Tijekom 2021. pripadnici Hrvatske gorske službe spašavanja - Stanice Zagreb sudjelovali su u 175 akcija spašavanja u kojima je spašeno 185 osoba. Od toga je na području Grada Zagreba bilo 88 akcija spašavanja u kojima je spašeno 80 osoba. U navedenim akcijama spašavanja u prosjeku su sudjelovala 3 pripadnika po jednoj intervenciji.</w:t>
      </w:r>
    </w:p>
    <w:p w14:paraId="43C379D9" w14:textId="77777777" w:rsidR="00CE4763" w:rsidRPr="00CE4763" w:rsidRDefault="00CE4763" w:rsidP="00CE4763">
      <w:pPr>
        <w:spacing w:after="0" w:line="240" w:lineRule="auto"/>
        <w:ind w:right="0"/>
        <w:rPr>
          <w:rFonts w:ascii="Times New Roman" w:hAnsi="Times New Roman" w:cs="Times New Roman"/>
          <w:color w:val="0070C0"/>
          <w:sz w:val="24"/>
        </w:rPr>
      </w:pPr>
    </w:p>
    <w:p w14:paraId="3D26467C" w14:textId="77777777" w:rsidR="00CE4763" w:rsidRPr="00CE4763" w:rsidRDefault="00CE4763" w:rsidP="00CE4763">
      <w:pPr>
        <w:spacing w:after="0" w:line="240" w:lineRule="auto"/>
        <w:ind w:left="0" w:right="0" w:firstLine="709"/>
        <w:rPr>
          <w:rFonts w:ascii="Times New Roman" w:hAnsi="Times New Roman" w:cs="Times New Roman"/>
          <w:b/>
          <w:color w:val="auto"/>
          <w:sz w:val="24"/>
        </w:rPr>
      </w:pPr>
      <w:bookmarkStart w:id="140" w:name="_Toc2938643"/>
      <w:r w:rsidRPr="00CE4763">
        <w:rPr>
          <w:rFonts w:ascii="Times New Roman" w:hAnsi="Times New Roman" w:cs="Times New Roman"/>
          <w:b/>
          <w:color w:val="auto"/>
          <w:sz w:val="24"/>
        </w:rPr>
        <w:t>Udruge građana od interesa za sustav civilne zaštite</w:t>
      </w:r>
      <w:bookmarkEnd w:id="140"/>
    </w:p>
    <w:p w14:paraId="006AD5EC"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Hrvatska udruga za obuku potražnih pasa (HUOPP) i Klub za obuku službenih i sportskih pasa "Zagreb" (KOSSP) dobrovoljne su udruge koje se bave školovanjem pasa i njihovih vodiča radi sudjelovanja u potražnim akcijama za izgubljenim i nestalim osobama. Sada ukinuti Ured za upravljanje u hitnim situacijama tijekom 2021. sufinancirao je dio programa obuke spasilačkih i potražnih pasa te ih uključio u specijalističke postrojbe civilne zaštite Grada Zagreba.</w:t>
      </w:r>
    </w:p>
    <w:p w14:paraId="1D9D6E2B"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Zagrebački speleološki savez osnovan je radi razvoja i unapređenja speleologije kao stručne i znanstvene aktivnosti u Gradu Zagrebu i Zagrebačkoj županiji. Glavna je zadaća Saveza zajedničko djelovanje udruga koje su registrirane za speleološku djelatnost na području Grada Zagreba i Zagrebačke županije, da bi se poboljšali uvjeti rada i status speleološke djelatnosti. Članovi Zagrebačkoga speleološkog saveza sastavni su dio postrojbi civilne zaštite specijalističke namjene Grada Zagreba.</w:t>
      </w:r>
    </w:p>
    <w:p w14:paraId="3B981A46"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Zagrebački radioamaterski savez je udruženje radioklubova, neprofitna organizacija, koji djeluje na području Grada Zagreba u svojstvu pravne osobe i upisan je u registar nadležnoga gradskog upravnog tijela. Savez je osnovan 1994. Trideset članova Zagrebačkog radioamaterskog saveza sastavni je dio postrojbi civilne zaštite specijalističke namjene Grada Zagreba.</w:t>
      </w:r>
    </w:p>
    <w:p w14:paraId="5534CCAD"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659CF7E4" w14:textId="77777777" w:rsidR="00CE4763" w:rsidRPr="00CE4763" w:rsidRDefault="00CE4763" w:rsidP="00CE4763">
      <w:pPr>
        <w:spacing w:after="0" w:line="240" w:lineRule="auto"/>
        <w:ind w:left="0" w:right="0" w:firstLine="709"/>
        <w:rPr>
          <w:rFonts w:ascii="Times New Roman" w:hAnsi="Times New Roman" w:cs="Times New Roman"/>
          <w:b/>
          <w:color w:val="auto"/>
          <w:sz w:val="24"/>
        </w:rPr>
      </w:pPr>
      <w:bookmarkStart w:id="141" w:name="_Toc2938644"/>
      <w:r w:rsidRPr="00CE4763">
        <w:rPr>
          <w:rFonts w:ascii="Times New Roman" w:hAnsi="Times New Roman" w:cs="Times New Roman"/>
          <w:b/>
          <w:color w:val="auto"/>
          <w:sz w:val="24"/>
        </w:rPr>
        <w:t>Pravne osobe od interesa za sustav civilne zaštite Grada Zagreba</w:t>
      </w:r>
      <w:bookmarkEnd w:id="141"/>
    </w:p>
    <w:p w14:paraId="51DEC702" w14:textId="77777777" w:rsidR="00CE4763" w:rsidRPr="00CE4763" w:rsidRDefault="00CE4763" w:rsidP="00CE4763">
      <w:pPr>
        <w:spacing w:after="0" w:line="240" w:lineRule="auto"/>
        <w:ind w:left="0" w:right="0" w:firstLine="709"/>
        <w:rPr>
          <w:rFonts w:ascii="Times New Roman" w:hAnsi="Times New Roman" w:cs="Times New Roman"/>
          <w:strike/>
          <w:color w:val="FF0000"/>
          <w:sz w:val="24"/>
        </w:rPr>
      </w:pPr>
      <w:r w:rsidRPr="00CE4763">
        <w:rPr>
          <w:rFonts w:ascii="Times New Roman" w:hAnsi="Times New Roman" w:cs="Times New Roman"/>
          <w:sz w:val="24"/>
        </w:rPr>
        <w:t xml:space="preserve">Gradska skupština Grada Zagreba donijela je </w:t>
      </w:r>
      <w:r w:rsidRPr="00CE4763">
        <w:rPr>
          <w:rFonts w:ascii="Times New Roman" w:hAnsi="Times New Roman" w:cs="Times New Roman"/>
          <w:color w:val="auto"/>
          <w:sz w:val="24"/>
        </w:rPr>
        <w:t>Odluku o određivanju pravnih osoba od interesa za sustav civilne zaštite na području Grada Zagreba (Službeni glasnik Grada Zagreba 06/20).</w:t>
      </w:r>
    </w:p>
    <w:p w14:paraId="6A85881E"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lastRenderedPageBreak/>
        <w:t>Ovom se odlukom određene su pravne osobe od interesa za sustav civilne zaštite na području Grada Zagreba, njihove zadaće i kapaciteti, s ciljem pripremanja i organiziranja provedbe mjera i aktivnosti u sustavu civilne zaštite te sudjelovanja u otklanjanju posljedica katastrofa i velikih nesreća.</w:t>
      </w:r>
      <w:r w:rsidRPr="00CE4763">
        <w:t xml:space="preserve"> </w:t>
      </w:r>
      <w:r w:rsidRPr="00CE4763">
        <w:rPr>
          <w:rFonts w:ascii="Times New Roman" w:hAnsi="Times New Roman" w:cs="Times New Roman"/>
          <w:sz w:val="24"/>
        </w:rPr>
        <w:t>Pravne osobe od interesa za sustav civilne zaštite na području Grada Zagreba, uzimajući u obzir djelatnosti i potrebe sustava civilne zaštite tijekom velikih nesreća i katastrofa, dijele se prema zadaćama na: osiguravanje potrebne mehanizacije, osiguravanje kapaciteta za zbrinjavanje i prijevoz stanovništva, osiguravanje kapaciteta za prijevoz i skladištenje robe, osiguravanje hrane i vode za piće, osiguravanje zdravstvenog zbrinjavanja stanovništva, osiguravanje komunikacije tijekom otežanih uvjeta s osobitim naglaskom na informiranje stanovništva, osiguravanje stručnjaka i mehanizacije potrebne za asanaciju te pružanje stručne i savjetodavne potpore Stožeru civilne zaštite Grada Zagreba tijekom velikih nesreća i katastrofa, posebno u segmentu procjene posljedica.</w:t>
      </w:r>
    </w:p>
    <w:p w14:paraId="658AAB4D" w14:textId="77777777" w:rsidR="007872F3" w:rsidRPr="00CE4763" w:rsidRDefault="007872F3" w:rsidP="003E2F12">
      <w:pPr>
        <w:spacing w:after="0" w:line="240" w:lineRule="auto"/>
        <w:ind w:right="0"/>
        <w:rPr>
          <w:rFonts w:ascii="Times New Roman" w:hAnsi="Times New Roman" w:cs="Times New Roman"/>
          <w:sz w:val="24"/>
        </w:rPr>
      </w:pPr>
    </w:p>
    <w:p w14:paraId="366C45D0" w14:textId="6466F29E" w:rsidR="00CE4763" w:rsidRPr="000B1D48" w:rsidRDefault="000B1D48" w:rsidP="00132C6C">
      <w:pPr>
        <w:spacing w:line="240" w:lineRule="auto"/>
        <w:ind w:left="0" w:right="0" w:firstLine="709"/>
        <w:jc w:val="center"/>
        <w:rPr>
          <w:rFonts w:ascii="Times New Roman" w:hAnsi="Times New Roman" w:cs="Times New Roman"/>
          <w:b/>
          <w:color w:val="auto"/>
          <w:sz w:val="24"/>
        </w:rPr>
      </w:pPr>
      <w:r w:rsidRPr="000B1D48">
        <w:rPr>
          <w:rFonts w:ascii="Times New Roman" w:hAnsi="Times New Roman" w:cs="Times New Roman"/>
          <w:b/>
          <w:color w:val="auto"/>
          <w:sz w:val="24"/>
        </w:rPr>
        <w:t>Tablica 136</w:t>
      </w:r>
      <w:r w:rsidR="00CE4763" w:rsidRPr="000B1D48">
        <w:rPr>
          <w:rFonts w:ascii="Times New Roman" w:hAnsi="Times New Roman" w:cs="Times New Roman"/>
          <w:b/>
          <w:color w:val="auto"/>
          <w:sz w:val="24"/>
        </w:rPr>
        <w:t>. Popis pravnih osoba od interesa za sustav civilne zaštite</w:t>
      </w:r>
    </w:p>
    <w:tbl>
      <w:tblPr>
        <w:tblW w:w="9300" w:type="dxa"/>
        <w:shd w:val="clear" w:color="auto" w:fill="FFFFFF"/>
        <w:tblCellMar>
          <w:left w:w="0" w:type="dxa"/>
          <w:right w:w="0" w:type="dxa"/>
        </w:tblCellMar>
        <w:tblLook w:val="04A0" w:firstRow="1" w:lastRow="0" w:firstColumn="1" w:lastColumn="0" w:noHBand="0" w:noVBand="1"/>
      </w:tblPr>
      <w:tblGrid>
        <w:gridCol w:w="794"/>
        <w:gridCol w:w="5671"/>
        <w:gridCol w:w="2835"/>
      </w:tblGrid>
      <w:tr w:rsidR="00CE4763" w:rsidRPr="00CE4763" w14:paraId="1C173F16" w14:textId="77777777" w:rsidTr="00132C6C">
        <w:trPr>
          <w:tblHeader/>
        </w:trPr>
        <w:tc>
          <w:tcPr>
            <w:tcW w:w="9300"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25B49725" w14:textId="77777777" w:rsidR="00CE4763" w:rsidRPr="00CE4763" w:rsidRDefault="00CE4763" w:rsidP="00CE4763">
            <w:pPr>
              <w:spacing w:after="0" w:line="240" w:lineRule="auto"/>
              <w:ind w:left="36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Osiguravanje potrebne mehanizacije</w:t>
            </w:r>
          </w:p>
        </w:tc>
      </w:tr>
      <w:tr w:rsidR="00CE4763" w:rsidRPr="00CE4763" w14:paraId="6D1F4B93" w14:textId="77777777" w:rsidTr="00132C6C">
        <w:trPr>
          <w:tblHeader/>
        </w:trPr>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42DBDDE6"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Redni broj</w:t>
            </w:r>
          </w:p>
        </w:tc>
        <w:tc>
          <w:tcPr>
            <w:tcW w:w="5671"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07DC8F29"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Pravna osoba</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336CB9C3"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Skupina zadaća</w:t>
            </w:r>
          </w:p>
        </w:tc>
      </w:tr>
      <w:tr w:rsidR="00CE4763" w:rsidRPr="00CE4763" w14:paraId="1EAD68B9" w14:textId="77777777" w:rsidTr="00132C6C">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64A32928"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1.</w:t>
            </w:r>
          </w:p>
        </w:tc>
        <w:tc>
          <w:tcPr>
            <w:tcW w:w="5671"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626ECCF4"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Dalekovod d.d., Ulica Marijana Čavića 4,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4FB99C48"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mehanizacije</w:t>
            </w:r>
          </w:p>
        </w:tc>
      </w:tr>
      <w:tr w:rsidR="00CE4763" w:rsidRPr="00CE4763" w14:paraId="59BAB685" w14:textId="77777777" w:rsidTr="00132C6C">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7D9750A1"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2.</w:t>
            </w:r>
          </w:p>
        </w:tc>
        <w:tc>
          <w:tcPr>
            <w:tcW w:w="5671"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30FD1F02"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Tehnika d.d., Vukovarska 274,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799B6691"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mehanizacije</w:t>
            </w:r>
          </w:p>
        </w:tc>
      </w:tr>
      <w:tr w:rsidR="00CE4763" w:rsidRPr="00CE4763" w14:paraId="5BF51835" w14:textId="77777777" w:rsidTr="00132C6C">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6AF8F13E"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3.</w:t>
            </w:r>
          </w:p>
        </w:tc>
        <w:tc>
          <w:tcPr>
            <w:tcW w:w="5671"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6B4BCB10"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Strabag d.o.o., Ulica Petra Hektorovića 2,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55BA023F"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mehanizacije</w:t>
            </w:r>
          </w:p>
        </w:tc>
      </w:tr>
      <w:tr w:rsidR="00CE4763" w:rsidRPr="00CE4763" w14:paraId="67DEBC7C" w14:textId="77777777" w:rsidTr="00132C6C">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64AE839E"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4.</w:t>
            </w:r>
          </w:p>
        </w:tc>
        <w:tc>
          <w:tcPr>
            <w:tcW w:w="5671"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15FC207D"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Kamgrad d.o.o., Ulica Josipa Lončara 1h,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047717F5"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mehanizacije</w:t>
            </w:r>
          </w:p>
        </w:tc>
      </w:tr>
      <w:tr w:rsidR="00CE4763" w:rsidRPr="00CE4763" w14:paraId="682310D6" w14:textId="77777777" w:rsidTr="00132C6C">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66F1E0DF"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5.</w:t>
            </w:r>
          </w:p>
        </w:tc>
        <w:tc>
          <w:tcPr>
            <w:tcW w:w="5671"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684CC691"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Zagreb-Montaža d.o.o., Ulica Roberta Frangeša Mihanovića 9,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646A96AB"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mehanizacije</w:t>
            </w:r>
          </w:p>
        </w:tc>
      </w:tr>
      <w:tr w:rsidR="00CE4763" w:rsidRPr="00CE4763" w14:paraId="58FC070A" w14:textId="77777777" w:rsidTr="00132C6C">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2449BF1B"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6.</w:t>
            </w:r>
          </w:p>
        </w:tc>
        <w:tc>
          <w:tcPr>
            <w:tcW w:w="5671"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3C352EB9"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ING-GRAD d.o.o., Kalinovica 3 IV,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5F4E46B9"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mehanizacije</w:t>
            </w:r>
          </w:p>
        </w:tc>
      </w:tr>
      <w:tr w:rsidR="00CE4763" w:rsidRPr="00CE4763" w14:paraId="04404B05" w14:textId="77777777" w:rsidTr="00132C6C">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57A6F0AF"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7.</w:t>
            </w:r>
          </w:p>
        </w:tc>
        <w:tc>
          <w:tcPr>
            <w:tcW w:w="5671"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3A6C528D"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INGRA d.d., Ulica Alexandera von Humboldta 4b,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68A7B10E"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mehanizacije</w:t>
            </w:r>
          </w:p>
        </w:tc>
      </w:tr>
      <w:tr w:rsidR="00CE4763" w:rsidRPr="00CE4763" w14:paraId="739D5CCB" w14:textId="77777777" w:rsidTr="00132C6C">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318AA5A1"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8.</w:t>
            </w:r>
          </w:p>
        </w:tc>
        <w:tc>
          <w:tcPr>
            <w:tcW w:w="5671"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2F00EEC6"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Institut IGH d.d., Ulica Janka Rakuše 1,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51D5013D"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mehanizacije</w:t>
            </w:r>
          </w:p>
        </w:tc>
      </w:tr>
    </w:tbl>
    <w:p w14:paraId="76FDDD91" w14:textId="77777777" w:rsidR="00CE4763" w:rsidRPr="00CE4763" w:rsidRDefault="00CE4763" w:rsidP="00CE4763">
      <w:pPr>
        <w:shd w:val="clear" w:color="auto" w:fill="FFFFFF"/>
        <w:spacing w:after="0" w:line="240" w:lineRule="auto"/>
        <w:ind w:left="0" w:right="0" w:firstLine="0"/>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 </w:t>
      </w:r>
    </w:p>
    <w:tbl>
      <w:tblPr>
        <w:tblW w:w="9300" w:type="dxa"/>
        <w:shd w:val="clear" w:color="auto" w:fill="FFFFFF"/>
        <w:tblCellMar>
          <w:left w:w="0" w:type="dxa"/>
          <w:right w:w="0" w:type="dxa"/>
        </w:tblCellMar>
        <w:tblLook w:val="04A0" w:firstRow="1" w:lastRow="0" w:firstColumn="1" w:lastColumn="0" w:noHBand="0" w:noVBand="1"/>
      </w:tblPr>
      <w:tblGrid>
        <w:gridCol w:w="794"/>
        <w:gridCol w:w="5671"/>
        <w:gridCol w:w="2835"/>
      </w:tblGrid>
      <w:tr w:rsidR="00CE4763" w:rsidRPr="00CE4763" w14:paraId="57854748" w14:textId="77777777" w:rsidTr="00284074">
        <w:trPr>
          <w:tblHeader/>
        </w:trPr>
        <w:tc>
          <w:tcPr>
            <w:tcW w:w="9299"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0429ED67" w14:textId="77777777" w:rsidR="00CE4763" w:rsidRPr="00CE4763" w:rsidRDefault="00CE4763" w:rsidP="00CE4763">
            <w:pPr>
              <w:spacing w:after="0" w:line="240" w:lineRule="auto"/>
              <w:ind w:left="72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Osiguravanje kapaciteta za zbrinjavanje i prijevoz stanovništva</w:t>
            </w:r>
          </w:p>
        </w:tc>
      </w:tr>
      <w:tr w:rsidR="00CE4763" w:rsidRPr="00CE4763" w14:paraId="05D337BF" w14:textId="77777777" w:rsidTr="00284074">
        <w:trPr>
          <w:tblHeader/>
        </w:trPr>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2F0C7E35"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Redni broj</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0D52840F"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Pravna osoba</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31A0EDE5"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Skupina zadaća</w:t>
            </w:r>
          </w:p>
        </w:tc>
      </w:tr>
      <w:tr w:rsidR="00CE4763" w:rsidRPr="00CE4763" w14:paraId="682418B6"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130E4DCA"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1.</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26CB0917"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HUP-Zagreb d.d., Trg Krešimira Ćosića 9,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56286E80"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kapaciteta za zbrinjavanje stanovništva</w:t>
            </w:r>
          </w:p>
        </w:tc>
      </w:tr>
      <w:tr w:rsidR="00CE4763" w:rsidRPr="00CE4763" w14:paraId="5C94169C"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4BD4F3C1"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2.</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439813B2"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Zagrebački električni tramvaj d.o.o. Ozaljska 105, 10110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3C3872AC"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kapaciteta za prijevoz stanovništva</w:t>
            </w:r>
          </w:p>
        </w:tc>
      </w:tr>
    </w:tbl>
    <w:p w14:paraId="38344E9E" w14:textId="77777777" w:rsidR="00CE4763" w:rsidRPr="00CE4763" w:rsidRDefault="00CE4763" w:rsidP="00CE4763">
      <w:pPr>
        <w:shd w:val="clear" w:color="auto" w:fill="FFFFFF"/>
        <w:spacing w:after="0" w:line="240" w:lineRule="auto"/>
        <w:ind w:left="0" w:right="0" w:firstLine="0"/>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 </w:t>
      </w:r>
    </w:p>
    <w:tbl>
      <w:tblPr>
        <w:tblW w:w="9300" w:type="dxa"/>
        <w:shd w:val="clear" w:color="auto" w:fill="FFFFFF"/>
        <w:tblCellMar>
          <w:left w:w="0" w:type="dxa"/>
          <w:right w:w="0" w:type="dxa"/>
        </w:tblCellMar>
        <w:tblLook w:val="04A0" w:firstRow="1" w:lastRow="0" w:firstColumn="1" w:lastColumn="0" w:noHBand="0" w:noVBand="1"/>
      </w:tblPr>
      <w:tblGrid>
        <w:gridCol w:w="794"/>
        <w:gridCol w:w="5671"/>
        <w:gridCol w:w="2835"/>
      </w:tblGrid>
      <w:tr w:rsidR="00CE4763" w:rsidRPr="00CE4763" w14:paraId="506EA879" w14:textId="77777777" w:rsidTr="00284074">
        <w:trPr>
          <w:tblHeader/>
        </w:trPr>
        <w:tc>
          <w:tcPr>
            <w:tcW w:w="9299"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49B8C51C"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Osiguravanje kapaciteta za prijevoz i skladištenje robe</w:t>
            </w:r>
          </w:p>
        </w:tc>
      </w:tr>
      <w:tr w:rsidR="00CE4763" w:rsidRPr="00CE4763" w14:paraId="2BCF6A9B" w14:textId="77777777" w:rsidTr="00284074">
        <w:trPr>
          <w:tblHeader/>
        </w:trPr>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404219FA"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Redni broj</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42EB5480"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Pravna osoba</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591593AE"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Skupina zadaća</w:t>
            </w:r>
          </w:p>
        </w:tc>
      </w:tr>
      <w:tr w:rsidR="00CE4763" w:rsidRPr="00CE4763" w14:paraId="5AA66274"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4F398178"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1.</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6C28A52B"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Intereuropa d.o.o., Ulica Josipa Lončara 3,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6E5554E2"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Logistika (osiguravanje skladišnih prostora i prijevoz pomoći)</w:t>
            </w:r>
          </w:p>
        </w:tc>
      </w:tr>
      <w:tr w:rsidR="00CE4763" w:rsidRPr="00CE4763" w14:paraId="6505F151"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3C1BDBD3"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2.</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13CD05C5"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Alca Zagreb d.o.o., Koledovčina 2,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3B63216C"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Logistika (osiguravanje skladišnih prostora i prijevoz pomoći)</w:t>
            </w:r>
          </w:p>
        </w:tc>
      </w:tr>
    </w:tbl>
    <w:p w14:paraId="30079C66" w14:textId="77777777" w:rsidR="00CE4763" w:rsidRPr="00CE4763" w:rsidRDefault="00CE4763" w:rsidP="00CE4763">
      <w:pPr>
        <w:shd w:val="clear" w:color="auto" w:fill="FFFFFF"/>
        <w:spacing w:after="0" w:line="240" w:lineRule="auto"/>
        <w:ind w:left="0" w:right="0" w:firstLine="0"/>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 </w:t>
      </w:r>
    </w:p>
    <w:tbl>
      <w:tblPr>
        <w:tblW w:w="9300" w:type="dxa"/>
        <w:shd w:val="clear" w:color="auto" w:fill="FFFFFF"/>
        <w:tblCellMar>
          <w:left w:w="0" w:type="dxa"/>
          <w:right w:w="0" w:type="dxa"/>
        </w:tblCellMar>
        <w:tblLook w:val="04A0" w:firstRow="1" w:lastRow="0" w:firstColumn="1" w:lastColumn="0" w:noHBand="0" w:noVBand="1"/>
      </w:tblPr>
      <w:tblGrid>
        <w:gridCol w:w="794"/>
        <w:gridCol w:w="5671"/>
        <w:gridCol w:w="2835"/>
      </w:tblGrid>
      <w:tr w:rsidR="00CE4763" w:rsidRPr="00CE4763" w14:paraId="582069CE" w14:textId="77777777" w:rsidTr="00284074">
        <w:trPr>
          <w:tblHeader/>
        </w:trPr>
        <w:tc>
          <w:tcPr>
            <w:tcW w:w="9299"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2F07C514"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Osiguravanje hrane i vode za piće</w:t>
            </w:r>
          </w:p>
        </w:tc>
      </w:tr>
      <w:tr w:rsidR="00CE4763" w:rsidRPr="00CE4763" w14:paraId="5BDB4E36" w14:textId="77777777" w:rsidTr="00284074">
        <w:trPr>
          <w:tblHeader/>
        </w:trPr>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6E87DFFF"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Redni broj</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6DA92382"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Pravna osoba</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0CC42565"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Skupina zadaća</w:t>
            </w:r>
          </w:p>
        </w:tc>
      </w:tr>
      <w:tr w:rsidR="00CE4763" w:rsidRPr="00CE4763" w14:paraId="49EACA7D"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07544224"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1.</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467A0E5C"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Konzum d.d., Ulica Marijana Čavića 1/a,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5385AA80"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hrane i vode za piće</w:t>
            </w:r>
          </w:p>
        </w:tc>
      </w:tr>
      <w:tr w:rsidR="00CE4763" w:rsidRPr="00CE4763" w14:paraId="1C0E2F77"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4F66FD05"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2.</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3D0579F7"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Kaufland Hrvatska k.d., Donje Svetice 14,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1624C7B5"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hrane i vode za piće</w:t>
            </w:r>
          </w:p>
        </w:tc>
      </w:tr>
      <w:tr w:rsidR="00CE4763" w:rsidRPr="00CE4763" w14:paraId="176638BD"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673FB15C"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3.</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1183FB0E"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SPAR Hrvatska d.o.o., Slavonska avenija 50,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0F42F964"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hrane i vode za piće</w:t>
            </w:r>
          </w:p>
        </w:tc>
      </w:tr>
      <w:tr w:rsidR="00CE4763" w:rsidRPr="00CE4763" w14:paraId="07670509"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479B621B"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4.</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2F0F8F89"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Velpro - Centar d.o.o., Ulica Marijana Čavića 1,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03023990"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hrane i vode za piće</w:t>
            </w:r>
          </w:p>
        </w:tc>
      </w:tr>
      <w:tr w:rsidR="00CE4763" w:rsidRPr="00CE4763" w14:paraId="13230B63"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1638D4D6"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5.</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1D49C072"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Prehrana trgovina d.d., Utinjska 48,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31688E2C"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hrane i vode za piće</w:t>
            </w:r>
          </w:p>
        </w:tc>
      </w:tr>
      <w:tr w:rsidR="00CE4763" w:rsidRPr="00CE4763" w14:paraId="3ECCFCEC"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4278852E"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lastRenderedPageBreak/>
              <w:t>6.</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249A1E5A"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Narodni trgovački lanac d.o.o., Soblinec, Soblinečka 55, 10360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478B1C64"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hrane i vode za piće</w:t>
            </w:r>
          </w:p>
        </w:tc>
      </w:tr>
      <w:tr w:rsidR="00CE4763" w:rsidRPr="00CE4763" w14:paraId="74777CF9"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590FC658"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7.</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4D390B4A"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Orbico d.o.o., Koturaška cesta 69,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2072F040"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hrane i vode za piće</w:t>
            </w:r>
          </w:p>
        </w:tc>
      </w:tr>
      <w:tr w:rsidR="00CE4763" w:rsidRPr="00CE4763" w14:paraId="3359939F"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27023F5D"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8.</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1C45A3A3"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Nestlé Adriatic d.o.o., Avenija Većeslava Holjevca 40, 10010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36A35751"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dječje hrane</w:t>
            </w:r>
          </w:p>
        </w:tc>
      </w:tr>
      <w:tr w:rsidR="00CE4763" w:rsidRPr="00CE4763" w14:paraId="0848D157"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0E810266"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9.</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0645A90C"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Jamnica d.d., Getaldićeva 3,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3972E85C"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vode za piće</w:t>
            </w:r>
          </w:p>
        </w:tc>
      </w:tr>
      <w:tr w:rsidR="00CE4763" w:rsidRPr="00CE4763" w14:paraId="17041FAC"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6C93A7C2"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10.</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77979D4F"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Mlinar pekarska industrija d.d., Radnička cesta 228 c,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0E7AC5D4"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pekarskih proizvoda</w:t>
            </w:r>
          </w:p>
        </w:tc>
      </w:tr>
      <w:tr w:rsidR="00CE4763" w:rsidRPr="00CE4763" w14:paraId="732AC5C9"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143FD22B"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11.</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6F6E7670"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PAN-PEK d.o.o., Planinska 2C,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7BC29714"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pekarskih proizvoda</w:t>
            </w:r>
          </w:p>
        </w:tc>
      </w:tr>
      <w:tr w:rsidR="00CE4763" w:rsidRPr="00CE4763" w14:paraId="7B617AEA"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4AF2A309"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12.</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59656337"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Zagrebačke pekarne Klara, d.d., Utinjska 48,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219C11BE"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pekarskih proizvoda</w:t>
            </w:r>
          </w:p>
        </w:tc>
      </w:tr>
      <w:tr w:rsidR="00CE4763" w:rsidRPr="00CE4763" w14:paraId="020816ED"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65B55B7E"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13.</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7983CD9B"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Granolio d.d., Budmanijeva 5,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5073B589"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brašna</w:t>
            </w:r>
          </w:p>
        </w:tc>
      </w:tr>
      <w:tr w:rsidR="00CE4763" w:rsidRPr="00CE4763" w14:paraId="49D432D1"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0B642086"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14.</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1B405E6B"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Meteor Grupa - Labud d.o.o., Radnička cesta 173/r,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0F730003"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sredstava za osobnu higijenu</w:t>
            </w:r>
          </w:p>
        </w:tc>
      </w:tr>
    </w:tbl>
    <w:p w14:paraId="6CAE5533" w14:textId="77777777" w:rsidR="00CE4763" w:rsidRPr="00CE4763" w:rsidRDefault="00CE4763" w:rsidP="00CE4763">
      <w:pPr>
        <w:shd w:val="clear" w:color="auto" w:fill="FFFFFF"/>
        <w:spacing w:after="0" w:line="240" w:lineRule="auto"/>
        <w:ind w:left="0" w:right="0" w:firstLine="0"/>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 </w:t>
      </w:r>
    </w:p>
    <w:tbl>
      <w:tblPr>
        <w:tblW w:w="9300" w:type="dxa"/>
        <w:shd w:val="clear" w:color="auto" w:fill="FFFFFF"/>
        <w:tblCellMar>
          <w:left w:w="0" w:type="dxa"/>
          <w:right w:w="0" w:type="dxa"/>
        </w:tblCellMar>
        <w:tblLook w:val="04A0" w:firstRow="1" w:lastRow="0" w:firstColumn="1" w:lastColumn="0" w:noHBand="0" w:noVBand="1"/>
      </w:tblPr>
      <w:tblGrid>
        <w:gridCol w:w="794"/>
        <w:gridCol w:w="5671"/>
        <w:gridCol w:w="2835"/>
      </w:tblGrid>
      <w:tr w:rsidR="00CE4763" w:rsidRPr="00CE4763" w14:paraId="76320DA5" w14:textId="77777777" w:rsidTr="00284074">
        <w:trPr>
          <w:tblHeader/>
        </w:trPr>
        <w:tc>
          <w:tcPr>
            <w:tcW w:w="9299"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770782CE"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Osiguravanje zdravstvenog zbrinjavanja stanovništva</w:t>
            </w:r>
          </w:p>
        </w:tc>
      </w:tr>
      <w:tr w:rsidR="00CE4763" w:rsidRPr="00CE4763" w14:paraId="5FA37FBD" w14:textId="77777777" w:rsidTr="00284074">
        <w:trPr>
          <w:tblHeader/>
        </w:trPr>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79427A09"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Redni broj</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0650984B"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Pravna osoba</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5CEF33CF"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Skupina zadaća</w:t>
            </w:r>
          </w:p>
        </w:tc>
      </w:tr>
      <w:tr w:rsidR="00CE4763" w:rsidRPr="00CE4763" w14:paraId="0A89326E"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1E6852F3"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1.</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2342ED3A"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Gradska ljekarna Zagreb, Ulica kralja Držislava 6,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59937F58"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lijekova</w:t>
            </w:r>
          </w:p>
        </w:tc>
      </w:tr>
      <w:tr w:rsidR="00CE4763" w:rsidRPr="00CE4763" w14:paraId="45D8455E"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4C60692C"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2.</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29AF9434"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Oktal Pharma d.o.o., Utinjska ulica 40, 10020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4FD552DA"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lijekova</w:t>
            </w:r>
          </w:p>
        </w:tc>
      </w:tr>
      <w:tr w:rsidR="00CE4763" w:rsidRPr="00CE4763" w14:paraId="144CED86"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14EA0EA1"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3.</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723FE40B"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Medika d.d., Capraška 1,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181C649F"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lijekova</w:t>
            </w:r>
          </w:p>
        </w:tc>
      </w:tr>
    </w:tbl>
    <w:p w14:paraId="6640E546" w14:textId="77777777" w:rsidR="00CE4763" w:rsidRPr="00CE4763" w:rsidRDefault="00CE4763" w:rsidP="00CE4763">
      <w:pPr>
        <w:shd w:val="clear" w:color="auto" w:fill="FFFFFF"/>
        <w:spacing w:after="0" w:line="240" w:lineRule="auto"/>
        <w:ind w:left="0" w:right="0" w:firstLine="0"/>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 </w:t>
      </w:r>
    </w:p>
    <w:tbl>
      <w:tblPr>
        <w:tblW w:w="9300" w:type="dxa"/>
        <w:shd w:val="clear" w:color="auto" w:fill="FFFFFF"/>
        <w:tblCellMar>
          <w:left w:w="0" w:type="dxa"/>
          <w:right w:w="0" w:type="dxa"/>
        </w:tblCellMar>
        <w:tblLook w:val="04A0" w:firstRow="1" w:lastRow="0" w:firstColumn="1" w:lastColumn="0" w:noHBand="0" w:noVBand="1"/>
      </w:tblPr>
      <w:tblGrid>
        <w:gridCol w:w="794"/>
        <w:gridCol w:w="5671"/>
        <w:gridCol w:w="2835"/>
      </w:tblGrid>
      <w:tr w:rsidR="00CE4763" w:rsidRPr="00CE4763" w14:paraId="7AF89D43" w14:textId="77777777" w:rsidTr="00284074">
        <w:trPr>
          <w:tblHeader/>
        </w:trPr>
        <w:tc>
          <w:tcPr>
            <w:tcW w:w="9299"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62A8A617"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Osiguravanje komunikacije tijekom otežanih uvjeta s osobitim naglaskom na informiranje stanovništva</w:t>
            </w:r>
          </w:p>
        </w:tc>
      </w:tr>
      <w:tr w:rsidR="00CE4763" w:rsidRPr="00CE4763" w14:paraId="189D378A" w14:textId="77777777" w:rsidTr="00284074">
        <w:trPr>
          <w:tblHeader/>
        </w:trPr>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2EB61C89"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Redni broj</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1B717DBA"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Pravna osoba</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6BF106C2"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Skupina zadaća</w:t>
            </w:r>
          </w:p>
        </w:tc>
      </w:tr>
      <w:tr w:rsidR="00CE4763" w:rsidRPr="00CE4763" w14:paraId="1521CBF1"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626874BC"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1.</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5C5334B3"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Hrvatski Telekom d.d., Ulica Roberta Frangeša Mihanovića 9,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7F19A026"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rada mobilnih komunikacija</w:t>
            </w:r>
          </w:p>
        </w:tc>
      </w:tr>
      <w:tr w:rsidR="00CE4763" w:rsidRPr="00CE4763" w14:paraId="5B640BD9"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4C999306"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2.</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3AAA290B"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A1 Hrvatska d.o.o., Vrtni put 1,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2CF558FF"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rada mobilnih komunikacija</w:t>
            </w:r>
          </w:p>
        </w:tc>
      </w:tr>
      <w:tr w:rsidR="00CE4763" w:rsidRPr="00CE4763" w14:paraId="62EE2BE7"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28275C2D"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3.</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0907E3BF"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Tele2 d.o.o., Ulica grada Vukovara 269/D,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0EB8CF1C"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rada mobilnih komunikacija</w:t>
            </w:r>
          </w:p>
        </w:tc>
      </w:tr>
      <w:tr w:rsidR="00CE4763" w:rsidRPr="00CE4763" w14:paraId="4FD96E0D"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661728BD"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4.</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2182C31D"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Hrvatska radiotelevizija, Prisavlje 3,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3083EAF4"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satelitskih reportažnih kola</w:t>
            </w:r>
          </w:p>
        </w:tc>
      </w:tr>
      <w:tr w:rsidR="00CE4763" w:rsidRPr="00CE4763" w14:paraId="2B8D06F1"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635FD9A3"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5.</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6F2D3826"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Odašiljači i veze d.o.o., Ulica grada Vukovara 269d,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34D00643"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rada FM mreže u otežanim uvjetima i ostalih komunikacija</w:t>
            </w:r>
          </w:p>
        </w:tc>
      </w:tr>
      <w:tr w:rsidR="00CE4763" w:rsidRPr="00CE4763" w14:paraId="3B5276E7"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5C5013C8"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6.</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0713BD65"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Ericsson Nikola Tesla d.d., Krapinska 45,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1B558816"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Pomoć pri uspostavi komunikacijskih veza</w:t>
            </w:r>
          </w:p>
        </w:tc>
      </w:tr>
      <w:tr w:rsidR="00CE4763" w:rsidRPr="00CE4763" w14:paraId="76A95DAD"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65A85D9F"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7.</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071C9793"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HP - Hrvatska pošta d.d., Jurišićeva 13,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6EEF8AB6"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Pomoć pri prenošenju informacija i zapovijedi (teklićka služba)</w:t>
            </w:r>
          </w:p>
        </w:tc>
      </w:tr>
    </w:tbl>
    <w:p w14:paraId="5A7BB5E6" w14:textId="77777777" w:rsidR="00CE4763" w:rsidRPr="00CE4763" w:rsidRDefault="00CE4763" w:rsidP="00CE4763">
      <w:pPr>
        <w:shd w:val="clear" w:color="auto" w:fill="FFFFFF"/>
        <w:spacing w:after="0" w:line="240" w:lineRule="auto"/>
        <w:ind w:left="0" w:right="0" w:firstLine="0"/>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 </w:t>
      </w:r>
    </w:p>
    <w:tbl>
      <w:tblPr>
        <w:tblW w:w="9300" w:type="dxa"/>
        <w:shd w:val="clear" w:color="auto" w:fill="FFFFFF"/>
        <w:tblCellMar>
          <w:left w:w="0" w:type="dxa"/>
          <w:right w:w="0" w:type="dxa"/>
        </w:tblCellMar>
        <w:tblLook w:val="04A0" w:firstRow="1" w:lastRow="0" w:firstColumn="1" w:lastColumn="0" w:noHBand="0" w:noVBand="1"/>
      </w:tblPr>
      <w:tblGrid>
        <w:gridCol w:w="794"/>
        <w:gridCol w:w="5671"/>
        <w:gridCol w:w="2835"/>
      </w:tblGrid>
      <w:tr w:rsidR="00CE4763" w:rsidRPr="00CE4763" w14:paraId="6E87222B" w14:textId="77777777" w:rsidTr="00284074">
        <w:trPr>
          <w:tblHeader/>
        </w:trPr>
        <w:tc>
          <w:tcPr>
            <w:tcW w:w="9299"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56FE22BA"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Osiguravanje stručnjaka i mehanizacije potrebne za asanaciju</w:t>
            </w:r>
          </w:p>
        </w:tc>
      </w:tr>
      <w:tr w:rsidR="00CE4763" w:rsidRPr="00CE4763" w14:paraId="37168C01" w14:textId="77777777" w:rsidTr="00284074">
        <w:trPr>
          <w:tblHeader/>
        </w:trPr>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5136BB57"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Redni broj</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3BBDCBDA"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Pravna osoba</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7B423C77"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Skupina zadaća</w:t>
            </w:r>
          </w:p>
        </w:tc>
      </w:tr>
      <w:tr w:rsidR="00CE4763" w:rsidRPr="00CE4763" w14:paraId="1DBD77FE"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7705D60E"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1.</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35F1D32B"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Agroproteinka d.d. Strojarska cesta 11, 10360 Sesvete</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193EEAAC"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Prikupljanje i prerada nusproizvoda životinjskog podrijetla</w:t>
            </w:r>
          </w:p>
        </w:tc>
      </w:tr>
      <w:tr w:rsidR="00CE4763" w:rsidRPr="00CE4763" w14:paraId="4F59E5FA"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08B104E6"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2.</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0A1592D2"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CE-ZA-R Centar za reciklažu d.o.o., Ulica Josipa Lončara 15,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78AE3CA8"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Zbrinjavanje otpada / asanacija</w:t>
            </w:r>
          </w:p>
        </w:tc>
      </w:tr>
      <w:tr w:rsidR="00CE4763" w:rsidRPr="00CE4763" w14:paraId="60B05754"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46D885DB"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3.</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7B93FAD2"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ANT Laboratorij za analitiku i toksikologiju d.o.o., Medarska 69,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770A4970"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Analiza zraka, tla, vode i asanacija</w:t>
            </w:r>
          </w:p>
        </w:tc>
      </w:tr>
      <w:tr w:rsidR="00CE4763" w:rsidRPr="00CE4763" w14:paraId="5490F289"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68132547"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lastRenderedPageBreak/>
              <w:t>4.</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418A06FC"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STSI-Integrirani tehnički servisi d.o.o., Lovinčićeva 4,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673AC47E"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Analiza zraka, tla, vode i asanacija</w:t>
            </w:r>
          </w:p>
        </w:tc>
      </w:tr>
      <w:tr w:rsidR="00CE4763" w:rsidRPr="00CE4763" w14:paraId="77B0E843"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57B546AA"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5.</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6064B9E1"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Kemis-Termoclean d.o.o., Slavonska avenija 26/4,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133BC994"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Analiza zraka, tla, vode i asanacija</w:t>
            </w:r>
          </w:p>
        </w:tc>
      </w:tr>
      <w:tr w:rsidR="00CE4763" w:rsidRPr="00CE4763" w14:paraId="5C605A2B"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58CB46B4"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6.</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096444AE"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Euroinspekt Croatiakontrola d.o.o., Karlovačka cesta 4L,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66AB8028"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Analiza zraka, tla, vode i asanacija</w:t>
            </w:r>
          </w:p>
        </w:tc>
      </w:tr>
      <w:tr w:rsidR="00CE4763" w:rsidRPr="00CE4763" w14:paraId="1101BDFC"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77700314"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7.</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1F32FFD8"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C.I.A.K. d.o.o., Savska opatovina 36,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028DB267"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Analiza zraka, tla, vode i asanacija</w:t>
            </w:r>
          </w:p>
        </w:tc>
      </w:tr>
    </w:tbl>
    <w:p w14:paraId="0AE2389B" w14:textId="77777777" w:rsidR="00CE4763" w:rsidRPr="00CE4763" w:rsidRDefault="00CE4763" w:rsidP="00CE4763">
      <w:pPr>
        <w:shd w:val="clear" w:color="auto" w:fill="FFFFFF"/>
        <w:spacing w:after="0" w:line="240" w:lineRule="auto"/>
        <w:ind w:left="0" w:right="0" w:firstLine="0"/>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 </w:t>
      </w:r>
    </w:p>
    <w:tbl>
      <w:tblPr>
        <w:tblW w:w="9300" w:type="dxa"/>
        <w:shd w:val="clear" w:color="auto" w:fill="FFFFFF"/>
        <w:tblCellMar>
          <w:left w:w="0" w:type="dxa"/>
          <w:right w:w="0" w:type="dxa"/>
        </w:tblCellMar>
        <w:tblLook w:val="04A0" w:firstRow="1" w:lastRow="0" w:firstColumn="1" w:lastColumn="0" w:noHBand="0" w:noVBand="1"/>
      </w:tblPr>
      <w:tblGrid>
        <w:gridCol w:w="794"/>
        <w:gridCol w:w="5671"/>
        <w:gridCol w:w="2835"/>
      </w:tblGrid>
      <w:tr w:rsidR="00CE4763" w:rsidRPr="00CE4763" w14:paraId="23284405" w14:textId="77777777" w:rsidTr="00284074">
        <w:trPr>
          <w:tblHeader/>
        </w:trPr>
        <w:tc>
          <w:tcPr>
            <w:tcW w:w="9299"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23A24470"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Pružanje stručne i savjetodavne potpore Stožeru civilne zaštite Grada Zagreba tijekom velikih nesreća i katastrofa, posebno u segmentu procjene posljedica</w:t>
            </w:r>
          </w:p>
        </w:tc>
      </w:tr>
      <w:tr w:rsidR="00CE4763" w:rsidRPr="00CE4763" w14:paraId="664377C5" w14:textId="77777777" w:rsidTr="00284074">
        <w:trPr>
          <w:tblHeader/>
        </w:trPr>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5AC64AA8"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Redni broj</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042AFCE1"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Pravna osoba</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vAlign w:val="center"/>
            <w:hideMark/>
          </w:tcPr>
          <w:p w14:paraId="00340228"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Skupina zadaća</w:t>
            </w:r>
          </w:p>
        </w:tc>
      </w:tr>
      <w:tr w:rsidR="00CE4763" w:rsidRPr="00CE4763" w14:paraId="3487CA45"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4556A619"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1.</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282ED3AB"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Institut </w:t>
            </w:r>
            <w:r w:rsidRPr="00CE4763">
              <w:rPr>
                <w:rFonts w:ascii="Times New Roman" w:eastAsia="Times New Roman" w:hAnsi="Times New Roman" w:cs="Times New Roman"/>
                <w:i/>
                <w:iCs/>
                <w:color w:val="auto"/>
                <w:sz w:val="20"/>
                <w:szCs w:val="20"/>
              </w:rPr>
              <w:t>Ruđer Bošković</w:t>
            </w:r>
            <w:r w:rsidRPr="00CE4763">
              <w:rPr>
                <w:rFonts w:ascii="Times New Roman" w:eastAsia="Times New Roman" w:hAnsi="Times New Roman" w:cs="Times New Roman"/>
                <w:color w:val="auto"/>
                <w:sz w:val="20"/>
                <w:szCs w:val="20"/>
              </w:rPr>
              <w:t>, Bijenička cesta 54, 10000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277AFEA5"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stručne potpore i procjena posljedica</w:t>
            </w:r>
          </w:p>
        </w:tc>
      </w:tr>
      <w:tr w:rsidR="00CE4763" w:rsidRPr="00CE4763" w14:paraId="2CCE6D99" w14:textId="77777777" w:rsidTr="00284074">
        <w:tc>
          <w:tcPr>
            <w:tcW w:w="794" w:type="dxa"/>
            <w:tcBorders>
              <w:top w:val="nil"/>
              <w:left w:val="single" w:sz="8" w:space="0" w:color="000000"/>
              <w:bottom w:val="single" w:sz="8" w:space="0" w:color="000000"/>
              <w:right w:val="single" w:sz="8" w:space="0" w:color="000000"/>
            </w:tcBorders>
            <w:shd w:val="clear" w:color="auto" w:fill="FFFFFF"/>
            <w:tcMar>
              <w:top w:w="0" w:type="dxa"/>
              <w:left w:w="57" w:type="dxa"/>
              <w:bottom w:w="0" w:type="dxa"/>
              <w:right w:w="57" w:type="dxa"/>
            </w:tcMar>
            <w:hideMark/>
          </w:tcPr>
          <w:p w14:paraId="58679A19"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b/>
                <w:bCs/>
                <w:color w:val="auto"/>
                <w:sz w:val="20"/>
                <w:szCs w:val="20"/>
              </w:rPr>
              <w:t>2.</w:t>
            </w:r>
          </w:p>
        </w:tc>
        <w:tc>
          <w:tcPr>
            <w:tcW w:w="5670"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198F938A" w14:textId="77777777" w:rsidR="00CE4763" w:rsidRPr="00CE4763" w:rsidRDefault="00CE4763" w:rsidP="00CE4763">
            <w:pPr>
              <w:spacing w:after="0" w:line="240" w:lineRule="auto"/>
              <w:ind w:left="0" w:right="0" w:firstLine="0"/>
              <w:jc w:val="left"/>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Brodarski institut d.o.o., Avenija Većeslava Holjevca 20, 10020 Zagreb</w:t>
            </w:r>
          </w:p>
        </w:tc>
        <w:tc>
          <w:tcPr>
            <w:tcW w:w="2835" w:type="dxa"/>
            <w:tcBorders>
              <w:top w:val="nil"/>
              <w:left w:val="nil"/>
              <w:bottom w:val="single" w:sz="8" w:space="0" w:color="000000"/>
              <w:right w:val="single" w:sz="8" w:space="0" w:color="000000"/>
            </w:tcBorders>
            <w:shd w:val="clear" w:color="auto" w:fill="FFFFFF"/>
            <w:tcMar>
              <w:top w:w="0" w:type="dxa"/>
              <w:left w:w="57" w:type="dxa"/>
              <w:bottom w:w="0" w:type="dxa"/>
              <w:right w:w="57" w:type="dxa"/>
            </w:tcMar>
            <w:hideMark/>
          </w:tcPr>
          <w:p w14:paraId="341BE289" w14:textId="77777777" w:rsidR="00CE4763" w:rsidRPr="00CE4763" w:rsidRDefault="00CE4763" w:rsidP="00CE4763">
            <w:pPr>
              <w:spacing w:after="0" w:line="240" w:lineRule="auto"/>
              <w:ind w:left="0" w:right="0" w:firstLine="0"/>
              <w:jc w:val="center"/>
              <w:rPr>
                <w:rFonts w:ascii="Times New Roman" w:eastAsia="Times New Roman" w:hAnsi="Times New Roman" w:cs="Times New Roman"/>
                <w:color w:val="auto"/>
                <w:sz w:val="24"/>
                <w:szCs w:val="24"/>
              </w:rPr>
            </w:pPr>
            <w:r w:rsidRPr="00CE4763">
              <w:rPr>
                <w:rFonts w:ascii="Times New Roman" w:eastAsia="Times New Roman" w:hAnsi="Times New Roman" w:cs="Times New Roman"/>
                <w:color w:val="auto"/>
                <w:sz w:val="20"/>
                <w:szCs w:val="20"/>
              </w:rPr>
              <w:t>Osiguravanje stručne potpore i procjena poslje</w:t>
            </w:r>
          </w:p>
        </w:tc>
      </w:tr>
    </w:tbl>
    <w:p w14:paraId="064F5988" w14:textId="77777777" w:rsidR="00CE4763" w:rsidRPr="00CE4763" w:rsidRDefault="00CE4763" w:rsidP="00CE4763">
      <w:pPr>
        <w:spacing w:after="0" w:line="240" w:lineRule="auto"/>
        <w:ind w:left="0" w:right="0" w:firstLine="0"/>
        <w:rPr>
          <w:rFonts w:ascii="Times New Roman" w:hAnsi="Times New Roman" w:cs="Times New Roman"/>
          <w:color w:val="auto"/>
          <w:sz w:val="24"/>
        </w:rPr>
      </w:pPr>
    </w:p>
    <w:p w14:paraId="2D2A6CCE"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Pravne osobe od interesa za sustav civilne zaštite na području Grada Zagreba su pravne osobe koje su svojim proizvodnim, uslužnim, materijalnim, ljudskim i drugim resursima najznačajniji nositelji tih djelatnosti na području Grada Zagreba. Pravne osobe dio su operativnih snaga sustava civilne zaštite Grada Zagreba i dužne su u operativnim planovima izraditi plan o načinu organiziranja provedbe mjera i aktivnosti u sustavu civilne zaštite sukladno Zakonu o sustavu civilne zaštite, posebnim propisima i njihovim općim aktima.</w:t>
      </w:r>
    </w:p>
    <w:p w14:paraId="4F9CEFBB" w14:textId="77777777" w:rsidR="00CE4763" w:rsidRPr="00CE4763" w:rsidRDefault="00CE4763" w:rsidP="00CE4763">
      <w:pPr>
        <w:spacing w:after="0" w:line="240" w:lineRule="auto"/>
        <w:ind w:right="0"/>
        <w:rPr>
          <w:rFonts w:ascii="Times New Roman" w:hAnsi="Times New Roman" w:cs="Times New Roman"/>
          <w:sz w:val="24"/>
        </w:rPr>
      </w:pPr>
    </w:p>
    <w:p w14:paraId="52A5AB0E" w14:textId="77777777" w:rsidR="00CE4763" w:rsidRPr="00CE4763" w:rsidRDefault="00CE4763" w:rsidP="00CE4763">
      <w:pPr>
        <w:spacing w:after="0" w:line="240" w:lineRule="auto"/>
        <w:ind w:left="0" w:right="0" w:firstLine="709"/>
        <w:rPr>
          <w:rFonts w:ascii="Times New Roman" w:hAnsi="Times New Roman" w:cs="Times New Roman"/>
          <w:b/>
          <w:sz w:val="24"/>
        </w:rPr>
      </w:pPr>
      <w:bookmarkStart w:id="142" w:name="_Toc2938645"/>
      <w:r w:rsidRPr="00CE4763">
        <w:rPr>
          <w:rFonts w:ascii="Times New Roman" w:hAnsi="Times New Roman" w:cs="Times New Roman"/>
          <w:b/>
          <w:sz w:val="24"/>
        </w:rPr>
        <w:t>Ostali sudionici u sustavu civilne zaštite</w:t>
      </w:r>
      <w:bookmarkEnd w:id="142"/>
    </w:p>
    <w:p w14:paraId="38A014EC"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Na području Grada Zagreba djeluju službe i pravne osobe koje se u svojoj redovitoj djelatnosti bave zaštitom i spašavanjem.</w:t>
      </w:r>
    </w:p>
    <w:p w14:paraId="704F7D98"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i/>
          <w:color w:val="auto"/>
          <w:sz w:val="24"/>
        </w:rPr>
        <w:t>Ministarstvo unutarnjih poslova</w:t>
      </w:r>
      <w:r w:rsidRPr="00CE4763">
        <w:rPr>
          <w:rFonts w:ascii="Times New Roman" w:hAnsi="Times New Roman" w:cs="Times New Roman"/>
          <w:color w:val="auto"/>
          <w:sz w:val="24"/>
        </w:rPr>
        <w:t xml:space="preserve"> obavlja poslove koji se odnose na poslove policije, </w:t>
      </w:r>
      <w:r w:rsidRPr="00CE4763">
        <w:rPr>
          <w:rFonts w:ascii="Times New Roman" w:hAnsi="Times New Roman" w:cs="Times New Roman"/>
          <w:sz w:val="24"/>
        </w:rPr>
        <w:t>zaštitu života i osobnu sigurnost ljudi i imovine, sprječavanje i otkrivanje kaznenih djela, održavanje javnog reda i mira, poslove sigurnosti prometa na cestama.</w:t>
      </w:r>
    </w:p>
    <w:p w14:paraId="34922495"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i/>
          <w:sz w:val="24"/>
        </w:rPr>
        <w:t>Centri za socijalnu skrb</w:t>
      </w:r>
      <w:r w:rsidRPr="00CE4763">
        <w:rPr>
          <w:rFonts w:ascii="Times New Roman" w:hAnsi="Times New Roman" w:cs="Times New Roman"/>
          <w:sz w:val="24"/>
        </w:rPr>
        <w:t xml:space="preserve"> na području Grada Zagreba obavljaju upravne i stručne poslove koji se odnose na skrb o osobama i obiteljima koje nemaju dovoljno sredstava za podmirenje osnovnih životnih potreba ili im je pomoć potrebna radi otklanjanja uzroka socijalne ugroženosti, promicanje prava osoba s invaliditetom, podizanje kvalitete njihova života i razvoja izvaninstitucionalnih oblika skrbi za osobe s invaliditetom, poticanje zakonskih projekata za poboljšanja kvalitete življenja osoba starije životne dobi te razvoj uslužnih djelatnosti za njihove potrebe, razvoj izvaninstitucionalnih oblika skrbi za starije osobe, obavljanje drugih poslova skrbi o starijim osobama koji nisu stavljeni u nadležnost drugim tijelima.</w:t>
      </w:r>
    </w:p>
    <w:p w14:paraId="6592456A"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i/>
          <w:sz w:val="24"/>
        </w:rPr>
        <w:t>Ministarstvo zdravstva</w:t>
      </w:r>
      <w:r w:rsidRPr="00CE4763">
        <w:rPr>
          <w:rFonts w:ascii="Times New Roman" w:hAnsi="Times New Roman" w:cs="Times New Roman"/>
          <w:sz w:val="24"/>
        </w:rPr>
        <w:t xml:space="preserve"> obavlja poslove od interesa za očuvanje i unapređenje zdravlja hrvatskih građana što uključuje: zaštitu javnozdravstvenog interesa, rano prepoznavanje rizika bolesti, sprečavanje pojave bolesti te liječenje i rehabilitaciju oboljelih.</w:t>
      </w:r>
    </w:p>
    <w:p w14:paraId="725AB5C4" w14:textId="1CFC1BD6" w:rsidR="006624EA" w:rsidRPr="006624EA" w:rsidRDefault="00CE4763" w:rsidP="006624EA">
      <w:pPr>
        <w:spacing w:after="0" w:line="240" w:lineRule="auto"/>
        <w:ind w:left="0" w:right="0" w:firstLine="709"/>
        <w:rPr>
          <w:rFonts w:ascii="Times New Roman" w:hAnsi="Times New Roman" w:cs="Times New Roman"/>
          <w:color w:val="auto"/>
          <w:sz w:val="24"/>
        </w:rPr>
      </w:pPr>
      <w:r w:rsidRPr="006624EA">
        <w:rPr>
          <w:rFonts w:ascii="Times New Roman" w:hAnsi="Times New Roman" w:cs="Times New Roman"/>
          <w:i/>
          <w:color w:val="auto"/>
          <w:sz w:val="24"/>
        </w:rPr>
        <w:t>Nastavni zavod za hitnu medicinu Grada Zagreba</w:t>
      </w:r>
      <w:r w:rsidRPr="006624EA">
        <w:rPr>
          <w:rFonts w:ascii="Times New Roman" w:hAnsi="Times New Roman" w:cs="Times New Roman"/>
          <w:color w:val="auto"/>
          <w:sz w:val="24"/>
        </w:rPr>
        <w:t xml:space="preserve"> ima 4</w:t>
      </w:r>
      <w:r w:rsidR="006624EA" w:rsidRPr="006624EA">
        <w:rPr>
          <w:rFonts w:ascii="Times New Roman" w:hAnsi="Times New Roman" w:cs="Times New Roman"/>
          <w:color w:val="auto"/>
          <w:sz w:val="24"/>
        </w:rPr>
        <w:t>2</w:t>
      </w:r>
      <w:r w:rsidRPr="006624EA">
        <w:rPr>
          <w:rFonts w:ascii="Times New Roman" w:hAnsi="Times New Roman" w:cs="Times New Roman"/>
          <w:color w:val="auto"/>
          <w:sz w:val="24"/>
        </w:rPr>
        <w:t xml:space="preserve">2 zaposlenika od čega je njih 380 medicinsko osoblje s vozačima sanitetskih vozila, te najsuvremeniju tehniku i moderan vozni park s 36 sanitetskih vozila. </w:t>
      </w:r>
    </w:p>
    <w:p w14:paraId="710D778F" w14:textId="77777777" w:rsidR="00CE4763" w:rsidRPr="006624EA" w:rsidRDefault="00CE4763" w:rsidP="00CE4763">
      <w:pPr>
        <w:spacing w:after="0" w:line="240" w:lineRule="auto"/>
        <w:ind w:left="0" w:right="0" w:firstLine="709"/>
        <w:rPr>
          <w:rFonts w:ascii="Times New Roman" w:hAnsi="Times New Roman" w:cs="Times New Roman"/>
          <w:sz w:val="24"/>
        </w:rPr>
      </w:pPr>
      <w:r w:rsidRPr="006624EA">
        <w:rPr>
          <w:rFonts w:ascii="Times New Roman" w:hAnsi="Times New Roman" w:cs="Times New Roman"/>
          <w:color w:val="auto"/>
          <w:sz w:val="24"/>
        </w:rPr>
        <w:t xml:space="preserve">Broj ugovorenih timova za pružanje hitne medicinske </w:t>
      </w:r>
      <w:r w:rsidRPr="006624EA">
        <w:rPr>
          <w:rFonts w:ascii="Times New Roman" w:hAnsi="Times New Roman" w:cs="Times New Roman"/>
          <w:sz w:val="24"/>
        </w:rPr>
        <w:t>pomoći je sljedeći:</w:t>
      </w:r>
    </w:p>
    <w:p w14:paraId="2CB0AEC6" w14:textId="0208042B" w:rsidR="00CE4763" w:rsidRPr="006624EA" w:rsidRDefault="00CE4763" w:rsidP="00CE4763">
      <w:pPr>
        <w:spacing w:after="0" w:line="240" w:lineRule="auto"/>
        <w:ind w:left="879" w:right="0" w:hanging="170"/>
        <w:rPr>
          <w:rFonts w:ascii="Times New Roman" w:hAnsi="Times New Roman" w:cs="Times New Roman"/>
          <w:sz w:val="24"/>
        </w:rPr>
      </w:pPr>
      <w:r w:rsidRPr="006624EA">
        <w:rPr>
          <w:rFonts w:ascii="Times New Roman" w:hAnsi="Times New Roman" w:cs="Times New Roman"/>
          <w:sz w:val="24"/>
          <w:u w:color="000000"/>
        </w:rPr>
        <w:t>-</w:t>
      </w:r>
      <w:r w:rsidRPr="006624EA">
        <w:rPr>
          <w:rFonts w:ascii="Times New Roman" w:hAnsi="Times New Roman" w:cs="Times New Roman"/>
          <w:sz w:val="24"/>
          <w:u w:color="000000"/>
        </w:rPr>
        <w:tab/>
      </w:r>
      <w:r w:rsidRPr="006624EA">
        <w:rPr>
          <w:rFonts w:ascii="Times New Roman" w:hAnsi="Times New Roman" w:cs="Times New Roman"/>
          <w:sz w:val="24"/>
        </w:rPr>
        <w:t xml:space="preserve">69 </w:t>
      </w:r>
      <w:r w:rsidR="00B96E60">
        <w:rPr>
          <w:rFonts w:ascii="Times New Roman" w:hAnsi="Times New Roman" w:cs="Times New Roman"/>
          <w:sz w:val="24"/>
        </w:rPr>
        <w:t>pAS</w:t>
      </w:r>
      <w:r w:rsidRPr="006624EA">
        <w:rPr>
          <w:rFonts w:ascii="Times New Roman" w:hAnsi="Times New Roman" w:cs="Times New Roman"/>
          <w:sz w:val="24"/>
        </w:rPr>
        <w:t xml:space="preserve"> hitne medicinske pomoći (T1 - liječnik, medicinski tehničar i vozač),</w:t>
      </w:r>
    </w:p>
    <w:p w14:paraId="112DA54B" w14:textId="77777777" w:rsidR="00CE4763" w:rsidRPr="006624EA" w:rsidRDefault="00CE4763" w:rsidP="00CE4763">
      <w:pPr>
        <w:spacing w:after="0" w:line="240" w:lineRule="auto"/>
        <w:ind w:left="879" w:right="0" w:hanging="170"/>
        <w:rPr>
          <w:rFonts w:ascii="Times New Roman" w:hAnsi="Times New Roman" w:cs="Times New Roman"/>
          <w:sz w:val="24"/>
        </w:rPr>
      </w:pPr>
      <w:r w:rsidRPr="006624EA">
        <w:rPr>
          <w:rFonts w:ascii="Times New Roman" w:hAnsi="Times New Roman" w:cs="Times New Roman"/>
          <w:sz w:val="24"/>
          <w:u w:color="000000"/>
        </w:rPr>
        <w:t>-</w:t>
      </w:r>
      <w:r w:rsidRPr="006624EA">
        <w:rPr>
          <w:rFonts w:ascii="Times New Roman" w:hAnsi="Times New Roman" w:cs="Times New Roman"/>
          <w:sz w:val="24"/>
          <w:u w:color="000000"/>
        </w:rPr>
        <w:tab/>
      </w:r>
      <w:r w:rsidRPr="006624EA">
        <w:rPr>
          <w:rFonts w:ascii="Times New Roman" w:hAnsi="Times New Roman" w:cs="Times New Roman"/>
          <w:sz w:val="24"/>
        </w:rPr>
        <w:t>5 timova u prijavno-dojavnoj jedinici (liječnik i medicinski tehničar s mogućnošću rada na terenu),</w:t>
      </w:r>
    </w:p>
    <w:p w14:paraId="1F2AED0A" w14:textId="77777777" w:rsidR="00CE4763" w:rsidRPr="006624EA" w:rsidRDefault="00CE4763" w:rsidP="00CE4763">
      <w:pPr>
        <w:spacing w:after="0" w:line="240" w:lineRule="auto"/>
        <w:ind w:left="879" w:right="0" w:hanging="170"/>
        <w:rPr>
          <w:rFonts w:ascii="Times New Roman" w:hAnsi="Times New Roman" w:cs="Times New Roman"/>
          <w:sz w:val="24"/>
        </w:rPr>
      </w:pPr>
      <w:r w:rsidRPr="006624EA">
        <w:rPr>
          <w:rFonts w:ascii="Times New Roman" w:hAnsi="Times New Roman" w:cs="Times New Roman"/>
          <w:sz w:val="24"/>
          <w:u w:color="000000"/>
        </w:rPr>
        <w:lastRenderedPageBreak/>
        <w:t>-</w:t>
      </w:r>
      <w:r w:rsidRPr="006624EA">
        <w:rPr>
          <w:rFonts w:ascii="Times New Roman" w:hAnsi="Times New Roman" w:cs="Times New Roman"/>
          <w:sz w:val="24"/>
          <w:u w:color="000000"/>
        </w:rPr>
        <w:tab/>
      </w:r>
      <w:r w:rsidRPr="006624EA">
        <w:rPr>
          <w:rFonts w:ascii="Times New Roman" w:hAnsi="Times New Roman" w:cs="Times New Roman"/>
          <w:sz w:val="24"/>
        </w:rPr>
        <w:t>10 timova T2 (medicinski tehničar i vozač).</w:t>
      </w:r>
    </w:p>
    <w:p w14:paraId="4CD4545A" w14:textId="77777777" w:rsidR="00CE4763" w:rsidRPr="00CE4763" w:rsidRDefault="00CE4763" w:rsidP="00CE4763">
      <w:pPr>
        <w:spacing w:after="0" w:line="240" w:lineRule="auto"/>
        <w:ind w:left="0" w:right="0" w:firstLine="709"/>
        <w:rPr>
          <w:rFonts w:ascii="Times New Roman" w:hAnsi="Times New Roman" w:cs="Times New Roman"/>
          <w:sz w:val="24"/>
        </w:rPr>
      </w:pPr>
      <w:r w:rsidRPr="006624EA">
        <w:rPr>
          <w:rFonts w:ascii="Times New Roman" w:hAnsi="Times New Roman" w:cs="Times New Roman"/>
          <w:sz w:val="24"/>
        </w:rPr>
        <w:t>Nastavni zavod za hitnu medicinu Grada Zagreba raspolaže s podstanicama: Centar, Novi Zagreb, Jarun, Gajnice, Dubrava i Sesvete.</w:t>
      </w:r>
    </w:p>
    <w:p w14:paraId="1BDA7AD5"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i/>
          <w:sz w:val="24"/>
        </w:rPr>
        <w:t>Državni hidrometeorološki zavod</w:t>
      </w:r>
      <w:r w:rsidRPr="00CE4763">
        <w:rPr>
          <w:rFonts w:ascii="Times New Roman" w:hAnsi="Times New Roman" w:cs="Times New Roman"/>
          <w:sz w:val="24"/>
        </w:rPr>
        <w:t xml:space="preserve"> obavlja stručne poslove koji se odnose na: praćenje hidroloških i meteoroloških procesa, prikupljanje, obrađivanje i objavljivanje hidrometeoroloških podataka, istraživanje atmosfere i vodnih resursa, primjenu meteorologije i hidrologije u područjima klimatologije, pomorske meteorologije, agrometeorologije, umjetnog djelovanja na vrijeme, zrakoplovne meteorologije, prostornog planiranja i projektiranja i ostale primjene, obavljanje međunarodnih poslova iz područja hidrologije i meteorologije od interesa za Republiku Hrvatsku.</w:t>
      </w:r>
    </w:p>
    <w:p w14:paraId="27A70E74"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i/>
          <w:color w:val="auto"/>
          <w:sz w:val="24"/>
        </w:rPr>
        <w:t>Državni zavod za radiološku i nuklearnu sigurnost</w:t>
      </w:r>
      <w:r w:rsidRPr="00CE4763">
        <w:rPr>
          <w:rFonts w:ascii="Times New Roman" w:hAnsi="Times New Roman" w:cs="Times New Roman"/>
          <w:color w:val="auto"/>
          <w:sz w:val="24"/>
        </w:rPr>
        <w:t xml:space="preserve"> (od 1.1.2019. pod ingerencijom </w:t>
      </w:r>
      <w:r w:rsidRPr="00CE4763">
        <w:rPr>
          <w:rFonts w:ascii="Times New Roman" w:hAnsi="Times New Roman" w:cs="Times New Roman"/>
          <w:sz w:val="24"/>
        </w:rPr>
        <w:t>Ministarstva unutarnjih poslova - Ravnateljstva civilne zaštite) odobrava obavljanje nuklearne djelatnosti, djelatnosti s izvorima ionizirajućeg zračenja, nabavu, uvoz, izvoz, prijevoz i provoz te uporabu izvora ionizirajućeg zračenja, provodi nezavisne analize sigurnosti i izdaje rješenja i suglasnosti za smještaj, projektiranje, gradnju, uporabu te razgradnju objekata u kojima će se obavljati nuklearna djelatnost. Sudjeluje u postupku izdavanja lokacijske dozvole, građevinske dozvole, dozvole za uklanjanje te u postupcima izdavanja uporabne dozvole za građevine u kojima su smješteni izvori ionizirajućeg zračenja ili se obavlja djelatnost s izvorima ionizirajućeg zračenja u skladu s posebnim propisom.</w:t>
      </w:r>
    </w:p>
    <w:p w14:paraId="4EE24025"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Prema podacima Hrvatske gospodarske komore, na području Grada Zagreba ima više od tisuću tvrtki koje raspolažu opremom, ljudstvom i mehanizacijom koja se može upotrijebiti u slučajevima velikih nesreća i katastrofa.</w:t>
      </w:r>
    </w:p>
    <w:p w14:paraId="58C3BAA2"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Zimsku službu na nerazvrstanim cestama Grada Zagreba provodi Zagrebački holding d.o.o., Podružnica Zagrebačke ceste d.o.o. Pod Zimskom službom podrazumijevaju se radovi prijeko potrebni za održavanje prohodnosti ceste i sigurno odvijanje prometa za režim prometa u zimskim uvjetima koji je određen posebnim propisima. U svrhu koordiniranja i nadziranja zimske službe gradonačelnik Zaključkom osniva i imenuje Operativni stožer zimske službe.</w:t>
      </w:r>
    </w:p>
    <w:p w14:paraId="67DBC7F8" w14:textId="77777777" w:rsidR="00CE4763" w:rsidRPr="00CE4763" w:rsidRDefault="00CE4763" w:rsidP="00CE4763">
      <w:pPr>
        <w:spacing w:after="0" w:line="240" w:lineRule="auto"/>
        <w:ind w:right="0"/>
        <w:rPr>
          <w:rFonts w:ascii="Times New Roman" w:hAnsi="Times New Roman" w:cs="Times New Roman"/>
          <w:sz w:val="24"/>
        </w:rPr>
      </w:pPr>
    </w:p>
    <w:p w14:paraId="75935D3E" w14:textId="77777777" w:rsidR="00CE4763" w:rsidRPr="00CE4763" w:rsidRDefault="00CE4763" w:rsidP="00CE4763">
      <w:pPr>
        <w:spacing w:after="0" w:line="240" w:lineRule="auto"/>
        <w:ind w:left="0" w:right="0" w:firstLine="709"/>
        <w:rPr>
          <w:rFonts w:ascii="Times New Roman" w:hAnsi="Times New Roman" w:cs="Times New Roman"/>
          <w:sz w:val="24"/>
          <w:u w:val="single"/>
        </w:rPr>
      </w:pPr>
      <w:r w:rsidRPr="00CE4763">
        <w:rPr>
          <w:rFonts w:ascii="Times New Roman" w:hAnsi="Times New Roman" w:cs="Times New Roman"/>
          <w:sz w:val="24"/>
          <w:u w:val="single"/>
        </w:rPr>
        <w:t>Zaključak</w:t>
      </w:r>
    </w:p>
    <w:p w14:paraId="316CFFCC"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 xml:space="preserve">Stožeri i postrojbe civilne zaštite opće i specijalističke namjene optimalno su ustrojeni i zadovoljavajuće popunjeni pripadnicima. Operativne snage vatrogastva pravodobno i učinkovito odgovaraju na sve zadaće iz područja vatrogastva i zaštite od požara te obavljaju ostale aktivnosti koje su im određene. Ekipe za vatrogasne intervencije stižu do krajnje točke djelovanja u propisanom </w:t>
      </w:r>
      <w:r w:rsidRPr="00CE4763">
        <w:rPr>
          <w:rFonts w:ascii="Times New Roman" w:hAnsi="Times New Roman" w:cs="Times New Roman"/>
          <w:color w:val="auto"/>
          <w:sz w:val="24"/>
        </w:rPr>
        <w:t xml:space="preserve">roku od 15 minuta. Vatrogasna </w:t>
      </w:r>
      <w:r w:rsidRPr="00CE4763">
        <w:rPr>
          <w:rFonts w:ascii="Times New Roman" w:hAnsi="Times New Roman" w:cs="Times New Roman"/>
          <w:sz w:val="24"/>
        </w:rPr>
        <w:t>društva imaju zadovoljavajuću osnovnu vatrogasnu opremu i popunjenost. U pogledu motiviranosti i osposobljenosti ljudstva te uvježbanosti i mobilnosti stanje je zadovoljavajuće.</w:t>
      </w:r>
    </w:p>
    <w:p w14:paraId="3D9DFAB8"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Hrvatski Crveni križ - Gradsko društvo Crvenog križa Zagreb kontinuirano osigurava trajnu i dobru pripremljenost svojih članova za djelovanje u slučaju velikih nesreća i katastrofa. Hrvatska gorska služba spašavanja - Stanica Zagreb svojim aktivnostima uvelike pridonosi sigurnosti te uz to pružaju i jamstvo pravodobne i učinkovite pomoći u slučaju potrebe. Hrvatske udruge za obuku potražnih pasa osiguravaju zadovoljavajući broj potražnih pasa koji se mogu koristiti u akcijama spašavanja prilikom potresa i u potražnim akcijama na području Grada Zagreba. Zagrebački radioamaterski savez osigurava sustav veza u kriznim situacijama.</w:t>
      </w:r>
    </w:p>
    <w:p w14:paraId="70A834DD"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 xml:space="preserve">Sukladno svemu navedenome može se zaključiti da je spremnost operativnih kapaciteta na </w:t>
      </w:r>
      <w:r w:rsidRPr="00CE4763">
        <w:rPr>
          <w:rFonts w:ascii="Times New Roman" w:hAnsi="Times New Roman" w:cs="Times New Roman"/>
          <w:sz w:val="24"/>
          <w:u w:val="single" w:color="000000"/>
        </w:rPr>
        <w:t>visokoj</w:t>
      </w:r>
      <w:r w:rsidRPr="00CE4763">
        <w:rPr>
          <w:rFonts w:ascii="Times New Roman" w:hAnsi="Times New Roman" w:cs="Times New Roman"/>
          <w:sz w:val="24"/>
        </w:rPr>
        <w:t xml:space="preserve"> razini.</w:t>
      </w:r>
    </w:p>
    <w:p w14:paraId="00010231" w14:textId="77777777" w:rsidR="00CE4763" w:rsidRPr="00CE4763" w:rsidRDefault="00CE4763" w:rsidP="00CE4763">
      <w:pPr>
        <w:spacing w:after="0" w:line="240" w:lineRule="auto"/>
        <w:ind w:right="0"/>
        <w:rPr>
          <w:rFonts w:ascii="Times New Roman" w:hAnsi="Times New Roman" w:cs="Times New Roman"/>
          <w:sz w:val="24"/>
        </w:rPr>
      </w:pPr>
    </w:p>
    <w:p w14:paraId="06D463A0" w14:textId="77777777" w:rsidR="007872F3" w:rsidRDefault="00CE4763" w:rsidP="00CE4763">
      <w:pPr>
        <w:spacing w:after="0" w:line="240" w:lineRule="auto"/>
        <w:ind w:left="0" w:right="0" w:firstLine="709"/>
        <w:rPr>
          <w:rFonts w:ascii="Times New Roman" w:hAnsi="Times New Roman" w:cs="Times New Roman"/>
          <w:b/>
          <w:sz w:val="24"/>
        </w:rPr>
      </w:pPr>
      <w:bookmarkStart w:id="143" w:name="_Toc2938646"/>
      <w:r w:rsidRPr="00CE4763">
        <w:rPr>
          <w:rFonts w:ascii="Times New Roman" w:hAnsi="Times New Roman" w:cs="Times New Roman"/>
          <w:b/>
          <w:sz w:val="24"/>
        </w:rPr>
        <w:t xml:space="preserve">3) Stanje mobilnosti operativnih kapaciteta sustava civilne zaštite i stanje </w:t>
      </w:r>
    </w:p>
    <w:p w14:paraId="41BDC7AD" w14:textId="2FFB2838" w:rsidR="00CE4763" w:rsidRPr="00CE4763" w:rsidRDefault="007872F3" w:rsidP="00CE4763">
      <w:pPr>
        <w:spacing w:after="0" w:line="240" w:lineRule="auto"/>
        <w:ind w:left="0" w:right="0" w:firstLine="709"/>
        <w:rPr>
          <w:rFonts w:ascii="Times New Roman" w:hAnsi="Times New Roman" w:cs="Times New Roman"/>
          <w:b/>
          <w:sz w:val="24"/>
        </w:rPr>
      </w:pPr>
      <w:r>
        <w:rPr>
          <w:rFonts w:ascii="Times New Roman" w:hAnsi="Times New Roman" w:cs="Times New Roman"/>
          <w:b/>
          <w:sz w:val="24"/>
        </w:rPr>
        <w:t xml:space="preserve">    </w:t>
      </w:r>
      <w:r w:rsidR="00CE4763" w:rsidRPr="00CE4763">
        <w:rPr>
          <w:rFonts w:ascii="Times New Roman" w:hAnsi="Times New Roman" w:cs="Times New Roman"/>
          <w:b/>
          <w:sz w:val="24"/>
        </w:rPr>
        <w:t>komunikacijskih kapaciteta</w:t>
      </w:r>
      <w:bookmarkEnd w:id="143"/>
    </w:p>
    <w:p w14:paraId="28A20254"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Sustav komunikacija operativnih snaga Grada Zagreba podijeljen je na tri dijela te se sve potrebne radnje unapređenja sustava odvijaju u skladu s tim. Sastavnice tog sustava su:</w:t>
      </w:r>
    </w:p>
    <w:p w14:paraId="6A4026FB"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lastRenderedPageBreak/>
        <w:t>1.</w:t>
      </w:r>
      <w:r w:rsidRPr="00CE4763">
        <w:rPr>
          <w:rFonts w:ascii="Times New Roman" w:hAnsi="Times New Roman" w:cs="Times New Roman"/>
          <w:sz w:val="24"/>
          <w:u w:color="000000"/>
        </w:rPr>
        <w:tab/>
      </w:r>
      <w:r w:rsidRPr="00CE4763">
        <w:rPr>
          <w:rFonts w:ascii="Times New Roman" w:hAnsi="Times New Roman" w:cs="Times New Roman"/>
          <w:sz w:val="24"/>
        </w:rPr>
        <w:t>Sustav veza kojima se koriste operativne snage u svojim redovitim zadaćama,</w:t>
      </w:r>
    </w:p>
    <w:p w14:paraId="3A245C8D"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2.</w:t>
      </w:r>
      <w:r w:rsidRPr="00CE4763">
        <w:rPr>
          <w:rFonts w:ascii="Times New Roman" w:hAnsi="Times New Roman" w:cs="Times New Roman"/>
          <w:sz w:val="24"/>
          <w:u w:color="000000"/>
        </w:rPr>
        <w:tab/>
      </w:r>
      <w:r w:rsidRPr="00CE4763">
        <w:rPr>
          <w:rFonts w:ascii="Times New Roman" w:hAnsi="Times New Roman" w:cs="Times New Roman"/>
          <w:sz w:val="24"/>
        </w:rPr>
        <w:t>Alternativni sustav veza,</w:t>
      </w:r>
    </w:p>
    <w:p w14:paraId="1FFF603F"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3.</w:t>
      </w:r>
      <w:r w:rsidRPr="00CE4763">
        <w:rPr>
          <w:rFonts w:ascii="Times New Roman" w:hAnsi="Times New Roman" w:cs="Times New Roman"/>
          <w:sz w:val="24"/>
          <w:u w:color="000000"/>
        </w:rPr>
        <w:tab/>
      </w:r>
      <w:r w:rsidRPr="00CE4763">
        <w:rPr>
          <w:rFonts w:ascii="Times New Roman" w:hAnsi="Times New Roman" w:cs="Times New Roman"/>
          <w:sz w:val="24"/>
        </w:rPr>
        <w:t>Sustav veza civilne zaštite Grada Zagreba.</w:t>
      </w:r>
    </w:p>
    <w:p w14:paraId="231C0E41"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Integriran je komunikacijski sustav veza hitnih službi čime su povezani komunikacijski centri u Gradu Zagrebu, i to: Gradski ured za mjesnu samoupravu, civilnu zaštitu i sigurnost, Županijski centar 112 Zagreb, Operativno-komunikacijski centar Policijske uprave zagrebačke, Nastavni zavod za hitnu medicinu Grada Zagreba i Javna vatrogasna postrojba Grada Zagreba.</w:t>
      </w:r>
    </w:p>
    <w:p w14:paraId="065BA464"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Kada je riječ o sustavu veza kojima se koriste operativne snage u svojim redovitim zadaćama, sada ukinuti Ured za upravljanje u hitnim situacijama je već prethodno uspostavio i rad s alternativnim sustavima koji će moći funkcionirati u slučajevima katastrofalnog scenarija, tj. kada prestanu funkcionirati ili se preopterete redovni sustavi komunikacije. Alternativni sustavi podijeljeni su na dva dijela:</w:t>
      </w:r>
    </w:p>
    <w:p w14:paraId="04BE3C77"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1)</w:t>
      </w:r>
      <w:r w:rsidRPr="00CE4763">
        <w:rPr>
          <w:rFonts w:ascii="Times New Roman" w:hAnsi="Times New Roman" w:cs="Times New Roman"/>
          <w:sz w:val="24"/>
          <w:u w:color="000000"/>
        </w:rPr>
        <w:tab/>
      </w:r>
      <w:r w:rsidRPr="00CE4763">
        <w:rPr>
          <w:rFonts w:ascii="Times New Roman" w:hAnsi="Times New Roman" w:cs="Times New Roman"/>
          <w:sz w:val="24"/>
        </w:rPr>
        <w:t>Satelitski sustav veza,</w:t>
      </w:r>
    </w:p>
    <w:p w14:paraId="1122542F"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2)</w:t>
      </w:r>
      <w:r w:rsidRPr="00CE4763">
        <w:rPr>
          <w:rFonts w:ascii="Times New Roman" w:hAnsi="Times New Roman" w:cs="Times New Roman"/>
          <w:sz w:val="24"/>
          <w:u w:color="000000"/>
        </w:rPr>
        <w:tab/>
      </w:r>
      <w:r w:rsidRPr="00CE4763">
        <w:rPr>
          <w:rFonts w:ascii="Times New Roman" w:hAnsi="Times New Roman" w:cs="Times New Roman"/>
          <w:sz w:val="24"/>
        </w:rPr>
        <w:t>alternativni HF sustav veza.</w:t>
      </w:r>
    </w:p>
    <w:p w14:paraId="6D045654"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Satelitski sustav veza pokazao se vrlo učinkovitim s tim da je sada ukinuti Ured za upravljanje u hitnim situacijama prethodno već unaprijedio postojeći sustav uvođenjem SCAP (Shared Corporate Allowance Plan) opcije koja postojećem sustavu omogućuje dodatne opcije poput kompletnog nadzora i upravljanja korisničkim računima web-sučeljem, povećava pouzdanost i sigurnost uspostavljene usluge, omogućuje prioritetni pristup mreži satelita, proširenje sustava do 20 korisničkih kartica te smanjenje troškova prometa. Sustav je funkcionalan i redovito se provjerava čime se unaprjeđuje međusobna suradnja hitnih službi.</w:t>
      </w:r>
    </w:p>
    <w:p w14:paraId="5A70CAC0"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HF sustav veza temelji se na kratkom valu (HF). Sustav je u cijelosti uspostavljen i sastoji se od:</w:t>
      </w:r>
    </w:p>
    <w:p w14:paraId="341F19DE" w14:textId="77777777" w:rsidR="00CE4763" w:rsidRPr="00CE4763" w:rsidRDefault="00CE4763" w:rsidP="00CE4763">
      <w:pPr>
        <w:spacing w:after="0" w:line="240" w:lineRule="auto"/>
        <w:ind w:left="879" w:right="0" w:hanging="170"/>
        <w:rPr>
          <w:rFonts w:ascii="Times New Roman" w:hAnsi="Times New Roman" w:cs="Times New Roman"/>
          <w:color w:val="auto"/>
          <w:sz w:val="24"/>
        </w:rPr>
      </w:pPr>
      <w:r w:rsidRPr="00CE4763">
        <w:rPr>
          <w:rFonts w:ascii="Times New Roman" w:hAnsi="Times New Roman" w:cs="Times New Roman"/>
          <w:color w:val="auto"/>
          <w:sz w:val="24"/>
          <w:u w:color="000000"/>
        </w:rPr>
        <w:t>-</w:t>
      </w:r>
      <w:r w:rsidRPr="00CE4763">
        <w:rPr>
          <w:rFonts w:ascii="Times New Roman" w:hAnsi="Times New Roman" w:cs="Times New Roman"/>
          <w:color w:val="auto"/>
          <w:sz w:val="24"/>
          <w:u w:color="000000"/>
        </w:rPr>
        <w:tab/>
      </w:r>
      <w:r w:rsidRPr="00CE4763">
        <w:rPr>
          <w:rFonts w:ascii="Times New Roman" w:hAnsi="Times New Roman" w:cs="Times New Roman"/>
          <w:color w:val="auto"/>
          <w:sz w:val="24"/>
        </w:rPr>
        <w:t>četiriju baznih HF stanica na lokacijama: u Balokovićevoj b.b. koja je na raspolaganju</w:t>
      </w:r>
    </w:p>
    <w:p w14:paraId="283025A1" w14:textId="77777777" w:rsidR="00CE4763" w:rsidRPr="00CE4763" w:rsidRDefault="00CE4763" w:rsidP="00CE4763">
      <w:pPr>
        <w:spacing w:after="0" w:line="240" w:lineRule="auto"/>
        <w:ind w:left="0" w:right="0" w:firstLine="0"/>
        <w:rPr>
          <w:rFonts w:ascii="Times New Roman" w:hAnsi="Times New Roman" w:cs="Times New Roman"/>
          <w:color w:val="auto"/>
          <w:sz w:val="24"/>
        </w:rPr>
      </w:pPr>
      <w:r w:rsidRPr="00CE4763">
        <w:rPr>
          <w:rFonts w:ascii="Times New Roman" w:hAnsi="Times New Roman" w:cs="Times New Roman"/>
          <w:color w:val="auto"/>
          <w:sz w:val="24"/>
        </w:rPr>
        <w:t>Gradu Zagrebu, na Ksaverskoj cesti 107 koja je na raspolaganju PUZS-u Zagreb, te dviju koje su na raspolaganju Ravnateljstvu civilne zaštite (Nehajska 5),</w:t>
      </w:r>
    </w:p>
    <w:p w14:paraId="5A204C02" w14:textId="77777777" w:rsidR="00CE4763" w:rsidRPr="00CE4763" w:rsidRDefault="00CE4763" w:rsidP="00CE4763">
      <w:pPr>
        <w:spacing w:after="0" w:line="240" w:lineRule="auto"/>
        <w:ind w:left="879" w:right="0" w:hanging="170"/>
        <w:rPr>
          <w:rFonts w:ascii="Times New Roman" w:hAnsi="Times New Roman" w:cs="Times New Roman"/>
          <w:sz w:val="24"/>
        </w:rPr>
      </w:pPr>
      <w:r w:rsidRPr="00CE4763">
        <w:rPr>
          <w:rFonts w:ascii="Times New Roman" w:hAnsi="Times New Roman" w:cs="Times New Roman"/>
          <w:sz w:val="24"/>
          <w:u w:color="000000"/>
        </w:rPr>
        <w:t>-</w:t>
      </w:r>
      <w:r w:rsidRPr="00CE4763">
        <w:rPr>
          <w:rFonts w:ascii="Times New Roman" w:hAnsi="Times New Roman" w:cs="Times New Roman"/>
          <w:sz w:val="24"/>
          <w:u w:color="000000"/>
        </w:rPr>
        <w:tab/>
      </w:r>
      <w:r w:rsidRPr="00CE4763">
        <w:rPr>
          <w:rFonts w:ascii="Times New Roman" w:hAnsi="Times New Roman" w:cs="Times New Roman"/>
          <w:sz w:val="24"/>
        </w:rPr>
        <w:t>dvaju prijenosnih uređaja (Zagrebački radioamaterski savez).</w:t>
      </w:r>
    </w:p>
    <w:p w14:paraId="2410BD3F"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Sustav veza civilne zaštite Grada Zagreba temelji se na radioamaterskim frekvencijama i postojećim uređajima, a njegova su baza članovi Zagrebačkog radioamaterskog saveza. Koncept komunikacijskog sustava veza civilne zaštite Grada Zagreba zamišljen je tako da se sve hitne službe i operativne snage te dobrovoljne snage civilne zaštite mogu međusobno komunikacijski povezati u slučaju katastrofalnog scenarija, tako da su važne informacije dostupne svima koji ih trebaju.</w:t>
      </w:r>
    </w:p>
    <w:p w14:paraId="3138EF88"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Ured je u suradnji sa Zagrebačkim radioamaterskim savezom pripremio plan veza te su dogovorene glavne i alternativne frekvencije za krizne situacije. Za uspostavu kvalitetnoga komunikacijskog sustava veza civilne zaštite Grada Zagreba prijeko je potrebno omogućiti rad radiokomunikacijskog centra, kao ključne točke u povezivanju sustava veza, koji je zbog strateških i tehničkih prednosti smješten na lokaciji Doma Crvenog križa na Sljemenu. Navedena lokacija omogućava idealno pokrivanje planiranoga frekvencijskog opsega na području Grada Zagreba, Zagrebačke županije i šire te neovisnost o gradskoj infrastrukturi.</w:t>
      </w:r>
    </w:p>
    <w:p w14:paraId="7049FF7B" w14:textId="77777777" w:rsidR="00CE4763" w:rsidRPr="00CE4763" w:rsidRDefault="00CE4763" w:rsidP="00CE4763">
      <w:pPr>
        <w:spacing w:after="0" w:line="240" w:lineRule="auto"/>
        <w:ind w:right="0"/>
        <w:rPr>
          <w:rFonts w:ascii="Times New Roman" w:hAnsi="Times New Roman" w:cs="Times New Roman"/>
          <w:sz w:val="24"/>
        </w:rPr>
      </w:pPr>
    </w:p>
    <w:p w14:paraId="61DB1209" w14:textId="77777777" w:rsidR="00CE4763" w:rsidRPr="00CE4763" w:rsidRDefault="00CE4763" w:rsidP="00CE4763">
      <w:pPr>
        <w:spacing w:after="0" w:line="240" w:lineRule="auto"/>
        <w:ind w:left="0" w:right="0" w:firstLine="709"/>
        <w:rPr>
          <w:rFonts w:ascii="Times New Roman" w:hAnsi="Times New Roman" w:cs="Times New Roman"/>
          <w:sz w:val="24"/>
          <w:u w:val="single"/>
        </w:rPr>
      </w:pPr>
      <w:r w:rsidRPr="00CE4763">
        <w:rPr>
          <w:rFonts w:ascii="Times New Roman" w:hAnsi="Times New Roman" w:cs="Times New Roman"/>
          <w:sz w:val="24"/>
          <w:u w:val="single"/>
        </w:rPr>
        <w:t>Zaključak</w:t>
      </w:r>
    </w:p>
    <w:p w14:paraId="2C4FC2F4"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Analizirani kapaciteti raspolažu vlastitim prijevoznim sredstvima, visoke su mobilnosti i dovoljne samodostatnosti. Uspostavljeni su alternativni (redundantni) komunikacijski kapaciteti preko satelita, HF sustava veza i uz pomoć radioamatera (repetitor na Sljemenu).</w:t>
      </w:r>
    </w:p>
    <w:p w14:paraId="0AF6E2C3"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 xml:space="preserve">Stanje mobilnosti operativnih kapaciteta analizirajući transportne kapacitete procijenjena je </w:t>
      </w:r>
      <w:r w:rsidRPr="00CE4763">
        <w:rPr>
          <w:rFonts w:ascii="Times New Roman" w:hAnsi="Times New Roman" w:cs="Times New Roman"/>
          <w:sz w:val="24"/>
          <w:u w:val="single" w:color="000000"/>
        </w:rPr>
        <w:t>visokom</w:t>
      </w:r>
      <w:r w:rsidRPr="00CE4763">
        <w:rPr>
          <w:rFonts w:ascii="Times New Roman" w:hAnsi="Times New Roman" w:cs="Times New Roman"/>
          <w:sz w:val="24"/>
        </w:rPr>
        <w:t xml:space="preserve"> spremnošću. Stanje komunikacijskih kapaciteta procijenjeno je </w:t>
      </w:r>
      <w:r w:rsidRPr="00CE4763">
        <w:rPr>
          <w:rFonts w:ascii="Times New Roman" w:hAnsi="Times New Roman" w:cs="Times New Roman"/>
          <w:sz w:val="24"/>
          <w:u w:val="single" w:color="000000"/>
        </w:rPr>
        <w:t>visokom</w:t>
      </w:r>
      <w:r w:rsidRPr="00CE4763">
        <w:rPr>
          <w:rFonts w:ascii="Times New Roman" w:hAnsi="Times New Roman" w:cs="Times New Roman"/>
          <w:sz w:val="24"/>
        </w:rPr>
        <w:t xml:space="preserve"> spremnošću.</w:t>
      </w:r>
    </w:p>
    <w:p w14:paraId="71862A48" w14:textId="10D0B6E1" w:rsidR="003E2F12" w:rsidRDefault="00CE4763" w:rsidP="00385A37">
      <w:pPr>
        <w:spacing w:after="0" w:line="240" w:lineRule="auto"/>
        <w:ind w:left="0" w:right="0" w:firstLine="709"/>
        <w:rPr>
          <w:rFonts w:ascii="Times New Roman" w:hAnsi="Times New Roman" w:cs="Times New Roman"/>
          <w:color w:val="auto"/>
          <w:sz w:val="24"/>
        </w:rPr>
      </w:pPr>
      <w:r w:rsidRPr="008D7F4B">
        <w:rPr>
          <w:rFonts w:ascii="Times New Roman" w:hAnsi="Times New Roman" w:cs="Times New Roman"/>
          <w:color w:val="auto"/>
          <w:sz w:val="24"/>
        </w:rPr>
        <w:t xml:space="preserve">U Tablici </w:t>
      </w:r>
      <w:r w:rsidR="008D7F4B" w:rsidRPr="008D7F4B">
        <w:rPr>
          <w:rFonts w:ascii="Times New Roman" w:hAnsi="Times New Roman" w:cs="Times New Roman"/>
          <w:color w:val="auto"/>
          <w:sz w:val="24"/>
        </w:rPr>
        <w:t>137</w:t>
      </w:r>
      <w:r w:rsidRPr="008D7F4B">
        <w:rPr>
          <w:rFonts w:ascii="Times New Roman" w:hAnsi="Times New Roman" w:cs="Times New Roman"/>
          <w:color w:val="auto"/>
          <w:sz w:val="24"/>
        </w:rPr>
        <w:t>. navedene su razine spremnosti po analiziranim segmentima.</w:t>
      </w:r>
    </w:p>
    <w:p w14:paraId="32048E3C" w14:textId="73D16BFC" w:rsidR="00385A37" w:rsidRDefault="00385A37" w:rsidP="00385A37">
      <w:pPr>
        <w:spacing w:after="0" w:line="240" w:lineRule="auto"/>
        <w:ind w:left="0" w:right="0" w:firstLine="709"/>
        <w:rPr>
          <w:rFonts w:ascii="Times New Roman" w:hAnsi="Times New Roman" w:cs="Times New Roman"/>
          <w:color w:val="auto"/>
          <w:sz w:val="24"/>
        </w:rPr>
      </w:pPr>
    </w:p>
    <w:p w14:paraId="44289ABB" w14:textId="64C4DF42" w:rsidR="00385A37" w:rsidRDefault="00385A37" w:rsidP="00385A37">
      <w:pPr>
        <w:spacing w:after="0" w:line="240" w:lineRule="auto"/>
        <w:ind w:left="0" w:right="0" w:firstLine="709"/>
        <w:rPr>
          <w:rFonts w:ascii="Times New Roman" w:hAnsi="Times New Roman" w:cs="Times New Roman"/>
          <w:color w:val="auto"/>
          <w:sz w:val="24"/>
        </w:rPr>
      </w:pPr>
    </w:p>
    <w:p w14:paraId="6FB5D352" w14:textId="2D78E3A8" w:rsidR="00385A37" w:rsidRDefault="00385A37" w:rsidP="00385A37">
      <w:pPr>
        <w:spacing w:after="0" w:line="240" w:lineRule="auto"/>
        <w:ind w:left="0" w:right="0" w:firstLine="709"/>
        <w:rPr>
          <w:rFonts w:ascii="Times New Roman" w:hAnsi="Times New Roman" w:cs="Times New Roman"/>
          <w:color w:val="auto"/>
          <w:sz w:val="24"/>
        </w:rPr>
      </w:pPr>
    </w:p>
    <w:p w14:paraId="11C2690B" w14:textId="6A4489A2" w:rsidR="00385A37" w:rsidRDefault="00385A37" w:rsidP="00385A37">
      <w:pPr>
        <w:spacing w:after="0" w:line="240" w:lineRule="auto"/>
        <w:ind w:left="0" w:right="0" w:firstLine="709"/>
        <w:rPr>
          <w:rFonts w:ascii="Times New Roman" w:hAnsi="Times New Roman" w:cs="Times New Roman"/>
          <w:color w:val="auto"/>
          <w:sz w:val="24"/>
        </w:rPr>
      </w:pPr>
    </w:p>
    <w:p w14:paraId="6261065C" w14:textId="3F3DD096" w:rsidR="00385A37" w:rsidRDefault="00385A37" w:rsidP="00385A37">
      <w:pPr>
        <w:spacing w:after="0" w:line="240" w:lineRule="auto"/>
        <w:ind w:left="0" w:right="0" w:firstLine="709"/>
        <w:rPr>
          <w:rFonts w:ascii="Times New Roman" w:hAnsi="Times New Roman" w:cs="Times New Roman"/>
          <w:color w:val="auto"/>
          <w:sz w:val="24"/>
        </w:rPr>
      </w:pPr>
    </w:p>
    <w:p w14:paraId="4177EA2D" w14:textId="77777777" w:rsidR="00385A37" w:rsidRPr="008D7F4B" w:rsidRDefault="00385A37" w:rsidP="00385A37">
      <w:pPr>
        <w:spacing w:after="0" w:line="240" w:lineRule="auto"/>
        <w:ind w:left="0" w:right="0" w:firstLine="709"/>
        <w:rPr>
          <w:rFonts w:ascii="Times New Roman" w:hAnsi="Times New Roman" w:cs="Times New Roman"/>
          <w:color w:val="auto"/>
          <w:sz w:val="24"/>
        </w:rPr>
      </w:pPr>
    </w:p>
    <w:p w14:paraId="39059557" w14:textId="23502604" w:rsidR="00CE4763" w:rsidRPr="008D7F4B" w:rsidRDefault="00CE4763" w:rsidP="007872F3">
      <w:pPr>
        <w:spacing w:line="240" w:lineRule="auto"/>
        <w:ind w:left="0" w:right="0" w:firstLine="0"/>
        <w:jc w:val="center"/>
        <w:rPr>
          <w:rFonts w:ascii="Times New Roman" w:hAnsi="Times New Roman" w:cs="Times New Roman"/>
          <w:b/>
          <w:color w:val="auto"/>
          <w:sz w:val="24"/>
        </w:rPr>
      </w:pPr>
      <w:r w:rsidRPr="008D7F4B">
        <w:rPr>
          <w:rFonts w:ascii="Times New Roman" w:hAnsi="Times New Roman" w:cs="Times New Roman"/>
          <w:b/>
          <w:color w:val="auto"/>
          <w:sz w:val="24"/>
        </w:rPr>
        <w:t xml:space="preserve">Tablica </w:t>
      </w:r>
      <w:r w:rsidR="008D7F4B" w:rsidRPr="008D7F4B">
        <w:rPr>
          <w:rFonts w:ascii="Times New Roman" w:hAnsi="Times New Roman" w:cs="Times New Roman"/>
          <w:b/>
          <w:color w:val="auto"/>
          <w:sz w:val="24"/>
        </w:rPr>
        <w:t>137</w:t>
      </w:r>
      <w:r w:rsidRPr="008D7F4B">
        <w:rPr>
          <w:rFonts w:ascii="Times New Roman" w:hAnsi="Times New Roman" w:cs="Times New Roman"/>
          <w:b/>
          <w:color w:val="auto"/>
          <w:sz w:val="24"/>
        </w:rPr>
        <w:t>. Analiza sustava civilne zaštite - područje reagiranja</w:t>
      </w:r>
    </w:p>
    <w:tbl>
      <w:tblPr>
        <w:tblStyle w:val="TableGrid"/>
        <w:tblW w:w="8951" w:type="dxa"/>
        <w:tblInd w:w="121" w:type="dxa"/>
        <w:tblLayout w:type="fixed"/>
        <w:tblCellMar>
          <w:top w:w="87" w:type="dxa"/>
          <w:left w:w="57" w:type="dxa"/>
          <w:right w:w="57" w:type="dxa"/>
        </w:tblCellMar>
        <w:tblLook w:val="04A0" w:firstRow="1" w:lastRow="0" w:firstColumn="1" w:lastColumn="0" w:noHBand="0" w:noVBand="1"/>
      </w:tblPr>
      <w:tblGrid>
        <w:gridCol w:w="2976"/>
        <w:gridCol w:w="1493"/>
        <w:gridCol w:w="1492"/>
        <w:gridCol w:w="1492"/>
        <w:gridCol w:w="1492"/>
        <w:gridCol w:w="6"/>
      </w:tblGrid>
      <w:tr w:rsidR="00CE4763" w:rsidRPr="00CE4763" w14:paraId="48EBFF55" w14:textId="77777777" w:rsidTr="00284074">
        <w:trPr>
          <w:cantSplit/>
          <w:tblHeader/>
        </w:trPr>
        <w:tc>
          <w:tcPr>
            <w:tcW w:w="2976" w:type="dxa"/>
            <w:vMerge w:val="restart"/>
            <w:tcBorders>
              <w:top w:val="single" w:sz="4" w:space="0" w:color="000000"/>
              <w:left w:val="single" w:sz="4" w:space="0" w:color="000000"/>
              <w:bottom w:val="single" w:sz="4" w:space="0" w:color="000000"/>
              <w:right w:val="single" w:sz="4" w:space="0" w:color="000000"/>
            </w:tcBorders>
            <w:vAlign w:val="center"/>
          </w:tcPr>
          <w:p w14:paraId="5921CC07"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PODRUČJE REAGIRANJA</w:t>
            </w:r>
          </w:p>
        </w:tc>
        <w:tc>
          <w:tcPr>
            <w:tcW w:w="1493"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009D04B5"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Vrlo niska spremnost</w:t>
            </w:r>
          </w:p>
        </w:tc>
        <w:tc>
          <w:tcPr>
            <w:tcW w:w="149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2CA5744"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Niska spremnost</w:t>
            </w:r>
          </w:p>
        </w:tc>
        <w:tc>
          <w:tcPr>
            <w:tcW w:w="149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782986E"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Visoka spremnost</w:t>
            </w:r>
          </w:p>
        </w:tc>
        <w:tc>
          <w:tcPr>
            <w:tcW w:w="1498" w:type="dxa"/>
            <w:gridSpan w:val="2"/>
            <w:tcBorders>
              <w:top w:val="single" w:sz="4" w:space="0" w:color="000000"/>
              <w:left w:val="single" w:sz="4" w:space="0" w:color="000000"/>
              <w:bottom w:val="single" w:sz="4" w:space="0" w:color="000000"/>
              <w:right w:val="single" w:sz="4" w:space="0" w:color="000000"/>
            </w:tcBorders>
            <w:shd w:val="clear" w:color="auto" w:fill="92D050"/>
            <w:vAlign w:val="center"/>
          </w:tcPr>
          <w:p w14:paraId="781E994C"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color w:val="FFFFFF"/>
              </w:rPr>
              <w:t>Vrlo visoka spremnost</w:t>
            </w:r>
          </w:p>
        </w:tc>
      </w:tr>
      <w:tr w:rsidR="00CE4763" w:rsidRPr="00CE4763" w14:paraId="5C3A7192" w14:textId="77777777" w:rsidTr="00284074">
        <w:trPr>
          <w:cantSplit/>
          <w:tblHeader/>
        </w:trPr>
        <w:tc>
          <w:tcPr>
            <w:tcW w:w="2976" w:type="dxa"/>
            <w:vMerge/>
            <w:tcBorders>
              <w:top w:val="nil"/>
              <w:left w:val="single" w:sz="4" w:space="0" w:color="000000"/>
              <w:bottom w:val="single" w:sz="4" w:space="0" w:color="000000"/>
              <w:right w:val="single" w:sz="4" w:space="0" w:color="000000"/>
            </w:tcBorders>
            <w:vAlign w:val="center"/>
          </w:tcPr>
          <w:p w14:paraId="20AF2A23"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3" w:type="dxa"/>
            <w:tcBorders>
              <w:top w:val="single" w:sz="4" w:space="0" w:color="000000"/>
              <w:left w:val="single" w:sz="4" w:space="0" w:color="000000"/>
              <w:bottom w:val="single" w:sz="4" w:space="0" w:color="000000"/>
              <w:right w:val="single" w:sz="4" w:space="0" w:color="000000"/>
            </w:tcBorders>
            <w:vAlign w:val="center"/>
          </w:tcPr>
          <w:p w14:paraId="7AF03469"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4</w:t>
            </w:r>
          </w:p>
        </w:tc>
        <w:tc>
          <w:tcPr>
            <w:tcW w:w="1492" w:type="dxa"/>
            <w:tcBorders>
              <w:top w:val="single" w:sz="4" w:space="0" w:color="000000"/>
              <w:left w:val="single" w:sz="4" w:space="0" w:color="000000"/>
              <w:bottom w:val="single" w:sz="4" w:space="0" w:color="000000"/>
              <w:right w:val="single" w:sz="4" w:space="0" w:color="000000"/>
            </w:tcBorders>
            <w:vAlign w:val="center"/>
          </w:tcPr>
          <w:p w14:paraId="6C17AD15"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3</w:t>
            </w:r>
          </w:p>
        </w:tc>
        <w:tc>
          <w:tcPr>
            <w:tcW w:w="1492" w:type="dxa"/>
            <w:tcBorders>
              <w:top w:val="single" w:sz="4" w:space="0" w:color="000000"/>
              <w:left w:val="single" w:sz="4" w:space="0" w:color="000000"/>
              <w:bottom w:val="single" w:sz="4" w:space="0" w:color="000000"/>
              <w:right w:val="single" w:sz="4" w:space="0" w:color="000000"/>
            </w:tcBorders>
            <w:vAlign w:val="center"/>
          </w:tcPr>
          <w:p w14:paraId="6357F217"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2</w:t>
            </w:r>
          </w:p>
        </w:tc>
        <w:tc>
          <w:tcPr>
            <w:tcW w:w="1498" w:type="dxa"/>
            <w:gridSpan w:val="2"/>
            <w:tcBorders>
              <w:top w:val="single" w:sz="4" w:space="0" w:color="000000"/>
              <w:left w:val="single" w:sz="4" w:space="0" w:color="000000"/>
              <w:bottom w:val="single" w:sz="4" w:space="0" w:color="000000"/>
              <w:right w:val="single" w:sz="4" w:space="0" w:color="000000"/>
            </w:tcBorders>
            <w:vAlign w:val="center"/>
          </w:tcPr>
          <w:p w14:paraId="3FEF591D"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1</w:t>
            </w:r>
          </w:p>
        </w:tc>
      </w:tr>
      <w:tr w:rsidR="00CE4763" w:rsidRPr="00CE4763" w14:paraId="7C505910" w14:textId="77777777" w:rsidTr="00284074">
        <w:trPr>
          <w:cantSplit/>
        </w:trPr>
        <w:tc>
          <w:tcPr>
            <w:tcW w:w="8951" w:type="dxa"/>
            <w:gridSpan w:val="6"/>
            <w:tcBorders>
              <w:top w:val="single" w:sz="4" w:space="0" w:color="000000"/>
              <w:left w:val="single" w:sz="4" w:space="0" w:color="000000"/>
              <w:bottom w:val="single" w:sz="4" w:space="0" w:color="000000"/>
              <w:right w:val="single" w:sz="4" w:space="0" w:color="000000"/>
            </w:tcBorders>
            <w:vAlign w:val="center"/>
          </w:tcPr>
          <w:p w14:paraId="4923C52E"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ČELNE OSOBE</w:t>
            </w:r>
          </w:p>
        </w:tc>
      </w:tr>
      <w:tr w:rsidR="00CE4763" w:rsidRPr="00CE4763" w14:paraId="567A8800" w14:textId="77777777" w:rsidTr="00284074">
        <w:trPr>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3175B579"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Razina odgovornosti</w:t>
            </w:r>
          </w:p>
        </w:tc>
        <w:tc>
          <w:tcPr>
            <w:tcW w:w="1493" w:type="dxa"/>
            <w:tcBorders>
              <w:top w:val="single" w:sz="4" w:space="0" w:color="000000"/>
              <w:left w:val="single" w:sz="4" w:space="0" w:color="000000"/>
              <w:bottom w:val="single" w:sz="4" w:space="0" w:color="000000"/>
              <w:right w:val="single" w:sz="4" w:space="0" w:color="000000"/>
            </w:tcBorders>
            <w:vAlign w:val="center"/>
          </w:tcPr>
          <w:p w14:paraId="0BBFA3C6"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51FA9AFA"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16183D91"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8" w:type="dxa"/>
            <w:gridSpan w:val="2"/>
            <w:tcBorders>
              <w:top w:val="single" w:sz="4" w:space="0" w:color="000000"/>
              <w:left w:val="single" w:sz="4" w:space="0" w:color="000000"/>
              <w:bottom w:val="single" w:sz="4" w:space="0" w:color="000000"/>
              <w:right w:val="single" w:sz="4" w:space="0" w:color="000000"/>
            </w:tcBorders>
            <w:vAlign w:val="center"/>
          </w:tcPr>
          <w:p w14:paraId="3AFEA7DC"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769F3E74" w14:textId="77777777" w:rsidTr="00284074">
        <w:trPr>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35C0431D"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Razina osposobljenosti</w:t>
            </w:r>
          </w:p>
        </w:tc>
        <w:tc>
          <w:tcPr>
            <w:tcW w:w="1493" w:type="dxa"/>
            <w:tcBorders>
              <w:top w:val="single" w:sz="4" w:space="0" w:color="000000"/>
              <w:left w:val="single" w:sz="4" w:space="0" w:color="000000"/>
              <w:bottom w:val="single" w:sz="4" w:space="0" w:color="000000"/>
              <w:right w:val="single" w:sz="4" w:space="0" w:color="000000"/>
            </w:tcBorders>
            <w:vAlign w:val="center"/>
          </w:tcPr>
          <w:p w14:paraId="2BDB8495"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1F7A01D3"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26A4D040"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8" w:type="dxa"/>
            <w:gridSpan w:val="2"/>
            <w:tcBorders>
              <w:top w:val="single" w:sz="4" w:space="0" w:color="000000"/>
              <w:left w:val="single" w:sz="4" w:space="0" w:color="000000"/>
              <w:bottom w:val="single" w:sz="4" w:space="0" w:color="000000"/>
              <w:right w:val="single" w:sz="4" w:space="0" w:color="000000"/>
            </w:tcBorders>
            <w:vAlign w:val="center"/>
          </w:tcPr>
          <w:p w14:paraId="1BD5DD80"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0B0FE536" w14:textId="77777777" w:rsidTr="00284074">
        <w:trPr>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562BE8DE"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Razina uvježbanosti</w:t>
            </w:r>
          </w:p>
        </w:tc>
        <w:tc>
          <w:tcPr>
            <w:tcW w:w="1493" w:type="dxa"/>
            <w:tcBorders>
              <w:top w:val="single" w:sz="4" w:space="0" w:color="000000"/>
              <w:left w:val="single" w:sz="4" w:space="0" w:color="000000"/>
              <w:bottom w:val="single" w:sz="4" w:space="0" w:color="000000"/>
              <w:right w:val="single" w:sz="4" w:space="0" w:color="000000"/>
            </w:tcBorders>
            <w:vAlign w:val="center"/>
          </w:tcPr>
          <w:p w14:paraId="6D9168E2"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7E7196F1"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6B88AAB"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8" w:type="dxa"/>
            <w:gridSpan w:val="2"/>
            <w:tcBorders>
              <w:top w:val="single" w:sz="4" w:space="0" w:color="000000"/>
              <w:left w:val="single" w:sz="4" w:space="0" w:color="000000"/>
              <w:bottom w:val="single" w:sz="4" w:space="0" w:color="000000"/>
              <w:right w:val="single" w:sz="4" w:space="0" w:color="000000"/>
            </w:tcBorders>
            <w:vAlign w:val="center"/>
          </w:tcPr>
          <w:p w14:paraId="50ACAA58"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50629E56" w14:textId="77777777" w:rsidTr="00284074">
        <w:tblPrEx>
          <w:tblCellMar>
            <w:top w:w="89" w:type="dxa"/>
          </w:tblCellMar>
        </w:tblPrEx>
        <w:trPr>
          <w:gridAfter w:val="1"/>
          <w:wAfter w:w="6" w:type="dxa"/>
          <w:cantSplit/>
        </w:trPr>
        <w:tc>
          <w:tcPr>
            <w:tcW w:w="8945" w:type="dxa"/>
            <w:gridSpan w:val="5"/>
            <w:tcBorders>
              <w:top w:val="single" w:sz="4" w:space="0" w:color="000000"/>
              <w:left w:val="single" w:sz="4" w:space="0" w:color="000000"/>
              <w:bottom w:val="single" w:sz="4" w:space="0" w:color="000000"/>
              <w:right w:val="single" w:sz="4" w:space="0" w:color="000000"/>
            </w:tcBorders>
            <w:vAlign w:val="center"/>
          </w:tcPr>
          <w:p w14:paraId="7BD90A07"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STOŽER</w:t>
            </w:r>
          </w:p>
        </w:tc>
      </w:tr>
      <w:tr w:rsidR="00CE4763" w:rsidRPr="00CE4763" w14:paraId="6C84877A" w14:textId="77777777" w:rsidTr="00284074">
        <w:tblPrEx>
          <w:tblCellMar>
            <w:top w:w="8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72612361"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Razina odgovornosti</w:t>
            </w:r>
          </w:p>
        </w:tc>
        <w:tc>
          <w:tcPr>
            <w:tcW w:w="1493" w:type="dxa"/>
            <w:tcBorders>
              <w:top w:val="single" w:sz="4" w:space="0" w:color="000000"/>
              <w:left w:val="nil"/>
              <w:bottom w:val="single" w:sz="4" w:space="0" w:color="000000"/>
              <w:right w:val="single" w:sz="4" w:space="0" w:color="000000"/>
            </w:tcBorders>
            <w:vAlign w:val="center"/>
          </w:tcPr>
          <w:p w14:paraId="13972DC9"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29C44114"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901538F"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72EF9719"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r>
      <w:tr w:rsidR="00CE4763" w:rsidRPr="00CE4763" w14:paraId="2F56D9FA" w14:textId="77777777" w:rsidTr="00284074">
        <w:tblPrEx>
          <w:tblCellMar>
            <w:top w:w="8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334E34A7"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Razina osposobljenosti</w:t>
            </w:r>
          </w:p>
        </w:tc>
        <w:tc>
          <w:tcPr>
            <w:tcW w:w="1493" w:type="dxa"/>
            <w:tcBorders>
              <w:top w:val="single" w:sz="4" w:space="0" w:color="000000"/>
              <w:left w:val="nil"/>
              <w:bottom w:val="single" w:sz="4" w:space="0" w:color="000000"/>
              <w:right w:val="single" w:sz="4" w:space="0" w:color="000000"/>
            </w:tcBorders>
            <w:vAlign w:val="center"/>
          </w:tcPr>
          <w:p w14:paraId="5A46C2B5"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7A88400"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46DCE391"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23131D46"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7E90F202" w14:textId="77777777" w:rsidTr="00284074">
        <w:tblPrEx>
          <w:tblCellMar>
            <w:top w:w="8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31F5139A"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Razina uvježbanosti</w:t>
            </w:r>
          </w:p>
        </w:tc>
        <w:tc>
          <w:tcPr>
            <w:tcW w:w="1493" w:type="dxa"/>
            <w:tcBorders>
              <w:top w:val="single" w:sz="4" w:space="0" w:color="000000"/>
              <w:left w:val="nil"/>
              <w:bottom w:val="single" w:sz="4" w:space="0" w:color="000000"/>
              <w:right w:val="single" w:sz="4" w:space="0" w:color="000000"/>
            </w:tcBorders>
            <w:vAlign w:val="center"/>
          </w:tcPr>
          <w:p w14:paraId="21FDD53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21EA33EB"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30D67F09"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2FD44CBE"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5569A0CD" w14:textId="77777777" w:rsidTr="00284074">
        <w:tblPrEx>
          <w:tblCellMar>
            <w:top w:w="89" w:type="dxa"/>
          </w:tblCellMar>
        </w:tblPrEx>
        <w:trPr>
          <w:gridAfter w:val="1"/>
          <w:wAfter w:w="6" w:type="dxa"/>
          <w:cantSplit/>
        </w:trPr>
        <w:tc>
          <w:tcPr>
            <w:tcW w:w="8945" w:type="dxa"/>
            <w:gridSpan w:val="5"/>
            <w:tcBorders>
              <w:top w:val="single" w:sz="4" w:space="0" w:color="000000"/>
              <w:left w:val="single" w:sz="4" w:space="0" w:color="000000"/>
              <w:bottom w:val="single" w:sz="4" w:space="0" w:color="000000"/>
              <w:right w:val="single" w:sz="4" w:space="0" w:color="000000"/>
            </w:tcBorders>
            <w:vAlign w:val="center"/>
          </w:tcPr>
          <w:p w14:paraId="19A12087"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KOORDINATORI NA LOKACIJI</w:t>
            </w:r>
          </w:p>
        </w:tc>
      </w:tr>
      <w:tr w:rsidR="00CE4763" w:rsidRPr="00CE4763" w14:paraId="1DCE28EC" w14:textId="77777777" w:rsidTr="00284074">
        <w:tblPrEx>
          <w:tblCellMar>
            <w:top w:w="8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504AB66F"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Razina odgovornosti</w:t>
            </w:r>
          </w:p>
        </w:tc>
        <w:tc>
          <w:tcPr>
            <w:tcW w:w="1493" w:type="dxa"/>
            <w:tcBorders>
              <w:top w:val="single" w:sz="4" w:space="0" w:color="000000"/>
              <w:left w:val="nil"/>
              <w:bottom w:val="single" w:sz="4" w:space="0" w:color="000000"/>
              <w:right w:val="single" w:sz="4" w:space="0" w:color="000000"/>
            </w:tcBorders>
            <w:vAlign w:val="center"/>
          </w:tcPr>
          <w:p w14:paraId="5D45919F"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50F05DAC"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30467251"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199C574F"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4997C15D" w14:textId="77777777" w:rsidTr="00284074">
        <w:tblPrEx>
          <w:tblCellMar>
            <w:top w:w="8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0904BA8F"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Razina osposobljenosti</w:t>
            </w:r>
          </w:p>
        </w:tc>
        <w:tc>
          <w:tcPr>
            <w:tcW w:w="1493" w:type="dxa"/>
            <w:tcBorders>
              <w:top w:val="single" w:sz="4" w:space="0" w:color="000000"/>
              <w:left w:val="nil"/>
              <w:bottom w:val="single" w:sz="4" w:space="0" w:color="000000"/>
              <w:right w:val="single" w:sz="4" w:space="0" w:color="000000"/>
            </w:tcBorders>
            <w:vAlign w:val="center"/>
          </w:tcPr>
          <w:p w14:paraId="1575A4BE"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5D3DC79E"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261FD3E3"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2E107CFD"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53A23457" w14:textId="77777777" w:rsidTr="00284074">
        <w:tblPrEx>
          <w:tblCellMar>
            <w:top w:w="8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5DE1E340"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Razina uvježbanosti</w:t>
            </w:r>
          </w:p>
        </w:tc>
        <w:tc>
          <w:tcPr>
            <w:tcW w:w="1493" w:type="dxa"/>
            <w:tcBorders>
              <w:top w:val="single" w:sz="4" w:space="0" w:color="000000"/>
              <w:left w:val="nil"/>
              <w:bottom w:val="single" w:sz="4" w:space="0" w:color="000000"/>
              <w:right w:val="single" w:sz="4" w:space="0" w:color="000000"/>
            </w:tcBorders>
            <w:vAlign w:val="center"/>
          </w:tcPr>
          <w:p w14:paraId="3DD7FF9E"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2276236C"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2939A39A"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23461BB8"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01E212FF" w14:textId="77777777" w:rsidTr="00284074">
        <w:tblPrEx>
          <w:tblCellMar>
            <w:top w:w="89" w:type="dxa"/>
          </w:tblCellMar>
        </w:tblPrEx>
        <w:trPr>
          <w:gridAfter w:val="1"/>
          <w:wAfter w:w="6" w:type="dxa"/>
          <w:cantSplit/>
        </w:trPr>
        <w:tc>
          <w:tcPr>
            <w:tcW w:w="8945" w:type="dxa"/>
            <w:gridSpan w:val="5"/>
            <w:tcBorders>
              <w:top w:val="single" w:sz="4" w:space="0" w:color="000000"/>
              <w:left w:val="single" w:sz="4" w:space="0" w:color="000000"/>
              <w:bottom w:val="single" w:sz="4" w:space="0" w:color="000000"/>
              <w:right w:val="single" w:sz="4" w:space="0" w:color="000000"/>
            </w:tcBorders>
            <w:vAlign w:val="center"/>
          </w:tcPr>
          <w:p w14:paraId="10BEC6EC"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POSTROJBE CIVILNE ZAŠTITE</w:t>
            </w:r>
          </w:p>
        </w:tc>
      </w:tr>
      <w:tr w:rsidR="00CE4763" w:rsidRPr="00CE4763" w14:paraId="7B392B8B" w14:textId="77777777" w:rsidTr="00284074">
        <w:tblPrEx>
          <w:tblCellMar>
            <w:top w:w="8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58FF6A25"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popunjenosti ljudstvom</w:t>
            </w:r>
          </w:p>
        </w:tc>
        <w:tc>
          <w:tcPr>
            <w:tcW w:w="1493" w:type="dxa"/>
            <w:tcBorders>
              <w:top w:val="single" w:sz="4" w:space="0" w:color="000000"/>
              <w:left w:val="nil"/>
              <w:bottom w:val="single" w:sz="4" w:space="0" w:color="000000"/>
              <w:right w:val="single" w:sz="4" w:space="0" w:color="000000"/>
            </w:tcBorders>
            <w:vAlign w:val="center"/>
          </w:tcPr>
          <w:p w14:paraId="5997FF69"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372E3430"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0294F580"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279ADDBC"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464AAB4E" w14:textId="77777777" w:rsidTr="00284074">
        <w:tblPrEx>
          <w:tblCellMar>
            <w:top w:w="8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5B4877D1"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spremnosti zapovjednog osoblja</w:t>
            </w:r>
          </w:p>
        </w:tc>
        <w:tc>
          <w:tcPr>
            <w:tcW w:w="1493" w:type="dxa"/>
            <w:tcBorders>
              <w:top w:val="single" w:sz="4" w:space="0" w:color="000000"/>
              <w:left w:val="nil"/>
              <w:bottom w:val="single" w:sz="4" w:space="0" w:color="000000"/>
              <w:right w:val="single" w:sz="4" w:space="0" w:color="000000"/>
            </w:tcBorders>
            <w:vAlign w:val="center"/>
          </w:tcPr>
          <w:p w14:paraId="062984BD"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01D60B26"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0B766509"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580EAE89"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4E6577E2" w14:textId="77777777" w:rsidTr="00284074">
        <w:tblPrEx>
          <w:tblCellMar>
            <w:top w:w="8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399AAF52"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osposobljenosti ljudstva i zapovjednog osoblja</w:t>
            </w:r>
          </w:p>
        </w:tc>
        <w:tc>
          <w:tcPr>
            <w:tcW w:w="1493" w:type="dxa"/>
            <w:tcBorders>
              <w:top w:val="single" w:sz="4" w:space="0" w:color="000000"/>
              <w:left w:val="nil"/>
              <w:bottom w:val="single" w:sz="4" w:space="0" w:color="000000"/>
              <w:right w:val="single" w:sz="4" w:space="0" w:color="000000"/>
            </w:tcBorders>
            <w:vAlign w:val="center"/>
          </w:tcPr>
          <w:p w14:paraId="7E44AA69"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2B4A853E"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4E6622E"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75516390"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51DC4251" w14:textId="77777777" w:rsidTr="00284074">
        <w:tblPrEx>
          <w:tblCellMar>
            <w:top w:w="8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25B4FA96"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uvježbanosti</w:t>
            </w:r>
          </w:p>
        </w:tc>
        <w:tc>
          <w:tcPr>
            <w:tcW w:w="1493" w:type="dxa"/>
            <w:tcBorders>
              <w:top w:val="single" w:sz="4" w:space="0" w:color="000000"/>
              <w:left w:val="nil"/>
              <w:bottom w:val="single" w:sz="4" w:space="0" w:color="000000"/>
              <w:right w:val="single" w:sz="4" w:space="0" w:color="000000"/>
            </w:tcBorders>
            <w:vAlign w:val="center"/>
          </w:tcPr>
          <w:p w14:paraId="2AFE0C08"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F2069F1"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498D36FD"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49836C3D"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19740365" w14:textId="77777777" w:rsidTr="00284074">
        <w:tblPrEx>
          <w:tblCellMar>
            <w:top w:w="8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09E8F552"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opremljenosti materijalnim sredstvima i opremom</w:t>
            </w:r>
          </w:p>
        </w:tc>
        <w:tc>
          <w:tcPr>
            <w:tcW w:w="1493" w:type="dxa"/>
            <w:tcBorders>
              <w:top w:val="single" w:sz="4" w:space="0" w:color="000000"/>
              <w:left w:val="nil"/>
              <w:bottom w:val="single" w:sz="4" w:space="0" w:color="000000"/>
              <w:right w:val="single" w:sz="4" w:space="0" w:color="000000"/>
            </w:tcBorders>
            <w:vAlign w:val="center"/>
          </w:tcPr>
          <w:p w14:paraId="491800BD"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38E1241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30330AA8"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312CA99F"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2E1CE3B1" w14:textId="77777777" w:rsidTr="00284074">
        <w:tblPrEx>
          <w:tblCellMar>
            <w:top w:w="8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12B2E9E0"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Vremena mobilizacijske spremnosti / operativne gotovosti</w:t>
            </w:r>
          </w:p>
        </w:tc>
        <w:tc>
          <w:tcPr>
            <w:tcW w:w="1493" w:type="dxa"/>
            <w:tcBorders>
              <w:top w:val="single" w:sz="4" w:space="0" w:color="000000"/>
              <w:left w:val="nil"/>
              <w:bottom w:val="single" w:sz="4" w:space="0" w:color="000000"/>
              <w:right w:val="single" w:sz="4" w:space="0" w:color="000000"/>
            </w:tcBorders>
            <w:vAlign w:val="center"/>
          </w:tcPr>
          <w:p w14:paraId="74C2E1FB"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73644F72"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A48AC97"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01121784"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73F64C27" w14:textId="77777777" w:rsidTr="00284074">
        <w:tblPrEx>
          <w:tblCellMar>
            <w:top w:w="8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2557D4BF"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Samodostatnost i logistička potpora</w:t>
            </w:r>
          </w:p>
        </w:tc>
        <w:tc>
          <w:tcPr>
            <w:tcW w:w="1493" w:type="dxa"/>
            <w:tcBorders>
              <w:top w:val="single" w:sz="4" w:space="0" w:color="000000"/>
              <w:left w:val="nil"/>
              <w:bottom w:val="single" w:sz="4" w:space="0" w:color="000000"/>
              <w:right w:val="single" w:sz="4" w:space="0" w:color="000000"/>
            </w:tcBorders>
            <w:vAlign w:val="center"/>
          </w:tcPr>
          <w:p w14:paraId="35896164"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726A0BC9"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9530711"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31430A7E"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r>
      <w:tr w:rsidR="00CE4763" w:rsidRPr="00CE4763" w14:paraId="6A40AFF5" w14:textId="77777777" w:rsidTr="00284074">
        <w:tblPrEx>
          <w:tblCellMar>
            <w:top w:w="8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4AD45FD7"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u w:val="single" w:color="000000"/>
              </w:rPr>
              <w:t>Područje reagiranja - ZBIRNO</w:t>
            </w:r>
          </w:p>
        </w:tc>
        <w:tc>
          <w:tcPr>
            <w:tcW w:w="1493" w:type="dxa"/>
            <w:tcBorders>
              <w:top w:val="single" w:sz="4" w:space="0" w:color="000000"/>
              <w:left w:val="nil"/>
              <w:bottom w:val="single" w:sz="4" w:space="0" w:color="000000"/>
              <w:right w:val="single" w:sz="4" w:space="0" w:color="000000"/>
            </w:tcBorders>
            <w:vAlign w:val="center"/>
          </w:tcPr>
          <w:p w14:paraId="506D95B1"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1714984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0C234BCB"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411F565B"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1814B56D" w14:textId="77777777" w:rsidTr="00284074">
        <w:tblPrEx>
          <w:tblCellMar>
            <w:top w:w="89" w:type="dxa"/>
          </w:tblCellMar>
        </w:tblPrEx>
        <w:trPr>
          <w:gridAfter w:val="1"/>
          <w:wAfter w:w="6" w:type="dxa"/>
          <w:cantSplit/>
        </w:trPr>
        <w:tc>
          <w:tcPr>
            <w:tcW w:w="8945" w:type="dxa"/>
            <w:gridSpan w:val="5"/>
            <w:tcBorders>
              <w:top w:val="single" w:sz="4" w:space="0" w:color="000000"/>
              <w:left w:val="single" w:sz="4" w:space="0" w:color="000000"/>
              <w:bottom w:val="single" w:sz="4" w:space="0" w:color="000000"/>
              <w:right w:val="single" w:sz="4" w:space="0" w:color="000000"/>
            </w:tcBorders>
            <w:vAlign w:val="center"/>
          </w:tcPr>
          <w:p w14:paraId="4EAB2E1C"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POVJERENICI CIVILNE ZAŠTITE</w:t>
            </w:r>
          </w:p>
        </w:tc>
      </w:tr>
      <w:tr w:rsidR="00CE4763" w:rsidRPr="00CE4763" w14:paraId="542C1917" w14:textId="77777777" w:rsidTr="00284074">
        <w:tblPrEx>
          <w:tblCellMar>
            <w:top w:w="8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6D80D47C"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popunjenosti ljudstvom</w:t>
            </w:r>
          </w:p>
        </w:tc>
        <w:tc>
          <w:tcPr>
            <w:tcW w:w="1493" w:type="dxa"/>
            <w:tcBorders>
              <w:top w:val="single" w:sz="4" w:space="0" w:color="000000"/>
              <w:left w:val="nil"/>
              <w:bottom w:val="single" w:sz="4" w:space="0" w:color="000000"/>
              <w:right w:val="single" w:sz="4" w:space="0" w:color="000000"/>
            </w:tcBorders>
            <w:vAlign w:val="center"/>
          </w:tcPr>
          <w:p w14:paraId="02649A9A"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88BBBAB"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53AB720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73425E64"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450896F9" w14:textId="77777777" w:rsidTr="00284074">
        <w:tblPrEx>
          <w:tblCellMar>
            <w:top w:w="8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3ACB5D7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spremnosti zapovjednog osoblja</w:t>
            </w:r>
          </w:p>
        </w:tc>
        <w:tc>
          <w:tcPr>
            <w:tcW w:w="1493" w:type="dxa"/>
            <w:tcBorders>
              <w:top w:val="single" w:sz="4" w:space="0" w:color="000000"/>
              <w:left w:val="nil"/>
              <w:bottom w:val="single" w:sz="4" w:space="0" w:color="000000"/>
              <w:right w:val="single" w:sz="4" w:space="0" w:color="000000"/>
            </w:tcBorders>
            <w:vAlign w:val="center"/>
          </w:tcPr>
          <w:p w14:paraId="26CCD34E"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1AD3189A"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2F638771"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184FB612"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4519B41F" w14:textId="77777777" w:rsidTr="00284074">
        <w:tblPrEx>
          <w:tblCellMar>
            <w:top w:w="8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75949E67"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osposobljenosti ljudstva i zapovjednog osoblja</w:t>
            </w:r>
          </w:p>
        </w:tc>
        <w:tc>
          <w:tcPr>
            <w:tcW w:w="1493" w:type="dxa"/>
            <w:tcBorders>
              <w:top w:val="single" w:sz="4" w:space="0" w:color="000000"/>
              <w:left w:val="nil"/>
              <w:bottom w:val="single" w:sz="4" w:space="0" w:color="000000"/>
              <w:right w:val="single" w:sz="4" w:space="0" w:color="000000"/>
            </w:tcBorders>
            <w:vAlign w:val="center"/>
          </w:tcPr>
          <w:p w14:paraId="618DCE5A"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18323321"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58E04A0F"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2F860FD2"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6E40B567" w14:textId="77777777" w:rsidTr="00284074">
        <w:tblPrEx>
          <w:tblCellMar>
            <w:top w:w="8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061FD205"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lastRenderedPageBreak/>
              <w:t>Stupanj uvježbanosti</w:t>
            </w:r>
          </w:p>
        </w:tc>
        <w:tc>
          <w:tcPr>
            <w:tcW w:w="1493" w:type="dxa"/>
            <w:tcBorders>
              <w:top w:val="single" w:sz="4" w:space="0" w:color="000000"/>
              <w:left w:val="nil"/>
              <w:bottom w:val="single" w:sz="4" w:space="0" w:color="000000"/>
              <w:right w:val="single" w:sz="4" w:space="0" w:color="000000"/>
            </w:tcBorders>
            <w:vAlign w:val="center"/>
          </w:tcPr>
          <w:p w14:paraId="0DC8CB9B"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B37BF37"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54AF8CE0"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DBC5CCA"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67EEC4E6" w14:textId="77777777" w:rsidTr="00284074">
        <w:tblPrEx>
          <w:tblCellMar>
            <w:top w:w="8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437C32B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opremljenosti materijalnim sredstvima i opremom</w:t>
            </w:r>
          </w:p>
        </w:tc>
        <w:tc>
          <w:tcPr>
            <w:tcW w:w="1493" w:type="dxa"/>
            <w:tcBorders>
              <w:top w:val="single" w:sz="4" w:space="0" w:color="000000"/>
              <w:left w:val="nil"/>
              <w:bottom w:val="single" w:sz="4" w:space="0" w:color="000000"/>
              <w:right w:val="single" w:sz="4" w:space="0" w:color="000000"/>
            </w:tcBorders>
            <w:vAlign w:val="center"/>
          </w:tcPr>
          <w:p w14:paraId="0EB291E4"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73939185"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7F429645"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388BD81E"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7321624C" w14:textId="77777777" w:rsidTr="00284074">
        <w:tblPrEx>
          <w:tblCellMar>
            <w:top w:w="12"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4E0488C4"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Vremena mobilizacijske spremnosti / operativne gotovosti</w:t>
            </w:r>
          </w:p>
        </w:tc>
        <w:tc>
          <w:tcPr>
            <w:tcW w:w="1493" w:type="dxa"/>
            <w:tcBorders>
              <w:top w:val="single" w:sz="4" w:space="0" w:color="000000"/>
              <w:left w:val="single" w:sz="4" w:space="0" w:color="000000"/>
              <w:bottom w:val="single" w:sz="4" w:space="0" w:color="000000"/>
              <w:right w:val="single" w:sz="4" w:space="0" w:color="000000"/>
            </w:tcBorders>
            <w:vAlign w:val="center"/>
          </w:tcPr>
          <w:p w14:paraId="1EFF9F8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4F987741"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2723D7B3"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2516B4C3"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322083F7" w14:textId="77777777" w:rsidTr="00284074">
        <w:tblPrEx>
          <w:tblCellMar>
            <w:top w:w="12"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62C4E60F"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Samodostatnost i logistička potpora</w:t>
            </w:r>
          </w:p>
        </w:tc>
        <w:tc>
          <w:tcPr>
            <w:tcW w:w="1493" w:type="dxa"/>
            <w:tcBorders>
              <w:top w:val="single" w:sz="4" w:space="0" w:color="000000"/>
              <w:left w:val="single" w:sz="4" w:space="0" w:color="000000"/>
              <w:bottom w:val="single" w:sz="4" w:space="0" w:color="000000"/>
              <w:right w:val="single" w:sz="4" w:space="0" w:color="000000"/>
            </w:tcBorders>
            <w:vAlign w:val="center"/>
          </w:tcPr>
          <w:p w14:paraId="36BAAF62"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32E70597"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63CE342A"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78B425F1"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76435FA5" w14:textId="77777777" w:rsidTr="00284074">
        <w:tblPrEx>
          <w:tblCellMar>
            <w:top w:w="12"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2473667C"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u w:val="single" w:color="000000"/>
              </w:rPr>
              <w:t>Područje reagiranja - ZBIRNO</w:t>
            </w:r>
          </w:p>
        </w:tc>
        <w:tc>
          <w:tcPr>
            <w:tcW w:w="1493" w:type="dxa"/>
            <w:tcBorders>
              <w:top w:val="single" w:sz="4" w:space="0" w:color="000000"/>
              <w:left w:val="single" w:sz="4" w:space="0" w:color="000000"/>
              <w:bottom w:val="single" w:sz="4" w:space="0" w:color="000000"/>
              <w:right w:val="single" w:sz="4" w:space="0" w:color="000000"/>
            </w:tcBorders>
            <w:vAlign w:val="center"/>
          </w:tcPr>
          <w:p w14:paraId="7A2F6F05"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08C31A11"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3FCBAC68"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03A1EE66"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0A7FA55D" w14:textId="77777777" w:rsidTr="00284074">
        <w:tblPrEx>
          <w:tblCellMar>
            <w:top w:w="12" w:type="dxa"/>
          </w:tblCellMar>
        </w:tblPrEx>
        <w:trPr>
          <w:gridAfter w:val="1"/>
          <w:wAfter w:w="6" w:type="dxa"/>
          <w:cantSplit/>
        </w:trPr>
        <w:tc>
          <w:tcPr>
            <w:tcW w:w="8945" w:type="dxa"/>
            <w:gridSpan w:val="5"/>
            <w:tcBorders>
              <w:top w:val="single" w:sz="4" w:space="0" w:color="000000"/>
              <w:left w:val="single" w:sz="4" w:space="0" w:color="000000"/>
              <w:bottom w:val="single" w:sz="4" w:space="0" w:color="000000"/>
              <w:right w:val="single" w:sz="4" w:space="0" w:color="000000"/>
            </w:tcBorders>
            <w:vAlign w:val="center"/>
          </w:tcPr>
          <w:p w14:paraId="11B93DAC"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VATROGASTVO</w:t>
            </w:r>
          </w:p>
        </w:tc>
      </w:tr>
      <w:tr w:rsidR="00CE4763" w:rsidRPr="00CE4763" w14:paraId="7B17D735" w14:textId="77777777" w:rsidTr="00284074">
        <w:tblPrEx>
          <w:tblCellMar>
            <w:top w:w="12"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5DF784E6"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popunjenosti ljudstvom</w:t>
            </w:r>
          </w:p>
        </w:tc>
        <w:tc>
          <w:tcPr>
            <w:tcW w:w="1493" w:type="dxa"/>
            <w:tcBorders>
              <w:top w:val="single" w:sz="4" w:space="0" w:color="000000"/>
              <w:left w:val="single" w:sz="4" w:space="0" w:color="000000"/>
              <w:bottom w:val="single" w:sz="4" w:space="0" w:color="000000"/>
              <w:right w:val="single" w:sz="4" w:space="0" w:color="000000"/>
            </w:tcBorders>
            <w:vAlign w:val="center"/>
          </w:tcPr>
          <w:p w14:paraId="7BB25A85"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0447A0E6"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4AF43F57"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172ED7C1"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6628ABFE" w14:textId="77777777" w:rsidTr="00284074">
        <w:tblPrEx>
          <w:tblCellMar>
            <w:top w:w="12"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5CA81320"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spremnosti zapovjednog osoblja</w:t>
            </w:r>
          </w:p>
        </w:tc>
        <w:tc>
          <w:tcPr>
            <w:tcW w:w="1493" w:type="dxa"/>
            <w:tcBorders>
              <w:top w:val="single" w:sz="4" w:space="0" w:color="000000"/>
              <w:left w:val="single" w:sz="4" w:space="0" w:color="000000"/>
              <w:bottom w:val="single" w:sz="4" w:space="0" w:color="000000"/>
              <w:right w:val="single" w:sz="4" w:space="0" w:color="000000"/>
            </w:tcBorders>
            <w:vAlign w:val="center"/>
          </w:tcPr>
          <w:p w14:paraId="36F28AAB"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11BE8602"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5527C3EE"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71946D0E"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r>
      <w:tr w:rsidR="00CE4763" w:rsidRPr="00CE4763" w14:paraId="34B1C768" w14:textId="77777777" w:rsidTr="00284074">
        <w:tblPrEx>
          <w:tblCellMar>
            <w:top w:w="12"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415B1D7E"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osposobljenosti ljudstva i zapovjednog osoblja</w:t>
            </w:r>
          </w:p>
        </w:tc>
        <w:tc>
          <w:tcPr>
            <w:tcW w:w="1493" w:type="dxa"/>
            <w:tcBorders>
              <w:top w:val="single" w:sz="4" w:space="0" w:color="000000"/>
              <w:left w:val="single" w:sz="4" w:space="0" w:color="000000"/>
              <w:bottom w:val="single" w:sz="4" w:space="0" w:color="000000"/>
              <w:right w:val="single" w:sz="4" w:space="0" w:color="000000"/>
            </w:tcBorders>
            <w:vAlign w:val="center"/>
          </w:tcPr>
          <w:p w14:paraId="5F874C0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47C9FE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1C0F4852"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11563EBE"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r>
      <w:tr w:rsidR="00CE4763" w:rsidRPr="00CE4763" w14:paraId="1252E1EB" w14:textId="77777777" w:rsidTr="00284074">
        <w:tblPrEx>
          <w:tblCellMar>
            <w:top w:w="12"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233BA61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uvježbanosti</w:t>
            </w:r>
          </w:p>
        </w:tc>
        <w:tc>
          <w:tcPr>
            <w:tcW w:w="1493" w:type="dxa"/>
            <w:tcBorders>
              <w:top w:val="single" w:sz="4" w:space="0" w:color="000000"/>
              <w:left w:val="single" w:sz="4" w:space="0" w:color="000000"/>
              <w:bottom w:val="single" w:sz="4" w:space="0" w:color="000000"/>
              <w:right w:val="single" w:sz="4" w:space="0" w:color="000000"/>
            </w:tcBorders>
            <w:vAlign w:val="center"/>
          </w:tcPr>
          <w:p w14:paraId="425F9ADE"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8C520AB"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D834125"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5F672066"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r>
      <w:tr w:rsidR="00CE4763" w:rsidRPr="00CE4763" w14:paraId="7CC9E08D" w14:textId="77777777" w:rsidTr="00284074">
        <w:tblPrEx>
          <w:tblCellMar>
            <w:top w:w="12"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10B1A75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opremljenosti materijalnim sredstvima i opremom</w:t>
            </w:r>
          </w:p>
        </w:tc>
        <w:tc>
          <w:tcPr>
            <w:tcW w:w="1493" w:type="dxa"/>
            <w:tcBorders>
              <w:top w:val="single" w:sz="4" w:space="0" w:color="000000"/>
              <w:left w:val="single" w:sz="4" w:space="0" w:color="000000"/>
              <w:bottom w:val="single" w:sz="4" w:space="0" w:color="000000"/>
              <w:right w:val="single" w:sz="4" w:space="0" w:color="000000"/>
            </w:tcBorders>
            <w:vAlign w:val="center"/>
          </w:tcPr>
          <w:p w14:paraId="0A6CE26A"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0E36A605"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18BD96B"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4D20C246"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2C34563C" w14:textId="77777777" w:rsidTr="00284074">
        <w:tblPrEx>
          <w:tblCellMar>
            <w:top w:w="12"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67B87B5B"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Vremena mobilizacijske spremnosti / operativne gotovosti</w:t>
            </w:r>
          </w:p>
        </w:tc>
        <w:tc>
          <w:tcPr>
            <w:tcW w:w="1493" w:type="dxa"/>
            <w:tcBorders>
              <w:top w:val="single" w:sz="4" w:space="0" w:color="000000"/>
              <w:left w:val="single" w:sz="4" w:space="0" w:color="000000"/>
              <w:bottom w:val="single" w:sz="4" w:space="0" w:color="000000"/>
              <w:right w:val="single" w:sz="4" w:space="0" w:color="000000"/>
            </w:tcBorders>
            <w:vAlign w:val="center"/>
          </w:tcPr>
          <w:p w14:paraId="2B612EE5"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4A50E30E"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1C235E1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13DD4F35"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r>
      <w:tr w:rsidR="00CE4763" w:rsidRPr="00CE4763" w14:paraId="020BD6A0" w14:textId="77777777" w:rsidTr="00284074">
        <w:tblPrEx>
          <w:tblCellMar>
            <w:top w:w="12"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6EDCF530"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Samodostatnost i logistička potpora</w:t>
            </w:r>
          </w:p>
        </w:tc>
        <w:tc>
          <w:tcPr>
            <w:tcW w:w="1493" w:type="dxa"/>
            <w:tcBorders>
              <w:top w:val="single" w:sz="4" w:space="0" w:color="000000"/>
              <w:left w:val="single" w:sz="4" w:space="0" w:color="000000"/>
              <w:bottom w:val="single" w:sz="4" w:space="0" w:color="000000"/>
              <w:right w:val="single" w:sz="4" w:space="0" w:color="000000"/>
            </w:tcBorders>
            <w:vAlign w:val="center"/>
          </w:tcPr>
          <w:p w14:paraId="2DB737E3"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8E7C645"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1EAE37D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1CA1B0E4"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r>
      <w:tr w:rsidR="00CE4763" w:rsidRPr="00CE4763" w14:paraId="7C2FE109" w14:textId="77777777" w:rsidTr="00284074">
        <w:tblPrEx>
          <w:tblCellMar>
            <w:top w:w="12"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1B3569A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u w:val="single" w:color="000000"/>
              </w:rPr>
              <w:t>Područje reagiranja - ZBIRNO</w:t>
            </w:r>
          </w:p>
        </w:tc>
        <w:tc>
          <w:tcPr>
            <w:tcW w:w="1493" w:type="dxa"/>
            <w:tcBorders>
              <w:top w:val="single" w:sz="4" w:space="0" w:color="000000"/>
              <w:left w:val="single" w:sz="4" w:space="0" w:color="000000"/>
              <w:bottom w:val="single" w:sz="4" w:space="0" w:color="000000"/>
              <w:right w:val="single" w:sz="4" w:space="0" w:color="000000"/>
            </w:tcBorders>
            <w:vAlign w:val="center"/>
          </w:tcPr>
          <w:p w14:paraId="6B2307FB"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39F610A2"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2FE8F8C9"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179CFA02"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r>
      <w:tr w:rsidR="00CE4763" w:rsidRPr="00CE4763" w14:paraId="48D2E20E" w14:textId="77777777" w:rsidTr="00284074">
        <w:tblPrEx>
          <w:tblCellMar>
            <w:top w:w="12" w:type="dxa"/>
          </w:tblCellMar>
        </w:tblPrEx>
        <w:trPr>
          <w:gridAfter w:val="1"/>
          <w:wAfter w:w="6" w:type="dxa"/>
          <w:cantSplit/>
        </w:trPr>
        <w:tc>
          <w:tcPr>
            <w:tcW w:w="8945" w:type="dxa"/>
            <w:gridSpan w:val="5"/>
            <w:tcBorders>
              <w:top w:val="single" w:sz="4" w:space="0" w:color="000000"/>
              <w:left w:val="single" w:sz="4" w:space="0" w:color="000000"/>
              <w:bottom w:val="single" w:sz="4" w:space="0" w:color="000000"/>
              <w:right w:val="single" w:sz="4" w:space="0" w:color="000000"/>
            </w:tcBorders>
            <w:vAlign w:val="center"/>
          </w:tcPr>
          <w:p w14:paraId="53D90CF4"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HRVATSKI CRVENI KRIŽ - Gradsko društvo Crvenog križa Zagreb</w:t>
            </w:r>
          </w:p>
        </w:tc>
      </w:tr>
      <w:tr w:rsidR="00CE4763" w:rsidRPr="00CE4763" w14:paraId="19679340" w14:textId="77777777" w:rsidTr="00284074">
        <w:tblPrEx>
          <w:tblCellMar>
            <w:top w:w="12"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5D36FEC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popunjenosti ljudstvom</w:t>
            </w:r>
          </w:p>
        </w:tc>
        <w:tc>
          <w:tcPr>
            <w:tcW w:w="1493" w:type="dxa"/>
            <w:tcBorders>
              <w:top w:val="single" w:sz="4" w:space="0" w:color="000000"/>
              <w:left w:val="single" w:sz="4" w:space="0" w:color="000000"/>
              <w:bottom w:val="single" w:sz="4" w:space="0" w:color="000000"/>
              <w:right w:val="single" w:sz="4" w:space="0" w:color="000000"/>
            </w:tcBorders>
            <w:vAlign w:val="center"/>
          </w:tcPr>
          <w:p w14:paraId="21D86A3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066F7EA0"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7E596DE7"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47DA3672"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6EF5B019" w14:textId="77777777" w:rsidTr="00284074">
        <w:tblPrEx>
          <w:tblCellMar>
            <w:top w:w="12"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3588BDF1"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spremnosti zapovjednog osoblja</w:t>
            </w:r>
          </w:p>
        </w:tc>
        <w:tc>
          <w:tcPr>
            <w:tcW w:w="1493" w:type="dxa"/>
            <w:tcBorders>
              <w:top w:val="single" w:sz="4" w:space="0" w:color="000000"/>
              <w:left w:val="single" w:sz="4" w:space="0" w:color="000000"/>
              <w:bottom w:val="single" w:sz="4" w:space="0" w:color="000000"/>
              <w:right w:val="single" w:sz="4" w:space="0" w:color="000000"/>
            </w:tcBorders>
            <w:vAlign w:val="center"/>
          </w:tcPr>
          <w:p w14:paraId="59EB8929"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3BF9D61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7A971548"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11185EB3"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2A2466FF" w14:textId="77777777" w:rsidTr="00284074">
        <w:tblPrEx>
          <w:tblCellMar>
            <w:top w:w="12"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62719C5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osposobljenosti ljudstva i zapovjednog osoblja</w:t>
            </w:r>
          </w:p>
        </w:tc>
        <w:tc>
          <w:tcPr>
            <w:tcW w:w="1493" w:type="dxa"/>
            <w:tcBorders>
              <w:top w:val="single" w:sz="4" w:space="0" w:color="000000"/>
              <w:left w:val="single" w:sz="4" w:space="0" w:color="000000"/>
              <w:bottom w:val="single" w:sz="4" w:space="0" w:color="000000"/>
              <w:right w:val="single" w:sz="4" w:space="0" w:color="000000"/>
            </w:tcBorders>
            <w:vAlign w:val="center"/>
          </w:tcPr>
          <w:p w14:paraId="3B871610"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48662B98"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12A34083"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1BEE9059"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0D2718A6" w14:textId="77777777" w:rsidTr="00284074">
        <w:tblPrEx>
          <w:tblCellMar>
            <w:top w:w="12"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5190151C"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uvježbanosti</w:t>
            </w:r>
          </w:p>
        </w:tc>
        <w:tc>
          <w:tcPr>
            <w:tcW w:w="1493" w:type="dxa"/>
            <w:tcBorders>
              <w:top w:val="single" w:sz="4" w:space="0" w:color="000000"/>
              <w:left w:val="single" w:sz="4" w:space="0" w:color="000000"/>
              <w:bottom w:val="single" w:sz="4" w:space="0" w:color="000000"/>
              <w:right w:val="single" w:sz="4" w:space="0" w:color="000000"/>
            </w:tcBorders>
            <w:vAlign w:val="center"/>
          </w:tcPr>
          <w:p w14:paraId="1F86B029"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0D20D855"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4017FAA3"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72F71D2C"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r>
      <w:tr w:rsidR="00CE4763" w:rsidRPr="00CE4763" w14:paraId="36B4F73B" w14:textId="77777777" w:rsidTr="00284074">
        <w:tblPrEx>
          <w:tblCellMar>
            <w:top w:w="12"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2FE94EEE"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opremljenosti materijalnim sredstvima i opremom</w:t>
            </w:r>
          </w:p>
        </w:tc>
        <w:tc>
          <w:tcPr>
            <w:tcW w:w="1493" w:type="dxa"/>
            <w:tcBorders>
              <w:top w:val="single" w:sz="4" w:space="0" w:color="000000"/>
              <w:left w:val="single" w:sz="4" w:space="0" w:color="000000"/>
              <w:bottom w:val="single" w:sz="4" w:space="0" w:color="000000"/>
              <w:right w:val="single" w:sz="4" w:space="0" w:color="000000"/>
            </w:tcBorders>
            <w:vAlign w:val="center"/>
          </w:tcPr>
          <w:p w14:paraId="2485C3E6"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3AB91450"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94D1F05"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4EABFA7A"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48F54EC0" w14:textId="77777777" w:rsidTr="00284074">
        <w:tblPrEx>
          <w:tblCellMar>
            <w:top w:w="12"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577D754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Vremena mobilizacijske spremnosti / operativne gotovosti</w:t>
            </w:r>
          </w:p>
        </w:tc>
        <w:tc>
          <w:tcPr>
            <w:tcW w:w="1493" w:type="dxa"/>
            <w:tcBorders>
              <w:top w:val="single" w:sz="4" w:space="0" w:color="000000"/>
              <w:left w:val="single" w:sz="4" w:space="0" w:color="000000"/>
              <w:bottom w:val="single" w:sz="4" w:space="0" w:color="000000"/>
              <w:right w:val="single" w:sz="4" w:space="0" w:color="000000"/>
            </w:tcBorders>
            <w:vAlign w:val="center"/>
          </w:tcPr>
          <w:p w14:paraId="03087B96"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7779E0B6"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19AEA14E"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5B6EE934"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204475DC"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05DAF3F2"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Samodostatnost i logistička potpora</w:t>
            </w:r>
          </w:p>
        </w:tc>
        <w:tc>
          <w:tcPr>
            <w:tcW w:w="1493" w:type="dxa"/>
            <w:tcBorders>
              <w:top w:val="single" w:sz="4" w:space="0" w:color="000000"/>
              <w:left w:val="single" w:sz="4" w:space="0" w:color="000000"/>
              <w:bottom w:val="single" w:sz="4" w:space="0" w:color="000000"/>
              <w:right w:val="single" w:sz="4" w:space="0" w:color="000000"/>
            </w:tcBorders>
            <w:vAlign w:val="center"/>
          </w:tcPr>
          <w:p w14:paraId="3BCD3660"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4AABC1D6"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3A381B1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15740DDC"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r>
      <w:tr w:rsidR="00CE4763" w:rsidRPr="00CE4763" w14:paraId="4FD6845C"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7D6A3097"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u w:val="single" w:color="000000"/>
              </w:rPr>
              <w:t>Područje reagiranja - ZBIRNO</w:t>
            </w:r>
          </w:p>
        </w:tc>
        <w:tc>
          <w:tcPr>
            <w:tcW w:w="1493" w:type="dxa"/>
            <w:tcBorders>
              <w:top w:val="single" w:sz="4" w:space="0" w:color="000000"/>
              <w:left w:val="single" w:sz="4" w:space="0" w:color="000000"/>
              <w:bottom w:val="single" w:sz="4" w:space="0" w:color="000000"/>
              <w:right w:val="single" w:sz="4" w:space="0" w:color="000000"/>
            </w:tcBorders>
            <w:vAlign w:val="center"/>
          </w:tcPr>
          <w:p w14:paraId="6DD70F7B"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E79E0F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54B914C3"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5B5E685C"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7680CCD9" w14:textId="77777777" w:rsidTr="00284074">
        <w:tblPrEx>
          <w:tblCellMar>
            <w:top w:w="9" w:type="dxa"/>
          </w:tblCellMar>
        </w:tblPrEx>
        <w:trPr>
          <w:gridAfter w:val="1"/>
          <w:wAfter w:w="6" w:type="dxa"/>
          <w:cantSplit/>
        </w:trPr>
        <w:tc>
          <w:tcPr>
            <w:tcW w:w="8945" w:type="dxa"/>
            <w:gridSpan w:val="5"/>
            <w:tcBorders>
              <w:top w:val="single" w:sz="4" w:space="0" w:color="000000"/>
              <w:left w:val="single" w:sz="4" w:space="0" w:color="000000"/>
              <w:bottom w:val="single" w:sz="4" w:space="0" w:color="000000"/>
              <w:right w:val="single" w:sz="4" w:space="0" w:color="000000"/>
            </w:tcBorders>
            <w:vAlign w:val="center"/>
          </w:tcPr>
          <w:p w14:paraId="73A0AFAF"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HRVATSKA GORSKA SLUŽBA SPAŠAVANJA - STANICA ZAGREB</w:t>
            </w:r>
          </w:p>
        </w:tc>
      </w:tr>
      <w:tr w:rsidR="00CE4763" w:rsidRPr="00CE4763" w14:paraId="5DE14F33"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463F9FD6"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popunjenosti ljudstvom</w:t>
            </w:r>
          </w:p>
        </w:tc>
        <w:tc>
          <w:tcPr>
            <w:tcW w:w="1493" w:type="dxa"/>
            <w:tcBorders>
              <w:top w:val="single" w:sz="4" w:space="0" w:color="000000"/>
              <w:left w:val="single" w:sz="4" w:space="0" w:color="000000"/>
              <w:bottom w:val="single" w:sz="4" w:space="0" w:color="000000"/>
              <w:right w:val="single" w:sz="4" w:space="0" w:color="000000"/>
            </w:tcBorders>
            <w:vAlign w:val="center"/>
          </w:tcPr>
          <w:p w14:paraId="11E3AA1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600E38F"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4B26CF6C"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2AF04059"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4D2C7895"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27A85290"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spremnosti zapovjednog osoblja</w:t>
            </w:r>
          </w:p>
        </w:tc>
        <w:tc>
          <w:tcPr>
            <w:tcW w:w="1493" w:type="dxa"/>
            <w:tcBorders>
              <w:top w:val="single" w:sz="4" w:space="0" w:color="000000"/>
              <w:left w:val="single" w:sz="4" w:space="0" w:color="000000"/>
              <w:bottom w:val="single" w:sz="4" w:space="0" w:color="000000"/>
              <w:right w:val="single" w:sz="4" w:space="0" w:color="000000"/>
            </w:tcBorders>
            <w:vAlign w:val="center"/>
          </w:tcPr>
          <w:p w14:paraId="7F741B86"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2450F33F"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50906C43"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4F961EE8"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r>
      <w:tr w:rsidR="00CE4763" w:rsidRPr="00CE4763" w14:paraId="2E27675C"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3E1ABEDA"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osposobljenosti ljudstva i zapovjednog osoblja</w:t>
            </w:r>
          </w:p>
        </w:tc>
        <w:tc>
          <w:tcPr>
            <w:tcW w:w="1493" w:type="dxa"/>
            <w:tcBorders>
              <w:top w:val="single" w:sz="4" w:space="0" w:color="000000"/>
              <w:left w:val="single" w:sz="4" w:space="0" w:color="000000"/>
              <w:bottom w:val="single" w:sz="4" w:space="0" w:color="000000"/>
              <w:right w:val="single" w:sz="4" w:space="0" w:color="000000"/>
            </w:tcBorders>
            <w:vAlign w:val="center"/>
          </w:tcPr>
          <w:p w14:paraId="2318790E"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7CE8C8FA"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0973162F"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1F26CA30"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r>
      <w:tr w:rsidR="00CE4763" w:rsidRPr="00CE4763" w14:paraId="14F217FB"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38B4F8AF"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lastRenderedPageBreak/>
              <w:t>Stupanj uvježbanosti</w:t>
            </w:r>
          </w:p>
        </w:tc>
        <w:tc>
          <w:tcPr>
            <w:tcW w:w="1493" w:type="dxa"/>
            <w:tcBorders>
              <w:top w:val="single" w:sz="4" w:space="0" w:color="000000"/>
              <w:left w:val="single" w:sz="4" w:space="0" w:color="000000"/>
              <w:bottom w:val="single" w:sz="4" w:space="0" w:color="000000"/>
              <w:right w:val="single" w:sz="4" w:space="0" w:color="000000"/>
            </w:tcBorders>
            <w:vAlign w:val="center"/>
          </w:tcPr>
          <w:p w14:paraId="11B51743"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B4A15F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1439A084"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01CF9E21"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r>
      <w:tr w:rsidR="00CE4763" w:rsidRPr="00CE4763" w14:paraId="670576F1"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268EB04F"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opremljenosti materijalnim sredstvima i opremom</w:t>
            </w:r>
          </w:p>
        </w:tc>
        <w:tc>
          <w:tcPr>
            <w:tcW w:w="1493" w:type="dxa"/>
            <w:tcBorders>
              <w:top w:val="single" w:sz="4" w:space="0" w:color="000000"/>
              <w:left w:val="single" w:sz="4" w:space="0" w:color="000000"/>
              <w:bottom w:val="single" w:sz="4" w:space="0" w:color="000000"/>
              <w:right w:val="single" w:sz="4" w:space="0" w:color="000000"/>
            </w:tcBorders>
            <w:vAlign w:val="center"/>
          </w:tcPr>
          <w:p w14:paraId="4B0E930D"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092C3716"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004A06E9"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32F7C9CC"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3C8DBA5F"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57B0EFFD"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Vremena mobilizacijske spremnosti / operativne gotovosti</w:t>
            </w:r>
          </w:p>
        </w:tc>
        <w:tc>
          <w:tcPr>
            <w:tcW w:w="1493" w:type="dxa"/>
            <w:tcBorders>
              <w:top w:val="single" w:sz="4" w:space="0" w:color="000000"/>
              <w:left w:val="single" w:sz="4" w:space="0" w:color="000000"/>
              <w:bottom w:val="single" w:sz="4" w:space="0" w:color="000000"/>
              <w:right w:val="single" w:sz="4" w:space="0" w:color="000000"/>
            </w:tcBorders>
            <w:vAlign w:val="center"/>
          </w:tcPr>
          <w:p w14:paraId="39F3A11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5277C393"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5796BE89"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4D186955"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3D525A6F"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243395D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Samodostatnost i logistička potpora</w:t>
            </w:r>
          </w:p>
        </w:tc>
        <w:tc>
          <w:tcPr>
            <w:tcW w:w="1493" w:type="dxa"/>
            <w:tcBorders>
              <w:top w:val="single" w:sz="4" w:space="0" w:color="000000"/>
              <w:left w:val="single" w:sz="4" w:space="0" w:color="000000"/>
              <w:bottom w:val="single" w:sz="4" w:space="0" w:color="000000"/>
              <w:right w:val="single" w:sz="4" w:space="0" w:color="000000"/>
            </w:tcBorders>
            <w:vAlign w:val="center"/>
          </w:tcPr>
          <w:p w14:paraId="6A08564F"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5CE4028B"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3242734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3A4D2A08"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r>
      <w:tr w:rsidR="00CE4763" w:rsidRPr="00CE4763" w14:paraId="26B80125"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1B6432E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u w:val="single" w:color="000000"/>
              </w:rPr>
              <w:t>Područje reagiranja - ZBIRNO</w:t>
            </w:r>
          </w:p>
        </w:tc>
        <w:tc>
          <w:tcPr>
            <w:tcW w:w="1493" w:type="dxa"/>
            <w:tcBorders>
              <w:top w:val="single" w:sz="4" w:space="0" w:color="000000"/>
              <w:left w:val="single" w:sz="4" w:space="0" w:color="000000"/>
              <w:bottom w:val="single" w:sz="4" w:space="0" w:color="000000"/>
              <w:right w:val="single" w:sz="4" w:space="0" w:color="000000"/>
            </w:tcBorders>
            <w:vAlign w:val="center"/>
          </w:tcPr>
          <w:p w14:paraId="6E00EAC8"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343BDCF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7798AF31"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3785E53C"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27CF4ECA" w14:textId="77777777" w:rsidTr="00284074">
        <w:tblPrEx>
          <w:tblCellMar>
            <w:top w:w="9" w:type="dxa"/>
          </w:tblCellMar>
        </w:tblPrEx>
        <w:trPr>
          <w:gridAfter w:val="1"/>
          <w:wAfter w:w="6" w:type="dxa"/>
          <w:cantSplit/>
        </w:trPr>
        <w:tc>
          <w:tcPr>
            <w:tcW w:w="8945" w:type="dxa"/>
            <w:gridSpan w:val="5"/>
            <w:tcBorders>
              <w:top w:val="single" w:sz="4" w:space="0" w:color="000000"/>
              <w:left w:val="single" w:sz="4" w:space="0" w:color="000000"/>
              <w:bottom w:val="single" w:sz="4" w:space="0" w:color="000000"/>
              <w:right w:val="single" w:sz="4" w:space="0" w:color="000000"/>
            </w:tcBorders>
            <w:vAlign w:val="center"/>
          </w:tcPr>
          <w:p w14:paraId="7C10B3D1"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OSTALI SUDIONICI U SUSTAVU CIVILNE ZAŠTITE</w:t>
            </w:r>
          </w:p>
        </w:tc>
      </w:tr>
      <w:tr w:rsidR="00CE4763" w:rsidRPr="00CE4763" w14:paraId="10D93A10"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570E6A95"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popunjenosti ljudstvom</w:t>
            </w:r>
          </w:p>
        </w:tc>
        <w:tc>
          <w:tcPr>
            <w:tcW w:w="1493" w:type="dxa"/>
            <w:tcBorders>
              <w:top w:val="single" w:sz="4" w:space="0" w:color="000000"/>
              <w:left w:val="single" w:sz="4" w:space="0" w:color="000000"/>
              <w:bottom w:val="single" w:sz="4" w:space="0" w:color="000000"/>
              <w:right w:val="single" w:sz="4" w:space="0" w:color="000000"/>
            </w:tcBorders>
            <w:vAlign w:val="center"/>
          </w:tcPr>
          <w:p w14:paraId="5F1BAFBE"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4431EF2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4AB090EC"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72B47AD5"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7B4574F0"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789534E0"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spremnosti zapovjednog osoblja</w:t>
            </w:r>
          </w:p>
        </w:tc>
        <w:tc>
          <w:tcPr>
            <w:tcW w:w="1493" w:type="dxa"/>
            <w:tcBorders>
              <w:top w:val="single" w:sz="4" w:space="0" w:color="000000"/>
              <w:left w:val="single" w:sz="4" w:space="0" w:color="000000"/>
              <w:bottom w:val="single" w:sz="4" w:space="0" w:color="000000"/>
              <w:right w:val="single" w:sz="4" w:space="0" w:color="000000"/>
            </w:tcBorders>
            <w:vAlign w:val="center"/>
          </w:tcPr>
          <w:p w14:paraId="0F1A7701"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05541E22"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0714BDBF"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41BFEF20"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7F210BF9"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32A424FB"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osposobljenosti ljudstva i zapovjednog osoblja</w:t>
            </w:r>
          </w:p>
        </w:tc>
        <w:tc>
          <w:tcPr>
            <w:tcW w:w="1493" w:type="dxa"/>
            <w:tcBorders>
              <w:top w:val="single" w:sz="4" w:space="0" w:color="000000"/>
              <w:left w:val="single" w:sz="4" w:space="0" w:color="000000"/>
              <w:bottom w:val="single" w:sz="4" w:space="0" w:color="000000"/>
              <w:right w:val="single" w:sz="4" w:space="0" w:color="000000"/>
            </w:tcBorders>
            <w:vAlign w:val="center"/>
          </w:tcPr>
          <w:p w14:paraId="5E2B8C85"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47BAB444"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0A26865"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518BE6C6"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444AA529"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31D54BB0"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uvježbanosti</w:t>
            </w:r>
          </w:p>
        </w:tc>
        <w:tc>
          <w:tcPr>
            <w:tcW w:w="1493" w:type="dxa"/>
            <w:tcBorders>
              <w:top w:val="single" w:sz="4" w:space="0" w:color="000000"/>
              <w:left w:val="single" w:sz="4" w:space="0" w:color="000000"/>
              <w:bottom w:val="single" w:sz="4" w:space="0" w:color="000000"/>
              <w:right w:val="single" w:sz="4" w:space="0" w:color="000000"/>
            </w:tcBorders>
            <w:vAlign w:val="center"/>
          </w:tcPr>
          <w:p w14:paraId="5EC57F12"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59A8B11A"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379F0AF0"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6B736084"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5046D149"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7EAEDD7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opremljenosti materijalnim sredstvima i opremom</w:t>
            </w:r>
          </w:p>
        </w:tc>
        <w:tc>
          <w:tcPr>
            <w:tcW w:w="1493" w:type="dxa"/>
            <w:tcBorders>
              <w:top w:val="single" w:sz="4" w:space="0" w:color="000000"/>
              <w:left w:val="single" w:sz="4" w:space="0" w:color="000000"/>
              <w:bottom w:val="single" w:sz="4" w:space="0" w:color="000000"/>
              <w:right w:val="single" w:sz="4" w:space="0" w:color="000000"/>
            </w:tcBorders>
            <w:vAlign w:val="center"/>
          </w:tcPr>
          <w:p w14:paraId="1572708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253A64F"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3E20188A"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705A38ED"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38D3C510"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47D7BAA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Vremena mobilizacijske spremnosti / operativne gotovosti</w:t>
            </w:r>
          </w:p>
        </w:tc>
        <w:tc>
          <w:tcPr>
            <w:tcW w:w="1493" w:type="dxa"/>
            <w:tcBorders>
              <w:top w:val="single" w:sz="4" w:space="0" w:color="000000"/>
              <w:left w:val="single" w:sz="4" w:space="0" w:color="000000"/>
              <w:bottom w:val="single" w:sz="4" w:space="0" w:color="000000"/>
              <w:right w:val="single" w:sz="4" w:space="0" w:color="000000"/>
            </w:tcBorders>
            <w:vAlign w:val="center"/>
          </w:tcPr>
          <w:p w14:paraId="3A20906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0E50A34D"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46957952"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6F5C090A"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15A7E76C"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2F3BB72D"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Samodostatnost i logistička potpora</w:t>
            </w:r>
          </w:p>
        </w:tc>
        <w:tc>
          <w:tcPr>
            <w:tcW w:w="1493" w:type="dxa"/>
            <w:tcBorders>
              <w:top w:val="single" w:sz="4" w:space="0" w:color="000000"/>
              <w:left w:val="single" w:sz="4" w:space="0" w:color="000000"/>
              <w:bottom w:val="single" w:sz="4" w:space="0" w:color="000000"/>
              <w:right w:val="single" w:sz="4" w:space="0" w:color="000000"/>
            </w:tcBorders>
            <w:vAlign w:val="center"/>
          </w:tcPr>
          <w:p w14:paraId="20EF1450"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0EEB082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9A541EB"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03DECE95"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4E6B079E"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6565E409"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u w:val="single" w:color="000000"/>
              </w:rPr>
              <w:t>Područje reagiranja - ZBIRNO</w:t>
            </w:r>
          </w:p>
        </w:tc>
        <w:tc>
          <w:tcPr>
            <w:tcW w:w="1493" w:type="dxa"/>
            <w:tcBorders>
              <w:top w:val="single" w:sz="4" w:space="0" w:color="000000"/>
              <w:left w:val="single" w:sz="4" w:space="0" w:color="000000"/>
              <w:bottom w:val="single" w:sz="4" w:space="0" w:color="000000"/>
              <w:right w:val="single" w:sz="4" w:space="0" w:color="000000"/>
            </w:tcBorders>
            <w:vAlign w:val="center"/>
          </w:tcPr>
          <w:p w14:paraId="10EA2A41"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0263B232"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45B7CC94"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37302E3F"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35757EDB" w14:textId="77777777" w:rsidTr="00284074">
        <w:tblPrEx>
          <w:tblCellMar>
            <w:top w:w="9" w:type="dxa"/>
          </w:tblCellMar>
        </w:tblPrEx>
        <w:trPr>
          <w:gridAfter w:val="1"/>
          <w:wAfter w:w="6" w:type="dxa"/>
          <w:cantSplit/>
        </w:trPr>
        <w:tc>
          <w:tcPr>
            <w:tcW w:w="8945" w:type="dxa"/>
            <w:gridSpan w:val="5"/>
            <w:tcBorders>
              <w:top w:val="single" w:sz="4" w:space="0" w:color="000000"/>
              <w:left w:val="single" w:sz="4" w:space="0" w:color="000000"/>
              <w:bottom w:val="single" w:sz="4" w:space="0" w:color="000000"/>
              <w:right w:val="single" w:sz="4" w:space="0" w:color="000000"/>
            </w:tcBorders>
            <w:vAlign w:val="center"/>
          </w:tcPr>
          <w:p w14:paraId="7B102557"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PRAVNE OSOBE OD INTERESA ZA SUSTAV CIVILNE ZAŠTITE</w:t>
            </w:r>
          </w:p>
        </w:tc>
      </w:tr>
      <w:tr w:rsidR="00CE4763" w:rsidRPr="00CE4763" w14:paraId="46AC6B99"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779061F6"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popunjenosti ljudstvom</w:t>
            </w:r>
          </w:p>
        </w:tc>
        <w:tc>
          <w:tcPr>
            <w:tcW w:w="1493" w:type="dxa"/>
            <w:tcBorders>
              <w:top w:val="single" w:sz="4" w:space="0" w:color="000000"/>
              <w:left w:val="single" w:sz="4" w:space="0" w:color="000000"/>
              <w:bottom w:val="single" w:sz="4" w:space="0" w:color="000000"/>
              <w:right w:val="single" w:sz="4" w:space="0" w:color="000000"/>
            </w:tcBorders>
            <w:vAlign w:val="center"/>
          </w:tcPr>
          <w:p w14:paraId="790B025D"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3666AE7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1C4098E6"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75367ED3"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1C13A271"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5FA8ABAA"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spremnosti zapovjednog osoblja</w:t>
            </w:r>
          </w:p>
        </w:tc>
        <w:tc>
          <w:tcPr>
            <w:tcW w:w="1493" w:type="dxa"/>
            <w:tcBorders>
              <w:top w:val="single" w:sz="4" w:space="0" w:color="000000"/>
              <w:left w:val="single" w:sz="4" w:space="0" w:color="000000"/>
              <w:bottom w:val="single" w:sz="4" w:space="0" w:color="000000"/>
              <w:right w:val="single" w:sz="4" w:space="0" w:color="000000"/>
            </w:tcBorders>
            <w:vAlign w:val="center"/>
          </w:tcPr>
          <w:p w14:paraId="64CE85DA"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1F1E804"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185EC9E8"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077484B4"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707BE12B"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384B939B"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osposobljenosti ljudstva i zapovjednog osoblja</w:t>
            </w:r>
          </w:p>
        </w:tc>
        <w:tc>
          <w:tcPr>
            <w:tcW w:w="1493" w:type="dxa"/>
            <w:tcBorders>
              <w:top w:val="single" w:sz="4" w:space="0" w:color="000000"/>
              <w:left w:val="single" w:sz="4" w:space="0" w:color="000000"/>
              <w:bottom w:val="single" w:sz="4" w:space="0" w:color="000000"/>
              <w:right w:val="single" w:sz="4" w:space="0" w:color="000000"/>
            </w:tcBorders>
            <w:vAlign w:val="center"/>
          </w:tcPr>
          <w:p w14:paraId="466A70E2"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7C796431"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5805A0B0"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AF26790"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13446E8C"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5B7A1127"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uvježbanosti</w:t>
            </w:r>
          </w:p>
        </w:tc>
        <w:tc>
          <w:tcPr>
            <w:tcW w:w="1493" w:type="dxa"/>
            <w:tcBorders>
              <w:top w:val="single" w:sz="4" w:space="0" w:color="000000"/>
              <w:left w:val="single" w:sz="4" w:space="0" w:color="000000"/>
              <w:bottom w:val="single" w:sz="4" w:space="0" w:color="000000"/>
              <w:right w:val="single" w:sz="4" w:space="0" w:color="000000"/>
            </w:tcBorders>
            <w:vAlign w:val="center"/>
          </w:tcPr>
          <w:p w14:paraId="74F0D99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56D92AB5"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6448577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465057C8"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78966BCF"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4351B100"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Stupanj opremljenosti materijalnim sredstvima i opremom</w:t>
            </w:r>
          </w:p>
        </w:tc>
        <w:tc>
          <w:tcPr>
            <w:tcW w:w="1493" w:type="dxa"/>
            <w:tcBorders>
              <w:top w:val="single" w:sz="4" w:space="0" w:color="000000"/>
              <w:left w:val="single" w:sz="4" w:space="0" w:color="000000"/>
              <w:bottom w:val="single" w:sz="4" w:space="0" w:color="000000"/>
              <w:right w:val="single" w:sz="4" w:space="0" w:color="000000"/>
            </w:tcBorders>
            <w:vAlign w:val="center"/>
          </w:tcPr>
          <w:p w14:paraId="3000130F"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0DE7F9EC"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176B938D"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15084046"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12873324"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3DB2CEBF"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Vremena mobilizacijske spremnosti / operativne gotovosti</w:t>
            </w:r>
          </w:p>
        </w:tc>
        <w:tc>
          <w:tcPr>
            <w:tcW w:w="1493" w:type="dxa"/>
            <w:tcBorders>
              <w:top w:val="single" w:sz="4" w:space="0" w:color="000000"/>
              <w:left w:val="single" w:sz="4" w:space="0" w:color="000000"/>
              <w:bottom w:val="single" w:sz="4" w:space="0" w:color="000000"/>
              <w:right w:val="single" w:sz="4" w:space="0" w:color="000000"/>
            </w:tcBorders>
            <w:vAlign w:val="center"/>
          </w:tcPr>
          <w:p w14:paraId="0FB25A9E"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484B2216"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056772C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6CABB68D"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1D4CF378"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67C19F8D"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Samodostatnost i logistička potpora</w:t>
            </w:r>
          </w:p>
        </w:tc>
        <w:tc>
          <w:tcPr>
            <w:tcW w:w="1493" w:type="dxa"/>
            <w:tcBorders>
              <w:top w:val="single" w:sz="4" w:space="0" w:color="000000"/>
              <w:left w:val="single" w:sz="4" w:space="0" w:color="000000"/>
              <w:bottom w:val="single" w:sz="4" w:space="0" w:color="000000"/>
              <w:right w:val="single" w:sz="4" w:space="0" w:color="000000"/>
            </w:tcBorders>
            <w:vAlign w:val="center"/>
          </w:tcPr>
          <w:p w14:paraId="0A12DC43"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1098A95F"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4BA64960"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4559B3A1"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48118CF3" w14:textId="77777777" w:rsidTr="00284074">
        <w:tblPrEx>
          <w:tblCellMar>
            <w:top w:w="9" w:type="dxa"/>
          </w:tblCellMar>
        </w:tblPrEx>
        <w:trPr>
          <w:gridAfter w:val="1"/>
          <w:wAfter w:w="6" w:type="dxa"/>
          <w:cantSplit/>
        </w:trPr>
        <w:tc>
          <w:tcPr>
            <w:tcW w:w="2976" w:type="dxa"/>
            <w:tcBorders>
              <w:top w:val="single" w:sz="4" w:space="0" w:color="000000"/>
              <w:left w:val="single" w:sz="4" w:space="0" w:color="000000"/>
              <w:bottom w:val="single" w:sz="4" w:space="0" w:color="000000"/>
              <w:right w:val="single" w:sz="4" w:space="0" w:color="000000"/>
            </w:tcBorders>
            <w:vAlign w:val="center"/>
          </w:tcPr>
          <w:p w14:paraId="2C24FD1D"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u w:val="single" w:color="000000"/>
              </w:rPr>
              <w:t>Područje reagiranja - ZBIRNO</w:t>
            </w:r>
          </w:p>
        </w:tc>
        <w:tc>
          <w:tcPr>
            <w:tcW w:w="1493" w:type="dxa"/>
            <w:tcBorders>
              <w:top w:val="single" w:sz="4" w:space="0" w:color="000000"/>
              <w:left w:val="single" w:sz="4" w:space="0" w:color="000000"/>
              <w:bottom w:val="single" w:sz="4" w:space="0" w:color="000000"/>
              <w:right w:val="single" w:sz="4" w:space="0" w:color="000000"/>
            </w:tcBorders>
            <w:vAlign w:val="center"/>
          </w:tcPr>
          <w:p w14:paraId="220F160E"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37CDECBB"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92" w:type="dxa"/>
            <w:tcBorders>
              <w:top w:val="single" w:sz="4" w:space="0" w:color="000000"/>
              <w:left w:val="single" w:sz="4" w:space="0" w:color="000000"/>
              <w:bottom w:val="single" w:sz="4" w:space="0" w:color="000000"/>
              <w:right w:val="single" w:sz="4" w:space="0" w:color="000000"/>
            </w:tcBorders>
            <w:vAlign w:val="center"/>
          </w:tcPr>
          <w:p w14:paraId="71FF8D02"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73D18613" w14:textId="77777777" w:rsidR="00CE4763" w:rsidRPr="00CE4763" w:rsidRDefault="00CE4763" w:rsidP="00CE4763">
            <w:pPr>
              <w:spacing w:after="0" w:line="240" w:lineRule="auto"/>
              <w:ind w:left="0" w:right="0" w:firstLine="0"/>
              <w:jc w:val="center"/>
              <w:rPr>
                <w:rFonts w:ascii="Times New Roman" w:hAnsi="Times New Roman" w:cs="Times New Roman"/>
              </w:rPr>
            </w:pPr>
          </w:p>
        </w:tc>
      </w:tr>
    </w:tbl>
    <w:p w14:paraId="64591E77" w14:textId="77777777" w:rsidR="00CE4763" w:rsidRPr="00CE4763" w:rsidRDefault="00CE4763" w:rsidP="00CE4763">
      <w:pPr>
        <w:spacing w:after="0" w:line="240" w:lineRule="auto"/>
        <w:ind w:right="0"/>
        <w:rPr>
          <w:rFonts w:ascii="Times New Roman" w:hAnsi="Times New Roman" w:cs="Times New Roman"/>
          <w:sz w:val="24"/>
        </w:rPr>
      </w:pPr>
      <w:bookmarkStart w:id="144" w:name="_Toc2938647"/>
    </w:p>
    <w:p w14:paraId="49F2B36A" w14:textId="78348F05" w:rsidR="00CE4763" w:rsidRDefault="00CE4763" w:rsidP="00CE4763">
      <w:pPr>
        <w:spacing w:after="0" w:line="240" w:lineRule="auto"/>
        <w:ind w:left="0" w:right="0" w:firstLine="709"/>
        <w:rPr>
          <w:rFonts w:ascii="Times New Roman" w:hAnsi="Times New Roman" w:cs="Times New Roman"/>
          <w:b/>
          <w:sz w:val="24"/>
        </w:rPr>
      </w:pPr>
      <w:r w:rsidRPr="00CE4763">
        <w:rPr>
          <w:rFonts w:ascii="Times New Roman" w:hAnsi="Times New Roman" w:cs="Times New Roman"/>
          <w:b/>
          <w:sz w:val="24"/>
        </w:rPr>
        <w:t xml:space="preserve">8.2.1. ANALIZA SUSTAVA CIVILNE ZAŠTITE - PODRUČJE REAGIRANJA </w:t>
      </w:r>
      <w:r w:rsidR="007872F3">
        <w:rPr>
          <w:rFonts w:ascii="Times New Roman" w:hAnsi="Times New Roman" w:cs="Times New Roman"/>
          <w:b/>
          <w:sz w:val="24"/>
        </w:rPr>
        <w:t>–</w:t>
      </w:r>
      <w:r w:rsidRPr="00CE4763">
        <w:rPr>
          <w:rFonts w:ascii="Times New Roman" w:hAnsi="Times New Roman" w:cs="Times New Roman"/>
          <w:b/>
          <w:sz w:val="24"/>
        </w:rPr>
        <w:t xml:space="preserve"> POTRES</w:t>
      </w:r>
      <w:bookmarkEnd w:id="144"/>
    </w:p>
    <w:p w14:paraId="577F8D88" w14:textId="77777777" w:rsidR="007872F3" w:rsidRPr="00CE4763" w:rsidRDefault="007872F3" w:rsidP="00CE4763">
      <w:pPr>
        <w:spacing w:after="0" w:line="240" w:lineRule="auto"/>
        <w:ind w:left="0" w:right="0" w:firstLine="709"/>
        <w:rPr>
          <w:rFonts w:ascii="Times New Roman" w:hAnsi="Times New Roman" w:cs="Times New Roman"/>
          <w:b/>
          <w:sz w:val="24"/>
        </w:rPr>
      </w:pPr>
    </w:p>
    <w:p w14:paraId="7ED9D0D5"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Analiza sustava civilne zaštite u području reagiranja temelji se na najgorem scenariju koji je obrađen u Poglavlju 6.1. Procjene rizika (potres jačine IX</w:t>
      </w:r>
      <w:r w:rsidRPr="00CE4763">
        <w:rPr>
          <w:rFonts w:ascii="Times New Roman" w:hAnsi="Times New Roman" w:cs="Times New Roman"/>
          <w:sz w:val="24"/>
          <w:vertAlign w:val="superscript"/>
        </w:rPr>
        <w:t>o</w:t>
      </w:r>
      <w:r w:rsidRPr="00CE4763">
        <w:rPr>
          <w:rFonts w:ascii="Times New Roman" w:hAnsi="Times New Roman" w:cs="Times New Roman"/>
          <w:sz w:val="24"/>
        </w:rPr>
        <w:t xml:space="preserve"> MCS ljestvice) vrlo male vjerojatnosti pojavljivanja.</w:t>
      </w:r>
    </w:p>
    <w:p w14:paraId="052D67BB"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i/>
          <w:sz w:val="24"/>
        </w:rPr>
        <w:lastRenderedPageBreak/>
        <w:t>Vrlo niska spremnost</w:t>
      </w:r>
      <w:r w:rsidRPr="00CE4763">
        <w:rPr>
          <w:rFonts w:ascii="Times New Roman" w:hAnsi="Times New Roman" w:cs="Times New Roman"/>
          <w:sz w:val="24"/>
        </w:rPr>
        <w:t xml:space="preserve"> podrazumijeva da postojeći kapaciteti nisu dostatni pa je potrebno odmah tražiti pomoć izvan zone pogođenog područja (druge županije/gradovi odnosno međunarodnu pomoć). </w:t>
      </w:r>
      <w:r w:rsidRPr="00CE4763">
        <w:rPr>
          <w:rFonts w:ascii="Times New Roman" w:hAnsi="Times New Roman" w:cs="Times New Roman"/>
          <w:i/>
          <w:sz w:val="24"/>
        </w:rPr>
        <w:t>Niska spremnost</w:t>
      </w:r>
      <w:r w:rsidRPr="00CE4763">
        <w:rPr>
          <w:rFonts w:ascii="Times New Roman" w:hAnsi="Times New Roman" w:cs="Times New Roman"/>
          <w:sz w:val="24"/>
        </w:rPr>
        <w:t xml:space="preserve"> odnosi se na sposobnost djelomičnog obavljanja zadaća uz velike poteškoće (nedovoljno ljudi i opreme) pa je potrebno računati na pomoć izvan zone pogođenog područja (druge županije/gradovi odnosno međunarodnu pomoć). </w:t>
      </w:r>
      <w:r w:rsidRPr="00CE4763">
        <w:rPr>
          <w:rFonts w:ascii="Times New Roman" w:hAnsi="Times New Roman" w:cs="Times New Roman"/>
          <w:i/>
          <w:sz w:val="24"/>
        </w:rPr>
        <w:t>Visoka spremnost</w:t>
      </w:r>
      <w:r w:rsidRPr="00CE4763">
        <w:rPr>
          <w:rFonts w:ascii="Times New Roman" w:hAnsi="Times New Roman" w:cs="Times New Roman"/>
          <w:sz w:val="24"/>
        </w:rPr>
        <w:t xml:space="preserve"> podrazumijeva optimalnu reakciju uz određene manje teškoće prilikom planiranja zamjene snaga, ali visoku razinu samodostatnosti u obavljanju zadaće civilne zaštite. </w:t>
      </w:r>
      <w:r w:rsidRPr="00CE4763">
        <w:rPr>
          <w:rFonts w:ascii="Times New Roman" w:hAnsi="Times New Roman" w:cs="Times New Roman"/>
          <w:i/>
          <w:sz w:val="24"/>
        </w:rPr>
        <w:t>Vrlo visoka spremnost</w:t>
      </w:r>
      <w:r w:rsidRPr="00CE4763">
        <w:rPr>
          <w:rFonts w:ascii="Times New Roman" w:hAnsi="Times New Roman" w:cs="Times New Roman"/>
          <w:sz w:val="24"/>
        </w:rPr>
        <w:t xml:space="preserve"> podrazumijeva potpunu samodostatnost i u planiranju zamjenskih snaga odnosno mogućnost redovitog i pravodobnog obavljanja svih zadaća.</w:t>
      </w:r>
    </w:p>
    <w:p w14:paraId="39F11739"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Potrebno je naglasiti da razoran potres jačine IX</w:t>
      </w:r>
      <w:r w:rsidRPr="00CE4763">
        <w:rPr>
          <w:rFonts w:ascii="Times New Roman" w:hAnsi="Times New Roman" w:cs="Times New Roman"/>
          <w:sz w:val="24"/>
          <w:vertAlign w:val="superscript"/>
        </w:rPr>
        <w:t>o</w:t>
      </w:r>
      <w:r w:rsidRPr="00CE4763">
        <w:rPr>
          <w:rFonts w:ascii="Times New Roman" w:hAnsi="Times New Roman" w:cs="Times New Roman"/>
          <w:sz w:val="24"/>
        </w:rPr>
        <w:t xml:space="preserve"> MCS ljestvice uzrokuje rušenje više od 50 % zgrada u zoni razornosti. Osim toga, čak i unatoč brojnosti i profesionalnosti ustrojenih snaga civilne zaštite u takvim situacijama javlja se ljudska vrlo razumljiva reakcija da se prvo ide pomagati bližnjima u nevolji, a tek zatim se pristupa organiziranom spašavanju drugih. Jednako tako, određeni broj pripadnika snaga civilne zaštite pa i pripadnika profesionalnih snaga vatrogastva i policije će zbog navedenog događaja i rušenja objekata smrtno stradati ili biti ozlijeđen pa se na njih neće moći računati. Zbog potresa bit će uništena i oprema od interesa za civilnu zaštitu kao i objekti kritične infrastrukture što dodatno umanjuje operativne sposobnosti nakon događaja.</w:t>
      </w:r>
    </w:p>
    <w:p w14:paraId="7114B893"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Zbog svega navedenoga, razoran potres od IX</w:t>
      </w:r>
      <w:r w:rsidRPr="00CE4763">
        <w:rPr>
          <w:rFonts w:ascii="Times New Roman" w:hAnsi="Times New Roman" w:cs="Times New Roman"/>
          <w:sz w:val="24"/>
          <w:vertAlign w:val="superscript"/>
        </w:rPr>
        <w:t>o</w:t>
      </w:r>
      <w:r w:rsidRPr="00CE4763">
        <w:rPr>
          <w:rFonts w:ascii="Times New Roman" w:hAnsi="Times New Roman" w:cs="Times New Roman"/>
          <w:sz w:val="24"/>
        </w:rPr>
        <w:t xml:space="preserve"> MCS ljestvice prijetnja je zbog koje se i u slučaju najbolje pripremljenosti i opremljenosti </w:t>
      </w:r>
      <w:r w:rsidRPr="00CE4763">
        <w:rPr>
          <w:rFonts w:ascii="Times New Roman" w:hAnsi="Times New Roman" w:cs="Times New Roman"/>
          <w:color w:val="auto"/>
          <w:sz w:val="24"/>
        </w:rPr>
        <w:t xml:space="preserve">lokalnih snaga zaštite i spašavanja treba </w:t>
      </w:r>
      <w:r w:rsidRPr="00CE4763">
        <w:rPr>
          <w:rFonts w:ascii="Times New Roman" w:hAnsi="Times New Roman" w:cs="Times New Roman"/>
          <w:sz w:val="24"/>
        </w:rPr>
        <w:t xml:space="preserve">tražiti pomoć iz susjednih gradova i županija odnosno tražiti međunarodnu pomoć. Potrebno je naglasiti da se radi o događaju izrazito </w:t>
      </w:r>
      <w:r w:rsidRPr="00CE4763">
        <w:rPr>
          <w:rFonts w:ascii="Times New Roman" w:hAnsi="Times New Roman" w:cs="Times New Roman"/>
          <w:sz w:val="24"/>
          <w:u w:val="single" w:color="000000"/>
        </w:rPr>
        <w:t>male vjerojatnosti</w:t>
      </w:r>
      <w:r w:rsidRPr="00CE4763">
        <w:rPr>
          <w:rFonts w:ascii="Times New Roman" w:hAnsi="Times New Roman" w:cs="Times New Roman"/>
          <w:sz w:val="24"/>
        </w:rPr>
        <w:t xml:space="preserve"> pojavljivanja. </w:t>
      </w:r>
    </w:p>
    <w:p w14:paraId="42F9DB8F" w14:textId="77777777" w:rsidR="00CE4763" w:rsidRPr="00CE4763" w:rsidRDefault="00CE4763" w:rsidP="00CE4763">
      <w:pPr>
        <w:spacing w:after="0" w:line="240" w:lineRule="auto"/>
        <w:ind w:left="0" w:right="0" w:firstLine="0"/>
        <w:rPr>
          <w:rFonts w:ascii="Times New Roman" w:hAnsi="Times New Roman" w:cs="Times New Roman"/>
          <w:sz w:val="24"/>
        </w:rPr>
      </w:pPr>
    </w:p>
    <w:p w14:paraId="0668D60B" w14:textId="661E749C" w:rsidR="00CE4763" w:rsidRPr="00CE4763" w:rsidRDefault="00CE4763" w:rsidP="007872F3">
      <w:pPr>
        <w:spacing w:line="240" w:lineRule="auto"/>
        <w:ind w:left="0" w:right="0" w:firstLine="0"/>
        <w:jc w:val="center"/>
        <w:rPr>
          <w:rFonts w:ascii="Times New Roman" w:hAnsi="Times New Roman" w:cs="Times New Roman"/>
          <w:b/>
          <w:sz w:val="24"/>
        </w:rPr>
      </w:pPr>
      <w:r w:rsidRPr="00640F07">
        <w:rPr>
          <w:rFonts w:ascii="Times New Roman" w:hAnsi="Times New Roman" w:cs="Times New Roman"/>
          <w:b/>
          <w:color w:val="auto"/>
          <w:sz w:val="24"/>
        </w:rPr>
        <w:t xml:space="preserve">Tablica </w:t>
      </w:r>
      <w:r w:rsidR="00640F07" w:rsidRPr="00640F07">
        <w:rPr>
          <w:rFonts w:ascii="Times New Roman" w:hAnsi="Times New Roman" w:cs="Times New Roman"/>
          <w:b/>
          <w:color w:val="auto"/>
          <w:sz w:val="24"/>
        </w:rPr>
        <w:t>138</w:t>
      </w:r>
      <w:r w:rsidRPr="00640F07">
        <w:rPr>
          <w:rFonts w:ascii="Times New Roman" w:hAnsi="Times New Roman" w:cs="Times New Roman"/>
          <w:b/>
          <w:color w:val="auto"/>
          <w:sz w:val="24"/>
        </w:rPr>
        <w:t>. Mjere civilne zaštite u slučaju potresa jačine IX</w:t>
      </w:r>
      <w:r w:rsidRPr="00640F07">
        <w:rPr>
          <w:rFonts w:ascii="Times New Roman" w:hAnsi="Times New Roman" w:cs="Times New Roman"/>
          <w:b/>
          <w:color w:val="auto"/>
          <w:sz w:val="24"/>
          <w:vertAlign w:val="superscript"/>
        </w:rPr>
        <w:t>o</w:t>
      </w:r>
      <w:r w:rsidRPr="00640F07">
        <w:rPr>
          <w:rFonts w:ascii="Times New Roman" w:hAnsi="Times New Roman" w:cs="Times New Roman"/>
          <w:b/>
          <w:color w:val="auto"/>
          <w:sz w:val="24"/>
        </w:rPr>
        <w:t xml:space="preserve"> MCS ljestvice i razine </w:t>
      </w:r>
      <w:r w:rsidRPr="00CE4763">
        <w:rPr>
          <w:rFonts w:ascii="Times New Roman" w:hAnsi="Times New Roman" w:cs="Times New Roman"/>
          <w:b/>
          <w:sz w:val="24"/>
        </w:rPr>
        <w:t>spremnosti</w:t>
      </w:r>
    </w:p>
    <w:tbl>
      <w:tblPr>
        <w:tblStyle w:val="TableGrid"/>
        <w:tblW w:w="9029" w:type="dxa"/>
        <w:tblInd w:w="37" w:type="dxa"/>
        <w:tblLayout w:type="fixed"/>
        <w:tblCellMar>
          <w:top w:w="87" w:type="dxa"/>
          <w:left w:w="57" w:type="dxa"/>
          <w:right w:w="57" w:type="dxa"/>
        </w:tblCellMar>
        <w:tblLook w:val="04A0" w:firstRow="1" w:lastRow="0" w:firstColumn="1" w:lastColumn="0" w:noHBand="0" w:noVBand="1"/>
      </w:tblPr>
      <w:tblGrid>
        <w:gridCol w:w="2256"/>
        <w:gridCol w:w="1129"/>
        <w:gridCol w:w="1129"/>
        <w:gridCol w:w="1129"/>
        <w:gridCol w:w="1129"/>
        <w:gridCol w:w="2257"/>
      </w:tblGrid>
      <w:tr w:rsidR="00CE4763" w:rsidRPr="00CE4763" w14:paraId="5079FC48" w14:textId="77777777" w:rsidTr="007872F3">
        <w:trPr>
          <w:cantSplit/>
          <w:tblHeader/>
        </w:trPr>
        <w:tc>
          <w:tcPr>
            <w:tcW w:w="2256" w:type="dxa"/>
            <w:vMerge w:val="restart"/>
            <w:tcBorders>
              <w:top w:val="single" w:sz="4" w:space="0" w:color="000000"/>
              <w:left w:val="single" w:sz="4" w:space="0" w:color="000000"/>
              <w:bottom w:val="single" w:sz="4" w:space="0" w:color="000000"/>
              <w:right w:val="single" w:sz="4" w:space="0" w:color="000000"/>
            </w:tcBorders>
            <w:vAlign w:val="center"/>
          </w:tcPr>
          <w:p w14:paraId="28AE3092"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MJERE CIVILNE ZAŠTITE U SLUČAJU POTRESA JAČINE IX</w:t>
            </w:r>
            <w:r w:rsidRPr="00CE4763">
              <w:rPr>
                <w:rFonts w:ascii="Times New Roman" w:hAnsi="Times New Roman" w:cs="Times New Roman"/>
                <w:b/>
                <w:sz w:val="24"/>
              </w:rPr>
              <w:t>º</w:t>
            </w:r>
            <w:r w:rsidRPr="00CE4763">
              <w:rPr>
                <w:rFonts w:ascii="Times New Roman" w:hAnsi="Times New Roman" w:cs="Times New Roman"/>
                <w:b/>
                <w:vertAlign w:val="superscript"/>
              </w:rPr>
              <w:t xml:space="preserve"> </w:t>
            </w:r>
            <w:r w:rsidRPr="00CE4763">
              <w:rPr>
                <w:rFonts w:ascii="Times New Roman" w:hAnsi="Times New Roman" w:cs="Times New Roman"/>
                <w:b/>
              </w:rPr>
              <w:t>MCS LJESTVICE</w:t>
            </w:r>
          </w:p>
        </w:tc>
        <w:tc>
          <w:tcPr>
            <w:tcW w:w="1129"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3D8A1B98"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Vrlo niska spremnost</w:t>
            </w:r>
          </w:p>
        </w:tc>
        <w:tc>
          <w:tcPr>
            <w:tcW w:w="112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65165CA"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Niska spremnost</w:t>
            </w:r>
          </w:p>
        </w:tc>
        <w:tc>
          <w:tcPr>
            <w:tcW w:w="1129"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BBAF2D7"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Visoka spremnost</w:t>
            </w:r>
          </w:p>
        </w:tc>
        <w:tc>
          <w:tcPr>
            <w:tcW w:w="1129"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3E02F0B5"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color w:val="FFFFFF"/>
              </w:rPr>
              <w:t>Vrlo visoka spremnost</w:t>
            </w:r>
          </w:p>
        </w:tc>
        <w:tc>
          <w:tcPr>
            <w:tcW w:w="2257" w:type="dxa"/>
            <w:tcBorders>
              <w:top w:val="single" w:sz="4" w:space="0" w:color="000000"/>
              <w:left w:val="single" w:sz="4" w:space="0" w:color="000000"/>
              <w:bottom w:val="single" w:sz="4" w:space="0" w:color="000000"/>
              <w:right w:val="single" w:sz="4" w:space="0" w:color="000000"/>
            </w:tcBorders>
            <w:vAlign w:val="center"/>
          </w:tcPr>
          <w:p w14:paraId="11D917FD"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NAPOMENA</w:t>
            </w:r>
          </w:p>
        </w:tc>
      </w:tr>
      <w:tr w:rsidR="00CE4763" w:rsidRPr="00CE4763" w14:paraId="69E811E5" w14:textId="77777777" w:rsidTr="007872F3">
        <w:trPr>
          <w:cantSplit/>
          <w:tblHeader/>
        </w:trPr>
        <w:tc>
          <w:tcPr>
            <w:tcW w:w="2256" w:type="dxa"/>
            <w:vMerge/>
            <w:tcBorders>
              <w:top w:val="nil"/>
              <w:left w:val="single" w:sz="4" w:space="0" w:color="000000"/>
              <w:bottom w:val="single" w:sz="4" w:space="0" w:color="000000"/>
              <w:right w:val="single" w:sz="4" w:space="0" w:color="000000"/>
            </w:tcBorders>
            <w:vAlign w:val="center"/>
          </w:tcPr>
          <w:p w14:paraId="72D038E9" w14:textId="77777777" w:rsidR="00CE4763" w:rsidRPr="00CE4763" w:rsidRDefault="00CE4763" w:rsidP="00CE4763">
            <w:pPr>
              <w:spacing w:after="0" w:line="240" w:lineRule="auto"/>
              <w:ind w:left="0" w:right="0" w:firstLine="0"/>
              <w:jc w:val="left"/>
              <w:rPr>
                <w:rFonts w:ascii="Times New Roman" w:hAnsi="Times New Roman" w:cs="Times New Roman"/>
              </w:rPr>
            </w:pPr>
          </w:p>
        </w:tc>
        <w:tc>
          <w:tcPr>
            <w:tcW w:w="1129" w:type="dxa"/>
            <w:tcBorders>
              <w:top w:val="single" w:sz="4" w:space="0" w:color="000000"/>
              <w:left w:val="single" w:sz="4" w:space="0" w:color="000000"/>
              <w:bottom w:val="single" w:sz="4" w:space="0" w:color="000000"/>
              <w:right w:val="single" w:sz="4" w:space="0" w:color="000000"/>
            </w:tcBorders>
            <w:vAlign w:val="center"/>
          </w:tcPr>
          <w:p w14:paraId="39242BEB"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4</w:t>
            </w:r>
          </w:p>
        </w:tc>
        <w:tc>
          <w:tcPr>
            <w:tcW w:w="1129" w:type="dxa"/>
            <w:tcBorders>
              <w:top w:val="single" w:sz="4" w:space="0" w:color="000000"/>
              <w:left w:val="single" w:sz="4" w:space="0" w:color="000000"/>
              <w:bottom w:val="single" w:sz="4" w:space="0" w:color="000000"/>
              <w:right w:val="single" w:sz="4" w:space="0" w:color="000000"/>
            </w:tcBorders>
            <w:vAlign w:val="center"/>
          </w:tcPr>
          <w:p w14:paraId="3BB5B827"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3</w:t>
            </w:r>
          </w:p>
        </w:tc>
        <w:tc>
          <w:tcPr>
            <w:tcW w:w="1129" w:type="dxa"/>
            <w:tcBorders>
              <w:top w:val="single" w:sz="4" w:space="0" w:color="000000"/>
              <w:left w:val="single" w:sz="4" w:space="0" w:color="000000"/>
              <w:bottom w:val="single" w:sz="4" w:space="0" w:color="000000"/>
              <w:right w:val="single" w:sz="4" w:space="0" w:color="000000"/>
            </w:tcBorders>
            <w:vAlign w:val="center"/>
          </w:tcPr>
          <w:p w14:paraId="45668B95"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2</w:t>
            </w:r>
          </w:p>
        </w:tc>
        <w:tc>
          <w:tcPr>
            <w:tcW w:w="1129" w:type="dxa"/>
            <w:tcBorders>
              <w:top w:val="single" w:sz="4" w:space="0" w:color="000000"/>
              <w:left w:val="single" w:sz="4" w:space="0" w:color="000000"/>
              <w:bottom w:val="single" w:sz="4" w:space="0" w:color="000000"/>
              <w:right w:val="single" w:sz="4" w:space="0" w:color="000000"/>
            </w:tcBorders>
            <w:vAlign w:val="center"/>
          </w:tcPr>
          <w:p w14:paraId="0A059DB0"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1</w:t>
            </w:r>
          </w:p>
        </w:tc>
        <w:tc>
          <w:tcPr>
            <w:tcW w:w="2257" w:type="dxa"/>
            <w:tcBorders>
              <w:top w:val="single" w:sz="4" w:space="0" w:color="000000"/>
              <w:left w:val="single" w:sz="4" w:space="0" w:color="000000"/>
              <w:bottom w:val="single" w:sz="4" w:space="0" w:color="000000"/>
              <w:right w:val="single" w:sz="4" w:space="0" w:color="000000"/>
            </w:tcBorders>
            <w:vAlign w:val="center"/>
          </w:tcPr>
          <w:p w14:paraId="147F1227"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3F1818C9" w14:textId="77777777" w:rsidTr="007872F3">
        <w:trPr>
          <w:cantSplit/>
        </w:trPr>
        <w:tc>
          <w:tcPr>
            <w:tcW w:w="2256" w:type="dxa"/>
            <w:tcBorders>
              <w:top w:val="single" w:sz="4" w:space="0" w:color="000000"/>
              <w:left w:val="single" w:sz="4" w:space="0" w:color="000000"/>
              <w:bottom w:val="single" w:sz="4" w:space="0" w:color="000000"/>
              <w:right w:val="single" w:sz="4" w:space="0" w:color="000000"/>
            </w:tcBorders>
            <w:vAlign w:val="center"/>
          </w:tcPr>
          <w:p w14:paraId="07037315"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Organizacija raščišćavanja ruševina i spašavanja zatrpanih</w:t>
            </w:r>
          </w:p>
        </w:tc>
        <w:tc>
          <w:tcPr>
            <w:tcW w:w="1129" w:type="dxa"/>
            <w:tcBorders>
              <w:top w:val="single" w:sz="4" w:space="0" w:color="000000"/>
              <w:left w:val="single" w:sz="4" w:space="0" w:color="000000"/>
              <w:bottom w:val="single" w:sz="4" w:space="0" w:color="000000"/>
              <w:right w:val="single" w:sz="4" w:space="0" w:color="000000"/>
            </w:tcBorders>
            <w:vAlign w:val="center"/>
          </w:tcPr>
          <w:p w14:paraId="2A62ADE5"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129" w:type="dxa"/>
            <w:tcBorders>
              <w:top w:val="single" w:sz="4" w:space="0" w:color="000000"/>
              <w:left w:val="single" w:sz="4" w:space="0" w:color="000000"/>
              <w:bottom w:val="single" w:sz="4" w:space="0" w:color="000000"/>
              <w:right w:val="single" w:sz="4" w:space="0" w:color="000000"/>
            </w:tcBorders>
            <w:vAlign w:val="center"/>
          </w:tcPr>
          <w:p w14:paraId="26B5E5B0"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129" w:type="dxa"/>
            <w:tcBorders>
              <w:top w:val="single" w:sz="4" w:space="0" w:color="000000"/>
              <w:left w:val="single" w:sz="4" w:space="0" w:color="000000"/>
              <w:bottom w:val="single" w:sz="4" w:space="0" w:color="000000"/>
              <w:right w:val="single" w:sz="4" w:space="0" w:color="000000"/>
            </w:tcBorders>
            <w:vAlign w:val="center"/>
          </w:tcPr>
          <w:p w14:paraId="2B394CF5"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129" w:type="dxa"/>
            <w:tcBorders>
              <w:top w:val="single" w:sz="4" w:space="0" w:color="000000"/>
              <w:left w:val="single" w:sz="4" w:space="0" w:color="000000"/>
              <w:bottom w:val="single" w:sz="4" w:space="0" w:color="000000"/>
              <w:right w:val="single" w:sz="4" w:space="0" w:color="000000"/>
            </w:tcBorders>
            <w:vAlign w:val="center"/>
          </w:tcPr>
          <w:p w14:paraId="504A1970"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2257" w:type="dxa"/>
            <w:tcBorders>
              <w:top w:val="single" w:sz="4" w:space="0" w:color="000000"/>
              <w:left w:val="single" w:sz="4" w:space="0" w:color="000000"/>
              <w:bottom w:val="single" w:sz="4" w:space="0" w:color="000000"/>
              <w:right w:val="single" w:sz="4" w:space="0" w:color="000000"/>
            </w:tcBorders>
            <w:vAlign w:val="center"/>
          </w:tcPr>
          <w:p w14:paraId="45BEADA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Unatoč vrlo dobroj organiziranosti i opremljenosti specijalističkih postrojbi CZ za spašavanje iz ruševina zbog velikog broja zatrpanih osoba i srušenih objekata bit će potrebno zatražiti međunarodnu pomoć</w:t>
            </w:r>
          </w:p>
        </w:tc>
      </w:tr>
      <w:tr w:rsidR="00CE4763" w:rsidRPr="00CE4763" w14:paraId="4CDE9B03" w14:textId="77777777" w:rsidTr="007872F3">
        <w:trPr>
          <w:cantSplit/>
        </w:trPr>
        <w:tc>
          <w:tcPr>
            <w:tcW w:w="2256" w:type="dxa"/>
            <w:tcBorders>
              <w:top w:val="single" w:sz="4" w:space="0" w:color="000000"/>
              <w:left w:val="single" w:sz="4" w:space="0" w:color="000000"/>
              <w:bottom w:val="single" w:sz="4" w:space="0" w:color="000000"/>
              <w:right w:val="single" w:sz="4" w:space="0" w:color="000000"/>
            </w:tcBorders>
            <w:vAlign w:val="center"/>
          </w:tcPr>
          <w:p w14:paraId="1A7BB74E"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Organizacija gašenja požara</w:t>
            </w:r>
          </w:p>
        </w:tc>
        <w:tc>
          <w:tcPr>
            <w:tcW w:w="1129" w:type="dxa"/>
            <w:tcBorders>
              <w:top w:val="single" w:sz="4" w:space="0" w:color="000000"/>
              <w:left w:val="single" w:sz="4" w:space="0" w:color="000000"/>
              <w:bottom w:val="single" w:sz="4" w:space="0" w:color="000000"/>
              <w:right w:val="single" w:sz="4" w:space="0" w:color="000000"/>
            </w:tcBorders>
            <w:vAlign w:val="center"/>
          </w:tcPr>
          <w:p w14:paraId="1733EE79"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129" w:type="dxa"/>
            <w:tcBorders>
              <w:top w:val="single" w:sz="4" w:space="0" w:color="000000"/>
              <w:left w:val="single" w:sz="4" w:space="0" w:color="000000"/>
              <w:bottom w:val="single" w:sz="4" w:space="0" w:color="000000"/>
              <w:right w:val="single" w:sz="4" w:space="0" w:color="000000"/>
            </w:tcBorders>
            <w:vAlign w:val="center"/>
          </w:tcPr>
          <w:p w14:paraId="3E506835"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129" w:type="dxa"/>
            <w:tcBorders>
              <w:top w:val="single" w:sz="4" w:space="0" w:color="000000"/>
              <w:left w:val="single" w:sz="4" w:space="0" w:color="000000"/>
              <w:bottom w:val="single" w:sz="4" w:space="0" w:color="000000"/>
              <w:right w:val="single" w:sz="4" w:space="0" w:color="000000"/>
            </w:tcBorders>
            <w:vAlign w:val="center"/>
          </w:tcPr>
          <w:p w14:paraId="2DBA8156"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129" w:type="dxa"/>
            <w:tcBorders>
              <w:top w:val="single" w:sz="4" w:space="0" w:color="000000"/>
              <w:left w:val="single" w:sz="4" w:space="0" w:color="000000"/>
              <w:bottom w:val="single" w:sz="4" w:space="0" w:color="000000"/>
              <w:right w:val="single" w:sz="4" w:space="0" w:color="000000"/>
            </w:tcBorders>
            <w:vAlign w:val="center"/>
          </w:tcPr>
          <w:p w14:paraId="6700900A"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2257" w:type="dxa"/>
            <w:tcBorders>
              <w:top w:val="single" w:sz="4" w:space="0" w:color="000000"/>
              <w:left w:val="single" w:sz="4" w:space="0" w:color="000000"/>
              <w:bottom w:val="single" w:sz="4" w:space="0" w:color="000000"/>
              <w:right w:val="single" w:sz="4" w:space="0" w:color="000000"/>
            </w:tcBorders>
            <w:vAlign w:val="center"/>
          </w:tcPr>
          <w:p w14:paraId="1BA2BAA2"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Zbog brojnosti vatrogasnih snaga i DVD</w:t>
            </w:r>
            <w:r w:rsidRPr="00CE4763">
              <w:rPr>
                <w:rFonts w:ascii="Times New Roman" w:hAnsi="Times New Roman" w:cs="Times New Roman"/>
              </w:rPr>
              <w:noBreakHyphen/>
              <w:t>ova iz rubnih gradskih dijelova koji će manje stradati u potresu, smatra se da će uz određene poteškoće zadaće gašenja požara biti uspješno obavljene</w:t>
            </w:r>
          </w:p>
        </w:tc>
      </w:tr>
      <w:tr w:rsidR="00CE4763" w:rsidRPr="00CE4763" w14:paraId="6B800139" w14:textId="77777777" w:rsidTr="007872F3">
        <w:trPr>
          <w:cantSplit/>
        </w:trPr>
        <w:tc>
          <w:tcPr>
            <w:tcW w:w="2256" w:type="dxa"/>
            <w:tcBorders>
              <w:top w:val="single" w:sz="4" w:space="0" w:color="000000"/>
              <w:left w:val="single" w:sz="4" w:space="0" w:color="000000"/>
              <w:bottom w:val="single" w:sz="4" w:space="0" w:color="000000"/>
              <w:right w:val="single" w:sz="4" w:space="0" w:color="000000"/>
            </w:tcBorders>
            <w:vAlign w:val="center"/>
          </w:tcPr>
          <w:p w14:paraId="12EDAAD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lastRenderedPageBreak/>
              <w:t>Organizacija regulacije prometa i osiguranje tijekom intervencija</w:t>
            </w:r>
          </w:p>
        </w:tc>
        <w:tc>
          <w:tcPr>
            <w:tcW w:w="1129" w:type="dxa"/>
            <w:tcBorders>
              <w:top w:val="single" w:sz="4" w:space="0" w:color="000000"/>
              <w:left w:val="single" w:sz="4" w:space="0" w:color="000000"/>
              <w:bottom w:val="single" w:sz="4" w:space="0" w:color="000000"/>
              <w:right w:val="single" w:sz="4" w:space="0" w:color="000000"/>
            </w:tcBorders>
            <w:vAlign w:val="center"/>
          </w:tcPr>
          <w:p w14:paraId="42BFD166"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129" w:type="dxa"/>
            <w:tcBorders>
              <w:top w:val="single" w:sz="4" w:space="0" w:color="000000"/>
              <w:left w:val="single" w:sz="4" w:space="0" w:color="000000"/>
              <w:bottom w:val="single" w:sz="4" w:space="0" w:color="000000"/>
              <w:right w:val="single" w:sz="4" w:space="0" w:color="000000"/>
            </w:tcBorders>
            <w:vAlign w:val="center"/>
          </w:tcPr>
          <w:p w14:paraId="53D100FB"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129" w:type="dxa"/>
            <w:tcBorders>
              <w:top w:val="single" w:sz="4" w:space="0" w:color="000000"/>
              <w:left w:val="single" w:sz="4" w:space="0" w:color="000000"/>
              <w:bottom w:val="single" w:sz="4" w:space="0" w:color="000000"/>
              <w:right w:val="single" w:sz="4" w:space="0" w:color="000000"/>
            </w:tcBorders>
            <w:vAlign w:val="center"/>
          </w:tcPr>
          <w:p w14:paraId="141F8F9A"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129" w:type="dxa"/>
            <w:tcBorders>
              <w:top w:val="single" w:sz="4" w:space="0" w:color="000000"/>
              <w:left w:val="single" w:sz="4" w:space="0" w:color="000000"/>
              <w:bottom w:val="single" w:sz="4" w:space="0" w:color="000000"/>
              <w:right w:val="single" w:sz="4" w:space="0" w:color="000000"/>
            </w:tcBorders>
            <w:vAlign w:val="center"/>
          </w:tcPr>
          <w:p w14:paraId="19D4C86F"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2257" w:type="dxa"/>
            <w:tcBorders>
              <w:top w:val="single" w:sz="4" w:space="0" w:color="000000"/>
              <w:left w:val="single" w:sz="4" w:space="0" w:color="000000"/>
              <w:bottom w:val="single" w:sz="4" w:space="0" w:color="000000"/>
              <w:right w:val="single" w:sz="4" w:space="0" w:color="000000"/>
            </w:tcBorders>
            <w:vAlign w:val="center"/>
          </w:tcPr>
          <w:p w14:paraId="131A1ABA"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Bit će potrebne dodatne policijske snage iz drugih PU</w:t>
            </w:r>
          </w:p>
        </w:tc>
      </w:tr>
      <w:tr w:rsidR="00CE4763" w:rsidRPr="00CE4763" w14:paraId="73461B4A" w14:textId="77777777" w:rsidTr="007872F3">
        <w:trPr>
          <w:cantSplit/>
        </w:trPr>
        <w:tc>
          <w:tcPr>
            <w:tcW w:w="2256" w:type="dxa"/>
            <w:tcBorders>
              <w:top w:val="single" w:sz="4" w:space="0" w:color="000000"/>
              <w:left w:val="single" w:sz="4" w:space="0" w:color="000000"/>
              <w:bottom w:val="single" w:sz="4" w:space="0" w:color="000000"/>
              <w:right w:val="single" w:sz="4" w:space="0" w:color="000000"/>
            </w:tcBorders>
            <w:vAlign w:val="center"/>
          </w:tcPr>
          <w:p w14:paraId="28BBD5A1"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Definiranje lokacija za odlaganje materijala, evakuacijskih koridora i zona za prihvat stanovništva te provođenje evakuacije</w:t>
            </w:r>
          </w:p>
        </w:tc>
        <w:tc>
          <w:tcPr>
            <w:tcW w:w="1129" w:type="dxa"/>
            <w:tcBorders>
              <w:top w:val="single" w:sz="4" w:space="0" w:color="000000"/>
              <w:left w:val="single" w:sz="4" w:space="0" w:color="000000"/>
              <w:bottom w:val="single" w:sz="4" w:space="0" w:color="000000"/>
              <w:right w:val="single" w:sz="4" w:space="0" w:color="000000"/>
            </w:tcBorders>
            <w:vAlign w:val="center"/>
          </w:tcPr>
          <w:p w14:paraId="48FF46F2"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129" w:type="dxa"/>
            <w:tcBorders>
              <w:top w:val="single" w:sz="4" w:space="0" w:color="000000"/>
              <w:left w:val="single" w:sz="4" w:space="0" w:color="000000"/>
              <w:bottom w:val="single" w:sz="4" w:space="0" w:color="000000"/>
              <w:right w:val="single" w:sz="4" w:space="0" w:color="000000"/>
            </w:tcBorders>
            <w:vAlign w:val="center"/>
          </w:tcPr>
          <w:p w14:paraId="04519A5E"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129" w:type="dxa"/>
            <w:tcBorders>
              <w:top w:val="single" w:sz="4" w:space="0" w:color="000000"/>
              <w:left w:val="single" w:sz="4" w:space="0" w:color="000000"/>
              <w:bottom w:val="single" w:sz="4" w:space="0" w:color="000000"/>
              <w:right w:val="single" w:sz="4" w:space="0" w:color="000000"/>
            </w:tcBorders>
            <w:vAlign w:val="center"/>
          </w:tcPr>
          <w:p w14:paraId="499BC391"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129" w:type="dxa"/>
            <w:tcBorders>
              <w:top w:val="single" w:sz="4" w:space="0" w:color="000000"/>
              <w:left w:val="single" w:sz="4" w:space="0" w:color="000000"/>
              <w:bottom w:val="single" w:sz="4" w:space="0" w:color="000000"/>
              <w:right w:val="single" w:sz="4" w:space="0" w:color="000000"/>
            </w:tcBorders>
            <w:vAlign w:val="center"/>
          </w:tcPr>
          <w:p w14:paraId="77AA6D16"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2257" w:type="dxa"/>
            <w:tcBorders>
              <w:top w:val="single" w:sz="4" w:space="0" w:color="000000"/>
              <w:left w:val="single" w:sz="4" w:space="0" w:color="000000"/>
              <w:bottom w:val="single" w:sz="4" w:space="0" w:color="000000"/>
              <w:right w:val="single" w:sz="4" w:space="0" w:color="000000"/>
            </w:tcBorders>
            <w:vAlign w:val="center"/>
          </w:tcPr>
          <w:p w14:paraId="6027D5E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Lokacije i zone su definirane, procjenjuje se da će za provođenje evakuacije i prihvat stanovništva ljudski i materijalni kapaciteti biti dostatni</w:t>
            </w:r>
          </w:p>
        </w:tc>
      </w:tr>
      <w:tr w:rsidR="00CE4763" w:rsidRPr="00CE4763" w14:paraId="4553CD41" w14:textId="77777777" w:rsidTr="007872F3">
        <w:trPr>
          <w:cantSplit/>
        </w:trPr>
        <w:tc>
          <w:tcPr>
            <w:tcW w:w="2256" w:type="dxa"/>
            <w:tcBorders>
              <w:top w:val="single" w:sz="4" w:space="0" w:color="000000"/>
              <w:left w:val="single" w:sz="4" w:space="0" w:color="000000"/>
              <w:bottom w:val="single" w:sz="4" w:space="0" w:color="000000"/>
              <w:right w:val="single" w:sz="4" w:space="0" w:color="000000"/>
            </w:tcBorders>
            <w:vAlign w:val="center"/>
          </w:tcPr>
          <w:p w14:paraId="6391E94E"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Organizacija pružanja medicinske pomoći i medicinskog zbrinjavanja</w:t>
            </w:r>
          </w:p>
        </w:tc>
        <w:tc>
          <w:tcPr>
            <w:tcW w:w="1129" w:type="dxa"/>
            <w:tcBorders>
              <w:top w:val="single" w:sz="4" w:space="0" w:color="000000"/>
              <w:left w:val="single" w:sz="4" w:space="0" w:color="000000"/>
              <w:bottom w:val="single" w:sz="4" w:space="0" w:color="000000"/>
              <w:right w:val="single" w:sz="4" w:space="0" w:color="000000"/>
            </w:tcBorders>
            <w:vAlign w:val="center"/>
          </w:tcPr>
          <w:p w14:paraId="6FB04640"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129" w:type="dxa"/>
            <w:tcBorders>
              <w:top w:val="single" w:sz="4" w:space="0" w:color="000000"/>
              <w:left w:val="single" w:sz="4" w:space="0" w:color="000000"/>
              <w:bottom w:val="single" w:sz="4" w:space="0" w:color="000000"/>
              <w:right w:val="single" w:sz="4" w:space="0" w:color="000000"/>
            </w:tcBorders>
            <w:vAlign w:val="center"/>
          </w:tcPr>
          <w:p w14:paraId="5883FB30"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129" w:type="dxa"/>
            <w:tcBorders>
              <w:top w:val="single" w:sz="4" w:space="0" w:color="000000"/>
              <w:left w:val="single" w:sz="4" w:space="0" w:color="000000"/>
              <w:bottom w:val="single" w:sz="4" w:space="0" w:color="000000"/>
              <w:right w:val="single" w:sz="4" w:space="0" w:color="000000"/>
            </w:tcBorders>
            <w:vAlign w:val="center"/>
          </w:tcPr>
          <w:p w14:paraId="5A4836AE"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129" w:type="dxa"/>
            <w:tcBorders>
              <w:top w:val="single" w:sz="4" w:space="0" w:color="000000"/>
              <w:left w:val="single" w:sz="4" w:space="0" w:color="000000"/>
              <w:bottom w:val="single" w:sz="4" w:space="0" w:color="000000"/>
              <w:right w:val="single" w:sz="4" w:space="0" w:color="000000"/>
            </w:tcBorders>
            <w:vAlign w:val="center"/>
          </w:tcPr>
          <w:p w14:paraId="1F668DAD"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2257" w:type="dxa"/>
            <w:tcBorders>
              <w:top w:val="single" w:sz="4" w:space="0" w:color="000000"/>
              <w:left w:val="single" w:sz="4" w:space="0" w:color="000000"/>
              <w:bottom w:val="single" w:sz="4" w:space="0" w:color="000000"/>
              <w:right w:val="single" w:sz="4" w:space="0" w:color="000000"/>
            </w:tcBorders>
            <w:vAlign w:val="center"/>
          </w:tcPr>
          <w:p w14:paraId="3C55DEDE"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Nastavni zavod za hitnu medicinu Grada Zagreba, domovi zdravlja na području Grada Zagreba, bolnice i klinike na području</w:t>
            </w:r>
            <w:r w:rsidRPr="00CE4763">
              <w:rPr>
                <w:rFonts w:ascii="Times New Roman" w:hAnsi="Times New Roman" w:cs="Times New Roman"/>
                <w:b/>
              </w:rPr>
              <w:t xml:space="preserve"> </w:t>
            </w:r>
            <w:r w:rsidRPr="00CE4763">
              <w:rPr>
                <w:rFonts w:ascii="Times New Roman" w:hAnsi="Times New Roman" w:cs="Times New Roman"/>
              </w:rPr>
              <w:t>Grada Zagreba te Nastavni zavod za javno zdravstvo "Dr. Andrija Štampar" unatoč stručnosti i dobroj organizaciji zbog velikog broja mrtvih i ozlijeđenih osoba, i zbog rušenja ili teškog oštećenja glavnine zgrada zdravstvenih ustanova na području Grada Zagreba te stradavanja dijela zaposlenika navedenih ustanova, svojim kapacitetima i sposobnostima neće se moći nositi sa situacijom pa će biti potrebno računati i na međunarodnu pomoć</w:t>
            </w:r>
          </w:p>
        </w:tc>
      </w:tr>
      <w:tr w:rsidR="00CE4763" w:rsidRPr="00CE4763" w14:paraId="751EC69B" w14:textId="77777777" w:rsidTr="007872F3">
        <w:tblPrEx>
          <w:tblCellMar>
            <w:top w:w="7" w:type="dxa"/>
          </w:tblCellMar>
        </w:tblPrEx>
        <w:trPr>
          <w:cantSplit/>
        </w:trPr>
        <w:tc>
          <w:tcPr>
            <w:tcW w:w="2256" w:type="dxa"/>
            <w:tcBorders>
              <w:top w:val="single" w:sz="4" w:space="0" w:color="000000"/>
              <w:left w:val="single" w:sz="4" w:space="0" w:color="000000"/>
              <w:bottom w:val="single" w:sz="4" w:space="0" w:color="000000"/>
              <w:right w:val="single" w:sz="4" w:space="0" w:color="000000"/>
            </w:tcBorders>
            <w:vAlign w:val="center"/>
          </w:tcPr>
          <w:p w14:paraId="3AF611F4"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Organizacija i pružanje veterinarske pomoći</w:t>
            </w:r>
          </w:p>
        </w:tc>
        <w:tc>
          <w:tcPr>
            <w:tcW w:w="1129" w:type="dxa"/>
            <w:tcBorders>
              <w:top w:val="single" w:sz="4" w:space="0" w:color="000000"/>
              <w:left w:val="single" w:sz="4" w:space="0" w:color="000000"/>
              <w:bottom w:val="single" w:sz="4" w:space="0" w:color="000000"/>
              <w:right w:val="single" w:sz="4" w:space="0" w:color="000000"/>
            </w:tcBorders>
            <w:vAlign w:val="center"/>
          </w:tcPr>
          <w:p w14:paraId="0D1B813B"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129" w:type="dxa"/>
            <w:tcBorders>
              <w:top w:val="single" w:sz="4" w:space="0" w:color="000000"/>
              <w:left w:val="single" w:sz="4" w:space="0" w:color="000000"/>
              <w:bottom w:val="single" w:sz="4" w:space="0" w:color="000000"/>
              <w:right w:val="single" w:sz="4" w:space="0" w:color="000000"/>
            </w:tcBorders>
            <w:vAlign w:val="center"/>
          </w:tcPr>
          <w:p w14:paraId="733961C3"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129" w:type="dxa"/>
            <w:tcBorders>
              <w:top w:val="single" w:sz="4" w:space="0" w:color="000000"/>
              <w:left w:val="single" w:sz="4" w:space="0" w:color="000000"/>
              <w:bottom w:val="single" w:sz="4" w:space="0" w:color="000000"/>
              <w:right w:val="single" w:sz="4" w:space="0" w:color="000000"/>
            </w:tcBorders>
            <w:vAlign w:val="center"/>
          </w:tcPr>
          <w:p w14:paraId="7B6871EB"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129" w:type="dxa"/>
            <w:tcBorders>
              <w:top w:val="single" w:sz="4" w:space="0" w:color="000000"/>
              <w:left w:val="single" w:sz="4" w:space="0" w:color="000000"/>
              <w:bottom w:val="single" w:sz="4" w:space="0" w:color="000000"/>
              <w:right w:val="single" w:sz="4" w:space="0" w:color="000000"/>
            </w:tcBorders>
            <w:vAlign w:val="center"/>
          </w:tcPr>
          <w:p w14:paraId="70E73CC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2257" w:type="dxa"/>
            <w:tcBorders>
              <w:top w:val="single" w:sz="4" w:space="0" w:color="000000"/>
              <w:left w:val="single" w:sz="4" w:space="0" w:color="000000"/>
              <w:bottom w:val="single" w:sz="4" w:space="0" w:color="000000"/>
              <w:right w:val="single" w:sz="4" w:space="0" w:color="000000"/>
            </w:tcBorders>
            <w:vAlign w:val="center"/>
          </w:tcPr>
          <w:p w14:paraId="72139A99"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Organizaciju i pružanje veterinarske pomoći provodit će Veterinarska stanica Grada Zagreba. Procjenjuje se manjak potrebnog kapaciteta i moguće oštećivanje objekta</w:t>
            </w:r>
          </w:p>
        </w:tc>
      </w:tr>
      <w:tr w:rsidR="00CE4763" w:rsidRPr="00CE4763" w14:paraId="50EF9CCB" w14:textId="77777777" w:rsidTr="007872F3">
        <w:tblPrEx>
          <w:tblCellMar>
            <w:top w:w="7" w:type="dxa"/>
          </w:tblCellMar>
        </w:tblPrEx>
        <w:trPr>
          <w:cantSplit/>
        </w:trPr>
        <w:tc>
          <w:tcPr>
            <w:tcW w:w="2256" w:type="dxa"/>
            <w:tcBorders>
              <w:top w:val="single" w:sz="4" w:space="0" w:color="000000"/>
              <w:left w:val="single" w:sz="4" w:space="0" w:color="000000"/>
              <w:bottom w:val="single" w:sz="4" w:space="0" w:color="000000"/>
              <w:right w:val="single" w:sz="4" w:space="0" w:color="000000"/>
            </w:tcBorders>
            <w:vAlign w:val="center"/>
          </w:tcPr>
          <w:p w14:paraId="38B61F3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lastRenderedPageBreak/>
              <w:t>Organizacija humane asanacije i identifikacije poginulih</w:t>
            </w:r>
          </w:p>
        </w:tc>
        <w:tc>
          <w:tcPr>
            <w:tcW w:w="1129" w:type="dxa"/>
            <w:tcBorders>
              <w:top w:val="single" w:sz="4" w:space="0" w:color="000000"/>
              <w:left w:val="single" w:sz="4" w:space="0" w:color="000000"/>
              <w:bottom w:val="single" w:sz="4" w:space="0" w:color="000000"/>
              <w:right w:val="single" w:sz="4" w:space="0" w:color="000000"/>
            </w:tcBorders>
            <w:vAlign w:val="center"/>
          </w:tcPr>
          <w:p w14:paraId="3DD88B60"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129" w:type="dxa"/>
            <w:tcBorders>
              <w:top w:val="single" w:sz="4" w:space="0" w:color="000000"/>
              <w:left w:val="single" w:sz="4" w:space="0" w:color="000000"/>
              <w:bottom w:val="single" w:sz="4" w:space="0" w:color="000000"/>
              <w:right w:val="single" w:sz="4" w:space="0" w:color="000000"/>
            </w:tcBorders>
            <w:vAlign w:val="center"/>
          </w:tcPr>
          <w:p w14:paraId="3767A829"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129" w:type="dxa"/>
            <w:tcBorders>
              <w:top w:val="single" w:sz="4" w:space="0" w:color="000000"/>
              <w:left w:val="single" w:sz="4" w:space="0" w:color="000000"/>
              <w:bottom w:val="single" w:sz="4" w:space="0" w:color="000000"/>
              <w:right w:val="single" w:sz="4" w:space="0" w:color="000000"/>
            </w:tcBorders>
            <w:vAlign w:val="center"/>
          </w:tcPr>
          <w:p w14:paraId="1EAAEEE9"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129" w:type="dxa"/>
            <w:tcBorders>
              <w:top w:val="single" w:sz="4" w:space="0" w:color="000000"/>
              <w:left w:val="single" w:sz="4" w:space="0" w:color="000000"/>
              <w:bottom w:val="single" w:sz="4" w:space="0" w:color="000000"/>
              <w:right w:val="single" w:sz="4" w:space="0" w:color="000000"/>
            </w:tcBorders>
            <w:vAlign w:val="center"/>
          </w:tcPr>
          <w:p w14:paraId="1E9C1519"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2257" w:type="dxa"/>
            <w:tcBorders>
              <w:top w:val="single" w:sz="4" w:space="0" w:color="000000"/>
              <w:left w:val="single" w:sz="4" w:space="0" w:color="000000"/>
              <w:bottom w:val="single" w:sz="4" w:space="0" w:color="000000"/>
              <w:right w:val="single" w:sz="4" w:space="0" w:color="000000"/>
            </w:tcBorders>
            <w:vAlign w:val="center"/>
          </w:tcPr>
          <w:p w14:paraId="64E21940"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Zbog velikog broja mrtvih osoba sukladno procjenama, kapaciteti neće biti dostatni pa će se morati tražiti dodatna pomoć</w:t>
            </w:r>
          </w:p>
        </w:tc>
      </w:tr>
      <w:tr w:rsidR="00CE4763" w:rsidRPr="00CE4763" w14:paraId="7A04F1FD" w14:textId="77777777" w:rsidTr="007872F3">
        <w:tblPrEx>
          <w:tblCellMar>
            <w:top w:w="7" w:type="dxa"/>
          </w:tblCellMar>
        </w:tblPrEx>
        <w:trPr>
          <w:cantSplit/>
        </w:trPr>
        <w:tc>
          <w:tcPr>
            <w:tcW w:w="2256" w:type="dxa"/>
            <w:tcBorders>
              <w:top w:val="single" w:sz="4" w:space="0" w:color="000000"/>
              <w:left w:val="single" w:sz="4" w:space="0" w:color="000000"/>
              <w:bottom w:val="single" w:sz="4" w:space="0" w:color="000000"/>
              <w:right w:val="single" w:sz="4" w:space="0" w:color="000000"/>
            </w:tcBorders>
            <w:vAlign w:val="center"/>
          </w:tcPr>
          <w:p w14:paraId="135EEAD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Organizacija higijensko-epidemiološke zaštite</w:t>
            </w:r>
          </w:p>
        </w:tc>
        <w:tc>
          <w:tcPr>
            <w:tcW w:w="1129" w:type="dxa"/>
            <w:tcBorders>
              <w:top w:val="single" w:sz="4" w:space="0" w:color="000000"/>
              <w:left w:val="single" w:sz="4" w:space="0" w:color="000000"/>
              <w:bottom w:val="single" w:sz="4" w:space="0" w:color="000000"/>
              <w:right w:val="single" w:sz="4" w:space="0" w:color="000000"/>
            </w:tcBorders>
            <w:vAlign w:val="center"/>
          </w:tcPr>
          <w:p w14:paraId="3B6424CE"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129" w:type="dxa"/>
            <w:tcBorders>
              <w:top w:val="single" w:sz="4" w:space="0" w:color="000000"/>
              <w:left w:val="single" w:sz="4" w:space="0" w:color="000000"/>
              <w:bottom w:val="single" w:sz="4" w:space="0" w:color="000000"/>
              <w:right w:val="single" w:sz="4" w:space="0" w:color="000000"/>
            </w:tcBorders>
            <w:vAlign w:val="center"/>
          </w:tcPr>
          <w:p w14:paraId="0BE4BF7E"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129" w:type="dxa"/>
            <w:tcBorders>
              <w:top w:val="single" w:sz="4" w:space="0" w:color="000000"/>
              <w:left w:val="single" w:sz="4" w:space="0" w:color="000000"/>
              <w:bottom w:val="single" w:sz="4" w:space="0" w:color="000000"/>
              <w:right w:val="single" w:sz="4" w:space="0" w:color="000000"/>
            </w:tcBorders>
            <w:vAlign w:val="center"/>
          </w:tcPr>
          <w:p w14:paraId="6192F14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129" w:type="dxa"/>
            <w:tcBorders>
              <w:top w:val="single" w:sz="4" w:space="0" w:color="000000"/>
              <w:left w:val="single" w:sz="4" w:space="0" w:color="000000"/>
              <w:bottom w:val="single" w:sz="4" w:space="0" w:color="000000"/>
              <w:right w:val="single" w:sz="4" w:space="0" w:color="000000"/>
            </w:tcBorders>
            <w:vAlign w:val="center"/>
          </w:tcPr>
          <w:p w14:paraId="5D3F2CF3"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2257" w:type="dxa"/>
            <w:tcBorders>
              <w:top w:val="single" w:sz="4" w:space="0" w:color="000000"/>
              <w:left w:val="single" w:sz="4" w:space="0" w:color="000000"/>
              <w:bottom w:val="single" w:sz="4" w:space="0" w:color="000000"/>
              <w:right w:val="single" w:sz="4" w:space="0" w:color="000000"/>
            </w:tcBorders>
            <w:vAlign w:val="center"/>
          </w:tcPr>
          <w:p w14:paraId="5BAC3F4A"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Higijensko epidemiološku zaštitu provodit će zaposlenici Nastavnog zavoda za javno zdravstvo "Dr. Andrija Štampar" i Hrvatskog zavoda za javno zdravstvo uz pomoć osposobljenih predstavnika građana koji će u sklopu osobne i uzajamne zaštite provoditi zadaće</w:t>
            </w:r>
            <w:r w:rsidRPr="00CE4763">
              <w:rPr>
                <w:rFonts w:ascii="Times New Roman" w:hAnsi="Times New Roman" w:cs="Times New Roman"/>
                <w:b/>
              </w:rPr>
              <w:t xml:space="preserve"> </w:t>
            </w:r>
            <w:r w:rsidRPr="00CE4763">
              <w:rPr>
                <w:rFonts w:ascii="Times New Roman" w:hAnsi="Times New Roman" w:cs="Times New Roman"/>
              </w:rPr>
              <w:t>deratizacije, dezinfekcije i dezinsekcije. Zbog loše epidemiološke situacije nakon događaja takvih razmjera, bit će potrebna dodatna pomoć.</w:t>
            </w:r>
          </w:p>
        </w:tc>
      </w:tr>
      <w:tr w:rsidR="00CE4763" w:rsidRPr="00CE4763" w14:paraId="5CB50D54" w14:textId="77777777" w:rsidTr="007872F3">
        <w:tblPrEx>
          <w:tblCellMar>
            <w:top w:w="7" w:type="dxa"/>
          </w:tblCellMar>
        </w:tblPrEx>
        <w:trPr>
          <w:cantSplit/>
        </w:trPr>
        <w:tc>
          <w:tcPr>
            <w:tcW w:w="2256" w:type="dxa"/>
            <w:tcBorders>
              <w:top w:val="single" w:sz="4" w:space="0" w:color="000000"/>
              <w:left w:val="single" w:sz="4" w:space="0" w:color="000000"/>
              <w:bottom w:val="single" w:sz="4" w:space="0" w:color="000000"/>
              <w:right w:val="single" w:sz="4" w:space="0" w:color="000000"/>
            </w:tcBorders>
            <w:vAlign w:val="center"/>
          </w:tcPr>
          <w:p w14:paraId="2AC47DA2"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Organizacija osiguranja hrane i vode za piće</w:t>
            </w:r>
          </w:p>
        </w:tc>
        <w:tc>
          <w:tcPr>
            <w:tcW w:w="1129" w:type="dxa"/>
            <w:tcBorders>
              <w:top w:val="single" w:sz="4" w:space="0" w:color="000000"/>
              <w:left w:val="single" w:sz="4" w:space="0" w:color="000000"/>
              <w:bottom w:val="single" w:sz="4" w:space="0" w:color="000000"/>
              <w:right w:val="single" w:sz="4" w:space="0" w:color="000000"/>
            </w:tcBorders>
            <w:vAlign w:val="center"/>
          </w:tcPr>
          <w:p w14:paraId="4F147A1B"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129" w:type="dxa"/>
            <w:tcBorders>
              <w:top w:val="single" w:sz="4" w:space="0" w:color="000000"/>
              <w:left w:val="single" w:sz="4" w:space="0" w:color="000000"/>
              <w:bottom w:val="single" w:sz="4" w:space="0" w:color="000000"/>
              <w:right w:val="single" w:sz="4" w:space="0" w:color="000000"/>
            </w:tcBorders>
            <w:vAlign w:val="center"/>
          </w:tcPr>
          <w:p w14:paraId="5F9D37DF"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129" w:type="dxa"/>
            <w:tcBorders>
              <w:top w:val="single" w:sz="4" w:space="0" w:color="000000"/>
              <w:left w:val="single" w:sz="4" w:space="0" w:color="000000"/>
              <w:bottom w:val="single" w:sz="4" w:space="0" w:color="000000"/>
              <w:right w:val="single" w:sz="4" w:space="0" w:color="000000"/>
            </w:tcBorders>
            <w:vAlign w:val="center"/>
          </w:tcPr>
          <w:p w14:paraId="2D754C97"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129" w:type="dxa"/>
            <w:tcBorders>
              <w:top w:val="single" w:sz="4" w:space="0" w:color="000000"/>
              <w:left w:val="single" w:sz="4" w:space="0" w:color="000000"/>
              <w:bottom w:val="single" w:sz="4" w:space="0" w:color="000000"/>
              <w:right w:val="single" w:sz="4" w:space="0" w:color="000000"/>
            </w:tcBorders>
            <w:vAlign w:val="center"/>
          </w:tcPr>
          <w:p w14:paraId="080809E3"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2257" w:type="dxa"/>
            <w:tcBorders>
              <w:top w:val="single" w:sz="4" w:space="0" w:color="000000"/>
              <w:left w:val="single" w:sz="4" w:space="0" w:color="000000"/>
              <w:bottom w:val="single" w:sz="4" w:space="0" w:color="000000"/>
              <w:right w:val="single" w:sz="4" w:space="0" w:color="000000"/>
            </w:tcBorders>
            <w:vAlign w:val="center"/>
          </w:tcPr>
          <w:p w14:paraId="376FF274"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Sukladno operativnim planovima pravnih osoba od interesa za civilnu zaštitu koje svoja skladišta imaju i u okolici Grada Zagreba (dalje od epicentra potresa) te s obzirom na kapacitete vatrogasnih snaga i DVD</w:t>
            </w:r>
            <w:r w:rsidRPr="00CE4763">
              <w:rPr>
                <w:rFonts w:ascii="Times New Roman" w:hAnsi="Times New Roman" w:cs="Times New Roman"/>
              </w:rPr>
              <w:noBreakHyphen/>
              <w:t>ova te Zagrebačkog holdinga sa svrhom dostave pitke vode, smatra se da je spremnost visoka</w:t>
            </w:r>
          </w:p>
        </w:tc>
      </w:tr>
      <w:tr w:rsidR="00CE4763" w:rsidRPr="00CE4763" w14:paraId="170A4B56" w14:textId="77777777" w:rsidTr="007872F3">
        <w:tblPrEx>
          <w:tblCellMar>
            <w:top w:w="7" w:type="dxa"/>
          </w:tblCellMar>
        </w:tblPrEx>
        <w:trPr>
          <w:cantSplit/>
        </w:trPr>
        <w:tc>
          <w:tcPr>
            <w:tcW w:w="2256" w:type="dxa"/>
            <w:tcBorders>
              <w:top w:val="single" w:sz="4" w:space="0" w:color="000000"/>
              <w:left w:val="single" w:sz="4" w:space="0" w:color="000000"/>
              <w:bottom w:val="single" w:sz="4" w:space="0" w:color="000000"/>
              <w:right w:val="single" w:sz="4" w:space="0" w:color="000000"/>
            </w:tcBorders>
            <w:vAlign w:val="center"/>
          </w:tcPr>
          <w:p w14:paraId="28CD2A6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lastRenderedPageBreak/>
              <w:t>Organizacija prihvata pomoći</w:t>
            </w:r>
          </w:p>
        </w:tc>
        <w:tc>
          <w:tcPr>
            <w:tcW w:w="1129" w:type="dxa"/>
            <w:tcBorders>
              <w:top w:val="single" w:sz="4" w:space="0" w:color="000000"/>
              <w:left w:val="single" w:sz="4" w:space="0" w:color="000000"/>
              <w:bottom w:val="single" w:sz="4" w:space="0" w:color="000000"/>
              <w:right w:val="single" w:sz="4" w:space="0" w:color="000000"/>
            </w:tcBorders>
            <w:vAlign w:val="center"/>
          </w:tcPr>
          <w:p w14:paraId="61E097EB"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129" w:type="dxa"/>
            <w:tcBorders>
              <w:top w:val="single" w:sz="4" w:space="0" w:color="000000"/>
              <w:left w:val="single" w:sz="4" w:space="0" w:color="000000"/>
              <w:bottom w:val="single" w:sz="4" w:space="0" w:color="000000"/>
              <w:right w:val="single" w:sz="4" w:space="0" w:color="000000"/>
            </w:tcBorders>
            <w:vAlign w:val="center"/>
          </w:tcPr>
          <w:p w14:paraId="0030FEC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129" w:type="dxa"/>
            <w:tcBorders>
              <w:top w:val="single" w:sz="4" w:space="0" w:color="000000"/>
              <w:left w:val="single" w:sz="4" w:space="0" w:color="000000"/>
              <w:bottom w:val="single" w:sz="4" w:space="0" w:color="000000"/>
              <w:right w:val="single" w:sz="4" w:space="0" w:color="000000"/>
            </w:tcBorders>
            <w:vAlign w:val="center"/>
          </w:tcPr>
          <w:p w14:paraId="72AB8537"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129" w:type="dxa"/>
            <w:tcBorders>
              <w:top w:val="single" w:sz="4" w:space="0" w:color="000000"/>
              <w:left w:val="single" w:sz="4" w:space="0" w:color="000000"/>
              <w:bottom w:val="single" w:sz="4" w:space="0" w:color="000000"/>
              <w:right w:val="single" w:sz="4" w:space="0" w:color="000000"/>
            </w:tcBorders>
            <w:vAlign w:val="center"/>
          </w:tcPr>
          <w:p w14:paraId="39227629"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2257" w:type="dxa"/>
            <w:tcBorders>
              <w:top w:val="single" w:sz="4" w:space="0" w:color="000000"/>
              <w:left w:val="single" w:sz="4" w:space="0" w:color="000000"/>
              <w:bottom w:val="single" w:sz="4" w:space="0" w:color="000000"/>
              <w:right w:val="single" w:sz="4" w:space="0" w:color="000000"/>
            </w:tcBorders>
            <w:vAlign w:val="center"/>
          </w:tcPr>
          <w:p w14:paraId="7A1BC966" w14:textId="77777777" w:rsidR="00CE4763" w:rsidRPr="00CE4763" w:rsidRDefault="00CE4763" w:rsidP="00CE4763">
            <w:pPr>
              <w:spacing w:after="0" w:line="240" w:lineRule="auto"/>
              <w:ind w:left="0" w:right="0" w:firstLine="0"/>
              <w:jc w:val="left"/>
              <w:rPr>
                <w:rFonts w:ascii="Times New Roman" w:hAnsi="Times New Roman" w:cs="Times New Roman"/>
                <w:color w:val="auto"/>
              </w:rPr>
            </w:pPr>
            <w:r w:rsidRPr="00CE4763">
              <w:rPr>
                <w:rFonts w:ascii="Times New Roman" w:hAnsi="Times New Roman" w:cs="Times New Roman"/>
                <w:color w:val="auto"/>
              </w:rPr>
              <w:t>S obzirom na kapacitet i pripremljenost Gradskog ureda za mjesnu samoupravu, civilnu zaštitu i sigurnost te ostalih gradskih tijela, smatra se da je spremnost u ovoj kategoriji visoka</w:t>
            </w:r>
          </w:p>
        </w:tc>
      </w:tr>
      <w:tr w:rsidR="00CE4763" w:rsidRPr="00CE4763" w14:paraId="166DF7BC" w14:textId="77777777" w:rsidTr="007872F3">
        <w:tblPrEx>
          <w:tblCellMar>
            <w:top w:w="7" w:type="dxa"/>
          </w:tblCellMar>
        </w:tblPrEx>
        <w:trPr>
          <w:cantSplit/>
        </w:trPr>
        <w:tc>
          <w:tcPr>
            <w:tcW w:w="2256" w:type="dxa"/>
            <w:tcBorders>
              <w:top w:val="single" w:sz="4" w:space="0" w:color="000000"/>
              <w:left w:val="single" w:sz="4" w:space="0" w:color="000000"/>
              <w:bottom w:val="single" w:sz="4" w:space="0" w:color="000000"/>
              <w:right w:val="single" w:sz="4" w:space="0" w:color="000000"/>
            </w:tcBorders>
            <w:vAlign w:val="center"/>
          </w:tcPr>
          <w:p w14:paraId="00F8F0B2"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Organizacija asanacije terena</w:t>
            </w:r>
          </w:p>
        </w:tc>
        <w:tc>
          <w:tcPr>
            <w:tcW w:w="1129" w:type="dxa"/>
            <w:tcBorders>
              <w:top w:val="single" w:sz="4" w:space="0" w:color="000000"/>
              <w:left w:val="single" w:sz="4" w:space="0" w:color="000000"/>
              <w:bottom w:val="single" w:sz="4" w:space="0" w:color="000000"/>
              <w:right w:val="single" w:sz="4" w:space="0" w:color="000000"/>
            </w:tcBorders>
            <w:vAlign w:val="center"/>
          </w:tcPr>
          <w:p w14:paraId="693696F5"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129" w:type="dxa"/>
            <w:tcBorders>
              <w:top w:val="single" w:sz="4" w:space="0" w:color="000000"/>
              <w:left w:val="single" w:sz="4" w:space="0" w:color="000000"/>
              <w:bottom w:val="single" w:sz="4" w:space="0" w:color="000000"/>
              <w:right w:val="single" w:sz="4" w:space="0" w:color="000000"/>
            </w:tcBorders>
            <w:vAlign w:val="center"/>
          </w:tcPr>
          <w:p w14:paraId="6E4A1AFB"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129" w:type="dxa"/>
            <w:tcBorders>
              <w:top w:val="single" w:sz="4" w:space="0" w:color="000000"/>
              <w:left w:val="single" w:sz="4" w:space="0" w:color="000000"/>
              <w:bottom w:val="single" w:sz="4" w:space="0" w:color="000000"/>
              <w:right w:val="single" w:sz="4" w:space="0" w:color="000000"/>
            </w:tcBorders>
            <w:vAlign w:val="center"/>
          </w:tcPr>
          <w:p w14:paraId="2BF9FCA8"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129" w:type="dxa"/>
            <w:tcBorders>
              <w:top w:val="single" w:sz="4" w:space="0" w:color="000000"/>
              <w:left w:val="single" w:sz="4" w:space="0" w:color="000000"/>
              <w:bottom w:val="single" w:sz="4" w:space="0" w:color="000000"/>
              <w:right w:val="single" w:sz="4" w:space="0" w:color="000000"/>
            </w:tcBorders>
            <w:vAlign w:val="center"/>
          </w:tcPr>
          <w:p w14:paraId="305E7B0B"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2257" w:type="dxa"/>
            <w:tcBorders>
              <w:top w:val="single" w:sz="4" w:space="0" w:color="000000"/>
              <w:left w:val="single" w:sz="4" w:space="0" w:color="000000"/>
              <w:bottom w:val="single" w:sz="4" w:space="0" w:color="000000"/>
              <w:right w:val="single" w:sz="4" w:space="0" w:color="000000"/>
            </w:tcBorders>
            <w:vAlign w:val="center"/>
          </w:tcPr>
          <w:p w14:paraId="33A32FCF"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 obzirom na veličinu Zagrebačkog holdinga koji posjeduje iskustva i potrebnu mehanizaciju, te činjenice da se navedeno provodi nakon određenog vremena nakon samog događaja, odnosno spašavanja i zbrinjavanja ozlijeđenih te pokapanja mrtvih, smatra se da je spremnost visoka</w:t>
            </w:r>
          </w:p>
        </w:tc>
      </w:tr>
    </w:tbl>
    <w:p w14:paraId="13C5B17B" w14:textId="77777777" w:rsidR="00CE4763" w:rsidRPr="00CE4763" w:rsidRDefault="00CE4763" w:rsidP="00CE4763">
      <w:pPr>
        <w:spacing w:after="0" w:line="240" w:lineRule="auto"/>
        <w:ind w:left="0" w:right="0" w:firstLine="0"/>
        <w:rPr>
          <w:rFonts w:ascii="Times New Roman" w:hAnsi="Times New Roman" w:cs="Times New Roman"/>
          <w:sz w:val="24"/>
        </w:rPr>
      </w:pPr>
    </w:p>
    <w:p w14:paraId="2236686B"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Spremnost odgovornih i upravljačkih kapaciteta u slučaju potresa jačine IX</w:t>
      </w:r>
      <w:r w:rsidRPr="00CE4763">
        <w:rPr>
          <w:rFonts w:ascii="Times New Roman" w:hAnsi="Times New Roman" w:cs="Times New Roman"/>
          <w:sz w:val="24"/>
          <w:vertAlign w:val="superscript"/>
        </w:rPr>
        <w:t xml:space="preserve">o </w:t>
      </w:r>
      <w:r w:rsidRPr="00CE4763">
        <w:rPr>
          <w:rFonts w:ascii="Times New Roman" w:hAnsi="Times New Roman" w:cs="Times New Roman"/>
          <w:sz w:val="24"/>
        </w:rPr>
        <w:t>MCS ljestvice procjenjuje se visokom, spremnost operativnih kapaciteta procjenjuje se niskom zbog karaktera događaja i njegove razornosti odnosno negativnog utjecaja na sve društvene segmente, dok se stanje mobilnosti operativnih kapaciteta sustava civilne zaštite i stanje komunikacijskih kapaciteta procjenjuje vrlo visokim zbog kvalitetnog planiranja operativnih kapaciteta i alternativnog sustava veza.</w:t>
      </w:r>
    </w:p>
    <w:p w14:paraId="1C509535" w14:textId="77777777" w:rsidR="00CE4763" w:rsidRPr="00CE4763" w:rsidRDefault="00CE4763" w:rsidP="00CE4763">
      <w:pPr>
        <w:spacing w:after="0" w:line="240" w:lineRule="auto"/>
        <w:ind w:right="0"/>
        <w:rPr>
          <w:rFonts w:ascii="Times New Roman" w:hAnsi="Times New Roman" w:cs="Times New Roman"/>
          <w:sz w:val="24"/>
        </w:rPr>
      </w:pPr>
    </w:p>
    <w:p w14:paraId="5A78DEE7" w14:textId="05627E9A" w:rsidR="00CE4763" w:rsidRPr="00640F07" w:rsidRDefault="00CE4763" w:rsidP="007872F3">
      <w:pPr>
        <w:spacing w:line="240" w:lineRule="auto"/>
        <w:ind w:left="0" w:right="0" w:firstLine="0"/>
        <w:jc w:val="center"/>
        <w:rPr>
          <w:rFonts w:ascii="Times New Roman" w:hAnsi="Times New Roman" w:cs="Times New Roman"/>
          <w:b/>
          <w:color w:val="auto"/>
          <w:sz w:val="24"/>
        </w:rPr>
      </w:pPr>
      <w:r w:rsidRPr="00640F07">
        <w:rPr>
          <w:rFonts w:ascii="Times New Roman" w:hAnsi="Times New Roman" w:cs="Times New Roman"/>
          <w:b/>
          <w:color w:val="auto"/>
          <w:sz w:val="24"/>
        </w:rPr>
        <w:t xml:space="preserve">Tablica </w:t>
      </w:r>
      <w:r w:rsidR="00640F07" w:rsidRPr="00640F07">
        <w:rPr>
          <w:rFonts w:ascii="Times New Roman" w:hAnsi="Times New Roman" w:cs="Times New Roman"/>
          <w:b/>
          <w:color w:val="auto"/>
          <w:sz w:val="24"/>
        </w:rPr>
        <w:t>139</w:t>
      </w:r>
      <w:r w:rsidRPr="00640F07">
        <w:rPr>
          <w:rFonts w:ascii="Times New Roman" w:hAnsi="Times New Roman" w:cs="Times New Roman"/>
          <w:b/>
          <w:color w:val="auto"/>
          <w:sz w:val="24"/>
        </w:rPr>
        <w:t>. Analiza sustava civilne zaštite - područje reagiranja - Potres</w:t>
      </w:r>
    </w:p>
    <w:tbl>
      <w:tblPr>
        <w:tblStyle w:val="TableGrid"/>
        <w:tblW w:w="9072" w:type="dxa"/>
        <w:tblInd w:w="0" w:type="dxa"/>
        <w:tblLayout w:type="fixed"/>
        <w:tblCellMar>
          <w:top w:w="5" w:type="dxa"/>
          <w:left w:w="57" w:type="dxa"/>
          <w:right w:w="57" w:type="dxa"/>
        </w:tblCellMar>
        <w:tblLook w:val="04A0" w:firstRow="1" w:lastRow="0" w:firstColumn="1" w:lastColumn="0" w:noHBand="0" w:noVBand="1"/>
      </w:tblPr>
      <w:tblGrid>
        <w:gridCol w:w="3400"/>
        <w:gridCol w:w="1418"/>
        <w:gridCol w:w="1418"/>
        <w:gridCol w:w="1418"/>
        <w:gridCol w:w="1418"/>
      </w:tblGrid>
      <w:tr w:rsidR="00CE4763" w:rsidRPr="00CE4763" w14:paraId="5FF010E8" w14:textId="77777777" w:rsidTr="007872F3">
        <w:trPr>
          <w:cantSplit/>
          <w:tblHeader/>
        </w:trPr>
        <w:tc>
          <w:tcPr>
            <w:tcW w:w="3400" w:type="dxa"/>
            <w:vMerge w:val="restart"/>
            <w:tcBorders>
              <w:top w:val="single" w:sz="4" w:space="0" w:color="000000"/>
              <w:left w:val="single" w:sz="4" w:space="0" w:color="000000"/>
              <w:bottom w:val="single" w:sz="4" w:space="0" w:color="000000"/>
              <w:right w:val="single" w:sz="4" w:space="0" w:color="000000"/>
            </w:tcBorders>
            <w:vAlign w:val="center"/>
          </w:tcPr>
          <w:p w14:paraId="7292D6F5"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PODRUČJE REAGIRANJA</w:t>
            </w: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064D7463"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Vrlo 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476A559"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36B227B1" w14:textId="77777777" w:rsidR="00CE4763" w:rsidRPr="00CE4763" w:rsidRDefault="00CE4763" w:rsidP="00CE4763">
            <w:pPr>
              <w:spacing w:after="0" w:line="240" w:lineRule="auto"/>
              <w:ind w:left="0" w:right="0" w:firstLine="0"/>
              <w:jc w:val="center"/>
              <w:rPr>
                <w:rFonts w:ascii="Times New Roman" w:hAnsi="Times New Roman" w:cs="Times New Roman"/>
                <w:b/>
              </w:rPr>
            </w:pPr>
            <w:r w:rsidRPr="00CE4763">
              <w:rPr>
                <w:rFonts w:ascii="Times New Roman" w:hAnsi="Times New Roman" w:cs="Times New Roman"/>
                <w:b/>
              </w:rPr>
              <w:t>Visoka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6BA97B67"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Vrlo visoka spremnost</w:t>
            </w:r>
          </w:p>
        </w:tc>
      </w:tr>
      <w:tr w:rsidR="00CE4763" w:rsidRPr="00CE4763" w14:paraId="43ECD982" w14:textId="77777777" w:rsidTr="007872F3">
        <w:trPr>
          <w:cantSplit/>
          <w:tblHeader/>
        </w:trPr>
        <w:tc>
          <w:tcPr>
            <w:tcW w:w="3400" w:type="dxa"/>
            <w:vMerge/>
            <w:tcBorders>
              <w:top w:val="nil"/>
              <w:left w:val="single" w:sz="4" w:space="0" w:color="000000"/>
              <w:bottom w:val="single" w:sz="4" w:space="0" w:color="000000"/>
              <w:right w:val="single" w:sz="4" w:space="0" w:color="000000"/>
            </w:tcBorders>
            <w:vAlign w:val="center"/>
          </w:tcPr>
          <w:p w14:paraId="17C5831A"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0F4348BA"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349B79A"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E1552FB" w14:textId="77777777" w:rsidR="00CE4763" w:rsidRPr="00CE4763" w:rsidRDefault="00CE4763" w:rsidP="00CE4763">
            <w:pPr>
              <w:spacing w:after="0" w:line="240" w:lineRule="auto"/>
              <w:ind w:left="0" w:right="0" w:firstLine="0"/>
              <w:jc w:val="center"/>
              <w:rPr>
                <w:rFonts w:ascii="Times New Roman" w:hAnsi="Times New Roman" w:cs="Times New Roman"/>
                <w:b/>
              </w:rPr>
            </w:pPr>
            <w:r w:rsidRPr="00CE4763">
              <w:rPr>
                <w:rFonts w:ascii="Times New Roman" w:hAnsi="Times New Roman" w:cs="Times New Roman"/>
                <w:b/>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731D3E53"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1</w:t>
            </w:r>
          </w:p>
        </w:tc>
      </w:tr>
      <w:tr w:rsidR="00CE4763" w:rsidRPr="00CE4763" w14:paraId="549848E3"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706124AB"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Spremnost odgovornih i upravljačkih kapaciteta</w:t>
            </w:r>
          </w:p>
        </w:tc>
        <w:tc>
          <w:tcPr>
            <w:tcW w:w="1418" w:type="dxa"/>
            <w:tcBorders>
              <w:top w:val="single" w:sz="4" w:space="0" w:color="000000"/>
              <w:left w:val="single" w:sz="4" w:space="0" w:color="000000"/>
              <w:bottom w:val="single" w:sz="4" w:space="0" w:color="000000"/>
              <w:right w:val="single" w:sz="4" w:space="0" w:color="000000"/>
            </w:tcBorders>
            <w:vAlign w:val="center"/>
          </w:tcPr>
          <w:p w14:paraId="59C8A928"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020E593F"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B828712"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5984BECB"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30DE0CD6"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71310FD1"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Spremnost operativnih kapaciteta</w:t>
            </w:r>
          </w:p>
        </w:tc>
        <w:tc>
          <w:tcPr>
            <w:tcW w:w="1418" w:type="dxa"/>
            <w:tcBorders>
              <w:top w:val="single" w:sz="4" w:space="0" w:color="000000"/>
              <w:left w:val="single" w:sz="4" w:space="0" w:color="000000"/>
              <w:bottom w:val="single" w:sz="4" w:space="0" w:color="000000"/>
              <w:right w:val="single" w:sz="4" w:space="0" w:color="000000"/>
            </w:tcBorders>
            <w:vAlign w:val="center"/>
          </w:tcPr>
          <w:p w14:paraId="0238BF96"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561A9E4E"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5637F4BF"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BB52F22"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397F9FA8"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519F2D4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Stanje mobilnosti operativnih kapaciteta sustava civilne zaštite i stanja komunikacijskih</w:t>
            </w:r>
          </w:p>
          <w:p w14:paraId="6298FE31"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kapaciteta</w:t>
            </w:r>
          </w:p>
        </w:tc>
        <w:tc>
          <w:tcPr>
            <w:tcW w:w="1418" w:type="dxa"/>
            <w:tcBorders>
              <w:top w:val="single" w:sz="4" w:space="0" w:color="000000"/>
              <w:left w:val="single" w:sz="4" w:space="0" w:color="000000"/>
              <w:bottom w:val="single" w:sz="4" w:space="0" w:color="000000"/>
              <w:right w:val="single" w:sz="4" w:space="0" w:color="000000"/>
            </w:tcBorders>
            <w:vAlign w:val="center"/>
          </w:tcPr>
          <w:p w14:paraId="225C923E"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5463125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7C367D2"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1E72E9CA"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5A1686A3"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701CCF7D"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Područje reagiranja u slučaju POTRESA - ZBIRNO</w:t>
            </w:r>
          </w:p>
        </w:tc>
        <w:tc>
          <w:tcPr>
            <w:tcW w:w="1418" w:type="dxa"/>
            <w:tcBorders>
              <w:top w:val="single" w:sz="4" w:space="0" w:color="000000"/>
              <w:left w:val="single" w:sz="4" w:space="0" w:color="000000"/>
              <w:bottom w:val="single" w:sz="4" w:space="0" w:color="000000"/>
              <w:right w:val="single" w:sz="4" w:space="0" w:color="000000"/>
            </w:tcBorders>
            <w:vAlign w:val="center"/>
          </w:tcPr>
          <w:p w14:paraId="1C50D7FD"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47AB5D6"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529EC408"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FD35953" w14:textId="77777777" w:rsidR="00CE4763" w:rsidRPr="00CE4763" w:rsidRDefault="00CE4763" w:rsidP="00CE4763">
            <w:pPr>
              <w:spacing w:after="0" w:line="240" w:lineRule="auto"/>
              <w:ind w:left="0" w:right="0" w:firstLine="0"/>
              <w:jc w:val="center"/>
              <w:rPr>
                <w:rFonts w:ascii="Times New Roman" w:hAnsi="Times New Roman" w:cs="Times New Roman"/>
              </w:rPr>
            </w:pPr>
          </w:p>
        </w:tc>
      </w:tr>
    </w:tbl>
    <w:p w14:paraId="2D3811FA" w14:textId="7343F427" w:rsidR="00CE4763" w:rsidRDefault="00CE4763" w:rsidP="00CE4763">
      <w:pPr>
        <w:spacing w:after="0" w:line="240" w:lineRule="auto"/>
        <w:ind w:left="0" w:right="0" w:firstLine="0"/>
        <w:jc w:val="left"/>
        <w:rPr>
          <w:rFonts w:ascii="Times New Roman" w:hAnsi="Times New Roman" w:cs="Times New Roman"/>
          <w:sz w:val="24"/>
        </w:rPr>
      </w:pPr>
    </w:p>
    <w:p w14:paraId="4B3270A0" w14:textId="77777777" w:rsidR="00FB6440" w:rsidRPr="00CE4763" w:rsidRDefault="00FB6440" w:rsidP="00CE4763">
      <w:pPr>
        <w:spacing w:after="0" w:line="240" w:lineRule="auto"/>
        <w:ind w:left="0" w:right="0" w:firstLine="0"/>
        <w:jc w:val="left"/>
        <w:rPr>
          <w:rFonts w:ascii="Times New Roman" w:hAnsi="Times New Roman" w:cs="Times New Roman"/>
          <w:sz w:val="24"/>
        </w:rPr>
      </w:pPr>
    </w:p>
    <w:p w14:paraId="5B1679D6" w14:textId="77777777" w:rsidR="00CE4763" w:rsidRPr="00CE4763" w:rsidRDefault="00CE4763" w:rsidP="00CE4763">
      <w:pPr>
        <w:spacing w:after="0" w:line="240" w:lineRule="auto"/>
        <w:ind w:left="0" w:right="0" w:firstLine="709"/>
        <w:rPr>
          <w:rFonts w:ascii="Times New Roman" w:hAnsi="Times New Roman" w:cs="Times New Roman"/>
          <w:sz w:val="24"/>
          <w:u w:val="single"/>
        </w:rPr>
      </w:pPr>
      <w:r w:rsidRPr="00CE4763">
        <w:rPr>
          <w:rFonts w:ascii="Times New Roman" w:hAnsi="Times New Roman" w:cs="Times New Roman"/>
          <w:sz w:val="24"/>
          <w:u w:val="single"/>
        </w:rPr>
        <w:t>Zaključak</w:t>
      </w:r>
    </w:p>
    <w:p w14:paraId="084CF4AA"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lastRenderedPageBreak/>
        <w:t>Procjenjuje se da će u slučaju potresa jačine VIII</w:t>
      </w:r>
      <w:r w:rsidRPr="00CE4763">
        <w:rPr>
          <w:rFonts w:ascii="Times New Roman" w:hAnsi="Times New Roman" w:cs="Times New Roman"/>
          <w:sz w:val="24"/>
          <w:vertAlign w:val="superscript"/>
        </w:rPr>
        <w:t xml:space="preserve">o </w:t>
      </w:r>
      <w:r w:rsidRPr="00CE4763">
        <w:rPr>
          <w:rFonts w:ascii="Times New Roman" w:hAnsi="Times New Roman" w:cs="Times New Roman"/>
          <w:sz w:val="24"/>
        </w:rPr>
        <w:t>MCS ljestvice (25 % zgrada teško oštećeno) koji se bio dogodio 1880. u Zagrebu, raspoložive snage civilne zaštite biti dostatne za saniranje posljedica potresa, ali u slučaju da se prema najgorem scenariju dogodi potres jačine IX</w:t>
      </w:r>
      <w:r w:rsidRPr="00CE4763">
        <w:rPr>
          <w:rFonts w:ascii="Times New Roman" w:hAnsi="Times New Roman" w:cs="Times New Roman"/>
          <w:sz w:val="24"/>
          <w:vertAlign w:val="superscript"/>
        </w:rPr>
        <w:t xml:space="preserve">o </w:t>
      </w:r>
      <w:r w:rsidRPr="00CE4763">
        <w:rPr>
          <w:rFonts w:ascii="Times New Roman" w:hAnsi="Times New Roman" w:cs="Times New Roman"/>
          <w:sz w:val="24"/>
        </w:rPr>
        <w:t>MCS ljestvice (preko 50 % zgrada teško oštećeno) za što postoji vrlo mala vjerojatnost, procjenjuje se da postojeći kapaciteti ne bi bili dostatni te bi bilo potrebno zatražiti međunarodnu pomoć.</w:t>
      </w:r>
      <w:bookmarkStart w:id="145" w:name="_Toc2938648"/>
    </w:p>
    <w:p w14:paraId="29DBA5A8" w14:textId="77777777" w:rsidR="007872F3" w:rsidRPr="00CE4763" w:rsidRDefault="007872F3" w:rsidP="00CE4763">
      <w:pPr>
        <w:spacing w:after="0" w:line="240" w:lineRule="auto"/>
        <w:ind w:left="0" w:right="0" w:firstLine="709"/>
        <w:rPr>
          <w:rFonts w:ascii="Times New Roman" w:hAnsi="Times New Roman" w:cs="Times New Roman"/>
          <w:sz w:val="24"/>
        </w:rPr>
      </w:pPr>
    </w:p>
    <w:p w14:paraId="05E0BD90" w14:textId="493192FF" w:rsidR="00CE4763" w:rsidRDefault="00CE4763" w:rsidP="00CE4763">
      <w:pPr>
        <w:spacing w:after="0" w:line="240" w:lineRule="auto"/>
        <w:ind w:left="0" w:right="0" w:firstLine="709"/>
        <w:rPr>
          <w:rFonts w:ascii="Times New Roman" w:hAnsi="Times New Roman" w:cs="Times New Roman"/>
          <w:b/>
          <w:sz w:val="24"/>
        </w:rPr>
      </w:pPr>
      <w:r w:rsidRPr="00CE4763">
        <w:rPr>
          <w:rFonts w:ascii="Times New Roman" w:hAnsi="Times New Roman" w:cs="Times New Roman"/>
          <w:b/>
          <w:sz w:val="24"/>
        </w:rPr>
        <w:t xml:space="preserve">8.2.2. ANALIZA SUSTAVA CIVILNE ZAŠTITE - PODRUČJE REAGIRANJA </w:t>
      </w:r>
      <w:r w:rsidR="007872F3">
        <w:rPr>
          <w:rFonts w:ascii="Times New Roman" w:hAnsi="Times New Roman" w:cs="Times New Roman"/>
          <w:b/>
          <w:sz w:val="24"/>
        </w:rPr>
        <w:t>–</w:t>
      </w:r>
      <w:r w:rsidRPr="00CE4763">
        <w:rPr>
          <w:rFonts w:ascii="Times New Roman" w:hAnsi="Times New Roman" w:cs="Times New Roman"/>
          <w:b/>
          <w:sz w:val="24"/>
        </w:rPr>
        <w:t xml:space="preserve"> POPLAVA</w:t>
      </w:r>
      <w:bookmarkEnd w:id="145"/>
    </w:p>
    <w:p w14:paraId="51FA9E1E" w14:textId="77777777" w:rsidR="007872F3" w:rsidRPr="00CE4763" w:rsidRDefault="007872F3" w:rsidP="00CE4763">
      <w:pPr>
        <w:spacing w:after="0" w:line="240" w:lineRule="auto"/>
        <w:ind w:left="0" w:right="0" w:firstLine="709"/>
        <w:rPr>
          <w:rFonts w:ascii="Times New Roman" w:hAnsi="Times New Roman" w:cs="Times New Roman"/>
          <w:b/>
          <w:sz w:val="24"/>
        </w:rPr>
      </w:pPr>
    </w:p>
    <w:p w14:paraId="19D4FCDB"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Analiza sustava civilne zaštite u području reagiranja temelji se na najgorem scenariju koji je obrađen u Poglavlju 6.2. Procjene rizika (poplava izazvana pucanjem Savskog nasipa) vrlo male vjerojatnosti pojavljivanja.</w:t>
      </w:r>
    </w:p>
    <w:p w14:paraId="1AF5123C"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i/>
          <w:sz w:val="24"/>
        </w:rPr>
        <w:t>Vrlo niska spremnost</w:t>
      </w:r>
      <w:r w:rsidRPr="00CE4763">
        <w:rPr>
          <w:rFonts w:ascii="Times New Roman" w:hAnsi="Times New Roman" w:cs="Times New Roman"/>
          <w:sz w:val="24"/>
        </w:rPr>
        <w:t xml:space="preserve"> podrazumijeva da postojeći kapaciteti nisu dostatni pa je potrebno odmah tražiti pomoć izvan zone pogođenog područja (druge županije/gradovi odnosno međunarodnu pomoć). </w:t>
      </w:r>
      <w:r w:rsidRPr="00CE4763">
        <w:rPr>
          <w:rFonts w:ascii="Times New Roman" w:hAnsi="Times New Roman" w:cs="Times New Roman"/>
          <w:i/>
          <w:sz w:val="24"/>
        </w:rPr>
        <w:t>Niska spremnost</w:t>
      </w:r>
      <w:r w:rsidRPr="00CE4763">
        <w:rPr>
          <w:rFonts w:ascii="Times New Roman" w:hAnsi="Times New Roman" w:cs="Times New Roman"/>
          <w:sz w:val="24"/>
        </w:rPr>
        <w:t xml:space="preserve"> odnosi se na sposobnost djelomičnog obavljanja zadaća uz velike poteškoće (nedovoljno ljudi i opreme) pa je potrebno računati na pomoć izvan zone pogođenog područja (druge županije/gradovi odnosno međunarodnu pomoć). </w:t>
      </w:r>
      <w:r w:rsidRPr="00CE4763">
        <w:rPr>
          <w:rFonts w:ascii="Times New Roman" w:hAnsi="Times New Roman" w:cs="Times New Roman"/>
          <w:i/>
          <w:sz w:val="24"/>
        </w:rPr>
        <w:t>Visoka spremnost</w:t>
      </w:r>
      <w:r w:rsidRPr="00CE4763">
        <w:rPr>
          <w:rFonts w:ascii="Times New Roman" w:hAnsi="Times New Roman" w:cs="Times New Roman"/>
          <w:sz w:val="24"/>
        </w:rPr>
        <w:t xml:space="preserve"> podrazumijeva optimalnu reakciju uz određene manje teškoće prilikom planiranja zamjene snaga, ali visoku razinu samodostatnosti u obavljanju zadaća civilne zaštite. </w:t>
      </w:r>
      <w:r w:rsidRPr="00CE4763">
        <w:rPr>
          <w:rFonts w:ascii="Times New Roman" w:hAnsi="Times New Roman" w:cs="Times New Roman"/>
          <w:i/>
          <w:sz w:val="24"/>
        </w:rPr>
        <w:t>Vrlo visoka spremnost</w:t>
      </w:r>
      <w:r w:rsidRPr="00CE4763">
        <w:rPr>
          <w:rFonts w:ascii="Times New Roman" w:hAnsi="Times New Roman" w:cs="Times New Roman"/>
          <w:sz w:val="24"/>
        </w:rPr>
        <w:t xml:space="preserve"> podrazumijeva potpunu samodostatnost i u planiranju zamjenskih snaga odnosno mogućnost redovitog i pravodobnog obavljanja svih zadaća.</w:t>
      </w:r>
    </w:p>
    <w:p w14:paraId="46C955DF" w14:textId="77777777" w:rsidR="00CE4763" w:rsidRPr="00CE4763" w:rsidRDefault="00CE4763" w:rsidP="00CE4763">
      <w:pPr>
        <w:spacing w:after="0" w:line="240" w:lineRule="auto"/>
        <w:ind w:right="0"/>
        <w:rPr>
          <w:rFonts w:ascii="Times New Roman" w:hAnsi="Times New Roman" w:cs="Times New Roman"/>
          <w:sz w:val="24"/>
        </w:rPr>
      </w:pPr>
    </w:p>
    <w:p w14:paraId="7D759C04" w14:textId="167050C5" w:rsidR="00CE4763" w:rsidRPr="007872F3" w:rsidRDefault="00CE4763" w:rsidP="007872F3">
      <w:pPr>
        <w:spacing w:line="240" w:lineRule="auto"/>
        <w:ind w:left="0" w:right="0" w:firstLine="0"/>
        <w:jc w:val="center"/>
        <w:rPr>
          <w:rFonts w:ascii="Times New Roman" w:hAnsi="Times New Roman" w:cs="Times New Roman"/>
          <w:b/>
          <w:sz w:val="24"/>
        </w:rPr>
      </w:pPr>
      <w:r w:rsidRPr="008C1F89">
        <w:rPr>
          <w:rFonts w:ascii="Times New Roman" w:hAnsi="Times New Roman" w:cs="Times New Roman"/>
          <w:b/>
          <w:color w:val="auto"/>
          <w:sz w:val="24"/>
        </w:rPr>
        <w:t xml:space="preserve">Tablica </w:t>
      </w:r>
      <w:r w:rsidR="008C1F89" w:rsidRPr="008C1F89">
        <w:rPr>
          <w:rFonts w:ascii="Times New Roman" w:hAnsi="Times New Roman" w:cs="Times New Roman"/>
          <w:b/>
          <w:color w:val="auto"/>
          <w:sz w:val="24"/>
        </w:rPr>
        <w:t>140</w:t>
      </w:r>
      <w:r w:rsidRPr="008C1F89">
        <w:rPr>
          <w:rFonts w:ascii="Times New Roman" w:hAnsi="Times New Roman" w:cs="Times New Roman"/>
          <w:b/>
          <w:color w:val="auto"/>
          <w:sz w:val="24"/>
        </w:rPr>
        <w:t xml:space="preserve">. Mjere civilne zaštite u slučaju poplave izazvane pucanjem Savskog nasipa i </w:t>
      </w:r>
      <w:r w:rsidR="007872F3">
        <w:rPr>
          <w:rFonts w:ascii="Times New Roman" w:hAnsi="Times New Roman" w:cs="Times New Roman"/>
          <w:b/>
          <w:sz w:val="24"/>
        </w:rPr>
        <w:t>razine spremnosti</w:t>
      </w:r>
    </w:p>
    <w:tbl>
      <w:tblPr>
        <w:tblStyle w:val="TableGrid"/>
        <w:tblW w:w="9072" w:type="dxa"/>
        <w:tblInd w:w="0" w:type="dxa"/>
        <w:tblLayout w:type="fixed"/>
        <w:tblCellMar>
          <w:left w:w="57" w:type="dxa"/>
          <w:right w:w="55" w:type="dxa"/>
        </w:tblCellMar>
        <w:tblLook w:val="04A0" w:firstRow="1" w:lastRow="0" w:firstColumn="1" w:lastColumn="0" w:noHBand="0" w:noVBand="1"/>
      </w:tblPr>
      <w:tblGrid>
        <w:gridCol w:w="3400"/>
        <w:gridCol w:w="1418"/>
        <w:gridCol w:w="1418"/>
        <w:gridCol w:w="1418"/>
        <w:gridCol w:w="1418"/>
      </w:tblGrid>
      <w:tr w:rsidR="00CE4763" w:rsidRPr="00CE4763" w14:paraId="21659D0C" w14:textId="77777777" w:rsidTr="00284074">
        <w:trPr>
          <w:cantSplit/>
          <w:tblHeader/>
        </w:trPr>
        <w:tc>
          <w:tcPr>
            <w:tcW w:w="3402" w:type="dxa"/>
            <w:vMerge w:val="restart"/>
            <w:tcBorders>
              <w:top w:val="single" w:sz="4" w:space="0" w:color="000000"/>
              <w:left w:val="single" w:sz="4" w:space="0" w:color="000000"/>
              <w:bottom w:val="single" w:sz="4" w:space="0" w:color="000000"/>
              <w:right w:val="single" w:sz="4" w:space="0" w:color="000000"/>
            </w:tcBorders>
            <w:vAlign w:val="center"/>
          </w:tcPr>
          <w:p w14:paraId="23EF4BF4"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MJERE CIVILNE ZAŠTITE U SLUČAJU POPLAVE IZAZVANE PUCANJEM SAVSKOG NASIPA</w:t>
            </w: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2E4184EB"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Vrlo 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294E478"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50D92CE"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Visoka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34C5C00E"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Vrlo visoka spremnost</w:t>
            </w:r>
          </w:p>
        </w:tc>
      </w:tr>
      <w:tr w:rsidR="00CE4763" w:rsidRPr="00CE4763" w14:paraId="7D97E449" w14:textId="77777777" w:rsidTr="00284074">
        <w:trPr>
          <w:cantSplit/>
          <w:tblHeader/>
        </w:trPr>
        <w:tc>
          <w:tcPr>
            <w:tcW w:w="3402" w:type="dxa"/>
            <w:vMerge/>
            <w:tcBorders>
              <w:top w:val="nil"/>
              <w:left w:val="single" w:sz="4" w:space="0" w:color="000000"/>
              <w:bottom w:val="single" w:sz="4" w:space="0" w:color="000000"/>
              <w:right w:val="single" w:sz="4" w:space="0" w:color="000000"/>
            </w:tcBorders>
            <w:vAlign w:val="center"/>
          </w:tcPr>
          <w:p w14:paraId="5246A588" w14:textId="77777777" w:rsidR="00CE4763" w:rsidRPr="00CE4763" w:rsidRDefault="00CE4763" w:rsidP="00CE4763">
            <w:pPr>
              <w:spacing w:after="0" w:line="240" w:lineRule="auto"/>
              <w:ind w:left="0" w:right="0" w:firstLine="0"/>
              <w:jc w:val="left"/>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7B4939E1"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33E6705"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C031570"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2D5A55BC"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1</w:t>
            </w:r>
          </w:p>
        </w:tc>
      </w:tr>
      <w:tr w:rsidR="00CE4763" w:rsidRPr="00CE4763" w14:paraId="0F8F84CC" w14:textId="77777777" w:rsidTr="00284074">
        <w:trPr>
          <w:cantSplit/>
        </w:trPr>
        <w:tc>
          <w:tcPr>
            <w:tcW w:w="3402" w:type="dxa"/>
            <w:tcBorders>
              <w:top w:val="single" w:sz="4" w:space="0" w:color="000000"/>
              <w:left w:val="single" w:sz="4" w:space="0" w:color="000000"/>
              <w:bottom w:val="single" w:sz="4" w:space="0" w:color="000000"/>
              <w:right w:val="single" w:sz="4" w:space="0" w:color="000000"/>
            </w:tcBorders>
            <w:vAlign w:val="center"/>
          </w:tcPr>
          <w:p w14:paraId="471DC04D"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Ojačavanje nasipa "zečjim nasipom" ili zemljanim radovima</w:t>
            </w:r>
          </w:p>
        </w:tc>
        <w:tc>
          <w:tcPr>
            <w:tcW w:w="1418" w:type="dxa"/>
            <w:tcBorders>
              <w:top w:val="single" w:sz="4" w:space="0" w:color="000000"/>
              <w:left w:val="single" w:sz="4" w:space="0" w:color="000000"/>
              <w:bottom w:val="single" w:sz="4" w:space="0" w:color="000000"/>
              <w:right w:val="single" w:sz="4" w:space="0" w:color="000000"/>
            </w:tcBorders>
            <w:vAlign w:val="center"/>
          </w:tcPr>
          <w:p w14:paraId="5B672682"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F3D2F95"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09571F41"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6E56B5F6"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000E3248" w14:textId="77777777" w:rsidTr="00284074">
        <w:trPr>
          <w:cantSplit/>
        </w:trPr>
        <w:tc>
          <w:tcPr>
            <w:tcW w:w="3402" w:type="dxa"/>
            <w:tcBorders>
              <w:top w:val="single" w:sz="4" w:space="0" w:color="000000"/>
              <w:left w:val="single" w:sz="4" w:space="0" w:color="000000"/>
              <w:bottom w:val="single" w:sz="4" w:space="0" w:color="000000"/>
              <w:right w:val="single" w:sz="4" w:space="0" w:color="000000"/>
            </w:tcBorders>
            <w:vAlign w:val="center"/>
          </w:tcPr>
          <w:p w14:paraId="0FE64547"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Pomoć ugroženom stanovništvu u evakuaciji i premještanju i u premještanju materijalnih sredstava</w:t>
            </w:r>
          </w:p>
        </w:tc>
        <w:tc>
          <w:tcPr>
            <w:tcW w:w="1418" w:type="dxa"/>
            <w:tcBorders>
              <w:top w:val="single" w:sz="4" w:space="0" w:color="000000"/>
              <w:left w:val="single" w:sz="4" w:space="0" w:color="000000"/>
              <w:bottom w:val="single" w:sz="4" w:space="0" w:color="000000"/>
              <w:right w:val="single" w:sz="4" w:space="0" w:color="000000"/>
            </w:tcBorders>
            <w:vAlign w:val="center"/>
          </w:tcPr>
          <w:p w14:paraId="0FFC6CFE"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1EE089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03CC6B2A"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5437E9B9"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3BFF7A6E" w14:textId="77777777" w:rsidTr="00284074">
        <w:trPr>
          <w:cantSplit/>
        </w:trPr>
        <w:tc>
          <w:tcPr>
            <w:tcW w:w="3402" w:type="dxa"/>
            <w:tcBorders>
              <w:top w:val="single" w:sz="4" w:space="0" w:color="000000"/>
              <w:left w:val="single" w:sz="4" w:space="0" w:color="000000"/>
              <w:bottom w:val="single" w:sz="4" w:space="0" w:color="000000"/>
              <w:right w:val="single" w:sz="4" w:space="0" w:color="000000"/>
            </w:tcBorders>
            <w:vAlign w:val="center"/>
          </w:tcPr>
          <w:p w14:paraId="3BAB9FFD"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Organizacija pružanja prve medicinske pomoći</w:t>
            </w:r>
          </w:p>
        </w:tc>
        <w:tc>
          <w:tcPr>
            <w:tcW w:w="1418" w:type="dxa"/>
            <w:tcBorders>
              <w:top w:val="single" w:sz="4" w:space="0" w:color="000000"/>
              <w:left w:val="single" w:sz="4" w:space="0" w:color="000000"/>
              <w:bottom w:val="single" w:sz="4" w:space="0" w:color="000000"/>
              <w:right w:val="single" w:sz="4" w:space="0" w:color="000000"/>
            </w:tcBorders>
            <w:vAlign w:val="center"/>
          </w:tcPr>
          <w:p w14:paraId="422590B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62DA1D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0FA7458C"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1F23D06C"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3AE62BAC" w14:textId="77777777" w:rsidTr="00284074">
        <w:trPr>
          <w:cantSplit/>
        </w:trPr>
        <w:tc>
          <w:tcPr>
            <w:tcW w:w="3402" w:type="dxa"/>
            <w:tcBorders>
              <w:top w:val="single" w:sz="4" w:space="0" w:color="000000"/>
              <w:left w:val="single" w:sz="4" w:space="0" w:color="000000"/>
              <w:bottom w:val="single" w:sz="4" w:space="0" w:color="000000"/>
              <w:right w:val="single" w:sz="4" w:space="0" w:color="000000"/>
            </w:tcBorders>
            <w:vAlign w:val="center"/>
          </w:tcPr>
          <w:p w14:paraId="5308947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Organizacija pružanja veterinarske pomoći</w:t>
            </w:r>
          </w:p>
        </w:tc>
        <w:tc>
          <w:tcPr>
            <w:tcW w:w="1418" w:type="dxa"/>
            <w:tcBorders>
              <w:top w:val="single" w:sz="4" w:space="0" w:color="000000"/>
              <w:left w:val="single" w:sz="4" w:space="0" w:color="000000"/>
              <w:bottom w:val="single" w:sz="4" w:space="0" w:color="000000"/>
              <w:right w:val="single" w:sz="4" w:space="0" w:color="000000"/>
            </w:tcBorders>
            <w:vAlign w:val="center"/>
          </w:tcPr>
          <w:p w14:paraId="0B349684"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B7EEE09"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4F7ED64A"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4FEFBB02"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6155CB02" w14:textId="77777777" w:rsidTr="00284074">
        <w:trPr>
          <w:cantSplit/>
        </w:trPr>
        <w:tc>
          <w:tcPr>
            <w:tcW w:w="3402" w:type="dxa"/>
            <w:tcBorders>
              <w:top w:val="single" w:sz="4" w:space="0" w:color="000000"/>
              <w:left w:val="single" w:sz="4" w:space="0" w:color="000000"/>
              <w:bottom w:val="single" w:sz="4" w:space="0" w:color="000000"/>
              <w:right w:val="single" w:sz="4" w:space="0" w:color="000000"/>
            </w:tcBorders>
            <w:vAlign w:val="center"/>
          </w:tcPr>
          <w:p w14:paraId="2B26273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Organizacija provođenja asanacije</w:t>
            </w:r>
          </w:p>
        </w:tc>
        <w:tc>
          <w:tcPr>
            <w:tcW w:w="1418" w:type="dxa"/>
            <w:tcBorders>
              <w:top w:val="single" w:sz="4" w:space="0" w:color="000000"/>
              <w:left w:val="single" w:sz="4" w:space="0" w:color="000000"/>
              <w:bottom w:val="single" w:sz="4" w:space="0" w:color="000000"/>
              <w:right w:val="single" w:sz="4" w:space="0" w:color="000000"/>
            </w:tcBorders>
            <w:vAlign w:val="center"/>
          </w:tcPr>
          <w:p w14:paraId="71BA8E7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CF85B40"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ED16F00"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439C6184" w14:textId="77777777" w:rsidR="00CE4763" w:rsidRPr="00CE4763" w:rsidRDefault="00CE4763" w:rsidP="00CE4763">
            <w:pPr>
              <w:spacing w:after="0" w:line="240" w:lineRule="auto"/>
              <w:ind w:left="0" w:right="0" w:firstLine="0"/>
              <w:jc w:val="center"/>
              <w:rPr>
                <w:rFonts w:ascii="Times New Roman" w:hAnsi="Times New Roman" w:cs="Times New Roman"/>
              </w:rPr>
            </w:pPr>
          </w:p>
        </w:tc>
      </w:tr>
    </w:tbl>
    <w:p w14:paraId="335A0590"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1F942621" w14:textId="379CA97E" w:rsid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 xml:space="preserve">Spremnost odgovornih i upravljačkih kapaciteta te </w:t>
      </w:r>
      <w:r w:rsidR="00AE70FB" w:rsidRPr="00CE4763">
        <w:rPr>
          <w:rFonts w:ascii="Times New Roman" w:hAnsi="Times New Roman" w:cs="Times New Roman"/>
          <w:sz w:val="24"/>
        </w:rPr>
        <w:t xml:space="preserve">stanje operativnih kapaciteta u slučaju poplave kojoj je uzrok pucanje Savskog nasipa procjenjuje </w:t>
      </w:r>
      <w:r w:rsidR="001919E8">
        <w:rPr>
          <w:rFonts w:ascii="Times New Roman" w:hAnsi="Times New Roman" w:cs="Times New Roman"/>
          <w:sz w:val="24"/>
        </w:rPr>
        <w:t xml:space="preserve">se </w:t>
      </w:r>
      <w:r w:rsidR="00AE70FB" w:rsidRPr="00CE4763">
        <w:rPr>
          <w:rFonts w:ascii="Times New Roman" w:hAnsi="Times New Roman" w:cs="Times New Roman"/>
          <w:sz w:val="24"/>
        </w:rPr>
        <w:t>visokom</w:t>
      </w:r>
      <w:r w:rsidR="001919E8">
        <w:rPr>
          <w:rFonts w:ascii="Times New Roman" w:hAnsi="Times New Roman" w:cs="Times New Roman"/>
          <w:sz w:val="24"/>
        </w:rPr>
        <w:t>, dok se</w:t>
      </w:r>
      <w:r w:rsidR="00AE70FB" w:rsidRPr="00CE4763">
        <w:rPr>
          <w:rFonts w:ascii="Times New Roman" w:hAnsi="Times New Roman" w:cs="Times New Roman"/>
          <w:sz w:val="24"/>
        </w:rPr>
        <w:t xml:space="preserve"> </w:t>
      </w:r>
      <w:r w:rsidRPr="00CE4763">
        <w:rPr>
          <w:rFonts w:ascii="Times New Roman" w:hAnsi="Times New Roman" w:cs="Times New Roman"/>
          <w:sz w:val="24"/>
        </w:rPr>
        <w:t>stanje mobilnosti operativnih kapaciteta sustava civilne zaštite i stanje komunikacijskih kapaciteta procjenjuje vrlo visokom. Postojeće snage civilne zaštite u navedenom slučaju (najgori slučaj) bile bi dovoljne u provođenju mjera civilne zaštite.</w:t>
      </w:r>
    </w:p>
    <w:p w14:paraId="5E68D815" w14:textId="77368913" w:rsidR="00385A37" w:rsidRDefault="00385A37" w:rsidP="00CE4763">
      <w:pPr>
        <w:spacing w:after="0" w:line="240" w:lineRule="auto"/>
        <w:ind w:left="0" w:right="0" w:firstLine="709"/>
        <w:rPr>
          <w:rFonts w:ascii="Times New Roman" w:hAnsi="Times New Roman" w:cs="Times New Roman"/>
          <w:sz w:val="24"/>
        </w:rPr>
      </w:pPr>
    </w:p>
    <w:p w14:paraId="023589E1" w14:textId="5AF72679" w:rsidR="00385A37" w:rsidRDefault="00385A37" w:rsidP="00CE4763">
      <w:pPr>
        <w:spacing w:after="0" w:line="240" w:lineRule="auto"/>
        <w:ind w:left="0" w:right="0" w:firstLine="709"/>
        <w:rPr>
          <w:rFonts w:ascii="Times New Roman" w:hAnsi="Times New Roman" w:cs="Times New Roman"/>
          <w:sz w:val="24"/>
        </w:rPr>
      </w:pPr>
    </w:p>
    <w:p w14:paraId="568BD077" w14:textId="4CC95446" w:rsidR="00385A37" w:rsidRDefault="00385A37" w:rsidP="00CE4763">
      <w:pPr>
        <w:spacing w:after="0" w:line="240" w:lineRule="auto"/>
        <w:ind w:left="0" w:right="0" w:firstLine="709"/>
        <w:rPr>
          <w:rFonts w:ascii="Times New Roman" w:hAnsi="Times New Roman" w:cs="Times New Roman"/>
          <w:sz w:val="24"/>
        </w:rPr>
      </w:pPr>
    </w:p>
    <w:p w14:paraId="62B2E29C" w14:textId="03AC6B11" w:rsidR="00385A37" w:rsidRDefault="00385A37" w:rsidP="00CE4763">
      <w:pPr>
        <w:spacing w:after="0" w:line="240" w:lineRule="auto"/>
        <w:ind w:left="0" w:right="0" w:firstLine="709"/>
        <w:rPr>
          <w:rFonts w:ascii="Times New Roman" w:hAnsi="Times New Roman" w:cs="Times New Roman"/>
          <w:sz w:val="24"/>
        </w:rPr>
      </w:pPr>
    </w:p>
    <w:p w14:paraId="08943057" w14:textId="77777777" w:rsidR="00385A37" w:rsidRPr="00CE4763" w:rsidRDefault="00385A37" w:rsidP="00CE4763">
      <w:pPr>
        <w:spacing w:after="0" w:line="240" w:lineRule="auto"/>
        <w:ind w:left="0" w:right="0" w:firstLine="709"/>
        <w:rPr>
          <w:rFonts w:ascii="Times New Roman" w:hAnsi="Times New Roman" w:cs="Times New Roman"/>
          <w:sz w:val="24"/>
        </w:rPr>
      </w:pPr>
    </w:p>
    <w:p w14:paraId="738801E3" w14:textId="77777777" w:rsidR="00FB6440" w:rsidRPr="00CE4763" w:rsidRDefault="00FB6440" w:rsidP="00CE4763">
      <w:pPr>
        <w:spacing w:after="0" w:line="240" w:lineRule="auto"/>
        <w:ind w:right="0"/>
        <w:rPr>
          <w:rFonts w:ascii="Times New Roman" w:hAnsi="Times New Roman" w:cs="Times New Roman"/>
          <w:sz w:val="24"/>
        </w:rPr>
      </w:pPr>
    </w:p>
    <w:p w14:paraId="1514C604" w14:textId="581C3067" w:rsidR="00CE4763" w:rsidRPr="008C1F89" w:rsidRDefault="00CE4763" w:rsidP="007872F3">
      <w:pPr>
        <w:spacing w:line="240" w:lineRule="auto"/>
        <w:ind w:left="0" w:right="0" w:firstLine="0"/>
        <w:jc w:val="center"/>
        <w:rPr>
          <w:rFonts w:ascii="Times New Roman" w:hAnsi="Times New Roman" w:cs="Times New Roman"/>
          <w:b/>
          <w:color w:val="auto"/>
          <w:sz w:val="24"/>
        </w:rPr>
      </w:pPr>
      <w:r w:rsidRPr="008C1F89">
        <w:rPr>
          <w:rFonts w:ascii="Times New Roman" w:hAnsi="Times New Roman" w:cs="Times New Roman"/>
          <w:b/>
          <w:color w:val="auto"/>
          <w:sz w:val="24"/>
        </w:rPr>
        <w:lastRenderedPageBreak/>
        <w:t>Tablica 1</w:t>
      </w:r>
      <w:r w:rsidR="008C1F89" w:rsidRPr="008C1F89">
        <w:rPr>
          <w:rFonts w:ascii="Times New Roman" w:hAnsi="Times New Roman" w:cs="Times New Roman"/>
          <w:b/>
          <w:color w:val="auto"/>
          <w:sz w:val="24"/>
        </w:rPr>
        <w:t>41</w:t>
      </w:r>
      <w:r w:rsidRPr="008C1F89">
        <w:rPr>
          <w:rFonts w:ascii="Times New Roman" w:hAnsi="Times New Roman" w:cs="Times New Roman"/>
          <w:b/>
          <w:color w:val="auto"/>
          <w:sz w:val="24"/>
        </w:rPr>
        <w:t>. Analiza sustava civilne zaštite - područje reagiranja - Poplava</w:t>
      </w:r>
    </w:p>
    <w:tbl>
      <w:tblPr>
        <w:tblStyle w:val="TableGrid"/>
        <w:tblW w:w="9072" w:type="dxa"/>
        <w:tblInd w:w="0" w:type="dxa"/>
        <w:tblLayout w:type="fixed"/>
        <w:tblCellMar>
          <w:left w:w="57" w:type="dxa"/>
          <w:right w:w="57" w:type="dxa"/>
        </w:tblCellMar>
        <w:tblLook w:val="04A0" w:firstRow="1" w:lastRow="0" w:firstColumn="1" w:lastColumn="0" w:noHBand="0" w:noVBand="1"/>
      </w:tblPr>
      <w:tblGrid>
        <w:gridCol w:w="3400"/>
        <w:gridCol w:w="1418"/>
        <w:gridCol w:w="1418"/>
        <w:gridCol w:w="1418"/>
        <w:gridCol w:w="1418"/>
      </w:tblGrid>
      <w:tr w:rsidR="00CE4763" w:rsidRPr="00CE4763" w14:paraId="1928A2F0" w14:textId="77777777" w:rsidTr="00284074">
        <w:trPr>
          <w:cantSplit/>
          <w:tblHeader/>
        </w:trPr>
        <w:tc>
          <w:tcPr>
            <w:tcW w:w="3400" w:type="dxa"/>
            <w:vMerge w:val="restart"/>
            <w:tcBorders>
              <w:top w:val="single" w:sz="4" w:space="0" w:color="000000"/>
              <w:left w:val="single" w:sz="4" w:space="0" w:color="000000"/>
              <w:bottom w:val="single" w:sz="4" w:space="0" w:color="000000"/>
              <w:right w:val="single" w:sz="4" w:space="0" w:color="000000"/>
            </w:tcBorders>
            <w:vAlign w:val="center"/>
          </w:tcPr>
          <w:p w14:paraId="084B914C"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PODRUČJE REAGIRANJA</w:t>
            </w: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5611C55C"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Vrlo 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2CD2F78"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14A2C84B" w14:textId="77777777" w:rsidR="00CE4763" w:rsidRPr="00CE4763" w:rsidRDefault="00CE4763" w:rsidP="00CE4763">
            <w:pPr>
              <w:spacing w:after="0" w:line="240" w:lineRule="auto"/>
              <w:ind w:left="0" w:right="0" w:firstLine="0"/>
              <w:jc w:val="center"/>
              <w:rPr>
                <w:rFonts w:ascii="Times New Roman" w:hAnsi="Times New Roman" w:cs="Times New Roman"/>
                <w:b/>
              </w:rPr>
            </w:pPr>
            <w:r w:rsidRPr="00CE4763">
              <w:rPr>
                <w:rFonts w:ascii="Times New Roman" w:hAnsi="Times New Roman" w:cs="Times New Roman"/>
                <w:b/>
              </w:rPr>
              <w:t>Visoka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43EA937B"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Vrlo visoka spremnost</w:t>
            </w:r>
          </w:p>
        </w:tc>
      </w:tr>
      <w:tr w:rsidR="00CE4763" w:rsidRPr="00CE4763" w14:paraId="6268F288" w14:textId="77777777" w:rsidTr="00284074">
        <w:trPr>
          <w:cantSplit/>
          <w:tblHeader/>
        </w:trPr>
        <w:tc>
          <w:tcPr>
            <w:tcW w:w="3400" w:type="dxa"/>
            <w:vMerge/>
            <w:tcBorders>
              <w:top w:val="nil"/>
              <w:left w:val="single" w:sz="4" w:space="0" w:color="000000"/>
              <w:bottom w:val="single" w:sz="4" w:space="0" w:color="000000"/>
              <w:right w:val="single" w:sz="4" w:space="0" w:color="000000"/>
            </w:tcBorders>
            <w:vAlign w:val="center"/>
          </w:tcPr>
          <w:p w14:paraId="46FF8F14" w14:textId="77777777" w:rsidR="00CE4763" w:rsidRPr="00CE4763" w:rsidRDefault="00CE4763" w:rsidP="00CE4763">
            <w:pPr>
              <w:spacing w:after="0" w:line="240" w:lineRule="auto"/>
              <w:ind w:left="0" w:right="0" w:firstLine="0"/>
              <w:jc w:val="left"/>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5520CD74"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676B727"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735D2F1A" w14:textId="77777777" w:rsidR="00CE4763" w:rsidRPr="00CE4763" w:rsidRDefault="00CE4763" w:rsidP="00CE4763">
            <w:pPr>
              <w:spacing w:after="0" w:line="240" w:lineRule="auto"/>
              <w:ind w:left="0" w:right="0" w:firstLine="0"/>
              <w:jc w:val="center"/>
              <w:rPr>
                <w:rFonts w:ascii="Times New Roman" w:hAnsi="Times New Roman" w:cs="Times New Roman"/>
                <w:b/>
              </w:rPr>
            </w:pPr>
            <w:r w:rsidRPr="00CE4763">
              <w:rPr>
                <w:rFonts w:ascii="Times New Roman" w:hAnsi="Times New Roman" w:cs="Times New Roman"/>
                <w:b/>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58E4F3C7"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1</w:t>
            </w:r>
          </w:p>
        </w:tc>
      </w:tr>
      <w:tr w:rsidR="00CE4763" w:rsidRPr="00CE4763" w14:paraId="20EEB589"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6F2D320E"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Spremnost odgovornih i upravljačkih kapaciteta</w:t>
            </w:r>
          </w:p>
        </w:tc>
        <w:tc>
          <w:tcPr>
            <w:tcW w:w="1418" w:type="dxa"/>
            <w:tcBorders>
              <w:top w:val="single" w:sz="4" w:space="0" w:color="000000"/>
              <w:left w:val="single" w:sz="4" w:space="0" w:color="000000"/>
              <w:bottom w:val="single" w:sz="4" w:space="0" w:color="000000"/>
              <w:right w:val="single" w:sz="4" w:space="0" w:color="000000"/>
            </w:tcBorders>
            <w:vAlign w:val="center"/>
          </w:tcPr>
          <w:p w14:paraId="33E63D72"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2D009B8"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211A060"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1942561F"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6351DE77"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00B70D2F"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Spremnost operativnih kapaciteta</w:t>
            </w:r>
          </w:p>
        </w:tc>
        <w:tc>
          <w:tcPr>
            <w:tcW w:w="1418" w:type="dxa"/>
            <w:tcBorders>
              <w:top w:val="single" w:sz="4" w:space="0" w:color="000000"/>
              <w:left w:val="single" w:sz="4" w:space="0" w:color="000000"/>
              <w:bottom w:val="single" w:sz="4" w:space="0" w:color="000000"/>
              <w:right w:val="single" w:sz="4" w:space="0" w:color="000000"/>
            </w:tcBorders>
            <w:vAlign w:val="center"/>
          </w:tcPr>
          <w:p w14:paraId="09817156"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45E598A1"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41D3A29"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404CF4A3"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6E764E2A"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56D05F7C"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Stanje mobilnosti operativnih kapaciteta sustava civilne zaštite i stanja komunikacijskih kapaciteta</w:t>
            </w:r>
          </w:p>
        </w:tc>
        <w:tc>
          <w:tcPr>
            <w:tcW w:w="1418" w:type="dxa"/>
            <w:tcBorders>
              <w:top w:val="single" w:sz="4" w:space="0" w:color="000000"/>
              <w:left w:val="single" w:sz="4" w:space="0" w:color="000000"/>
              <w:bottom w:val="single" w:sz="4" w:space="0" w:color="000000"/>
              <w:right w:val="single" w:sz="4" w:space="0" w:color="000000"/>
            </w:tcBorders>
            <w:vAlign w:val="center"/>
          </w:tcPr>
          <w:p w14:paraId="12EBF33D"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00DF20D0"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0AFA8124"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4738F0AF"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rPr>
              <w:t>x</w:t>
            </w:r>
          </w:p>
        </w:tc>
      </w:tr>
      <w:tr w:rsidR="00CE4763" w:rsidRPr="00CE4763" w14:paraId="2C8C9537"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4BA188A9"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Područje reagiranja u slučaju POPLAVA - ZBIRNO</w:t>
            </w:r>
          </w:p>
        </w:tc>
        <w:tc>
          <w:tcPr>
            <w:tcW w:w="1418" w:type="dxa"/>
            <w:tcBorders>
              <w:top w:val="single" w:sz="4" w:space="0" w:color="000000"/>
              <w:left w:val="single" w:sz="4" w:space="0" w:color="000000"/>
              <w:bottom w:val="single" w:sz="4" w:space="0" w:color="000000"/>
              <w:right w:val="single" w:sz="4" w:space="0" w:color="000000"/>
            </w:tcBorders>
            <w:vAlign w:val="center"/>
          </w:tcPr>
          <w:p w14:paraId="0F048859"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BEF86B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F0FDFC9"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4F0922E5" w14:textId="77777777" w:rsidR="00CE4763" w:rsidRPr="00CE4763" w:rsidRDefault="00CE4763" w:rsidP="00CE4763">
            <w:pPr>
              <w:spacing w:after="0" w:line="240" w:lineRule="auto"/>
              <w:ind w:left="0" w:right="0" w:firstLine="0"/>
              <w:jc w:val="center"/>
              <w:rPr>
                <w:rFonts w:ascii="Times New Roman" w:hAnsi="Times New Roman" w:cs="Times New Roman"/>
              </w:rPr>
            </w:pPr>
          </w:p>
        </w:tc>
      </w:tr>
    </w:tbl>
    <w:p w14:paraId="37448731" w14:textId="77777777" w:rsidR="00385A37" w:rsidRDefault="00385A37" w:rsidP="00CE4763">
      <w:pPr>
        <w:spacing w:after="0" w:line="240" w:lineRule="auto"/>
        <w:ind w:left="0" w:right="0" w:firstLine="709"/>
        <w:rPr>
          <w:rFonts w:ascii="Times New Roman" w:hAnsi="Times New Roman" w:cs="Times New Roman"/>
          <w:sz w:val="24"/>
          <w:u w:val="single"/>
        </w:rPr>
      </w:pPr>
    </w:p>
    <w:p w14:paraId="02C1408B" w14:textId="380F1FD2" w:rsidR="00CE4763" w:rsidRPr="00CE4763" w:rsidRDefault="00CE4763" w:rsidP="00CE4763">
      <w:pPr>
        <w:spacing w:after="0" w:line="240" w:lineRule="auto"/>
        <w:ind w:left="0" w:right="0" w:firstLine="709"/>
        <w:rPr>
          <w:rFonts w:ascii="Times New Roman" w:hAnsi="Times New Roman" w:cs="Times New Roman"/>
          <w:sz w:val="24"/>
          <w:u w:val="single"/>
        </w:rPr>
      </w:pPr>
      <w:r w:rsidRPr="00CE4763">
        <w:rPr>
          <w:rFonts w:ascii="Times New Roman" w:hAnsi="Times New Roman" w:cs="Times New Roman"/>
          <w:sz w:val="24"/>
          <w:u w:val="single"/>
        </w:rPr>
        <w:t>Zaključak</w:t>
      </w:r>
    </w:p>
    <w:p w14:paraId="4AD5C08E"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Postojeće snage civilne zaštite u navedenom slučaju (najgori slučaj) bile bi dovoljne u provođenju mjera civilne zaštite.</w:t>
      </w:r>
    </w:p>
    <w:p w14:paraId="0548D9F0"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56DD8834" w14:textId="4C21802B" w:rsidR="00CE4763" w:rsidRDefault="00CE4763" w:rsidP="00CE4763">
      <w:pPr>
        <w:spacing w:after="0" w:line="240" w:lineRule="auto"/>
        <w:ind w:left="0" w:right="0" w:firstLine="709"/>
        <w:rPr>
          <w:rFonts w:ascii="Times New Roman" w:hAnsi="Times New Roman" w:cs="Times New Roman"/>
          <w:b/>
          <w:sz w:val="24"/>
        </w:rPr>
      </w:pPr>
      <w:r w:rsidRPr="00CE4763">
        <w:rPr>
          <w:rFonts w:ascii="Times New Roman" w:hAnsi="Times New Roman" w:cs="Times New Roman"/>
          <w:b/>
          <w:sz w:val="24"/>
        </w:rPr>
        <w:t>8.2.3. ANALIZA SUSTAVA CIVILNE ZAŠTITE - PODRUČJE REAGIRANJA -</w:t>
      </w:r>
      <w:bookmarkStart w:id="146" w:name="_Toc2938649"/>
      <w:r w:rsidRPr="00CE4763">
        <w:rPr>
          <w:rFonts w:ascii="Times New Roman" w:hAnsi="Times New Roman" w:cs="Times New Roman"/>
          <w:b/>
          <w:sz w:val="24"/>
        </w:rPr>
        <w:t xml:space="preserve"> INDUSTRIJSKE NESREĆE</w:t>
      </w:r>
      <w:bookmarkEnd w:id="146"/>
    </w:p>
    <w:p w14:paraId="3C3ED101" w14:textId="77777777" w:rsidR="007872F3" w:rsidRPr="00CE4763" w:rsidRDefault="007872F3" w:rsidP="00CE4763">
      <w:pPr>
        <w:spacing w:after="0" w:line="240" w:lineRule="auto"/>
        <w:ind w:left="0" w:right="0" w:firstLine="709"/>
        <w:rPr>
          <w:rFonts w:ascii="Times New Roman" w:hAnsi="Times New Roman" w:cs="Times New Roman"/>
          <w:b/>
          <w:sz w:val="24"/>
        </w:rPr>
      </w:pPr>
    </w:p>
    <w:p w14:paraId="0BBF1FB1"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Analiza sustava civilne zaštite u području reagiranja temelji se na najgorem scenariju koji je obrađen u Poglavlju 6.3. Procjene rizika (pojava domino-efekta na području industrijske zone Žitnjak izazvana eksplozijom ukapljenog naftnog plina) vrlo male vjerojatnosti pojavljivanja.</w:t>
      </w:r>
    </w:p>
    <w:p w14:paraId="3E2F72E3"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i/>
          <w:sz w:val="24"/>
        </w:rPr>
        <w:t>Vrlo niska spremnost</w:t>
      </w:r>
      <w:r w:rsidRPr="00CE4763">
        <w:rPr>
          <w:rFonts w:ascii="Times New Roman" w:hAnsi="Times New Roman" w:cs="Times New Roman"/>
          <w:sz w:val="24"/>
        </w:rPr>
        <w:t xml:space="preserve"> podrazumijeva da postojeći kapaciteti nisu dostatni pa je potrebno odmah tražiti pomoć izvan zone pogođenog područja (druge županije/gradovi odnosno međunarodnu pomoć). </w:t>
      </w:r>
      <w:r w:rsidRPr="00CE4763">
        <w:rPr>
          <w:rFonts w:ascii="Times New Roman" w:hAnsi="Times New Roman" w:cs="Times New Roman"/>
          <w:i/>
          <w:sz w:val="24"/>
        </w:rPr>
        <w:t>Niska spremnost</w:t>
      </w:r>
      <w:r w:rsidRPr="00CE4763">
        <w:rPr>
          <w:rFonts w:ascii="Times New Roman" w:hAnsi="Times New Roman" w:cs="Times New Roman"/>
          <w:sz w:val="24"/>
        </w:rPr>
        <w:t xml:space="preserve"> odnosi se na sposobnost djelomičnog obavljanja zadaća uz velike poteškoće (nedovoljno ljudi i opreme) pa je potrebno računati na pomoć izvan zone pogođenog područja (druge županije/gradovi odnosno međunarodnu pomoć). </w:t>
      </w:r>
      <w:r w:rsidRPr="00CE4763">
        <w:rPr>
          <w:rFonts w:ascii="Times New Roman" w:hAnsi="Times New Roman" w:cs="Times New Roman"/>
          <w:i/>
          <w:sz w:val="24"/>
        </w:rPr>
        <w:t>Visoka spremnost</w:t>
      </w:r>
      <w:r w:rsidRPr="00CE4763">
        <w:rPr>
          <w:rFonts w:ascii="Times New Roman" w:hAnsi="Times New Roman" w:cs="Times New Roman"/>
          <w:sz w:val="24"/>
        </w:rPr>
        <w:t xml:space="preserve"> podrazumijeva optimalnu reakciju uz određene manje teškoće prilikom planiranja zamjene snaga, ali visoku razinu samodostatnosti u obavljanju zadaća civilne zaštite. </w:t>
      </w:r>
      <w:r w:rsidRPr="00CE4763">
        <w:rPr>
          <w:rFonts w:ascii="Times New Roman" w:hAnsi="Times New Roman" w:cs="Times New Roman"/>
          <w:i/>
          <w:sz w:val="24"/>
        </w:rPr>
        <w:t>Vrlo visoka spremnost</w:t>
      </w:r>
      <w:r w:rsidRPr="00CE4763">
        <w:rPr>
          <w:rFonts w:ascii="Times New Roman" w:hAnsi="Times New Roman" w:cs="Times New Roman"/>
          <w:sz w:val="24"/>
        </w:rPr>
        <w:t xml:space="preserve"> podrazumijeva potpunu samodostatnost i u planiranju zamjenskih snaga odnosno mogućnost redovitog i pravodobnog obavljanja svih zadaća.</w:t>
      </w:r>
    </w:p>
    <w:p w14:paraId="3D574109"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5766D68D" w14:textId="2E7FE86B" w:rsidR="00CE4763" w:rsidRPr="00CE4763" w:rsidRDefault="00CE4763" w:rsidP="007872F3">
      <w:pPr>
        <w:spacing w:line="240" w:lineRule="auto"/>
        <w:ind w:left="0" w:right="0" w:firstLine="0"/>
        <w:jc w:val="center"/>
        <w:rPr>
          <w:rFonts w:ascii="Times New Roman" w:hAnsi="Times New Roman" w:cs="Times New Roman"/>
          <w:b/>
          <w:sz w:val="24"/>
        </w:rPr>
      </w:pPr>
      <w:r w:rsidRPr="008C1F89">
        <w:rPr>
          <w:rFonts w:ascii="Times New Roman" w:hAnsi="Times New Roman" w:cs="Times New Roman"/>
          <w:b/>
          <w:color w:val="auto"/>
          <w:sz w:val="24"/>
        </w:rPr>
        <w:t xml:space="preserve">Tablica </w:t>
      </w:r>
      <w:r w:rsidR="008C1F89" w:rsidRPr="008C1F89">
        <w:rPr>
          <w:rFonts w:ascii="Times New Roman" w:hAnsi="Times New Roman" w:cs="Times New Roman"/>
          <w:b/>
          <w:color w:val="auto"/>
          <w:sz w:val="24"/>
        </w:rPr>
        <w:t>142</w:t>
      </w:r>
      <w:r w:rsidRPr="008C1F89">
        <w:rPr>
          <w:rFonts w:ascii="Times New Roman" w:hAnsi="Times New Roman" w:cs="Times New Roman"/>
          <w:b/>
          <w:color w:val="auto"/>
          <w:sz w:val="24"/>
        </w:rPr>
        <w:t xml:space="preserve">. Mjere civilne zaštite u slučaju pojave domino-efekta na području </w:t>
      </w:r>
      <w:r w:rsidRPr="00CE4763">
        <w:rPr>
          <w:rFonts w:ascii="Times New Roman" w:hAnsi="Times New Roman" w:cs="Times New Roman"/>
          <w:b/>
          <w:sz w:val="24"/>
        </w:rPr>
        <w:t>industrijske zone Žitnjak</w:t>
      </w:r>
    </w:p>
    <w:tbl>
      <w:tblPr>
        <w:tblStyle w:val="TableGrid"/>
        <w:tblW w:w="9072" w:type="dxa"/>
        <w:tblInd w:w="0" w:type="dxa"/>
        <w:tblLayout w:type="fixed"/>
        <w:tblCellMar>
          <w:left w:w="57" w:type="dxa"/>
          <w:right w:w="55" w:type="dxa"/>
        </w:tblCellMar>
        <w:tblLook w:val="04A0" w:firstRow="1" w:lastRow="0" w:firstColumn="1" w:lastColumn="0" w:noHBand="0" w:noVBand="1"/>
      </w:tblPr>
      <w:tblGrid>
        <w:gridCol w:w="3400"/>
        <w:gridCol w:w="1418"/>
        <w:gridCol w:w="1418"/>
        <w:gridCol w:w="1418"/>
        <w:gridCol w:w="1418"/>
      </w:tblGrid>
      <w:tr w:rsidR="00CE4763" w:rsidRPr="00CE4763" w14:paraId="00DBFB18" w14:textId="77777777" w:rsidTr="00284074">
        <w:trPr>
          <w:cantSplit/>
          <w:tblHeader/>
        </w:trPr>
        <w:tc>
          <w:tcPr>
            <w:tcW w:w="3400" w:type="dxa"/>
            <w:vMerge w:val="restart"/>
            <w:tcBorders>
              <w:top w:val="single" w:sz="4" w:space="0" w:color="000000"/>
              <w:left w:val="single" w:sz="4" w:space="0" w:color="000000"/>
              <w:bottom w:val="single" w:sz="4" w:space="0" w:color="000000"/>
              <w:right w:val="single" w:sz="4" w:space="0" w:color="000000"/>
            </w:tcBorders>
            <w:vAlign w:val="center"/>
          </w:tcPr>
          <w:p w14:paraId="39BE3175"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MJERE CIVILNE ZAŠTITE U SLUČAJU POJAVE DOMINO-EFEKTA NA PODRUČJU INDUSTRIJSKE ZONE ŽITNJAK</w:t>
            </w: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507C1D96"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Vrlo 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487D34A"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9C1A8E2"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Visoka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0578A844"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Vrlo visoka spremnost</w:t>
            </w:r>
          </w:p>
        </w:tc>
      </w:tr>
      <w:tr w:rsidR="00CE4763" w:rsidRPr="00CE4763" w14:paraId="347BEEA3" w14:textId="77777777" w:rsidTr="00284074">
        <w:trPr>
          <w:cantSplit/>
          <w:tblHeader/>
        </w:trPr>
        <w:tc>
          <w:tcPr>
            <w:tcW w:w="3400" w:type="dxa"/>
            <w:vMerge/>
            <w:tcBorders>
              <w:top w:val="nil"/>
              <w:left w:val="single" w:sz="4" w:space="0" w:color="000000"/>
              <w:bottom w:val="single" w:sz="4" w:space="0" w:color="000000"/>
              <w:right w:val="single" w:sz="4" w:space="0" w:color="000000"/>
            </w:tcBorders>
            <w:vAlign w:val="center"/>
          </w:tcPr>
          <w:p w14:paraId="123C78A6" w14:textId="77777777" w:rsidR="00CE4763" w:rsidRPr="00CE4763" w:rsidRDefault="00CE4763" w:rsidP="00CE4763">
            <w:pPr>
              <w:spacing w:after="0" w:line="240" w:lineRule="auto"/>
              <w:ind w:left="0" w:right="0" w:firstLine="0"/>
              <w:jc w:val="left"/>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34ED433C"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D392C5B"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656748D4"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4661E430"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1</w:t>
            </w:r>
          </w:p>
        </w:tc>
      </w:tr>
      <w:tr w:rsidR="00CE4763" w:rsidRPr="00CE4763" w14:paraId="14D665D9"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117EBDF5"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Evakuacija u slučaju neposredne opasnosti od opasne tvari</w:t>
            </w:r>
          </w:p>
        </w:tc>
        <w:tc>
          <w:tcPr>
            <w:tcW w:w="1418" w:type="dxa"/>
            <w:tcBorders>
              <w:top w:val="single" w:sz="4" w:space="0" w:color="000000"/>
              <w:left w:val="single" w:sz="4" w:space="0" w:color="000000"/>
              <w:bottom w:val="single" w:sz="4" w:space="0" w:color="000000"/>
              <w:right w:val="single" w:sz="4" w:space="0" w:color="000000"/>
            </w:tcBorders>
            <w:vAlign w:val="center"/>
          </w:tcPr>
          <w:p w14:paraId="464A1235"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2A9498E"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53779F4E"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2F27618F"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4B316848"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000DE07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Zbrinjavanje evakuiranih osoba</w:t>
            </w:r>
          </w:p>
        </w:tc>
        <w:tc>
          <w:tcPr>
            <w:tcW w:w="1418" w:type="dxa"/>
            <w:tcBorders>
              <w:top w:val="single" w:sz="4" w:space="0" w:color="000000"/>
              <w:left w:val="single" w:sz="4" w:space="0" w:color="000000"/>
              <w:bottom w:val="single" w:sz="4" w:space="0" w:color="000000"/>
              <w:right w:val="single" w:sz="4" w:space="0" w:color="000000"/>
            </w:tcBorders>
            <w:vAlign w:val="center"/>
          </w:tcPr>
          <w:p w14:paraId="2F691CA2"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E7C3FCD"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FA897DB"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71D6741D"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72DE6259"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417A73CA"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Zdravstveno zbrinjavanje povrijeđenih osoba</w:t>
            </w:r>
          </w:p>
        </w:tc>
        <w:tc>
          <w:tcPr>
            <w:tcW w:w="1418" w:type="dxa"/>
            <w:tcBorders>
              <w:top w:val="single" w:sz="4" w:space="0" w:color="000000"/>
              <w:left w:val="single" w:sz="4" w:space="0" w:color="000000"/>
              <w:bottom w:val="single" w:sz="4" w:space="0" w:color="000000"/>
              <w:right w:val="single" w:sz="4" w:space="0" w:color="000000"/>
            </w:tcBorders>
            <w:vAlign w:val="center"/>
          </w:tcPr>
          <w:p w14:paraId="11B8D9DD"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B8A9FB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01E24AC"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6F719141"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682ED262"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586FD45C"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Gašenje požara i dekontaminacija</w:t>
            </w:r>
          </w:p>
        </w:tc>
        <w:tc>
          <w:tcPr>
            <w:tcW w:w="1418" w:type="dxa"/>
            <w:tcBorders>
              <w:top w:val="single" w:sz="4" w:space="0" w:color="000000"/>
              <w:left w:val="single" w:sz="4" w:space="0" w:color="000000"/>
              <w:bottom w:val="single" w:sz="4" w:space="0" w:color="000000"/>
              <w:right w:val="single" w:sz="4" w:space="0" w:color="000000"/>
            </w:tcBorders>
            <w:vAlign w:val="center"/>
          </w:tcPr>
          <w:p w14:paraId="5532BA24"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61BE66D"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476393ED"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522ECB01"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2E821C04"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6749DE74"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Regulacija prometa i osiguranje područja intervencije</w:t>
            </w:r>
          </w:p>
        </w:tc>
        <w:tc>
          <w:tcPr>
            <w:tcW w:w="1418" w:type="dxa"/>
            <w:tcBorders>
              <w:top w:val="single" w:sz="4" w:space="0" w:color="000000"/>
              <w:left w:val="single" w:sz="4" w:space="0" w:color="000000"/>
              <w:bottom w:val="single" w:sz="4" w:space="0" w:color="000000"/>
              <w:right w:val="single" w:sz="4" w:space="0" w:color="000000"/>
            </w:tcBorders>
            <w:vAlign w:val="center"/>
          </w:tcPr>
          <w:p w14:paraId="17E7F4B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8A3CB86"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EC3B29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4A81032"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r>
      <w:tr w:rsidR="00CE4763" w:rsidRPr="00CE4763" w14:paraId="1E96A7C8"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507994BA"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lastRenderedPageBreak/>
              <w:t>Čišćenje prometnica i kanala za odvodnju, zemljani radovi uklanjanja kontaminiranog zemljišta i dijelova objekata</w:t>
            </w:r>
          </w:p>
        </w:tc>
        <w:tc>
          <w:tcPr>
            <w:tcW w:w="1418" w:type="dxa"/>
            <w:tcBorders>
              <w:top w:val="single" w:sz="4" w:space="0" w:color="000000"/>
              <w:left w:val="single" w:sz="4" w:space="0" w:color="000000"/>
              <w:bottom w:val="single" w:sz="4" w:space="0" w:color="000000"/>
              <w:right w:val="single" w:sz="4" w:space="0" w:color="000000"/>
            </w:tcBorders>
            <w:vAlign w:val="center"/>
          </w:tcPr>
          <w:p w14:paraId="634B842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319AB2D"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AC8C379"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32FFE8E7" w14:textId="77777777" w:rsidR="00CE4763" w:rsidRPr="00CE4763" w:rsidRDefault="00CE4763" w:rsidP="00CE4763">
            <w:pPr>
              <w:spacing w:after="0" w:line="240" w:lineRule="auto"/>
              <w:ind w:left="0" w:right="0" w:firstLine="0"/>
              <w:jc w:val="center"/>
              <w:rPr>
                <w:rFonts w:ascii="Times New Roman" w:hAnsi="Times New Roman" w:cs="Times New Roman"/>
              </w:rPr>
            </w:pPr>
          </w:p>
        </w:tc>
      </w:tr>
    </w:tbl>
    <w:p w14:paraId="14AF7089" w14:textId="77777777" w:rsidR="00CE4763" w:rsidRPr="00CE4763" w:rsidRDefault="00CE4763" w:rsidP="00CE4763">
      <w:pPr>
        <w:spacing w:after="0" w:line="240" w:lineRule="auto"/>
        <w:ind w:left="0" w:right="0" w:firstLine="0"/>
        <w:rPr>
          <w:rFonts w:ascii="Times New Roman" w:hAnsi="Times New Roman" w:cs="Times New Roman"/>
          <w:sz w:val="24"/>
        </w:rPr>
      </w:pPr>
    </w:p>
    <w:p w14:paraId="297CF92F" w14:textId="7F309A6C"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Spremnost odgovornih i upravljačkih kapaciteta</w:t>
      </w:r>
      <w:r w:rsidR="00E83D33">
        <w:rPr>
          <w:rFonts w:ascii="Times New Roman" w:hAnsi="Times New Roman" w:cs="Times New Roman"/>
          <w:sz w:val="24"/>
        </w:rPr>
        <w:t xml:space="preserve"> i </w:t>
      </w:r>
      <w:r w:rsidRPr="00CE4763">
        <w:rPr>
          <w:rFonts w:ascii="Times New Roman" w:hAnsi="Times New Roman" w:cs="Times New Roman"/>
          <w:sz w:val="24"/>
        </w:rPr>
        <w:t xml:space="preserve">operativnih kapaciteta </w:t>
      </w:r>
      <w:r w:rsidR="00E83D33" w:rsidRPr="00CE4763">
        <w:rPr>
          <w:rFonts w:ascii="Times New Roman" w:hAnsi="Times New Roman" w:cs="Times New Roman"/>
          <w:sz w:val="24"/>
        </w:rPr>
        <w:t>u slučaju pojave domino-efekta na području industrijske zone Žitnjak izazvane eksplozijom ukapljenog naftnog plina procjenjuje se visokom</w:t>
      </w:r>
      <w:r w:rsidR="00E83D33">
        <w:rPr>
          <w:rFonts w:ascii="Times New Roman" w:hAnsi="Times New Roman" w:cs="Times New Roman"/>
          <w:sz w:val="24"/>
        </w:rPr>
        <w:t>, dok se s</w:t>
      </w:r>
      <w:r w:rsidRPr="00CE4763">
        <w:rPr>
          <w:rFonts w:ascii="Times New Roman" w:hAnsi="Times New Roman" w:cs="Times New Roman"/>
          <w:sz w:val="24"/>
        </w:rPr>
        <w:t>tanje mobilnosti operativnih kapaciteta sustava civilne zaštite i stanj</w:t>
      </w:r>
      <w:r w:rsidR="00E83D33">
        <w:rPr>
          <w:rFonts w:ascii="Times New Roman" w:hAnsi="Times New Roman" w:cs="Times New Roman"/>
          <w:sz w:val="24"/>
        </w:rPr>
        <w:t>e</w:t>
      </w:r>
      <w:r w:rsidRPr="00CE4763">
        <w:rPr>
          <w:rFonts w:ascii="Times New Roman" w:hAnsi="Times New Roman" w:cs="Times New Roman"/>
          <w:sz w:val="24"/>
        </w:rPr>
        <w:t xml:space="preserve"> komunikacijskih kapaciteta </w:t>
      </w:r>
      <w:r w:rsidR="00E83D33">
        <w:rPr>
          <w:rFonts w:ascii="Times New Roman" w:hAnsi="Times New Roman" w:cs="Times New Roman"/>
          <w:sz w:val="24"/>
        </w:rPr>
        <w:t xml:space="preserve">procjenjuje vrlo visokom. </w:t>
      </w:r>
    </w:p>
    <w:p w14:paraId="3A704981" w14:textId="6EB21010" w:rsidR="00CE4763" w:rsidRDefault="00CE4763" w:rsidP="00CE4763">
      <w:pPr>
        <w:spacing w:after="0" w:line="240" w:lineRule="auto"/>
        <w:ind w:left="0" w:right="0" w:firstLine="709"/>
        <w:rPr>
          <w:rFonts w:ascii="Times New Roman" w:hAnsi="Times New Roman" w:cs="Times New Roman"/>
          <w:sz w:val="24"/>
        </w:rPr>
      </w:pPr>
    </w:p>
    <w:p w14:paraId="00C0B402" w14:textId="57FC280D" w:rsidR="00CE4763" w:rsidRPr="00DD290E" w:rsidRDefault="00CE4763" w:rsidP="007872F3">
      <w:pPr>
        <w:spacing w:line="240" w:lineRule="auto"/>
        <w:ind w:left="0" w:right="0" w:firstLine="0"/>
        <w:jc w:val="center"/>
        <w:rPr>
          <w:rFonts w:ascii="Times New Roman" w:hAnsi="Times New Roman" w:cs="Times New Roman"/>
          <w:b/>
          <w:color w:val="auto"/>
          <w:sz w:val="24"/>
        </w:rPr>
      </w:pPr>
      <w:r w:rsidRPr="00DD290E">
        <w:rPr>
          <w:rFonts w:ascii="Times New Roman" w:hAnsi="Times New Roman" w:cs="Times New Roman"/>
          <w:b/>
          <w:color w:val="auto"/>
          <w:sz w:val="24"/>
        </w:rPr>
        <w:t xml:space="preserve">Tablica </w:t>
      </w:r>
      <w:r w:rsidR="00DD290E" w:rsidRPr="00DD290E">
        <w:rPr>
          <w:rFonts w:ascii="Times New Roman" w:hAnsi="Times New Roman" w:cs="Times New Roman"/>
          <w:b/>
          <w:color w:val="auto"/>
          <w:sz w:val="24"/>
        </w:rPr>
        <w:t>143</w:t>
      </w:r>
      <w:r w:rsidRPr="00DD290E">
        <w:rPr>
          <w:rFonts w:ascii="Times New Roman" w:hAnsi="Times New Roman" w:cs="Times New Roman"/>
          <w:b/>
          <w:color w:val="auto"/>
          <w:sz w:val="24"/>
        </w:rPr>
        <w:t xml:space="preserve">. Analiza sustava civilne zaštite - područje reagiranja - Industrijske nesreće </w:t>
      </w:r>
    </w:p>
    <w:tbl>
      <w:tblPr>
        <w:tblStyle w:val="TableGrid"/>
        <w:tblW w:w="9072" w:type="dxa"/>
        <w:tblInd w:w="0" w:type="dxa"/>
        <w:tblLayout w:type="fixed"/>
        <w:tblCellMar>
          <w:left w:w="57" w:type="dxa"/>
          <w:right w:w="57" w:type="dxa"/>
        </w:tblCellMar>
        <w:tblLook w:val="04A0" w:firstRow="1" w:lastRow="0" w:firstColumn="1" w:lastColumn="0" w:noHBand="0" w:noVBand="1"/>
      </w:tblPr>
      <w:tblGrid>
        <w:gridCol w:w="3400"/>
        <w:gridCol w:w="1418"/>
        <w:gridCol w:w="1418"/>
        <w:gridCol w:w="1418"/>
        <w:gridCol w:w="1418"/>
      </w:tblGrid>
      <w:tr w:rsidR="00CE4763" w:rsidRPr="00CE4763" w14:paraId="74A818BC" w14:textId="77777777" w:rsidTr="007872F3">
        <w:trPr>
          <w:cantSplit/>
          <w:tblHeader/>
        </w:trPr>
        <w:tc>
          <w:tcPr>
            <w:tcW w:w="3400" w:type="dxa"/>
            <w:vMerge w:val="restart"/>
            <w:tcBorders>
              <w:top w:val="single" w:sz="4" w:space="0" w:color="000000"/>
              <w:left w:val="single" w:sz="4" w:space="0" w:color="000000"/>
              <w:bottom w:val="single" w:sz="4" w:space="0" w:color="000000"/>
              <w:right w:val="single" w:sz="4" w:space="0" w:color="000000"/>
            </w:tcBorders>
            <w:vAlign w:val="center"/>
          </w:tcPr>
          <w:p w14:paraId="023330C5"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PODRUČJE REAGIRANJA</w:t>
            </w: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00E2AA8B"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Vrlo 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2B55A16"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24DC252" w14:textId="77777777" w:rsidR="00CE4763" w:rsidRPr="00CE4763" w:rsidRDefault="00CE4763" w:rsidP="00CE4763">
            <w:pPr>
              <w:spacing w:after="0" w:line="240" w:lineRule="auto"/>
              <w:ind w:left="0" w:right="0" w:firstLine="0"/>
              <w:jc w:val="center"/>
              <w:rPr>
                <w:rFonts w:ascii="Times New Roman" w:hAnsi="Times New Roman" w:cs="Times New Roman"/>
                <w:b/>
              </w:rPr>
            </w:pPr>
            <w:r w:rsidRPr="00CE4763">
              <w:rPr>
                <w:rFonts w:ascii="Times New Roman" w:hAnsi="Times New Roman" w:cs="Times New Roman"/>
                <w:b/>
              </w:rPr>
              <w:t>Visoka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0C24A3AF"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Vrlo visoka spremnost</w:t>
            </w:r>
          </w:p>
        </w:tc>
      </w:tr>
      <w:tr w:rsidR="00CE4763" w:rsidRPr="00CE4763" w14:paraId="34F9EDC4" w14:textId="77777777" w:rsidTr="007872F3">
        <w:trPr>
          <w:cantSplit/>
          <w:tblHeader/>
        </w:trPr>
        <w:tc>
          <w:tcPr>
            <w:tcW w:w="3400" w:type="dxa"/>
            <w:vMerge/>
            <w:tcBorders>
              <w:top w:val="nil"/>
              <w:left w:val="single" w:sz="4" w:space="0" w:color="000000"/>
              <w:bottom w:val="single" w:sz="4" w:space="0" w:color="000000"/>
              <w:right w:val="single" w:sz="4" w:space="0" w:color="000000"/>
            </w:tcBorders>
            <w:vAlign w:val="center"/>
          </w:tcPr>
          <w:p w14:paraId="6FC9CBEC" w14:textId="77777777" w:rsidR="00CE4763" w:rsidRPr="00CE4763" w:rsidRDefault="00CE4763" w:rsidP="00CE4763">
            <w:pPr>
              <w:spacing w:after="0" w:line="240" w:lineRule="auto"/>
              <w:ind w:left="0" w:right="0" w:firstLine="0"/>
              <w:jc w:val="left"/>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2BA0FEAB"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A56A92E"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9A5395B" w14:textId="77777777" w:rsidR="00CE4763" w:rsidRPr="00CE4763" w:rsidRDefault="00CE4763" w:rsidP="00CE4763">
            <w:pPr>
              <w:spacing w:after="0" w:line="240" w:lineRule="auto"/>
              <w:ind w:left="0" w:right="0" w:firstLine="0"/>
              <w:jc w:val="center"/>
              <w:rPr>
                <w:rFonts w:ascii="Times New Roman" w:hAnsi="Times New Roman" w:cs="Times New Roman"/>
                <w:b/>
              </w:rPr>
            </w:pPr>
            <w:r w:rsidRPr="00CE4763">
              <w:rPr>
                <w:rFonts w:ascii="Times New Roman" w:hAnsi="Times New Roman" w:cs="Times New Roman"/>
                <w:b/>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62962442"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1</w:t>
            </w:r>
          </w:p>
        </w:tc>
      </w:tr>
      <w:tr w:rsidR="00CE4763" w:rsidRPr="00CE4763" w14:paraId="3C1BEFAD"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7323405B"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Spremnost odgovornih i upravljačkih kapaciteta</w:t>
            </w:r>
          </w:p>
        </w:tc>
        <w:tc>
          <w:tcPr>
            <w:tcW w:w="1418" w:type="dxa"/>
            <w:tcBorders>
              <w:top w:val="single" w:sz="4" w:space="0" w:color="000000"/>
              <w:left w:val="single" w:sz="4" w:space="0" w:color="000000"/>
              <w:bottom w:val="single" w:sz="4" w:space="0" w:color="000000"/>
              <w:right w:val="single" w:sz="4" w:space="0" w:color="000000"/>
            </w:tcBorders>
            <w:vAlign w:val="center"/>
          </w:tcPr>
          <w:p w14:paraId="2A68E031"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46D7878"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46B33DB4" w14:textId="1D7DF625" w:rsidR="00CE4763" w:rsidRPr="00CE4763" w:rsidRDefault="00E83D33" w:rsidP="00CE4763">
            <w:pPr>
              <w:spacing w:after="0" w:line="240" w:lineRule="auto"/>
              <w:ind w:left="0" w:right="0" w:firstLine="0"/>
              <w:jc w:val="center"/>
              <w:rPr>
                <w:rFonts w:ascii="Times New Roman" w:hAnsi="Times New Roman" w:cs="Times New Roman"/>
              </w:rPr>
            </w:pPr>
            <w:r>
              <w:rPr>
                <w:rFonts w:ascii="Times New Roman" w:hAnsi="Times New Roman" w:cs="Times New Roman"/>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6552FF60" w14:textId="3B636EB6"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26A77205"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16C6859C"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Spremnost operativnih kapaciteta</w:t>
            </w:r>
          </w:p>
        </w:tc>
        <w:tc>
          <w:tcPr>
            <w:tcW w:w="1418" w:type="dxa"/>
            <w:tcBorders>
              <w:top w:val="single" w:sz="4" w:space="0" w:color="000000"/>
              <w:left w:val="single" w:sz="4" w:space="0" w:color="000000"/>
              <w:bottom w:val="single" w:sz="4" w:space="0" w:color="000000"/>
              <w:right w:val="single" w:sz="4" w:space="0" w:color="000000"/>
            </w:tcBorders>
            <w:vAlign w:val="center"/>
          </w:tcPr>
          <w:p w14:paraId="59006944"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FD34D5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84BC5B2" w14:textId="045898CD" w:rsidR="00CE4763" w:rsidRPr="00CE4763" w:rsidRDefault="00E83D33" w:rsidP="00CE4763">
            <w:pPr>
              <w:spacing w:after="0" w:line="240" w:lineRule="auto"/>
              <w:ind w:left="0" w:right="0" w:firstLine="0"/>
              <w:jc w:val="center"/>
              <w:rPr>
                <w:rFonts w:ascii="Times New Roman" w:hAnsi="Times New Roman" w:cs="Times New Roman"/>
              </w:rPr>
            </w:pPr>
            <w:r>
              <w:rPr>
                <w:rFonts w:ascii="Times New Roman" w:hAnsi="Times New Roman" w:cs="Times New Roman"/>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3DEC207F" w14:textId="0220B243"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270A15D1"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00CDE10B"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Stanje mobilnosti operativnih kapaciteta sustava civilne zaštite i stanja komunikacijskih kapaciteta</w:t>
            </w:r>
          </w:p>
        </w:tc>
        <w:tc>
          <w:tcPr>
            <w:tcW w:w="1418" w:type="dxa"/>
            <w:tcBorders>
              <w:top w:val="single" w:sz="4" w:space="0" w:color="000000"/>
              <w:left w:val="single" w:sz="4" w:space="0" w:color="000000"/>
              <w:bottom w:val="single" w:sz="4" w:space="0" w:color="000000"/>
              <w:right w:val="single" w:sz="4" w:space="0" w:color="000000"/>
            </w:tcBorders>
            <w:vAlign w:val="center"/>
          </w:tcPr>
          <w:p w14:paraId="753F1173"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0F8D5A4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CCDDBD1" w14:textId="55EA9C28"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4076C255"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rPr>
              <w:t>x</w:t>
            </w:r>
          </w:p>
        </w:tc>
      </w:tr>
      <w:tr w:rsidR="00CE4763" w:rsidRPr="00CE4763" w14:paraId="2A7F34B9"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48F3ABB9"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Područje reagiranja u slučaju IND. NESREĆA - ZBIRNO</w:t>
            </w:r>
          </w:p>
        </w:tc>
        <w:tc>
          <w:tcPr>
            <w:tcW w:w="1418" w:type="dxa"/>
            <w:tcBorders>
              <w:top w:val="single" w:sz="4" w:space="0" w:color="000000"/>
              <w:left w:val="single" w:sz="4" w:space="0" w:color="000000"/>
              <w:bottom w:val="single" w:sz="4" w:space="0" w:color="000000"/>
              <w:right w:val="single" w:sz="4" w:space="0" w:color="000000"/>
            </w:tcBorders>
            <w:vAlign w:val="center"/>
          </w:tcPr>
          <w:p w14:paraId="470FA5E8"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E5C9CF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01FF3203" w14:textId="24758067" w:rsidR="00CE4763" w:rsidRPr="00E83D33" w:rsidRDefault="00E83D33" w:rsidP="00CE4763">
            <w:pPr>
              <w:spacing w:after="0" w:line="240" w:lineRule="auto"/>
              <w:ind w:left="0" w:right="0" w:firstLine="0"/>
              <w:jc w:val="center"/>
              <w:rPr>
                <w:rFonts w:ascii="Times New Roman" w:hAnsi="Times New Roman" w:cs="Times New Roman"/>
                <w:b/>
              </w:rPr>
            </w:pPr>
            <w:r w:rsidRPr="00E83D3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362E54FD" w14:textId="4ACBA90A" w:rsidR="00CE4763" w:rsidRPr="00CE4763" w:rsidRDefault="00CE4763" w:rsidP="00CE4763">
            <w:pPr>
              <w:spacing w:after="0" w:line="240" w:lineRule="auto"/>
              <w:ind w:left="0" w:right="0" w:firstLine="0"/>
              <w:jc w:val="center"/>
              <w:rPr>
                <w:rFonts w:ascii="Times New Roman" w:hAnsi="Times New Roman" w:cs="Times New Roman"/>
              </w:rPr>
            </w:pPr>
          </w:p>
        </w:tc>
      </w:tr>
    </w:tbl>
    <w:p w14:paraId="6D165A45"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0D920AB2" w14:textId="77777777" w:rsidR="00CE4763" w:rsidRPr="00CE4763" w:rsidRDefault="00CE4763" w:rsidP="00CE4763">
      <w:pPr>
        <w:spacing w:after="0" w:line="240" w:lineRule="auto"/>
        <w:ind w:left="0" w:right="0" w:firstLine="709"/>
        <w:rPr>
          <w:rFonts w:ascii="Times New Roman" w:hAnsi="Times New Roman" w:cs="Times New Roman"/>
          <w:sz w:val="24"/>
          <w:u w:val="single"/>
        </w:rPr>
      </w:pPr>
      <w:r w:rsidRPr="00CE4763">
        <w:rPr>
          <w:rFonts w:ascii="Times New Roman" w:hAnsi="Times New Roman" w:cs="Times New Roman"/>
          <w:sz w:val="24"/>
          <w:u w:val="single"/>
        </w:rPr>
        <w:t>Zaključak</w:t>
      </w:r>
    </w:p>
    <w:p w14:paraId="36B10B6F"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Postojeće snage civilne zaštite u navedenom slučaju (najgori slučaj) bile bi dovoljne u provođenju mjera civilne zaštite.</w:t>
      </w:r>
    </w:p>
    <w:p w14:paraId="411060B7" w14:textId="77777777" w:rsidR="00CE4763" w:rsidRPr="00CE4763" w:rsidRDefault="00CE4763" w:rsidP="00CE4763">
      <w:pPr>
        <w:spacing w:after="0" w:line="240" w:lineRule="auto"/>
        <w:ind w:left="0" w:right="0" w:firstLine="0"/>
        <w:rPr>
          <w:rFonts w:ascii="Times New Roman" w:hAnsi="Times New Roman" w:cs="Times New Roman"/>
          <w:sz w:val="24"/>
        </w:rPr>
      </w:pPr>
    </w:p>
    <w:p w14:paraId="2C5B1995" w14:textId="77777777" w:rsidR="00CE4763" w:rsidRPr="00CE4763" w:rsidRDefault="00CE4763" w:rsidP="00CE4763">
      <w:pPr>
        <w:spacing w:after="0" w:line="240" w:lineRule="auto"/>
        <w:ind w:left="0" w:right="0" w:firstLine="709"/>
        <w:rPr>
          <w:rFonts w:ascii="Times New Roman" w:hAnsi="Times New Roman" w:cs="Times New Roman"/>
          <w:b/>
          <w:sz w:val="24"/>
        </w:rPr>
      </w:pPr>
      <w:r w:rsidRPr="00CE4763">
        <w:rPr>
          <w:rFonts w:ascii="Times New Roman" w:hAnsi="Times New Roman" w:cs="Times New Roman"/>
          <w:b/>
          <w:sz w:val="24"/>
        </w:rPr>
        <w:t>8.2.4. ANALIZA SUSTAVA CIVILNE ZAŠTITE - PODRUČJE REAGIRANJA -</w:t>
      </w:r>
      <w:bookmarkStart w:id="147" w:name="_Toc2938650"/>
      <w:r w:rsidRPr="00CE4763">
        <w:rPr>
          <w:rFonts w:ascii="Times New Roman" w:hAnsi="Times New Roman" w:cs="Times New Roman"/>
          <w:b/>
          <w:sz w:val="24"/>
        </w:rPr>
        <w:t xml:space="preserve"> EKSTREMNE VREMENSKE PRILIKE</w:t>
      </w:r>
      <w:bookmarkEnd w:id="147"/>
    </w:p>
    <w:p w14:paraId="3DF13F72"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Analiza sustava civilne zaštite u području reagiranja temelji se na najgorem scenariju koji je obrađen u Poglavlju 6.4. Procjene rizika (dugotrajnog toplinskog vala na području Grada Zagreba) iznimno velike vjerojatnosti pojavljivanja.</w:t>
      </w:r>
    </w:p>
    <w:p w14:paraId="6B1BDBD7" w14:textId="5B033CB7" w:rsid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i/>
          <w:sz w:val="24"/>
        </w:rPr>
        <w:t>Vrlo niska spremnost</w:t>
      </w:r>
      <w:r w:rsidRPr="00CE4763">
        <w:rPr>
          <w:rFonts w:ascii="Times New Roman" w:hAnsi="Times New Roman" w:cs="Times New Roman"/>
          <w:sz w:val="24"/>
        </w:rPr>
        <w:t xml:space="preserve"> podrazumijeva da postojeći kapaciteti nisu dostatni pa je potrebno odmah tražiti pomoć izvan zone pogođenog područja (druge županije/gradovi odnosno međunarodnu pomoć). </w:t>
      </w:r>
      <w:r w:rsidRPr="00CE4763">
        <w:rPr>
          <w:rFonts w:ascii="Times New Roman" w:hAnsi="Times New Roman" w:cs="Times New Roman"/>
          <w:i/>
          <w:sz w:val="24"/>
        </w:rPr>
        <w:t>Niska spremnost</w:t>
      </w:r>
      <w:r w:rsidRPr="00CE4763">
        <w:rPr>
          <w:rFonts w:ascii="Times New Roman" w:hAnsi="Times New Roman" w:cs="Times New Roman"/>
          <w:sz w:val="24"/>
        </w:rPr>
        <w:t xml:space="preserve"> odnosi se na sposobnost djelomičnog obavljanja zadaća uz velike poteškoće (nedovoljno ljudi i opreme) pa je potrebno računati na pomoć izvan zone pogođenog područja (druge županije/gradovi odnosno međunarodnu pomoć). </w:t>
      </w:r>
      <w:r w:rsidRPr="00CE4763">
        <w:rPr>
          <w:rFonts w:ascii="Times New Roman" w:hAnsi="Times New Roman" w:cs="Times New Roman"/>
          <w:i/>
          <w:sz w:val="24"/>
        </w:rPr>
        <w:t>Visoka spremnost</w:t>
      </w:r>
      <w:r w:rsidRPr="00CE4763">
        <w:rPr>
          <w:rFonts w:ascii="Times New Roman" w:hAnsi="Times New Roman" w:cs="Times New Roman"/>
          <w:sz w:val="24"/>
        </w:rPr>
        <w:t xml:space="preserve"> podrazumijeva optimalnu reakciju uz određene manje teškoće prilikom planiranja zamjene snaga ali visoku razinu samodostatnosti u obavljanju zadaća civilne zaštite. </w:t>
      </w:r>
      <w:r w:rsidRPr="00CE4763">
        <w:rPr>
          <w:rFonts w:ascii="Times New Roman" w:hAnsi="Times New Roman" w:cs="Times New Roman"/>
          <w:i/>
          <w:sz w:val="24"/>
        </w:rPr>
        <w:t>Vrlo visoka spremnost</w:t>
      </w:r>
      <w:r w:rsidRPr="00CE4763">
        <w:rPr>
          <w:rFonts w:ascii="Times New Roman" w:hAnsi="Times New Roman" w:cs="Times New Roman"/>
          <w:sz w:val="24"/>
        </w:rPr>
        <w:t xml:space="preserve"> podrazumijeva potpunu samodostatnost i u planiranju zamjenskih snaga odnosno mogućnost redovitog i pravodobnog obavljanja svih zadaća.</w:t>
      </w:r>
    </w:p>
    <w:p w14:paraId="263D111F" w14:textId="0FC6A789" w:rsidR="00385A37" w:rsidRDefault="00385A37" w:rsidP="00CE4763">
      <w:pPr>
        <w:spacing w:after="0" w:line="240" w:lineRule="auto"/>
        <w:ind w:left="0" w:right="0" w:firstLine="709"/>
        <w:rPr>
          <w:rFonts w:ascii="Times New Roman" w:hAnsi="Times New Roman" w:cs="Times New Roman"/>
          <w:sz w:val="24"/>
        </w:rPr>
      </w:pPr>
    </w:p>
    <w:p w14:paraId="5315DB01" w14:textId="087FA3F6" w:rsidR="00385A37" w:rsidRDefault="00385A37" w:rsidP="00CE4763">
      <w:pPr>
        <w:spacing w:after="0" w:line="240" w:lineRule="auto"/>
        <w:ind w:left="0" w:right="0" w:firstLine="709"/>
        <w:rPr>
          <w:rFonts w:ascii="Times New Roman" w:hAnsi="Times New Roman" w:cs="Times New Roman"/>
          <w:sz w:val="24"/>
        </w:rPr>
      </w:pPr>
    </w:p>
    <w:p w14:paraId="23C1CBBE" w14:textId="5CB1F46A" w:rsidR="00385A37" w:rsidRDefault="00385A37" w:rsidP="00CE4763">
      <w:pPr>
        <w:spacing w:after="0" w:line="240" w:lineRule="auto"/>
        <w:ind w:left="0" w:right="0" w:firstLine="709"/>
        <w:rPr>
          <w:rFonts w:ascii="Times New Roman" w:hAnsi="Times New Roman" w:cs="Times New Roman"/>
          <w:sz w:val="24"/>
        </w:rPr>
      </w:pPr>
    </w:p>
    <w:p w14:paraId="31FA6FC9" w14:textId="77777777" w:rsidR="00385A37" w:rsidRPr="00CE4763" w:rsidRDefault="00385A37" w:rsidP="00CE4763">
      <w:pPr>
        <w:spacing w:after="0" w:line="240" w:lineRule="auto"/>
        <w:ind w:left="0" w:right="0" w:firstLine="709"/>
        <w:rPr>
          <w:rFonts w:ascii="Times New Roman" w:hAnsi="Times New Roman" w:cs="Times New Roman"/>
          <w:sz w:val="24"/>
        </w:rPr>
      </w:pPr>
    </w:p>
    <w:p w14:paraId="678631AE" w14:textId="77777777" w:rsidR="00FB6440" w:rsidRPr="00CE4763" w:rsidRDefault="00FB6440" w:rsidP="001F535B">
      <w:pPr>
        <w:spacing w:after="0" w:line="240" w:lineRule="auto"/>
        <w:ind w:left="0" w:right="0" w:firstLine="0"/>
        <w:rPr>
          <w:rFonts w:ascii="Times New Roman" w:hAnsi="Times New Roman" w:cs="Times New Roman"/>
          <w:sz w:val="24"/>
        </w:rPr>
      </w:pPr>
    </w:p>
    <w:p w14:paraId="3F9A9110" w14:textId="22D9D6D2" w:rsidR="00CE4763" w:rsidRPr="00CE4763" w:rsidRDefault="00CE4763" w:rsidP="007872F3">
      <w:pPr>
        <w:spacing w:line="240" w:lineRule="auto"/>
        <w:ind w:left="0" w:right="0" w:firstLine="0"/>
        <w:jc w:val="center"/>
        <w:rPr>
          <w:rFonts w:ascii="Times New Roman" w:hAnsi="Times New Roman" w:cs="Times New Roman"/>
          <w:b/>
          <w:sz w:val="24"/>
        </w:rPr>
      </w:pPr>
      <w:r w:rsidRPr="00ED0E10">
        <w:rPr>
          <w:rFonts w:ascii="Times New Roman" w:hAnsi="Times New Roman" w:cs="Times New Roman"/>
          <w:b/>
          <w:color w:val="auto"/>
          <w:sz w:val="24"/>
        </w:rPr>
        <w:lastRenderedPageBreak/>
        <w:t xml:space="preserve">Tablica </w:t>
      </w:r>
      <w:r w:rsidR="00ED0E10" w:rsidRPr="00ED0E10">
        <w:rPr>
          <w:rFonts w:ascii="Times New Roman" w:hAnsi="Times New Roman" w:cs="Times New Roman"/>
          <w:b/>
          <w:color w:val="auto"/>
          <w:sz w:val="24"/>
        </w:rPr>
        <w:t>144</w:t>
      </w:r>
      <w:r w:rsidRPr="00ED0E10">
        <w:rPr>
          <w:rFonts w:ascii="Times New Roman" w:hAnsi="Times New Roman" w:cs="Times New Roman"/>
          <w:b/>
          <w:color w:val="auto"/>
          <w:sz w:val="24"/>
        </w:rPr>
        <w:t xml:space="preserve">. Mjere civilne zaštite u slučaju pojave dugotrajnog toplinskog vala na </w:t>
      </w:r>
      <w:r w:rsidRPr="00CE4763">
        <w:rPr>
          <w:rFonts w:ascii="Times New Roman" w:hAnsi="Times New Roman" w:cs="Times New Roman"/>
          <w:b/>
          <w:sz w:val="24"/>
        </w:rPr>
        <w:t>području Grada Zagreba</w:t>
      </w:r>
    </w:p>
    <w:tbl>
      <w:tblPr>
        <w:tblStyle w:val="TableGrid"/>
        <w:tblW w:w="9072" w:type="dxa"/>
        <w:tblInd w:w="0" w:type="dxa"/>
        <w:tblLayout w:type="fixed"/>
        <w:tblCellMar>
          <w:left w:w="57" w:type="dxa"/>
          <w:right w:w="55" w:type="dxa"/>
        </w:tblCellMar>
        <w:tblLook w:val="04A0" w:firstRow="1" w:lastRow="0" w:firstColumn="1" w:lastColumn="0" w:noHBand="0" w:noVBand="1"/>
      </w:tblPr>
      <w:tblGrid>
        <w:gridCol w:w="3400"/>
        <w:gridCol w:w="1418"/>
        <w:gridCol w:w="1418"/>
        <w:gridCol w:w="1418"/>
        <w:gridCol w:w="1418"/>
      </w:tblGrid>
      <w:tr w:rsidR="00CE4763" w:rsidRPr="00CE4763" w14:paraId="361B2D1D" w14:textId="77777777" w:rsidTr="007872F3">
        <w:trPr>
          <w:cantSplit/>
          <w:tblHeader/>
        </w:trPr>
        <w:tc>
          <w:tcPr>
            <w:tcW w:w="3400" w:type="dxa"/>
            <w:vMerge w:val="restart"/>
            <w:tcBorders>
              <w:top w:val="single" w:sz="4" w:space="0" w:color="000000"/>
              <w:left w:val="single" w:sz="4" w:space="0" w:color="000000"/>
              <w:bottom w:val="single" w:sz="4" w:space="0" w:color="000000"/>
              <w:right w:val="single" w:sz="4" w:space="0" w:color="000000"/>
            </w:tcBorders>
            <w:vAlign w:val="center"/>
          </w:tcPr>
          <w:p w14:paraId="713B9FC6"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MJERE CIVILNE ZAŠTITE U SLUČAJU POJAVE DUGOTRAJNOG TOPLINSKOG VALA</w:t>
            </w: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176D6B9D"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Vrlo 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BC6231A"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B3D77B5"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Visoka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60263DBC"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Vrlo visoka spremnost</w:t>
            </w:r>
          </w:p>
        </w:tc>
      </w:tr>
      <w:tr w:rsidR="00CE4763" w:rsidRPr="00CE4763" w14:paraId="70C5CE7E" w14:textId="77777777" w:rsidTr="007872F3">
        <w:trPr>
          <w:cantSplit/>
          <w:tblHeader/>
        </w:trPr>
        <w:tc>
          <w:tcPr>
            <w:tcW w:w="3400" w:type="dxa"/>
            <w:vMerge/>
            <w:tcBorders>
              <w:top w:val="nil"/>
              <w:left w:val="single" w:sz="4" w:space="0" w:color="000000"/>
              <w:bottom w:val="single" w:sz="4" w:space="0" w:color="000000"/>
              <w:right w:val="single" w:sz="4" w:space="0" w:color="000000"/>
            </w:tcBorders>
            <w:vAlign w:val="center"/>
          </w:tcPr>
          <w:p w14:paraId="4B9E86E1" w14:textId="77777777" w:rsidR="00CE4763" w:rsidRPr="00CE4763" w:rsidRDefault="00CE4763" w:rsidP="00CE4763">
            <w:pPr>
              <w:spacing w:after="0" w:line="240" w:lineRule="auto"/>
              <w:ind w:left="0" w:right="0" w:firstLine="0"/>
              <w:jc w:val="left"/>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1BA93B4F"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65509CF"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766284F"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35253DEF"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1</w:t>
            </w:r>
          </w:p>
        </w:tc>
      </w:tr>
      <w:tr w:rsidR="00CE4763" w:rsidRPr="00CE4763" w14:paraId="260C9AA7"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6F8F9B5A"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Premještanje rizičnih skupina stanovništva u klimatizirane objekte</w:t>
            </w:r>
          </w:p>
        </w:tc>
        <w:tc>
          <w:tcPr>
            <w:tcW w:w="1418" w:type="dxa"/>
            <w:tcBorders>
              <w:top w:val="single" w:sz="4" w:space="0" w:color="000000"/>
              <w:left w:val="single" w:sz="4" w:space="0" w:color="000000"/>
              <w:bottom w:val="single" w:sz="4" w:space="0" w:color="000000"/>
              <w:right w:val="single" w:sz="4" w:space="0" w:color="000000"/>
            </w:tcBorders>
            <w:vAlign w:val="center"/>
          </w:tcPr>
          <w:p w14:paraId="7347B4F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0F66FE1"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92EBFDD"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018352D0"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r>
      <w:tr w:rsidR="00CE4763" w:rsidRPr="00CE4763" w14:paraId="6220D7CF"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4C95CF2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Organiziranje prijevoza rizičnih skupina stanovništva u klimatski povoljnije područje (Sljeme - Medvednica)</w:t>
            </w:r>
          </w:p>
        </w:tc>
        <w:tc>
          <w:tcPr>
            <w:tcW w:w="1418" w:type="dxa"/>
            <w:tcBorders>
              <w:top w:val="single" w:sz="4" w:space="0" w:color="000000"/>
              <w:left w:val="single" w:sz="4" w:space="0" w:color="000000"/>
              <w:bottom w:val="single" w:sz="4" w:space="0" w:color="000000"/>
              <w:right w:val="single" w:sz="4" w:space="0" w:color="000000"/>
            </w:tcBorders>
            <w:vAlign w:val="center"/>
          </w:tcPr>
          <w:p w14:paraId="2A384839"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4C376E0D"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0585BD2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6B6E94B"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r>
      <w:tr w:rsidR="00CE4763" w:rsidRPr="00CE4763" w14:paraId="45A94273"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2103F9E4"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Zdravstveno zbrinjavanje osoba</w:t>
            </w:r>
          </w:p>
        </w:tc>
        <w:tc>
          <w:tcPr>
            <w:tcW w:w="1418" w:type="dxa"/>
            <w:tcBorders>
              <w:top w:val="single" w:sz="4" w:space="0" w:color="000000"/>
              <w:left w:val="single" w:sz="4" w:space="0" w:color="000000"/>
              <w:bottom w:val="single" w:sz="4" w:space="0" w:color="000000"/>
              <w:right w:val="single" w:sz="4" w:space="0" w:color="000000"/>
            </w:tcBorders>
            <w:vAlign w:val="center"/>
          </w:tcPr>
          <w:p w14:paraId="30966391"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4766CF2"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E3E4D64"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572BC81F"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6E34F229"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096712EB"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Osiguravanje pitke vode u slučaju nestašice</w:t>
            </w:r>
          </w:p>
        </w:tc>
        <w:tc>
          <w:tcPr>
            <w:tcW w:w="1418" w:type="dxa"/>
            <w:tcBorders>
              <w:top w:val="single" w:sz="4" w:space="0" w:color="000000"/>
              <w:left w:val="single" w:sz="4" w:space="0" w:color="000000"/>
              <w:bottom w:val="single" w:sz="4" w:space="0" w:color="000000"/>
              <w:right w:val="single" w:sz="4" w:space="0" w:color="000000"/>
            </w:tcBorders>
            <w:vAlign w:val="center"/>
          </w:tcPr>
          <w:p w14:paraId="524D6C61"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F43A91D"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1BBC29B"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7B25A4EC"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22BCB156"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003AF5A0"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Osiguravanje i postavljanje generatora za proizvodnju električne energije u klimatizirane objekte u slučaju nestašice el. energije</w:t>
            </w:r>
          </w:p>
        </w:tc>
        <w:tc>
          <w:tcPr>
            <w:tcW w:w="1418" w:type="dxa"/>
            <w:tcBorders>
              <w:top w:val="single" w:sz="4" w:space="0" w:color="000000"/>
              <w:left w:val="single" w:sz="4" w:space="0" w:color="000000"/>
              <w:bottom w:val="single" w:sz="4" w:space="0" w:color="000000"/>
              <w:right w:val="single" w:sz="4" w:space="0" w:color="000000"/>
            </w:tcBorders>
            <w:vAlign w:val="center"/>
          </w:tcPr>
          <w:p w14:paraId="70EDAFC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97E198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5A7026D"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1314DF06"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4530DF27"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3BEC0702"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Provođenje informiranja stanovništva o mjerama iz protokola o postupanju i preporukama za zaštitu od vrućine te edukacija stanovništva u provođenju samozaštite i uzajamne zaštite</w:t>
            </w:r>
          </w:p>
        </w:tc>
        <w:tc>
          <w:tcPr>
            <w:tcW w:w="1418" w:type="dxa"/>
            <w:tcBorders>
              <w:top w:val="single" w:sz="4" w:space="0" w:color="000000"/>
              <w:left w:val="single" w:sz="4" w:space="0" w:color="000000"/>
              <w:bottom w:val="single" w:sz="4" w:space="0" w:color="000000"/>
              <w:right w:val="single" w:sz="4" w:space="0" w:color="000000"/>
            </w:tcBorders>
            <w:vAlign w:val="center"/>
          </w:tcPr>
          <w:p w14:paraId="68D5BE9A"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AFE02D8"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DBFFDB3"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9747ECA"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r>
    </w:tbl>
    <w:p w14:paraId="7EEDB7DA"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00B31A7D"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Spremnost odgovornih i upravljačkih kapaciteta, operativnih kapaciteta i stanje mobilnosti operativnih kapaciteta sustava civilne zaštite i stanja komunikacijskih kapaciteta u slučaju pojave dugotrajnog toplinskog vala na području Grada Zagreba procjenjuje se vrlo visokom.</w:t>
      </w:r>
    </w:p>
    <w:p w14:paraId="720BDD49" w14:textId="77777777" w:rsidR="00CE4763" w:rsidRPr="00CE4763" w:rsidRDefault="00CE4763" w:rsidP="00CE4763">
      <w:pPr>
        <w:spacing w:after="0" w:line="240" w:lineRule="auto"/>
        <w:ind w:right="0"/>
        <w:rPr>
          <w:rFonts w:ascii="Times New Roman" w:hAnsi="Times New Roman" w:cs="Times New Roman"/>
          <w:sz w:val="24"/>
        </w:rPr>
      </w:pPr>
    </w:p>
    <w:p w14:paraId="4C353C58" w14:textId="04E4344F" w:rsidR="00CE4763" w:rsidRPr="00CE4763" w:rsidRDefault="00CE4763" w:rsidP="007872F3">
      <w:pPr>
        <w:spacing w:line="240" w:lineRule="auto"/>
        <w:ind w:left="0" w:right="0" w:firstLine="0"/>
        <w:jc w:val="center"/>
        <w:rPr>
          <w:rFonts w:ascii="Times New Roman" w:hAnsi="Times New Roman" w:cs="Times New Roman"/>
          <w:b/>
          <w:sz w:val="24"/>
        </w:rPr>
      </w:pPr>
      <w:r w:rsidRPr="00637DAE">
        <w:rPr>
          <w:rFonts w:ascii="Times New Roman" w:hAnsi="Times New Roman" w:cs="Times New Roman"/>
          <w:b/>
          <w:color w:val="auto"/>
          <w:sz w:val="24"/>
        </w:rPr>
        <w:t xml:space="preserve">Tablica </w:t>
      </w:r>
      <w:r w:rsidR="00637DAE" w:rsidRPr="00637DAE">
        <w:rPr>
          <w:rFonts w:ascii="Times New Roman" w:hAnsi="Times New Roman" w:cs="Times New Roman"/>
          <w:b/>
          <w:color w:val="auto"/>
          <w:sz w:val="24"/>
        </w:rPr>
        <w:t>145</w:t>
      </w:r>
      <w:r w:rsidRPr="00637DAE">
        <w:rPr>
          <w:rFonts w:ascii="Times New Roman" w:hAnsi="Times New Roman" w:cs="Times New Roman"/>
          <w:b/>
          <w:color w:val="auto"/>
          <w:sz w:val="24"/>
        </w:rPr>
        <w:t xml:space="preserve">. Analiza sustava civilne zaštite - područje reagiranja - Ekstremne </w:t>
      </w:r>
      <w:r w:rsidRPr="00CE4763">
        <w:rPr>
          <w:rFonts w:ascii="Times New Roman" w:hAnsi="Times New Roman" w:cs="Times New Roman"/>
          <w:b/>
          <w:sz w:val="24"/>
        </w:rPr>
        <w:t>vremenske prilike</w:t>
      </w:r>
    </w:p>
    <w:tbl>
      <w:tblPr>
        <w:tblStyle w:val="TableGrid"/>
        <w:tblW w:w="9072" w:type="dxa"/>
        <w:tblInd w:w="0" w:type="dxa"/>
        <w:tblLayout w:type="fixed"/>
        <w:tblCellMar>
          <w:left w:w="57" w:type="dxa"/>
          <w:right w:w="56" w:type="dxa"/>
        </w:tblCellMar>
        <w:tblLook w:val="04A0" w:firstRow="1" w:lastRow="0" w:firstColumn="1" w:lastColumn="0" w:noHBand="0" w:noVBand="1"/>
      </w:tblPr>
      <w:tblGrid>
        <w:gridCol w:w="3400"/>
        <w:gridCol w:w="1418"/>
        <w:gridCol w:w="1418"/>
        <w:gridCol w:w="1418"/>
        <w:gridCol w:w="1418"/>
      </w:tblGrid>
      <w:tr w:rsidR="00CE4763" w:rsidRPr="00CE4763" w14:paraId="523E3CAD" w14:textId="77777777" w:rsidTr="007872F3">
        <w:trPr>
          <w:cantSplit/>
          <w:tblHeader/>
        </w:trPr>
        <w:tc>
          <w:tcPr>
            <w:tcW w:w="3400" w:type="dxa"/>
            <w:vMerge w:val="restart"/>
            <w:tcBorders>
              <w:top w:val="single" w:sz="4" w:space="0" w:color="000000"/>
              <w:left w:val="single" w:sz="4" w:space="0" w:color="000000"/>
              <w:bottom w:val="single" w:sz="4" w:space="0" w:color="000000"/>
              <w:right w:val="single" w:sz="4" w:space="0" w:color="000000"/>
            </w:tcBorders>
            <w:vAlign w:val="center"/>
          </w:tcPr>
          <w:p w14:paraId="3A9E9A6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MJERE CIVILNE ZAŠTITE U SLUČAJU POJAVE DUGOTRAJNOG TOPLINSKOG VALA</w:t>
            </w: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71958E78"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Vrlo 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1878EE1"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1880F5D4" w14:textId="77777777" w:rsidR="00CE4763" w:rsidRPr="00CE4763" w:rsidRDefault="00CE4763" w:rsidP="00CE4763">
            <w:pPr>
              <w:spacing w:after="0" w:line="240" w:lineRule="auto"/>
              <w:ind w:left="0" w:right="0" w:firstLine="0"/>
              <w:jc w:val="center"/>
              <w:rPr>
                <w:rFonts w:ascii="Times New Roman" w:hAnsi="Times New Roman" w:cs="Times New Roman"/>
                <w:b/>
              </w:rPr>
            </w:pPr>
            <w:r w:rsidRPr="00CE4763">
              <w:rPr>
                <w:rFonts w:ascii="Times New Roman" w:hAnsi="Times New Roman" w:cs="Times New Roman"/>
                <w:b/>
              </w:rPr>
              <w:t>Visoka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26638050"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Vrlo visoka spremnost</w:t>
            </w:r>
          </w:p>
        </w:tc>
      </w:tr>
      <w:tr w:rsidR="00CE4763" w:rsidRPr="00CE4763" w14:paraId="4E297EBE" w14:textId="77777777" w:rsidTr="007872F3">
        <w:trPr>
          <w:cantSplit/>
          <w:tblHeader/>
        </w:trPr>
        <w:tc>
          <w:tcPr>
            <w:tcW w:w="3400" w:type="dxa"/>
            <w:vMerge/>
            <w:tcBorders>
              <w:top w:val="nil"/>
              <w:left w:val="single" w:sz="4" w:space="0" w:color="000000"/>
              <w:bottom w:val="single" w:sz="4" w:space="0" w:color="000000"/>
              <w:right w:val="single" w:sz="4" w:space="0" w:color="000000"/>
            </w:tcBorders>
            <w:vAlign w:val="center"/>
          </w:tcPr>
          <w:p w14:paraId="38AA9ADB" w14:textId="77777777" w:rsidR="00CE4763" w:rsidRPr="00CE4763" w:rsidRDefault="00CE4763" w:rsidP="00CE4763">
            <w:pPr>
              <w:spacing w:after="0" w:line="240" w:lineRule="auto"/>
              <w:ind w:left="0" w:right="0" w:firstLine="0"/>
              <w:jc w:val="left"/>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04038D84"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758BF25"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2A9BF24" w14:textId="77777777" w:rsidR="00CE4763" w:rsidRPr="00CE4763" w:rsidRDefault="00CE4763" w:rsidP="00CE4763">
            <w:pPr>
              <w:spacing w:after="0" w:line="240" w:lineRule="auto"/>
              <w:ind w:left="0" w:right="0" w:firstLine="0"/>
              <w:jc w:val="center"/>
              <w:rPr>
                <w:rFonts w:ascii="Times New Roman" w:hAnsi="Times New Roman" w:cs="Times New Roman"/>
                <w:b/>
              </w:rPr>
            </w:pPr>
            <w:r w:rsidRPr="00CE4763">
              <w:rPr>
                <w:rFonts w:ascii="Times New Roman" w:hAnsi="Times New Roman" w:cs="Times New Roman"/>
                <w:b/>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0516939C"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1</w:t>
            </w:r>
          </w:p>
        </w:tc>
      </w:tr>
      <w:tr w:rsidR="00CE4763" w:rsidRPr="00CE4763" w14:paraId="5890F65F"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28F02C45"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Spremnost odgovornih i upravljačkih kapaciteta</w:t>
            </w:r>
          </w:p>
        </w:tc>
        <w:tc>
          <w:tcPr>
            <w:tcW w:w="1418" w:type="dxa"/>
            <w:tcBorders>
              <w:top w:val="single" w:sz="4" w:space="0" w:color="000000"/>
              <w:left w:val="single" w:sz="4" w:space="0" w:color="000000"/>
              <w:bottom w:val="single" w:sz="4" w:space="0" w:color="000000"/>
              <w:right w:val="single" w:sz="4" w:space="0" w:color="000000"/>
            </w:tcBorders>
            <w:vAlign w:val="center"/>
          </w:tcPr>
          <w:p w14:paraId="20DF267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BD35D14"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6A6846E"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D336AB2"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rPr>
              <w:t>x</w:t>
            </w:r>
          </w:p>
        </w:tc>
      </w:tr>
      <w:tr w:rsidR="00CE4763" w:rsidRPr="00CE4763" w14:paraId="064D0778"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4C486DD5"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Spremnost operativnih kapaciteta</w:t>
            </w:r>
          </w:p>
        </w:tc>
        <w:tc>
          <w:tcPr>
            <w:tcW w:w="1418" w:type="dxa"/>
            <w:tcBorders>
              <w:top w:val="single" w:sz="4" w:space="0" w:color="000000"/>
              <w:left w:val="single" w:sz="4" w:space="0" w:color="000000"/>
              <w:bottom w:val="single" w:sz="4" w:space="0" w:color="000000"/>
              <w:right w:val="single" w:sz="4" w:space="0" w:color="000000"/>
            </w:tcBorders>
            <w:vAlign w:val="center"/>
          </w:tcPr>
          <w:p w14:paraId="11AA5D9F"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4FD65D0D"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DBC8FB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5E25112"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rPr>
              <w:t>x</w:t>
            </w:r>
          </w:p>
        </w:tc>
      </w:tr>
      <w:tr w:rsidR="00CE4763" w:rsidRPr="00CE4763" w14:paraId="5AFE92A9"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542437AC"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Stanje mobilnosti operativnih kapaciteta sustava civilne zaštite i stanja komunikacijskih kapaciteta</w:t>
            </w:r>
          </w:p>
        </w:tc>
        <w:tc>
          <w:tcPr>
            <w:tcW w:w="1418" w:type="dxa"/>
            <w:tcBorders>
              <w:top w:val="single" w:sz="4" w:space="0" w:color="000000"/>
              <w:left w:val="single" w:sz="4" w:space="0" w:color="000000"/>
              <w:bottom w:val="single" w:sz="4" w:space="0" w:color="000000"/>
              <w:right w:val="single" w:sz="4" w:space="0" w:color="000000"/>
            </w:tcBorders>
            <w:vAlign w:val="center"/>
          </w:tcPr>
          <w:p w14:paraId="0C789A5A"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09C63282"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38C677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0C6A0997"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rPr>
              <w:t>x</w:t>
            </w:r>
          </w:p>
        </w:tc>
      </w:tr>
      <w:tr w:rsidR="00CE4763" w:rsidRPr="00CE4763" w14:paraId="216ADE3F"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734D4F0F" w14:textId="77777777" w:rsidR="00CE4763" w:rsidRPr="00CE4763" w:rsidRDefault="00CE4763" w:rsidP="00CE4763">
            <w:pPr>
              <w:spacing w:after="0" w:line="240" w:lineRule="auto"/>
              <w:ind w:left="0" w:right="0" w:firstLine="0"/>
              <w:jc w:val="left"/>
              <w:rPr>
                <w:rFonts w:ascii="Times New Roman" w:hAnsi="Times New Roman" w:cs="Times New Roman"/>
                <w:b/>
              </w:rPr>
            </w:pPr>
            <w:r w:rsidRPr="00CE4763">
              <w:rPr>
                <w:rFonts w:ascii="Times New Roman" w:hAnsi="Times New Roman" w:cs="Times New Roman"/>
                <w:b/>
              </w:rPr>
              <w:t>Područje reagiranja u slučaju</w:t>
            </w:r>
          </w:p>
          <w:p w14:paraId="77DEE157" w14:textId="77777777" w:rsidR="00CE4763" w:rsidRPr="00CE4763" w:rsidRDefault="00CE4763" w:rsidP="00CE4763">
            <w:pPr>
              <w:spacing w:after="0" w:line="240" w:lineRule="auto"/>
              <w:ind w:left="0" w:right="0" w:firstLine="0"/>
              <w:jc w:val="left"/>
              <w:rPr>
                <w:rFonts w:ascii="Times New Roman" w:hAnsi="Times New Roman" w:cs="Times New Roman"/>
                <w:b/>
              </w:rPr>
            </w:pPr>
            <w:r w:rsidRPr="00CE4763">
              <w:rPr>
                <w:rFonts w:ascii="Times New Roman" w:hAnsi="Times New Roman" w:cs="Times New Roman"/>
                <w:b/>
              </w:rPr>
              <w:t>EKSTREMNIH VREMENSKIH</w:t>
            </w:r>
          </w:p>
          <w:p w14:paraId="3C77C037"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PRILIKA - ZBIRNO</w:t>
            </w:r>
          </w:p>
        </w:tc>
        <w:tc>
          <w:tcPr>
            <w:tcW w:w="1418" w:type="dxa"/>
            <w:tcBorders>
              <w:top w:val="single" w:sz="4" w:space="0" w:color="000000"/>
              <w:left w:val="single" w:sz="4" w:space="0" w:color="000000"/>
              <w:bottom w:val="single" w:sz="4" w:space="0" w:color="000000"/>
              <w:right w:val="single" w:sz="4" w:space="0" w:color="000000"/>
            </w:tcBorders>
            <w:vAlign w:val="center"/>
          </w:tcPr>
          <w:p w14:paraId="5915D053"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4E5F1E5"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47DADB0"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47D2E6E"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r>
    </w:tbl>
    <w:p w14:paraId="1BDCD7C7"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024EAC50" w14:textId="77777777" w:rsidR="00CE4763" w:rsidRPr="00CE4763" w:rsidRDefault="00CE4763" w:rsidP="00CE4763">
      <w:pPr>
        <w:spacing w:after="0" w:line="240" w:lineRule="auto"/>
        <w:ind w:left="0" w:right="0" w:firstLine="709"/>
        <w:rPr>
          <w:rFonts w:ascii="Times New Roman" w:hAnsi="Times New Roman" w:cs="Times New Roman"/>
          <w:sz w:val="24"/>
          <w:u w:val="single"/>
        </w:rPr>
      </w:pPr>
      <w:r w:rsidRPr="00CE4763">
        <w:rPr>
          <w:rFonts w:ascii="Times New Roman" w:hAnsi="Times New Roman" w:cs="Times New Roman"/>
          <w:sz w:val="24"/>
          <w:u w:val="single"/>
        </w:rPr>
        <w:t>Zaključak</w:t>
      </w:r>
    </w:p>
    <w:p w14:paraId="1F352353"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Postojeće operativne snage sustava civilne zaštite s područja Grada Zagreba dovoljne su za provođenje mjera civilne zaštite u slučaju pojave toplinskog vala.</w:t>
      </w:r>
    </w:p>
    <w:p w14:paraId="5498EBB7"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09979DAE" w14:textId="77777777" w:rsidR="00CE4763" w:rsidRPr="00CE4763" w:rsidRDefault="00CE4763" w:rsidP="00CE4763">
      <w:pPr>
        <w:spacing w:after="0" w:line="240" w:lineRule="auto"/>
        <w:ind w:left="0" w:right="0" w:firstLine="709"/>
        <w:rPr>
          <w:rFonts w:ascii="Times New Roman" w:hAnsi="Times New Roman" w:cs="Times New Roman"/>
          <w:b/>
          <w:sz w:val="24"/>
        </w:rPr>
      </w:pPr>
      <w:bookmarkStart w:id="148" w:name="_Toc2938651"/>
      <w:r w:rsidRPr="00CE4763">
        <w:rPr>
          <w:rFonts w:ascii="Times New Roman" w:hAnsi="Times New Roman" w:cs="Times New Roman"/>
          <w:b/>
          <w:sz w:val="24"/>
        </w:rPr>
        <w:lastRenderedPageBreak/>
        <w:t>8.2.5. ANALIZA SUSTAVA CIVILNE ZAŠTITE - PODRUČJE REAGIRANJA - EPIDEMIJE I PANDEMIJE</w:t>
      </w:r>
      <w:bookmarkEnd w:id="148"/>
    </w:p>
    <w:p w14:paraId="1888D9A8"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Analiza sustava civilne zaštite u području reagiranja temelji se na najgorem scenariju koji je obrađen u Poglavlju 6.5. Procjene rizika (pandemija influence) male vjerojatnosti pojavljivanja.</w:t>
      </w:r>
    </w:p>
    <w:p w14:paraId="5512B368"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i/>
          <w:sz w:val="24"/>
        </w:rPr>
        <w:t>Vrlo niska spremnost</w:t>
      </w:r>
      <w:r w:rsidRPr="00CE4763">
        <w:rPr>
          <w:rFonts w:ascii="Times New Roman" w:hAnsi="Times New Roman" w:cs="Times New Roman"/>
          <w:sz w:val="24"/>
        </w:rPr>
        <w:t xml:space="preserve"> podrazumijeva da postojeći kapaciteti nisu dostatni pa je potrebno odmah tražiti pomoć izvan zone pogođenog područja (druge županije/gradovi odnosno međunarodnu pomoć). </w:t>
      </w:r>
      <w:r w:rsidRPr="00CE4763">
        <w:rPr>
          <w:rFonts w:ascii="Times New Roman" w:hAnsi="Times New Roman" w:cs="Times New Roman"/>
          <w:i/>
          <w:sz w:val="24"/>
        </w:rPr>
        <w:t>Niska spremnost</w:t>
      </w:r>
      <w:r w:rsidRPr="00CE4763">
        <w:rPr>
          <w:rFonts w:ascii="Times New Roman" w:hAnsi="Times New Roman" w:cs="Times New Roman"/>
          <w:sz w:val="24"/>
        </w:rPr>
        <w:t xml:space="preserve"> odnosi se na sposobnost djelomičnog obavljanja zadaća uz velike poteškoće (nedovoljno ljudi i opreme) pa je potrebno računati na pomoć izvan zone pogođenog područja (druge županije/gradovi odnosno međunarodnu pomoć). </w:t>
      </w:r>
      <w:r w:rsidRPr="00CE4763">
        <w:rPr>
          <w:rFonts w:ascii="Times New Roman" w:hAnsi="Times New Roman" w:cs="Times New Roman"/>
          <w:i/>
          <w:sz w:val="24"/>
        </w:rPr>
        <w:t>Visoka spremnost</w:t>
      </w:r>
      <w:r w:rsidRPr="00CE4763">
        <w:rPr>
          <w:rFonts w:ascii="Times New Roman" w:hAnsi="Times New Roman" w:cs="Times New Roman"/>
          <w:sz w:val="24"/>
        </w:rPr>
        <w:t xml:space="preserve"> podrazumijeva optimalnu reakciju uz određene manje teškoće prilikom planiranja zamjene snaga, ali visoku razinu samodostatnosti u obavljanju zadaća civilne zaštite. </w:t>
      </w:r>
      <w:r w:rsidRPr="00CE4763">
        <w:rPr>
          <w:rFonts w:ascii="Times New Roman" w:hAnsi="Times New Roman" w:cs="Times New Roman"/>
          <w:i/>
          <w:sz w:val="24"/>
        </w:rPr>
        <w:t>Vrlo visoka spremnost</w:t>
      </w:r>
      <w:r w:rsidRPr="00CE4763">
        <w:rPr>
          <w:rFonts w:ascii="Times New Roman" w:hAnsi="Times New Roman" w:cs="Times New Roman"/>
          <w:sz w:val="24"/>
        </w:rPr>
        <w:t xml:space="preserve"> podrazumijeva potpunu samodostatnost i u planiranju zamjenskih snaga odnosno mogućnost redovitog i pravodobnog obavljanja svih zadaća.</w:t>
      </w:r>
    </w:p>
    <w:p w14:paraId="49799185"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57D07501" w14:textId="66848E44" w:rsidR="00CE4763" w:rsidRPr="00CE4763" w:rsidRDefault="00CE4763" w:rsidP="007872F3">
      <w:pPr>
        <w:spacing w:line="240" w:lineRule="auto"/>
        <w:ind w:left="0" w:right="0" w:firstLine="0"/>
        <w:jc w:val="center"/>
        <w:rPr>
          <w:rFonts w:ascii="Times New Roman" w:hAnsi="Times New Roman" w:cs="Times New Roman"/>
          <w:b/>
          <w:sz w:val="24"/>
        </w:rPr>
      </w:pPr>
      <w:r w:rsidRPr="00F92B9F">
        <w:rPr>
          <w:rFonts w:ascii="Times New Roman" w:hAnsi="Times New Roman" w:cs="Times New Roman"/>
          <w:b/>
          <w:color w:val="auto"/>
          <w:sz w:val="24"/>
        </w:rPr>
        <w:t xml:space="preserve">Tablica </w:t>
      </w:r>
      <w:r w:rsidR="00F92B9F" w:rsidRPr="00F92B9F">
        <w:rPr>
          <w:rFonts w:ascii="Times New Roman" w:hAnsi="Times New Roman" w:cs="Times New Roman"/>
          <w:b/>
          <w:color w:val="auto"/>
          <w:sz w:val="24"/>
        </w:rPr>
        <w:t>146</w:t>
      </w:r>
      <w:r w:rsidRPr="00F92B9F">
        <w:rPr>
          <w:rFonts w:ascii="Times New Roman" w:hAnsi="Times New Roman" w:cs="Times New Roman"/>
          <w:b/>
          <w:color w:val="auto"/>
          <w:sz w:val="24"/>
        </w:rPr>
        <w:t>. Mjere civilne zaštite u slučaju pojave pandemije gripe na području</w:t>
      </w:r>
      <w:r w:rsidRPr="00F92B9F">
        <w:rPr>
          <w:rFonts w:ascii="Times New Roman" w:hAnsi="Times New Roman" w:cs="Times New Roman"/>
          <w:b/>
          <w:color w:val="auto"/>
          <w:sz w:val="24"/>
        </w:rPr>
        <w:br/>
      </w:r>
      <w:r w:rsidRPr="00CE4763">
        <w:rPr>
          <w:rFonts w:ascii="Times New Roman" w:hAnsi="Times New Roman" w:cs="Times New Roman"/>
          <w:b/>
          <w:sz w:val="24"/>
        </w:rPr>
        <w:t>Grada Zagreba</w:t>
      </w:r>
    </w:p>
    <w:tbl>
      <w:tblPr>
        <w:tblStyle w:val="TableGrid"/>
        <w:tblW w:w="9072" w:type="dxa"/>
        <w:tblInd w:w="0" w:type="dxa"/>
        <w:tblLayout w:type="fixed"/>
        <w:tblCellMar>
          <w:left w:w="57" w:type="dxa"/>
          <w:right w:w="54" w:type="dxa"/>
        </w:tblCellMar>
        <w:tblLook w:val="04A0" w:firstRow="1" w:lastRow="0" w:firstColumn="1" w:lastColumn="0" w:noHBand="0" w:noVBand="1"/>
      </w:tblPr>
      <w:tblGrid>
        <w:gridCol w:w="3400"/>
        <w:gridCol w:w="1418"/>
        <w:gridCol w:w="1418"/>
        <w:gridCol w:w="1418"/>
        <w:gridCol w:w="1418"/>
      </w:tblGrid>
      <w:tr w:rsidR="00CE4763" w:rsidRPr="00CE4763" w14:paraId="0D239BA6" w14:textId="77777777" w:rsidTr="007872F3">
        <w:trPr>
          <w:cantSplit/>
          <w:tblHeader/>
        </w:trPr>
        <w:tc>
          <w:tcPr>
            <w:tcW w:w="3400" w:type="dxa"/>
            <w:vMerge w:val="restart"/>
            <w:tcBorders>
              <w:top w:val="single" w:sz="4" w:space="0" w:color="000000"/>
              <w:left w:val="single" w:sz="4" w:space="0" w:color="000000"/>
              <w:bottom w:val="single" w:sz="4" w:space="0" w:color="000000"/>
              <w:right w:val="single" w:sz="4" w:space="0" w:color="000000"/>
            </w:tcBorders>
            <w:vAlign w:val="center"/>
          </w:tcPr>
          <w:p w14:paraId="034A3D81"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 xml:space="preserve">MJERE CIVILNE ZAŠTITE U SLUČAJU POJAVE PANDEMIJE GRIPE </w:t>
            </w: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5226250D"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Vrlo 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C683D7E"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660BC61D"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Visoka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6CBC4157"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Vrlo visoka spremnost</w:t>
            </w:r>
          </w:p>
        </w:tc>
      </w:tr>
      <w:tr w:rsidR="00CE4763" w:rsidRPr="00CE4763" w14:paraId="771A3142" w14:textId="77777777" w:rsidTr="007872F3">
        <w:trPr>
          <w:cantSplit/>
          <w:tblHeader/>
        </w:trPr>
        <w:tc>
          <w:tcPr>
            <w:tcW w:w="3400" w:type="dxa"/>
            <w:vMerge/>
            <w:tcBorders>
              <w:top w:val="nil"/>
              <w:left w:val="single" w:sz="4" w:space="0" w:color="000000"/>
              <w:bottom w:val="single" w:sz="4" w:space="0" w:color="000000"/>
              <w:right w:val="single" w:sz="4" w:space="0" w:color="000000"/>
            </w:tcBorders>
            <w:vAlign w:val="center"/>
          </w:tcPr>
          <w:p w14:paraId="2A16D84B" w14:textId="77777777" w:rsidR="00CE4763" w:rsidRPr="00CE4763" w:rsidRDefault="00CE4763" w:rsidP="00CE4763">
            <w:pPr>
              <w:spacing w:after="0" w:line="240" w:lineRule="auto"/>
              <w:ind w:left="0" w:right="0" w:firstLine="0"/>
              <w:jc w:val="left"/>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4974766F"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3F05B37"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06E80D1F"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0F4C2453"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1</w:t>
            </w:r>
          </w:p>
        </w:tc>
      </w:tr>
      <w:tr w:rsidR="00CE4763" w:rsidRPr="00CE4763" w14:paraId="75FA3114"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42E09827"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Provedba preventivnih mjera i edukacija stanovništva </w:t>
            </w:r>
          </w:p>
        </w:tc>
        <w:tc>
          <w:tcPr>
            <w:tcW w:w="1418" w:type="dxa"/>
            <w:tcBorders>
              <w:top w:val="single" w:sz="4" w:space="0" w:color="000000"/>
              <w:left w:val="single" w:sz="4" w:space="0" w:color="000000"/>
              <w:bottom w:val="single" w:sz="4" w:space="0" w:color="000000"/>
              <w:right w:val="single" w:sz="4" w:space="0" w:color="000000"/>
            </w:tcBorders>
            <w:vAlign w:val="center"/>
          </w:tcPr>
          <w:p w14:paraId="3D39EEA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2855861"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009C67AB"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0B41CA4A"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r>
      <w:tr w:rsidR="00CE4763" w:rsidRPr="00CE4763" w14:paraId="0E75C84E"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1A39BA7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Nabava i podjela zaštitne opreme (maski) </w:t>
            </w:r>
          </w:p>
        </w:tc>
        <w:tc>
          <w:tcPr>
            <w:tcW w:w="1418" w:type="dxa"/>
            <w:tcBorders>
              <w:top w:val="single" w:sz="4" w:space="0" w:color="000000"/>
              <w:left w:val="single" w:sz="4" w:space="0" w:color="000000"/>
              <w:bottom w:val="single" w:sz="4" w:space="0" w:color="000000"/>
              <w:right w:val="single" w:sz="4" w:space="0" w:color="000000"/>
            </w:tcBorders>
            <w:vAlign w:val="center"/>
          </w:tcPr>
          <w:p w14:paraId="33B2987B"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5908431"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42C4003"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60A0A8BA"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257A49B6"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57921EEB"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Provedba asanacije prostorija i dezinfekcije predmeta </w:t>
            </w:r>
          </w:p>
        </w:tc>
        <w:tc>
          <w:tcPr>
            <w:tcW w:w="1418" w:type="dxa"/>
            <w:tcBorders>
              <w:top w:val="single" w:sz="4" w:space="0" w:color="000000"/>
              <w:left w:val="single" w:sz="4" w:space="0" w:color="000000"/>
              <w:bottom w:val="single" w:sz="4" w:space="0" w:color="000000"/>
              <w:right w:val="single" w:sz="4" w:space="0" w:color="000000"/>
            </w:tcBorders>
            <w:vAlign w:val="center"/>
          </w:tcPr>
          <w:p w14:paraId="1BB8FB42"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28BDD4F"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AB5DA5E"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5D872A9A"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750DB850"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5F6A96F1"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Izoliranje područja gdje je zaraza utvrđena te uvođenje mjere nadzora nad kretanjem stanovništva u ta područja i iz njih</w:t>
            </w:r>
          </w:p>
        </w:tc>
        <w:tc>
          <w:tcPr>
            <w:tcW w:w="1418" w:type="dxa"/>
            <w:tcBorders>
              <w:top w:val="single" w:sz="4" w:space="0" w:color="000000"/>
              <w:left w:val="single" w:sz="4" w:space="0" w:color="000000"/>
              <w:bottom w:val="single" w:sz="4" w:space="0" w:color="000000"/>
              <w:right w:val="single" w:sz="4" w:space="0" w:color="000000"/>
            </w:tcBorders>
            <w:vAlign w:val="center"/>
          </w:tcPr>
          <w:p w14:paraId="172D94DD"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4AB498AF"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0D524679"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28663BB8"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6E22E5F3"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2A64D74A"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Izgradnja privremenog kampa za smještaj oboljelih </w:t>
            </w:r>
          </w:p>
        </w:tc>
        <w:tc>
          <w:tcPr>
            <w:tcW w:w="1418" w:type="dxa"/>
            <w:tcBorders>
              <w:top w:val="single" w:sz="4" w:space="0" w:color="000000"/>
              <w:left w:val="single" w:sz="4" w:space="0" w:color="000000"/>
              <w:bottom w:val="single" w:sz="4" w:space="0" w:color="000000"/>
              <w:right w:val="single" w:sz="4" w:space="0" w:color="000000"/>
            </w:tcBorders>
            <w:vAlign w:val="center"/>
          </w:tcPr>
          <w:p w14:paraId="79A40008"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3A21E0E"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D67CF56"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3289DE53"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7A54435A"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4BDC8646"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Logistička potpora Gradskom stožeru zdravstva </w:t>
            </w:r>
          </w:p>
        </w:tc>
        <w:tc>
          <w:tcPr>
            <w:tcW w:w="1418" w:type="dxa"/>
            <w:tcBorders>
              <w:top w:val="single" w:sz="4" w:space="0" w:color="000000"/>
              <w:left w:val="single" w:sz="4" w:space="0" w:color="000000"/>
              <w:bottom w:val="single" w:sz="4" w:space="0" w:color="000000"/>
              <w:right w:val="single" w:sz="4" w:space="0" w:color="000000"/>
            </w:tcBorders>
            <w:vAlign w:val="center"/>
          </w:tcPr>
          <w:p w14:paraId="661813F4"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44C26064"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FF8B39E"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30FA5B1"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r>
      <w:tr w:rsidR="00CE4763" w:rsidRPr="00CE4763" w14:paraId="0E07C715"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0DA8BB8D"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Provođenje mobilizacije smještajnih kapaciteta za provedbu kurativnih mjera </w:t>
            </w:r>
          </w:p>
        </w:tc>
        <w:tc>
          <w:tcPr>
            <w:tcW w:w="1418" w:type="dxa"/>
            <w:tcBorders>
              <w:top w:val="single" w:sz="4" w:space="0" w:color="000000"/>
              <w:left w:val="single" w:sz="4" w:space="0" w:color="000000"/>
              <w:bottom w:val="single" w:sz="4" w:space="0" w:color="000000"/>
              <w:right w:val="single" w:sz="4" w:space="0" w:color="000000"/>
            </w:tcBorders>
            <w:vAlign w:val="center"/>
          </w:tcPr>
          <w:p w14:paraId="1D2FBA69"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4B0F0BB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B4210FA"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50920CF4"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56665BA4"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5B6D2D52"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Osiguravanje hrane i funkcija kritične infrastrukture </w:t>
            </w:r>
          </w:p>
        </w:tc>
        <w:tc>
          <w:tcPr>
            <w:tcW w:w="1418" w:type="dxa"/>
            <w:tcBorders>
              <w:top w:val="single" w:sz="4" w:space="0" w:color="000000"/>
              <w:left w:val="single" w:sz="4" w:space="0" w:color="000000"/>
              <w:bottom w:val="single" w:sz="4" w:space="0" w:color="000000"/>
              <w:right w:val="single" w:sz="4" w:space="0" w:color="000000"/>
            </w:tcBorders>
            <w:vAlign w:val="center"/>
          </w:tcPr>
          <w:p w14:paraId="06708194"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527B5A0"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F6F9110"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761D2020"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3777FF26"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2FD691B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Provođenje asanacije </w:t>
            </w:r>
          </w:p>
        </w:tc>
        <w:tc>
          <w:tcPr>
            <w:tcW w:w="1418" w:type="dxa"/>
            <w:tcBorders>
              <w:top w:val="single" w:sz="4" w:space="0" w:color="000000"/>
              <w:left w:val="single" w:sz="4" w:space="0" w:color="000000"/>
              <w:bottom w:val="single" w:sz="4" w:space="0" w:color="000000"/>
              <w:right w:val="single" w:sz="4" w:space="0" w:color="000000"/>
            </w:tcBorders>
            <w:vAlign w:val="center"/>
          </w:tcPr>
          <w:p w14:paraId="55A041D0"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0009B4D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0F6B3B47"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1FCDDBDA" w14:textId="77777777" w:rsidR="00CE4763" w:rsidRPr="00CE4763" w:rsidRDefault="00CE4763" w:rsidP="00CE4763">
            <w:pPr>
              <w:spacing w:after="0" w:line="240" w:lineRule="auto"/>
              <w:ind w:left="0" w:right="0" w:firstLine="0"/>
              <w:jc w:val="center"/>
              <w:rPr>
                <w:rFonts w:ascii="Times New Roman" w:hAnsi="Times New Roman" w:cs="Times New Roman"/>
              </w:rPr>
            </w:pPr>
          </w:p>
        </w:tc>
      </w:tr>
    </w:tbl>
    <w:p w14:paraId="11842AFA" w14:textId="77777777" w:rsidR="00CE4763" w:rsidRPr="00CE4763" w:rsidRDefault="00CE4763" w:rsidP="00CE4763">
      <w:pPr>
        <w:spacing w:after="0" w:line="240" w:lineRule="auto"/>
        <w:ind w:left="0" w:right="0" w:firstLine="0"/>
        <w:rPr>
          <w:rFonts w:ascii="Times New Roman" w:hAnsi="Times New Roman" w:cs="Times New Roman"/>
          <w:sz w:val="24"/>
        </w:rPr>
      </w:pPr>
    </w:p>
    <w:p w14:paraId="167167F4" w14:textId="6F9F2D5C" w:rsid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Spremnost odgovornih i upravljačkih kapaciteta i stanje mobilnosti operativnih kapaciteta sustava civilne zaštite i komunikacijskih kapaciteta u slučaju pojave epidemija i pandemija na području Grada Zagreba procjenjuje se vrlo visokom dok se spremnost operativnih kapaciteta procjenjuje visokom.</w:t>
      </w:r>
    </w:p>
    <w:p w14:paraId="489C1D3B" w14:textId="281A2F2F" w:rsidR="00385A37" w:rsidRDefault="00385A37" w:rsidP="00CE4763">
      <w:pPr>
        <w:spacing w:after="0" w:line="240" w:lineRule="auto"/>
        <w:ind w:left="0" w:right="0" w:firstLine="709"/>
        <w:rPr>
          <w:rFonts w:ascii="Times New Roman" w:hAnsi="Times New Roman" w:cs="Times New Roman"/>
          <w:sz w:val="24"/>
        </w:rPr>
      </w:pPr>
    </w:p>
    <w:p w14:paraId="0F90F43F" w14:textId="46F6C404" w:rsidR="00385A37" w:rsidRDefault="00385A37" w:rsidP="00CE4763">
      <w:pPr>
        <w:spacing w:after="0" w:line="240" w:lineRule="auto"/>
        <w:ind w:left="0" w:right="0" w:firstLine="709"/>
        <w:rPr>
          <w:rFonts w:ascii="Times New Roman" w:hAnsi="Times New Roman" w:cs="Times New Roman"/>
          <w:sz w:val="24"/>
        </w:rPr>
      </w:pPr>
    </w:p>
    <w:p w14:paraId="03CAB0F6" w14:textId="11F3893D" w:rsidR="00385A37" w:rsidRDefault="00385A37" w:rsidP="00CE4763">
      <w:pPr>
        <w:spacing w:after="0" w:line="240" w:lineRule="auto"/>
        <w:ind w:left="0" w:right="0" w:firstLine="709"/>
        <w:rPr>
          <w:rFonts w:ascii="Times New Roman" w:hAnsi="Times New Roman" w:cs="Times New Roman"/>
          <w:sz w:val="24"/>
        </w:rPr>
      </w:pPr>
    </w:p>
    <w:p w14:paraId="46E4A1A8" w14:textId="77777777" w:rsidR="00385A37" w:rsidRDefault="00385A37" w:rsidP="00CE4763">
      <w:pPr>
        <w:spacing w:after="0" w:line="240" w:lineRule="auto"/>
        <w:ind w:left="0" w:right="0" w:firstLine="709"/>
        <w:rPr>
          <w:rFonts w:ascii="Times New Roman" w:hAnsi="Times New Roman" w:cs="Times New Roman"/>
          <w:sz w:val="24"/>
        </w:rPr>
      </w:pPr>
    </w:p>
    <w:p w14:paraId="17ADB8C9"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7E96B2E2" w14:textId="7F61C2B4" w:rsidR="00CE4763" w:rsidRPr="00CE4763" w:rsidRDefault="00CE4763" w:rsidP="007872F3">
      <w:pPr>
        <w:spacing w:line="240" w:lineRule="auto"/>
        <w:ind w:left="0" w:right="0" w:firstLine="0"/>
        <w:jc w:val="center"/>
        <w:rPr>
          <w:rFonts w:ascii="Times New Roman" w:hAnsi="Times New Roman" w:cs="Times New Roman"/>
          <w:b/>
          <w:sz w:val="24"/>
        </w:rPr>
      </w:pPr>
      <w:r w:rsidRPr="003D3BF4">
        <w:rPr>
          <w:rFonts w:ascii="Times New Roman" w:hAnsi="Times New Roman" w:cs="Times New Roman"/>
          <w:b/>
          <w:color w:val="auto"/>
          <w:sz w:val="24"/>
        </w:rPr>
        <w:lastRenderedPageBreak/>
        <w:t xml:space="preserve">Tablica </w:t>
      </w:r>
      <w:r w:rsidR="003D3BF4" w:rsidRPr="003D3BF4">
        <w:rPr>
          <w:rFonts w:ascii="Times New Roman" w:hAnsi="Times New Roman" w:cs="Times New Roman"/>
          <w:b/>
          <w:color w:val="auto"/>
          <w:sz w:val="24"/>
        </w:rPr>
        <w:t>147</w:t>
      </w:r>
      <w:r w:rsidRPr="003D3BF4">
        <w:rPr>
          <w:rFonts w:ascii="Times New Roman" w:hAnsi="Times New Roman" w:cs="Times New Roman"/>
          <w:b/>
          <w:color w:val="auto"/>
          <w:sz w:val="24"/>
        </w:rPr>
        <w:t xml:space="preserve">. Analiza sustava civilne zaštite - područje reagiranja - Epidemije i </w:t>
      </w:r>
      <w:r w:rsidRPr="00CE4763">
        <w:rPr>
          <w:rFonts w:ascii="Times New Roman" w:hAnsi="Times New Roman" w:cs="Times New Roman"/>
          <w:b/>
          <w:sz w:val="24"/>
        </w:rPr>
        <w:t>pandemije</w:t>
      </w:r>
    </w:p>
    <w:tbl>
      <w:tblPr>
        <w:tblStyle w:val="TableGrid"/>
        <w:tblW w:w="9072" w:type="dxa"/>
        <w:tblInd w:w="0" w:type="dxa"/>
        <w:tblLayout w:type="fixed"/>
        <w:tblCellMar>
          <w:left w:w="57" w:type="dxa"/>
          <w:right w:w="55" w:type="dxa"/>
        </w:tblCellMar>
        <w:tblLook w:val="04A0" w:firstRow="1" w:lastRow="0" w:firstColumn="1" w:lastColumn="0" w:noHBand="0" w:noVBand="1"/>
      </w:tblPr>
      <w:tblGrid>
        <w:gridCol w:w="3400"/>
        <w:gridCol w:w="1418"/>
        <w:gridCol w:w="1418"/>
        <w:gridCol w:w="1418"/>
        <w:gridCol w:w="1418"/>
      </w:tblGrid>
      <w:tr w:rsidR="00CE4763" w:rsidRPr="00CE4763" w14:paraId="1C3F3354" w14:textId="77777777" w:rsidTr="007872F3">
        <w:trPr>
          <w:cantSplit/>
          <w:tblHeader/>
        </w:trPr>
        <w:tc>
          <w:tcPr>
            <w:tcW w:w="3400" w:type="dxa"/>
            <w:vMerge w:val="restart"/>
            <w:tcBorders>
              <w:top w:val="single" w:sz="4" w:space="0" w:color="000000"/>
              <w:left w:val="single" w:sz="4" w:space="0" w:color="000000"/>
              <w:bottom w:val="single" w:sz="4" w:space="0" w:color="000000"/>
              <w:right w:val="single" w:sz="4" w:space="0" w:color="000000"/>
            </w:tcBorders>
            <w:vAlign w:val="center"/>
          </w:tcPr>
          <w:p w14:paraId="648F817E"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 xml:space="preserve">MJERE CIVILNE ZAŠTITE U SLUČAJU POJAVE EPIDEMIJA I PANDEMIJA </w:t>
            </w: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70679E9B"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Vrlo 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23C865C"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76FB608B" w14:textId="77777777" w:rsidR="00CE4763" w:rsidRPr="00CE4763" w:rsidRDefault="00CE4763" w:rsidP="00CE4763">
            <w:pPr>
              <w:spacing w:after="0" w:line="240" w:lineRule="auto"/>
              <w:ind w:left="0" w:right="0" w:firstLine="0"/>
              <w:jc w:val="center"/>
              <w:rPr>
                <w:rFonts w:ascii="Times New Roman" w:hAnsi="Times New Roman" w:cs="Times New Roman"/>
                <w:b/>
              </w:rPr>
            </w:pPr>
            <w:r w:rsidRPr="00CE4763">
              <w:rPr>
                <w:rFonts w:ascii="Times New Roman" w:hAnsi="Times New Roman" w:cs="Times New Roman"/>
                <w:b/>
              </w:rPr>
              <w:t>Visoka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24B3AEA2"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Vrlo visoka spremnost</w:t>
            </w:r>
          </w:p>
        </w:tc>
      </w:tr>
      <w:tr w:rsidR="00CE4763" w:rsidRPr="00CE4763" w14:paraId="0C2506A1" w14:textId="77777777" w:rsidTr="007872F3">
        <w:trPr>
          <w:cantSplit/>
          <w:tblHeader/>
        </w:trPr>
        <w:tc>
          <w:tcPr>
            <w:tcW w:w="3400" w:type="dxa"/>
            <w:vMerge/>
            <w:tcBorders>
              <w:top w:val="nil"/>
              <w:left w:val="single" w:sz="4" w:space="0" w:color="000000"/>
              <w:bottom w:val="single" w:sz="4" w:space="0" w:color="000000"/>
              <w:right w:val="single" w:sz="4" w:space="0" w:color="000000"/>
            </w:tcBorders>
            <w:vAlign w:val="center"/>
          </w:tcPr>
          <w:p w14:paraId="3FA0D304" w14:textId="77777777" w:rsidR="00CE4763" w:rsidRPr="00CE4763" w:rsidRDefault="00CE4763" w:rsidP="00CE4763">
            <w:pPr>
              <w:spacing w:after="0" w:line="240" w:lineRule="auto"/>
              <w:ind w:left="0" w:right="0" w:firstLine="0"/>
              <w:jc w:val="left"/>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17CC0E75"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A53555B"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39FE3609" w14:textId="77777777" w:rsidR="00CE4763" w:rsidRPr="00CE4763" w:rsidRDefault="00CE4763" w:rsidP="00CE4763">
            <w:pPr>
              <w:spacing w:after="0" w:line="240" w:lineRule="auto"/>
              <w:ind w:left="0" w:right="0" w:firstLine="0"/>
              <w:jc w:val="center"/>
              <w:rPr>
                <w:rFonts w:ascii="Times New Roman" w:hAnsi="Times New Roman" w:cs="Times New Roman"/>
                <w:b/>
              </w:rPr>
            </w:pPr>
            <w:r w:rsidRPr="00CE4763">
              <w:rPr>
                <w:rFonts w:ascii="Times New Roman" w:hAnsi="Times New Roman" w:cs="Times New Roman"/>
                <w:b/>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686BD707"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1</w:t>
            </w:r>
          </w:p>
        </w:tc>
      </w:tr>
      <w:tr w:rsidR="00CE4763" w:rsidRPr="00CE4763" w14:paraId="642655A0"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037C153A"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Spremnost odgovornih i upravljačkih kapaciteta </w:t>
            </w:r>
          </w:p>
        </w:tc>
        <w:tc>
          <w:tcPr>
            <w:tcW w:w="1418" w:type="dxa"/>
            <w:tcBorders>
              <w:top w:val="single" w:sz="4" w:space="0" w:color="000000"/>
              <w:left w:val="single" w:sz="4" w:space="0" w:color="000000"/>
              <w:bottom w:val="single" w:sz="4" w:space="0" w:color="000000"/>
              <w:right w:val="single" w:sz="4" w:space="0" w:color="000000"/>
            </w:tcBorders>
            <w:vAlign w:val="center"/>
          </w:tcPr>
          <w:p w14:paraId="4A46F12A"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E9EC0B6"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4B53C189"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734802E"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rPr>
              <w:t>x</w:t>
            </w:r>
          </w:p>
        </w:tc>
      </w:tr>
      <w:tr w:rsidR="00CE4763" w:rsidRPr="00CE4763" w14:paraId="7699E396"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2DAFD110"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Spremnost operativnih kapaciteta </w:t>
            </w:r>
          </w:p>
        </w:tc>
        <w:tc>
          <w:tcPr>
            <w:tcW w:w="1418" w:type="dxa"/>
            <w:tcBorders>
              <w:top w:val="single" w:sz="4" w:space="0" w:color="000000"/>
              <w:left w:val="single" w:sz="4" w:space="0" w:color="000000"/>
              <w:bottom w:val="single" w:sz="4" w:space="0" w:color="000000"/>
              <w:right w:val="single" w:sz="4" w:space="0" w:color="000000"/>
            </w:tcBorders>
            <w:vAlign w:val="center"/>
          </w:tcPr>
          <w:p w14:paraId="4CF428E8"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4DD21ACE"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05B3877"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1691E8BA"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6F4F9DE5"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08BCDE4B"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Stanje mobilnosti operativnih kapaciteta sustava civilne zaštite i stanja komunikacijskih kapaciteta </w:t>
            </w:r>
          </w:p>
        </w:tc>
        <w:tc>
          <w:tcPr>
            <w:tcW w:w="1418" w:type="dxa"/>
            <w:tcBorders>
              <w:top w:val="single" w:sz="4" w:space="0" w:color="000000"/>
              <w:left w:val="single" w:sz="4" w:space="0" w:color="000000"/>
              <w:bottom w:val="single" w:sz="4" w:space="0" w:color="000000"/>
              <w:right w:val="single" w:sz="4" w:space="0" w:color="000000"/>
            </w:tcBorders>
            <w:vAlign w:val="center"/>
          </w:tcPr>
          <w:p w14:paraId="50A88CD5"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D2F99F3"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5631DF8F"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525A5A86"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rPr>
              <w:t>x</w:t>
            </w:r>
          </w:p>
        </w:tc>
      </w:tr>
      <w:tr w:rsidR="00CE4763" w:rsidRPr="00CE4763" w14:paraId="50E95732"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5C69448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 xml:space="preserve">Područje reagiranja u slučaju POJAVE EPIDEMIJA I PANDEMIJA - ZBIRNO </w:t>
            </w:r>
          </w:p>
        </w:tc>
        <w:tc>
          <w:tcPr>
            <w:tcW w:w="1418" w:type="dxa"/>
            <w:tcBorders>
              <w:top w:val="single" w:sz="4" w:space="0" w:color="000000"/>
              <w:left w:val="single" w:sz="4" w:space="0" w:color="000000"/>
              <w:bottom w:val="single" w:sz="4" w:space="0" w:color="000000"/>
              <w:right w:val="single" w:sz="4" w:space="0" w:color="000000"/>
            </w:tcBorders>
            <w:vAlign w:val="center"/>
          </w:tcPr>
          <w:p w14:paraId="4D764C33"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4E562EF9"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5B54D641"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60AC669C" w14:textId="77777777" w:rsidR="00CE4763" w:rsidRPr="00CE4763" w:rsidRDefault="00CE4763" w:rsidP="00CE4763">
            <w:pPr>
              <w:spacing w:after="0" w:line="240" w:lineRule="auto"/>
              <w:ind w:left="0" w:right="0" w:firstLine="0"/>
              <w:jc w:val="center"/>
              <w:rPr>
                <w:rFonts w:ascii="Times New Roman" w:hAnsi="Times New Roman" w:cs="Times New Roman"/>
              </w:rPr>
            </w:pPr>
          </w:p>
        </w:tc>
      </w:tr>
    </w:tbl>
    <w:p w14:paraId="22C301EA"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2E2D454D" w14:textId="77777777" w:rsidR="00CE4763" w:rsidRPr="00CE4763" w:rsidRDefault="00CE4763" w:rsidP="00CE4763">
      <w:pPr>
        <w:spacing w:after="0" w:line="240" w:lineRule="auto"/>
        <w:ind w:left="0" w:right="0" w:firstLine="709"/>
        <w:rPr>
          <w:rFonts w:ascii="Times New Roman" w:hAnsi="Times New Roman" w:cs="Times New Roman"/>
          <w:sz w:val="24"/>
          <w:u w:val="single"/>
        </w:rPr>
      </w:pPr>
      <w:r w:rsidRPr="00CE4763">
        <w:rPr>
          <w:rFonts w:ascii="Times New Roman" w:hAnsi="Times New Roman" w:cs="Times New Roman"/>
          <w:sz w:val="24"/>
          <w:u w:val="single"/>
        </w:rPr>
        <w:t>Zaključak</w:t>
      </w:r>
    </w:p>
    <w:p w14:paraId="19C865E7"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Postojeće snage civilne zaštite u slučaju pojave epidemija i pandemija bile bi dovoljne u provođenju mjera civilne zaštite.</w:t>
      </w:r>
    </w:p>
    <w:p w14:paraId="10E983F3" w14:textId="77777777" w:rsidR="00CE4763" w:rsidRPr="00CE4763" w:rsidRDefault="00CE4763" w:rsidP="001F535B">
      <w:pPr>
        <w:spacing w:after="0" w:line="240" w:lineRule="auto"/>
        <w:ind w:left="0" w:right="0" w:firstLine="0"/>
        <w:rPr>
          <w:rFonts w:ascii="Times New Roman" w:hAnsi="Times New Roman" w:cs="Times New Roman"/>
          <w:sz w:val="24"/>
        </w:rPr>
      </w:pPr>
    </w:p>
    <w:p w14:paraId="6977AB4F" w14:textId="009D4487" w:rsidR="00CE4763" w:rsidRDefault="00CE4763" w:rsidP="00CE4763">
      <w:pPr>
        <w:spacing w:after="0" w:line="240" w:lineRule="auto"/>
        <w:ind w:left="0" w:right="0" w:firstLine="709"/>
        <w:rPr>
          <w:rFonts w:ascii="Times New Roman" w:hAnsi="Times New Roman" w:cs="Times New Roman"/>
          <w:b/>
          <w:color w:val="auto"/>
          <w:sz w:val="24"/>
        </w:rPr>
      </w:pPr>
      <w:r w:rsidRPr="00CE4763">
        <w:rPr>
          <w:rFonts w:ascii="Times New Roman" w:hAnsi="Times New Roman" w:cs="Times New Roman"/>
          <w:b/>
          <w:color w:val="auto"/>
          <w:sz w:val="24"/>
        </w:rPr>
        <w:t>8.2.6. ANALIZA SUSTAVA CIVILNE ZAŠTITE - PODRUČJE REAGIRANJA - NUKLEARNA NESREĆA</w:t>
      </w:r>
    </w:p>
    <w:p w14:paraId="2C5A9914" w14:textId="77777777" w:rsidR="007872F3" w:rsidRPr="00CE4763" w:rsidRDefault="007872F3" w:rsidP="00CE4763">
      <w:pPr>
        <w:spacing w:after="0" w:line="240" w:lineRule="auto"/>
        <w:ind w:left="0" w:right="0" w:firstLine="709"/>
        <w:rPr>
          <w:rFonts w:ascii="Times New Roman" w:hAnsi="Times New Roman" w:cs="Times New Roman"/>
          <w:b/>
          <w:color w:val="auto"/>
          <w:sz w:val="24"/>
        </w:rPr>
      </w:pPr>
    </w:p>
    <w:p w14:paraId="2EF3F215"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Analiza sustava civilne zaštite u području reagiranja temelji se na najgorem scenariju koji je obrađen u Poglavlju 6.6. Procjene rizika (nuklearna nesreća u NE Krško) vrlo male vjerojatnosti pojavljivanja.</w:t>
      </w:r>
    </w:p>
    <w:p w14:paraId="5F9AD72F"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i/>
          <w:sz w:val="24"/>
        </w:rPr>
        <w:t>Vrlo niska spremnost</w:t>
      </w:r>
      <w:r w:rsidRPr="00CE4763">
        <w:rPr>
          <w:rFonts w:ascii="Times New Roman" w:hAnsi="Times New Roman" w:cs="Times New Roman"/>
          <w:sz w:val="24"/>
        </w:rPr>
        <w:t xml:space="preserve"> podrazumijeva da postojeći kapaciteti nisu dostatni pa je potrebno odmah tražiti pomoć izvan zone pogođenog područja (druge županije/gradovi odnosno međunarodnu pomoć). </w:t>
      </w:r>
      <w:r w:rsidRPr="00CE4763">
        <w:rPr>
          <w:rFonts w:ascii="Times New Roman" w:hAnsi="Times New Roman" w:cs="Times New Roman"/>
          <w:i/>
          <w:sz w:val="24"/>
        </w:rPr>
        <w:t>Niska spremnost</w:t>
      </w:r>
      <w:r w:rsidRPr="00CE4763">
        <w:rPr>
          <w:rFonts w:ascii="Times New Roman" w:hAnsi="Times New Roman" w:cs="Times New Roman"/>
          <w:sz w:val="24"/>
        </w:rPr>
        <w:t xml:space="preserve"> odnosi se na sposobnost djelomičnog obavljanja zadaća uz velike poteškoće (nedovoljno ljudi i opreme) pa je potrebno računati na pomoć izvan zone pogođenog područja (druge županije/gradovi odnosno međunarodnu pomoć). </w:t>
      </w:r>
      <w:r w:rsidRPr="00CE4763">
        <w:rPr>
          <w:rFonts w:ascii="Times New Roman" w:hAnsi="Times New Roman" w:cs="Times New Roman"/>
          <w:i/>
          <w:sz w:val="24"/>
        </w:rPr>
        <w:t>Visoka spremnost</w:t>
      </w:r>
      <w:r w:rsidRPr="00CE4763">
        <w:rPr>
          <w:rFonts w:ascii="Times New Roman" w:hAnsi="Times New Roman" w:cs="Times New Roman"/>
          <w:sz w:val="24"/>
        </w:rPr>
        <w:t xml:space="preserve"> podrazumijeva optimalnu reakciju uz određene manje teškoće prilikom planiranja zamjene snaga, ali visoku razinu samodostatnosti u obavljanju zadaća civilne zaštite. </w:t>
      </w:r>
      <w:r w:rsidRPr="00CE4763">
        <w:rPr>
          <w:rFonts w:ascii="Times New Roman" w:hAnsi="Times New Roman" w:cs="Times New Roman"/>
          <w:i/>
          <w:sz w:val="24"/>
        </w:rPr>
        <w:t>Vrlo visoka spremnost</w:t>
      </w:r>
      <w:r w:rsidRPr="00CE4763">
        <w:rPr>
          <w:rFonts w:ascii="Times New Roman" w:hAnsi="Times New Roman" w:cs="Times New Roman"/>
          <w:sz w:val="24"/>
        </w:rPr>
        <w:t xml:space="preserve"> podrazumijeva potpunu samodostatnost i u planiranju zamjenskih snaga odnosno mogućnost redovitog i pravodobnog obavljanja svih zadaća.</w:t>
      </w:r>
    </w:p>
    <w:p w14:paraId="523E11D2"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323E86C6" w14:textId="49BF1E21" w:rsidR="00CE4763" w:rsidRPr="008A76A6" w:rsidRDefault="00CE4763" w:rsidP="007872F3">
      <w:pPr>
        <w:spacing w:line="240" w:lineRule="auto"/>
        <w:ind w:left="0" w:right="0" w:firstLine="0"/>
        <w:jc w:val="center"/>
        <w:rPr>
          <w:rFonts w:ascii="Times New Roman" w:hAnsi="Times New Roman" w:cs="Times New Roman"/>
          <w:b/>
          <w:color w:val="auto"/>
          <w:sz w:val="24"/>
        </w:rPr>
      </w:pPr>
      <w:r w:rsidRPr="008A76A6">
        <w:rPr>
          <w:rFonts w:ascii="Times New Roman" w:hAnsi="Times New Roman" w:cs="Times New Roman"/>
          <w:b/>
          <w:color w:val="auto"/>
          <w:sz w:val="24"/>
        </w:rPr>
        <w:t xml:space="preserve">Tablica </w:t>
      </w:r>
      <w:r w:rsidR="008A76A6" w:rsidRPr="008A76A6">
        <w:rPr>
          <w:rFonts w:ascii="Times New Roman" w:hAnsi="Times New Roman" w:cs="Times New Roman"/>
          <w:b/>
          <w:color w:val="auto"/>
          <w:sz w:val="24"/>
        </w:rPr>
        <w:t>148</w:t>
      </w:r>
      <w:r w:rsidRPr="008A76A6">
        <w:rPr>
          <w:rFonts w:ascii="Times New Roman" w:hAnsi="Times New Roman" w:cs="Times New Roman"/>
          <w:b/>
          <w:color w:val="auto"/>
          <w:sz w:val="24"/>
        </w:rPr>
        <w:t>. Mjere civilne zaštite u slučaju nuklearne nesreće u NE Krško</w:t>
      </w:r>
    </w:p>
    <w:tbl>
      <w:tblPr>
        <w:tblStyle w:val="TableGrid"/>
        <w:tblW w:w="9072" w:type="dxa"/>
        <w:tblInd w:w="0" w:type="dxa"/>
        <w:tblLayout w:type="fixed"/>
        <w:tblCellMar>
          <w:left w:w="57" w:type="dxa"/>
          <w:right w:w="55" w:type="dxa"/>
        </w:tblCellMar>
        <w:tblLook w:val="04A0" w:firstRow="1" w:lastRow="0" w:firstColumn="1" w:lastColumn="0" w:noHBand="0" w:noVBand="1"/>
      </w:tblPr>
      <w:tblGrid>
        <w:gridCol w:w="3400"/>
        <w:gridCol w:w="1418"/>
        <w:gridCol w:w="1418"/>
        <w:gridCol w:w="1418"/>
        <w:gridCol w:w="1418"/>
      </w:tblGrid>
      <w:tr w:rsidR="00CE4763" w:rsidRPr="00CE4763" w14:paraId="040AB046" w14:textId="77777777" w:rsidTr="00284074">
        <w:trPr>
          <w:cantSplit/>
          <w:tblHeader/>
        </w:trPr>
        <w:tc>
          <w:tcPr>
            <w:tcW w:w="3400" w:type="dxa"/>
            <w:vMerge w:val="restart"/>
            <w:tcBorders>
              <w:top w:val="single" w:sz="4" w:space="0" w:color="000000"/>
              <w:left w:val="single" w:sz="4" w:space="0" w:color="000000"/>
              <w:bottom w:val="single" w:sz="4" w:space="0" w:color="000000"/>
              <w:right w:val="single" w:sz="4" w:space="0" w:color="000000"/>
            </w:tcBorders>
            <w:vAlign w:val="center"/>
          </w:tcPr>
          <w:p w14:paraId="5B6EEBA1" w14:textId="77777777" w:rsidR="00CE4763" w:rsidRPr="00CE4763" w:rsidRDefault="00CE4763" w:rsidP="00CE4763">
            <w:pPr>
              <w:spacing w:after="0" w:line="240" w:lineRule="auto"/>
              <w:ind w:left="0" w:right="0" w:firstLine="0"/>
              <w:jc w:val="left"/>
              <w:rPr>
                <w:rFonts w:ascii="Times New Roman" w:hAnsi="Times New Roman" w:cs="Times New Roman"/>
                <w:color w:val="auto"/>
              </w:rPr>
            </w:pPr>
            <w:r w:rsidRPr="00CE4763">
              <w:rPr>
                <w:rFonts w:ascii="Times New Roman" w:hAnsi="Times New Roman" w:cs="Times New Roman"/>
                <w:b/>
                <w:color w:val="auto"/>
              </w:rPr>
              <w:t>MJERE CIVILNE ZAŠTITE U SLUČAJU NUKLEARNE NESREĆE U NE KRŠKO</w:t>
            </w: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495273ED"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Vrlo 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B362F46"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68C08B03"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Visoka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3DA1D239"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Vrlo visoka spremnost</w:t>
            </w:r>
          </w:p>
        </w:tc>
      </w:tr>
      <w:tr w:rsidR="00CE4763" w:rsidRPr="00CE4763" w14:paraId="0C4ED737" w14:textId="77777777" w:rsidTr="00284074">
        <w:trPr>
          <w:cantSplit/>
          <w:tblHeader/>
        </w:trPr>
        <w:tc>
          <w:tcPr>
            <w:tcW w:w="3400" w:type="dxa"/>
            <w:vMerge/>
            <w:tcBorders>
              <w:top w:val="nil"/>
              <w:left w:val="single" w:sz="4" w:space="0" w:color="000000"/>
              <w:bottom w:val="single" w:sz="4" w:space="0" w:color="000000"/>
              <w:right w:val="single" w:sz="4" w:space="0" w:color="000000"/>
            </w:tcBorders>
            <w:vAlign w:val="center"/>
          </w:tcPr>
          <w:p w14:paraId="29191F8F" w14:textId="77777777" w:rsidR="00CE4763" w:rsidRPr="00CE4763" w:rsidRDefault="00CE4763" w:rsidP="00CE4763">
            <w:pPr>
              <w:spacing w:after="0" w:line="240" w:lineRule="auto"/>
              <w:ind w:left="0" w:right="0" w:firstLine="0"/>
              <w:jc w:val="left"/>
              <w:rPr>
                <w:rFonts w:ascii="Times New Roman" w:hAnsi="Times New Roman" w:cs="Times New Roman"/>
                <w:color w:val="auto"/>
              </w:rPr>
            </w:pP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43DC7848"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BFF38FF"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093A7C7C"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23C65F9D"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1</w:t>
            </w:r>
          </w:p>
        </w:tc>
      </w:tr>
      <w:tr w:rsidR="00CE4763" w:rsidRPr="00CE4763" w14:paraId="1B5A6F18"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47A30FE7" w14:textId="77777777" w:rsidR="00CE4763" w:rsidRPr="00CE4763" w:rsidRDefault="00CE4763" w:rsidP="00CE4763">
            <w:pPr>
              <w:spacing w:after="0" w:line="240" w:lineRule="auto"/>
              <w:ind w:left="0" w:right="0" w:firstLine="0"/>
              <w:jc w:val="left"/>
              <w:rPr>
                <w:rFonts w:ascii="Times New Roman" w:hAnsi="Times New Roman" w:cs="Times New Roman"/>
                <w:color w:val="auto"/>
              </w:rPr>
            </w:pPr>
            <w:r w:rsidRPr="00CE4763">
              <w:rPr>
                <w:rFonts w:ascii="Times New Roman" w:hAnsi="Times New Roman" w:cs="Times New Roman"/>
                <w:color w:val="auto"/>
              </w:rPr>
              <w:t>Informiranje javnosti i upravljanje odgovorom u početnoj fazi (do aktiviranja načelnika Stožera CZ RH)</w:t>
            </w:r>
          </w:p>
        </w:tc>
        <w:tc>
          <w:tcPr>
            <w:tcW w:w="1418" w:type="dxa"/>
            <w:tcBorders>
              <w:top w:val="single" w:sz="4" w:space="0" w:color="000000"/>
              <w:left w:val="single" w:sz="4" w:space="0" w:color="000000"/>
              <w:bottom w:val="single" w:sz="4" w:space="0" w:color="000000"/>
              <w:right w:val="single" w:sz="4" w:space="0" w:color="000000"/>
            </w:tcBorders>
            <w:vAlign w:val="center"/>
          </w:tcPr>
          <w:p w14:paraId="55A5F03A"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59FDBCB5"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63D4B36"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87B4031" w14:textId="77777777" w:rsidR="00CE4763" w:rsidRPr="00CE4763" w:rsidRDefault="00CE4763" w:rsidP="00CE4763">
            <w:pPr>
              <w:spacing w:after="0" w:line="240" w:lineRule="auto"/>
              <w:ind w:left="0" w:right="0" w:firstLine="0"/>
              <w:jc w:val="center"/>
              <w:rPr>
                <w:rFonts w:ascii="Times New Roman" w:hAnsi="Times New Roman" w:cs="Times New Roman"/>
                <w:b/>
              </w:rPr>
            </w:pPr>
            <w:r w:rsidRPr="00CE4763">
              <w:rPr>
                <w:rFonts w:ascii="Times New Roman" w:hAnsi="Times New Roman" w:cs="Times New Roman"/>
                <w:b/>
              </w:rPr>
              <w:t>x</w:t>
            </w:r>
          </w:p>
        </w:tc>
      </w:tr>
      <w:tr w:rsidR="00CE4763" w:rsidRPr="00CE4763" w14:paraId="270575FA"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7764B6A5" w14:textId="77777777" w:rsidR="00CE4763" w:rsidRPr="00CE4763" w:rsidRDefault="00CE4763" w:rsidP="00CE4763">
            <w:pPr>
              <w:spacing w:after="0" w:line="240" w:lineRule="auto"/>
              <w:ind w:left="0" w:right="0" w:firstLine="0"/>
              <w:jc w:val="left"/>
              <w:rPr>
                <w:rFonts w:ascii="Times New Roman" w:hAnsi="Times New Roman" w:cs="Times New Roman"/>
                <w:color w:val="auto"/>
              </w:rPr>
            </w:pPr>
            <w:r w:rsidRPr="00CE4763">
              <w:rPr>
                <w:rFonts w:ascii="Times New Roman" w:hAnsi="Times New Roman" w:cs="Times New Roman"/>
                <w:color w:val="auto"/>
              </w:rPr>
              <w:t>Uspostava evakuacijskih centara i osiguranje evakuacijskih koridora</w:t>
            </w:r>
          </w:p>
        </w:tc>
        <w:tc>
          <w:tcPr>
            <w:tcW w:w="1418" w:type="dxa"/>
            <w:tcBorders>
              <w:top w:val="single" w:sz="4" w:space="0" w:color="000000"/>
              <w:left w:val="single" w:sz="4" w:space="0" w:color="000000"/>
              <w:bottom w:val="single" w:sz="4" w:space="0" w:color="000000"/>
              <w:right w:val="single" w:sz="4" w:space="0" w:color="000000"/>
            </w:tcBorders>
            <w:vAlign w:val="center"/>
          </w:tcPr>
          <w:p w14:paraId="6DBFCA5B"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1C2ECFB"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5E0A56FD" w14:textId="77777777" w:rsidR="00CE4763" w:rsidRPr="00CE4763" w:rsidRDefault="00CE4763" w:rsidP="00CE4763">
            <w:pPr>
              <w:spacing w:after="0" w:line="240" w:lineRule="auto"/>
              <w:ind w:left="0" w:right="0" w:firstLine="0"/>
              <w:jc w:val="center"/>
              <w:rPr>
                <w:rFonts w:ascii="Times New Roman" w:hAnsi="Times New Roman" w:cs="Times New Roman"/>
                <w:b/>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4DB800D9"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1DD67728"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178BB5F0" w14:textId="77777777" w:rsidR="00CE4763" w:rsidRPr="00CE4763" w:rsidRDefault="00CE4763" w:rsidP="00CE4763">
            <w:pPr>
              <w:spacing w:after="0" w:line="240" w:lineRule="auto"/>
              <w:ind w:left="0" w:right="0" w:firstLine="0"/>
              <w:jc w:val="left"/>
              <w:rPr>
                <w:rFonts w:ascii="Times New Roman" w:hAnsi="Times New Roman" w:cs="Times New Roman"/>
                <w:color w:val="auto"/>
              </w:rPr>
            </w:pPr>
            <w:r w:rsidRPr="00CE4763">
              <w:rPr>
                <w:rFonts w:ascii="Times New Roman" w:eastAsia="SimSun" w:hAnsi="Times New Roman" w:cs="Times New Roman"/>
                <w:color w:val="auto"/>
                <w:sz w:val="24"/>
                <w:szCs w:val="24"/>
                <w:lang w:eastAsia="en-US"/>
              </w:rPr>
              <w:t>Pokretanje radioloških mjerenja i po potrebi primjena hitnih mjera zaštite</w:t>
            </w:r>
          </w:p>
        </w:tc>
        <w:tc>
          <w:tcPr>
            <w:tcW w:w="1418" w:type="dxa"/>
            <w:tcBorders>
              <w:top w:val="single" w:sz="4" w:space="0" w:color="000000"/>
              <w:left w:val="single" w:sz="4" w:space="0" w:color="000000"/>
              <w:bottom w:val="single" w:sz="4" w:space="0" w:color="000000"/>
              <w:right w:val="single" w:sz="4" w:space="0" w:color="000000"/>
            </w:tcBorders>
            <w:vAlign w:val="center"/>
          </w:tcPr>
          <w:p w14:paraId="65CF81EA" w14:textId="77777777" w:rsidR="00CE4763" w:rsidRPr="00CE4763" w:rsidRDefault="00CE4763" w:rsidP="00CE4763">
            <w:pPr>
              <w:spacing w:after="0" w:line="240" w:lineRule="auto"/>
              <w:ind w:left="0" w:right="0" w:firstLine="0"/>
              <w:jc w:val="center"/>
              <w:rPr>
                <w:rFonts w:ascii="Times New Roman" w:hAnsi="Times New Roman" w:cs="Times New Roman"/>
                <w:color w:val="auto"/>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4B7E405" w14:textId="77777777" w:rsidR="00CE4763" w:rsidRPr="00CE4763" w:rsidRDefault="00CE4763" w:rsidP="00CE4763">
            <w:pPr>
              <w:spacing w:after="0" w:line="240" w:lineRule="auto"/>
              <w:ind w:left="0" w:right="0" w:firstLine="0"/>
              <w:jc w:val="center"/>
              <w:rPr>
                <w:rFonts w:ascii="Times New Roman" w:hAnsi="Times New Roman" w:cs="Times New Roman"/>
                <w:color w:val="auto"/>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DB370E0" w14:textId="77777777" w:rsidR="00CE4763" w:rsidRPr="00CE4763" w:rsidRDefault="00CE4763" w:rsidP="00CE4763">
            <w:pPr>
              <w:spacing w:after="0" w:line="240" w:lineRule="auto"/>
              <w:ind w:left="0" w:right="0" w:firstLine="0"/>
              <w:jc w:val="center"/>
              <w:rPr>
                <w:rFonts w:ascii="Times New Roman" w:hAnsi="Times New Roman" w:cs="Times New Roman"/>
                <w:b/>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67FE3224" w14:textId="77777777" w:rsidR="00CE4763" w:rsidRPr="00CE4763" w:rsidRDefault="00CE4763" w:rsidP="00CE4763">
            <w:pPr>
              <w:spacing w:after="0" w:line="240" w:lineRule="auto"/>
              <w:ind w:left="0" w:right="0" w:firstLine="0"/>
              <w:jc w:val="center"/>
              <w:rPr>
                <w:rFonts w:ascii="Times New Roman" w:hAnsi="Times New Roman" w:cs="Times New Roman"/>
                <w:b/>
              </w:rPr>
            </w:pPr>
          </w:p>
        </w:tc>
      </w:tr>
      <w:tr w:rsidR="00CE4763" w:rsidRPr="00CE4763" w14:paraId="6A7FD48A"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47A5F879" w14:textId="77777777" w:rsidR="00CE4763" w:rsidRPr="00CE4763" w:rsidRDefault="00CE4763" w:rsidP="00CE4763">
            <w:pPr>
              <w:spacing w:after="0" w:line="240" w:lineRule="auto"/>
              <w:ind w:left="0" w:right="0" w:firstLine="0"/>
              <w:jc w:val="left"/>
              <w:rPr>
                <w:rFonts w:ascii="Times New Roman" w:hAnsi="Times New Roman" w:cs="Times New Roman"/>
                <w:color w:val="auto"/>
              </w:rPr>
            </w:pPr>
            <w:r w:rsidRPr="00CE4763">
              <w:rPr>
                <w:rFonts w:ascii="Times New Roman" w:hAnsi="Times New Roman" w:cs="Times New Roman"/>
                <w:color w:val="auto"/>
              </w:rPr>
              <w:t>Evakuacija i zbrinjavanje evakuiranih osoba</w:t>
            </w:r>
          </w:p>
        </w:tc>
        <w:tc>
          <w:tcPr>
            <w:tcW w:w="1418" w:type="dxa"/>
            <w:tcBorders>
              <w:top w:val="single" w:sz="4" w:space="0" w:color="000000"/>
              <w:left w:val="single" w:sz="4" w:space="0" w:color="000000"/>
              <w:bottom w:val="single" w:sz="4" w:space="0" w:color="000000"/>
              <w:right w:val="single" w:sz="4" w:space="0" w:color="000000"/>
            </w:tcBorders>
            <w:vAlign w:val="center"/>
          </w:tcPr>
          <w:p w14:paraId="453A039D" w14:textId="77777777" w:rsidR="00CE4763" w:rsidRPr="00CE4763" w:rsidRDefault="00CE4763" w:rsidP="00CE4763">
            <w:pPr>
              <w:spacing w:after="0" w:line="240" w:lineRule="auto"/>
              <w:ind w:left="0" w:right="0" w:firstLine="0"/>
              <w:jc w:val="center"/>
              <w:rPr>
                <w:rFonts w:ascii="Times New Roman" w:hAnsi="Times New Roman" w:cs="Times New Roman"/>
                <w:color w:val="auto"/>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5DA966B7" w14:textId="77777777" w:rsidR="00CE4763" w:rsidRPr="00CE4763" w:rsidRDefault="00CE4763" w:rsidP="00CE4763">
            <w:pPr>
              <w:spacing w:after="0" w:line="240" w:lineRule="auto"/>
              <w:ind w:left="0" w:right="0" w:firstLine="0"/>
              <w:jc w:val="center"/>
              <w:rPr>
                <w:rFonts w:ascii="Times New Roman" w:hAnsi="Times New Roman" w:cs="Times New Roman"/>
                <w:color w:val="auto"/>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46D65BAA"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288752CA"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640CF454"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4509A513" w14:textId="77777777" w:rsidR="00CE4763" w:rsidRPr="00CE4763" w:rsidRDefault="00CE4763" w:rsidP="00CE4763">
            <w:pPr>
              <w:spacing w:after="0" w:line="240" w:lineRule="auto"/>
              <w:ind w:left="0" w:right="0" w:firstLine="0"/>
              <w:jc w:val="left"/>
              <w:rPr>
                <w:rFonts w:ascii="Times New Roman" w:hAnsi="Times New Roman" w:cs="Times New Roman"/>
                <w:color w:val="auto"/>
              </w:rPr>
            </w:pPr>
            <w:r w:rsidRPr="00CE4763">
              <w:rPr>
                <w:rFonts w:ascii="Times New Roman" w:hAnsi="Times New Roman" w:cs="Times New Roman"/>
                <w:color w:val="auto"/>
              </w:rPr>
              <w:t>Mjere zaštite od kontaminacije</w:t>
            </w:r>
          </w:p>
        </w:tc>
        <w:tc>
          <w:tcPr>
            <w:tcW w:w="1418" w:type="dxa"/>
            <w:tcBorders>
              <w:top w:val="single" w:sz="4" w:space="0" w:color="000000"/>
              <w:left w:val="single" w:sz="4" w:space="0" w:color="000000"/>
              <w:bottom w:val="single" w:sz="4" w:space="0" w:color="000000"/>
              <w:right w:val="single" w:sz="4" w:space="0" w:color="000000"/>
            </w:tcBorders>
            <w:vAlign w:val="center"/>
          </w:tcPr>
          <w:p w14:paraId="1E0E95CF" w14:textId="77777777" w:rsidR="00CE4763" w:rsidRPr="00CE4763" w:rsidRDefault="00CE4763" w:rsidP="00CE4763">
            <w:pPr>
              <w:spacing w:after="0" w:line="240" w:lineRule="auto"/>
              <w:ind w:left="0" w:right="0" w:firstLine="0"/>
              <w:jc w:val="center"/>
              <w:rPr>
                <w:rFonts w:ascii="Times New Roman" w:hAnsi="Times New Roman" w:cs="Times New Roman"/>
                <w:color w:val="auto"/>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095D9C0" w14:textId="77777777" w:rsidR="00CE4763" w:rsidRPr="00CE4763" w:rsidRDefault="00CE4763" w:rsidP="00CE4763">
            <w:pPr>
              <w:spacing w:after="0" w:line="240" w:lineRule="auto"/>
              <w:ind w:left="0" w:right="0" w:firstLine="0"/>
              <w:jc w:val="center"/>
              <w:rPr>
                <w:rFonts w:ascii="Times New Roman" w:hAnsi="Times New Roman" w:cs="Times New Roman"/>
                <w:color w:val="auto"/>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FCF7363" w14:textId="77777777" w:rsidR="00CE4763" w:rsidRPr="00CE4763" w:rsidRDefault="00CE4763" w:rsidP="00CE4763">
            <w:pPr>
              <w:spacing w:after="0" w:line="240" w:lineRule="auto"/>
              <w:ind w:left="0" w:right="0" w:firstLine="0"/>
              <w:jc w:val="center"/>
              <w:rPr>
                <w:rFonts w:ascii="Times New Roman" w:hAnsi="Times New Roman" w:cs="Times New Roman"/>
                <w:b/>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548A9898"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1BBCA316"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6006370B" w14:textId="77777777" w:rsidR="00CE4763" w:rsidRPr="00CE4763" w:rsidRDefault="00CE4763" w:rsidP="00CE4763">
            <w:pPr>
              <w:spacing w:after="0" w:line="240" w:lineRule="auto"/>
              <w:ind w:left="0" w:right="0" w:firstLine="0"/>
              <w:jc w:val="left"/>
              <w:rPr>
                <w:rFonts w:ascii="Times New Roman" w:hAnsi="Times New Roman" w:cs="Times New Roman"/>
                <w:color w:val="auto"/>
              </w:rPr>
            </w:pPr>
            <w:r w:rsidRPr="00CE4763">
              <w:rPr>
                <w:rFonts w:ascii="Times New Roman" w:hAnsi="Times New Roman" w:cs="Times New Roman"/>
                <w:color w:val="auto"/>
              </w:rPr>
              <w:lastRenderedPageBreak/>
              <w:t>Privremeno ili trajno preseljenje stanovništva</w:t>
            </w:r>
          </w:p>
        </w:tc>
        <w:tc>
          <w:tcPr>
            <w:tcW w:w="1418" w:type="dxa"/>
            <w:tcBorders>
              <w:top w:val="single" w:sz="4" w:space="0" w:color="000000"/>
              <w:left w:val="single" w:sz="4" w:space="0" w:color="000000"/>
              <w:bottom w:val="single" w:sz="4" w:space="0" w:color="000000"/>
              <w:right w:val="single" w:sz="4" w:space="0" w:color="000000"/>
            </w:tcBorders>
            <w:vAlign w:val="center"/>
          </w:tcPr>
          <w:p w14:paraId="697A9CDA" w14:textId="77777777" w:rsidR="00CE4763" w:rsidRPr="00CE4763" w:rsidRDefault="00CE4763" w:rsidP="00CE4763">
            <w:pPr>
              <w:spacing w:after="0" w:line="240" w:lineRule="auto"/>
              <w:ind w:left="0" w:right="0" w:firstLine="0"/>
              <w:jc w:val="center"/>
              <w:rPr>
                <w:rFonts w:ascii="Times New Roman" w:hAnsi="Times New Roman" w:cs="Times New Roman"/>
                <w:color w:val="auto"/>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FE03AB4" w14:textId="77777777" w:rsidR="00CE4763" w:rsidRPr="00CE4763" w:rsidRDefault="00CE4763" w:rsidP="00CE4763">
            <w:pPr>
              <w:spacing w:after="0" w:line="240" w:lineRule="auto"/>
              <w:ind w:left="0" w:right="0" w:firstLine="0"/>
              <w:jc w:val="center"/>
              <w:rPr>
                <w:rFonts w:ascii="Times New Roman" w:hAnsi="Times New Roman" w:cs="Times New Roman"/>
                <w:b/>
                <w:color w:val="auto"/>
              </w:rPr>
            </w:pPr>
            <w:r w:rsidRPr="00CE4763">
              <w:rPr>
                <w:rFonts w:ascii="Times New Roman" w:hAnsi="Times New Roman" w:cs="Times New Roman"/>
                <w:b/>
                <w:color w:val="auto"/>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7838C741" w14:textId="77777777" w:rsidR="00CE4763" w:rsidRPr="00CE4763" w:rsidRDefault="00CE4763" w:rsidP="00CE4763">
            <w:pPr>
              <w:spacing w:after="0" w:line="240" w:lineRule="auto"/>
              <w:ind w:left="0" w:right="0" w:firstLine="0"/>
              <w:jc w:val="center"/>
              <w:rPr>
                <w:rFonts w:ascii="Times New Roman" w:hAnsi="Times New Roman" w:cs="Times New Roman"/>
                <w:b/>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5410DD6" w14:textId="77777777" w:rsidR="00CE4763" w:rsidRPr="00CE4763" w:rsidRDefault="00CE4763" w:rsidP="00CE4763">
            <w:pPr>
              <w:spacing w:after="0" w:line="240" w:lineRule="auto"/>
              <w:ind w:left="0" w:right="0" w:firstLine="0"/>
              <w:jc w:val="center"/>
              <w:rPr>
                <w:rFonts w:ascii="Times New Roman" w:hAnsi="Times New Roman" w:cs="Times New Roman"/>
              </w:rPr>
            </w:pPr>
          </w:p>
        </w:tc>
      </w:tr>
    </w:tbl>
    <w:p w14:paraId="2EC93C63" w14:textId="77777777" w:rsidR="00CE4763" w:rsidRPr="00CE4763" w:rsidRDefault="00CE4763" w:rsidP="00CE4763">
      <w:pPr>
        <w:spacing w:after="0" w:line="240" w:lineRule="auto"/>
        <w:ind w:left="0" w:right="0" w:firstLine="0"/>
        <w:rPr>
          <w:rFonts w:ascii="Times New Roman" w:hAnsi="Times New Roman" w:cs="Times New Roman"/>
          <w:sz w:val="24"/>
        </w:rPr>
      </w:pPr>
    </w:p>
    <w:p w14:paraId="791E810C" w14:textId="431106BD" w:rsid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Spremnost odgovornih i upravljačkih kapaciteta, operativnih kapaciteta i stanje mobilnosti operativnih kapaciteta sustava civilne zaštite i stanja komunikacijskih kapaciteta u slučaju nuklearne nesreće u NE Krško, izazvane ledenom kišom i ispadom elektroenergetske mreže, procjenjuje se visokom.</w:t>
      </w:r>
    </w:p>
    <w:p w14:paraId="16B00956" w14:textId="77777777" w:rsidR="007872F3" w:rsidRPr="00CE4763" w:rsidRDefault="007872F3" w:rsidP="00CE4763">
      <w:pPr>
        <w:spacing w:after="0" w:line="240" w:lineRule="auto"/>
        <w:ind w:left="0" w:right="0" w:firstLine="709"/>
        <w:rPr>
          <w:rFonts w:ascii="Times New Roman" w:hAnsi="Times New Roman" w:cs="Times New Roman"/>
          <w:color w:val="auto"/>
          <w:sz w:val="24"/>
        </w:rPr>
      </w:pPr>
    </w:p>
    <w:p w14:paraId="22499675" w14:textId="7C3684BE" w:rsidR="00CE4763" w:rsidRPr="00566253" w:rsidRDefault="00CE4763" w:rsidP="007872F3">
      <w:pPr>
        <w:spacing w:line="240" w:lineRule="auto"/>
        <w:ind w:left="0" w:right="0" w:firstLine="0"/>
        <w:jc w:val="center"/>
        <w:rPr>
          <w:rFonts w:ascii="Times New Roman" w:hAnsi="Times New Roman" w:cs="Times New Roman"/>
          <w:b/>
          <w:color w:val="auto"/>
          <w:sz w:val="24"/>
        </w:rPr>
      </w:pPr>
      <w:r w:rsidRPr="00566253">
        <w:rPr>
          <w:rFonts w:ascii="Times New Roman" w:hAnsi="Times New Roman" w:cs="Times New Roman"/>
          <w:b/>
          <w:color w:val="auto"/>
          <w:sz w:val="24"/>
        </w:rPr>
        <w:t xml:space="preserve">Tablica </w:t>
      </w:r>
      <w:r w:rsidR="00566253" w:rsidRPr="00566253">
        <w:rPr>
          <w:rFonts w:ascii="Times New Roman" w:hAnsi="Times New Roman" w:cs="Times New Roman"/>
          <w:b/>
          <w:color w:val="auto"/>
          <w:sz w:val="24"/>
        </w:rPr>
        <w:t>149</w:t>
      </w:r>
      <w:r w:rsidRPr="00566253">
        <w:rPr>
          <w:rFonts w:ascii="Times New Roman" w:hAnsi="Times New Roman" w:cs="Times New Roman"/>
          <w:b/>
          <w:color w:val="auto"/>
          <w:sz w:val="24"/>
        </w:rPr>
        <w:t xml:space="preserve">. Analiza sustava civilne zaštite - područje reagiranja - Nuklearne nesreće </w:t>
      </w:r>
    </w:p>
    <w:tbl>
      <w:tblPr>
        <w:tblStyle w:val="TableGrid"/>
        <w:tblW w:w="9072" w:type="dxa"/>
        <w:tblInd w:w="0" w:type="dxa"/>
        <w:tblLayout w:type="fixed"/>
        <w:tblCellMar>
          <w:left w:w="57" w:type="dxa"/>
          <w:right w:w="57" w:type="dxa"/>
        </w:tblCellMar>
        <w:tblLook w:val="04A0" w:firstRow="1" w:lastRow="0" w:firstColumn="1" w:lastColumn="0" w:noHBand="0" w:noVBand="1"/>
      </w:tblPr>
      <w:tblGrid>
        <w:gridCol w:w="3400"/>
        <w:gridCol w:w="1418"/>
        <w:gridCol w:w="1418"/>
        <w:gridCol w:w="1418"/>
        <w:gridCol w:w="1418"/>
      </w:tblGrid>
      <w:tr w:rsidR="00CE4763" w:rsidRPr="00CE4763" w14:paraId="05F2F592" w14:textId="77777777" w:rsidTr="007872F3">
        <w:trPr>
          <w:cantSplit/>
          <w:tblHeader/>
        </w:trPr>
        <w:tc>
          <w:tcPr>
            <w:tcW w:w="3400" w:type="dxa"/>
            <w:vMerge w:val="restart"/>
            <w:tcBorders>
              <w:top w:val="single" w:sz="4" w:space="0" w:color="000000"/>
              <w:left w:val="single" w:sz="4" w:space="0" w:color="000000"/>
              <w:bottom w:val="single" w:sz="4" w:space="0" w:color="000000"/>
              <w:right w:val="single" w:sz="4" w:space="0" w:color="000000"/>
            </w:tcBorders>
            <w:vAlign w:val="center"/>
          </w:tcPr>
          <w:p w14:paraId="1E2684D2"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PODRUČJE REAGIRANJA</w:t>
            </w: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46C227DB"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Vrlo 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17FE5E9"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2A3DDF5" w14:textId="77777777" w:rsidR="00CE4763" w:rsidRPr="00CE4763" w:rsidRDefault="00CE4763" w:rsidP="00CE4763">
            <w:pPr>
              <w:spacing w:after="0" w:line="240" w:lineRule="auto"/>
              <w:ind w:left="0" w:right="0" w:firstLine="0"/>
              <w:jc w:val="center"/>
              <w:rPr>
                <w:rFonts w:ascii="Times New Roman" w:hAnsi="Times New Roman" w:cs="Times New Roman"/>
                <w:b/>
              </w:rPr>
            </w:pPr>
            <w:r w:rsidRPr="00CE4763">
              <w:rPr>
                <w:rFonts w:ascii="Times New Roman" w:hAnsi="Times New Roman" w:cs="Times New Roman"/>
                <w:b/>
              </w:rPr>
              <w:t>Visoka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2386D054"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Vrlo visoka spremnost</w:t>
            </w:r>
          </w:p>
        </w:tc>
      </w:tr>
      <w:tr w:rsidR="00CE4763" w:rsidRPr="00CE4763" w14:paraId="2872F947" w14:textId="77777777" w:rsidTr="007872F3">
        <w:trPr>
          <w:cantSplit/>
          <w:tblHeader/>
        </w:trPr>
        <w:tc>
          <w:tcPr>
            <w:tcW w:w="3400" w:type="dxa"/>
            <w:vMerge/>
            <w:tcBorders>
              <w:top w:val="nil"/>
              <w:left w:val="single" w:sz="4" w:space="0" w:color="000000"/>
              <w:bottom w:val="single" w:sz="4" w:space="0" w:color="000000"/>
              <w:right w:val="single" w:sz="4" w:space="0" w:color="000000"/>
            </w:tcBorders>
            <w:vAlign w:val="center"/>
          </w:tcPr>
          <w:p w14:paraId="54C3875A" w14:textId="77777777" w:rsidR="00CE4763" w:rsidRPr="00CE4763" w:rsidRDefault="00CE4763" w:rsidP="00CE4763">
            <w:pPr>
              <w:spacing w:after="0" w:line="240" w:lineRule="auto"/>
              <w:ind w:left="0" w:right="0" w:firstLine="0"/>
              <w:jc w:val="left"/>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6C2C7311"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047382F"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74310DB" w14:textId="77777777" w:rsidR="00CE4763" w:rsidRPr="00CE4763" w:rsidRDefault="00CE4763" w:rsidP="00CE4763">
            <w:pPr>
              <w:spacing w:after="0" w:line="240" w:lineRule="auto"/>
              <w:ind w:left="0" w:right="0" w:firstLine="0"/>
              <w:jc w:val="center"/>
              <w:rPr>
                <w:rFonts w:ascii="Times New Roman" w:hAnsi="Times New Roman" w:cs="Times New Roman"/>
                <w:b/>
              </w:rPr>
            </w:pPr>
            <w:r w:rsidRPr="00CE4763">
              <w:rPr>
                <w:rFonts w:ascii="Times New Roman" w:hAnsi="Times New Roman" w:cs="Times New Roman"/>
                <w:b/>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72EA7AB9"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1</w:t>
            </w:r>
          </w:p>
        </w:tc>
      </w:tr>
      <w:tr w:rsidR="00CE4763" w:rsidRPr="00CE4763" w14:paraId="20AA1308"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5DD1EC30" w14:textId="77777777" w:rsidR="00CE4763" w:rsidRPr="00CE4763" w:rsidRDefault="00CE4763" w:rsidP="00CE4763">
            <w:pPr>
              <w:spacing w:after="0" w:line="240" w:lineRule="auto"/>
              <w:ind w:left="0" w:right="0" w:firstLine="0"/>
              <w:jc w:val="left"/>
              <w:rPr>
                <w:rFonts w:ascii="Times New Roman" w:hAnsi="Times New Roman" w:cs="Times New Roman"/>
                <w:color w:val="auto"/>
              </w:rPr>
            </w:pPr>
            <w:r w:rsidRPr="00CE4763">
              <w:rPr>
                <w:rFonts w:ascii="Times New Roman" w:hAnsi="Times New Roman" w:cs="Times New Roman"/>
                <w:color w:val="auto"/>
              </w:rPr>
              <w:t>Spremnost odgovornih i upravljačkih kapaciteta</w:t>
            </w:r>
          </w:p>
        </w:tc>
        <w:tc>
          <w:tcPr>
            <w:tcW w:w="1418" w:type="dxa"/>
            <w:tcBorders>
              <w:top w:val="single" w:sz="4" w:space="0" w:color="000000"/>
              <w:left w:val="single" w:sz="4" w:space="0" w:color="000000"/>
              <w:bottom w:val="single" w:sz="4" w:space="0" w:color="000000"/>
              <w:right w:val="single" w:sz="4" w:space="0" w:color="000000"/>
            </w:tcBorders>
            <w:vAlign w:val="center"/>
          </w:tcPr>
          <w:p w14:paraId="595ECDA5" w14:textId="77777777" w:rsidR="00CE4763" w:rsidRPr="00CE4763" w:rsidRDefault="00CE4763" w:rsidP="00CE4763">
            <w:pPr>
              <w:spacing w:after="0" w:line="240" w:lineRule="auto"/>
              <w:ind w:left="0" w:right="0" w:firstLine="0"/>
              <w:jc w:val="center"/>
              <w:rPr>
                <w:rFonts w:ascii="Times New Roman" w:hAnsi="Times New Roman" w:cs="Times New Roman"/>
                <w:color w:val="auto"/>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5041579" w14:textId="77777777" w:rsidR="00CE4763" w:rsidRPr="00CE4763" w:rsidRDefault="00CE4763" w:rsidP="00CE4763">
            <w:pPr>
              <w:spacing w:after="0" w:line="240" w:lineRule="auto"/>
              <w:ind w:left="0" w:right="0" w:firstLine="0"/>
              <w:jc w:val="center"/>
              <w:rPr>
                <w:rFonts w:ascii="Times New Roman" w:hAnsi="Times New Roman" w:cs="Times New Roman"/>
                <w:color w:val="auto"/>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8B89754" w14:textId="77777777" w:rsidR="00CE4763" w:rsidRPr="00CE4763" w:rsidRDefault="00CE4763" w:rsidP="00CE4763">
            <w:pPr>
              <w:spacing w:after="0" w:line="240" w:lineRule="auto"/>
              <w:ind w:left="0" w:right="0" w:firstLine="0"/>
              <w:jc w:val="center"/>
              <w:rPr>
                <w:rFonts w:ascii="Times New Roman" w:hAnsi="Times New Roman" w:cs="Times New Roman"/>
                <w:b/>
                <w:color w:val="auto"/>
              </w:rPr>
            </w:pPr>
            <w:r w:rsidRPr="00CE4763">
              <w:rPr>
                <w:rFonts w:ascii="Times New Roman" w:hAnsi="Times New Roman" w:cs="Times New Roman"/>
                <w:b/>
                <w:color w:val="auto"/>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4C923939" w14:textId="77777777" w:rsidR="00CE4763" w:rsidRPr="00CE4763" w:rsidRDefault="00CE4763" w:rsidP="00CE4763">
            <w:pPr>
              <w:spacing w:after="0" w:line="240" w:lineRule="auto"/>
              <w:ind w:left="0" w:right="0" w:firstLine="0"/>
              <w:jc w:val="center"/>
              <w:rPr>
                <w:rFonts w:ascii="Times New Roman" w:hAnsi="Times New Roman" w:cs="Times New Roman"/>
                <w:color w:val="auto"/>
              </w:rPr>
            </w:pPr>
          </w:p>
        </w:tc>
      </w:tr>
      <w:tr w:rsidR="00CE4763" w:rsidRPr="00CE4763" w14:paraId="12DFF97C"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37A8CCC9" w14:textId="77777777" w:rsidR="00CE4763" w:rsidRPr="00CE4763" w:rsidRDefault="00CE4763" w:rsidP="00CE4763">
            <w:pPr>
              <w:spacing w:after="0" w:line="240" w:lineRule="auto"/>
              <w:ind w:left="0" w:right="0" w:firstLine="0"/>
              <w:jc w:val="left"/>
              <w:rPr>
                <w:rFonts w:ascii="Times New Roman" w:hAnsi="Times New Roman" w:cs="Times New Roman"/>
                <w:color w:val="auto"/>
              </w:rPr>
            </w:pPr>
            <w:r w:rsidRPr="00CE4763">
              <w:rPr>
                <w:rFonts w:ascii="Times New Roman" w:hAnsi="Times New Roman" w:cs="Times New Roman"/>
                <w:color w:val="auto"/>
              </w:rPr>
              <w:t>Spremnost operativnih kapaciteta</w:t>
            </w:r>
          </w:p>
        </w:tc>
        <w:tc>
          <w:tcPr>
            <w:tcW w:w="1418" w:type="dxa"/>
            <w:tcBorders>
              <w:top w:val="single" w:sz="4" w:space="0" w:color="000000"/>
              <w:left w:val="single" w:sz="4" w:space="0" w:color="000000"/>
              <w:bottom w:val="single" w:sz="4" w:space="0" w:color="000000"/>
              <w:right w:val="single" w:sz="4" w:space="0" w:color="000000"/>
            </w:tcBorders>
            <w:vAlign w:val="center"/>
          </w:tcPr>
          <w:p w14:paraId="61C4FB4E" w14:textId="77777777" w:rsidR="00CE4763" w:rsidRPr="00CE4763" w:rsidRDefault="00CE4763" w:rsidP="00CE4763">
            <w:pPr>
              <w:spacing w:after="0" w:line="240" w:lineRule="auto"/>
              <w:ind w:left="0" w:right="0" w:firstLine="0"/>
              <w:jc w:val="center"/>
              <w:rPr>
                <w:rFonts w:ascii="Times New Roman" w:hAnsi="Times New Roman" w:cs="Times New Roman"/>
                <w:color w:val="auto"/>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5CE9D9B1" w14:textId="77777777" w:rsidR="00CE4763" w:rsidRPr="00CE4763" w:rsidRDefault="00CE4763" w:rsidP="00CE4763">
            <w:pPr>
              <w:spacing w:after="0" w:line="240" w:lineRule="auto"/>
              <w:ind w:left="0" w:right="0" w:firstLine="0"/>
              <w:jc w:val="center"/>
              <w:rPr>
                <w:rFonts w:ascii="Times New Roman" w:hAnsi="Times New Roman" w:cs="Times New Roman"/>
                <w:color w:val="auto"/>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2514CE5" w14:textId="77777777" w:rsidR="00CE4763" w:rsidRPr="00CE4763" w:rsidRDefault="00CE4763" w:rsidP="00CE4763">
            <w:pPr>
              <w:spacing w:after="0" w:line="240" w:lineRule="auto"/>
              <w:ind w:left="0" w:right="0" w:firstLine="0"/>
              <w:jc w:val="center"/>
              <w:rPr>
                <w:rFonts w:ascii="Times New Roman" w:hAnsi="Times New Roman" w:cs="Times New Roman"/>
                <w:b/>
                <w:color w:val="auto"/>
              </w:rPr>
            </w:pPr>
            <w:r w:rsidRPr="00CE4763">
              <w:rPr>
                <w:rFonts w:ascii="Times New Roman" w:hAnsi="Times New Roman" w:cs="Times New Roman"/>
                <w:b/>
                <w:color w:val="auto"/>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53FFAEC1" w14:textId="77777777" w:rsidR="00CE4763" w:rsidRPr="00CE4763" w:rsidRDefault="00CE4763" w:rsidP="00CE4763">
            <w:pPr>
              <w:spacing w:after="0" w:line="240" w:lineRule="auto"/>
              <w:ind w:left="0" w:right="0" w:firstLine="0"/>
              <w:jc w:val="center"/>
              <w:rPr>
                <w:rFonts w:ascii="Times New Roman" w:hAnsi="Times New Roman" w:cs="Times New Roman"/>
                <w:color w:val="auto"/>
              </w:rPr>
            </w:pPr>
          </w:p>
        </w:tc>
      </w:tr>
      <w:tr w:rsidR="00CE4763" w:rsidRPr="00CE4763" w14:paraId="78801DF9"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3572B595" w14:textId="77777777" w:rsidR="00CE4763" w:rsidRPr="00CE4763" w:rsidRDefault="00CE4763" w:rsidP="00CE4763">
            <w:pPr>
              <w:spacing w:after="0" w:line="240" w:lineRule="auto"/>
              <w:ind w:left="0" w:right="0" w:firstLine="0"/>
              <w:jc w:val="left"/>
              <w:rPr>
                <w:rFonts w:ascii="Times New Roman" w:hAnsi="Times New Roman" w:cs="Times New Roman"/>
                <w:color w:val="auto"/>
              </w:rPr>
            </w:pPr>
            <w:r w:rsidRPr="00CE4763">
              <w:rPr>
                <w:rFonts w:ascii="Times New Roman" w:hAnsi="Times New Roman" w:cs="Times New Roman"/>
                <w:color w:val="auto"/>
              </w:rPr>
              <w:t>Stanje mobilnosti operativnih kapaciteta sustava civilne zaštite i stanja komunikacijskih kapaciteta</w:t>
            </w:r>
          </w:p>
        </w:tc>
        <w:tc>
          <w:tcPr>
            <w:tcW w:w="1418" w:type="dxa"/>
            <w:tcBorders>
              <w:top w:val="single" w:sz="4" w:space="0" w:color="000000"/>
              <w:left w:val="single" w:sz="4" w:space="0" w:color="000000"/>
              <w:bottom w:val="single" w:sz="4" w:space="0" w:color="000000"/>
              <w:right w:val="single" w:sz="4" w:space="0" w:color="000000"/>
            </w:tcBorders>
            <w:vAlign w:val="center"/>
          </w:tcPr>
          <w:p w14:paraId="0CACDD10" w14:textId="77777777" w:rsidR="00CE4763" w:rsidRPr="00CE4763" w:rsidRDefault="00CE4763" w:rsidP="00CE4763">
            <w:pPr>
              <w:spacing w:after="0" w:line="240" w:lineRule="auto"/>
              <w:ind w:left="0" w:right="0" w:firstLine="0"/>
              <w:jc w:val="center"/>
              <w:rPr>
                <w:rFonts w:ascii="Times New Roman" w:hAnsi="Times New Roman" w:cs="Times New Roman"/>
                <w:color w:val="auto"/>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5EA970AC" w14:textId="77777777" w:rsidR="00CE4763" w:rsidRPr="00CE4763" w:rsidRDefault="00CE4763" w:rsidP="00CE4763">
            <w:pPr>
              <w:spacing w:after="0" w:line="240" w:lineRule="auto"/>
              <w:ind w:left="0" w:right="0" w:firstLine="0"/>
              <w:jc w:val="center"/>
              <w:rPr>
                <w:rFonts w:ascii="Times New Roman" w:hAnsi="Times New Roman" w:cs="Times New Roman"/>
                <w:color w:val="auto"/>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55469BA" w14:textId="77777777" w:rsidR="00CE4763" w:rsidRPr="00CE4763" w:rsidRDefault="00CE4763" w:rsidP="00CE4763">
            <w:pPr>
              <w:spacing w:after="0" w:line="240" w:lineRule="auto"/>
              <w:ind w:left="0" w:right="0" w:firstLine="0"/>
              <w:jc w:val="center"/>
              <w:rPr>
                <w:rFonts w:ascii="Times New Roman" w:hAnsi="Times New Roman" w:cs="Times New Roman"/>
                <w:b/>
                <w:color w:val="auto"/>
              </w:rPr>
            </w:pPr>
            <w:r w:rsidRPr="00CE4763">
              <w:rPr>
                <w:rFonts w:ascii="Times New Roman" w:hAnsi="Times New Roman" w:cs="Times New Roman"/>
                <w:b/>
                <w:color w:val="auto"/>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3268C5FC" w14:textId="77777777" w:rsidR="00CE4763" w:rsidRPr="00CE4763" w:rsidRDefault="00CE4763" w:rsidP="00CE4763">
            <w:pPr>
              <w:spacing w:after="0" w:line="240" w:lineRule="auto"/>
              <w:ind w:left="0" w:right="0" w:firstLine="0"/>
              <w:jc w:val="center"/>
              <w:rPr>
                <w:rFonts w:ascii="Times New Roman" w:hAnsi="Times New Roman" w:cs="Times New Roman"/>
                <w:color w:val="auto"/>
              </w:rPr>
            </w:pPr>
          </w:p>
        </w:tc>
      </w:tr>
      <w:tr w:rsidR="00CE4763" w:rsidRPr="00CE4763" w14:paraId="4F577575" w14:textId="77777777" w:rsidTr="007872F3">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660AD9F5" w14:textId="77777777" w:rsidR="00CE4763" w:rsidRPr="00CE4763" w:rsidRDefault="00CE4763" w:rsidP="00CE4763">
            <w:pPr>
              <w:spacing w:after="0" w:line="240" w:lineRule="auto"/>
              <w:ind w:left="0" w:right="0" w:firstLine="0"/>
              <w:jc w:val="left"/>
              <w:rPr>
                <w:rFonts w:ascii="Times New Roman" w:hAnsi="Times New Roman" w:cs="Times New Roman"/>
                <w:color w:val="auto"/>
              </w:rPr>
            </w:pPr>
            <w:r w:rsidRPr="00CE4763">
              <w:rPr>
                <w:rFonts w:ascii="Times New Roman" w:hAnsi="Times New Roman" w:cs="Times New Roman"/>
                <w:b/>
                <w:color w:val="auto"/>
              </w:rPr>
              <w:t>Područje reagiranja u slučaju NUK. NESREĆA - ZBIRNO</w:t>
            </w:r>
          </w:p>
        </w:tc>
        <w:tc>
          <w:tcPr>
            <w:tcW w:w="1418" w:type="dxa"/>
            <w:tcBorders>
              <w:top w:val="single" w:sz="4" w:space="0" w:color="000000"/>
              <w:left w:val="single" w:sz="4" w:space="0" w:color="000000"/>
              <w:bottom w:val="single" w:sz="4" w:space="0" w:color="000000"/>
              <w:right w:val="single" w:sz="4" w:space="0" w:color="000000"/>
            </w:tcBorders>
            <w:vAlign w:val="center"/>
          </w:tcPr>
          <w:p w14:paraId="495879A0" w14:textId="77777777" w:rsidR="00CE4763" w:rsidRPr="00CE4763" w:rsidRDefault="00CE4763" w:rsidP="00CE4763">
            <w:pPr>
              <w:spacing w:after="0" w:line="240" w:lineRule="auto"/>
              <w:ind w:left="0" w:right="0" w:firstLine="0"/>
              <w:jc w:val="center"/>
              <w:rPr>
                <w:rFonts w:ascii="Times New Roman" w:hAnsi="Times New Roman" w:cs="Times New Roman"/>
                <w:color w:val="auto"/>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23EBEFF" w14:textId="77777777" w:rsidR="00CE4763" w:rsidRPr="00CE4763" w:rsidRDefault="00CE4763" w:rsidP="00CE4763">
            <w:pPr>
              <w:spacing w:after="0" w:line="240" w:lineRule="auto"/>
              <w:ind w:left="0" w:right="0" w:firstLine="0"/>
              <w:jc w:val="center"/>
              <w:rPr>
                <w:rFonts w:ascii="Times New Roman" w:hAnsi="Times New Roman" w:cs="Times New Roman"/>
                <w:color w:val="auto"/>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C322E9B" w14:textId="77777777" w:rsidR="00CE4763" w:rsidRPr="00CE4763" w:rsidRDefault="00CE4763" w:rsidP="00CE4763">
            <w:pPr>
              <w:spacing w:after="0" w:line="240" w:lineRule="auto"/>
              <w:ind w:left="0" w:right="0" w:firstLine="0"/>
              <w:jc w:val="center"/>
              <w:rPr>
                <w:rFonts w:ascii="Times New Roman" w:hAnsi="Times New Roman" w:cs="Times New Roman"/>
                <w:b/>
                <w:color w:val="auto"/>
              </w:rPr>
            </w:pPr>
            <w:r w:rsidRPr="00CE4763">
              <w:rPr>
                <w:rFonts w:ascii="Times New Roman" w:hAnsi="Times New Roman" w:cs="Times New Roman"/>
                <w:b/>
                <w:color w:val="auto"/>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4C32AE59" w14:textId="77777777" w:rsidR="00CE4763" w:rsidRPr="00CE4763" w:rsidRDefault="00CE4763" w:rsidP="00CE4763">
            <w:pPr>
              <w:spacing w:after="0" w:line="240" w:lineRule="auto"/>
              <w:ind w:left="0" w:right="0" w:firstLine="0"/>
              <w:jc w:val="center"/>
              <w:rPr>
                <w:rFonts w:ascii="Times New Roman" w:hAnsi="Times New Roman" w:cs="Times New Roman"/>
                <w:color w:val="auto"/>
              </w:rPr>
            </w:pPr>
          </w:p>
        </w:tc>
      </w:tr>
    </w:tbl>
    <w:p w14:paraId="6941DD46"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1ED2A31E" w14:textId="77777777" w:rsidR="00CE4763" w:rsidRPr="00CE4763" w:rsidRDefault="00CE4763" w:rsidP="00CE4763">
      <w:pPr>
        <w:spacing w:after="0" w:line="240" w:lineRule="auto"/>
        <w:ind w:left="0" w:right="0" w:firstLine="709"/>
        <w:rPr>
          <w:rFonts w:ascii="Times New Roman" w:hAnsi="Times New Roman" w:cs="Times New Roman"/>
          <w:sz w:val="24"/>
          <w:u w:val="single"/>
        </w:rPr>
      </w:pPr>
      <w:r w:rsidRPr="00CE4763">
        <w:rPr>
          <w:rFonts w:ascii="Times New Roman" w:hAnsi="Times New Roman" w:cs="Times New Roman"/>
          <w:sz w:val="24"/>
          <w:u w:val="single"/>
        </w:rPr>
        <w:t>Zaključak</w:t>
      </w:r>
    </w:p>
    <w:p w14:paraId="11C883D4"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Postojeće snage civilne zaštite u navedenom slučaju (najgori slučaj) bile bi bile dovoljne u provođenju mjera civilne zaštite.</w:t>
      </w:r>
    </w:p>
    <w:p w14:paraId="4FB32CA7" w14:textId="77777777" w:rsidR="00CE4763" w:rsidRPr="00CE4763" w:rsidRDefault="00CE4763" w:rsidP="001F535B">
      <w:pPr>
        <w:spacing w:after="0" w:line="240" w:lineRule="auto"/>
        <w:ind w:left="0" w:right="0" w:firstLine="0"/>
        <w:rPr>
          <w:rFonts w:ascii="Times New Roman" w:hAnsi="Times New Roman" w:cs="Times New Roman"/>
          <w:sz w:val="24"/>
        </w:rPr>
      </w:pPr>
    </w:p>
    <w:p w14:paraId="27C4E20E" w14:textId="64E29DCD" w:rsidR="00CE4763" w:rsidRDefault="00CE4763" w:rsidP="00CE4763">
      <w:pPr>
        <w:spacing w:after="0" w:line="240" w:lineRule="auto"/>
        <w:ind w:left="0" w:right="0" w:firstLine="709"/>
        <w:rPr>
          <w:rFonts w:ascii="Times New Roman" w:hAnsi="Times New Roman" w:cs="Times New Roman"/>
          <w:b/>
          <w:color w:val="auto"/>
          <w:sz w:val="24"/>
        </w:rPr>
      </w:pPr>
      <w:r w:rsidRPr="00CE4763">
        <w:rPr>
          <w:rFonts w:ascii="Times New Roman" w:hAnsi="Times New Roman" w:cs="Times New Roman"/>
          <w:b/>
          <w:color w:val="auto"/>
          <w:sz w:val="24"/>
        </w:rPr>
        <w:t>8.2.7. ANALIZA SUSTAVA CIVILNE ZAŠTITE - PODRUČJE REAGIRANJA – NESREĆE NA ODLAGALIŠTIMA OTPADA</w:t>
      </w:r>
    </w:p>
    <w:p w14:paraId="64CCBE00" w14:textId="77777777" w:rsidR="00327BAD" w:rsidRPr="00CE4763" w:rsidRDefault="00327BAD" w:rsidP="00CE4763">
      <w:pPr>
        <w:spacing w:after="0" w:line="240" w:lineRule="auto"/>
        <w:ind w:left="0" w:right="0" w:firstLine="709"/>
        <w:rPr>
          <w:rFonts w:ascii="Times New Roman" w:hAnsi="Times New Roman" w:cs="Times New Roman"/>
          <w:b/>
          <w:color w:val="auto"/>
          <w:sz w:val="24"/>
        </w:rPr>
      </w:pPr>
    </w:p>
    <w:p w14:paraId="4720EF54" w14:textId="4FF79E8A"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 xml:space="preserve">Analiza sustava civilne zaštite u području reagiranja temelji se na najgorem scenariju koji je obrađen u Poglavlju 6.7. Procjene rizika (nesreća na odlagalištu otpada </w:t>
      </w:r>
      <w:r w:rsidR="00151B52">
        <w:rPr>
          <w:rFonts w:ascii="Times New Roman" w:hAnsi="Times New Roman" w:cs="Times New Roman"/>
          <w:color w:val="auto"/>
          <w:sz w:val="24"/>
        </w:rPr>
        <w:t>Prudinec-</w:t>
      </w:r>
      <w:r w:rsidRPr="00CE4763">
        <w:rPr>
          <w:rFonts w:ascii="Times New Roman" w:hAnsi="Times New Roman" w:cs="Times New Roman"/>
          <w:color w:val="auto"/>
          <w:sz w:val="24"/>
        </w:rPr>
        <w:t>Jakuševec) vrlo male vjerojatnosti pojavljivanja.</w:t>
      </w:r>
    </w:p>
    <w:p w14:paraId="558A44DA"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i/>
          <w:sz w:val="24"/>
        </w:rPr>
        <w:t>Vrlo niska spremnost</w:t>
      </w:r>
      <w:r w:rsidRPr="00CE4763">
        <w:rPr>
          <w:rFonts w:ascii="Times New Roman" w:hAnsi="Times New Roman" w:cs="Times New Roman"/>
          <w:sz w:val="24"/>
        </w:rPr>
        <w:t xml:space="preserve"> podrazumijeva da postojeći kapaciteti nisu dostatni pa je potrebno odmah tražiti pomoć izvan zone pogođenog područja (druge županije/gradovi odnosno međunarodnu pomoć). </w:t>
      </w:r>
      <w:r w:rsidRPr="00CE4763">
        <w:rPr>
          <w:rFonts w:ascii="Times New Roman" w:hAnsi="Times New Roman" w:cs="Times New Roman"/>
          <w:i/>
          <w:sz w:val="24"/>
        </w:rPr>
        <w:t>Niska spremnost</w:t>
      </w:r>
      <w:r w:rsidRPr="00CE4763">
        <w:rPr>
          <w:rFonts w:ascii="Times New Roman" w:hAnsi="Times New Roman" w:cs="Times New Roman"/>
          <w:sz w:val="24"/>
        </w:rPr>
        <w:t xml:space="preserve"> odnosi se na sposobnost djelomičnog obavljanja zadaća uz velike poteškoće (nedovoljno ljudi i opreme) pa je potrebno računati na pomoć izvan zone pogođenog područja (druge županije/gradovi odnosno međunarodnu pomoć). </w:t>
      </w:r>
      <w:r w:rsidRPr="00CE4763">
        <w:rPr>
          <w:rFonts w:ascii="Times New Roman" w:hAnsi="Times New Roman" w:cs="Times New Roman"/>
          <w:i/>
          <w:sz w:val="24"/>
        </w:rPr>
        <w:t>Visoka spremnost</w:t>
      </w:r>
      <w:r w:rsidRPr="00CE4763">
        <w:rPr>
          <w:rFonts w:ascii="Times New Roman" w:hAnsi="Times New Roman" w:cs="Times New Roman"/>
          <w:sz w:val="24"/>
        </w:rPr>
        <w:t xml:space="preserve"> podrazumijeva optimalnu reakciju uz određene manje teškoće prilikom planiranja zamjene snaga, ali visoku razinu samodostatnosti u obavljanju zadaća civilne zaštite. </w:t>
      </w:r>
      <w:r w:rsidRPr="00CE4763">
        <w:rPr>
          <w:rFonts w:ascii="Times New Roman" w:hAnsi="Times New Roman" w:cs="Times New Roman"/>
          <w:i/>
          <w:sz w:val="24"/>
        </w:rPr>
        <w:t>Vrlo visoka spremnost</w:t>
      </w:r>
      <w:r w:rsidRPr="00CE4763">
        <w:rPr>
          <w:rFonts w:ascii="Times New Roman" w:hAnsi="Times New Roman" w:cs="Times New Roman"/>
          <w:sz w:val="24"/>
        </w:rPr>
        <w:t xml:space="preserve"> podrazumijeva potpunu samodostatnost i u planiranju zamjenskih snaga odnosno mogućnost redovitog i pravodobnog obavljanja svih zadaća.</w:t>
      </w:r>
    </w:p>
    <w:p w14:paraId="4817FC87" w14:textId="4C1A8239" w:rsidR="00FB6440" w:rsidRDefault="00FB6440" w:rsidP="00CE4763">
      <w:pPr>
        <w:spacing w:after="0" w:line="240" w:lineRule="auto"/>
        <w:ind w:left="0" w:right="0" w:firstLine="0"/>
        <w:jc w:val="left"/>
        <w:rPr>
          <w:rFonts w:ascii="Times New Roman" w:hAnsi="Times New Roman" w:cs="Times New Roman"/>
          <w:sz w:val="24"/>
        </w:rPr>
      </w:pPr>
    </w:p>
    <w:p w14:paraId="30029688" w14:textId="6E55A05E" w:rsidR="00385A37" w:rsidRDefault="00385A37" w:rsidP="00CE4763">
      <w:pPr>
        <w:spacing w:after="0" w:line="240" w:lineRule="auto"/>
        <w:ind w:left="0" w:right="0" w:firstLine="0"/>
        <w:jc w:val="left"/>
        <w:rPr>
          <w:rFonts w:ascii="Times New Roman" w:hAnsi="Times New Roman" w:cs="Times New Roman"/>
          <w:sz w:val="24"/>
        </w:rPr>
      </w:pPr>
    </w:p>
    <w:p w14:paraId="65F6227E" w14:textId="2E962ECA" w:rsidR="00385A37" w:rsidRDefault="00385A37" w:rsidP="00CE4763">
      <w:pPr>
        <w:spacing w:after="0" w:line="240" w:lineRule="auto"/>
        <w:ind w:left="0" w:right="0" w:firstLine="0"/>
        <w:jc w:val="left"/>
        <w:rPr>
          <w:rFonts w:ascii="Times New Roman" w:hAnsi="Times New Roman" w:cs="Times New Roman"/>
          <w:sz w:val="24"/>
        </w:rPr>
      </w:pPr>
    </w:p>
    <w:p w14:paraId="528DCE41" w14:textId="252E6968" w:rsidR="00385A37" w:rsidRDefault="00385A37" w:rsidP="00CE4763">
      <w:pPr>
        <w:spacing w:after="0" w:line="240" w:lineRule="auto"/>
        <w:ind w:left="0" w:right="0" w:firstLine="0"/>
        <w:jc w:val="left"/>
        <w:rPr>
          <w:rFonts w:ascii="Times New Roman" w:hAnsi="Times New Roman" w:cs="Times New Roman"/>
          <w:sz w:val="24"/>
        </w:rPr>
      </w:pPr>
    </w:p>
    <w:p w14:paraId="008E93CD" w14:textId="78C8CADA" w:rsidR="00385A37" w:rsidRDefault="00385A37" w:rsidP="00CE4763">
      <w:pPr>
        <w:spacing w:after="0" w:line="240" w:lineRule="auto"/>
        <w:ind w:left="0" w:right="0" w:firstLine="0"/>
        <w:jc w:val="left"/>
        <w:rPr>
          <w:rFonts w:ascii="Times New Roman" w:hAnsi="Times New Roman" w:cs="Times New Roman"/>
          <w:sz w:val="24"/>
        </w:rPr>
      </w:pPr>
    </w:p>
    <w:p w14:paraId="4A1B13EB" w14:textId="0BD7F405" w:rsidR="00385A37" w:rsidRDefault="00385A37" w:rsidP="00CE4763">
      <w:pPr>
        <w:spacing w:after="0" w:line="240" w:lineRule="auto"/>
        <w:ind w:left="0" w:right="0" w:firstLine="0"/>
        <w:jc w:val="left"/>
        <w:rPr>
          <w:rFonts w:ascii="Times New Roman" w:hAnsi="Times New Roman" w:cs="Times New Roman"/>
          <w:sz w:val="24"/>
        </w:rPr>
      </w:pPr>
    </w:p>
    <w:p w14:paraId="76B90887" w14:textId="77777777" w:rsidR="00385A37" w:rsidRPr="00CE4763" w:rsidRDefault="00385A37" w:rsidP="00CE4763">
      <w:pPr>
        <w:spacing w:after="0" w:line="240" w:lineRule="auto"/>
        <w:ind w:left="0" w:right="0" w:firstLine="0"/>
        <w:jc w:val="left"/>
        <w:rPr>
          <w:rFonts w:ascii="Times New Roman" w:hAnsi="Times New Roman" w:cs="Times New Roman"/>
          <w:sz w:val="24"/>
        </w:rPr>
      </w:pPr>
    </w:p>
    <w:p w14:paraId="3882E423" w14:textId="5EB2C79D" w:rsidR="00CE4763" w:rsidRPr="00CE4763" w:rsidRDefault="00CE4763" w:rsidP="00327BAD">
      <w:pPr>
        <w:spacing w:line="240" w:lineRule="auto"/>
        <w:ind w:left="0" w:right="0" w:firstLine="0"/>
        <w:jc w:val="center"/>
        <w:rPr>
          <w:rFonts w:ascii="Times New Roman" w:hAnsi="Times New Roman" w:cs="Times New Roman"/>
          <w:b/>
          <w:color w:val="auto"/>
          <w:sz w:val="24"/>
        </w:rPr>
      </w:pPr>
      <w:r w:rsidRPr="00CE4763">
        <w:rPr>
          <w:rFonts w:ascii="Times New Roman" w:hAnsi="Times New Roman" w:cs="Times New Roman"/>
          <w:b/>
          <w:color w:val="auto"/>
          <w:sz w:val="24"/>
        </w:rPr>
        <w:lastRenderedPageBreak/>
        <w:t>Tablica 1</w:t>
      </w:r>
      <w:r w:rsidR="00C05C2F">
        <w:rPr>
          <w:rFonts w:ascii="Times New Roman" w:hAnsi="Times New Roman" w:cs="Times New Roman"/>
          <w:b/>
          <w:color w:val="auto"/>
          <w:sz w:val="24"/>
        </w:rPr>
        <w:t>50</w:t>
      </w:r>
      <w:r w:rsidRPr="00CE4763">
        <w:rPr>
          <w:rFonts w:ascii="Times New Roman" w:hAnsi="Times New Roman" w:cs="Times New Roman"/>
          <w:b/>
          <w:color w:val="auto"/>
          <w:sz w:val="24"/>
        </w:rPr>
        <w:t xml:space="preserve">. Mjere civilne zaštite u slučaju nesreće na odlagalištu otpada </w:t>
      </w:r>
      <w:r w:rsidR="00151B52">
        <w:rPr>
          <w:rFonts w:ascii="Times New Roman" w:hAnsi="Times New Roman" w:cs="Times New Roman"/>
          <w:b/>
          <w:color w:val="auto"/>
          <w:sz w:val="24"/>
        </w:rPr>
        <w:t>Pruedinec-</w:t>
      </w:r>
      <w:r w:rsidRPr="00CE4763">
        <w:rPr>
          <w:rFonts w:ascii="Times New Roman" w:hAnsi="Times New Roman" w:cs="Times New Roman"/>
          <w:b/>
          <w:color w:val="auto"/>
          <w:sz w:val="24"/>
        </w:rPr>
        <w:t>Jakuševec</w:t>
      </w:r>
    </w:p>
    <w:tbl>
      <w:tblPr>
        <w:tblStyle w:val="TableGrid"/>
        <w:tblW w:w="9072" w:type="dxa"/>
        <w:tblInd w:w="0" w:type="dxa"/>
        <w:tblLayout w:type="fixed"/>
        <w:tblCellMar>
          <w:left w:w="57" w:type="dxa"/>
          <w:right w:w="55" w:type="dxa"/>
        </w:tblCellMar>
        <w:tblLook w:val="04A0" w:firstRow="1" w:lastRow="0" w:firstColumn="1" w:lastColumn="0" w:noHBand="0" w:noVBand="1"/>
      </w:tblPr>
      <w:tblGrid>
        <w:gridCol w:w="3400"/>
        <w:gridCol w:w="1418"/>
        <w:gridCol w:w="1418"/>
        <w:gridCol w:w="1418"/>
        <w:gridCol w:w="1418"/>
      </w:tblGrid>
      <w:tr w:rsidR="00CE4763" w:rsidRPr="00CE4763" w14:paraId="03F4399F" w14:textId="77777777" w:rsidTr="00284074">
        <w:trPr>
          <w:cantSplit/>
          <w:tblHeader/>
        </w:trPr>
        <w:tc>
          <w:tcPr>
            <w:tcW w:w="3400" w:type="dxa"/>
            <w:vMerge w:val="restart"/>
            <w:tcBorders>
              <w:top w:val="single" w:sz="4" w:space="0" w:color="000000"/>
              <w:left w:val="single" w:sz="4" w:space="0" w:color="000000"/>
              <w:bottom w:val="single" w:sz="4" w:space="0" w:color="000000"/>
              <w:right w:val="single" w:sz="4" w:space="0" w:color="000000"/>
            </w:tcBorders>
            <w:vAlign w:val="center"/>
          </w:tcPr>
          <w:p w14:paraId="3CBFBC5F" w14:textId="2F197499"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color w:val="auto"/>
              </w:rPr>
              <w:t>MJERE CIVILNE ZAŠTITE U SLUČAJU NESREĆE NA ODLAGALIŠTU OTPADA PRUDINEC</w:t>
            </w:r>
            <w:r w:rsidR="00151B52">
              <w:rPr>
                <w:rFonts w:ascii="Times New Roman" w:hAnsi="Times New Roman" w:cs="Times New Roman"/>
                <w:b/>
                <w:color w:val="auto"/>
              </w:rPr>
              <w:t>-</w:t>
            </w:r>
            <w:r w:rsidRPr="00CE4763">
              <w:rPr>
                <w:rFonts w:ascii="Times New Roman" w:hAnsi="Times New Roman" w:cs="Times New Roman"/>
                <w:b/>
                <w:color w:val="auto"/>
              </w:rPr>
              <w:t>JAKUŠEVEC</w:t>
            </w: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22AA5E62"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Vrlo 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CF38F38"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6CA4B56"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Visoka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39B8DC9D"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Vrlo visoka spremnost</w:t>
            </w:r>
          </w:p>
        </w:tc>
      </w:tr>
      <w:tr w:rsidR="00CE4763" w:rsidRPr="00CE4763" w14:paraId="6DAFA26C" w14:textId="77777777" w:rsidTr="00284074">
        <w:trPr>
          <w:cantSplit/>
          <w:tblHeader/>
        </w:trPr>
        <w:tc>
          <w:tcPr>
            <w:tcW w:w="3400" w:type="dxa"/>
            <w:vMerge/>
            <w:tcBorders>
              <w:top w:val="nil"/>
              <w:left w:val="single" w:sz="4" w:space="0" w:color="000000"/>
              <w:bottom w:val="single" w:sz="4" w:space="0" w:color="000000"/>
              <w:right w:val="single" w:sz="4" w:space="0" w:color="000000"/>
            </w:tcBorders>
            <w:vAlign w:val="center"/>
          </w:tcPr>
          <w:p w14:paraId="4B534049" w14:textId="77777777" w:rsidR="00CE4763" w:rsidRPr="00CE4763" w:rsidRDefault="00CE4763" w:rsidP="00CE4763">
            <w:pPr>
              <w:spacing w:after="0" w:line="240" w:lineRule="auto"/>
              <w:ind w:left="0" w:right="0" w:firstLine="0"/>
              <w:jc w:val="left"/>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53D5FAD9"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30537DD"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0A3CFBBF"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6092756C"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1</w:t>
            </w:r>
          </w:p>
        </w:tc>
      </w:tr>
      <w:tr w:rsidR="00CE4763" w:rsidRPr="00CE4763" w14:paraId="068B9F17"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05F7028C"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Evakuacija u slučaju neposredne opasnosti </w:t>
            </w:r>
          </w:p>
        </w:tc>
        <w:tc>
          <w:tcPr>
            <w:tcW w:w="1418" w:type="dxa"/>
            <w:tcBorders>
              <w:top w:val="single" w:sz="4" w:space="0" w:color="000000"/>
              <w:left w:val="single" w:sz="4" w:space="0" w:color="000000"/>
              <w:bottom w:val="single" w:sz="4" w:space="0" w:color="000000"/>
              <w:right w:val="single" w:sz="4" w:space="0" w:color="000000"/>
            </w:tcBorders>
            <w:vAlign w:val="center"/>
          </w:tcPr>
          <w:p w14:paraId="70296B54"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000777BF"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989822D"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6B53BD22"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329F4AF8"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3562F1D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Zbrinjavanje evakuiranih osoba</w:t>
            </w:r>
          </w:p>
        </w:tc>
        <w:tc>
          <w:tcPr>
            <w:tcW w:w="1418" w:type="dxa"/>
            <w:tcBorders>
              <w:top w:val="single" w:sz="4" w:space="0" w:color="000000"/>
              <w:left w:val="single" w:sz="4" w:space="0" w:color="000000"/>
              <w:bottom w:val="single" w:sz="4" w:space="0" w:color="000000"/>
              <w:right w:val="single" w:sz="4" w:space="0" w:color="000000"/>
            </w:tcBorders>
            <w:vAlign w:val="center"/>
          </w:tcPr>
          <w:p w14:paraId="2FE3F588"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574F3FFE"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656C818"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1A470BE0"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17BD811A"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240BE795"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Zdravstveno zbrinjavanje povrijeđenih osoba</w:t>
            </w:r>
          </w:p>
        </w:tc>
        <w:tc>
          <w:tcPr>
            <w:tcW w:w="1418" w:type="dxa"/>
            <w:tcBorders>
              <w:top w:val="single" w:sz="4" w:space="0" w:color="000000"/>
              <w:left w:val="single" w:sz="4" w:space="0" w:color="000000"/>
              <w:bottom w:val="single" w:sz="4" w:space="0" w:color="000000"/>
              <w:right w:val="single" w:sz="4" w:space="0" w:color="000000"/>
            </w:tcBorders>
            <w:vAlign w:val="center"/>
          </w:tcPr>
          <w:p w14:paraId="77C010A6"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E4BA220"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569755CE"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06C391D0"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067A3EAD"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5C0E802F"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Gašenje požara i dekontaminacija</w:t>
            </w:r>
          </w:p>
        </w:tc>
        <w:tc>
          <w:tcPr>
            <w:tcW w:w="1418" w:type="dxa"/>
            <w:tcBorders>
              <w:top w:val="single" w:sz="4" w:space="0" w:color="000000"/>
              <w:left w:val="single" w:sz="4" w:space="0" w:color="000000"/>
              <w:bottom w:val="single" w:sz="4" w:space="0" w:color="000000"/>
              <w:right w:val="single" w:sz="4" w:space="0" w:color="000000"/>
            </w:tcBorders>
            <w:vAlign w:val="center"/>
          </w:tcPr>
          <w:p w14:paraId="33587EB1"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5010A31"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3F0D4FC"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7927C9EB"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7A04A9E7"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1AC3218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Regulacija prometa i osiguranje područja intervencije</w:t>
            </w:r>
          </w:p>
        </w:tc>
        <w:tc>
          <w:tcPr>
            <w:tcW w:w="1418" w:type="dxa"/>
            <w:tcBorders>
              <w:top w:val="single" w:sz="4" w:space="0" w:color="000000"/>
              <w:left w:val="single" w:sz="4" w:space="0" w:color="000000"/>
              <w:bottom w:val="single" w:sz="4" w:space="0" w:color="000000"/>
              <w:right w:val="single" w:sz="4" w:space="0" w:color="000000"/>
            </w:tcBorders>
            <w:vAlign w:val="center"/>
          </w:tcPr>
          <w:p w14:paraId="4AEA181A"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1AB720B"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942C63E"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1BC25D9"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r>
      <w:tr w:rsidR="00CE4763" w:rsidRPr="00CE4763" w14:paraId="2FCA70EF"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1FF70C57"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Čišćenje prometnica i kanala za odvodnju, zemljani radovi uklanjanja kontaminiranog zemljišta </w:t>
            </w:r>
          </w:p>
        </w:tc>
        <w:tc>
          <w:tcPr>
            <w:tcW w:w="1418" w:type="dxa"/>
            <w:tcBorders>
              <w:top w:val="single" w:sz="4" w:space="0" w:color="000000"/>
              <w:left w:val="single" w:sz="4" w:space="0" w:color="000000"/>
              <w:bottom w:val="single" w:sz="4" w:space="0" w:color="000000"/>
              <w:right w:val="single" w:sz="4" w:space="0" w:color="000000"/>
            </w:tcBorders>
            <w:vAlign w:val="center"/>
          </w:tcPr>
          <w:p w14:paraId="63A11E2D"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70F8382"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934DFED"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2C7F6ECD" w14:textId="77777777" w:rsidR="00CE4763" w:rsidRPr="00CE4763" w:rsidRDefault="00CE4763" w:rsidP="00CE4763">
            <w:pPr>
              <w:spacing w:after="0" w:line="240" w:lineRule="auto"/>
              <w:ind w:left="0" w:right="0" w:firstLine="0"/>
              <w:jc w:val="center"/>
              <w:rPr>
                <w:rFonts w:ascii="Times New Roman" w:hAnsi="Times New Roman" w:cs="Times New Roman"/>
              </w:rPr>
            </w:pPr>
          </w:p>
        </w:tc>
      </w:tr>
    </w:tbl>
    <w:p w14:paraId="2DA804FC" w14:textId="77777777" w:rsidR="00327BAD" w:rsidRDefault="00327BAD" w:rsidP="00CE4763">
      <w:pPr>
        <w:spacing w:after="0" w:line="240" w:lineRule="auto"/>
        <w:ind w:left="0" w:right="0" w:firstLine="709"/>
        <w:rPr>
          <w:rFonts w:ascii="Times New Roman" w:hAnsi="Times New Roman" w:cs="Times New Roman"/>
          <w:color w:val="auto"/>
          <w:sz w:val="24"/>
        </w:rPr>
      </w:pPr>
    </w:p>
    <w:p w14:paraId="045B5F17" w14:textId="134B48EE"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Spremnost odgovornih i upravljačkih kapaciteta</w:t>
      </w:r>
      <w:r w:rsidR="00E4203C">
        <w:rPr>
          <w:rFonts w:ascii="Times New Roman" w:hAnsi="Times New Roman" w:cs="Times New Roman"/>
          <w:color w:val="auto"/>
          <w:sz w:val="24"/>
        </w:rPr>
        <w:t xml:space="preserve">, </w:t>
      </w:r>
      <w:r w:rsidRPr="00CE4763">
        <w:rPr>
          <w:rFonts w:ascii="Times New Roman" w:hAnsi="Times New Roman" w:cs="Times New Roman"/>
          <w:color w:val="auto"/>
          <w:sz w:val="24"/>
        </w:rPr>
        <w:t>stanje mobilnosti operativnih kapaciteta sustava civilne zaštite i stanj</w:t>
      </w:r>
      <w:r w:rsidR="00E4203C">
        <w:rPr>
          <w:rFonts w:ascii="Times New Roman" w:hAnsi="Times New Roman" w:cs="Times New Roman"/>
          <w:color w:val="auto"/>
          <w:sz w:val="24"/>
        </w:rPr>
        <w:t>e</w:t>
      </w:r>
      <w:r w:rsidRPr="00CE4763">
        <w:rPr>
          <w:rFonts w:ascii="Times New Roman" w:hAnsi="Times New Roman" w:cs="Times New Roman"/>
          <w:color w:val="auto"/>
          <w:sz w:val="24"/>
        </w:rPr>
        <w:t xml:space="preserve"> komunikacijskih kapaciteta u slučaju nesreće na odlagalištu otpada Jakuševec izazvanog zapaljenjem odlagališnog plina procjenjuje se </w:t>
      </w:r>
      <w:r w:rsidR="00E4203C">
        <w:rPr>
          <w:rFonts w:ascii="Times New Roman" w:hAnsi="Times New Roman" w:cs="Times New Roman"/>
          <w:color w:val="auto"/>
          <w:sz w:val="24"/>
        </w:rPr>
        <w:t xml:space="preserve">vrlo </w:t>
      </w:r>
      <w:r w:rsidRPr="00CE4763">
        <w:rPr>
          <w:rFonts w:ascii="Times New Roman" w:hAnsi="Times New Roman" w:cs="Times New Roman"/>
          <w:color w:val="auto"/>
          <w:sz w:val="24"/>
        </w:rPr>
        <w:t>visokom</w:t>
      </w:r>
      <w:r w:rsidR="00E4203C">
        <w:rPr>
          <w:rFonts w:ascii="Times New Roman" w:hAnsi="Times New Roman" w:cs="Times New Roman"/>
          <w:color w:val="auto"/>
          <w:sz w:val="24"/>
        </w:rPr>
        <w:t>, dok se spremnost operativnih kapaciteta procjenjuje visokom.</w:t>
      </w:r>
    </w:p>
    <w:p w14:paraId="0A70485E" w14:textId="77777777" w:rsidR="00327BAD" w:rsidRPr="00CE4763" w:rsidRDefault="00327BAD" w:rsidP="001F535B">
      <w:pPr>
        <w:spacing w:after="0" w:line="240" w:lineRule="auto"/>
        <w:ind w:left="0" w:right="0" w:firstLine="0"/>
        <w:rPr>
          <w:rFonts w:ascii="Times New Roman" w:hAnsi="Times New Roman" w:cs="Times New Roman"/>
          <w:sz w:val="24"/>
        </w:rPr>
      </w:pPr>
    </w:p>
    <w:p w14:paraId="148EA5E7" w14:textId="728CF357" w:rsidR="00CE4763" w:rsidRPr="00CE4763" w:rsidRDefault="00CE4763" w:rsidP="00327BAD">
      <w:pPr>
        <w:spacing w:line="240" w:lineRule="auto"/>
        <w:ind w:left="0" w:right="0" w:firstLine="0"/>
        <w:jc w:val="center"/>
        <w:rPr>
          <w:rFonts w:ascii="Times New Roman" w:hAnsi="Times New Roman" w:cs="Times New Roman"/>
          <w:b/>
          <w:color w:val="auto"/>
          <w:sz w:val="24"/>
        </w:rPr>
      </w:pPr>
      <w:r w:rsidRPr="00CE4763">
        <w:rPr>
          <w:rFonts w:ascii="Times New Roman" w:hAnsi="Times New Roman" w:cs="Times New Roman"/>
          <w:b/>
          <w:color w:val="auto"/>
          <w:sz w:val="24"/>
        </w:rPr>
        <w:t>Tablica 1</w:t>
      </w:r>
      <w:r w:rsidR="00433B54">
        <w:rPr>
          <w:rFonts w:ascii="Times New Roman" w:hAnsi="Times New Roman" w:cs="Times New Roman"/>
          <w:b/>
          <w:color w:val="auto"/>
          <w:sz w:val="24"/>
        </w:rPr>
        <w:t>51</w:t>
      </w:r>
      <w:r w:rsidRPr="00CE4763">
        <w:rPr>
          <w:rFonts w:ascii="Times New Roman" w:hAnsi="Times New Roman" w:cs="Times New Roman"/>
          <w:b/>
          <w:color w:val="auto"/>
          <w:sz w:val="24"/>
        </w:rPr>
        <w:t>. Analiza sustava civilne zaštite - područje reagiranja - nesreće na odlagalištima otpada</w:t>
      </w:r>
    </w:p>
    <w:tbl>
      <w:tblPr>
        <w:tblStyle w:val="TableGrid"/>
        <w:tblW w:w="9072" w:type="dxa"/>
        <w:tblInd w:w="0" w:type="dxa"/>
        <w:tblLayout w:type="fixed"/>
        <w:tblCellMar>
          <w:left w:w="57" w:type="dxa"/>
          <w:right w:w="57" w:type="dxa"/>
        </w:tblCellMar>
        <w:tblLook w:val="04A0" w:firstRow="1" w:lastRow="0" w:firstColumn="1" w:lastColumn="0" w:noHBand="0" w:noVBand="1"/>
      </w:tblPr>
      <w:tblGrid>
        <w:gridCol w:w="3400"/>
        <w:gridCol w:w="1418"/>
        <w:gridCol w:w="1418"/>
        <w:gridCol w:w="1418"/>
        <w:gridCol w:w="1418"/>
      </w:tblGrid>
      <w:tr w:rsidR="00CE4763" w:rsidRPr="00CE4763" w14:paraId="0F04A9BC" w14:textId="77777777" w:rsidTr="00327BAD">
        <w:trPr>
          <w:cantSplit/>
          <w:tblHeader/>
        </w:trPr>
        <w:tc>
          <w:tcPr>
            <w:tcW w:w="3400" w:type="dxa"/>
            <w:vMerge w:val="restart"/>
            <w:tcBorders>
              <w:top w:val="single" w:sz="4" w:space="0" w:color="000000"/>
              <w:left w:val="single" w:sz="4" w:space="0" w:color="000000"/>
              <w:bottom w:val="single" w:sz="4" w:space="0" w:color="000000"/>
              <w:right w:val="single" w:sz="4" w:space="0" w:color="000000"/>
            </w:tcBorders>
            <w:vAlign w:val="center"/>
          </w:tcPr>
          <w:p w14:paraId="11B55C4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PODRUČJE REAGIRANJA</w:t>
            </w: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75A127DD"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Vrlo 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2834BF6"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205EDD0" w14:textId="77777777" w:rsidR="00CE4763" w:rsidRPr="00CE4763" w:rsidRDefault="00CE4763" w:rsidP="00CE4763">
            <w:pPr>
              <w:spacing w:after="0" w:line="240" w:lineRule="auto"/>
              <w:ind w:left="0" w:right="0" w:firstLine="0"/>
              <w:jc w:val="center"/>
              <w:rPr>
                <w:rFonts w:ascii="Times New Roman" w:hAnsi="Times New Roman" w:cs="Times New Roman"/>
                <w:b/>
              </w:rPr>
            </w:pPr>
            <w:r w:rsidRPr="00CE4763">
              <w:rPr>
                <w:rFonts w:ascii="Times New Roman" w:hAnsi="Times New Roman" w:cs="Times New Roman"/>
                <w:b/>
              </w:rPr>
              <w:t>Visoka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78812F68"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Vrlo visoka spremnost</w:t>
            </w:r>
          </w:p>
        </w:tc>
      </w:tr>
      <w:tr w:rsidR="00CE4763" w:rsidRPr="00CE4763" w14:paraId="1EBBCD0D" w14:textId="77777777" w:rsidTr="00327BAD">
        <w:trPr>
          <w:cantSplit/>
          <w:tblHeader/>
        </w:trPr>
        <w:tc>
          <w:tcPr>
            <w:tcW w:w="3400" w:type="dxa"/>
            <w:vMerge/>
            <w:tcBorders>
              <w:top w:val="nil"/>
              <w:left w:val="single" w:sz="4" w:space="0" w:color="000000"/>
              <w:bottom w:val="single" w:sz="4" w:space="0" w:color="000000"/>
              <w:right w:val="single" w:sz="4" w:space="0" w:color="000000"/>
            </w:tcBorders>
            <w:vAlign w:val="center"/>
          </w:tcPr>
          <w:p w14:paraId="40F05C00" w14:textId="77777777" w:rsidR="00CE4763" w:rsidRPr="00CE4763" w:rsidRDefault="00CE4763" w:rsidP="00CE4763">
            <w:pPr>
              <w:spacing w:after="0" w:line="240" w:lineRule="auto"/>
              <w:ind w:left="0" w:right="0" w:firstLine="0"/>
              <w:jc w:val="left"/>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60064982"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C3EF470"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6346253" w14:textId="77777777" w:rsidR="00CE4763" w:rsidRPr="00CE4763" w:rsidRDefault="00CE4763" w:rsidP="00CE4763">
            <w:pPr>
              <w:spacing w:after="0" w:line="240" w:lineRule="auto"/>
              <w:ind w:left="0" w:right="0" w:firstLine="0"/>
              <w:jc w:val="center"/>
              <w:rPr>
                <w:rFonts w:ascii="Times New Roman" w:hAnsi="Times New Roman" w:cs="Times New Roman"/>
                <w:b/>
              </w:rPr>
            </w:pPr>
            <w:r w:rsidRPr="00CE4763">
              <w:rPr>
                <w:rFonts w:ascii="Times New Roman" w:hAnsi="Times New Roman" w:cs="Times New Roman"/>
                <w:b/>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62ACEAE2"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1</w:t>
            </w:r>
          </w:p>
        </w:tc>
      </w:tr>
      <w:tr w:rsidR="00CE4763" w:rsidRPr="00CE4763" w14:paraId="732227E8" w14:textId="77777777" w:rsidTr="00327BAD">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25B6233F"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Spremnost odgovornih i upravljačkih kapaciteta</w:t>
            </w:r>
          </w:p>
        </w:tc>
        <w:tc>
          <w:tcPr>
            <w:tcW w:w="1418" w:type="dxa"/>
            <w:tcBorders>
              <w:top w:val="single" w:sz="4" w:space="0" w:color="000000"/>
              <w:left w:val="single" w:sz="4" w:space="0" w:color="000000"/>
              <w:bottom w:val="single" w:sz="4" w:space="0" w:color="000000"/>
              <w:right w:val="single" w:sz="4" w:space="0" w:color="000000"/>
            </w:tcBorders>
            <w:vAlign w:val="center"/>
          </w:tcPr>
          <w:p w14:paraId="5772F23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FC30903"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83D9A8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5E5EBA69"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rPr>
              <w:t>x</w:t>
            </w:r>
          </w:p>
        </w:tc>
      </w:tr>
      <w:tr w:rsidR="00CE4763" w:rsidRPr="00CE4763" w14:paraId="00ED3215" w14:textId="77777777" w:rsidTr="00327BAD">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0061E05A"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Spremnost operativnih kapaciteta</w:t>
            </w:r>
          </w:p>
        </w:tc>
        <w:tc>
          <w:tcPr>
            <w:tcW w:w="1418" w:type="dxa"/>
            <w:tcBorders>
              <w:top w:val="single" w:sz="4" w:space="0" w:color="000000"/>
              <w:left w:val="single" w:sz="4" w:space="0" w:color="000000"/>
              <w:bottom w:val="single" w:sz="4" w:space="0" w:color="000000"/>
              <w:right w:val="single" w:sz="4" w:space="0" w:color="000000"/>
            </w:tcBorders>
            <w:vAlign w:val="center"/>
          </w:tcPr>
          <w:p w14:paraId="45E893EB"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067F7332"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272F857" w14:textId="629F91B0" w:rsidR="00CE4763" w:rsidRPr="00CE4763" w:rsidRDefault="005850CC" w:rsidP="00CE4763">
            <w:pPr>
              <w:spacing w:after="0" w:line="240" w:lineRule="auto"/>
              <w:ind w:left="0" w:right="0" w:firstLine="0"/>
              <w:jc w:val="center"/>
              <w:rPr>
                <w:rFonts w:ascii="Times New Roman" w:hAnsi="Times New Roman" w:cs="Times New Roman"/>
              </w:rPr>
            </w:pPr>
            <w:r>
              <w:rPr>
                <w:rFonts w:ascii="Times New Roman" w:hAnsi="Times New Roman" w:cs="Times New Roman"/>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6FADFDC4" w14:textId="614D0AFA"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6DC5E53D" w14:textId="77777777" w:rsidTr="00327BAD">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26A6F612"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Stanje mobilnosti operativnih kapaciteta sustava civilne zaštite i stanja komunikacijskih kapaciteta</w:t>
            </w:r>
          </w:p>
        </w:tc>
        <w:tc>
          <w:tcPr>
            <w:tcW w:w="1418" w:type="dxa"/>
            <w:tcBorders>
              <w:top w:val="single" w:sz="4" w:space="0" w:color="000000"/>
              <w:left w:val="single" w:sz="4" w:space="0" w:color="000000"/>
              <w:bottom w:val="single" w:sz="4" w:space="0" w:color="000000"/>
              <w:right w:val="single" w:sz="4" w:space="0" w:color="000000"/>
            </w:tcBorders>
            <w:vAlign w:val="center"/>
          </w:tcPr>
          <w:p w14:paraId="6E3ACAFB"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089FE99"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8F91C1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7B8208E"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rPr>
              <w:t>x</w:t>
            </w:r>
          </w:p>
        </w:tc>
      </w:tr>
      <w:tr w:rsidR="00CE4763" w:rsidRPr="00CE4763" w14:paraId="0AB26000" w14:textId="77777777" w:rsidTr="00327BAD">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5BF84686"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 xml:space="preserve">Područje reagiranja u slučaju </w:t>
            </w:r>
            <w:r w:rsidRPr="00CE4763">
              <w:rPr>
                <w:rFonts w:ascii="Times New Roman" w:hAnsi="Times New Roman" w:cs="Times New Roman"/>
                <w:b/>
                <w:color w:val="auto"/>
              </w:rPr>
              <w:t>NESREĆE NA ODLAGALIŠTIMA OTPADA - ZBIRNO</w:t>
            </w:r>
          </w:p>
        </w:tc>
        <w:tc>
          <w:tcPr>
            <w:tcW w:w="1418" w:type="dxa"/>
            <w:tcBorders>
              <w:top w:val="single" w:sz="4" w:space="0" w:color="000000"/>
              <w:left w:val="single" w:sz="4" w:space="0" w:color="000000"/>
              <w:bottom w:val="single" w:sz="4" w:space="0" w:color="000000"/>
              <w:right w:val="single" w:sz="4" w:space="0" w:color="000000"/>
            </w:tcBorders>
            <w:vAlign w:val="center"/>
          </w:tcPr>
          <w:p w14:paraId="5EB67C23"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9C5356A"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D9EF029"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57027C5"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r>
    </w:tbl>
    <w:p w14:paraId="781992A6"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081BE26B" w14:textId="77777777" w:rsidR="00CE4763" w:rsidRPr="00CE4763" w:rsidRDefault="00CE4763" w:rsidP="00CE4763">
      <w:pPr>
        <w:spacing w:after="0" w:line="240" w:lineRule="auto"/>
        <w:ind w:left="0" w:right="0" w:firstLine="709"/>
        <w:rPr>
          <w:rFonts w:ascii="Times New Roman" w:hAnsi="Times New Roman" w:cs="Times New Roman"/>
          <w:sz w:val="24"/>
          <w:u w:val="single"/>
        </w:rPr>
      </w:pPr>
      <w:r w:rsidRPr="00CE4763">
        <w:rPr>
          <w:rFonts w:ascii="Times New Roman" w:hAnsi="Times New Roman" w:cs="Times New Roman"/>
          <w:sz w:val="24"/>
          <w:u w:val="single"/>
        </w:rPr>
        <w:t>Zaključak</w:t>
      </w:r>
    </w:p>
    <w:p w14:paraId="30C9DCF1"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Postojeće snage civilne zaštite u navedenom slučaju (najgori slučaj) bile bi dovoljne u provođenju mjera civilne zaštite.</w:t>
      </w:r>
    </w:p>
    <w:p w14:paraId="4B2DDA9F" w14:textId="77777777" w:rsidR="00CE4763" w:rsidRPr="00CE4763" w:rsidRDefault="00CE4763" w:rsidP="00CE4763">
      <w:pPr>
        <w:spacing w:after="0" w:line="240" w:lineRule="auto"/>
        <w:ind w:left="0" w:right="0" w:firstLine="709"/>
        <w:rPr>
          <w:rFonts w:ascii="Times New Roman" w:hAnsi="Times New Roman" w:cs="Times New Roman"/>
          <w:sz w:val="24"/>
        </w:rPr>
      </w:pPr>
    </w:p>
    <w:p w14:paraId="3928F422" w14:textId="48F29919" w:rsidR="00CE4763" w:rsidRDefault="00CE4763" w:rsidP="00CE4763">
      <w:pPr>
        <w:spacing w:after="0" w:line="240" w:lineRule="auto"/>
        <w:ind w:left="0" w:right="0" w:firstLine="709"/>
        <w:rPr>
          <w:rFonts w:ascii="Times New Roman" w:hAnsi="Times New Roman" w:cs="Times New Roman"/>
          <w:b/>
          <w:sz w:val="24"/>
        </w:rPr>
      </w:pPr>
      <w:r w:rsidRPr="00CE4763">
        <w:rPr>
          <w:rFonts w:ascii="Times New Roman" w:hAnsi="Times New Roman" w:cs="Times New Roman"/>
          <w:b/>
          <w:sz w:val="24"/>
        </w:rPr>
        <w:t xml:space="preserve">8.2.8. ANALIZA SUSTAVA CIVILNE ZAŠTITE - PODRUČJE REAGIRANJA </w:t>
      </w:r>
      <w:r w:rsidR="00327BAD">
        <w:rPr>
          <w:rFonts w:ascii="Times New Roman" w:hAnsi="Times New Roman" w:cs="Times New Roman"/>
          <w:b/>
          <w:sz w:val="24"/>
        </w:rPr>
        <w:t>–</w:t>
      </w:r>
      <w:r w:rsidRPr="00CE4763">
        <w:rPr>
          <w:rFonts w:ascii="Times New Roman" w:hAnsi="Times New Roman" w:cs="Times New Roman"/>
          <w:b/>
          <w:sz w:val="24"/>
        </w:rPr>
        <w:t xml:space="preserve"> KLIZIŠTA</w:t>
      </w:r>
    </w:p>
    <w:p w14:paraId="73C3113C" w14:textId="77777777" w:rsidR="00327BAD" w:rsidRPr="00CE4763" w:rsidRDefault="00327BAD" w:rsidP="00CE4763">
      <w:pPr>
        <w:spacing w:after="0" w:line="240" w:lineRule="auto"/>
        <w:ind w:left="0" w:right="0" w:firstLine="709"/>
        <w:rPr>
          <w:rFonts w:ascii="Times New Roman" w:hAnsi="Times New Roman" w:cs="Times New Roman"/>
          <w:b/>
          <w:sz w:val="24"/>
        </w:rPr>
      </w:pPr>
    </w:p>
    <w:p w14:paraId="732A852E" w14:textId="77777777" w:rsidR="00CE4763" w:rsidRPr="00CE4763" w:rsidRDefault="00CE4763" w:rsidP="00CE4763">
      <w:pPr>
        <w:spacing w:after="0" w:line="240" w:lineRule="auto"/>
        <w:ind w:left="0" w:right="0" w:firstLine="709"/>
        <w:rPr>
          <w:rFonts w:ascii="Times New Roman" w:hAnsi="Times New Roman" w:cs="Times New Roman"/>
          <w:color w:val="auto"/>
          <w:sz w:val="24"/>
        </w:rPr>
      </w:pPr>
      <w:r w:rsidRPr="00CE4763">
        <w:rPr>
          <w:rFonts w:ascii="Times New Roman" w:hAnsi="Times New Roman" w:cs="Times New Roman"/>
          <w:color w:val="auto"/>
          <w:sz w:val="24"/>
        </w:rPr>
        <w:t>Analiza sustava civilne zaštite u području reagiranja temelji se na najgorem scenariju koji je obrađen u Poglavlju 6.8. Procjene rizika (pojava masovnih klizišta na području Grada Zagreba) vrlo male vjerojatnosti pojavljivanja.</w:t>
      </w:r>
    </w:p>
    <w:p w14:paraId="414424D4"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i/>
          <w:sz w:val="24"/>
        </w:rPr>
        <w:t>Vrlo niska spremnost</w:t>
      </w:r>
      <w:r w:rsidRPr="00CE4763">
        <w:rPr>
          <w:rFonts w:ascii="Times New Roman" w:hAnsi="Times New Roman" w:cs="Times New Roman"/>
          <w:sz w:val="24"/>
        </w:rPr>
        <w:t xml:space="preserve"> podrazumijeva da postojeći kapaciteti nisu dostatni pa je potrebno odmah tražiti pomoć izvan zone pogođenog područja (druge županije/gradovi odnosno </w:t>
      </w:r>
      <w:r w:rsidRPr="00CE4763">
        <w:rPr>
          <w:rFonts w:ascii="Times New Roman" w:hAnsi="Times New Roman" w:cs="Times New Roman"/>
          <w:sz w:val="24"/>
        </w:rPr>
        <w:lastRenderedPageBreak/>
        <w:t xml:space="preserve">međunarodnu pomoć). </w:t>
      </w:r>
      <w:r w:rsidRPr="00CE4763">
        <w:rPr>
          <w:rFonts w:ascii="Times New Roman" w:hAnsi="Times New Roman" w:cs="Times New Roman"/>
          <w:i/>
          <w:sz w:val="24"/>
        </w:rPr>
        <w:t>Niska spremnost</w:t>
      </w:r>
      <w:r w:rsidRPr="00CE4763">
        <w:rPr>
          <w:rFonts w:ascii="Times New Roman" w:hAnsi="Times New Roman" w:cs="Times New Roman"/>
          <w:sz w:val="24"/>
        </w:rPr>
        <w:t xml:space="preserve"> odnosi se na sposobnost djelomičnog obavljanja zadaća uz velike poteškoće (nedovoljno ljudi i opreme) pa je potrebno računati na pomoć izvan zone pogođenog područja (druge županije/gradovi odnosno međunarodnu pomoć). </w:t>
      </w:r>
      <w:r w:rsidRPr="00CE4763">
        <w:rPr>
          <w:rFonts w:ascii="Times New Roman" w:hAnsi="Times New Roman" w:cs="Times New Roman"/>
          <w:i/>
          <w:sz w:val="24"/>
        </w:rPr>
        <w:t>Visoka spremnost</w:t>
      </w:r>
      <w:r w:rsidRPr="00CE4763">
        <w:rPr>
          <w:rFonts w:ascii="Times New Roman" w:hAnsi="Times New Roman" w:cs="Times New Roman"/>
          <w:sz w:val="24"/>
        </w:rPr>
        <w:t xml:space="preserve"> podrazumijeva optimalnu reakciju uz određene manje teškoće prilikom planiranja zamjene snaga, ali visoku razinu samodostatnosti u obavljanju zadaća civilne zaštite. </w:t>
      </w:r>
      <w:r w:rsidRPr="00CE4763">
        <w:rPr>
          <w:rFonts w:ascii="Times New Roman" w:hAnsi="Times New Roman" w:cs="Times New Roman"/>
          <w:i/>
          <w:sz w:val="24"/>
        </w:rPr>
        <w:t>Vrlo visoka spremnost</w:t>
      </w:r>
      <w:r w:rsidRPr="00CE4763">
        <w:rPr>
          <w:rFonts w:ascii="Times New Roman" w:hAnsi="Times New Roman" w:cs="Times New Roman"/>
          <w:sz w:val="24"/>
        </w:rPr>
        <w:t xml:space="preserve"> podrazumijeva potpunu samodostatnost i u planiranju zamjenskih snaga odnosno mogućnost redovitog i pravodobnog obavljanja svih zadaća.</w:t>
      </w:r>
    </w:p>
    <w:p w14:paraId="6E45C13D" w14:textId="77777777" w:rsidR="00CE4763" w:rsidRPr="00CE4763" w:rsidRDefault="00CE4763" w:rsidP="00CE4763">
      <w:pPr>
        <w:spacing w:after="0" w:line="240" w:lineRule="auto"/>
        <w:ind w:right="0"/>
        <w:rPr>
          <w:rFonts w:ascii="Times New Roman" w:hAnsi="Times New Roman" w:cs="Times New Roman"/>
          <w:sz w:val="24"/>
        </w:rPr>
      </w:pPr>
    </w:p>
    <w:p w14:paraId="05133467" w14:textId="4E299B17" w:rsidR="00CE4763" w:rsidRPr="00CE4763" w:rsidRDefault="00CE4763" w:rsidP="00327BAD">
      <w:pPr>
        <w:spacing w:line="240" w:lineRule="auto"/>
        <w:ind w:left="0" w:right="0" w:firstLine="0"/>
        <w:jc w:val="center"/>
        <w:rPr>
          <w:rFonts w:ascii="Times New Roman" w:hAnsi="Times New Roman" w:cs="Times New Roman"/>
          <w:b/>
          <w:color w:val="FF0000"/>
          <w:sz w:val="24"/>
        </w:rPr>
      </w:pPr>
      <w:r w:rsidRPr="00433B54">
        <w:rPr>
          <w:rFonts w:ascii="Times New Roman" w:hAnsi="Times New Roman" w:cs="Times New Roman"/>
          <w:b/>
          <w:color w:val="auto"/>
          <w:sz w:val="24"/>
        </w:rPr>
        <w:t>Tablica 1</w:t>
      </w:r>
      <w:r w:rsidR="00433B54" w:rsidRPr="00433B54">
        <w:rPr>
          <w:rFonts w:ascii="Times New Roman" w:hAnsi="Times New Roman" w:cs="Times New Roman"/>
          <w:b/>
          <w:color w:val="auto"/>
          <w:sz w:val="24"/>
        </w:rPr>
        <w:t>52</w:t>
      </w:r>
      <w:r w:rsidRPr="00433B54">
        <w:rPr>
          <w:rFonts w:ascii="Times New Roman" w:hAnsi="Times New Roman" w:cs="Times New Roman"/>
          <w:b/>
          <w:color w:val="auto"/>
          <w:sz w:val="24"/>
        </w:rPr>
        <w:t xml:space="preserve">. Mjere civilne zaštite u slučaju pojava masovnih klizišta na području Grada </w:t>
      </w:r>
      <w:r w:rsidRPr="00CE4763">
        <w:rPr>
          <w:rFonts w:ascii="Times New Roman" w:hAnsi="Times New Roman" w:cs="Times New Roman"/>
          <w:b/>
          <w:sz w:val="24"/>
        </w:rPr>
        <w:t>Zagreba</w:t>
      </w:r>
    </w:p>
    <w:tbl>
      <w:tblPr>
        <w:tblStyle w:val="TableGrid"/>
        <w:tblW w:w="9072" w:type="dxa"/>
        <w:tblInd w:w="0" w:type="dxa"/>
        <w:tblLayout w:type="fixed"/>
        <w:tblCellMar>
          <w:left w:w="57" w:type="dxa"/>
          <w:right w:w="55" w:type="dxa"/>
        </w:tblCellMar>
        <w:tblLook w:val="04A0" w:firstRow="1" w:lastRow="0" w:firstColumn="1" w:lastColumn="0" w:noHBand="0" w:noVBand="1"/>
      </w:tblPr>
      <w:tblGrid>
        <w:gridCol w:w="3400"/>
        <w:gridCol w:w="1418"/>
        <w:gridCol w:w="1418"/>
        <w:gridCol w:w="1418"/>
        <w:gridCol w:w="1418"/>
      </w:tblGrid>
      <w:tr w:rsidR="00CE4763" w:rsidRPr="00CE4763" w14:paraId="05C1E1A7" w14:textId="77777777" w:rsidTr="00327BAD">
        <w:trPr>
          <w:cantSplit/>
          <w:tblHeader/>
        </w:trPr>
        <w:tc>
          <w:tcPr>
            <w:tcW w:w="3400" w:type="dxa"/>
            <w:vMerge w:val="restart"/>
            <w:tcBorders>
              <w:top w:val="single" w:sz="4" w:space="0" w:color="000000"/>
              <w:left w:val="single" w:sz="4" w:space="0" w:color="000000"/>
              <w:bottom w:val="single" w:sz="4" w:space="0" w:color="000000"/>
              <w:right w:val="single" w:sz="4" w:space="0" w:color="000000"/>
            </w:tcBorders>
            <w:vAlign w:val="center"/>
          </w:tcPr>
          <w:p w14:paraId="1907B88D"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MJERE CIVILNE ZAŠTITE U SLUČAJU POJAVE MASOVNIH KLIZIŠTA NA PODRUČJU GRADA ZAGREBA</w:t>
            </w: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583FCB1E"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Vrlo 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22602C32"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E8C3C06"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Visoka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44E7A56B"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Vrlo visoka spremnost</w:t>
            </w:r>
          </w:p>
        </w:tc>
      </w:tr>
      <w:tr w:rsidR="00CE4763" w:rsidRPr="00CE4763" w14:paraId="2DB281F4" w14:textId="77777777" w:rsidTr="00327BAD">
        <w:trPr>
          <w:cantSplit/>
          <w:tblHeader/>
        </w:trPr>
        <w:tc>
          <w:tcPr>
            <w:tcW w:w="3400" w:type="dxa"/>
            <w:vMerge/>
            <w:tcBorders>
              <w:top w:val="nil"/>
              <w:left w:val="single" w:sz="4" w:space="0" w:color="000000"/>
              <w:bottom w:val="single" w:sz="4" w:space="0" w:color="000000"/>
              <w:right w:val="single" w:sz="4" w:space="0" w:color="000000"/>
            </w:tcBorders>
            <w:vAlign w:val="center"/>
          </w:tcPr>
          <w:p w14:paraId="79FA66BB" w14:textId="77777777" w:rsidR="00CE4763" w:rsidRPr="00CE4763" w:rsidRDefault="00CE4763" w:rsidP="00CE4763">
            <w:pPr>
              <w:spacing w:after="0" w:line="240" w:lineRule="auto"/>
              <w:ind w:left="0" w:right="0" w:firstLine="0"/>
              <w:jc w:val="left"/>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16441470"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CD0D3F2"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025FBACB"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2D8DA2FD"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1</w:t>
            </w:r>
          </w:p>
        </w:tc>
      </w:tr>
      <w:tr w:rsidR="00CE4763" w:rsidRPr="00CE4763" w14:paraId="2AC032F9" w14:textId="77777777" w:rsidTr="00327BAD">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3430476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Ojačavanje potpornih konstrukcija ili intervencije zemljanim radovima</w:t>
            </w:r>
          </w:p>
        </w:tc>
        <w:tc>
          <w:tcPr>
            <w:tcW w:w="1418" w:type="dxa"/>
            <w:tcBorders>
              <w:top w:val="single" w:sz="4" w:space="0" w:color="000000"/>
              <w:left w:val="single" w:sz="4" w:space="0" w:color="000000"/>
              <w:bottom w:val="single" w:sz="4" w:space="0" w:color="000000"/>
              <w:right w:val="single" w:sz="4" w:space="0" w:color="000000"/>
            </w:tcBorders>
            <w:vAlign w:val="center"/>
          </w:tcPr>
          <w:p w14:paraId="3B302B7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4201118F"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E0B68CD"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56C04FBF"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73F407CF" w14:textId="77777777" w:rsidTr="00327BAD">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2A70331B"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Pomoć ugroženom stanovništvu u evakuaciji i/ili premještanju te u premještanju materijalnih sredstava</w:t>
            </w:r>
          </w:p>
        </w:tc>
        <w:tc>
          <w:tcPr>
            <w:tcW w:w="1418" w:type="dxa"/>
            <w:tcBorders>
              <w:top w:val="single" w:sz="4" w:space="0" w:color="000000"/>
              <w:left w:val="single" w:sz="4" w:space="0" w:color="000000"/>
              <w:bottom w:val="single" w:sz="4" w:space="0" w:color="000000"/>
              <w:right w:val="single" w:sz="4" w:space="0" w:color="000000"/>
            </w:tcBorders>
            <w:vAlign w:val="center"/>
          </w:tcPr>
          <w:p w14:paraId="2D655293"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31D9AF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41CF7742"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4F1F0447"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22F5D79E" w14:textId="77777777" w:rsidTr="00327BAD">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73DC7F3D"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Organizacija pružanja prve medicinske pomoći</w:t>
            </w:r>
          </w:p>
        </w:tc>
        <w:tc>
          <w:tcPr>
            <w:tcW w:w="1418" w:type="dxa"/>
            <w:tcBorders>
              <w:top w:val="single" w:sz="4" w:space="0" w:color="000000"/>
              <w:left w:val="single" w:sz="4" w:space="0" w:color="000000"/>
              <w:bottom w:val="single" w:sz="4" w:space="0" w:color="000000"/>
              <w:right w:val="single" w:sz="4" w:space="0" w:color="000000"/>
            </w:tcBorders>
            <w:vAlign w:val="center"/>
          </w:tcPr>
          <w:p w14:paraId="6D0A4EDA"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F7FFF9A"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C7D7AE8"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64E0E674"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3E174DDE" w14:textId="77777777" w:rsidTr="00327BAD">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4C5D9C51"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Organizacija pružanja veterinarske pomoći</w:t>
            </w:r>
          </w:p>
        </w:tc>
        <w:tc>
          <w:tcPr>
            <w:tcW w:w="1418" w:type="dxa"/>
            <w:tcBorders>
              <w:top w:val="single" w:sz="4" w:space="0" w:color="000000"/>
              <w:left w:val="single" w:sz="4" w:space="0" w:color="000000"/>
              <w:bottom w:val="single" w:sz="4" w:space="0" w:color="000000"/>
              <w:right w:val="single" w:sz="4" w:space="0" w:color="000000"/>
            </w:tcBorders>
            <w:vAlign w:val="center"/>
          </w:tcPr>
          <w:p w14:paraId="3E42BA0D"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0E84A68"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0A7B4EC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789D759"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15F4251B" w14:textId="77777777" w:rsidTr="00327BAD">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1F132401"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Organizacija provođenja sanacije</w:t>
            </w:r>
          </w:p>
        </w:tc>
        <w:tc>
          <w:tcPr>
            <w:tcW w:w="1418" w:type="dxa"/>
            <w:tcBorders>
              <w:top w:val="single" w:sz="4" w:space="0" w:color="000000"/>
              <w:left w:val="single" w:sz="4" w:space="0" w:color="000000"/>
              <w:bottom w:val="single" w:sz="4" w:space="0" w:color="000000"/>
              <w:right w:val="single" w:sz="4" w:space="0" w:color="000000"/>
            </w:tcBorders>
            <w:vAlign w:val="center"/>
          </w:tcPr>
          <w:p w14:paraId="3C58F27C"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B5B5AC2"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AB5AAE7"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666A455E" w14:textId="77777777" w:rsidR="00CE4763" w:rsidRPr="00CE4763" w:rsidRDefault="00CE4763" w:rsidP="00CE4763">
            <w:pPr>
              <w:spacing w:after="0" w:line="240" w:lineRule="auto"/>
              <w:ind w:left="0" w:right="0" w:firstLine="0"/>
              <w:jc w:val="center"/>
              <w:rPr>
                <w:rFonts w:ascii="Times New Roman" w:hAnsi="Times New Roman" w:cs="Times New Roman"/>
              </w:rPr>
            </w:pPr>
          </w:p>
        </w:tc>
      </w:tr>
    </w:tbl>
    <w:p w14:paraId="52403D3F"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057A7BD2" w14:textId="3AAC6524"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 xml:space="preserve">Spremnost odgovornih i upravljačkih kapaciteta te </w:t>
      </w:r>
      <w:r w:rsidR="00EB0819">
        <w:rPr>
          <w:rFonts w:ascii="Times New Roman" w:hAnsi="Times New Roman" w:cs="Times New Roman"/>
          <w:sz w:val="24"/>
        </w:rPr>
        <w:t>s</w:t>
      </w:r>
      <w:r w:rsidR="00EB0819" w:rsidRPr="00EB0819">
        <w:rPr>
          <w:rFonts w:ascii="Times New Roman" w:hAnsi="Times New Roman" w:cs="Times New Roman"/>
          <w:sz w:val="24"/>
        </w:rPr>
        <w:t>premnost operativnih kapaciteta</w:t>
      </w:r>
      <w:r w:rsidR="00EB0819">
        <w:rPr>
          <w:rFonts w:ascii="Times New Roman" w:hAnsi="Times New Roman" w:cs="Times New Roman"/>
          <w:sz w:val="24"/>
        </w:rPr>
        <w:t xml:space="preserve"> u slučaju pojave masovnih klizišta na području Grada Zagreba procjenjuje se visokom</w:t>
      </w:r>
      <w:r w:rsidRPr="00CE4763">
        <w:rPr>
          <w:rFonts w:ascii="Times New Roman" w:hAnsi="Times New Roman" w:cs="Times New Roman"/>
          <w:sz w:val="24"/>
        </w:rPr>
        <w:t>, dok se</w:t>
      </w:r>
      <w:r w:rsidR="00EB0819" w:rsidRPr="00EB0819">
        <w:t xml:space="preserve"> </w:t>
      </w:r>
      <w:r w:rsidR="00EB0819" w:rsidRPr="00EB0819">
        <w:rPr>
          <w:rFonts w:ascii="Times New Roman" w:hAnsi="Times New Roman" w:cs="Times New Roman"/>
          <w:sz w:val="24"/>
        </w:rPr>
        <w:t>stanje mobilnosti operativnih kapaciteta sustava civilne zaštite i stanje komunikacijskih kapaciteta procjenjuje vrlo visokom</w:t>
      </w:r>
      <w:r w:rsidRPr="00CE4763">
        <w:rPr>
          <w:rFonts w:ascii="Times New Roman" w:hAnsi="Times New Roman" w:cs="Times New Roman"/>
          <w:sz w:val="24"/>
        </w:rPr>
        <w:t>. Postojeće snage civilne zaštite u navedenom slučaju (najgori slučaj) bile bi dovoljne u provođenju mjera civilne zaštite.</w:t>
      </w:r>
    </w:p>
    <w:p w14:paraId="46ECEA46" w14:textId="77777777" w:rsidR="00CE4763" w:rsidRPr="00CE4763" w:rsidRDefault="00CE4763" w:rsidP="00CE4763">
      <w:pPr>
        <w:spacing w:after="0" w:line="240" w:lineRule="auto"/>
        <w:ind w:right="0"/>
        <w:rPr>
          <w:rFonts w:ascii="Times New Roman" w:hAnsi="Times New Roman" w:cs="Times New Roman"/>
          <w:sz w:val="24"/>
        </w:rPr>
      </w:pPr>
    </w:p>
    <w:p w14:paraId="09E4681C" w14:textId="331760EB" w:rsidR="00CE4763" w:rsidRPr="00CE4763" w:rsidRDefault="00CE4763" w:rsidP="00327BAD">
      <w:pPr>
        <w:spacing w:line="240" w:lineRule="auto"/>
        <w:ind w:left="0" w:right="0" w:firstLine="0"/>
        <w:jc w:val="center"/>
        <w:rPr>
          <w:rFonts w:ascii="Times New Roman" w:hAnsi="Times New Roman" w:cs="Times New Roman"/>
          <w:b/>
          <w:color w:val="auto"/>
          <w:sz w:val="24"/>
        </w:rPr>
      </w:pPr>
      <w:r w:rsidRPr="00CE4763">
        <w:rPr>
          <w:rFonts w:ascii="Times New Roman" w:hAnsi="Times New Roman" w:cs="Times New Roman"/>
          <w:b/>
          <w:color w:val="auto"/>
          <w:sz w:val="24"/>
        </w:rPr>
        <w:t xml:space="preserve">Tablica </w:t>
      </w:r>
      <w:r w:rsidR="00427F7D">
        <w:rPr>
          <w:rFonts w:ascii="Times New Roman" w:hAnsi="Times New Roman" w:cs="Times New Roman"/>
          <w:b/>
          <w:color w:val="auto"/>
          <w:sz w:val="24"/>
        </w:rPr>
        <w:t>153</w:t>
      </w:r>
      <w:r w:rsidRPr="00CE4763">
        <w:rPr>
          <w:rFonts w:ascii="Times New Roman" w:hAnsi="Times New Roman" w:cs="Times New Roman"/>
          <w:b/>
          <w:color w:val="auto"/>
          <w:sz w:val="24"/>
        </w:rPr>
        <w:t>. Analiza sustava civilne zaštite - područje reagiranja - Klizišta</w:t>
      </w:r>
    </w:p>
    <w:tbl>
      <w:tblPr>
        <w:tblStyle w:val="TableGrid"/>
        <w:tblW w:w="9072" w:type="dxa"/>
        <w:tblInd w:w="0" w:type="dxa"/>
        <w:tblLayout w:type="fixed"/>
        <w:tblCellMar>
          <w:left w:w="57" w:type="dxa"/>
          <w:right w:w="57" w:type="dxa"/>
        </w:tblCellMar>
        <w:tblLook w:val="04A0" w:firstRow="1" w:lastRow="0" w:firstColumn="1" w:lastColumn="0" w:noHBand="0" w:noVBand="1"/>
      </w:tblPr>
      <w:tblGrid>
        <w:gridCol w:w="3400"/>
        <w:gridCol w:w="1418"/>
        <w:gridCol w:w="1418"/>
        <w:gridCol w:w="1418"/>
        <w:gridCol w:w="1418"/>
      </w:tblGrid>
      <w:tr w:rsidR="00CE4763" w:rsidRPr="00CE4763" w14:paraId="6575E9FC" w14:textId="77777777" w:rsidTr="00284074">
        <w:trPr>
          <w:cantSplit/>
          <w:tblHeader/>
        </w:trPr>
        <w:tc>
          <w:tcPr>
            <w:tcW w:w="3400" w:type="dxa"/>
            <w:vMerge w:val="restart"/>
            <w:tcBorders>
              <w:top w:val="single" w:sz="4" w:space="0" w:color="000000"/>
              <w:left w:val="single" w:sz="4" w:space="0" w:color="000000"/>
              <w:bottom w:val="single" w:sz="4" w:space="0" w:color="000000"/>
              <w:right w:val="single" w:sz="4" w:space="0" w:color="000000"/>
            </w:tcBorders>
            <w:vAlign w:val="center"/>
          </w:tcPr>
          <w:p w14:paraId="6DF77B66"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PODRUČJE REAGIRANJA</w:t>
            </w: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4A45EA18"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Vrlo 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732863D"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6854C519" w14:textId="77777777" w:rsidR="00CE4763" w:rsidRPr="00CE4763" w:rsidRDefault="00CE4763" w:rsidP="00CE4763">
            <w:pPr>
              <w:spacing w:after="0" w:line="240" w:lineRule="auto"/>
              <w:ind w:left="0" w:right="0" w:firstLine="0"/>
              <w:jc w:val="center"/>
              <w:rPr>
                <w:rFonts w:ascii="Times New Roman" w:hAnsi="Times New Roman" w:cs="Times New Roman"/>
                <w:b/>
              </w:rPr>
            </w:pPr>
            <w:r w:rsidRPr="00CE4763">
              <w:rPr>
                <w:rFonts w:ascii="Times New Roman" w:hAnsi="Times New Roman" w:cs="Times New Roman"/>
                <w:b/>
              </w:rPr>
              <w:t>Visoka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171A4280"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Vrlo visoka spremnost</w:t>
            </w:r>
          </w:p>
        </w:tc>
      </w:tr>
      <w:tr w:rsidR="00CE4763" w:rsidRPr="00CE4763" w14:paraId="401B008B" w14:textId="77777777" w:rsidTr="00284074">
        <w:trPr>
          <w:cantSplit/>
          <w:tblHeader/>
        </w:trPr>
        <w:tc>
          <w:tcPr>
            <w:tcW w:w="3400" w:type="dxa"/>
            <w:vMerge/>
            <w:tcBorders>
              <w:top w:val="nil"/>
              <w:left w:val="single" w:sz="4" w:space="0" w:color="000000"/>
              <w:bottom w:val="single" w:sz="4" w:space="0" w:color="000000"/>
              <w:right w:val="single" w:sz="4" w:space="0" w:color="000000"/>
            </w:tcBorders>
            <w:vAlign w:val="center"/>
          </w:tcPr>
          <w:p w14:paraId="779E5F4E" w14:textId="77777777" w:rsidR="00CE4763" w:rsidRPr="00CE4763" w:rsidRDefault="00CE4763" w:rsidP="00CE4763">
            <w:pPr>
              <w:spacing w:after="0" w:line="240" w:lineRule="auto"/>
              <w:ind w:left="0" w:right="0" w:firstLine="0"/>
              <w:jc w:val="left"/>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11BB2FB8"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5226D66"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4CBCDCE" w14:textId="77777777" w:rsidR="00CE4763" w:rsidRPr="00CE4763" w:rsidRDefault="00CE4763" w:rsidP="00CE4763">
            <w:pPr>
              <w:spacing w:after="0" w:line="240" w:lineRule="auto"/>
              <w:ind w:left="0" w:right="0" w:firstLine="0"/>
              <w:jc w:val="center"/>
              <w:rPr>
                <w:rFonts w:ascii="Times New Roman" w:hAnsi="Times New Roman" w:cs="Times New Roman"/>
                <w:b/>
              </w:rPr>
            </w:pPr>
            <w:r w:rsidRPr="00CE4763">
              <w:rPr>
                <w:rFonts w:ascii="Times New Roman" w:hAnsi="Times New Roman" w:cs="Times New Roman"/>
                <w:b/>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39A312F4" w14:textId="77777777" w:rsidR="00CE4763" w:rsidRPr="00CE4763" w:rsidRDefault="00CE4763" w:rsidP="00CE4763">
            <w:pPr>
              <w:spacing w:after="0" w:line="240" w:lineRule="auto"/>
              <w:ind w:left="0" w:right="0" w:firstLine="0"/>
              <w:jc w:val="center"/>
              <w:rPr>
                <w:rFonts w:ascii="Times New Roman" w:hAnsi="Times New Roman" w:cs="Times New Roman"/>
                <w:b/>
                <w:color w:val="FFFFFF"/>
              </w:rPr>
            </w:pPr>
            <w:r w:rsidRPr="00CE4763">
              <w:rPr>
                <w:rFonts w:ascii="Times New Roman" w:hAnsi="Times New Roman" w:cs="Times New Roman"/>
                <w:b/>
                <w:color w:val="FFFFFF"/>
              </w:rPr>
              <w:t>1</w:t>
            </w:r>
          </w:p>
        </w:tc>
      </w:tr>
      <w:tr w:rsidR="00CE4763" w:rsidRPr="00CE4763" w14:paraId="450CB120"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66F0AF8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Spremnost odgovornih i upravljačkih kapaciteta</w:t>
            </w:r>
          </w:p>
        </w:tc>
        <w:tc>
          <w:tcPr>
            <w:tcW w:w="1418" w:type="dxa"/>
            <w:tcBorders>
              <w:top w:val="single" w:sz="4" w:space="0" w:color="000000"/>
              <w:left w:val="single" w:sz="4" w:space="0" w:color="000000"/>
              <w:bottom w:val="single" w:sz="4" w:space="0" w:color="000000"/>
              <w:right w:val="single" w:sz="4" w:space="0" w:color="000000"/>
            </w:tcBorders>
            <w:vAlign w:val="center"/>
          </w:tcPr>
          <w:p w14:paraId="3A8AE8D8"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E138AA5"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4EBAD686"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70C4B2CF"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0CC0A2AD"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12F3F145"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Spremnost operativnih kapaciteta</w:t>
            </w:r>
          </w:p>
        </w:tc>
        <w:tc>
          <w:tcPr>
            <w:tcW w:w="1418" w:type="dxa"/>
            <w:tcBorders>
              <w:top w:val="single" w:sz="4" w:space="0" w:color="000000"/>
              <w:left w:val="single" w:sz="4" w:space="0" w:color="000000"/>
              <w:bottom w:val="single" w:sz="4" w:space="0" w:color="000000"/>
              <w:right w:val="single" w:sz="4" w:space="0" w:color="000000"/>
            </w:tcBorders>
            <w:vAlign w:val="center"/>
          </w:tcPr>
          <w:p w14:paraId="337B92F9"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26C2290F"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01ADECAF"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085DACF3"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45782C7D"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552D7A6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Stanje mobilnosti operativnih kapaciteta sustava civilne zaštite i stanja komunikacijskih kapaciteta</w:t>
            </w:r>
          </w:p>
        </w:tc>
        <w:tc>
          <w:tcPr>
            <w:tcW w:w="1418" w:type="dxa"/>
            <w:tcBorders>
              <w:top w:val="single" w:sz="4" w:space="0" w:color="000000"/>
              <w:left w:val="single" w:sz="4" w:space="0" w:color="000000"/>
              <w:bottom w:val="single" w:sz="4" w:space="0" w:color="000000"/>
              <w:right w:val="single" w:sz="4" w:space="0" w:color="000000"/>
            </w:tcBorders>
            <w:vAlign w:val="center"/>
          </w:tcPr>
          <w:p w14:paraId="4CBD17B6"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0D437BB5"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0ED9961"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66221B24"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rPr>
              <w:t>x</w:t>
            </w:r>
          </w:p>
        </w:tc>
      </w:tr>
      <w:tr w:rsidR="00CE4763" w:rsidRPr="00CE4763" w14:paraId="2804935D" w14:textId="77777777" w:rsidTr="00284074">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2E4F8D48" w14:textId="77777777" w:rsidR="00CE4763" w:rsidRPr="00CE4763" w:rsidRDefault="00CE4763" w:rsidP="00CE4763">
            <w:pPr>
              <w:spacing w:after="0" w:line="240" w:lineRule="auto"/>
              <w:ind w:left="0" w:right="0" w:firstLine="0"/>
              <w:jc w:val="left"/>
              <w:rPr>
                <w:rFonts w:ascii="Times New Roman" w:hAnsi="Times New Roman" w:cs="Times New Roman"/>
                <w:color w:val="auto"/>
              </w:rPr>
            </w:pPr>
            <w:r w:rsidRPr="00CE4763">
              <w:rPr>
                <w:rFonts w:ascii="Times New Roman" w:hAnsi="Times New Roman" w:cs="Times New Roman"/>
                <w:b/>
                <w:color w:val="auto"/>
              </w:rPr>
              <w:t>Područje reagiranja u slučaju KLIZIŠTA - ZBIRNO</w:t>
            </w:r>
          </w:p>
        </w:tc>
        <w:tc>
          <w:tcPr>
            <w:tcW w:w="1418" w:type="dxa"/>
            <w:tcBorders>
              <w:top w:val="single" w:sz="4" w:space="0" w:color="000000"/>
              <w:left w:val="single" w:sz="4" w:space="0" w:color="000000"/>
              <w:bottom w:val="single" w:sz="4" w:space="0" w:color="000000"/>
              <w:right w:val="single" w:sz="4" w:space="0" w:color="000000"/>
            </w:tcBorders>
            <w:vAlign w:val="center"/>
          </w:tcPr>
          <w:p w14:paraId="3CEBBCC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AB5EBEB"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028771A"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5B6E0D64" w14:textId="77777777" w:rsidR="00CE4763" w:rsidRPr="00CE4763" w:rsidRDefault="00CE4763" w:rsidP="00CE4763">
            <w:pPr>
              <w:spacing w:after="0" w:line="240" w:lineRule="auto"/>
              <w:ind w:left="0" w:right="0" w:firstLine="0"/>
              <w:jc w:val="center"/>
              <w:rPr>
                <w:rFonts w:ascii="Times New Roman" w:hAnsi="Times New Roman" w:cs="Times New Roman"/>
              </w:rPr>
            </w:pPr>
          </w:p>
        </w:tc>
      </w:tr>
    </w:tbl>
    <w:p w14:paraId="52962F0D"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6697DE83" w14:textId="77777777" w:rsidR="00CE4763" w:rsidRPr="00CE4763" w:rsidRDefault="00CE4763" w:rsidP="00CE4763">
      <w:pPr>
        <w:spacing w:after="0" w:line="240" w:lineRule="auto"/>
        <w:ind w:left="0" w:right="0" w:firstLine="709"/>
        <w:rPr>
          <w:rFonts w:ascii="Times New Roman" w:hAnsi="Times New Roman" w:cs="Times New Roman"/>
          <w:sz w:val="24"/>
          <w:u w:val="single"/>
        </w:rPr>
      </w:pPr>
      <w:r w:rsidRPr="00CE4763">
        <w:rPr>
          <w:rFonts w:ascii="Times New Roman" w:hAnsi="Times New Roman" w:cs="Times New Roman"/>
          <w:sz w:val="24"/>
          <w:u w:val="single"/>
        </w:rPr>
        <w:t>Zaključak</w:t>
      </w:r>
    </w:p>
    <w:p w14:paraId="6B402ACB"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Postojeće snage civilne zaštite u navedenom slučaju (najgori slučaj) bile bi dovoljne u provođenju mjera civilne zaštite.</w:t>
      </w:r>
    </w:p>
    <w:p w14:paraId="17B69A78" w14:textId="33892365" w:rsidR="00CE4763" w:rsidRDefault="00CE4763" w:rsidP="00CE4763">
      <w:pPr>
        <w:spacing w:after="0" w:line="240" w:lineRule="auto"/>
        <w:ind w:left="0" w:right="0" w:firstLine="709"/>
        <w:rPr>
          <w:rFonts w:ascii="Times New Roman" w:hAnsi="Times New Roman" w:cs="Times New Roman"/>
          <w:sz w:val="24"/>
        </w:rPr>
      </w:pPr>
    </w:p>
    <w:p w14:paraId="2F1FB960" w14:textId="6F176FFD" w:rsidR="00385A37" w:rsidRDefault="00385A37" w:rsidP="00CE4763">
      <w:pPr>
        <w:spacing w:after="0" w:line="240" w:lineRule="auto"/>
        <w:ind w:left="0" w:right="0" w:firstLine="709"/>
        <w:rPr>
          <w:rFonts w:ascii="Times New Roman" w:hAnsi="Times New Roman" w:cs="Times New Roman"/>
          <w:sz w:val="24"/>
        </w:rPr>
      </w:pPr>
    </w:p>
    <w:p w14:paraId="71302E20" w14:textId="77777777" w:rsidR="00385A37" w:rsidRPr="00CE4763" w:rsidRDefault="00385A37" w:rsidP="00CE4763">
      <w:pPr>
        <w:spacing w:after="0" w:line="240" w:lineRule="auto"/>
        <w:ind w:left="0" w:right="0" w:firstLine="709"/>
        <w:rPr>
          <w:rFonts w:ascii="Times New Roman" w:hAnsi="Times New Roman" w:cs="Times New Roman"/>
          <w:sz w:val="24"/>
        </w:rPr>
      </w:pPr>
    </w:p>
    <w:p w14:paraId="5350B6A6" w14:textId="77777777" w:rsidR="00CE4763" w:rsidRPr="00CE4763" w:rsidRDefault="00CE4763" w:rsidP="00CE4763">
      <w:pPr>
        <w:spacing w:after="0" w:line="240" w:lineRule="auto"/>
        <w:ind w:left="0" w:right="0" w:firstLine="709"/>
        <w:rPr>
          <w:rFonts w:ascii="Times New Roman" w:hAnsi="Times New Roman" w:cs="Times New Roman"/>
          <w:sz w:val="24"/>
        </w:rPr>
      </w:pPr>
    </w:p>
    <w:p w14:paraId="5A7BDBF7" w14:textId="77777777" w:rsidR="00CE4763" w:rsidRPr="00CE4763" w:rsidRDefault="00CE4763" w:rsidP="00CE4763">
      <w:pPr>
        <w:spacing w:after="0" w:line="240" w:lineRule="auto"/>
        <w:ind w:right="0"/>
        <w:rPr>
          <w:rFonts w:ascii="Times New Roman" w:hAnsi="Times New Roman" w:cs="Times New Roman"/>
          <w:b/>
          <w:sz w:val="24"/>
        </w:rPr>
      </w:pPr>
      <w:bookmarkStart w:id="149" w:name="_Toc2938652"/>
      <w:r w:rsidRPr="00CE4763">
        <w:rPr>
          <w:rFonts w:ascii="Times New Roman" w:hAnsi="Times New Roman" w:cs="Times New Roman"/>
          <w:b/>
          <w:sz w:val="24"/>
        </w:rPr>
        <w:lastRenderedPageBreak/>
        <w:t>8.3. ANALIZA SUSTAVA CIVILNE ZAŠTITE - SUSTAV CIVILNE ZAŠTITE - ZBIRNO</w:t>
      </w:r>
      <w:bookmarkEnd w:id="149"/>
    </w:p>
    <w:p w14:paraId="5CB26E84" w14:textId="77777777" w:rsidR="00CE4763" w:rsidRPr="00CE4763" w:rsidRDefault="00CE4763" w:rsidP="00CE4763">
      <w:pPr>
        <w:spacing w:after="0" w:line="240" w:lineRule="auto"/>
        <w:ind w:left="0" w:right="0" w:firstLine="0"/>
        <w:rPr>
          <w:rFonts w:ascii="Times New Roman" w:hAnsi="Times New Roman" w:cs="Times New Roman"/>
          <w:sz w:val="24"/>
        </w:rPr>
      </w:pPr>
    </w:p>
    <w:p w14:paraId="4446AB59" w14:textId="25331E27" w:rsidR="00CE4763" w:rsidRPr="00427F7D" w:rsidRDefault="00CE4763" w:rsidP="00CE4763">
      <w:pPr>
        <w:spacing w:after="0" w:line="240" w:lineRule="auto"/>
        <w:ind w:left="0" w:right="0" w:firstLine="709"/>
        <w:rPr>
          <w:rFonts w:ascii="Times New Roman" w:hAnsi="Times New Roman" w:cs="Times New Roman"/>
          <w:color w:val="auto"/>
          <w:sz w:val="24"/>
        </w:rPr>
      </w:pPr>
      <w:r w:rsidRPr="00427F7D">
        <w:rPr>
          <w:rFonts w:ascii="Times New Roman" w:hAnsi="Times New Roman" w:cs="Times New Roman"/>
          <w:color w:val="auto"/>
          <w:sz w:val="24"/>
        </w:rPr>
        <w:t xml:space="preserve">U Tablici </w:t>
      </w:r>
      <w:r w:rsidR="00427F7D" w:rsidRPr="00427F7D">
        <w:rPr>
          <w:rFonts w:ascii="Times New Roman" w:hAnsi="Times New Roman" w:cs="Times New Roman"/>
          <w:color w:val="auto"/>
          <w:sz w:val="24"/>
        </w:rPr>
        <w:t>154</w:t>
      </w:r>
      <w:r w:rsidRPr="00427F7D">
        <w:rPr>
          <w:rFonts w:ascii="Times New Roman" w:hAnsi="Times New Roman" w:cs="Times New Roman"/>
          <w:color w:val="auto"/>
          <w:sz w:val="24"/>
        </w:rPr>
        <w:t>. prikazana je zbirna analiza sustava civilne zaštite.</w:t>
      </w:r>
    </w:p>
    <w:p w14:paraId="662856A9" w14:textId="77777777" w:rsidR="00CE4763" w:rsidRPr="00427F7D" w:rsidRDefault="00CE4763" w:rsidP="00CE4763">
      <w:pPr>
        <w:spacing w:after="0" w:line="240" w:lineRule="auto"/>
        <w:ind w:left="0" w:right="0" w:firstLine="0"/>
        <w:jc w:val="left"/>
        <w:rPr>
          <w:rFonts w:ascii="Times New Roman" w:hAnsi="Times New Roman" w:cs="Times New Roman"/>
          <w:color w:val="auto"/>
          <w:sz w:val="24"/>
        </w:rPr>
      </w:pPr>
    </w:p>
    <w:p w14:paraId="34918FBA" w14:textId="1E5D0C90" w:rsidR="00CE4763" w:rsidRPr="00427F7D" w:rsidRDefault="00CE4763" w:rsidP="00327BAD">
      <w:pPr>
        <w:spacing w:line="240" w:lineRule="auto"/>
        <w:ind w:left="0" w:right="0" w:firstLine="0"/>
        <w:jc w:val="center"/>
        <w:rPr>
          <w:rFonts w:ascii="Times New Roman" w:hAnsi="Times New Roman" w:cs="Times New Roman"/>
          <w:b/>
          <w:color w:val="auto"/>
          <w:sz w:val="24"/>
        </w:rPr>
      </w:pPr>
      <w:bookmarkStart w:id="150" w:name="_Toc2938653"/>
      <w:r w:rsidRPr="00427F7D">
        <w:rPr>
          <w:rFonts w:ascii="Times New Roman" w:hAnsi="Times New Roman" w:cs="Times New Roman"/>
          <w:b/>
          <w:color w:val="auto"/>
          <w:sz w:val="24"/>
        </w:rPr>
        <w:t xml:space="preserve">Tablica </w:t>
      </w:r>
      <w:r w:rsidR="00427F7D" w:rsidRPr="00427F7D">
        <w:rPr>
          <w:rFonts w:ascii="Times New Roman" w:hAnsi="Times New Roman" w:cs="Times New Roman"/>
          <w:b/>
          <w:color w:val="auto"/>
          <w:sz w:val="24"/>
        </w:rPr>
        <w:t>154</w:t>
      </w:r>
      <w:r w:rsidRPr="00427F7D">
        <w:rPr>
          <w:rFonts w:ascii="Times New Roman" w:hAnsi="Times New Roman" w:cs="Times New Roman"/>
          <w:b/>
          <w:color w:val="auto"/>
          <w:sz w:val="24"/>
        </w:rPr>
        <w:t>. Analiza sustava civilne zaštite - sustav civilne zaštite - zbirno</w:t>
      </w:r>
      <w:bookmarkEnd w:id="150"/>
    </w:p>
    <w:tbl>
      <w:tblPr>
        <w:tblStyle w:val="TableGrid"/>
        <w:tblW w:w="9072" w:type="dxa"/>
        <w:tblInd w:w="0" w:type="dxa"/>
        <w:tblLayout w:type="fixed"/>
        <w:tblCellMar>
          <w:left w:w="57" w:type="dxa"/>
          <w:right w:w="57" w:type="dxa"/>
        </w:tblCellMar>
        <w:tblLook w:val="04A0" w:firstRow="1" w:lastRow="0" w:firstColumn="1" w:lastColumn="0" w:noHBand="0" w:noVBand="1"/>
      </w:tblPr>
      <w:tblGrid>
        <w:gridCol w:w="3400"/>
        <w:gridCol w:w="1418"/>
        <w:gridCol w:w="1418"/>
        <w:gridCol w:w="1418"/>
        <w:gridCol w:w="1418"/>
      </w:tblGrid>
      <w:tr w:rsidR="00CE4763" w:rsidRPr="00CE4763" w14:paraId="005A2CFA" w14:textId="77777777" w:rsidTr="00327BAD">
        <w:trPr>
          <w:cantSplit/>
          <w:tblHeader/>
        </w:trPr>
        <w:tc>
          <w:tcPr>
            <w:tcW w:w="3400" w:type="dxa"/>
            <w:vMerge w:val="restart"/>
            <w:tcBorders>
              <w:top w:val="single" w:sz="4" w:space="0" w:color="000000"/>
              <w:left w:val="single" w:sz="4" w:space="0" w:color="000000"/>
              <w:bottom w:val="single" w:sz="4" w:space="0" w:color="000000"/>
              <w:right w:val="single" w:sz="4" w:space="0" w:color="000000"/>
            </w:tcBorders>
            <w:vAlign w:val="center"/>
          </w:tcPr>
          <w:p w14:paraId="6DE47BBC"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PODRUČJE REAGIRANJA</w:t>
            </w: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716BC684"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Vrlo 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EABB375"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Niska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C1072EF"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Visoka spremnost</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0E161617"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Vrlo visoka spremnost</w:t>
            </w:r>
          </w:p>
        </w:tc>
      </w:tr>
      <w:tr w:rsidR="00CE4763" w:rsidRPr="00CE4763" w14:paraId="6C8651D2" w14:textId="77777777" w:rsidTr="00327BAD">
        <w:trPr>
          <w:cantSplit/>
          <w:tblHeader/>
        </w:trPr>
        <w:tc>
          <w:tcPr>
            <w:tcW w:w="3400" w:type="dxa"/>
            <w:vMerge/>
            <w:tcBorders>
              <w:top w:val="nil"/>
              <w:left w:val="single" w:sz="4" w:space="0" w:color="000000"/>
              <w:bottom w:val="single" w:sz="4" w:space="0" w:color="000000"/>
              <w:right w:val="single" w:sz="4" w:space="0" w:color="000000"/>
            </w:tcBorders>
            <w:vAlign w:val="center"/>
          </w:tcPr>
          <w:p w14:paraId="1E7C2446" w14:textId="77777777" w:rsidR="00CE4763" w:rsidRPr="00CE4763" w:rsidRDefault="00CE4763" w:rsidP="00CE4763">
            <w:pPr>
              <w:spacing w:after="0" w:line="240" w:lineRule="auto"/>
              <w:ind w:left="0" w:right="0" w:firstLine="0"/>
              <w:jc w:val="left"/>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1B8866C7"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ADB9DE2"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3644CCC8"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0870DACB" w14:textId="77777777" w:rsidR="00CE4763" w:rsidRPr="00CE4763" w:rsidRDefault="00CE4763" w:rsidP="00CE4763">
            <w:pPr>
              <w:spacing w:after="0" w:line="240" w:lineRule="auto"/>
              <w:ind w:left="0" w:right="0" w:firstLine="0"/>
              <w:jc w:val="center"/>
              <w:rPr>
                <w:rFonts w:ascii="Times New Roman" w:hAnsi="Times New Roman" w:cs="Times New Roman"/>
                <w:color w:val="FFFFFF"/>
              </w:rPr>
            </w:pPr>
            <w:r w:rsidRPr="00CE4763">
              <w:rPr>
                <w:rFonts w:ascii="Times New Roman" w:hAnsi="Times New Roman" w:cs="Times New Roman"/>
                <w:b/>
                <w:color w:val="FFFFFF"/>
              </w:rPr>
              <w:t>1</w:t>
            </w:r>
          </w:p>
        </w:tc>
      </w:tr>
      <w:tr w:rsidR="00CE4763" w:rsidRPr="00CE4763" w14:paraId="6EC04710" w14:textId="77777777" w:rsidTr="00327BAD">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77FDC857"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Područje preventive - ZBIRNO</w:t>
            </w:r>
          </w:p>
        </w:tc>
        <w:tc>
          <w:tcPr>
            <w:tcW w:w="1418" w:type="dxa"/>
            <w:tcBorders>
              <w:top w:val="single" w:sz="4" w:space="0" w:color="000000"/>
              <w:left w:val="single" w:sz="4" w:space="0" w:color="000000"/>
              <w:bottom w:val="single" w:sz="4" w:space="0" w:color="000000"/>
              <w:right w:val="single" w:sz="4" w:space="0" w:color="000000"/>
            </w:tcBorders>
            <w:vAlign w:val="center"/>
          </w:tcPr>
          <w:p w14:paraId="5DFBB6E7"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CA49B28"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1E0FBD6"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5F2A2452"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6722E6C9" w14:textId="77777777" w:rsidTr="00327BAD">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61731284"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Područje reagiranja - ZBIRNO</w:t>
            </w:r>
          </w:p>
        </w:tc>
        <w:tc>
          <w:tcPr>
            <w:tcW w:w="1418" w:type="dxa"/>
            <w:tcBorders>
              <w:top w:val="single" w:sz="4" w:space="0" w:color="000000"/>
              <w:left w:val="single" w:sz="4" w:space="0" w:color="000000"/>
              <w:bottom w:val="single" w:sz="4" w:space="0" w:color="000000"/>
              <w:right w:val="single" w:sz="4" w:space="0" w:color="000000"/>
            </w:tcBorders>
            <w:vAlign w:val="center"/>
          </w:tcPr>
          <w:p w14:paraId="169A4CC3"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87FA384"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3B0CE28"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00E187C9" w14:textId="77777777" w:rsidR="00CE4763" w:rsidRPr="00CE4763" w:rsidRDefault="00CE4763" w:rsidP="00CE4763">
            <w:pPr>
              <w:spacing w:after="0" w:line="240" w:lineRule="auto"/>
              <w:ind w:left="0" w:right="0" w:firstLine="0"/>
              <w:jc w:val="center"/>
              <w:rPr>
                <w:rFonts w:ascii="Times New Roman" w:hAnsi="Times New Roman" w:cs="Times New Roman"/>
              </w:rPr>
            </w:pPr>
          </w:p>
        </w:tc>
      </w:tr>
      <w:tr w:rsidR="00CE4763" w:rsidRPr="00CE4763" w14:paraId="6D5AA441" w14:textId="77777777" w:rsidTr="00327BAD">
        <w:trPr>
          <w:cantSplit/>
        </w:trPr>
        <w:tc>
          <w:tcPr>
            <w:tcW w:w="3400" w:type="dxa"/>
            <w:tcBorders>
              <w:top w:val="single" w:sz="4" w:space="0" w:color="000000"/>
              <w:left w:val="single" w:sz="4" w:space="0" w:color="000000"/>
              <w:bottom w:val="single" w:sz="4" w:space="0" w:color="000000"/>
              <w:right w:val="single" w:sz="4" w:space="0" w:color="000000"/>
            </w:tcBorders>
            <w:vAlign w:val="center"/>
          </w:tcPr>
          <w:p w14:paraId="40FC92C6"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b/>
              </w:rPr>
              <w:t>Sustav civilne zaštite - ZBIRNO</w:t>
            </w:r>
          </w:p>
        </w:tc>
        <w:tc>
          <w:tcPr>
            <w:tcW w:w="1418" w:type="dxa"/>
            <w:tcBorders>
              <w:top w:val="single" w:sz="4" w:space="0" w:color="000000"/>
              <w:left w:val="single" w:sz="4" w:space="0" w:color="000000"/>
              <w:bottom w:val="single" w:sz="4" w:space="0" w:color="000000"/>
              <w:right w:val="single" w:sz="4" w:space="0" w:color="000000"/>
            </w:tcBorders>
            <w:vAlign w:val="center"/>
          </w:tcPr>
          <w:p w14:paraId="34978E7F"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35426C70" w14:textId="77777777" w:rsidR="00CE4763" w:rsidRPr="00CE4763" w:rsidRDefault="00CE4763" w:rsidP="00CE4763">
            <w:pPr>
              <w:spacing w:after="0" w:line="240" w:lineRule="auto"/>
              <w:ind w:left="0" w:right="0" w:firstLine="0"/>
              <w:jc w:val="center"/>
              <w:rPr>
                <w:rFonts w:ascii="Times New Roman" w:hAnsi="Times New Roman" w:cs="Times New Roman"/>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5046D768"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x</w:t>
            </w:r>
          </w:p>
        </w:tc>
        <w:tc>
          <w:tcPr>
            <w:tcW w:w="1418" w:type="dxa"/>
            <w:tcBorders>
              <w:top w:val="single" w:sz="4" w:space="0" w:color="000000"/>
              <w:left w:val="single" w:sz="4" w:space="0" w:color="000000"/>
              <w:bottom w:val="single" w:sz="4" w:space="0" w:color="000000"/>
              <w:right w:val="single" w:sz="4" w:space="0" w:color="000000"/>
            </w:tcBorders>
            <w:vAlign w:val="center"/>
          </w:tcPr>
          <w:p w14:paraId="48C29F00" w14:textId="77777777" w:rsidR="00CE4763" w:rsidRPr="00CE4763" w:rsidRDefault="00CE4763" w:rsidP="00CE4763">
            <w:pPr>
              <w:spacing w:after="0" w:line="240" w:lineRule="auto"/>
              <w:ind w:left="0" w:right="0" w:firstLine="0"/>
              <w:jc w:val="center"/>
              <w:rPr>
                <w:rFonts w:ascii="Times New Roman" w:hAnsi="Times New Roman" w:cs="Times New Roman"/>
              </w:rPr>
            </w:pPr>
          </w:p>
        </w:tc>
      </w:tr>
    </w:tbl>
    <w:p w14:paraId="495C48F9" w14:textId="52DD7CC5" w:rsidR="00CE4763" w:rsidRDefault="00CE4763" w:rsidP="00CE4763">
      <w:pPr>
        <w:spacing w:after="0" w:line="240" w:lineRule="auto"/>
        <w:ind w:left="0" w:right="0" w:firstLine="0"/>
        <w:jc w:val="left"/>
        <w:rPr>
          <w:rFonts w:ascii="Times New Roman" w:hAnsi="Times New Roman" w:cs="Times New Roman"/>
          <w:sz w:val="24"/>
        </w:rPr>
      </w:pPr>
    </w:p>
    <w:p w14:paraId="160869C3" w14:textId="77777777" w:rsidR="003E2F12" w:rsidRPr="00CE4763" w:rsidRDefault="003E2F12" w:rsidP="00CE4763">
      <w:pPr>
        <w:spacing w:after="0" w:line="240" w:lineRule="auto"/>
        <w:ind w:left="0" w:right="0" w:firstLine="0"/>
        <w:jc w:val="left"/>
        <w:rPr>
          <w:rFonts w:ascii="Times New Roman" w:hAnsi="Times New Roman" w:cs="Times New Roman"/>
          <w:sz w:val="24"/>
        </w:rPr>
      </w:pPr>
    </w:p>
    <w:p w14:paraId="74685FEE" w14:textId="77777777" w:rsidR="00CE4763" w:rsidRPr="00CE4763" w:rsidRDefault="00CE4763" w:rsidP="00CE4763">
      <w:pPr>
        <w:spacing w:after="0" w:line="240" w:lineRule="auto"/>
        <w:ind w:left="0" w:right="0" w:firstLine="709"/>
        <w:rPr>
          <w:rFonts w:ascii="Times New Roman" w:hAnsi="Times New Roman" w:cs="Times New Roman"/>
          <w:sz w:val="24"/>
          <w:u w:val="single"/>
        </w:rPr>
      </w:pPr>
      <w:r w:rsidRPr="00CE4763">
        <w:rPr>
          <w:rFonts w:ascii="Times New Roman" w:hAnsi="Times New Roman" w:cs="Times New Roman"/>
          <w:sz w:val="24"/>
          <w:u w:val="single"/>
        </w:rPr>
        <w:t>Zaključak</w:t>
      </w:r>
    </w:p>
    <w:p w14:paraId="633527BE"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Sukladno Procjeni rizika i analizi stanja spremnosti sustava civilne zaštite, utvrđena je visoka spremnost i dostatnost kapaciteta operativnih snaga sustava civilne zaštite na području Grada Zagreba koje u slučaju velike nesreće i katastrofe mogu u dovoljnoj mjeri samostalno i učinkovito reagirati na otklanjanju posljedica velikih nesreća osim u slučaju potresa jačine IXº</w:t>
      </w:r>
      <w:r w:rsidRPr="00CE4763">
        <w:rPr>
          <w:rFonts w:ascii="Times New Roman" w:hAnsi="Times New Roman" w:cs="Times New Roman"/>
          <w:sz w:val="24"/>
          <w:vertAlign w:val="superscript"/>
        </w:rPr>
        <w:t xml:space="preserve"> </w:t>
      </w:r>
      <w:r w:rsidRPr="00CE4763">
        <w:rPr>
          <w:rFonts w:ascii="Times New Roman" w:hAnsi="Times New Roman" w:cs="Times New Roman"/>
          <w:sz w:val="24"/>
        </w:rPr>
        <w:t>MCS ljestvice kada će biti potrebno potražiti pomoć ostalih županija i gradova i zatražiti međunarodnu pomoć.</w:t>
      </w:r>
    </w:p>
    <w:p w14:paraId="0A478FF0" w14:textId="77777777" w:rsidR="003E2F12" w:rsidRDefault="003E2F12" w:rsidP="00CE4763">
      <w:pPr>
        <w:spacing w:after="160" w:line="259" w:lineRule="auto"/>
        <w:ind w:left="0" w:right="0" w:firstLine="0"/>
        <w:jc w:val="left"/>
        <w:rPr>
          <w:rFonts w:ascii="Times New Roman" w:hAnsi="Times New Roman" w:cs="Times New Roman"/>
          <w:b/>
          <w:sz w:val="28"/>
        </w:rPr>
      </w:pPr>
      <w:bookmarkStart w:id="151" w:name="_Toc2938654"/>
    </w:p>
    <w:p w14:paraId="59673BFD" w14:textId="5BCE094C" w:rsidR="00CE4763" w:rsidRPr="00CE4763" w:rsidRDefault="00CE4763" w:rsidP="00CE4763">
      <w:pPr>
        <w:spacing w:after="160" w:line="259" w:lineRule="auto"/>
        <w:ind w:left="0" w:right="0" w:firstLine="0"/>
        <w:jc w:val="left"/>
        <w:rPr>
          <w:rFonts w:ascii="Times New Roman" w:hAnsi="Times New Roman" w:cs="Times New Roman"/>
          <w:b/>
          <w:sz w:val="28"/>
        </w:rPr>
      </w:pPr>
      <w:r w:rsidRPr="00CE4763">
        <w:rPr>
          <w:rFonts w:ascii="Times New Roman" w:hAnsi="Times New Roman" w:cs="Times New Roman"/>
          <w:b/>
          <w:sz w:val="28"/>
        </w:rPr>
        <w:t>9. Vrednovanje rizika</w:t>
      </w:r>
      <w:bookmarkEnd w:id="151"/>
    </w:p>
    <w:p w14:paraId="68752FE6"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1F1D6DC8" w14:textId="2D6D570C" w:rsidR="00CE4763" w:rsidRDefault="00CE4763" w:rsidP="00A26A19">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Vrednovanje rizika je proces uspoređivanja rezultata analize rizika s kriterijima i provodi se uz primjenu ALARP načela (As Low As Reasonably Practicable). Rizici se svrstavaju u tri razreda: a/ prihvatljivi, b/ tolerirani i c/ neprihvatljivi. Svrha vrednovanja rizika je određivanje važnosti pojedinog rizika, tj. odlučivanje hoće li se određeni rizik prihvatiti ili će se poduzimati mjere radi njegova smanjenja.</w:t>
      </w:r>
      <w:bookmarkStart w:id="152" w:name="_Toc2938655"/>
    </w:p>
    <w:p w14:paraId="56B11FAB" w14:textId="77777777" w:rsidR="00A26A19" w:rsidRPr="00A26A19" w:rsidRDefault="00A26A19" w:rsidP="00A26A19">
      <w:pPr>
        <w:spacing w:after="0" w:line="240" w:lineRule="auto"/>
        <w:ind w:left="0" w:right="0" w:firstLine="709"/>
        <w:rPr>
          <w:rFonts w:ascii="Times New Roman" w:hAnsi="Times New Roman" w:cs="Times New Roman"/>
          <w:sz w:val="24"/>
        </w:rPr>
      </w:pPr>
    </w:p>
    <w:p w14:paraId="470951B8" w14:textId="47008A47" w:rsidR="00CE4763" w:rsidRPr="0013016D" w:rsidRDefault="0013016D" w:rsidP="00CE4763">
      <w:pPr>
        <w:spacing w:after="0" w:line="240" w:lineRule="auto"/>
        <w:ind w:left="0" w:right="0" w:firstLine="0"/>
        <w:jc w:val="center"/>
        <w:rPr>
          <w:rFonts w:ascii="Times New Roman" w:hAnsi="Times New Roman" w:cs="Times New Roman"/>
          <w:b/>
          <w:color w:val="auto"/>
          <w:sz w:val="24"/>
        </w:rPr>
      </w:pPr>
      <w:r w:rsidRPr="0013016D">
        <w:rPr>
          <w:rFonts w:ascii="Times New Roman" w:hAnsi="Times New Roman" w:cs="Times New Roman"/>
          <w:b/>
          <w:color w:val="auto"/>
          <w:sz w:val="24"/>
        </w:rPr>
        <w:t>Slika 36</w:t>
      </w:r>
      <w:r w:rsidR="00CE4763" w:rsidRPr="0013016D">
        <w:rPr>
          <w:rFonts w:ascii="Times New Roman" w:hAnsi="Times New Roman" w:cs="Times New Roman"/>
          <w:b/>
          <w:color w:val="auto"/>
          <w:sz w:val="24"/>
        </w:rPr>
        <w:t>. Vrednovanje rizika - ALARP načela</w:t>
      </w:r>
      <w:bookmarkEnd w:id="152"/>
    </w:p>
    <w:p w14:paraId="4B90E54C" w14:textId="77777777" w:rsidR="00CE4763" w:rsidRPr="00CE4763" w:rsidRDefault="00CE4763" w:rsidP="00CE4763">
      <w:pPr>
        <w:spacing w:after="0" w:line="240" w:lineRule="auto"/>
        <w:ind w:left="0" w:right="0" w:firstLine="0"/>
        <w:jc w:val="center"/>
        <w:rPr>
          <w:rFonts w:ascii="Times New Roman" w:hAnsi="Times New Roman" w:cs="Times New Roman"/>
          <w:sz w:val="24"/>
        </w:rPr>
      </w:pPr>
      <w:r w:rsidRPr="00CE4763">
        <w:rPr>
          <w:rFonts w:ascii="Times New Roman" w:hAnsi="Times New Roman" w:cs="Times New Roman"/>
          <w:noProof/>
          <w:sz w:val="24"/>
        </w:rPr>
        <w:drawing>
          <wp:inline distT="0" distB="0" distL="0" distR="0" wp14:anchorId="0BB9E8BF" wp14:editId="1E935740">
            <wp:extent cx="5245734" cy="2933700"/>
            <wp:effectExtent l="0" t="0" r="0" b="0"/>
            <wp:docPr id="72939" name="Picture 72939"/>
            <wp:cNvGraphicFramePr/>
            <a:graphic xmlns:a="http://schemas.openxmlformats.org/drawingml/2006/main">
              <a:graphicData uri="http://schemas.openxmlformats.org/drawingml/2006/picture">
                <pic:pic xmlns:pic="http://schemas.openxmlformats.org/drawingml/2006/picture">
                  <pic:nvPicPr>
                    <pic:cNvPr id="72939" name="Picture 72939"/>
                    <pic:cNvPicPr/>
                  </pic:nvPicPr>
                  <pic:blipFill>
                    <a:blip r:embed="rId182">
                      <a:extLst>
                        <a:ext uri="{28A0092B-C50C-407E-A947-70E740481C1C}">
                          <a14:useLocalDpi xmlns:a14="http://schemas.microsoft.com/office/drawing/2010/main" val="0"/>
                        </a:ext>
                      </a:extLst>
                    </a:blip>
                    <a:stretch>
                      <a:fillRect/>
                    </a:stretch>
                  </pic:blipFill>
                  <pic:spPr>
                    <a:xfrm>
                      <a:off x="0" y="0"/>
                      <a:ext cx="5261814" cy="2942693"/>
                    </a:xfrm>
                    <a:prstGeom prst="rect">
                      <a:avLst/>
                    </a:prstGeom>
                  </pic:spPr>
                </pic:pic>
              </a:graphicData>
            </a:graphic>
          </wp:inline>
        </w:drawing>
      </w:r>
    </w:p>
    <w:p w14:paraId="3478C754" w14:textId="15870041" w:rsidR="00CE4763" w:rsidRPr="00385A37" w:rsidRDefault="00CE4763" w:rsidP="00385A37">
      <w:pPr>
        <w:spacing w:after="0" w:line="240" w:lineRule="auto"/>
        <w:ind w:left="0" w:right="0" w:firstLine="0"/>
        <w:jc w:val="center"/>
        <w:rPr>
          <w:rFonts w:ascii="Times New Roman" w:hAnsi="Times New Roman" w:cs="Times New Roman"/>
          <w:i/>
          <w:sz w:val="20"/>
          <w:szCs w:val="20"/>
        </w:rPr>
      </w:pPr>
      <w:r w:rsidRPr="00CE4763">
        <w:rPr>
          <w:rFonts w:ascii="Times New Roman" w:hAnsi="Times New Roman" w:cs="Times New Roman"/>
          <w:i/>
          <w:sz w:val="20"/>
          <w:szCs w:val="20"/>
        </w:rPr>
        <w:t>Izvor: Smjernice za izradu Procjene rizika od velikih nesreća za područje Grada Zagreba</w:t>
      </w:r>
    </w:p>
    <w:p w14:paraId="1883C373"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lastRenderedPageBreak/>
        <w:t>Vrednovanje rizika posljednji je od koraka u procesu procjene rizika te je osnova za odabir mjera obrade rizika odnosno vodi prema izradi javnih politika za smanjenje rizika od velikih nesreća.</w:t>
      </w:r>
    </w:p>
    <w:p w14:paraId="11EDD5C4"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Tri su razreda svrstavanja rizika:</w:t>
      </w:r>
    </w:p>
    <w:p w14:paraId="6C2E8283"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1.</w:t>
      </w:r>
      <w:r w:rsidRPr="00CE4763">
        <w:rPr>
          <w:rFonts w:ascii="Times New Roman" w:hAnsi="Times New Roman" w:cs="Times New Roman"/>
          <w:sz w:val="24"/>
          <w:u w:color="000000"/>
        </w:rPr>
        <w:tab/>
      </w:r>
      <w:r w:rsidRPr="00CE4763">
        <w:rPr>
          <w:rFonts w:ascii="Times New Roman" w:hAnsi="Times New Roman" w:cs="Times New Roman"/>
          <w:b/>
          <w:sz w:val="24"/>
        </w:rPr>
        <w:t>Prihvatljivi</w:t>
      </w:r>
      <w:r w:rsidRPr="00CE4763">
        <w:rPr>
          <w:rFonts w:ascii="Times New Roman" w:hAnsi="Times New Roman" w:cs="Times New Roman"/>
          <w:sz w:val="24"/>
        </w:rPr>
        <w:t>: Prihvatljivi su svi niski, za koje uz uobičajene nije potrebno planirati poduzimanje dodatnih mjera.</w:t>
      </w:r>
    </w:p>
    <w:p w14:paraId="4F51D247"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u w:color="000000"/>
        </w:rPr>
        <w:t>2.</w:t>
      </w:r>
      <w:r w:rsidRPr="00CE4763">
        <w:rPr>
          <w:rFonts w:ascii="Times New Roman" w:hAnsi="Times New Roman" w:cs="Times New Roman"/>
          <w:sz w:val="24"/>
          <w:u w:color="000000"/>
        </w:rPr>
        <w:tab/>
      </w:r>
      <w:r w:rsidRPr="00CE4763">
        <w:rPr>
          <w:rFonts w:ascii="Times New Roman" w:hAnsi="Times New Roman" w:cs="Times New Roman"/>
          <w:b/>
          <w:sz w:val="24"/>
        </w:rPr>
        <w:t>Tolerirani</w:t>
      </w:r>
      <w:r w:rsidRPr="00CE4763">
        <w:rPr>
          <w:rFonts w:ascii="Times New Roman" w:hAnsi="Times New Roman" w:cs="Times New Roman"/>
          <w:sz w:val="24"/>
        </w:rPr>
        <w:t>: Tolerirani rizici su svi:</w:t>
      </w:r>
    </w:p>
    <w:p w14:paraId="10FCBCD8" w14:textId="77777777" w:rsidR="00CE4763" w:rsidRPr="00CE4763" w:rsidRDefault="00CE4763" w:rsidP="00CE4763">
      <w:pPr>
        <w:spacing w:after="0" w:line="240" w:lineRule="auto"/>
        <w:ind w:left="1418" w:right="0" w:hanging="340"/>
        <w:rPr>
          <w:rFonts w:ascii="Times New Roman" w:hAnsi="Times New Roman" w:cs="Times New Roman"/>
          <w:sz w:val="24"/>
        </w:rPr>
      </w:pPr>
      <w:r w:rsidRPr="00CE4763">
        <w:rPr>
          <w:rFonts w:ascii="Times New Roman" w:hAnsi="Times New Roman" w:cs="Times New Roman"/>
          <w:sz w:val="24"/>
          <w:u w:color="000000"/>
        </w:rPr>
        <w:t>a)</w:t>
      </w:r>
      <w:r w:rsidRPr="00CE4763">
        <w:rPr>
          <w:rFonts w:ascii="Times New Roman" w:hAnsi="Times New Roman" w:cs="Times New Roman"/>
          <w:sz w:val="24"/>
          <w:u w:color="000000"/>
        </w:rPr>
        <w:tab/>
      </w:r>
      <w:r w:rsidRPr="00CE4763">
        <w:rPr>
          <w:rFonts w:ascii="Times New Roman" w:hAnsi="Times New Roman" w:cs="Times New Roman"/>
          <w:sz w:val="24"/>
        </w:rPr>
        <w:t>Umjereni koji se mogu prihvatiti iz razloga što troškovi smanjenja rizika premašuju korist/dobit,</w:t>
      </w:r>
    </w:p>
    <w:p w14:paraId="4AE57625" w14:textId="77777777" w:rsidR="00CE4763" w:rsidRPr="00CE4763" w:rsidRDefault="00CE4763" w:rsidP="00CE4763">
      <w:pPr>
        <w:spacing w:after="0" w:line="240" w:lineRule="auto"/>
        <w:ind w:left="1418" w:right="0" w:hanging="340"/>
        <w:rPr>
          <w:rFonts w:ascii="Times New Roman" w:hAnsi="Times New Roman" w:cs="Times New Roman"/>
          <w:sz w:val="24"/>
        </w:rPr>
      </w:pPr>
      <w:r w:rsidRPr="00CE4763">
        <w:rPr>
          <w:rFonts w:ascii="Times New Roman" w:hAnsi="Times New Roman" w:cs="Times New Roman"/>
          <w:sz w:val="24"/>
          <w:u w:color="000000"/>
        </w:rPr>
        <w:t>b)</w:t>
      </w:r>
      <w:r w:rsidRPr="00CE4763">
        <w:rPr>
          <w:rFonts w:ascii="Times New Roman" w:hAnsi="Times New Roman" w:cs="Times New Roman"/>
          <w:sz w:val="24"/>
          <w:u w:color="000000"/>
        </w:rPr>
        <w:tab/>
      </w:r>
      <w:r w:rsidRPr="00CE4763">
        <w:rPr>
          <w:rFonts w:ascii="Times New Roman" w:hAnsi="Times New Roman" w:cs="Times New Roman"/>
          <w:sz w:val="24"/>
        </w:rPr>
        <w:t>Visoki koji se mogu prihvatiti iz razloga što je njihovo umanjivanje nepraktično ili troškovi uvelike premašuju korist/dobit.</w:t>
      </w:r>
    </w:p>
    <w:p w14:paraId="5FF254D0" w14:textId="77777777" w:rsidR="00CE4763" w:rsidRPr="00CE4763" w:rsidRDefault="00CE4763" w:rsidP="00CE4763">
      <w:pPr>
        <w:spacing w:after="0" w:line="240" w:lineRule="auto"/>
        <w:ind w:left="1049" w:right="0" w:hanging="340"/>
        <w:rPr>
          <w:rFonts w:ascii="Times New Roman" w:hAnsi="Times New Roman" w:cs="Times New Roman"/>
          <w:sz w:val="24"/>
        </w:rPr>
      </w:pPr>
      <w:r w:rsidRPr="00CE4763">
        <w:rPr>
          <w:rFonts w:ascii="Times New Roman" w:hAnsi="Times New Roman" w:cs="Times New Roman"/>
          <w:sz w:val="24"/>
        </w:rPr>
        <w:t xml:space="preserve">3. </w:t>
      </w:r>
      <w:r w:rsidRPr="00CE4763">
        <w:rPr>
          <w:rFonts w:ascii="Times New Roman" w:hAnsi="Times New Roman" w:cs="Times New Roman"/>
          <w:b/>
          <w:sz w:val="24"/>
        </w:rPr>
        <w:t>Neprihvatljivi</w:t>
      </w:r>
      <w:r w:rsidRPr="00CE4763">
        <w:rPr>
          <w:rFonts w:ascii="Times New Roman" w:hAnsi="Times New Roman" w:cs="Times New Roman"/>
          <w:sz w:val="24"/>
        </w:rPr>
        <w:t>: Neprihvatljivi rizici su svi vrlo visoki koji se ne mogu prihvatiti, izuzevši iznimne situacije.</w:t>
      </w:r>
    </w:p>
    <w:p w14:paraId="69C50A5C" w14:textId="77218B76" w:rsidR="00327BAD" w:rsidRDefault="00CE4763" w:rsidP="00A26A19">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Rezultati procjene rizika dobiveni za svaki od rizika prikazani su u sljedećoj tablici:</w:t>
      </w:r>
    </w:p>
    <w:p w14:paraId="5CF02381" w14:textId="77777777" w:rsidR="00385A37" w:rsidRPr="00CE4763" w:rsidRDefault="00385A37" w:rsidP="00A26A19">
      <w:pPr>
        <w:spacing w:after="0" w:line="240" w:lineRule="auto"/>
        <w:ind w:left="0" w:right="0" w:firstLine="709"/>
        <w:rPr>
          <w:rFonts w:ascii="Times New Roman" w:hAnsi="Times New Roman" w:cs="Times New Roman"/>
          <w:sz w:val="24"/>
        </w:rPr>
      </w:pPr>
    </w:p>
    <w:p w14:paraId="52921B87" w14:textId="6EC288BB" w:rsidR="00CE4763" w:rsidRPr="00A540BC" w:rsidRDefault="00CE4763" w:rsidP="00327BAD">
      <w:pPr>
        <w:spacing w:line="240" w:lineRule="auto"/>
        <w:ind w:left="0" w:right="0" w:firstLine="0"/>
        <w:jc w:val="center"/>
        <w:rPr>
          <w:rFonts w:ascii="Times New Roman" w:hAnsi="Times New Roman" w:cs="Times New Roman"/>
          <w:b/>
          <w:color w:val="auto"/>
          <w:sz w:val="24"/>
        </w:rPr>
      </w:pPr>
      <w:r w:rsidRPr="00A540BC">
        <w:rPr>
          <w:rFonts w:ascii="Times New Roman" w:hAnsi="Times New Roman" w:cs="Times New Roman"/>
          <w:b/>
          <w:color w:val="auto"/>
          <w:sz w:val="24"/>
        </w:rPr>
        <w:t xml:space="preserve">Tablica </w:t>
      </w:r>
      <w:r w:rsidR="00A540BC" w:rsidRPr="00A540BC">
        <w:rPr>
          <w:rFonts w:ascii="Times New Roman" w:hAnsi="Times New Roman" w:cs="Times New Roman"/>
          <w:b/>
          <w:color w:val="auto"/>
          <w:sz w:val="24"/>
        </w:rPr>
        <w:t>155</w:t>
      </w:r>
      <w:r w:rsidRPr="00A540BC">
        <w:rPr>
          <w:rFonts w:ascii="Times New Roman" w:hAnsi="Times New Roman" w:cs="Times New Roman"/>
          <w:b/>
          <w:color w:val="auto"/>
          <w:sz w:val="24"/>
        </w:rPr>
        <w:t>. Vrednovanje rizika</w:t>
      </w:r>
    </w:p>
    <w:tbl>
      <w:tblPr>
        <w:tblStyle w:val="TableGrid"/>
        <w:tblW w:w="6804" w:type="dxa"/>
        <w:jc w:val="center"/>
        <w:tblInd w:w="0" w:type="dxa"/>
        <w:tblLayout w:type="fixed"/>
        <w:tblCellMar>
          <w:left w:w="57" w:type="dxa"/>
          <w:right w:w="57" w:type="dxa"/>
        </w:tblCellMar>
        <w:tblLook w:val="04A0" w:firstRow="1" w:lastRow="0" w:firstColumn="1" w:lastColumn="0" w:noHBand="0" w:noVBand="1"/>
      </w:tblPr>
      <w:tblGrid>
        <w:gridCol w:w="4536"/>
        <w:gridCol w:w="2268"/>
      </w:tblGrid>
      <w:tr w:rsidR="00CE4763" w:rsidRPr="00CE4763" w14:paraId="4DD421E4" w14:textId="77777777" w:rsidTr="00284074">
        <w:trPr>
          <w:cantSplit/>
          <w:tblHeader/>
          <w:jc w:val="center"/>
        </w:trPr>
        <w:tc>
          <w:tcPr>
            <w:tcW w:w="4536" w:type="dxa"/>
            <w:tcBorders>
              <w:top w:val="single" w:sz="4" w:space="0" w:color="000000"/>
              <w:left w:val="single" w:sz="4" w:space="0" w:color="000000"/>
              <w:bottom w:val="single" w:sz="4" w:space="0" w:color="000000"/>
              <w:right w:val="single" w:sz="4" w:space="0" w:color="000000"/>
            </w:tcBorders>
            <w:vAlign w:val="center"/>
          </w:tcPr>
          <w:p w14:paraId="38BF9088" w14:textId="77777777" w:rsidR="00CE4763" w:rsidRPr="00CE4763" w:rsidRDefault="00CE4763" w:rsidP="00CE4763">
            <w:pPr>
              <w:spacing w:after="0" w:line="240" w:lineRule="auto"/>
              <w:ind w:left="0" w:right="0" w:firstLine="0"/>
              <w:jc w:val="center"/>
              <w:rPr>
                <w:rFonts w:ascii="Times New Roman" w:hAnsi="Times New Roman" w:cs="Times New Roman"/>
                <w:sz w:val="24"/>
              </w:rPr>
            </w:pPr>
            <w:r w:rsidRPr="00CE4763">
              <w:rPr>
                <w:rFonts w:ascii="Times New Roman" w:hAnsi="Times New Roman" w:cs="Times New Roman"/>
                <w:b/>
                <w:sz w:val="24"/>
              </w:rPr>
              <w:t>SCENARIJ</w:t>
            </w:r>
          </w:p>
        </w:tc>
        <w:tc>
          <w:tcPr>
            <w:tcW w:w="2268" w:type="dxa"/>
            <w:tcBorders>
              <w:top w:val="single" w:sz="4" w:space="0" w:color="000000"/>
              <w:left w:val="single" w:sz="4" w:space="0" w:color="000000"/>
              <w:bottom w:val="single" w:sz="4" w:space="0" w:color="000000"/>
              <w:right w:val="single" w:sz="4" w:space="0" w:color="000000"/>
            </w:tcBorders>
            <w:vAlign w:val="center"/>
          </w:tcPr>
          <w:p w14:paraId="28187884" w14:textId="77777777" w:rsidR="00CE4763" w:rsidRPr="00CE4763" w:rsidRDefault="00CE4763" w:rsidP="00CE4763">
            <w:pPr>
              <w:spacing w:after="0" w:line="240" w:lineRule="auto"/>
              <w:ind w:left="0" w:right="0" w:firstLine="0"/>
              <w:jc w:val="center"/>
              <w:rPr>
                <w:rFonts w:ascii="Times New Roman" w:hAnsi="Times New Roman" w:cs="Times New Roman"/>
                <w:sz w:val="24"/>
              </w:rPr>
            </w:pPr>
            <w:r w:rsidRPr="00CE4763">
              <w:rPr>
                <w:rFonts w:ascii="Times New Roman" w:hAnsi="Times New Roman" w:cs="Times New Roman"/>
                <w:b/>
                <w:sz w:val="24"/>
              </w:rPr>
              <w:t>VREDNOVANJE</w:t>
            </w:r>
          </w:p>
        </w:tc>
      </w:tr>
      <w:tr w:rsidR="00CE4763" w:rsidRPr="00CE4763" w14:paraId="32B203E2" w14:textId="77777777" w:rsidTr="00284074">
        <w:trPr>
          <w:cantSplit/>
          <w:jc w:val="center"/>
        </w:trPr>
        <w:tc>
          <w:tcPr>
            <w:tcW w:w="4536" w:type="dxa"/>
            <w:tcBorders>
              <w:top w:val="single" w:sz="4" w:space="0" w:color="000000"/>
              <w:left w:val="single" w:sz="4" w:space="0" w:color="000000"/>
              <w:bottom w:val="single" w:sz="4" w:space="0" w:color="000000"/>
              <w:right w:val="single" w:sz="4" w:space="0" w:color="000000"/>
            </w:tcBorders>
            <w:vAlign w:val="center"/>
          </w:tcPr>
          <w:p w14:paraId="5E24FBAC" w14:textId="77777777" w:rsidR="00CE4763" w:rsidRPr="00CE4763" w:rsidRDefault="00CE4763" w:rsidP="00CE4763">
            <w:pPr>
              <w:spacing w:after="0" w:line="240" w:lineRule="auto"/>
              <w:ind w:left="0" w:right="0" w:firstLine="0"/>
              <w:jc w:val="center"/>
              <w:rPr>
                <w:rFonts w:ascii="Times New Roman" w:hAnsi="Times New Roman" w:cs="Times New Roman"/>
                <w:sz w:val="24"/>
              </w:rPr>
            </w:pPr>
            <w:r w:rsidRPr="00CE4763">
              <w:rPr>
                <w:rFonts w:ascii="Times New Roman" w:hAnsi="Times New Roman" w:cs="Times New Roman"/>
                <w:sz w:val="24"/>
              </w:rPr>
              <w:t>Potres</w:t>
            </w:r>
          </w:p>
        </w:tc>
        <w:tc>
          <w:tcPr>
            <w:tcW w:w="226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4BD7D923" w14:textId="77777777" w:rsidR="00CE4763" w:rsidRPr="00CE4763" w:rsidRDefault="00CE4763" w:rsidP="00CE4763">
            <w:pPr>
              <w:spacing w:after="0" w:line="240" w:lineRule="auto"/>
              <w:ind w:left="0" w:right="0" w:firstLine="0"/>
              <w:jc w:val="center"/>
              <w:rPr>
                <w:rFonts w:ascii="Times New Roman" w:hAnsi="Times New Roman" w:cs="Times New Roman"/>
                <w:color w:val="FF0000"/>
                <w:sz w:val="24"/>
              </w:rPr>
            </w:pPr>
          </w:p>
        </w:tc>
      </w:tr>
      <w:tr w:rsidR="00CE4763" w:rsidRPr="00CE4763" w14:paraId="201D2BE0" w14:textId="77777777" w:rsidTr="00284074">
        <w:trPr>
          <w:cantSplit/>
          <w:jc w:val="center"/>
        </w:trPr>
        <w:tc>
          <w:tcPr>
            <w:tcW w:w="4536" w:type="dxa"/>
            <w:tcBorders>
              <w:top w:val="single" w:sz="4" w:space="0" w:color="000000"/>
              <w:left w:val="single" w:sz="4" w:space="0" w:color="000000"/>
              <w:bottom w:val="single" w:sz="4" w:space="0" w:color="000000"/>
              <w:right w:val="single" w:sz="4" w:space="0" w:color="000000"/>
            </w:tcBorders>
            <w:vAlign w:val="center"/>
          </w:tcPr>
          <w:p w14:paraId="724BCBB7" w14:textId="77777777" w:rsidR="00CE4763" w:rsidRPr="00CE4763" w:rsidRDefault="00CE4763" w:rsidP="00CE4763">
            <w:pPr>
              <w:spacing w:after="0" w:line="240" w:lineRule="auto"/>
              <w:ind w:left="0" w:right="0" w:firstLine="0"/>
              <w:jc w:val="center"/>
              <w:rPr>
                <w:rFonts w:ascii="Times New Roman" w:hAnsi="Times New Roman" w:cs="Times New Roman"/>
                <w:sz w:val="24"/>
              </w:rPr>
            </w:pPr>
            <w:r w:rsidRPr="00CE4763">
              <w:rPr>
                <w:rFonts w:ascii="Times New Roman" w:hAnsi="Times New Roman" w:cs="Times New Roman"/>
                <w:sz w:val="24"/>
              </w:rPr>
              <w:t>Poplava</w:t>
            </w:r>
          </w:p>
        </w:tc>
        <w:tc>
          <w:tcPr>
            <w:tcW w:w="226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60D32AC8" w14:textId="77777777" w:rsidR="00CE4763" w:rsidRPr="00CE4763" w:rsidRDefault="00CE4763" w:rsidP="00CE4763">
            <w:pPr>
              <w:spacing w:after="0" w:line="240" w:lineRule="auto"/>
              <w:ind w:left="0" w:right="0" w:firstLine="0"/>
              <w:jc w:val="center"/>
              <w:rPr>
                <w:rFonts w:ascii="Times New Roman" w:hAnsi="Times New Roman" w:cs="Times New Roman"/>
                <w:sz w:val="24"/>
              </w:rPr>
            </w:pPr>
          </w:p>
        </w:tc>
      </w:tr>
      <w:tr w:rsidR="00CE4763" w:rsidRPr="00CE4763" w14:paraId="0C709959" w14:textId="77777777" w:rsidTr="00284074">
        <w:trPr>
          <w:cantSplit/>
          <w:jc w:val="center"/>
        </w:trPr>
        <w:tc>
          <w:tcPr>
            <w:tcW w:w="4536" w:type="dxa"/>
            <w:tcBorders>
              <w:top w:val="single" w:sz="4" w:space="0" w:color="000000"/>
              <w:left w:val="single" w:sz="4" w:space="0" w:color="000000"/>
              <w:bottom w:val="single" w:sz="4" w:space="0" w:color="000000"/>
              <w:right w:val="single" w:sz="4" w:space="0" w:color="000000"/>
            </w:tcBorders>
            <w:vAlign w:val="center"/>
          </w:tcPr>
          <w:p w14:paraId="1A28F576" w14:textId="77777777" w:rsidR="00CE4763" w:rsidRPr="00CE4763" w:rsidRDefault="00CE4763" w:rsidP="00CE4763">
            <w:pPr>
              <w:spacing w:after="0" w:line="240" w:lineRule="auto"/>
              <w:ind w:left="0" w:right="0" w:firstLine="0"/>
              <w:jc w:val="center"/>
              <w:rPr>
                <w:rFonts w:ascii="Times New Roman" w:hAnsi="Times New Roman" w:cs="Times New Roman"/>
                <w:sz w:val="24"/>
              </w:rPr>
            </w:pPr>
            <w:r w:rsidRPr="00CE4763">
              <w:rPr>
                <w:rFonts w:ascii="Times New Roman" w:hAnsi="Times New Roman" w:cs="Times New Roman"/>
                <w:sz w:val="24"/>
              </w:rPr>
              <w:t>Industrijske nesreće</w:t>
            </w:r>
          </w:p>
        </w:tc>
        <w:tc>
          <w:tcPr>
            <w:tcW w:w="226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05D757A" w14:textId="77777777" w:rsidR="00CE4763" w:rsidRPr="00CE4763" w:rsidRDefault="00CE4763" w:rsidP="00CE4763">
            <w:pPr>
              <w:spacing w:after="0" w:line="240" w:lineRule="auto"/>
              <w:ind w:left="0" w:right="0" w:firstLine="0"/>
              <w:jc w:val="center"/>
              <w:rPr>
                <w:rFonts w:ascii="Times New Roman" w:hAnsi="Times New Roman" w:cs="Times New Roman"/>
                <w:sz w:val="24"/>
              </w:rPr>
            </w:pPr>
          </w:p>
        </w:tc>
      </w:tr>
      <w:tr w:rsidR="00CE4763" w:rsidRPr="00CE4763" w14:paraId="4A9668D7" w14:textId="77777777" w:rsidTr="00284074">
        <w:trPr>
          <w:cantSplit/>
          <w:jc w:val="center"/>
        </w:trPr>
        <w:tc>
          <w:tcPr>
            <w:tcW w:w="4536" w:type="dxa"/>
            <w:tcBorders>
              <w:top w:val="single" w:sz="4" w:space="0" w:color="000000"/>
              <w:left w:val="single" w:sz="4" w:space="0" w:color="000000"/>
              <w:bottom w:val="single" w:sz="4" w:space="0" w:color="000000"/>
              <w:right w:val="single" w:sz="4" w:space="0" w:color="000000"/>
            </w:tcBorders>
            <w:vAlign w:val="center"/>
          </w:tcPr>
          <w:p w14:paraId="56B79E82" w14:textId="77777777" w:rsidR="00CE4763" w:rsidRPr="00CE4763" w:rsidRDefault="00CE4763" w:rsidP="00CE4763">
            <w:pPr>
              <w:spacing w:after="0" w:line="240" w:lineRule="auto"/>
              <w:ind w:left="0" w:right="0" w:firstLine="0"/>
              <w:jc w:val="center"/>
              <w:rPr>
                <w:rFonts w:ascii="Times New Roman" w:hAnsi="Times New Roman" w:cs="Times New Roman"/>
                <w:sz w:val="24"/>
              </w:rPr>
            </w:pPr>
            <w:r w:rsidRPr="00CE4763">
              <w:rPr>
                <w:rFonts w:ascii="Times New Roman" w:hAnsi="Times New Roman" w:cs="Times New Roman"/>
                <w:sz w:val="24"/>
              </w:rPr>
              <w:t>Toplinski val</w:t>
            </w:r>
          </w:p>
        </w:tc>
        <w:tc>
          <w:tcPr>
            <w:tcW w:w="226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D48BD63" w14:textId="77777777" w:rsidR="00CE4763" w:rsidRPr="00CE4763" w:rsidRDefault="00CE4763" w:rsidP="00CE4763">
            <w:pPr>
              <w:spacing w:after="0" w:line="240" w:lineRule="auto"/>
              <w:ind w:left="0" w:right="0" w:firstLine="0"/>
              <w:jc w:val="center"/>
              <w:rPr>
                <w:rFonts w:ascii="Times New Roman" w:hAnsi="Times New Roman" w:cs="Times New Roman"/>
                <w:sz w:val="24"/>
              </w:rPr>
            </w:pPr>
          </w:p>
        </w:tc>
      </w:tr>
      <w:tr w:rsidR="00CE4763" w:rsidRPr="00CE4763" w14:paraId="5C12F304" w14:textId="77777777" w:rsidTr="00284074">
        <w:trPr>
          <w:cantSplit/>
          <w:jc w:val="center"/>
        </w:trPr>
        <w:tc>
          <w:tcPr>
            <w:tcW w:w="4536" w:type="dxa"/>
            <w:tcBorders>
              <w:top w:val="single" w:sz="4" w:space="0" w:color="000000"/>
              <w:left w:val="single" w:sz="4" w:space="0" w:color="000000"/>
              <w:bottom w:val="single" w:sz="4" w:space="0" w:color="000000"/>
              <w:right w:val="single" w:sz="4" w:space="0" w:color="000000"/>
            </w:tcBorders>
            <w:vAlign w:val="center"/>
          </w:tcPr>
          <w:p w14:paraId="0740CCD6" w14:textId="77777777" w:rsidR="00CE4763" w:rsidRPr="00CE4763" w:rsidRDefault="00CE4763" w:rsidP="00CE4763">
            <w:pPr>
              <w:spacing w:after="0" w:line="240" w:lineRule="auto"/>
              <w:ind w:left="0" w:right="0" w:firstLine="0"/>
              <w:jc w:val="center"/>
              <w:rPr>
                <w:rFonts w:ascii="Times New Roman" w:hAnsi="Times New Roman" w:cs="Times New Roman"/>
                <w:sz w:val="24"/>
              </w:rPr>
            </w:pPr>
            <w:r w:rsidRPr="00CE4763">
              <w:rPr>
                <w:rFonts w:ascii="Times New Roman" w:hAnsi="Times New Roman" w:cs="Times New Roman"/>
                <w:sz w:val="24"/>
              </w:rPr>
              <w:t>Epidemije i pandemije</w:t>
            </w:r>
          </w:p>
        </w:tc>
        <w:tc>
          <w:tcPr>
            <w:tcW w:w="226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BFEE137" w14:textId="77777777" w:rsidR="00CE4763" w:rsidRPr="00CE4763" w:rsidRDefault="00CE4763" w:rsidP="00CE4763">
            <w:pPr>
              <w:spacing w:after="0" w:line="240" w:lineRule="auto"/>
              <w:ind w:left="0" w:right="0" w:firstLine="0"/>
              <w:jc w:val="center"/>
              <w:rPr>
                <w:rFonts w:ascii="Times New Roman" w:hAnsi="Times New Roman" w:cs="Times New Roman"/>
                <w:sz w:val="24"/>
              </w:rPr>
            </w:pPr>
          </w:p>
        </w:tc>
      </w:tr>
      <w:tr w:rsidR="00CE4763" w:rsidRPr="00CE4763" w14:paraId="4B07B56B" w14:textId="77777777" w:rsidTr="00284074">
        <w:trPr>
          <w:cantSplit/>
          <w:jc w:val="center"/>
        </w:trPr>
        <w:tc>
          <w:tcPr>
            <w:tcW w:w="4536" w:type="dxa"/>
            <w:tcBorders>
              <w:top w:val="single" w:sz="4" w:space="0" w:color="000000"/>
              <w:left w:val="single" w:sz="4" w:space="0" w:color="000000"/>
              <w:bottom w:val="single" w:sz="4" w:space="0" w:color="000000"/>
              <w:right w:val="single" w:sz="4" w:space="0" w:color="000000"/>
            </w:tcBorders>
            <w:vAlign w:val="center"/>
          </w:tcPr>
          <w:p w14:paraId="5E01B9D7" w14:textId="77777777" w:rsidR="00CE4763" w:rsidRPr="00CE4763" w:rsidRDefault="00CE4763" w:rsidP="00CE4763">
            <w:pPr>
              <w:spacing w:after="0" w:line="240" w:lineRule="auto"/>
              <w:ind w:left="0" w:right="0" w:firstLine="0"/>
              <w:jc w:val="center"/>
              <w:rPr>
                <w:rFonts w:ascii="Times New Roman" w:hAnsi="Times New Roman" w:cs="Times New Roman"/>
                <w:sz w:val="24"/>
              </w:rPr>
            </w:pPr>
            <w:r w:rsidRPr="00CE4763">
              <w:rPr>
                <w:rFonts w:ascii="Times New Roman" w:hAnsi="Times New Roman" w:cs="Times New Roman"/>
                <w:sz w:val="24"/>
              </w:rPr>
              <w:t>Nuklearna nesreća</w:t>
            </w:r>
          </w:p>
        </w:tc>
        <w:tc>
          <w:tcPr>
            <w:tcW w:w="226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34361B3" w14:textId="77777777" w:rsidR="00CE4763" w:rsidRPr="00CE4763" w:rsidRDefault="00CE4763" w:rsidP="00CE4763">
            <w:pPr>
              <w:spacing w:after="0" w:line="240" w:lineRule="auto"/>
              <w:ind w:left="0" w:right="0" w:firstLine="0"/>
              <w:jc w:val="center"/>
              <w:rPr>
                <w:rFonts w:ascii="Times New Roman" w:hAnsi="Times New Roman" w:cs="Times New Roman"/>
                <w:sz w:val="24"/>
              </w:rPr>
            </w:pPr>
          </w:p>
        </w:tc>
      </w:tr>
      <w:tr w:rsidR="00CE4763" w:rsidRPr="00CE4763" w14:paraId="24CB674D" w14:textId="77777777" w:rsidTr="00284074">
        <w:trPr>
          <w:cantSplit/>
          <w:jc w:val="center"/>
        </w:trPr>
        <w:tc>
          <w:tcPr>
            <w:tcW w:w="4536" w:type="dxa"/>
            <w:tcBorders>
              <w:top w:val="single" w:sz="4" w:space="0" w:color="000000"/>
              <w:left w:val="single" w:sz="4" w:space="0" w:color="000000"/>
              <w:bottom w:val="single" w:sz="4" w:space="0" w:color="000000"/>
              <w:right w:val="single" w:sz="4" w:space="0" w:color="000000"/>
            </w:tcBorders>
            <w:vAlign w:val="center"/>
          </w:tcPr>
          <w:p w14:paraId="01C795DB" w14:textId="77777777" w:rsidR="00CE4763" w:rsidRPr="00CE4763" w:rsidRDefault="00CE4763" w:rsidP="00CE4763">
            <w:pPr>
              <w:spacing w:after="0" w:line="240" w:lineRule="auto"/>
              <w:ind w:left="0" w:right="0" w:firstLine="0"/>
              <w:jc w:val="center"/>
              <w:rPr>
                <w:rFonts w:ascii="Times New Roman" w:hAnsi="Times New Roman" w:cs="Times New Roman"/>
                <w:sz w:val="24"/>
              </w:rPr>
            </w:pPr>
            <w:r w:rsidRPr="00CE4763">
              <w:rPr>
                <w:rFonts w:ascii="Times New Roman" w:hAnsi="Times New Roman" w:cs="Times New Roman"/>
                <w:sz w:val="24"/>
              </w:rPr>
              <w:t>Nesreće na odlagalištu otpada</w:t>
            </w:r>
          </w:p>
        </w:tc>
        <w:tc>
          <w:tcPr>
            <w:tcW w:w="226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0CC9DB7" w14:textId="77777777" w:rsidR="00CE4763" w:rsidRPr="00CE4763" w:rsidRDefault="00CE4763" w:rsidP="00CE4763">
            <w:pPr>
              <w:spacing w:after="0" w:line="240" w:lineRule="auto"/>
              <w:ind w:left="0" w:right="0" w:firstLine="0"/>
              <w:jc w:val="center"/>
              <w:rPr>
                <w:rFonts w:ascii="Times New Roman" w:hAnsi="Times New Roman" w:cs="Times New Roman"/>
                <w:sz w:val="24"/>
              </w:rPr>
            </w:pPr>
          </w:p>
        </w:tc>
      </w:tr>
      <w:tr w:rsidR="00CE4763" w:rsidRPr="00CE4763" w14:paraId="7A891584" w14:textId="77777777" w:rsidTr="00284074">
        <w:trPr>
          <w:cantSplit/>
          <w:jc w:val="center"/>
        </w:trPr>
        <w:tc>
          <w:tcPr>
            <w:tcW w:w="4536" w:type="dxa"/>
            <w:tcBorders>
              <w:top w:val="single" w:sz="4" w:space="0" w:color="000000"/>
              <w:left w:val="single" w:sz="4" w:space="0" w:color="000000"/>
              <w:bottom w:val="single" w:sz="4" w:space="0" w:color="000000"/>
              <w:right w:val="single" w:sz="4" w:space="0" w:color="000000"/>
            </w:tcBorders>
            <w:vAlign w:val="center"/>
          </w:tcPr>
          <w:p w14:paraId="2A46BC15" w14:textId="77777777" w:rsidR="00CE4763" w:rsidRPr="00CE4763" w:rsidRDefault="00CE4763" w:rsidP="00CE4763">
            <w:pPr>
              <w:spacing w:after="0" w:line="240" w:lineRule="auto"/>
              <w:ind w:left="0" w:right="0" w:firstLine="0"/>
              <w:jc w:val="center"/>
              <w:rPr>
                <w:rFonts w:ascii="Times New Roman" w:hAnsi="Times New Roman" w:cs="Times New Roman"/>
                <w:sz w:val="24"/>
              </w:rPr>
            </w:pPr>
            <w:r w:rsidRPr="00CE4763">
              <w:rPr>
                <w:rFonts w:ascii="Times New Roman" w:hAnsi="Times New Roman" w:cs="Times New Roman"/>
                <w:sz w:val="24"/>
              </w:rPr>
              <w:t>Klizišta</w:t>
            </w:r>
          </w:p>
        </w:tc>
        <w:tc>
          <w:tcPr>
            <w:tcW w:w="226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6AA3390" w14:textId="77777777" w:rsidR="00CE4763" w:rsidRPr="00CE4763" w:rsidRDefault="00CE4763" w:rsidP="00CE4763">
            <w:pPr>
              <w:spacing w:after="0" w:line="240" w:lineRule="auto"/>
              <w:ind w:left="0" w:right="0" w:firstLine="0"/>
              <w:jc w:val="center"/>
              <w:rPr>
                <w:rFonts w:ascii="Times New Roman" w:hAnsi="Times New Roman" w:cs="Times New Roman"/>
                <w:sz w:val="24"/>
              </w:rPr>
            </w:pPr>
          </w:p>
        </w:tc>
      </w:tr>
    </w:tbl>
    <w:p w14:paraId="1C961ECC" w14:textId="009FAACF" w:rsidR="00CE4763" w:rsidRPr="00CE4763" w:rsidRDefault="00CE4763" w:rsidP="00CE4763">
      <w:pPr>
        <w:spacing w:after="160" w:line="259" w:lineRule="auto"/>
        <w:ind w:left="0" w:right="0" w:firstLine="0"/>
        <w:jc w:val="left"/>
        <w:rPr>
          <w:rFonts w:ascii="Times New Roman" w:hAnsi="Times New Roman" w:cs="Times New Roman"/>
          <w:b/>
          <w:sz w:val="28"/>
        </w:rPr>
      </w:pPr>
      <w:bookmarkStart w:id="153" w:name="_Toc2938656"/>
    </w:p>
    <w:p w14:paraId="4F98547C" w14:textId="77777777" w:rsidR="003E2F12" w:rsidRDefault="003E2F12" w:rsidP="00CE4763">
      <w:pPr>
        <w:spacing w:after="0" w:line="240" w:lineRule="auto"/>
        <w:ind w:left="0" w:right="0" w:firstLine="0"/>
        <w:rPr>
          <w:rFonts w:ascii="Times New Roman" w:hAnsi="Times New Roman" w:cs="Times New Roman"/>
          <w:b/>
          <w:color w:val="auto"/>
          <w:sz w:val="28"/>
        </w:rPr>
      </w:pPr>
    </w:p>
    <w:p w14:paraId="432C61E0" w14:textId="77777777" w:rsidR="003E2F12" w:rsidRDefault="003E2F12" w:rsidP="00CE4763">
      <w:pPr>
        <w:spacing w:after="0" w:line="240" w:lineRule="auto"/>
        <w:ind w:left="0" w:right="0" w:firstLine="0"/>
        <w:rPr>
          <w:rFonts w:ascii="Times New Roman" w:hAnsi="Times New Roman" w:cs="Times New Roman"/>
          <w:b/>
          <w:color w:val="auto"/>
          <w:sz w:val="28"/>
        </w:rPr>
      </w:pPr>
    </w:p>
    <w:p w14:paraId="3E6EA17B" w14:textId="77777777" w:rsidR="003E2F12" w:rsidRDefault="003E2F12" w:rsidP="00CE4763">
      <w:pPr>
        <w:spacing w:after="0" w:line="240" w:lineRule="auto"/>
        <w:ind w:left="0" w:right="0" w:firstLine="0"/>
        <w:rPr>
          <w:rFonts w:ascii="Times New Roman" w:hAnsi="Times New Roman" w:cs="Times New Roman"/>
          <w:b/>
          <w:color w:val="auto"/>
          <w:sz w:val="28"/>
        </w:rPr>
      </w:pPr>
    </w:p>
    <w:p w14:paraId="6BC7AD43" w14:textId="77777777" w:rsidR="003E2F12" w:rsidRDefault="003E2F12" w:rsidP="00CE4763">
      <w:pPr>
        <w:spacing w:after="0" w:line="240" w:lineRule="auto"/>
        <w:ind w:left="0" w:right="0" w:firstLine="0"/>
        <w:rPr>
          <w:rFonts w:ascii="Times New Roman" w:hAnsi="Times New Roman" w:cs="Times New Roman"/>
          <w:b/>
          <w:color w:val="auto"/>
          <w:sz w:val="28"/>
        </w:rPr>
      </w:pPr>
    </w:p>
    <w:p w14:paraId="793D371B" w14:textId="77777777" w:rsidR="003E2F12" w:rsidRDefault="003E2F12" w:rsidP="00CE4763">
      <w:pPr>
        <w:spacing w:after="0" w:line="240" w:lineRule="auto"/>
        <w:ind w:left="0" w:right="0" w:firstLine="0"/>
        <w:rPr>
          <w:rFonts w:ascii="Times New Roman" w:hAnsi="Times New Roman" w:cs="Times New Roman"/>
          <w:b/>
          <w:color w:val="auto"/>
          <w:sz w:val="28"/>
        </w:rPr>
      </w:pPr>
    </w:p>
    <w:p w14:paraId="61B506CD" w14:textId="77777777" w:rsidR="003E2F12" w:rsidRDefault="003E2F12" w:rsidP="00CE4763">
      <w:pPr>
        <w:spacing w:after="0" w:line="240" w:lineRule="auto"/>
        <w:ind w:left="0" w:right="0" w:firstLine="0"/>
        <w:rPr>
          <w:rFonts w:ascii="Times New Roman" w:hAnsi="Times New Roman" w:cs="Times New Roman"/>
          <w:b/>
          <w:color w:val="auto"/>
          <w:sz w:val="28"/>
        </w:rPr>
      </w:pPr>
    </w:p>
    <w:p w14:paraId="4A42168D" w14:textId="77777777" w:rsidR="003E2F12" w:rsidRDefault="003E2F12" w:rsidP="00CE4763">
      <w:pPr>
        <w:spacing w:after="0" w:line="240" w:lineRule="auto"/>
        <w:ind w:left="0" w:right="0" w:firstLine="0"/>
        <w:rPr>
          <w:rFonts w:ascii="Times New Roman" w:hAnsi="Times New Roman" w:cs="Times New Roman"/>
          <w:b/>
          <w:color w:val="auto"/>
          <w:sz w:val="28"/>
        </w:rPr>
      </w:pPr>
    </w:p>
    <w:p w14:paraId="033AF2F4" w14:textId="77777777" w:rsidR="003E2F12" w:rsidRDefault="003E2F12" w:rsidP="00CE4763">
      <w:pPr>
        <w:spacing w:after="0" w:line="240" w:lineRule="auto"/>
        <w:ind w:left="0" w:right="0" w:firstLine="0"/>
        <w:rPr>
          <w:rFonts w:ascii="Times New Roman" w:hAnsi="Times New Roman" w:cs="Times New Roman"/>
          <w:b/>
          <w:color w:val="auto"/>
          <w:sz w:val="28"/>
        </w:rPr>
      </w:pPr>
    </w:p>
    <w:p w14:paraId="6A11EEC6" w14:textId="77777777" w:rsidR="003E2F12" w:rsidRDefault="003E2F12" w:rsidP="00CE4763">
      <w:pPr>
        <w:spacing w:after="0" w:line="240" w:lineRule="auto"/>
        <w:ind w:left="0" w:right="0" w:firstLine="0"/>
        <w:rPr>
          <w:rFonts w:ascii="Times New Roman" w:hAnsi="Times New Roman" w:cs="Times New Roman"/>
          <w:b/>
          <w:color w:val="auto"/>
          <w:sz w:val="28"/>
        </w:rPr>
      </w:pPr>
    </w:p>
    <w:p w14:paraId="64DE53C7" w14:textId="77777777" w:rsidR="003E2F12" w:rsidRDefault="003E2F12" w:rsidP="00CE4763">
      <w:pPr>
        <w:spacing w:after="0" w:line="240" w:lineRule="auto"/>
        <w:ind w:left="0" w:right="0" w:firstLine="0"/>
        <w:rPr>
          <w:rFonts w:ascii="Times New Roman" w:hAnsi="Times New Roman" w:cs="Times New Roman"/>
          <w:b/>
          <w:color w:val="auto"/>
          <w:sz w:val="28"/>
        </w:rPr>
      </w:pPr>
    </w:p>
    <w:p w14:paraId="16040215" w14:textId="77777777" w:rsidR="003E2F12" w:rsidRDefault="003E2F12" w:rsidP="00CE4763">
      <w:pPr>
        <w:spacing w:after="0" w:line="240" w:lineRule="auto"/>
        <w:ind w:left="0" w:right="0" w:firstLine="0"/>
        <w:rPr>
          <w:rFonts w:ascii="Times New Roman" w:hAnsi="Times New Roman" w:cs="Times New Roman"/>
          <w:b/>
          <w:color w:val="auto"/>
          <w:sz w:val="28"/>
        </w:rPr>
      </w:pPr>
    </w:p>
    <w:p w14:paraId="069FA4DF" w14:textId="77777777" w:rsidR="003E2F12" w:rsidRDefault="003E2F12" w:rsidP="00CE4763">
      <w:pPr>
        <w:spacing w:after="0" w:line="240" w:lineRule="auto"/>
        <w:ind w:left="0" w:right="0" w:firstLine="0"/>
        <w:rPr>
          <w:rFonts w:ascii="Times New Roman" w:hAnsi="Times New Roman" w:cs="Times New Roman"/>
          <w:b/>
          <w:color w:val="auto"/>
          <w:sz w:val="28"/>
        </w:rPr>
      </w:pPr>
    </w:p>
    <w:p w14:paraId="40894285" w14:textId="77777777" w:rsidR="003E2F12" w:rsidRDefault="003E2F12" w:rsidP="00CE4763">
      <w:pPr>
        <w:spacing w:after="0" w:line="240" w:lineRule="auto"/>
        <w:ind w:left="0" w:right="0" w:firstLine="0"/>
        <w:rPr>
          <w:rFonts w:ascii="Times New Roman" w:hAnsi="Times New Roman" w:cs="Times New Roman"/>
          <w:b/>
          <w:color w:val="auto"/>
          <w:sz w:val="28"/>
        </w:rPr>
      </w:pPr>
    </w:p>
    <w:p w14:paraId="12A33049" w14:textId="77777777" w:rsidR="003E2F12" w:rsidRDefault="003E2F12" w:rsidP="00CE4763">
      <w:pPr>
        <w:spacing w:after="0" w:line="240" w:lineRule="auto"/>
        <w:ind w:left="0" w:right="0" w:firstLine="0"/>
        <w:rPr>
          <w:rFonts w:ascii="Times New Roman" w:hAnsi="Times New Roman" w:cs="Times New Roman"/>
          <w:b/>
          <w:color w:val="auto"/>
          <w:sz w:val="28"/>
        </w:rPr>
      </w:pPr>
    </w:p>
    <w:p w14:paraId="61C56CB8" w14:textId="77777777" w:rsidR="003E2F12" w:rsidRDefault="003E2F12" w:rsidP="00CE4763">
      <w:pPr>
        <w:spacing w:after="0" w:line="240" w:lineRule="auto"/>
        <w:ind w:left="0" w:right="0" w:firstLine="0"/>
        <w:rPr>
          <w:rFonts w:ascii="Times New Roman" w:hAnsi="Times New Roman" w:cs="Times New Roman"/>
          <w:b/>
          <w:color w:val="auto"/>
          <w:sz w:val="28"/>
        </w:rPr>
      </w:pPr>
    </w:p>
    <w:p w14:paraId="16701BA4" w14:textId="77777777" w:rsidR="003E2F12" w:rsidRDefault="003E2F12" w:rsidP="00CE4763">
      <w:pPr>
        <w:spacing w:after="0" w:line="240" w:lineRule="auto"/>
        <w:ind w:left="0" w:right="0" w:firstLine="0"/>
        <w:rPr>
          <w:rFonts w:ascii="Times New Roman" w:hAnsi="Times New Roman" w:cs="Times New Roman"/>
          <w:b/>
          <w:color w:val="auto"/>
          <w:sz w:val="28"/>
        </w:rPr>
      </w:pPr>
    </w:p>
    <w:p w14:paraId="05ECF636" w14:textId="77777777" w:rsidR="003E2F12" w:rsidRDefault="003E2F12" w:rsidP="00CE4763">
      <w:pPr>
        <w:spacing w:after="0" w:line="240" w:lineRule="auto"/>
        <w:ind w:left="0" w:right="0" w:firstLine="0"/>
        <w:rPr>
          <w:rFonts w:ascii="Times New Roman" w:hAnsi="Times New Roman" w:cs="Times New Roman"/>
          <w:b/>
          <w:color w:val="auto"/>
          <w:sz w:val="28"/>
        </w:rPr>
      </w:pPr>
    </w:p>
    <w:p w14:paraId="2B5704CA" w14:textId="77777777" w:rsidR="003E2F12" w:rsidRDefault="003E2F12" w:rsidP="00CE4763">
      <w:pPr>
        <w:spacing w:after="0" w:line="240" w:lineRule="auto"/>
        <w:ind w:left="0" w:right="0" w:firstLine="0"/>
        <w:rPr>
          <w:rFonts w:ascii="Times New Roman" w:hAnsi="Times New Roman" w:cs="Times New Roman"/>
          <w:b/>
          <w:color w:val="auto"/>
          <w:sz w:val="28"/>
        </w:rPr>
      </w:pPr>
    </w:p>
    <w:p w14:paraId="1CE879B3" w14:textId="77777777" w:rsidR="003E2F12" w:rsidRDefault="003E2F12" w:rsidP="00CE4763">
      <w:pPr>
        <w:spacing w:after="0" w:line="240" w:lineRule="auto"/>
        <w:ind w:left="0" w:right="0" w:firstLine="0"/>
        <w:rPr>
          <w:rFonts w:ascii="Times New Roman" w:hAnsi="Times New Roman" w:cs="Times New Roman"/>
          <w:b/>
          <w:color w:val="auto"/>
          <w:sz w:val="28"/>
        </w:rPr>
      </w:pPr>
    </w:p>
    <w:p w14:paraId="46282DE8" w14:textId="0D8E45CD" w:rsidR="00CE4763" w:rsidRPr="007F6D3F" w:rsidRDefault="00CE4763" w:rsidP="00CE4763">
      <w:pPr>
        <w:spacing w:after="0" w:line="240" w:lineRule="auto"/>
        <w:ind w:left="0" w:right="0" w:firstLine="0"/>
        <w:rPr>
          <w:rFonts w:ascii="Times New Roman" w:hAnsi="Times New Roman" w:cs="Times New Roman"/>
          <w:b/>
          <w:color w:val="auto"/>
          <w:sz w:val="28"/>
        </w:rPr>
      </w:pPr>
      <w:r w:rsidRPr="007F6D3F">
        <w:rPr>
          <w:rFonts w:ascii="Times New Roman" w:hAnsi="Times New Roman" w:cs="Times New Roman"/>
          <w:b/>
          <w:color w:val="auto"/>
          <w:sz w:val="28"/>
        </w:rPr>
        <w:lastRenderedPageBreak/>
        <w:t>10. Popis sudionika u izradi procjene rizika</w:t>
      </w:r>
      <w:bookmarkEnd w:id="153"/>
    </w:p>
    <w:p w14:paraId="0E760729"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p>
    <w:tbl>
      <w:tblPr>
        <w:tblStyle w:val="TableGrid"/>
        <w:tblW w:w="9299" w:type="dxa"/>
        <w:tblInd w:w="-113" w:type="dxa"/>
        <w:tblCellMar>
          <w:top w:w="11" w:type="dxa"/>
          <w:left w:w="107" w:type="dxa"/>
          <w:right w:w="59" w:type="dxa"/>
        </w:tblCellMar>
        <w:tblLook w:val="04A0" w:firstRow="1" w:lastRow="0" w:firstColumn="1" w:lastColumn="0" w:noHBand="0" w:noVBand="1"/>
      </w:tblPr>
      <w:tblGrid>
        <w:gridCol w:w="7"/>
        <w:gridCol w:w="4647"/>
        <w:gridCol w:w="4645"/>
      </w:tblGrid>
      <w:tr w:rsidR="00CE4763" w:rsidRPr="007F6D3F" w14:paraId="2BE35299" w14:textId="77777777" w:rsidTr="00284074">
        <w:trPr>
          <w:trHeight w:val="275"/>
        </w:trPr>
        <w:tc>
          <w:tcPr>
            <w:tcW w:w="4654" w:type="dxa"/>
            <w:gridSpan w:val="2"/>
            <w:tcBorders>
              <w:top w:val="single" w:sz="4" w:space="0" w:color="000000"/>
              <w:left w:val="single" w:sz="4" w:space="0" w:color="000000"/>
              <w:bottom w:val="single" w:sz="4" w:space="0" w:color="000000"/>
              <w:right w:val="nil"/>
            </w:tcBorders>
            <w:shd w:val="clear" w:color="auto" w:fill="FFC000"/>
          </w:tcPr>
          <w:p w14:paraId="60FD5642"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r w:rsidRPr="007F6D3F">
              <w:rPr>
                <w:rFonts w:ascii="Times New Roman" w:eastAsia="Times New Roman" w:hAnsi="Times New Roman" w:cs="Times New Roman"/>
                <w:b/>
                <w:i/>
                <w:color w:val="auto"/>
                <w:sz w:val="24"/>
              </w:rPr>
              <w:t xml:space="preserve">Potres </w:t>
            </w:r>
          </w:p>
        </w:tc>
        <w:tc>
          <w:tcPr>
            <w:tcW w:w="4645" w:type="dxa"/>
            <w:tcBorders>
              <w:top w:val="single" w:sz="4" w:space="0" w:color="000000"/>
              <w:left w:val="nil"/>
              <w:bottom w:val="single" w:sz="4" w:space="0" w:color="000000"/>
              <w:right w:val="single" w:sz="4" w:space="0" w:color="000000"/>
            </w:tcBorders>
            <w:shd w:val="clear" w:color="auto" w:fill="FFC000"/>
          </w:tcPr>
          <w:p w14:paraId="71E2FBD0"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p>
        </w:tc>
      </w:tr>
      <w:tr w:rsidR="00CE4763" w:rsidRPr="007F6D3F" w14:paraId="4521CF1C" w14:textId="77777777" w:rsidTr="00284074">
        <w:trPr>
          <w:trHeight w:val="272"/>
        </w:trPr>
        <w:tc>
          <w:tcPr>
            <w:tcW w:w="4654" w:type="dxa"/>
            <w:gridSpan w:val="2"/>
            <w:tcBorders>
              <w:top w:val="single" w:sz="4" w:space="0" w:color="000000"/>
              <w:left w:val="single" w:sz="4" w:space="0" w:color="000000"/>
              <w:bottom w:val="single" w:sz="4" w:space="0" w:color="000000"/>
              <w:right w:val="single" w:sz="4" w:space="0" w:color="000000"/>
            </w:tcBorders>
            <w:shd w:val="clear" w:color="auto" w:fill="FFC000"/>
          </w:tcPr>
          <w:p w14:paraId="4AE4911F" w14:textId="60AAF21C" w:rsidR="00CE4763" w:rsidRPr="007F6D3F" w:rsidRDefault="00CE4763" w:rsidP="00CE4763">
            <w:pPr>
              <w:spacing w:after="0" w:line="240" w:lineRule="auto"/>
              <w:ind w:left="0" w:right="0" w:firstLine="0"/>
              <w:jc w:val="left"/>
              <w:rPr>
                <w:rFonts w:ascii="Times New Roman" w:hAnsi="Times New Roman" w:cs="Times New Roman"/>
                <w:color w:val="auto"/>
                <w:sz w:val="24"/>
              </w:rPr>
            </w:pPr>
            <w:r w:rsidRPr="007F6D3F">
              <w:rPr>
                <w:rFonts w:ascii="Times New Roman" w:eastAsia="Times New Roman" w:hAnsi="Times New Roman" w:cs="Times New Roman"/>
                <w:b/>
                <w:i/>
                <w:color w:val="auto"/>
                <w:sz w:val="24"/>
              </w:rPr>
              <w:t xml:space="preserve">Koordinator </w:t>
            </w:r>
            <w:r w:rsidR="00EC43BB" w:rsidRPr="007F6D3F">
              <w:rPr>
                <w:rFonts w:ascii="Times New Roman" w:eastAsia="Times New Roman" w:hAnsi="Times New Roman" w:cs="Times New Roman"/>
                <w:b/>
                <w:i/>
                <w:color w:val="auto"/>
                <w:sz w:val="24"/>
              </w:rPr>
              <w:t>i izvršitelj</w:t>
            </w:r>
          </w:p>
        </w:tc>
        <w:tc>
          <w:tcPr>
            <w:tcW w:w="4645" w:type="dxa"/>
            <w:tcBorders>
              <w:top w:val="single" w:sz="4" w:space="0" w:color="000000"/>
              <w:left w:val="single" w:sz="4" w:space="0" w:color="000000"/>
              <w:bottom w:val="single" w:sz="4" w:space="0" w:color="000000"/>
              <w:right w:val="single" w:sz="4" w:space="0" w:color="000000"/>
            </w:tcBorders>
            <w:shd w:val="clear" w:color="auto" w:fill="FFC000"/>
          </w:tcPr>
          <w:p w14:paraId="3DA02E6D" w14:textId="2B6BA25A" w:rsidR="00CE4763" w:rsidRPr="007F6D3F" w:rsidRDefault="007B5A21" w:rsidP="00CE4763">
            <w:pPr>
              <w:spacing w:after="0" w:line="240" w:lineRule="auto"/>
              <w:ind w:left="0" w:right="0" w:firstLine="0"/>
              <w:jc w:val="left"/>
              <w:rPr>
                <w:rFonts w:ascii="Times New Roman" w:hAnsi="Times New Roman" w:cs="Times New Roman"/>
                <w:color w:val="auto"/>
                <w:sz w:val="24"/>
              </w:rPr>
            </w:pPr>
            <w:r w:rsidRPr="007F6D3F">
              <w:rPr>
                <w:rFonts w:ascii="Times New Roman" w:eastAsia="Times New Roman" w:hAnsi="Times New Roman" w:cs="Times New Roman"/>
                <w:b/>
                <w:i/>
                <w:color w:val="auto"/>
                <w:sz w:val="24"/>
              </w:rPr>
              <w:t>Verifikator</w:t>
            </w:r>
          </w:p>
        </w:tc>
      </w:tr>
      <w:tr w:rsidR="007F6D3F" w:rsidRPr="007F6D3F" w14:paraId="2395C228" w14:textId="77777777" w:rsidTr="00284074">
        <w:trPr>
          <w:trHeight w:val="1598"/>
        </w:trPr>
        <w:tc>
          <w:tcPr>
            <w:tcW w:w="4654" w:type="dxa"/>
            <w:gridSpan w:val="2"/>
            <w:tcBorders>
              <w:top w:val="single" w:sz="4" w:space="0" w:color="000000"/>
              <w:left w:val="nil"/>
              <w:bottom w:val="single" w:sz="4" w:space="0" w:color="000000"/>
              <w:right w:val="nil"/>
            </w:tcBorders>
            <w:vAlign w:val="center"/>
          </w:tcPr>
          <w:p w14:paraId="3D1331E6" w14:textId="2C36F0E6" w:rsidR="00CE4763" w:rsidRPr="007F6D3F" w:rsidRDefault="00284074" w:rsidP="00CE4763">
            <w:pPr>
              <w:spacing w:after="0" w:line="240" w:lineRule="auto"/>
              <w:ind w:left="0" w:right="0" w:firstLine="0"/>
              <w:jc w:val="left"/>
              <w:rPr>
                <w:rFonts w:ascii="Times New Roman" w:hAnsi="Times New Roman" w:cs="Times New Roman"/>
                <w:color w:val="auto"/>
                <w:sz w:val="24"/>
              </w:rPr>
            </w:pPr>
            <w:r w:rsidRPr="007F6D3F">
              <w:rPr>
                <w:rFonts w:ascii="Times New Roman" w:hAnsi="Times New Roman" w:cs="Times New Roman"/>
                <w:color w:val="auto"/>
                <w:sz w:val="24"/>
              </w:rPr>
              <w:t>Gradski ured za mjesnu samoupravu, civilnu zaštitu i sigurnost</w:t>
            </w:r>
          </w:p>
        </w:tc>
        <w:tc>
          <w:tcPr>
            <w:tcW w:w="4645" w:type="dxa"/>
            <w:tcBorders>
              <w:top w:val="single" w:sz="4" w:space="0" w:color="000000"/>
              <w:left w:val="nil"/>
              <w:bottom w:val="single" w:sz="4" w:space="0" w:color="000000"/>
              <w:right w:val="nil"/>
            </w:tcBorders>
          </w:tcPr>
          <w:p w14:paraId="5D51BB92" w14:textId="0B523F02" w:rsidR="00CE4763" w:rsidRPr="007F6D3F" w:rsidRDefault="00F97183" w:rsidP="00CE4763">
            <w:pPr>
              <w:spacing w:after="0" w:line="240" w:lineRule="auto"/>
              <w:ind w:left="0" w:right="0" w:firstLine="0"/>
              <w:jc w:val="left"/>
              <w:rPr>
                <w:rFonts w:ascii="Times New Roman" w:hAnsi="Times New Roman" w:cs="Times New Roman"/>
                <w:color w:val="auto"/>
                <w:sz w:val="24"/>
              </w:rPr>
            </w:pPr>
            <w:r w:rsidRPr="007F6D3F">
              <w:rPr>
                <w:rFonts w:ascii="Times New Roman" w:eastAsia="Times New Roman" w:hAnsi="Times New Roman" w:cs="Times New Roman"/>
                <w:color w:val="auto"/>
                <w:sz w:val="24"/>
              </w:rPr>
              <w:t>Gradski ured za obnovu, izgradnju, prostorno uređenje, graditeljstvo, komunalne poslove i promet</w:t>
            </w:r>
          </w:p>
        </w:tc>
      </w:tr>
      <w:tr w:rsidR="00CE4763" w:rsidRPr="007F6D3F" w14:paraId="31D9D6B1" w14:textId="77777777" w:rsidTr="00284074">
        <w:trPr>
          <w:trHeight w:val="274"/>
        </w:trPr>
        <w:tc>
          <w:tcPr>
            <w:tcW w:w="4654" w:type="dxa"/>
            <w:gridSpan w:val="2"/>
            <w:tcBorders>
              <w:top w:val="single" w:sz="4" w:space="0" w:color="000000"/>
              <w:left w:val="single" w:sz="4" w:space="0" w:color="000000"/>
              <w:bottom w:val="single" w:sz="4" w:space="0" w:color="000000"/>
              <w:right w:val="nil"/>
            </w:tcBorders>
            <w:shd w:val="clear" w:color="auto" w:fill="FFC000"/>
          </w:tcPr>
          <w:p w14:paraId="43464482" w14:textId="328AE091" w:rsidR="00CE4763" w:rsidRPr="007F6D3F" w:rsidRDefault="00EC43BB" w:rsidP="00CE4763">
            <w:pPr>
              <w:spacing w:after="0" w:line="240" w:lineRule="auto"/>
              <w:ind w:left="0" w:right="0" w:firstLine="0"/>
              <w:jc w:val="left"/>
              <w:rPr>
                <w:rFonts w:ascii="Times New Roman" w:hAnsi="Times New Roman" w:cs="Times New Roman"/>
                <w:b/>
                <w:i/>
                <w:color w:val="auto"/>
                <w:sz w:val="24"/>
              </w:rPr>
            </w:pPr>
            <w:r w:rsidRPr="007F6D3F">
              <w:rPr>
                <w:rFonts w:ascii="Times New Roman" w:eastAsia="Times New Roman" w:hAnsi="Times New Roman" w:cs="Times New Roman"/>
                <w:b/>
                <w:i/>
                <w:color w:val="auto"/>
                <w:sz w:val="24"/>
              </w:rPr>
              <w:t>Koordinator, i</w:t>
            </w:r>
            <w:r w:rsidR="00CE4763" w:rsidRPr="007F6D3F">
              <w:rPr>
                <w:rFonts w:ascii="Times New Roman" w:eastAsia="Times New Roman" w:hAnsi="Times New Roman" w:cs="Times New Roman"/>
                <w:b/>
                <w:i/>
                <w:color w:val="auto"/>
                <w:sz w:val="24"/>
              </w:rPr>
              <w:t xml:space="preserve">zvršitelji </w:t>
            </w:r>
            <w:r w:rsidRPr="007F6D3F">
              <w:rPr>
                <w:rFonts w:ascii="Times New Roman" w:eastAsia="Times New Roman" w:hAnsi="Times New Roman" w:cs="Times New Roman"/>
                <w:b/>
                <w:i/>
                <w:color w:val="auto"/>
                <w:sz w:val="24"/>
              </w:rPr>
              <w:t>i verifikatori</w:t>
            </w:r>
          </w:p>
        </w:tc>
        <w:tc>
          <w:tcPr>
            <w:tcW w:w="4645" w:type="dxa"/>
            <w:tcBorders>
              <w:top w:val="single" w:sz="4" w:space="0" w:color="000000"/>
              <w:left w:val="nil"/>
              <w:bottom w:val="single" w:sz="4" w:space="0" w:color="000000"/>
              <w:right w:val="single" w:sz="4" w:space="0" w:color="000000"/>
            </w:tcBorders>
            <w:shd w:val="clear" w:color="auto" w:fill="FFC000"/>
          </w:tcPr>
          <w:p w14:paraId="79BF101B"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p>
        </w:tc>
      </w:tr>
      <w:tr w:rsidR="00CE4763" w:rsidRPr="007F6D3F" w14:paraId="3898C609" w14:textId="77777777" w:rsidTr="00284074">
        <w:trPr>
          <w:trHeight w:val="1863"/>
        </w:trPr>
        <w:tc>
          <w:tcPr>
            <w:tcW w:w="4654" w:type="dxa"/>
            <w:gridSpan w:val="2"/>
            <w:tcBorders>
              <w:top w:val="single" w:sz="4" w:space="0" w:color="000000"/>
              <w:left w:val="nil"/>
              <w:bottom w:val="single" w:sz="4" w:space="0" w:color="000000"/>
              <w:right w:val="nil"/>
            </w:tcBorders>
          </w:tcPr>
          <w:p w14:paraId="274EACAF" w14:textId="5EBB99DE" w:rsidR="00F97183" w:rsidRPr="007F6D3F" w:rsidRDefault="00BC191F" w:rsidP="00CE4763">
            <w:pPr>
              <w:spacing w:after="0" w:line="240" w:lineRule="auto"/>
              <w:ind w:left="0" w:right="0" w:firstLine="0"/>
              <w:jc w:val="left"/>
              <w:rPr>
                <w:rFonts w:ascii="Times New Roman" w:eastAsia="Times New Roman" w:hAnsi="Times New Roman" w:cs="Times New Roman"/>
                <w:color w:val="auto"/>
                <w:sz w:val="24"/>
              </w:rPr>
            </w:pPr>
            <w:r>
              <w:rPr>
                <w:rFonts w:ascii="Times New Roman" w:eastAsia="Times New Roman" w:hAnsi="Times New Roman" w:cs="Times New Roman"/>
                <w:color w:val="auto"/>
                <w:sz w:val="24"/>
              </w:rPr>
              <w:t xml:space="preserve">dr. sc. </w:t>
            </w:r>
            <w:r w:rsidR="00F97183" w:rsidRPr="007F6D3F">
              <w:rPr>
                <w:rFonts w:ascii="Times New Roman" w:eastAsia="Times New Roman" w:hAnsi="Times New Roman" w:cs="Times New Roman"/>
                <w:color w:val="auto"/>
                <w:sz w:val="24"/>
              </w:rPr>
              <w:t>Ivana Krišto</w:t>
            </w:r>
          </w:p>
          <w:p w14:paraId="19A26789" w14:textId="0908172F" w:rsidR="00CE4763" w:rsidRPr="007F6D3F" w:rsidRDefault="00CE4763" w:rsidP="00CE4763">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Ozren Ilijaš</w:t>
            </w:r>
            <w:r w:rsidR="00BC191F">
              <w:rPr>
                <w:rFonts w:ascii="Times New Roman" w:eastAsia="Times New Roman" w:hAnsi="Times New Roman" w:cs="Times New Roman"/>
                <w:color w:val="auto"/>
                <w:sz w:val="24"/>
              </w:rPr>
              <w:t xml:space="preserve">, </w:t>
            </w:r>
            <w:r w:rsidR="00BC191F" w:rsidRPr="00BC191F">
              <w:rPr>
                <w:rFonts w:ascii="Times New Roman" w:eastAsia="Times New Roman" w:hAnsi="Times New Roman" w:cs="Times New Roman"/>
                <w:color w:val="auto"/>
                <w:sz w:val="24"/>
              </w:rPr>
              <w:t>struč. spec. ing. admin. chris.</w:t>
            </w:r>
          </w:p>
          <w:p w14:paraId="14242AB2" w14:textId="1A5A4466" w:rsidR="00F97183" w:rsidRPr="007F6D3F" w:rsidRDefault="00F97183" w:rsidP="00CE4763">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Marko Cerjan</w:t>
            </w:r>
            <w:r w:rsidR="00BC191F">
              <w:rPr>
                <w:rFonts w:ascii="Times New Roman" w:eastAsia="Times New Roman" w:hAnsi="Times New Roman" w:cs="Times New Roman"/>
                <w:color w:val="auto"/>
                <w:sz w:val="24"/>
              </w:rPr>
              <w:t xml:space="preserve">, </w:t>
            </w:r>
            <w:r w:rsidR="00BC191F" w:rsidRPr="00BC191F">
              <w:rPr>
                <w:rFonts w:ascii="Times New Roman" w:eastAsia="Times New Roman" w:hAnsi="Times New Roman" w:cs="Times New Roman"/>
                <w:color w:val="auto"/>
                <w:sz w:val="24"/>
              </w:rPr>
              <w:t>struč. spec. ing. admin. chris.</w:t>
            </w:r>
          </w:p>
          <w:p w14:paraId="43E03791" w14:textId="1938F41E" w:rsidR="00F97183" w:rsidRPr="007F6D3F" w:rsidRDefault="00F97183" w:rsidP="00F97183">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Vedran Šušković</w:t>
            </w:r>
            <w:r w:rsidR="00BC191F">
              <w:rPr>
                <w:rFonts w:ascii="Times New Roman" w:eastAsia="Times New Roman" w:hAnsi="Times New Roman" w:cs="Times New Roman"/>
                <w:color w:val="auto"/>
                <w:sz w:val="24"/>
              </w:rPr>
              <w:t xml:space="preserve">, </w:t>
            </w:r>
            <w:r w:rsidR="00BC191F" w:rsidRPr="00BC191F">
              <w:rPr>
                <w:rFonts w:ascii="Times New Roman" w:eastAsia="Times New Roman" w:hAnsi="Times New Roman" w:cs="Times New Roman"/>
                <w:color w:val="auto"/>
                <w:sz w:val="24"/>
              </w:rPr>
              <w:t xml:space="preserve">univ. spec. pol.  </w:t>
            </w:r>
          </w:p>
          <w:p w14:paraId="41428122" w14:textId="1FB0532F" w:rsidR="00BC191F" w:rsidRPr="007F6D3F" w:rsidRDefault="00BC191F" w:rsidP="00BC191F">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Tomislav Žderić</w:t>
            </w:r>
            <w:r>
              <w:rPr>
                <w:rFonts w:ascii="Times New Roman" w:eastAsia="Times New Roman" w:hAnsi="Times New Roman" w:cs="Times New Roman"/>
                <w:color w:val="auto"/>
                <w:sz w:val="24"/>
              </w:rPr>
              <w:t xml:space="preserve">, </w:t>
            </w:r>
            <w:r w:rsidRPr="00BC191F">
              <w:rPr>
                <w:rFonts w:ascii="Times New Roman" w:eastAsia="Times New Roman" w:hAnsi="Times New Roman" w:cs="Times New Roman"/>
                <w:color w:val="auto"/>
                <w:sz w:val="24"/>
              </w:rPr>
              <w:t>struč. spec. ing. admin.chris.</w:t>
            </w:r>
          </w:p>
          <w:p w14:paraId="09F01377" w14:textId="51AD4B87" w:rsidR="00F97183" w:rsidRPr="007F6D3F" w:rsidRDefault="006C0DC4" w:rsidP="00F97183">
            <w:pPr>
              <w:spacing w:after="0" w:line="240" w:lineRule="auto"/>
              <w:ind w:left="0" w:right="0" w:firstLine="0"/>
              <w:jc w:val="left"/>
              <w:rPr>
                <w:rFonts w:ascii="Times New Roman" w:eastAsia="Times New Roman" w:hAnsi="Times New Roman" w:cs="Times New Roman"/>
                <w:color w:val="auto"/>
                <w:sz w:val="24"/>
              </w:rPr>
            </w:pPr>
            <w:r>
              <w:rPr>
                <w:rFonts w:ascii="Times New Roman" w:eastAsia="Times New Roman" w:hAnsi="Times New Roman" w:cs="Times New Roman"/>
                <w:color w:val="auto"/>
                <w:sz w:val="24"/>
              </w:rPr>
              <w:t xml:space="preserve">izv. prof. dr. sc. </w:t>
            </w:r>
            <w:r w:rsidR="00F97183" w:rsidRPr="007F6D3F">
              <w:rPr>
                <w:rFonts w:ascii="Times New Roman" w:eastAsia="Times New Roman" w:hAnsi="Times New Roman" w:cs="Times New Roman"/>
                <w:color w:val="auto"/>
                <w:sz w:val="24"/>
              </w:rPr>
              <w:t>Josip Atalić</w:t>
            </w:r>
          </w:p>
        </w:tc>
        <w:tc>
          <w:tcPr>
            <w:tcW w:w="4645" w:type="dxa"/>
            <w:tcBorders>
              <w:top w:val="single" w:sz="4" w:space="0" w:color="000000"/>
              <w:left w:val="nil"/>
              <w:bottom w:val="single" w:sz="4" w:space="0" w:color="000000"/>
              <w:right w:val="nil"/>
            </w:tcBorders>
          </w:tcPr>
          <w:p w14:paraId="5A278150"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p>
        </w:tc>
      </w:tr>
      <w:tr w:rsidR="00CE4763" w:rsidRPr="007F6D3F" w14:paraId="773E082E" w14:textId="77777777" w:rsidTr="00284074">
        <w:trPr>
          <w:trHeight w:val="275"/>
        </w:trPr>
        <w:tc>
          <w:tcPr>
            <w:tcW w:w="4654" w:type="dxa"/>
            <w:gridSpan w:val="2"/>
            <w:tcBorders>
              <w:top w:val="single" w:sz="4" w:space="0" w:color="000000"/>
              <w:left w:val="single" w:sz="4" w:space="0" w:color="000000"/>
              <w:bottom w:val="single" w:sz="4" w:space="0" w:color="000000"/>
              <w:right w:val="nil"/>
            </w:tcBorders>
            <w:shd w:val="clear" w:color="auto" w:fill="FFC000"/>
          </w:tcPr>
          <w:p w14:paraId="57F2174B"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r w:rsidRPr="007F6D3F">
              <w:rPr>
                <w:rFonts w:ascii="Times New Roman" w:eastAsia="Times New Roman" w:hAnsi="Times New Roman" w:cs="Times New Roman"/>
                <w:b/>
                <w:i/>
                <w:color w:val="auto"/>
                <w:sz w:val="24"/>
              </w:rPr>
              <w:t xml:space="preserve">Poplava </w:t>
            </w:r>
          </w:p>
        </w:tc>
        <w:tc>
          <w:tcPr>
            <w:tcW w:w="4645" w:type="dxa"/>
            <w:tcBorders>
              <w:top w:val="single" w:sz="4" w:space="0" w:color="000000"/>
              <w:left w:val="nil"/>
              <w:bottom w:val="single" w:sz="4" w:space="0" w:color="000000"/>
              <w:right w:val="single" w:sz="4" w:space="0" w:color="000000"/>
            </w:tcBorders>
            <w:shd w:val="clear" w:color="auto" w:fill="FFC000"/>
            <w:vAlign w:val="bottom"/>
          </w:tcPr>
          <w:p w14:paraId="7D7471C8"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p>
        </w:tc>
      </w:tr>
      <w:tr w:rsidR="00CE4763" w:rsidRPr="007F6D3F" w14:paraId="0618A2D7" w14:textId="77777777" w:rsidTr="00284074">
        <w:trPr>
          <w:trHeight w:val="272"/>
        </w:trPr>
        <w:tc>
          <w:tcPr>
            <w:tcW w:w="4654" w:type="dxa"/>
            <w:gridSpan w:val="2"/>
            <w:tcBorders>
              <w:top w:val="single" w:sz="4" w:space="0" w:color="000000"/>
              <w:left w:val="single" w:sz="4" w:space="0" w:color="000000"/>
              <w:bottom w:val="single" w:sz="4" w:space="0" w:color="000000"/>
              <w:right w:val="single" w:sz="4" w:space="0" w:color="000000"/>
            </w:tcBorders>
            <w:shd w:val="clear" w:color="auto" w:fill="FFC000"/>
          </w:tcPr>
          <w:p w14:paraId="21CCB6BD" w14:textId="0AEEF0CC" w:rsidR="00CE4763" w:rsidRPr="007F6D3F" w:rsidRDefault="00EC43BB" w:rsidP="00CE4763">
            <w:pPr>
              <w:spacing w:after="0" w:line="240" w:lineRule="auto"/>
              <w:ind w:left="0" w:right="0" w:firstLine="0"/>
              <w:jc w:val="left"/>
              <w:rPr>
                <w:rFonts w:ascii="Times New Roman" w:hAnsi="Times New Roman" w:cs="Times New Roman"/>
                <w:color w:val="auto"/>
                <w:sz w:val="24"/>
              </w:rPr>
            </w:pPr>
            <w:r w:rsidRPr="007F6D3F">
              <w:rPr>
                <w:rFonts w:ascii="Times New Roman" w:eastAsia="Times New Roman" w:hAnsi="Times New Roman" w:cs="Times New Roman"/>
                <w:b/>
                <w:i/>
                <w:color w:val="auto"/>
                <w:sz w:val="24"/>
              </w:rPr>
              <w:t>Koordinator i izvršitelj</w:t>
            </w:r>
          </w:p>
        </w:tc>
        <w:tc>
          <w:tcPr>
            <w:tcW w:w="4645" w:type="dxa"/>
            <w:tcBorders>
              <w:top w:val="single" w:sz="4" w:space="0" w:color="000000"/>
              <w:left w:val="single" w:sz="4" w:space="0" w:color="000000"/>
              <w:bottom w:val="single" w:sz="4" w:space="0" w:color="000000"/>
              <w:right w:val="single" w:sz="4" w:space="0" w:color="000000"/>
            </w:tcBorders>
            <w:shd w:val="clear" w:color="auto" w:fill="FFC000"/>
          </w:tcPr>
          <w:p w14:paraId="458B2509" w14:textId="28C3AE8E" w:rsidR="00CE4763" w:rsidRPr="007F6D3F" w:rsidRDefault="007B5A21" w:rsidP="00CE4763">
            <w:pPr>
              <w:spacing w:after="0" w:line="240" w:lineRule="auto"/>
              <w:ind w:left="0" w:right="0" w:firstLine="0"/>
              <w:jc w:val="left"/>
              <w:rPr>
                <w:rFonts w:ascii="Times New Roman" w:hAnsi="Times New Roman" w:cs="Times New Roman"/>
                <w:color w:val="auto"/>
                <w:sz w:val="24"/>
              </w:rPr>
            </w:pPr>
            <w:r w:rsidRPr="007F6D3F">
              <w:rPr>
                <w:rFonts w:ascii="Times New Roman" w:eastAsia="Times New Roman" w:hAnsi="Times New Roman" w:cs="Times New Roman"/>
                <w:b/>
                <w:i/>
                <w:color w:val="auto"/>
                <w:sz w:val="24"/>
              </w:rPr>
              <w:t>Verifikator</w:t>
            </w:r>
          </w:p>
        </w:tc>
      </w:tr>
      <w:tr w:rsidR="00CE4763" w:rsidRPr="007F6D3F" w14:paraId="1E03763F" w14:textId="77777777" w:rsidTr="00284074">
        <w:tblPrEx>
          <w:tblCellMar>
            <w:top w:w="15" w:type="dxa"/>
            <w:right w:w="115" w:type="dxa"/>
          </w:tblCellMar>
        </w:tblPrEx>
        <w:trPr>
          <w:trHeight w:val="1601"/>
        </w:trPr>
        <w:tc>
          <w:tcPr>
            <w:tcW w:w="4654" w:type="dxa"/>
            <w:gridSpan w:val="2"/>
            <w:tcBorders>
              <w:top w:val="single" w:sz="4" w:space="0" w:color="000000"/>
              <w:left w:val="single" w:sz="12" w:space="0" w:color="FFFFFF"/>
              <w:bottom w:val="single" w:sz="4" w:space="0" w:color="000000"/>
              <w:right w:val="nil"/>
            </w:tcBorders>
          </w:tcPr>
          <w:p w14:paraId="7A2BBA0A" w14:textId="511E87E0" w:rsidR="00CE4763" w:rsidRPr="007F6D3F" w:rsidRDefault="00284074" w:rsidP="00CE4763">
            <w:pPr>
              <w:spacing w:after="0" w:line="240" w:lineRule="auto"/>
              <w:ind w:left="0" w:right="0" w:firstLine="0"/>
              <w:jc w:val="left"/>
              <w:rPr>
                <w:rFonts w:ascii="Times New Roman" w:hAnsi="Times New Roman" w:cs="Times New Roman"/>
                <w:color w:val="auto"/>
                <w:sz w:val="24"/>
              </w:rPr>
            </w:pPr>
            <w:r w:rsidRPr="007F6D3F">
              <w:rPr>
                <w:rFonts w:ascii="Times New Roman" w:hAnsi="Times New Roman" w:cs="Times New Roman"/>
                <w:color w:val="auto"/>
                <w:sz w:val="24"/>
              </w:rPr>
              <w:t>Gradski ured za mjesnu samoupravu, civilnu zaštitu i sigurnost</w:t>
            </w:r>
          </w:p>
        </w:tc>
        <w:tc>
          <w:tcPr>
            <w:tcW w:w="4645" w:type="dxa"/>
            <w:tcBorders>
              <w:top w:val="single" w:sz="4" w:space="0" w:color="000000"/>
              <w:left w:val="nil"/>
              <w:bottom w:val="single" w:sz="4" w:space="0" w:color="000000"/>
              <w:right w:val="single" w:sz="12" w:space="0" w:color="FFFFFF"/>
            </w:tcBorders>
          </w:tcPr>
          <w:p w14:paraId="72F0E163" w14:textId="0AC6FB88" w:rsidR="00CE4763" w:rsidRPr="007F6D3F" w:rsidRDefault="00F97183" w:rsidP="00CE4763">
            <w:pPr>
              <w:spacing w:after="0" w:line="240" w:lineRule="auto"/>
              <w:ind w:left="0" w:right="0" w:firstLine="0"/>
              <w:jc w:val="left"/>
              <w:rPr>
                <w:rFonts w:ascii="Times New Roman" w:hAnsi="Times New Roman" w:cs="Times New Roman"/>
                <w:color w:val="auto"/>
                <w:sz w:val="24"/>
              </w:rPr>
            </w:pPr>
            <w:r w:rsidRPr="007F6D3F">
              <w:rPr>
                <w:rFonts w:ascii="Times New Roman" w:hAnsi="Times New Roman" w:cs="Times New Roman"/>
                <w:color w:val="auto"/>
                <w:sz w:val="24"/>
              </w:rPr>
              <w:t>Gradski ured za obnovu, izgradnju, prostorno uređenje, graditeljstvo, komunalne poslove i promet</w:t>
            </w:r>
          </w:p>
        </w:tc>
      </w:tr>
      <w:tr w:rsidR="00CE4763" w:rsidRPr="007F6D3F" w14:paraId="7CDF2F0F" w14:textId="77777777" w:rsidTr="00284074">
        <w:tblPrEx>
          <w:tblCellMar>
            <w:top w:w="15" w:type="dxa"/>
            <w:right w:w="115" w:type="dxa"/>
          </w:tblCellMar>
        </w:tblPrEx>
        <w:trPr>
          <w:trHeight w:val="271"/>
        </w:trPr>
        <w:tc>
          <w:tcPr>
            <w:tcW w:w="4654" w:type="dxa"/>
            <w:gridSpan w:val="2"/>
            <w:tcBorders>
              <w:top w:val="single" w:sz="4" w:space="0" w:color="000000"/>
              <w:left w:val="single" w:sz="4" w:space="0" w:color="000000"/>
              <w:bottom w:val="single" w:sz="4" w:space="0" w:color="000000"/>
              <w:right w:val="nil"/>
            </w:tcBorders>
            <w:shd w:val="clear" w:color="auto" w:fill="FFC000"/>
          </w:tcPr>
          <w:p w14:paraId="05DC1C4B" w14:textId="3954C5D9" w:rsidR="00CE4763" w:rsidRPr="007F6D3F" w:rsidRDefault="00BD2A5C" w:rsidP="00CE4763">
            <w:pPr>
              <w:spacing w:after="0" w:line="240" w:lineRule="auto"/>
              <w:ind w:left="0" w:right="0" w:firstLine="0"/>
              <w:jc w:val="left"/>
              <w:rPr>
                <w:rFonts w:ascii="Times New Roman" w:hAnsi="Times New Roman" w:cs="Times New Roman"/>
                <w:b/>
                <w:i/>
                <w:color w:val="auto"/>
                <w:sz w:val="24"/>
              </w:rPr>
            </w:pPr>
            <w:r w:rsidRPr="007F6D3F">
              <w:rPr>
                <w:rFonts w:ascii="Times New Roman" w:hAnsi="Times New Roman" w:cs="Times New Roman"/>
                <w:b/>
                <w:i/>
                <w:color w:val="auto"/>
                <w:sz w:val="24"/>
              </w:rPr>
              <w:t>Koordinator, izvršitelji i verifikatori</w:t>
            </w:r>
          </w:p>
        </w:tc>
        <w:tc>
          <w:tcPr>
            <w:tcW w:w="4645" w:type="dxa"/>
            <w:tcBorders>
              <w:top w:val="single" w:sz="4" w:space="0" w:color="000000"/>
              <w:left w:val="nil"/>
              <w:bottom w:val="single" w:sz="4" w:space="0" w:color="000000"/>
              <w:right w:val="single" w:sz="4" w:space="0" w:color="000000"/>
            </w:tcBorders>
            <w:shd w:val="clear" w:color="auto" w:fill="FFC000"/>
          </w:tcPr>
          <w:p w14:paraId="68360EB5"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p>
        </w:tc>
      </w:tr>
      <w:tr w:rsidR="00CE4763" w:rsidRPr="007F6D3F" w14:paraId="36D70048" w14:textId="77777777" w:rsidTr="00284074">
        <w:tblPrEx>
          <w:tblCellMar>
            <w:top w:w="15" w:type="dxa"/>
            <w:right w:w="115" w:type="dxa"/>
          </w:tblCellMar>
        </w:tblPrEx>
        <w:trPr>
          <w:trHeight w:val="1601"/>
        </w:trPr>
        <w:tc>
          <w:tcPr>
            <w:tcW w:w="4654" w:type="dxa"/>
            <w:gridSpan w:val="2"/>
            <w:tcBorders>
              <w:top w:val="single" w:sz="4" w:space="0" w:color="000000"/>
              <w:left w:val="single" w:sz="12" w:space="0" w:color="FFFFFF"/>
              <w:bottom w:val="single" w:sz="4" w:space="0" w:color="000000"/>
              <w:right w:val="nil"/>
            </w:tcBorders>
          </w:tcPr>
          <w:p w14:paraId="0D245C8E" w14:textId="0588BFDF" w:rsidR="00CE4763" w:rsidRPr="007F6D3F" w:rsidRDefault="00BC191F" w:rsidP="00CE4763">
            <w:pPr>
              <w:spacing w:after="0" w:line="240" w:lineRule="auto"/>
              <w:ind w:left="0" w:right="0" w:firstLine="0"/>
              <w:jc w:val="left"/>
              <w:rPr>
                <w:rFonts w:ascii="Times New Roman" w:eastAsia="Times New Roman" w:hAnsi="Times New Roman" w:cs="Times New Roman"/>
                <w:color w:val="auto"/>
                <w:sz w:val="24"/>
              </w:rPr>
            </w:pPr>
            <w:r>
              <w:rPr>
                <w:rFonts w:ascii="Times New Roman" w:eastAsia="Times New Roman" w:hAnsi="Times New Roman" w:cs="Times New Roman"/>
                <w:color w:val="auto"/>
                <w:sz w:val="24"/>
              </w:rPr>
              <w:t xml:space="preserve">dr. sc. </w:t>
            </w:r>
            <w:r w:rsidR="00F97183" w:rsidRPr="007F6D3F">
              <w:rPr>
                <w:rFonts w:ascii="Times New Roman" w:eastAsia="Times New Roman" w:hAnsi="Times New Roman" w:cs="Times New Roman"/>
                <w:color w:val="auto"/>
                <w:sz w:val="24"/>
              </w:rPr>
              <w:t>Ivana Krišto</w:t>
            </w:r>
          </w:p>
          <w:p w14:paraId="50EC6C1B" w14:textId="7AC9BAAE" w:rsidR="00CE4763" w:rsidRPr="007F6D3F" w:rsidRDefault="00CE4763" w:rsidP="00CE4763">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Ozren Ilijaš</w:t>
            </w:r>
            <w:r w:rsidR="00BC191F">
              <w:rPr>
                <w:rFonts w:ascii="Times New Roman" w:eastAsia="Times New Roman" w:hAnsi="Times New Roman" w:cs="Times New Roman"/>
                <w:color w:val="auto"/>
                <w:sz w:val="24"/>
              </w:rPr>
              <w:t xml:space="preserve">, </w:t>
            </w:r>
            <w:r w:rsidR="00BC191F" w:rsidRPr="00BC191F">
              <w:rPr>
                <w:rFonts w:ascii="Times New Roman" w:eastAsia="Times New Roman" w:hAnsi="Times New Roman" w:cs="Times New Roman"/>
                <w:color w:val="auto"/>
                <w:sz w:val="24"/>
              </w:rPr>
              <w:t>struč. spec. ing. admin. chris.</w:t>
            </w:r>
          </w:p>
          <w:p w14:paraId="1A96A3EC" w14:textId="0242B9A7" w:rsidR="00F97183" w:rsidRPr="007F6D3F" w:rsidRDefault="007B5A21" w:rsidP="00CE4763">
            <w:pPr>
              <w:spacing w:after="0" w:line="240" w:lineRule="auto"/>
              <w:ind w:left="0" w:right="0" w:firstLine="0"/>
              <w:jc w:val="left"/>
              <w:rPr>
                <w:rFonts w:ascii="Times New Roman" w:hAnsi="Times New Roman" w:cs="Times New Roman"/>
                <w:color w:val="auto"/>
                <w:sz w:val="24"/>
              </w:rPr>
            </w:pPr>
            <w:r w:rsidRPr="007F6D3F">
              <w:rPr>
                <w:rFonts w:ascii="Times New Roman" w:hAnsi="Times New Roman" w:cs="Times New Roman"/>
                <w:color w:val="auto"/>
                <w:sz w:val="24"/>
              </w:rPr>
              <w:t>Marko Cerjan</w:t>
            </w:r>
            <w:r w:rsidR="00BC191F">
              <w:rPr>
                <w:rFonts w:ascii="Times New Roman" w:hAnsi="Times New Roman" w:cs="Times New Roman"/>
                <w:color w:val="auto"/>
                <w:sz w:val="24"/>
              </w:rPr>
              <w:t xml:space="preserve">, </w:t>
            </w:r>
            <w:r w:rsidR="00BC191F" w:rsidRPr="00BC191F">
              <w:rPr>
                <w:rFonts w:ascii="Times New Roman" w:hAnsi="Times New Roman" w:cs="Times New Roman"/>
                <w:color w:val="auto"/>
                <w:sz w:val="24"/>
              </w:rPr>
              <w:t>struč. spec. ing. admin. chris.</w:t>
            </w:r>
          </w:p>
          <w:p w14:paraId="292BEB06" w14:textId="34255BCC" w:rsidR="00BD2A5C" w:rsidRPr="007F6D3F" w:rsidRDefault="007B5A21" w:rsidP="00BD2A5C">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hAnsi="Times New Roman" w:cs="Times New Roman"/>
                <w:color w:val="auto"/>
                <w:sz w:val="24"/>
              </w:rPr>
              <w:t>Vedran Šušković</w:t>
            </w:r>
            <w:r w:rsidR="00BC191F">
              <w:rPr>
                <w:rFonts w:ascii="Times New Roman" w:hAnsi="Times New Roman" w:cs="Times New Roman"/>
                <w:color w:val="auto"/>
                <w:sz w:val="24"/>
              </w:rPr>
              <w:t xml:space="preserve">, </w:t>
            </w:r>
            <w:r w:rsidR="00BC191F" w:rsidRPr="00BC191F">
              <w:rPr>
                <w:rFonts w:ascii="Times New Roman" w:hAnsi="Times New Roman" w:cs="Times New Roman"/>
                <w:color w:val="auto"/>
                <w:sz w:val="24"/>
              </w:rPr>
              <w:t xml:space="preserve">univ. spec. pol.  </w:t>
            </w:r>
          </w:p>
          <w:p w14:paraId="46FF69E9" w14:textId="6F5BAFDD" w:rsidR="007B5A21" w:rsidRPr="007F6D3F" w:rsidRDefault="00BD2A5C" w:rsidP="00CE4763">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Tomislav Žderić</w:t>
            </w:r>
            <w:r w:rsidR="00BC191F">
              <w:rPr>
                <w:rFonts w:ascii="Times New Roman" w:eastAsia="Times New Roman" w:hAnsi="Times New Roman" w:cs="Times New Roman"/>
                <w:color w:val="auto"/>
                <w:sz w:val="24"/>
              </w:rPr>
              <w:t xml:space="preserve">, </w:t>
            </w:r>
            <w:r w:rsidR="00BC191F" w:rsidRPr="00BC191F">
              <w:rPr>
                <w:rFonts w:ascii="Times New Roman" w:eastAsia="Times New Roman" w:hAnsi="Times New Roman" w:cs="Times New Roman"/>
                <w:color w:val="auto"/>
                <w:sz w:val="24"/>
              </w:rPr>
              <w:t>struč. spec. ing.admin.chris.</w:t>
            </w:r>
          </w:p>
        </w:tc>
        <w:tc>
          <w:tcPr>
            <w:tcW w:w="4645" w:type="dxa"/>
            <w:tcBorders>
              <w:top w:val="single" w:sz="4" w:space="0" w:color="000000"/>
              <w:left w:val="nil"/>
              <w:bottom w:val="single" w:sz="4" w:space="0" w:color="000000"/>
              <w:right w:val="single" w:sz="12" w:space="0" w:color="FFFFFF"/>
            </w:tcBorders>
          </w:tcPr>
          <w:p w14:paraId="4F8EDD92"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p>
        </w:tc>
      </w:tr>
      <w:tr w:rsidR="00CE4763" w:rsidRPr="007F6D3F" w14:paraId="038C0D57" w14:textId="77777777" w:rsidTr="00284074">
        <w:tblPrEx>
          <w:tblCellMar>
            <w:top w:w="15" w:type="dxa"/>
            <w:right w:w="115" w:type="dxa"/>
          </w:tblCellMar>
        </w:tblPrEx>
        <w:trPr>
          <w:trHeight w:val="272"/>
        </w:trPr>
        <w:tc>
          <w:tcPr>
            <w:tcW w:w="4654" w:type="dxa"/>
            <w:gridSpan w:val="2"/>
            <w:tcBorders>
              <w:top w:val="single" w:sz="4" w:space="0" w:color="000000"/>
              <w:left w:val="single" w:sz="4" w:space="0" w:color="000000"/>
              <w:bottom w:val="single" w:sz="4" w:space="0" w:color="000000"/>
              <w:right w:val="nil"/>
            </w:tcBorders>
            <w:shd w:val="clear" w:color="auto" w:fill="FFC000"/>
          </w:tcPr>
          <w:p w14:paraId="7132A69D"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r w:rsidRPr="007F6D3F">
              <w:rPr>
                <w:rFonts w:ascii="Times New Roman" w:eastAsia="Times New Roman" w:hAnsi="Times New Roman" w:cs="Times New Roman"/>
                <w:b/>
                <w:i/>
                <w:color w:val="auto"/>
                <w:sz w:val="24"/>
              </w:rPr>
              <w:t xml:space="preserve">Industrijske nesreće </w:t>
            </w:r>
          </w:p>
        </w:tc>
        <w:tc>
          <w:tcPr>
            <w:tcW w:w="4645" w:type="dxa"/>
            <w:tcBorders>
              <w:top w:val="single" w:sz="4" w:space="0" w:color="000000"/>
              <w:left w:val="nil"/>
              <w:bottom w:val="single" w:sz="4" w:space="0" w:color="000000"/>
              <w:right w:val="single" w:sz="4" w:space="0" w:color="000000"/>
            </w:tcBorders>
            <w:shd w:val="clear" w:color="auto" w:fill="FFC000"/>
          </w:tcPr>
          <w:p w14:paraId="3F2EDAC8"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p>
        </w:tc>
      </w:tr>
      <w:tr w:rsidR="00CE4763" w:rsidRPr="007F6D3F" w14:paraId="79468201" w14:textId="77777777" w:rsidTr="00284074">
        <w:tblPrEx>
          <w:tblCellMar>
            <w:top w:w="15" w:type="dxa"/>
            <w:right w:w="115" w:type="dxa"/>
          </w:tblCellMar>
        </w:tblPrEx>
        <w:trPr>
          <w:trHeight w:val="272"/>
        </w:trPr>
        <w:tc>
          <w:tcPr>
            <w:tcW w:w="4654" w:type="dxa"/>
            <w:gridSpan w:val="2"/>
            <w:tcBorders>
              <w:top w:val="single" w:sz="4" w:space="0" w:color="000000"/>
              <w:left w:val="single" w:sz="4" w:space="0" w:color="000000"/>
              <w:bottom w:val="single" w:sz="4" w:space="0" w:color="000000"/>
              <w:right w:val="single" w:sz="4" w:space="0" w:color="000000"/>
            </w:tcBorders>
            <w:shd w:val="clear" w:color="auto" w:fill="FFC000"/>
          </w:tcPr>
          <w:p w14:paraId="2EE87E8D" w14:textId="386734A9" w:rsidR="00CE4763" w:rsidRPr="007F6D3F" w:rsidRDefault="00CE4763" w:rsidP="00CE4763">
            <w:pPr>
              <w:spacing w:after="0" w:line="240" w:lineRule="auto"/>
              <w:ind w:left="0" w:right="0" w:firstLine="0"/>
              <w:jc w:val="left"/>
              <w:rPr>
                <w:rFonts w:ascii="Times New Roman" w:hAnsi="Times New Roman" w:cs="Times New Roman"/>
                <w:color w:val="auto"/>
                <w:sz w:val="24"/>
              </w:rPr>
            </w:pPr>
            <w:r w:rsidRPr="007F6D3F">
              <w:rPr>
                <w:rFonts w:ascii="Times New Roman" w:eastAsia="Times New Roman" w:hAnsi="Times New Roman" w:cs="Times New Roman"/>
                <w:b/>
                <w:i/>
                <w:color w:val="auto"/>
                <w:sz w:val="24"/>
              </w:rPr>
              <w:t xml:space="preserve">Koordinator </w:t>
            </w:r>
            <w:r w:rsidR="00EC43BB" w:rsidRPr="007F6D3F">
              <w:rPr>
                <w:rFonts w:ascii="Times New Roman" w:eastAsia="Times New Roman" w:hAnsi="Times New Roman" w:cs="Times New Roman"/>
                <w:b/>
                <w:i/>
                <w:color w:val="auto"/>
                <w:sz w:val="24"/>
              </w:rPr>
              <w:t>i izvršitelj</w:t>
            </w:r>
          </w:p>
        </w:tc>
        <w:tc>
          <w:tcPr>
            <w:tcW w:w="4645" w:type="dxa"/>
            <w:tcBorders>
              <w:top w:val="single" w:sz="4" w:space="0" w:color="000000"/>
              <w:left w:val="single" w:sz="4" w:space="0" w:color="000000"/>
              <w:bottom w:val="single" w:sz="4" w:space="0" w:color="000000"/>
              <w:right w:val="single" w:sz="4" w:space="0" w:color="000000"/>
            </w:tcBorders>
            <w:shd w:val="clear" w:color="auto" w:fill="FFC000"/>
          </w:tcPr>
          <w:p w14:paraId="284BA6B0" w14:textId="4EEDB37C" w:rsidR="00CE4763" w:rsidRPr="007F6D3F" w:rsidRDefault="007B5A21" w:rsidP="00CE4763">
            <w:pPr>
              <w:spacing w:after="0" w:line="240" w:lineRule="auto"/>
              <w:ind w:left="0" w:right="0" w:firstLine="0"/>
              <w:jc w:val="left"/>
              <w:rPr>
                <w:rFonts w:ascii="Times New Roman" w:hAnsi="Times New Roman" w:cs="Times New Roman"/>
                <w:color w:val="auto"/>
                <w:sz w:val="24"/>
              </w:rPr>
            </w:pPr>
            <w:r w:rsidRPr="007F6D3F">
              <w:rPr>
                <w:rFonts w:ascii="Times New Roman" w:eastAsia="Times New Roman" w:hAnsi="Times New Roman" w:cs="Times New Roman"/>
                <w:b/>
                <w:i/>
                <w:color w:val="auto"/>
                <w:sz w:val="24"/>
              </w:rPr>
              <w:t>Verifikator</w:t>
            </w:r>
          </w:p>
        </w:tc>
      </w:tr>
      <w:tr w:rsidR="00CE4763" w:rsidRPr="007F6D3F" w14:paraId="77CFDBA3" w14:textId="77777777" w:rsidTr="00284074">
        <w:tblPrEx>
          <w:tblCellMar>
            <w:top w:w="15" w:type="dxa"/>
            <w:right w:w="115" w:type="dxa"/>
          </w:tblCellMar>
        </w:tblPrEx>
        <w:trPr>
          <w:trHeight w:val="1601"/>
        </w:trPr>
        <w:tc>
          <w:tcPr>
            <w:tcW w:w="4654" w:type="dxa"/>
            <w:gridSpan w:val="2"/>
            <w:tcBorders>
              <w:top w:val="single" w:sz="4" w:space="0" w:color="000000"/>
              <w:left w:val="single" w:sz="12" w:space="0" w:color="FFFFFF"/>
              <w:bottom w:val="single" w:sz="4" w:space="0" w:color="000000"/>
              <w:right w:val="nil"/>
            </w:tcBorders>
          </w:tcPr>
          <w:p w14:paraId="20F658ED" w14:textId="4809B357" w:rsidR="00CE4763" w:rsidRPr="007F6D3F" w:rsidRDefault="00284074" w:rsidP="00CE4763">
            <w:pPr>
              <w:spacing w:after="0" w:line="240" w:lineRule="auto"/>
              <w:ind w:left="0" w:right="0" w:firstLine="0"/>
              <w:jc w:val="left"/>
              <w:rPr>
                <w:rFonts w:ascii="Times New Roman" w:hAnsi="Times New Roman" w:cs="Times New Roman"/>
                <w:color w:val="auto"/>
                <w:sz w:val="24"/>
              </w:rPr>
            </w:pPr>
            <w:r w:rsidRPr="007F6D3F">
              <w:rPr>
                <w:rFonts w:ascii="Times New Roman" w:hAnsi="Times New Roman" w:cs="Times New Roman"/>
                <w:color w:val="auto"/>
                <w:sz w:val="24"/>
              </w:rPr>
              <w:t>Gradski ured za mjesnu samoupravu, civilnu zaštitu i sigurnost</w:t>
            </w:r>
          </w:p>
        </w:tc>
        <w:tc>
          <w:tcPr>
            <w:tcW w:w="4645" w:type="dxa"/>
            <w:tcBorders>
              <w:top w:val="single" w:sz="4" w:space="0" w:color="000000"/>
              <w:left w:val="nil"/>
              <w:bottom w:val="single" w:sz="4" w:space="0" w:color="000000"/>
              <w:right w:val="single" w:sz="12" w:space="0" w:color="FFFFFF"/>
            </w:tcBorders>
          </w:tcPr>
          <w:p w14:paraId="0DB51ABF" w14:textId="23B615F8" w:rsidR="00CE4763" w:rsidRPr="007F6D3F" w:rsidRDefault="007B5A21" w:rsidP="00CE4763">
            <w:pPr>
              <w:spacing w:after="0" w:line="240" w:lineRule="auto"/>
              <w:ind w:left="0" w:right="0" w:firstLine="0"/>
              <w:jc w:val="left"/>
              <w:rPr>
                <w:rFonts w:ascii="Times New Roman" w:hAnsi="Times New Roman" w:cs="Times New Roman"/>
                <w:color w:val="auto"/>
                <w:sz w:val="24"/>
              </w:rPr>
            </w:pPr>
            <w:r w:rsidRPr="007F6D3F">
              <w:rPr>
                <w:rFonts w:ascii="Times New Roman" w:hAnsi="Times New Roman" w:cs="Times New Roman"/>
                <w:color w:val="auto"/>
                <w:sz w:val="24"/>
              </w:rPr>
              <w:t>Gradski ured za gospodarstvo, ekološku održivost i strategijsko planiranje</w:t>
            </w:r>
          </w:p>
        </w:tc>
      </w:tr>
      <w:tr w:rsidR="00CE4763" w:rsidRPr="007F6D3F" w14:paraId="07D4B961" w14:textId="77777777" w:rsidTr="00284074">
        <w:tblPrEx>
          <w:tblCellMar>
            <w:top w:w="13" w:type="dxa"/>
            <w:right w:w="115" w:type="dxa"/>
          </w:tblCellMar>
        </w:tblPrEx>
        <w:trPr>
          <w:trHeight w:val="271"/>
        </w:trPr>
        <w:tc>
          <w:tcPr>
            <w:tcW w:w="4654" w:type="dxa"/>
            <w:gridSpan w:val="2"/>
            <w:tcBorders>
              <w:top w:val="single" w:sz="4" w:space="0" w:color="000000"/>
              <w:left w:val="single" w:sz="4" w:space="0" w:color="000000"/>
              <w:bottom w:val="single" w:sz="4" w:space="0" w:color="000000"/>
              <w:right w:val="nil"/>
            </w:tcBorders>
            <w:shd w:val="clear" w:color="auto" w:fill="FFC000"/>
          </w:tcPr>
          <w:p w14:paraId="7C29FCA3" w14:textId="0731BAFC" w:rsidR="00CE4763" w:rsidRPr="007F6D3F" w:rsidRDefault="00BD2A5C" w:rsidP="00CE4763">
            <w:pPr>
              <w:pageBreakBefore/>
              <w:spacing w:after="0" w:line="240" w:lineRule="auto"/>
              <w:ind w:left="0" w:right="0" w:firstLine="0"/>
              <w:jc w:val="left"/>
              <w:rPr>
                <w:rFonts w:ascii="Times New Roman" w:hAnsi="Times New Roman" w:cs="Times New Roman"/>
                <w:b/>
                <w:i/>
                <w:color w:val="auto"/>
                <w:sz w:val="24"/>
              </w:rPr>
            </w:pPr>
            <w:r w:rsidRPr="007F6D3F">
              <w:rPr>
                <w:rFonts w:ascii="Times New Roman" w:hAnsi="Times New Roman" w:cs="Times New Roman"/>
                <w:b/>
                <w:i/>
                <w:color w:val="auto"/>
                <w:sz w:val="24"/>
              </w:rPr>
              <w:lastRenderedPageBreak/>
              <w:t>Koordinator, izvršitelji i verifikatori</w:t>
            </w:r>
          </w:p>
        </w:tc>
        <w:tc>
          <w:tcPr>
            <w:tcW w:w="4645" w:type="dxa"/>
            <w:tcBorders>
              <w:top w:val="single" w:sz="4" w:space="0" w:color="000000"/>
              <w:left w:val="nil"/>
              <w:bottom w:val="single" w:sz="4" w:space="0" w:color="000000"/>
              <w:right w:val="single" w:sz="4" w:space="0" w:color="000000"/>
            </w:tcBorders>
            <w:shd w:val="clear" w:color="auto" w:fill="FFC000"/>
          </w:tcPr>
          <w:p w14:paraId="71CE064D"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p>
        </w:tc>
      </w:tr>
      <w:tr w:rsidR="00CE4763" w:rsidRPr="007F6D3F" w14:paraId="4A50DA04" w14:textId="77777777" w:rsidTr="00284074">
        <w:tblPrEx>
          <w:tblCellMar>
            <w:top w:w="13" w:type="dxa"/>
            <w:right w:w="115" w:type="dxa"/>
          </w:tblCellMar>
        </w:tblPrEx>
        <w:trPr>
          <w:trHeight w:val="1337"/>
        </w:trPr>
        <w:tc>
          <w:tcPr>
            <w:tcW w:w="4654" w:type="dxa"/>
            <w:gridSpan w:val="2"/>
            <w:tcBorders>
              <w:top w:val="single" w:sz="4" w:space="0" w:color="000000"/>
              <w:left w:val="single" w:sz="12" w:space="0" w:color="FFFFFF"/>
              <w:bottom w:val="single" w:sz="4" w:space="0" w:color="000000"/>
              <w:right w:val="nil"/>
            </w:tcBorders>
          </w:tcPr>
          <w:p w14:paraId="1C3B4ABE" w14:textId="00BD0461" w:rsidR="007B5A21" w:rsidRPr="007F6D3F" w:rsidRDefault="00BC191F" w:rsidP="00CE4763">
            <w:pPr>
              <w:spacing w:after="0" w:line="240" w:lineRule="auto"/>
              <w:ind w:left="0" w:right="0" w:firstLine="0"/>
              <w:jc w:val="left"/>
              <w:rPr>
                <w:rFonts w:ascii="Times New Roman" w:eastAsia="Times New Roman" w:hAnsi="Times New Roman" w:cs="Times New Roman"/>
                <w:color w:val="auto"/>
                <w:sz w:val="24"/>
              </w:rPr>
            </w:pPr>
            <w:r>
              <w:rPr>
                <w:rFonts w:ascii="Times New Roman" w:eastAsia="Times New Roman" w:hAnsi="Times New Roman" w:cs="Times New Roman"/>
                <w:color w:val="auto"/>
                <w:sz w:val="24"/>
              </w:rPr>
              <w:t xml:space="preserve">dr. sc. </w:t>
            </w:r>
            <w:r w:rsidR="007B5A21" w:rsidRPr="007F6D3F">
              <w:rPr>
                <w:rFonts w:ascii="Times New Roman" w:eastAsia="Times New Roman" w:hAnsi="Times New Roman" w:cs="Times New Roman"/>
                <w:color w:val="auto"/>
                <w:sz w:val="24"/>
              </w:rPr>
              <w:t>Ivana Krišto</w:t>
            </w:r>
          </w:p>
          <w:p w14:paraId="4B34EB24" w14:textId="3B1E375F" w:rsidR="007B5A21" w:rsidRPr="007F6D3F" w:rsidRDefault="007B5A21" w:rsidP="007B5A21">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Ozren Ilijaš</w:t>
            </w:r>
            <w:r w:rsidR="00BC191F">
              <w:rPr>
                <w:rFonts w:ascii="Times New Roman" w:eastAsia="Times New Roman" w:hAnsi="Times New Roman" w:cs="Times New Roman"/>
                <w:color w:val="auto"/>
                <w:sz w:val="24"/>
              </w:rPr>
              <w:t>, struč. spec. ing. admin. chris.</w:t>
            </w:r>
          </w:p>
          <w:p w14:paraId="482D9453" w14:textId="785BC380" w:rsidR="007B5A21" w:rsidRPr="007F6D3F" w:rsidRDefault="007B5A21" w:rsidP="007B5A21">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Marko Cerjan</w:t>
            </w:r>
            <w:r w:rsidR="00BC191F">
              <w:rPr>
                <w:rFonts w:ascii="Times New Roman" w:eastAsia="Times New Roman" w:hAnsi="Times New Roman" w:cs="Times New Roman"/>
                <w:color w:val="auto"/>
                <w:sz w:val="24"/>
              </w:rPr>
              <w:t xml:space="preserve">, </w:t>
            </w:r>
            <w:r w:rsidR="00BC191F" w:rsidRPr="00BC191F">
              <w:rPr>
                <w:rFonts w:ascii="Times New Roman" w:eastAsia="Times New Roman" w:hAnsi="Times New Roman" w:cs="Times New Roman"/>
                <w:color w:val="auto"/>
                <w:sz w:val="24"/>
              </w:rPr>
              <w:t>struč. spec. ing. admin. chris.</w:t>
            </w:r>
          </w:p>
          <w:p w14:paraId="6CFC7C5E" w14:textId="2FE7243D" w:rsidR="00BD2A5C" w:rsidRPr="007F6D3F" w:rsidRDefault="007B5A21" w:rsidP="00BD2A5C">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Vedran Šušković</w:t>
            </w:r>
            <w:r w:rsidR="00BC191F">
              <w:rPr>
                <w:rFonts w:ascii="Times New Roman" w:eastAsia="Times New Roman" w:hAnsi="Times New Roman" w:cs="Times New Roman"/>
                <w:color w:val="auto"/>
                <w:sz w:val="24"/>
              </w:rPr>
              <w:t xml:space="preserve">, </w:t>
            </w:r>
            <w:r w:rsidR="00BC191F" w:rsidRPr="00BC191F">
              <w:rPr>
                <w:rFonts w:ascii="Times New Roman" w:eastAsia="Times New Roman" w:hAnsi="Times New Roman" w:cs="Times New Roman"/>
                <w:color w:val="auto"/>
                <w:sz w:val="24"/>
              </w:rPr>
              <w:t xml:space="preserve">univ. spec. pol.  </w:t>
            </w:r>
          </w:p>
          <w:p w14:paraId="62035477" w14:textId="31DC5BD7" w:rsidR="00BD2A5C" w:rsidRPr="007F6D3F" w:rsidRDefault="00250CDF" w:rsidP="00BD2A5C">
            <w:pPr>
              <w:spacing w:after="0" w:line="240" w:lineRule="auto"/>
              <w:ind w:left="0" w:right="0" w:firstLine="0"/>
              <w:jc w:val="left"/>
              <w:rPr>
                <w:rFonts w:ascii="Times New Roman" w:eastAsia="Times New Roman" w:hAnsi="Times New Roman" w:cs="Times New Roman"/>
                <w:color w:val="auto"/>
                <w:sz w:val="24"/>
              </w:rPr>
            </w:pPr>
            <w:r w:rsidRPr="00250CDF">
              <w:rPr>
                <w:rFonts w:ascii="Times New Roman" w:eastAsia="Times New Roman" w:hAnsi="Times New Roman" w:cs="Times New Roman"/>
                <w:color w:val="auto"/>
                <w:sz w:val="24"/>
              </w:rPr>
              <w:t xml:space="preserve">doc. dr. sc. </w:t>
            </w:r>
            <w:r w:rsidR="00BD2A5C" w:rsidRPr="007F6D3F">
              <w:rPr>
                <w:rFonts w:ascii="Times New Roman" w:eastAsia="Times New Roman" w:hAnsi="Times New Roman" w:cs="Times New Roman"/>
                <w:color w:val="auto"/>
                <w:sz w:val="24"/>
              </w:rPr>
              <w:t>Sandra Tucak Zorić</w:t>
            </w:r>
          </w:p>
          <w:p w14:paraId="5C928C8B" w14:textId="48479486" w:rsidR="00CE4763" w:rsidRPr="007F6D3F" w:rsidRDefault="00BD2A5C" w:rsidP="00CE4763">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Filip Ćurko</w:t>
            </w:r>
            <w:r w:rsidR="00250CDF">
              <w:rPr>
                <w:rFonts w:ascii="Times New Roman" w:eastAsia="Times New Roman" w:hAnsi="Times New Roman" w:cs="Times New Roman"/>
                <w:color w:val="auto"/>
                <w:sz w:val="24"/>
              </w:rPr>
              <w:t xml:space="preserve">, </w:t>
            </w:r>
            <w:r w:rsidR="00250CDF" w:rsidRPr="00250CDF">
              <w:rPr>
                <w:rFonts w:ascii="Times New Roman" w:eastAsia="Times New Roman" w:hAnsi="Times New Roman" w:cs="Times New Roman"/>
                <w:color w:val="auto"/>
                <w:sz w:val="24"/>
              </w:rPr>
              <w:t>dipl. oec., univ. spec. oec. et polit.</w:t>
            </w:r>
          </w:p>
        </w:tc>
        <w:tc>
          <w:tcPr>
            <w:tcW w:w="4645" w:type="dxa"/>
            <w:tcBorders>
              <w:top w:val="single" w:sz="4" w:space="0" w:color="000000"/>
              <w:left w:val="nil"/>
              <w:bottom w:val="single" w:sz="4" w:space="0" w:color="000000"/>
              <w:right w:val="single" w:sz="12" w:space="0" w:color="FFFFFF"/>
            </w:tcBorders>
          </w:tcPr>
          <w:p w14:paraId="7D268889"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p>
        </w:tc>
      </w:tr>
      <w:tr w:rsidR="00CE4763" w:rsidRPr="007F6D3F" w14:paraId="11AC7BD6" w14:textId="77777777" w:rsidTr="00284074">
        <w:tblPrEx>
          <w:tblCellMar>
            <w:top w:w="13" w:type="dxa"/>
            <w:right w:w="115" w:type="dxa"/>
          </w:tblCellMar>
        </w:tblPrEx>
        <w:trPr>
          <w:trHeight w:val="272"/>
        </w:trPr>
        <w:tc>
          <w:tcPr>
            <w:tcW w:w="4654" w:type="dxa"/>
            <w:gridSpan w:val="2"/>
            <w:tcBorders>
              <w:top w:val="single" w:sz="4" w:space="0" w:color="000000"/>
              <w:left w:val="single" w:sz="4" w:space="0" w:color="000000"/>
              <w:bottom w:val="single" w:sz="4" w:space="0" w:color="000000"/>
              <w:right w:val="nil"/>
            </w:tcBorders>
            <w:shd w:val="clear" w:color="auto" w:fill="FFC000"/>
          </w:tcPr>
          <w:p w14:paraId="1AC8BB2C"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r w:rsidRPr="007F6D3F">
              <w:rPr>
                <w:rFonts w:ascii="Times New Roman" w:eastAsia="Times New Roman" w:hAnsi="Times New Roman" w:cs="Times New Roman"/>
                <w:b/>
                <w:i/>
                <w:color w:val="auto"/>
                <w:sz w:val="24"/>
              </w:rPr>
              <w:t xml:space="preserve">Toplinski valovi </w:t>
            </w:r>
          </w:p>
        </w:tc>
        <w:tc>
          <w:tcPr>
            <w:tcW w:w="4645" w:type="dxa"/>
            <w:tcBorders>
              <w:top w:val="single" w:sz="4" w:space="0" w:color="000000"/>
              <w:left w:val="nil"/>
              <w:bottom w:val="single" w:sz="4" w:space="0" w:color="000000"/>
              <w:right w:val="single" w:sz="4" w:space="0" w:color="000000"/>
            </w:tcBorders>
            <w:shd w:val="clear" w:color="auto" w:fill="FFC000"/>
          </w:tcPr>
          <w:p w14:paraId="21C15A28"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p>
        </w:tc>
      </w:tr>
      <w:tr w:rsidR="00CE4763" w:rsidRPr="007F6D3F" w14:paraId="7B1E601E" w14:textId="77777777" w:rsidTr="00284074">
        <w:tblPrEx>
          <w:tblCellMar>
            <w:top w:w="13" w:type="dxa"/>
            <w:right w:w="115" w:type="dxa"/>
          </w:tblCellMar>
        </w:tblPrEx>
        <w:trPr>
          <w:trHeight w:val="272"/>
        </w:trPr>
        <w:tc>
          <w:tcPr>
            <w:tcW w:w="4654" w:type="dxa"/>
            <w:gridSpan w:val="2"/>
            <w:tcBorders>
              <w:top w:val="single" w:sz="4" w:space="0" w:color="000000"/>
              <w:left w:val="single" w:sz="4" w:space="0" w:color="000000"/>
              <w:bottom w:val="single" w:sz="4" w:space="0" w:color="000000"/>
              <w:right w:val="single" w:sz="4" w:space="0" w:color="000000"/>
            </w:tcBorders>
            <w:shd w:val="clear" w:color="auto" w:fill="FFC000"/>
          </w:tcPr>
          <w:p w14:paraId="21178946" w14:textId="301D435E" w:rsidR="00CE4763" w:rsidRPr="007F6D3F" w:rsidRDefault="00CE4763" w:rsidP="00CE4763">
            <w:pPr>
              <w:spacing w:after="0" w:line="240" w:lineRule="auto"/>
              <w:ind w:left="0" w:right="0" w:firstLine="0"/>
              <w:jc w:val="left"/>
              <w:rPr>
                <w:rFonts w:ascii="Times New Roman" w:hAnsi="Times New Roman" w:cs="Times New Roman"/>
                <w:color w:val="auto"/>
                <w:sz w:val="24"/>
              </w:rPr>
            </w:pPr>
            <w:r w:rsidRPr="007F6D3F">
              <w:rPr>
                <w:rFonts w:ascii="Times New Roman" w:eastAsia="Times New Roman" w:hAnsi="Times New Roman" w:cs="Times New Roman"/>
                <w:b/>
                <w:i/>
                <w:color w:val="auto"/>
                <w:sz w:val="24"/>
              </w:rPr>
              <w:t xml:space="preserve">Koordinator </w:t>
            </w:r>
            <w:r w:rsidR="00EC43BB" w:rsidRPr="007F6D3F">
              <w:rPr>
                <w:rFonts w:ascii="Times New Roman" w:eastAsia="Times New Roman" w:hAnsi="Times New Roman" w:cs="Times New Roman"/>
                <w:b/>
                <w:i/>
                <w:color w:val="auto"/>
                <w:sz w:val="24"/>
              </w:rPr>
              <w:t>i izvršitelj</w:t>
            </w:r>
          </w:p>
        </w:tc>
        <w:tc>
          <w:tcPr>
            <w:tcW w:w="4645" w:type="dxa"/>
            <w:tcBorders>
              <w:top w:val="single" w:sz="4" w:space="0" w:color="000000"/>
              <w:left w:val="single" w:sz="4" w:space="0" w:color="000000"/>
              <w:bottom w:val="single" w:sz="4" w:space="0" w:color="000000"/>
              <w:right w:val="single" w:sz="4" w:space="0" w:color="000000"/>
            </w:tcBorders>
            <w:shd w:val="clear" w:color="auto" w:fill="FFC000"/>
          </w:tcPr>
          <w:p w14:paraId="1EFA15AD" w14:textId="2B48297D" w:rsidR="00CE4763" w:rsidRPr="007F6D3F" w:rsidRDefault="00EC43BB" w:rsidP="00CE4763">
            <w:pPr>
              <w:spacing w:after="0" w:line="240" w:lineRule="auto"/>
              <w:ind w:left="0" w:right="0" w:firstLine="0"/>
              <w:jc w:val="left"/>
              <w:rPr>
                <w:rFonts w:ascii="Times New Roman" w:hAnsi="Times New Roman" w:cs="Times New Roman"/>
                <w:color w:val="auto"/>
                <w:sz w:val="24"/>
              </w:rPr>
            </w:pPr>
            <w:r w:rsidRPr="007F6D3F">
              <w:rPr>
                <w:rFonts w:ascii="Times New Roman" w:eastAsia="Times New Roman" w:hAnsi="Times New Roman" w:cs="Times New Roman"/>
                <w:b/>
                <w:i/>
                <w:color w:val="auto"/>
                <w:sz w:val="24"/>
              </w:rPr>
              <w:t>Verifikator</w:t>
            </w:r>
          </w:p>
        </w:tc>
      </w:tr>
      <w:tr w:rsidR="007F6D3F" w:rsidRPr="007F6D3F" w14:paraId="67BDFD6D" w14:textId="77777777" w:rsidTr="00EE5808">
        <w:tblPrEx>
          <w:tblCellMar>
            <w:top w:w="0" w:type="dxa"/>
            <w:left w:w="0" w:type="dxa"/>
            <w:right w:w="63" w:type="dxa"/>
          </w:tblCellMar>
        </w:tblPrEx>
        <w:trPr>
          <w:trHeight w:val="1104"/>
        </w:trPr>
        <w:tc>
          <w:tcPr>
            <w:tcW w:w="4654" w:type="dxa"/>
            <w:gridSpan w:val="2"/>
            <w:tcBorders>
              <w:top w:val="nil"/>
              <w:left w:val="nil"/>
              <w:right w:val="nil"/>
            </w:tcBorders>
          </w:tcPr>
          <w:p w14:paraId="575A49AC" w14:textId="0E49ECBD" w:rsidR="007B5A21" w:rsidRPr="007F6D3F" w:rsidRDefault="007B5A21" w:rsidP="00CE4763">
            <w:pPr>
              <w:spacing w:after="0" w:line="240" w:lineRule="auto"/>
              <w:ind w:left="0" w:right="0"/>
              <w:jc w:val="left"/>
              <w:rPr>
                <w:rFonts w:ascii="Times New Roman" w:eastAsia="Times New Roman" w:hAnsi="Times New Roman" w:cs="Times New Roman"/>
                <w:color w:val="auto"/>
                <w:sz w:val="24"/>
              </w:rPr>
            </w:pPr>
            <w:r w:rsidRPr="007F6D3F">
              <w:rPr>
                <w:rFonts w:ascii="Times New Roman" w:hAnsi="Times New Roman" w:cs="Times New Roman"/>
                <w:color w:val="auto"/>
                <w:sz w:val="24"/>
              </w:rPr>
              <w:t>Gradski ured za mjesnu samoupravu, civilnu zaštitu i sigurnost</w:t>
            </w:r>
          </w:p>
        </w:tc>
        <w:tc>
          <w:tcPr>
            <w:tcW w:w="4645" w:type="dxa"/>
            <w:tcBorders>
              <w:top w:val="nil"/>
              <w:left w:val="nil"/>
              <w:right w:val="nil"/>
            </w:tcBorders>
          </w:tcPr>
          <w:p w14:paraId="3DC91F2E" w14:textId="6EB99052" w:rsidR="007B5A21" w:rsidRPr="007F6D3F" w:rsidRDefault="007B5A21" w:rsidP="00CE4763">
            <w:pPr>
              <w:spacing w:after="0" w:line="240" w:lineRule="auto"/>
              <w:ind w:left="0" w:right="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 xml:space="preserve">Nastavni zavod za javno zdravstvo "Dr. Andrija Štampar" </w:t>
            </w:r>
          </w:p>
        </w:tc>
      </w:tr>
      <w:tr w:rsidR="00CE4763" w:rsidRPr="007F6D3F" w14:paraId="6E0DD6AA" w14:textId="77777777" w:rsidTr="00284074">
        <w:tblPrEx>
          <w:tblCellMar>
            <w:top w:w="0" w:type="dxa"/>
            <w:left w:w="0" w:type="dxa"/>
            <w:right w:w="63" w:type="dxa"/>
          </w:tblCellMar>
        </w:tblPrEx>
        <w:trPr>
          <w:trHeight w:val="274"/>
        </w:trPr>
        <w:tc>
          <w:tcPr>
            <w:tcW w:w="4654" w:type="dxa"/>
            <w:gridSpan w:val="2"/>
            <w:tcBorders>
              <w:top w:val="single" w:sz="4" w:space="0" w:color="000000"/>
              <w:left w:val="single" w:sz="4" w:space="0" w:color="000000"/>
              <w:bottom w:val="single" w:sz="4" w:space="0" w:color="000000"/>
              <w:right w:val="nil"/>
            </w:tcBorders>
            <w:shd w:val="clear" w:color="auto" w:fill="FFC000"/>
          </w:tcPr>
          <w:p w14:paraId="08AAC843" w14:textId="2B0BD73D" w:rsidR="00CE4763" w:rsidRPr="007F6D3F" w:rsidRDefault="00BD2A5C" w:rsidP="00CE4763">
            <w:pPr>
              <w:spacing w:after="0" w:line="240" w:lineRule="auto"/>
              <w:ind w:left="0" w:right="0" w:firstLine="0"/>
              <w:jc w:val="left"/>
              <w:rPr>
                <w:rFonts w:ascii="Times New Roman" w:hAnsi="Times New Roman" w:cs="Times New Roman"/>
                <w:color w:val="auto"/>
                <w:sz w:val="24"/>
              </w:rPr>
            </w:pPr>
            <w:r w:rsidRPr="007F6D3F">
              <w:rPr>
                <w:rFonts w:ascii="Times New Roman" w:hAnsi="Times New Roman" w:cs="Times New Roman"/>
                <w:b/>
                <w:i/>
                <w:color w:val="auto"/>
                <w:sz w:val="24"/>
              </w:rPr>
              <w:t>Koordinator, izvršitelji i verifikatori</w:t>
            </w:r>
          </w:p>
        </w:tc>
        <w:tc>
          <w:tcPr>
            <w:tcW w:w="4645" w:type="dxa"/>
            <w:tcBorders>
              <w:top w:val="single" w:sz="4" w:space="0" w:color="000000"/>
              <w:left w:val="nil"/>
              <w:bottom w:val="single" w:sz="4" w:space="0" w:color="000000"/>
              <w:right w:val="single" w:sz="4" w:space="0" w:color="000000"/>
            </w:tcBorders>
            <w:shd w:val="clear" w:color="auto" w:fill="FFC000"/>
          </w:tcPr>
          <w:p w14:paraId="1AD1649F"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p>
        </w:tc>
      </w:tr>
      <w:tr w:rsidR="00CE4763" w:rsidRPr="007F6D3F" w14:paraId="62AF0F26" w14:textId="77777777" w:rsidTr="00284074">
        <w:tblPrEx>
          <w:tblCellMar>
            <w:top w:w="0" w:type="dxa"/>
            <w:left w:w="0" w:type="dxa"/>
            <w:right w:w="63" w:type="dxa"/>
          </w:tblCellMar>
        </w:tblPrEx>
        <w:trPr>
          <w:trHeight w:val="539"/>
        </w:trPr>
        <w:tc>
          <w:tcPr>
            <w:tcW w:w="4654" w:type="dxa"/>
            <w:gridSpan w:val="2"/>
            <w:tcBorders>
              <w:top w:val="single" w:sz="4" w:space="0" w:color="000000"/>
              <w:left w:val="single" w:sz="12" w:space="0" w:color="FFFFFF"/>
              <w:bottom w:val="single" w:sz="4" w:space="0" w:color="000000"/>
              <w:right w:val="nil"/>
            </w:tcBorders>
          </w:tcPr>
          <w:p w14:paraId="3B9463D5" w14:textId="7598C98E" w:rsidR="007B5A21" w:rsidRPr="007F6D3F" w:rsidRDefault="00BC191F" w:rsidP="00CE4763">
            <w:pPr>
              <w:spacing w:after="0" w:line="240" w:lineRule="auto"/>
              <w:ind w:left="0" w:right="0" w:firstLine="0"/>
              <w:jc w:val="left"/>
              <w:rPr>
                <w:rFonts w:ascii="Times New Roman" w:eastAsia="Times New Roman" w:hAnsi="Times New Roman" w:cs="Times New Roman"/>
                <w:color w:val="auto"/>
                <w:sz w:val="24"/>
              </w:rPr>
            </w:pPr>
            <w:r>
              <w:rPr>
                <w:rFonts w:ascii="Times New Roman" w:eastAsia="Times New Roman" w:hAnsi="Times New Roman" w:cs="Times New Roman"/>
                <w:color w:val="auto"/>
                <w:sz w:val="24"/>
              </w:rPr>
              <w:t>dr. sc. I</w:t>
            </w:r>
            <w:r w:rsidR="007B5A21" w:rsidRPr="007F6D3F">
              <w:rPr>
                <w:rFonts w:ascii="Times New Roman" w:eastAsia="Times New Roman" w:hAnsi="Times New Roman" w:cs="Times New Roman"/>
                <w:color w:val="auto"/>
                <w:sz w:val="24"/>
              </w:rPr>
              <w:t>vana Krišto</w:t>
            </w:r>
          </w:p>
          <w:p w14:paraId="05C55DD7" w14:textId="33623CB8" w:rsidR="007B5A21" w:rsidRPr="007F6D3F" w:rsidRDefault="007B5A21" w:rsidP="007B5A21">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Ozren Ilijaš</w:t>
            </w:r>
            <w:r w:rsidR="00BC191F">
              <w:rPr>
                <w:rFonts w:ascii="Times New Roman" w:eastAsia="Times New Roman" w:hAnsi="Times New Roman" w:cs="Times New Roman"/>
                <w:color w:val="auto"/>
                <w:sz w:val="24"/>
              </w:rPr>
              <w:t xml:space="preserve">, </w:t>
            </w:r>
            <w:r w:rsidR="00BC191F" w:rsidRPr="00BC191F">
              <w:rPr>
                <w:rFonts w:ascii="Times New Roman" w:eastAsia="Times New Roman" w:hAnsi="Times New Roman" w:cs="Times New Roman"/>
                <w:color w:val="auto"/>
                <w:sz w:val="24"/>
              </w:rPr>
              <w:t>struč. spec. ing. admin. chris.</w:t>
            </w:r>
          </w:p>
          <w:p w14:paraId="7FADB075" w14:textId="511E8313" w:rsidR="007B5A21" w:rsidRPr="007F6D3F" w:rsidRDefault="007B5A21" w:rsidP="007B5A21">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Marko Cerjan</w:t>
            </w:r>
            <w:r w:rsidR="00BC191F">
              <w:rPr>
                <w:rFonts w:ascii="Times New Roman" w:eastAsia="Times New Roman" w:hAnsi="Times New Roman" w:cs="Times New Roman"/>
                <w:color w:val="auto"/>
                <w:sz w:val="24"/>
              </w:rPr>
              <w:t xml:space="preserve">, </w:t>
            </w:r>
            <w:r w:rsidR="00BC191F" w:rsidRPr="00BC191F">
              <w:rPr>
                <w:rFonts w:ascii="Times New Roman" w:eastAsia="Times New Roman" w:hAnsi="Times New Roman" w:cs="Times New Roman"/>
                <w:color w:val="auto"/>
                <w:sz w:val="24"/>
              </w:rPr>
              <w:t>struč. spec. ing. admin. chris.</w:t>
            </w:r>
          </w:p>
          <w:p w14:paraId="277A0400" w14:textId="272A6437" w:rsidR="00BD2A5C" w:rsidRPr="007F6D3F" w:rsidRDefault="007B5A21" w:rsidP="00CE4763">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Vedran Šušković</w:t>
            </w:r>
            <w:r w:rsidR="00BC191F">
              <w:rPr>
                <w:rFonts w:ascii="Times New Roman" w:eastAsia="Times New Roman" w:hAnsi="Times New Roman" w:cs="Times New Roman"/>
                <w:color w:val="auto"/>
                <w:sz w:val="24"/>
              </w:rPr>
              <w:t xml:space="preserve">, </w:t>
            </w:r>
            <w:r w:rsidR="00BC191F" w:rsidRPr="00BC191F">
              <w:rPr>
                <w:rFonts w:ascii="Times New Roman" w:eastAsia="Times New Roman" w:hAnsi="Times New Roman" w:cs="Times New Roman"/>
                <w:color w:val="auto"/>
                <w:sz w:val="24"/>
              </w:rPr>
              <w:t xml:space="preserve">univ. spec. pol.  </w:t>
            </w:r>
          </w:p>
          <w:p w14:paraId="24ECEEE2" w14:textId="6DE9E536" w:rsidR="00CE4763" w:rsidRPr="007F6D3F" w:rsidRDefault="00524CBE" w:rsidP="00841782">
            <w:pPr>
              <w:spacing w:after="0" w:line="240" w:lineRule="auto"/>
              <w:ind w:left="0" w:right="0" w:firstLine="0"/>
              <w:jc w:val="left"/>
              <w:rPr>
                <w:rFonts w:ascii="Times New Roman" w:eastAsia="Times New Roman" w:hAnsi="Times New Roman" w:cs="Times New Roman"/>
                <w:color w:val="auto"/>
                <w:sz w:val="24"/>
              </w:rPr>
            </w:pPr>
            <w:r>
              <w:rPr>
                <w:rFonts w:ascii="Times New Roman" w:eastAsia="Times New Roman" w:hAnsi="Times New Roman" w:cs="Times New Roman"/>
                <w:color w:val="auto"/>
                <w:sz w:val="24"/>
              </w:rPr>
              <w:t xml:space="preserve">prim. </w:t>
            </w:r>
            <w:r w:rsidR="00284379">
              <w:rPr>
                <w:rFonts w:ascii="Times New Roman" w:eastAsia="Times New Roman" w:hAnsi="Times New Roman" w:cs="Times New Roman"/>
                <w:color w:val="auto"/>
                <w:sz w:val="24"/>
              </w:rPr>
              <w:t xml:space="preserve">dr. sc. </w:t>
            </w:r>
            <w:r w:rsidR="00BD2A5C" w:rsidRPr="007F6D3F">
              <w:rPr>
                <w:rFonts w:ascii="Times New Roman" w:eastAsia="Times New Roman" w:hAnsi="Times New Roman" w:cs="Times New Roman"/>
                <w:color w:val="auto"/>
                <w:sz w:val="24"/>
              </w:rPr>
              <w:t>Matijana Jergović</w:t>
            </w:r>
            <w:r w:rsidR="00284379" w:rsidRPr="00284379">
              <w:rPr>
                <w:rFonts w:ascii="Times New Roman" w:eastAsia="Times New Roman" w:hAnsi="Times New Roman" w:cs="Times New Roman"/>
                <w:color w:val="auto"/>
                <w:sz w:val="24"/>
              </w:rPr>
              <w:t>, dr. m</w:t>
            </w:r>
            <w:r>
              <w:rPr>
                <w:rFonts w:ascii="Times New Roman" w:eastAsia="Times New Roman" w:hAnsi="Times New Roman" w:cs="Times New Roman"/>
                <w:color w:val="auto"/>
                <w:sz w:val="24"/>
              </w:rPr>
              <w:t>ed.</w:t>
            </w:r>
          </w:p>
        </w:tc>
        <w:tc>
          <w:tcPr>
            <w:tcW w:w="4645" w:type="dxa"/>
            <w:tcBorders>
              <w:top w:val="single" w:sz="4" w:space="0" w:color="000000"/>
              <w:left w:val="nil"/>
              <w:bottom w:val="single" w:sz="4" w:space="0" w:color="000000"/>
              <w:right w:val="single" w:sz="12" w:space="0" w:color="FFFFFF"/>
            </w:tcBorders>
          </w:tcPr>
          <w:p w14:paraId="30951763"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p>
        </w:tc>
      </w:tr>
      <w:tr w:rsidR="00CE4763" w:rsidRPr="007F6D3F" w14:paraId="531D8D75" w14:textId="77777777" w:rsidTr="00284074">
        <w:tblPrEx>
          <w:tblCellMar>
            <w:right w:w="63" w:type="dxa"/>
          </w:tblCellMar>
        </w:tblPrEx>
        <w:trPr>
          <w:gridBefore w:val="1"/>
          <w:wBefore w:w="7" w:type="dxa"/>
          <w:trHeight w:val="275"/>
        </w:trPr>
        <w:tc>
          <w:tcPr>
            <w:tcW w:w="4647" w:type="dxa"/>
            <w:tcBorders>
              <w:top w:val="single" w:sz="4" w:space="0" w:color="000000"/>
              <w:left w:val="single" w:sz="4" w:space="0" w:color="000000"/>
              <w:bottom w:val="single" w:sz="4" w:space="0" w:color="000000"/>
              <w:right w:val="nil"/>
            </w:tcBorders>
            <w:shd w:val="clear" w:color="auto" w:fill="FFC000"/>
          </w:tcPr>
          <w:p w14:paraId="70E50B01"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r w:rsidRPr="007F6D3F">
              <w:rPr>
                <w:rFonts w:ascii="Times New Roman" w:eastAsia="Times New Roman" w:hAnsi="Times New Roman" w:cs="Times New Roman"/>
                <w:b/>
                <w:i/>
                <w:color w:val="auto"/>
                <w:sz w:val="24"/>
              </w:rPr>
              <w:t xml:space="preserve">Epidemije i pandemije </w:t>
            </w:r>
          </w:p>
        </w:tc>
        <w:tc>
          <w:tcPr>
            <w:tcW w:w="4645" w:type="dxa"/>
            <w:tcBorders>
              <w:top w:val="single" w:sz="4" w:space="0" w:color="000000"/>
              <w:left w:val="nil"/>
              <w:bottom w:val="single" w:sz="4" w:space="0" w:color="000000"/>
              <w:right w:val="single" w:sz="4" w:space="0" w:color="000000"/>
            </w:tcBorders>
            <w:shd w:val="clear" w:color="auto" w:fill="FFC000"/>
          </w:tcPr>
          <w:p w14:paraId="1DE41C47"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p>
        </w:tc>
      </w:tr>
      <w:tr w:rsidR="00CE4763" w:rsidRPr="007F6D3F" w14:paraId="32B84F86" w14:textId="77777777" w:rsidTr="00284074">
        <w:tblPrEx>
          <w:tblCellMar>
            <w:right w:w="63" w:type="dxa"/>
          </w:tblCellMar>
        </w:tblPrEx>
        <w:trPr>
          <w:gridBefore w:val="1"/>
          <w:wBefore w:w="7" w:type="dxa"/>
          <w:trHeight w:val="272"/>
        </w:trPr>
        <w:tc>
          <w:tcPr>
            <w:tcW w:w="4647" w:type="dxa"/>
            <w:tcBorders>
              <w:top w:val="single" w:sz="4" w:space="0" w:color="000000"/>
              <w:left w:val="single" w:sz="4" w:space="0" w:color="000000"/>
              <w:bottom w:val="single" w:sz="4" w:space="0" w:color="000000"/>
              <w:right w:val="single" w:sz="4" w:space="0" w:color="000000"/>
            </w:tcBorders>
            <w:shd w:val="clear" w:color="auto" w:fill="FFC000"/>
          </w:tcPr>
          <w:p w14:paraId="2FC8AE27" w14:textId="4B5BB117" w:rsidR="00CE4763" w:rsidRPr="007F6D3F" w:rsidRDefault="00CE4763" w:rsidP="00CE4763">
            <w:pPr>
              <w:spacing w:after="0" w:line="240" w:lineRule="auto"/>
              <w:ind w:left="0" w:right="0" w:firstLine="0"/>
              <w:jc w:val="left"/>
              <w:rPr>
                <w:rFonts w:ascii="Times New Roman" w:hAnsi="Times New Roman" w:cs="Times New Roman"/>
                <w:color w:val="auto"/>
                <w:sz w:val="24"/>
              </w:rPr>
            </w:pPr>
            <w:r w:rsidRPr="007F6D3F">
              <w:rPr>
                <w:rFonts w:ascii="Times New Roman" w:eastAsia="Times New Roman" w:hAnsi="Times New Roman" w:cs="Times New Roman"/>
                <w:b/>
                <w:i/>
                <w:color w:val="auto"/>
                <w:sz w:val="24"/>
              </w:rPr>
              <w:t xml:space="preserve">Koordinator </w:t>
            </w:r>
            <w:r w:rsidR="00BD2A5C" w:rsidRPr="007F6D3F">
              <w:rPr>
                <w:rFonts w:ascii="Times New Roman" w:eastAsia="Times New Roman" w:hAnsi="Times New Roman" w:cs="Times New Roman"/>
                <w:b/>
                <w:i/>
                <w:color w:val="auto"/>
                <w:sz w:val="24"/>
              </w:rPr>
              <w:t>i izvršitelj</w:t>
            </w:r>
          </w:p>
        </w:tc>
        <w:tc>
          <w:tcPr>
            <w:tcW w:w="4645" w:type="dxa"/>
            <w:tcBorders>
              <w:top w:val="single" w:sz="4" w:space="0" w:color="000000"/>
              <w:left w:val="single" w:sz="4" w:space="0" w:color="000000"/>
              <w:bottom w:val="single" w:sz="4" w:space="0" w:color="000000"/>
              <w:right w:val="single" w:sz="4" w:space="0" w:color="000000"/>
            </w:tcBorders>
            <w:shd w:val="clear" w:color="auto" w:fill="FFC000"/>
          </w:tcPr>
          <w:p w14:paraId="40CDD02E" w14:textId="79806D8A" w:rsidR="00CE4763" w:rsidRPr="007F6D3F" w:rsidRDefault="00EC43BB" w:rsidP="00CE4763">
            <w:pPr>
              <w:spacing w:after="0" w:line="240" w:lineRule="auto"/>
              <w:ind w:left="0" w:right="0" w:firstLine="0"/>
              <w:jc w:val="left"/>
              <w:rPr>
                <w:rFonts w:ascii="Times New Roman" w:hAnsi="Times New Roman" w:cs="Times New Roman"/>
                <w:color w:val="auto"/>
                <w:sz w:val="24"/>
              </w:rPr>
            </w:pPr>
            <w:r w:rsidRPr="007F6D3F">
              <w:rPr>
                <w:rFonts w:ascii="Times New Roman" w:eastAsia="Times New Roman" w:hAnsi="Times New Roman" w:cs="Times New Roman"/>
                <w:b/>
                <w:i/>
                <w:color w:val="auto"/>
                <w:sz w:val="24"/>
              </w:rPr>
              <w:t>Verifikator</w:t>
            </w:r>
          </w:p>
        </w:tc>
      </w:tr>
      <w:tr w:rsidR="00CE4763" w:rsidRPr="007F6D3F" w14:paraId="56B21A9B" w14:textId="77777777" w:rsidTr="00284074">
        <w:tblPrEx>
          <w:tblCellMar>
            <w:right w:w="63" w:type="dxa"/>
          </w:tblCellMar>
        </w:tblPrEx>
        <w:trPr>
          <w:gridBefore w:val="1"/>
          <w:wBefore w:w="7" w:type="dxa"/>
          <w:trHeight w:val="806"/>
        </w:trPr>
        <w:tc>
          <w:tcPr>
            <w:tcW w:w="4647" w:type="dxa"/>
            <w:tcBorders>
              <w:top w:val="single" w:sz="4" w:space="0" w:color="000000"/>
              <w:left w:val="nil"/>
              <w:bottom w:val="single" w:sz="4" w:space="0" w:color="000000"/>
              <w:right w:val="nil"/>
            </w:tcBorders>
            <w:vAlign w:val="center"/>
          </w:tcPr>
          <w:p w14:paraId="63CFA736" w14:textId="4B846155" w:rsidR="00CE4763" w:rsidRPr="007F6D3F" w:rsidRDefault="006C73D5" w:rsidP="00CE4763">
            <w:pPr>
              <w:spacing w:after="0" w:line="240" w:lineRule="auto"/>
              <w:ind w:left="0" w:right="0" w:firstLine="0"/>
              <w:jc w:val="left"/>
              <w:rPr>
                <w:rFonts w:ascii="Times New Roman" w:hAnsi="Times New Roman" w:cs="Times New Roman"/>
                <w:color w:val="auto"/>
                <w:sz w:val="24"/>
              </w:rPr>
            </w:pPr>
            <w:r w:rsidRPr="007F6D3F">
              <w:rPr>
                <w:rFonts w:ascii="Times New Roman" w:hAnsi="Times New Roman" w:cs="Times New Roman"/>
                <w:color w:val="auto"/>
                <w:sz w:val="24"/>
              </w:rPr>
              <w:t>Gradski ured za mjesnu samoupravu, civilnu zaštitu i sigurnost</w:t>
            </w:r>
          </w:p>
        </w:tc>
        <w:tc>
          <w:tcPr>
            <w:tcW w:w="4645" w:type="dxa"/>
            <w:tcBorders>
              <w:top w:val="single" w:sz="4" w:space="0" w:color="000000"/>
              <w:left w:val="nil"/>
              <w:bottom w:val="single" w:sz="4" w:space="0" w:color="000000"/>
              <w:right w:val="nil"/>
            </w:tcBorders>
          </w:tcPr>
          <w:p w14:paraId="563BFEFD"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r w:rsidRPr="007F6D3F">
              <w:rPr>
                <w:rFonts w:ascii="Times New Roman" w:eastAsia="Times New Roman" w:hAnsi="Times New Roman" w:cs="Times New Roman"/>
                <w:color w:val="auto"/>
                <w:sz w:val="24"/>
              </w:rPr>
              <w:t xml:space="preserve">Nastavni zavod za javno zdravstvo "Dr. Andrija Štampar" </w:t>
            </w:r>
          </w:p>
        </w:tc>
      </w:tr>
      <w:tr w:rsidR="00CE4763" w:rsidRPr="007F6D3F" w14:paraId="0E97E9FA" w14:textId="77777777" w:rsidTr="00284074">
        <w:tblPrEx>
          <w:tblCellMar>
            <w:right w:w="63" w:type="dxa"/>
          </w:tblCellMar>
        </w:tblPrEx>
        <w:trPr>
          <w:gridBefore w:val="1"/>
          <w:wBefore w:w="7" w:type="dxa"/>
          <w:trHeight w:val="271"/>
        </w:trPr>
        <w:tc>
          <w:tcPr>
            <w:tcW w:w="4647" w:type="dxa"/>
            <w:tcBorders>
              <w:top w:val="single" w:sz="4" w:space="0" w:color="000000"/>
              <w:left w:val="single" w:sz="4" w:space="0" w:color="000000"/>
              <w:bottom w:val="single" w:sz="4" w:space="0" w:color="000000"/>
              <w:right w:val="nil"/>
            </w:tcBorders>
            <w:shd w:val="clear" w:color="auto" w:fill="FFC000"/>
          </w:tcPr>
          <w:p w14:paraId="09B39F54" w14:textId="62242E7A" w:rsidR="00CE4763" w:rsidRPr="007F6D3F" w:rsidRDefault="00BD2A5C" w:rsidP="00CE4763">
            <w:pPr>
              <w:spacing w:after="0" w:line="240" w:lineRule="auto"/>
              <w:ind w:left="0" w:right="0" w:firstLine="0"/>
              <w:jc w:val="left"/>
              <w:rPr>
                <w:rFonts w:ascii="Times New Roman" w:hAnsi="Times New Roman" w:cs="Times New Roman"/>
                <w:color w:val="auto"/>
                <w:sz w:val="24"/>
              </w:rPr>
            </w:pPr>
            <w:r w:rsidRPr="007F6D3F">
              <w:rPr>
                <w:rFonts w:ascii="Times New Roman" w:hAnsi="Times New Roman" w:cs="Times New Roman"/>
                <w:b/>
                <w:i/>
                <w:color w:val="auto"/>
                <w:sz w:val="24"/>
              </w:rPr>
              <w:t>Koordinator, izvršitelji i verifikatori</w:t>
            </w:r>
          </w:p>
        </w:tc>
        <w:tc>
          <w:tcPr>
            <w:tcW w:w="4645" w:type="dxa"/>
            <w:tcBorders>
              <w:top w:val="single" w:sz="4" w:space="0" w:color="000000"/>
              <w:left w:val="nil"/>
              <w:bottom w:val="single" w:sz="4" w:space="0" w:color="000000"/>
              <w:right w:val="single" w:sz="4" w:space="0" w:color="000000"/>
            </w:tcBorders>
            <w:shd w:val="clear" w:color="auto" w:fill="FFC000"/>
          </w:tcPr>
          <w:p w14:paraId="4AF40606"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p>
        </w:tc>
      </w:tr>
      <w:tr w:rsidR="00CE4763" w:rsidRPr="007F6D3F" w14:paraId="4E1E5E90" w14:textId="77777777" w:rsidTr="00284074">
        <w:tblPrEx>
          <w:tblCellMar>
            <w:top w:w="0" w:type="dxa"/>
            <w:left w:w="0" w:type="dxa"/>
            <w:right w:w="0" w:type="dxa"/>
          </w:tblCellMar>
        </w:tblPrEx>
        <w:trPr>
          <w:gridBefore w:val="1"/>
          <w:wBefore w:w="7" w:type="dxa"/>
          <w:trHeight w:val="1601"/>
        </w:trPr>
        <w:tc>
          <w:tcPr>
            <w:tcW w:w="4647" w:type="dxa"/>
          </w:tcPr>
          <w:p w14:paraId="715D31B9" w14:textId="108A0723" w:rsidR="007B5A21" w:rsidRPr="007F6D3F" w:rsidRDefault="00BC191F" w:rsidP="007B5A21">
            <w:pPr>
              <w:spacing w:after="0" w:line="240" w:lineRule="auto"/>
              <w:ind w:left="0" w:right="0" w:firstLine="0"/>
              <w:jc w:val="left"/>
              <w:rPr>
                <w:rFonts w:ascii="Times New Roman" w:eastAsia="Times New Roman" w:hAnsi="Times New Roman" w:cs="Times New Roman"/>
                <w:color w:val="auto"/>
                <w:sz w:val="24"/>
              </w:rPr>
            </w:pPr>
            <w:r>
              <w:rPr>
                <w:rFonts w:ascii="Times New Roman" w:eastAsia="Times New Roman" w:hAnsi="Times New Roman" w:cs="Times New Roman"/>
                <w:color w:val="auto"/>
                <w:sz w:val="24"/>
              </w:rPr>
              <w:t xml:space="preserve">dr. sc. </w:t>
            </w:r>
            <w:r w:rsidR="007B5A21" w:rsidRPr="007F6D3F">
              <w:rPr>
                <w:rFonts w:ascii="Times New Roman" w:eastAsia="Times New Roman" w:hAnsi="Times New Roman" w:cs="Times New Roman"/>
                <w:color w:val="auto"/>
                <w:sz w:val="24"/>
              </w:rPr>
              <w:t>Ivana Krišto</w:t>
            </w:r>
          </w:p>
          <w:p w14:paraId="6023F995" w14:textId="7E16529A" w:rsidR="007B5A21" w:rsidRPr="007F6D3F" w:rsidRDefault="007B5A21" w:rsidP="007B5A21">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Ozren Ilijaš</w:t>
            </w:r>
            <w:r w:rsidR="00BC191F">
              <w:rPr>
                <w:rFonts w:ascii="Times New Roman" w:eastAsia="Times New Roman" w:hAnsi="Times New Roman" w:cs="Times New Roman"/>
                <w:color w:val="auto"/>
                <w:sz w:val="24"/>
              </w:rPr>
              <w:t xml:space="preserve">, </w:t>
            </w:r>
            <w:r w:rsidR="00BC191F" w:rsidRPr="00BC191F">
              <w:rPr>
                <w:rFonts w:ascii="Times New Roman" w:eastAsia="Times New Roman" w:hAnsi="Times New Roman" w:cs="Times New Roman"/>
                <w:color w:val="auto"/>
                <w:sz w:val="24"/>
              </w:rPr>
              <w:t>struč. spec. ing. admin. chris.</w:t>
            </w:r>
          </w:p>
          <w:p w14:paraId="5F2AA118" w14:textId="78CF7F58" w:rsidR="007B5A21" w:rsidRPr="007F6D3F" w:rsidRDefault="007B5A21" w:rsidP="007B5A21">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Marko Cerjan</w:t>
            </w:r>
            <w:r w:rsidR="00BC191F">
              <w:rPr>
                <w:rFonts w:ascii="Times New Roman" w:eastAsia="Times New Roman" w:hAnsi="Times New Roman" w:cs="Times New Roman"/>
                <w:color w:val="auto"/>
                <w:sz w:val="24"/>
              </w:rPr>
              <w:t xml:space="preserve">, </w:t>
            </w:r>
            <w:r w:rsidR="00BC191F" w:rsidRPr="00BC191F">
              <w:rPr>
                <w:rFonts w:ascii="Times New Roman" w:eastAsia="Times New Roman" w:hAnsi="Times New Roman" w:cs="Times New Roman"/>
                <w:color w:val="auto"/>
                <w:sz w:val="24"/>
              </w:rPr>
              <w:t>struč. spec. ing. admin. chris.</w:t>
            </w:r>
          </w:p>
          <w:p w14:paraId="37D9D640" w14:textId="75E341F3" w:rsidR="00BD2A5C" w:rsidRPr="007F6D3F" w:rsidRDefault="007B5A21" w:rsidP="00BD2A5C">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Vedran Šušković</w:t>
            </w:r>
            <w:r w:rsidR="00BC191F">
              <w:rPr>
                <w:rFonts w:ascii="Times New Roman" w:eastAsia="Times New Roman" w:hAnsi="Times New Roman" w:cs="Times New Roman"/>
                <w:color w:val="auto"/>
                <w:sz w:val="24"/>
              </w:rPr>
              <w:t xml:space="preserve">, </w:t>
            </w:r>
            <w:r w:rsidR="00BD2A5C" w:rsidRPr="007F6D3F">
              <w:rPr>
                <w:rFonts w:ascii="Times New Roman" w:eastAsia="Times New Roman" w:hAnsi="Times New Roman" w:cs="Times New Roman"/>
                <w:color w:val="auto"/>
                <w:sz w:val="24"/>
              </w:rPr>
              <w:t xml:space="preserve"> </w:t>
            </w:r>
            <w:r w:rsidR="00BC191F" w:rsidRPr="00BC191F">
              <w:rPr>
                <w:rFonts w:ascii="Times New Roman" w:eastAsia="Times New Roman" w:hAnsi="Times New Roman" w:cs="Times New Roman"/>
                <w:color w:val="auto"/>
                <w:sz w:val="24"/>
              </w:rPr>
              <w:t xml:space="preserve">univ. spec. pol.  </w:t>
            </w:r>
          </w:p>
          <w:p w14:paraId="3B921E99" w14:textId="56A7CB50" w:rsidR="00CE4763" w:rsidRPr="007F6D3F" w:rsidRDefault="002E1540" w:rsidP="00841782">
            <w:pPr>
              <w:spacing w:after="0" w:line="240" w:lineRule="auto"/>
              <w:ind w:left="0" w:right="0" w:firstLine="0"/>
              <w:jc w:val="left"/>
              <w:rPr>
                <w:rFonts w:ascii="Times New Roman" w:eastAsia="Times New Roman" w:hAnsi="Times New Roman" w:cs="Times New Roman"/>
                <w:color w:val="auto"/>
                <w:sz w:val="24"/>
              </w:rPr>
            </w:pPr>
            <w:r w:rsidRPr="002E1540">
              <w:rPr>
                <w:rFonts w:ascii="Times New Roman" w:eastAsia="Times New Roman" w:hAnsi="Times New Roman" w:cs="Times New Roman"/>
                <w:color w:val="auto"/>
                <w:sz w:val="24"/>
              </w:rPr>
              <w:t>prim.dr.sc. Matijana Jergović, dr.med</w:t>
            </w:r>
            <w:r>
              <w:rPr>
                <w:rFonts w:ascii="Times New Roman" w:eastAsia="Times New Roman" w:hAnsi="Times New Roman" w:cs="Times New Roman"/>
                <w:color w:val="auto"/>
                <w:sz w:val="24"/>
              </w:rPr>
              <w:t>.</w:t>
            </w:r>
          </w:p>
        </w:tc>
        <w:tc>
          <w:tcPr>
            <w:tcW w:w="4645" w:type="dxa"/>
          </w:tcPr>
          <w:p w14:paraId="6FACAAB9"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p>
        </w:tc>
      </w:tr>
      <w:tr w:rsidR="00CE4763" w:rsidRPr="007F6D3F" w14:paraId="3782E285" w14:textId="77777777" w:rsidTr="00284074">
        <w:trPr>
          <w:trHeight w:val="275"/>
        </w:trPr>
        <w:tc>
          <w:tcPr>
            <w:tcW w:w="4654" w:type="dxa"/>
            <w:gridSpan w:val="2"/>
            <w:tcBorders>
              <w:top w:val="single" w:sz="4" w:space="0" w:color="000000"/>
              <w:left w:val="single" w:sz="4" w:space="0" w:color="000000"/>
              <w:bottom w:val="single" w:sz="4" w:space="0" w:color="000000"/>
              <w:right w:val="nil"/>
            </w:tcBorders>
            <w:shd w:val="clear" w:color="auto" w:fill="FFC000"/>
          </w:tcPr>
          <w:p w14:paraId="7E1E8EC1" w14:textId="1F91D0FB" w:rsidR="00CE4763" w:rsidRPr="007F6D3F" w:rsidRDefault="006C73D5" w:rsidP="00CE4763">
            <w:pPr>
              <w:spacing w:after="0" w:line="240" w:lineRule="auto"/>
              <w:ind w:left="0" w:right="0" w:firstLine="0"/>
              <w:jc w:val="left"/>
              <w:rPr>
                <w:rFonts w:ascii="Times New Roman" w:hAnsi="Times New Roman" w:cs="Times New Roman"/>
                <w:b/>
                <w:i/>
                <w:color w:val="auto"/>
                <w:sz w:val="24"/>
              </w:rPr>
            </w:pPr>
            <w:r w:rsidRPr="007F6D3F">
              <w:rPr>
                <w:rFonts w:ascii="Times New Roman" w:hAnsi="Times New Roman" w:cs="Times New Roman"/>
                <w:b/>
                <w:i/>
                <w:color w:val="auto"/>
                <w:sz w:val="24"/>
              </w:rPr>
              <w:t>Nuklearna nesreća</w:t>
            </w:r>
          </w:p>
        </w:tc>
        <w:tc>
          <w:tcPr>
            <w:tcW w:w="4645" w:type="dxa"/>
            <w:tcBorders>
              <w:top w:val="single" w:sz="4" w:space="0" w:color="000000"/>
              <w:left w:val="nil"/>
              <w:bottom w:val="single" w:sz="4" w:space="0" w:color="000000"/>
              <w:right w:val="single" w:sz="4" w:space="0" w:color="000000"/>
            </w:tcBorders>
            <w:shd w:val="clear" w:color="auto" w:fill="FFC000"/>
          </w:tcPr>
          <w:p w14:paraId="75577726"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p>
        </w:tc>
      </w:tr>
      <w:tr w:rsidR="007F6D3F" w:rsidRPr="007F6D3F" w14:paraId="4615FA24" w14:textId="77777777" w:rsidTr="00284074">
        <w:trPr>
          <w:trHeight w:val="272"/>
        </w:trPr>
        <w:tc>
          <w:tcPr>
            <w:tcW w:w="4654" w:type="dxa"/>
            <w:gridSpan w:val="2"/>
            <w:tcBorders>
              <w:top w:val="single" w:sz="4" w:space="0" w:color="000000"/>
              <w:left w:val="single" w:sz="4" w:space="0" w:color="000000"/>
              <w:bottom w:val="single" w:sz="4" w:space="0" w:color="000000"/>
              <w:right w:val="single" w:sz="4" w:space="0" w:color="000000"/>
            </w:tcBorders>
            <w:shd w:val="clear" w:color="auto" w:fill="FFC000"/>
          </w:tcPr>
          <w:p w14:paraId="3338C994" w14:textId="0710E03F" w:rsidR="00CE4763" w:rsidRPr="007F6D3F" w:rsidRDefault="00CE4763" w:rsidP="00CE4763">
            <w:pPr>
              <w:spacing w:after="0" w:line="240" w:lineRule="auto"/>
              <w:ind w:left="0" w:right="0" w:firstLine="0"/>
              <w:jc w:val="left"/>
              <w:rPr>
                <w:rFonts w:ascii="Times New Roman" w:hAnsi="Times New Roman" w:cs="Times New Roman"/>
                <w:color w:val="auto"/>
                <w:sz w:val="24"/>
              </w:rPr>
            </w:pPr>
            <w:r w:rsidRPr="007F6D3F">
              <w:rPr>
                <w:rFonts w:ascii="Times New Roman" w:eastAsia="Times New Roman" w:hAnsi="Times New Roman" w:cs="Times New Roman"/>
                <w:b/>
                <w:i/>
                <w:color w:val="auto"/>
                <w:sz w:val="24"/>
              </w:rPr>
              <w:t xml:space="preserve">Koordinator </w:t>
            </w:r>
            <w:r w:rsidR="00BD2A5C" w:rsidRPr="007F6D3F">
              <w:rPr>
                <w:rFonts w:ascii="Times New Roman" w:eastAsia="Times New Roman" w:hAnsi="Times New Roman" w:cs="Times New Roman"/>
                <w:b/>
                <w:i/>
                <w:color w:val="auto"/>
                <w:sz w:val="24"/>
              </w:rPr>
              <w:t>i izvršitelj</w:t>
            </w:r>
          </w:p>
        </w:tc>
        <w:tc>
          <w:tcPr>
            <w:tcW w:w="4645" w:type="dxa"/>
            <w:tcBorders>
              <w:top w:val="single" w:sz="4" w:space="0" w:color="000000"/>
              <w:left w:val="single" w:sz="4" w:space="0" w:color="000000"/>
              <w:bottom w:val="single" w:sz="4" w:space="0" w:color="000000"/>
              <w:right w:val="single" w:sz="4" w:space="0" w:color="000000"/>
            </w:tcBorders>
            <w:shd w:val="clear" w:color="auto" w:fill="FFC000"/>
          </w:tcPr>
          <w:p w14:paraId="249A14A0" w14:textId="57547839" w:rsidR="00CE4763" w:rsidRPr="007F6D3F" w:rsidRDefault="00BD2A5C" w:rsidP="00CE4763">
            <w:pPr>
              <w:spacing w:after="0" w:line="240" w:lineRule="auto"/>
              <w:ind w:left="0" w:right="0" w:firstLine="0"/>
              <w:jc w:val="left"/>
              <w:rPr>
                <w:rFonts w:ascii="Times New Roman" w:hAnsi="Times New Roman" w:cs="Times New Roman"/>
                <w:b/>
                <w:i/>
                <w:color w:val="auto"/>
                <w:sz w:val="24"/>
              </w:rPr>
            </w:pPr>
            <w:r w:rsidRPr="007F6D3F">
              <w:rPr>
                <w:rFonts w:ascii="Times New Roman" w:hAnsi="Times New Roman" w:cs="Times New Roman"/>
                <w:b/>
                <w:i/>
                <w:color w:val="auto"/>
                <w:sz w:val="24"/>
              </w:rPr>
              <w:t>Verifikator</w:t>
            </w:r>
          </w:p>
        </w:tc>
      </w:tr>
      <w:tr w:rsidR="00CE4763" w:rsidRPr="007F6D3F" w14:paraId="411125AD" w14:textId="77777777" w:rsidTr="00284074">
        <w:trPr>
          <w:trHeight w:val="1598"/>
        </w:trPr>
        <w:tc>
          <w:tcPr>
            <w:tcW w:w="4654" w:type="dxa"/>
            <w:gridSpan w:val="2"/>
            <w:tcBorders>
              <w:top w:val="single" w:sz="4" w:space="0" w:color="000000"/>
              <w:left w:val="nil"/>
              <w:bottom w:val="single" w:sz="4" w:space="0" w:color="000000"/>
              <w:right w:val="nil"/>
            </w:tcBorders>
            <w:vAlign w:val="center"/>
          </w:tcPr>
          <w:p w14:paraId="542A23E0" w14:textId="57723EE7" w:rsidR="00CE4763" w:rsidRPr="007F6D3F" w:rsidRDefault="007B5A21" w:rsidP="00CE4763">
            <w:pPr>
              <w:spacing w:after="0" w:line="240" w:lineRule="auto"/>
              <w:ind w:left="0" w:right="0" w:firstLine="0"/>
              <w:jc w:val="left"/>
              <w:rPr>
                <w:rFonts w:ascii="Times New Roman" w:hAnsi="Times New Roman" w:cs="Times New Roman"/>
                <w:color w:val="auto"/>
                <w:sz w:val="24"/>
              </w:rPr>
            </w:pPr>
            <w:r w:rsidRPr="007F6D3F">
              <w:rPr>
                <w:rFonts w:ascii="Times New Roman" w:hAnsi="Times New Roman" w:cs="Times New Roman"/>
                <w:color w:val="auto"/>
                <w:sz w:val="24"/>
              </w:rPr>
              <w:t>Gradski ured za mjesnu samoupravu, civilnu zaštitu i sigurnost</w:t>
            </w:r>
          </w:p>
        </w:tc>
        <w:tc>
          <w:tcPr>
            <w:tcW w:w="4645" w:type="dxa"/>
            <w:tcBorders>
              <w:top w:val="single" w:sz="4" w:space="0" w:color="000000"/>
              <w:left w:val="nil"/>
              <w:bottom w:val="single" w:sz="4" w:space="0" w:color="000000"/>
              <w:right w:val="nil"/>
            </w:tcBorders>
          </w:tcPr>
          <w:p w14:paraId="4BED13FC" w14:textId="77777777" w:rsidR="00BD2A5C" w:rsidRPr="007F6D3F" w:rsidRDefault="00CE4763" w:rsidP="00CE4763">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 xml:space="preserve"> </w:t>
            </w:r>
          </w:p>
          <w:p w14:paraId="5422372A" w14:textId="77777777" w:rsidR="00BD2A5C" w:rsidRPr="007F6D3F" w:rsidRDefault="00BD2A5C" w:rsidP="00CE4763">
            <w:pPr>
              <w:spacing w:after="0" w:line="240" w:lineRule="auto"/>
              <w:ind w:left="0" w:right="0" w:firstLine="0"/>
              <w:jc w:val="left"/>
              <w:rPr>
                <w:rFonts w:ascii="Times New Roman" w:eastAsia="Times New Roman" w:hAnsi="Times New Roman" w:cs="Times New Roman"/>
                <w:color w:val="auto"/>
                <w:sz w:val="24"/>
              </w:rPr>
            </w:pPr>
          </w:p>
          <w:p w14:paraId="6B5543A6" w14:textId="4BB7AAE0" w:rsidR="00CE4763" w:rsidRPr="007F6D3F" w:rsidRDefault="00BD2A5C" w:rsidP="00CE4763">
            <w:pPr>
              <w:spacing w:after="0" w:line="240" w:lineRule="auto"/>
              <w:ind w:left="0" w:right="0" w:firstLine="0"/>
              <w:jc w:val="left"/>
              <w:rPr>
                <w:rFonts w:ascii="Times New Roman" w:hAnsi="Times New Roman" w:cs="Times New Roman"/>
                <w:color w:val="auto"/>
                <w:sz w:val="24"/>
              </w:rPr>
            </w:pPr>
            <w:r w:rsidRPr="007F6D3F">
              <w:rPr>
                <w:rFonts w:ascii="Times New Roman" w:eastAsia="Times New Roman" w:hAnsi="Times New Roman" w:cs="Times New Roman"/>
                <w:color w:val="auto"/>
                <w:sz w:val="24"/>
              </w:rPr>
              <w:t>Ravnateljstvo civilne zaštite, Sektor za radiološku i nuklearnu sigurnost</w:t>
            </w:r>
          </w:p>
        </w:tc>
      </w:tr>
      <w:tr w:rsidR="00CE4763" w:rsidRPr="007F6D3F" w14:paraId="445ABAC6" w14:textId="77777777" w:rsidTr="00284074">
        <w:trPr>
          <w:trHeight w:val="274"/>
        </w:trPr>
        <w:tc>
          <w:tcPr>
            <w:tcW w:w="4654" w:type="dxa"/>
            <w:gridSpan w:val="2"/>
            <w:tcBorders>
              <w:top w:val="single" w:sz="4" w:space="0" w:color="000000"/>
              <w:left w:val="single" w:sz="4" w:space="0" w:color="000000"/>
              <w:bottom w:val="single" w:sz="4" w:space="0" w:color="000000"/>
              <w:right w:val="nil"/>
            </w:tcBorders>
            <w:shd w:val="clear" w:color="auto" w:fill="FFC000"/>
          </w:tcPr>
          <w:p w14:paraId="49DF26C1" w14:textId="0CEE2712" w:rsidR="00CE4763" w:rsidRPr="007F6D3F" w:rsidRDefault="00BD2A5C" w:rsidP="00CE4763">
            <w:pPr>
              <w:spacing w:after="0" w:line="240" w:lineRule="auto"/>
              <w:ind w:left="0" w:right="0" w:firstLine="0"/>
              <w:jc w:val="left"/>
              <w:rPr>
                <w:rFonts w:ascii="Times New Roman" w:hAnsi="Times New Roman" w:cs="Times New Roman"/>
                <w:b/>
                <w:i/>
                <w:color w:val="auto"/>
                <w:sz w:val="24"/>
              </w:rPr>
            </w:pPr>
            <w:r w:rsidRPr="007F6D3F">
              <w:rPr>
                <w:rFonts w:ascii="Times New Roman" w:hAnsi="Times New Roman" w:cs="Times New Roman"/>
                <w:b/>
                <w:i/>
                <w:color w:val="auto"/>
                <w:sz w:val="24"/>
              </w:rPr>
              <w:t>Koordinator, izvršitelji i verifikatori</w:t>
            </w:r>
          </w:p>
        </w:tc>
        <w:tc>
          <w:tcPr>
            <w:tcW w:w="4645" w:type="dxa"/>
            <w:tcBorders>
              <w:top w:val="single" w:sz="4" w:space="0" w:color="000000"/>
              <w:left w:val="nil"/>
              <w:bottom w:val="single" w:sz="4" w:space="0" w:color="000000"/>
              <w:right w:val="single" w:sz="4" w:space="0" w:color="000000"/>
            </w:tcBorders>
            <w:shd w:val="clear" w:color="auto" w:fill="FFC000"/>
          </w:tcPr>
          <w:p w14:paraId="10DE89D7"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p>
        </w:tc>
      </w:tr>
      <w:tr w:rsidR="00CE4763" w:rsidRPr="007F6D3F" w14:paraId="50389EA3" w14:textId="77777777" w:rsidTr="00284074">
        <w:trPr>
          <w:trHeight w:val="1863"/>
        </w:trPr>
        <w:tc>
          <w:tcPr>
            <w:tcW w:w="4654" w:type="dxa"/>
            <w:gridSpan w:val="2"/>
            <w:tcBorders>
              <w:top w:val="single" w:sz="4" w:space="0" w:color="000000"/>
              <w:left w:val="nil"/>
              <w:bottom w:val="single" w:sz="4" w:space="0" w:color="000000"/>
              <w:right w:val="nil"/>
            </w:tcBorders>
          </w:tcPr>
          <w:p w14:paraId="48A0679F" w14:textId="169E538B" w:rsidR="00BD2A5C" w:rsidRPr="007F6D3F" w:rsidRDefault="00BC191F" w:rsidP="00BD2A5C">
            <w:pPr>
              <w:spacing w:after="0" w:line="240" w:lineRule="auto"/>
              <w:ind w:left="0" w:right="0" w:firstLine="0"/>
              <w:jc w:val="left"/>
              <w:rPr>
                <w:rFonts w:ascii="Times New Roman" w:eastAsia="Times New Roman" w:hAnsi="Times New Roman" w:cs="Times New Roman"/>
                <w:color w:val="auto"/>
                <w:sz w:val="24"/>
              </w:rPr>
            </w:pPr>
            <w:r>
              <w:rPr>
                <w:rFonts w:ascii="Times New Roman" w:eastAsia="Times New Roman" w:hAnsi="Times New Roman" w:cs="Times New Roman"/>
                <w:color w:val="auto"/>
                <w:sz w:val="24"/>
              </w:rPr>
              <w:t xml:space="preserve">dr. sc. </w:t>
            </w:r>
            <w:r w:rsidR="00BD2A5C" w:rsidRPr="007F6D3F">
              <w:rPr>
                <w:rFonts w:ascii="Times New Roman" w:eastAsia="Times New Roman" w:hAnsi="Times New Roman" w:cs="Times New Roman"/>
                <w:color w:val="auto"/>
                <w:sz w:val="24"/>
              </w:rPr>
              <w:t>Ivana Krišto</w:t>
            </w:r>
          </w:p>
          <w:p w14:paraId="4CB41C59" w14:textId="7ADCFC0F" w:rsidR="00BD2A5C" w:rsidRPr="007F6D3F" w:rsidRDefault="00BD2A5C" w:rsidP="00BD2A5C">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Ozren Ilijaš</w:t>
            </w:r>
            <w:r w:rsidR="00BC191F">
              <w:rPr>
                <w:rFonts w:ascii="Times New Roman" w:eastAsia="Times New Roman" w:hAnsi="Times New Roman" w:cs="Times New Roman"/>
                <w:color w:val="auto"/>
                <w:sz w:val="24"/>
              </w:rPr>
              <w:t xml:space="preserve">, </w:t>
            </w:r>
            <w:r w:rsidR="00BC191F" w:rsidRPr="00BC191F">
              <w:rPr>
                <w:rFonts w:ascii="Times New Roman" w:eastAsia="Times New Roman" w:hAnsi="Times New Roman" w:cs="Times New Roman"/>
                <w:color w:val="auto"/>
                <w:sz w:val="24"/>
              </w:rPr>
              <w:t>struč. spec. ing. admin. chris.</w:t>
            </w:r>
          </w:p>
          <w:p w14:paraId="34B05727" w14:textId="2EAB249C" w:rsidR="00BD2A5C" w:rsidRPr="007F6D3F" w:rsidRDefault="00BD2A5C" w:rsidP="00BD2A5C">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Marko Cerjan</w:t>
            </w:r>
            <w:r w:rsidR="00BC191F">
              <w:rPr>
                <w:rFonts w:ascii="Times New Roman" w:eastAsia="Times New Roman" w:hAnsi="Times New Roman" w:cs="Times New Roman"/>
                <w:color w:val="auto"/>
                <w:sz w:val="24"/>
              </w:rPr>
              <w:t xml:space="preserve">, </w:t>
            </w:r>
            <w:r w:rsidR="00BC191F" w:rsidRPr="00BC191F">
              <w:rPr>
                <w:rFonts w:ascii="Times New Roman" w:eastAsia="Times New Roman" w:hAnsi="Times New Roman" w:cs="Times New Roman"/>
                <w:color w:val="auto"/>
                <w:sz w:val="24"/>
              </w:rPr>
              <w:t>struč. spec. ing. admin. chris.</w:t>
            </w:r>
          </w:p>
          <w:p w14:paraId="590D3989" w14:textId="547038A5" w:rsidR="00BD2A5C" w:rsidRPr="007F6D3F" w:rsidRDefault="00BD2A5C" w:rsidP="00BD2A5C">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Vedran Šušković</w:t>
            </w:r>
            <w:r w:rsidR="00BC191F">
              <w:rPr>
                <w:rFonts w:ascii="Times New Roman" w:eastAsia="Times New Roman" w:hAnsi="Times New Roman" w:cs="Times New Roman"/>
                <w:color w:val="auto"/>
                <w:sz w:val="24"/>
              </w:rPr>
              <w:t xml:space="preserve">, </w:t>
            </w:r>
            <w:r w:rsidR="00BC191F" w:rsidRPr="00BC191F">
              <w:rPr>
                <w:rFonts w:ascii="Times New Roman" w:eastAsia="Times New Roman" w:hAnsi="Times New Roman" w:cs="Times New Roman"/>
                <w:color w:val="auto"/>
                <w:sz w:val="24"/>
              </w:rPr>
              <w:t xml:space="preserve">univ. spec. pol.  </w:t>
            </w:r>
          </w:p>
          <w:p w14:paraId="57DC4C5B" w14:textId="2D9CD8D0" w:rsidR="00CE4763" w:rsidRDefault="00BD2A5C" w:rsidP="00CE4763">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Zdravka Tečić</w:t>
            </w:r>
            <w:r w:rsidR="00250CDF">
              <w:rPr>
                <w:rFonts w:ascii="Times New Roman" w:eastAsia="Times New Roman" w:hAnsi="Times New Roman" w:cs="Times New Roman"/>
                <w:color w:val="auto"/>
                <w:sz w:val="24"/>
              </w:rPr>
              <w:t>,</w:t>
            </w:r>
            <w:r w:rsidR="00A82145" w:rsidRPr="00A82145">
              <w:rPr>
                <w:rFonts w:ascii="Times New Roman" w:eastAsia="Times New Roman" w:hAnsi="Times New Roman" w:cs="Times New Roman"/>
                <w:color w:val="auto"/>
                <w:sz w:val="24"/>
              </w:rPr>
              <w:t xml:space="preserve"> mag. ing. cheming.</w:t>
            </w:r>
          </w:p>
          <w:p w14:paraId="42358ED8" w14:textId="77777777" w:rsidR="00327BAD" w:rsidRDefault="00327BAD" w:rsidP="00CE4763">
            <w:pPr>
              <w:spacing w:after="0" w:line="240" w:lineRule="auto"/>
              <w:ind w:left="0" w:right="0" w:firstLine="0"/>
              <w:jc w:val="left"/>
              <w:rPr>
                <w:rFonts w:ascii="Times New Roman" w:eastAsia="Times New Roman" w:hAnsi="Times New Roman" w:cs="Times New Roman"/>
                <w:color w:val="auto"/>
                <w:sz w:val="24"/>
              </w:rPr>
            </w:pPr>
          </w:p>
          <w:p w14:paraId="6AE4D26A" w14:textId="19EDB1D3" w:rsidR="00327BAD" w:rsidRDefault="00327BAD" w:rsidP="00CE4763">
            <w:pPr>
              <w:spacing w:after="0" w:line="240" w:lineRule="auto"/>
              <w:ind w:left="0" w:right="0" w:firstLine="0"/>
              <w:jc w:val="left"/>
              <w:rPr>
                <w:rFonts w:ascii="Times New Roman" w:eastAsia="Times New Roman" w:hAnsi="Times New Roman" w:cs="Times New Roman"/>
                <w:color w:val="auto"/>
                <w:sz w:val="24"/>
              </w:rPr>
            </w:pPr>
          </w:p>
          <w:p w14:paraId="4ECB9CE1" w14:textId="77777777" w:rsidR="00841782" w:rsidRDefault="00841782" w:rsidP="00CE4763">
            <w:pPr>
              <w:spacing w:after="0" w:line="240" w:lineRule="auto"/>
              <w:ind w:left="0" w:right="0" w:firstLine="0"/>
              <w:jc w:val="left"/>
              <w:rPr>
                <w:rFonts w:ascii="Times New Roman" w:eastAsia="Times New Roman" w:hAnsi="Times New Roman" w:cs="Times New Roman"/>
                <w:color w:val="auto"/>
                <w:sz w:val="24"/>
              </w:rPr>
            </w:pPr>
          </w:p>
          <w:p w14:paraId="64966BCD" w14:textId="57261447" w:rsidR="00327BAD" w:rsidRPr="007F6D3F" w:rsidRDefault="00327BAD" w:rsidP="00CE4763">
            <w:pPr>
              <w:spacing w:after="0" w:line="240" w:lineRule="auto"/>
              <w:ind w:left="0" w:right="0" w:firstLine="0"/>
              <w:jc w:val="left"/>
              <w:rPr>
                <w:rFonts w:ascii="Times New Roman" w:eastAsia="Times New Roman" w:hAnsi="Times New Roman" w:cs="Times New Roman"/>
                <w:color w:val="auto"/>
                <w:sz w:val="24"/>
              </w:rPr>
            </w:pPr>
          </w:p>
        </w:tc>
        <w:tc>
          <w:tcPr>
            <w:tcW w:w="4645" w:type="dxa"/>
            <w:tcBorders>
              <w:top w:val="single" w:sz="4" w:space="0" w:color="000000"/>
              <w:left w:val="nil"/>
              <w:bottom w:val="single" w:sz="4" w:space="0" w:color="000000"/>
              <w:right w:val="nil"/>
            </w:tcBorders>
          </w:tcPr>
          <w:p w14:paraId="79B2822B"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p>
        </w:tc>
      </w:tr>
      <w:tr w:rsidR="00CE4763" w:rsidRPr="007F6D3F" w14:paraId="5A3DB4EC" w14:textId="77777777" w:rsidTr="00284074">
        <w:trPr>
          <w:trHeight w:val="275"/>
        </w:trPr>
        <w:tc>
          <w:tcPr>
            <w:tcW w:w="4654" w:type="dxa"/>
            <w:gridSpan w:val="2"/>
            <w:tcBorders>
              <w:top w:val="single" w:sz="4" w:space="0" w:color="000000"/>
              <w:left w:val="single" w:sz="4" w:space="0" w:color="000000"/>
              <w:bottom w:val="single" w:sz="4" w:space="0" w:color="000000"/>
              <w:right w:val="nil"/>
            </w:tcBorders>
            <w:shd w:val="clear" w:color="auto" w:fill="FFC000"/>
          </w:tcPr>
          <w:p w14:paraId="272AA62A" w14:textId="710A5D43" w:rsidR="00CE4763" w:rsidRPr="007F6D3F" w:rsidRDefault="006C73D5" w:rsidP="00CE4763">
            <w:pPr>
              <w:spacing w:after="0" w:line="240" w:lineRule="auto"/>
              <w:ind w:left="0" w:right="0" w:firstLine="0"/>
              <w:jc w:val="left"/>
              <w:rPr>
                <w:rFonts w:ascii="Times New Roman" w:hAnsi="Times New Roman" w:cs="Times New Roman"/>
                <w:b/>
                <w:i/>
                <w:color w:val="auto"/>
                <w:sz w:val="24"/>
              </w:rPr>
            </w:pPr>
            <w:r w:rsidRPr="007F6D3F">
              <w:rPr>
                <w:rFonts w:ascii="Times New Roman" w:hAnsi="Times New Roman" w:cs="Times New Roman"/>
                <w:b/>
                <w:i/>
                <w:color w:val="auto"/>
                <w:sz w:val="24"/>
              </w:rPr>
              <w:lastRenderedPageBreak/>
              <w:t>Nesreća na odlagalištu otpada</w:t>
            </w:r>
          </w:p>
        </w:tc>
        <w:tc>
          <w:tcPr>
            <w:tcW w:w="4645" w:type="dxa"/>
            <w:tcBorders>
              <w:top w:val="single" w:sz="4" w:space="0" w:color="000000"/>
              <w:left w:val="nil"/>
              <w:bottom w:val="single" w:sz="4" w:space="0" w:color="000000"/>
              <w:right w:val="single" w:sz="4" w:space="0" w:color="000000"/>
            </w:tcBorders>
            <w:shd w:val="clear" w:color="auto" w:fill="FFC000"/>
          </w:tcPr>
          <w:p w14:paraId="2A354FA8"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p>
        </w:tc>
      </w:tr>
      <w:tr w:rsidR="007F6D3F" w:rsidRPr="007F6D3F" w14:paraId="1FB86793" w14:textId="77777777" w:rsidTr="00284074">
        <w:trPr>
          <w:trHeight w:val="272"/>
        </w:trPr>
        <w:tc>
          <w:tcPr>
            <w:tcW w:w="4654" w:type="dxa"/>
            <w:gridSpan w:val="2"/>
            <w:tcBorders>
              <w:top w:val="single" w:sz="4" w:space="0" w:color="000000"/>
              <w:left w:val="single" w:sz="4" w:space="0" w:color="000000"/>
              <w:bottom w:val="single" w:sz="4" w:space="0" w:color="000000"/>
              <w:right w:val="single" w:sz="4" w:space="0" w:color="000000"/>
            </w:tcBorders>
            <w:shd w:val="clear" w:color="auto" w:fill="FFC000"/>
          </w:tcPr>
          <w:p w14:paraId="0C52BA39" w14:textId="45F04350" w:rsidR="00CE4763" w:rsidRPr="007F6D3F" w:rsidRDefault="00CE4763" w:rsidP="00CE4763">
            <w:pPr>
              <w:spacing w:after="0" w:line="240" w:lineRule="auto"/>
              <w:ind w:left="0" w:right="0" w:firstLine="0"/>
              <w:jc w:val="left"/>
              <w:rPr>
                <w:rFonts w:ascii="Times New Roman" w:hAnsi="Times New Roman" w:cs="Times New Roman"/>
                <w:b/>
                <w:i/>
                <w:color w:val="auto"/>
                <w:sz w:val="24"/>
              </w:rPr>
            </w:pPr>
            <w:r w:rsidRPr="007F6D3F">
              <w:rPr>
                <w:rFonts w:ascii="Times New Roman" w:eastAsia="Times New Roman" w:hAnsi="Times New Roman" w:cs="Times New Roman"/>
                <w:b/>
                <w:i/>
                <w:color w:val="auto"/>
                <w:sz w:val="24"/>
              </w:rPr>
              <w:t xml:space="preserve">Koordinator </w:t>
            </w:r>
            <w:r w:rsidR="00BD2A5C" w:rsidRPr="007F6D3F">
              <w:rPr>
                <w:rFonts w:ascii="Times New Roman" w:eastAsia="Times New Roman" w:hAnsi="Times New Roman" w:cs="Times New Roman"/>
                <w:b/>
                <w:i/>
                <w:color w:val="auto"/>
                <w:sz w:val="24"/>
              </w:rPr>
              <w:t>i izvršitelj</w:t>
            </w:r>
          </w:p>
        </w:tc>
        <w:tc>
          <w:tcPr>
            <w:tcW w:w="4645" w:type="dxa"/>
            <w:tcBorders>
              <w:top w:val="single" w:sz="4" w:space="0" w:color="000000"/>
              <w:left w:val="single" w:sz="4" w:space="0" w:color="000000"/>
              <w:bottom w:val="single" w:sz="4" w:space="0" w:color="000000"/>
              <w:right w:val="single" w:sz="4" w:space="0" w:color="000000"/>
            </w:tcBorders>
            <w:shd w:val="clear" w:color="auto" w:fill="FFC000"/>
          </w:tcPr>
          <w:p w14:paraId="5CBED32E" w14:textId="2E0D56E2" w:rsidR="00CE4763" w:rsidRPr="007F6D3F" w:rsidRDefault="00BD2A5C" w:rsidP="00CE4763">
            <w:pPr>
              <w:spacing w:after="0" w:line="240" w:lineRule="auto"/>
              <w:ind w:left="0" w:right="0" w:firstLine="0"/>
              <w:jc w:val="left"/>
              <w:rPr>
                <w:rFonts w:ascii="Times New Roman" w:hAnsi="Times New Roman" w:cs="Times New Roman"/>
                <w:b/>
                <w:i/>
                <w:color w:val="auto"/>
                <w:sz w:val="24"/>
              </w:rPr>
            </w:pPr>
            <w:r w:rsidRPr="007F6D3F">
              <w:rPr>
                <w:rFonts w:ascii="Times New Roman" w:hAnsi="Times New Roman" w:cs="Times New Roman"/>
                <w:b/>
                <w:i/>
                <w:color w:val="auto"/>
                <w:sz w:val="24"/>
              </w:rPr>
              <w:t>Verifikator</w:t>
            </w:r>
          </w:p>
        </w:tc>
      </w:tr>
      <w:tr w:rsidR="00CE4763" w:rsidRPr="007F6D3F" w14:paraId="50014567" w14:textId="77777777" w:rsidTr="00284074">
        <w:trPr>
          <w:trHeight w:val="1598"/>
        </w:trPr>
        <w:tc>
          <w:tcPr>
            <w:tcW w:w="4654" w:type="dxa"/>
            <w:gridSpan w:val="2"/>
            <w:tcBorders>
              <w:top w:val="single" w:sz="4" w:space="0" w:color="000000"/>
              <w:left w:val="nil"/>
              <w:bottom w:val="single" w:sz="4" w:space="0" w:color="000000"/>
              <w:right w:val="nil"/>
            </w:tcBorders>
            <w:vAlign w:val="center"/>
          </w:tcPr>
          <w:p w14:paraId="006A4068" w14:textId="363F88BB" w:rsidR="00CE4763" w:rsidRPr="007F6D3F" w:rsidRDefault="00BD2A5C" w:rsidP="00CE4763">
            <w:pPr>
              <w:spacing w:after="0" w:line="240" w:lineRule="auto"/>
              <w:ind w:left="0" w:right="0" w:firstLine="0"/>
              <w:jc w:val="left"/>
              <w:rPr>
                <w:rFonts w:ascii="Times New Roman" w:hAnsi="Times New Roman" w:cs="Times New Roman"/>
                <w:color w:val="auto"/>
                <w:sz w:val="24"/>
              </w:rPr>
            </w:pPr>
            <w:r w:rsidRPr="007F6D3F">
              <w:rPr>
                <w:rFonts w:ascii="Times New Roman" w:hAnsi="Times New Roman" w:cs="Times New Roman"/>
                <w:color w:val="auto"/>
                <w:sz w:val="24"/>
              </w:rPr>
              <w:t>Gradski ured za mjesnu samoupravu, civilnu zaštitu i sigurnost</w:t>
            </w:r>
          </w:p>
        </w:tc>
        <w:tc>
          <w:tcPr>
            <w:tcW w:w="4645" w:type="dxa"/>
            <w:tcBorders>
              <w:top w:val="single" w:sz="4" w:space="0" w:color="000000"/>
              <w:left w:val="nil"/>
              <w:bottom w:val="single" w:sz="4" w:space="0" w:color="000000"/>
              <w:right w:val="nil"/>
            </w:tcBorders>
          </w:tcPr>
          <w:p w14:paraId="1F126347" w14:textId="77777777" w:rsidR="00BD2A5C" w:rsidRPr="007F6D3F" w:rsidRDefault="00BD2A5C" w:rsidP="00CE4763">
            <w:pPr>
              <w:spacing w:after="0" w:line="240" w:lineRule="auto"/>
              <w:ind w:left="0" w:right="0" w:firstLine="0"/>
              <w:jc w:val="left"/>
              <w:rPr>
                <w:rFonts w:ascii="Times New Roman" w:eastAsia="Times New Roman" w:hAnsi="Times New Roman" w:cs="Times New Roman"/>
                <w:color w:val="auto"/>
                <w:sz w:val="24"/>
                <w:szCs w:val="24"/>
              </w:rPr>
            </w:pPr>
          </w:p>
          <w:p w14:paraId="43EAA639" w14:textId="77777777" w:rsidR="00BD2A5C" w:rsidRPr="007F6D3F" w:rsidRDefault="00BD2A5C" w:rsidP="00CE4763">
            <w:pPr>
              <w:spacing w:after="0" w:line="240" w:lineRule="auto"/>
              <w:ind w:left="0" w:right="0" w:firstLine="0"/>
              <w:jc w:val="left"/>
              <w:rPr>
                <w:rFonts w:ascii="Times New Roman" w:eastAsia="Times New Roman" w:hAnsi="Times New Roman" w:cs="Times New Roman"/>
                <w:color w:val="auto"/>
                <w:sz w:val="24"/>
                <w:szCs w:val="24"/>
              </w:rPr>
            </w:pPr>
          </w:p>
          <w:p w14:paraId="1CFDCF2A" w14:textId="1F776F04" w:rsidR="00CE4763" w:rsidRPr="007F6D3F" w:rsidRDefault="00BD2A5C" w:rsidP="00CE4763">
            <w:pPr>
              <w:spacing w:after="0" w:line="240" w:lineRule="auto"/>
              <w:ind w:left="0" w:right="0" w:firstLine="0"/>
              <w:jc w:val="left"/>
              <w:rPr>
                <w:rFonts w:ascii="Times New Roman" w:hAnsi="Times New Roman" w:cs="Times New Roman"/>
                <w:color w:val="auto"/>
                <w:sz w:val="24"/>
              </w:rPr>
            </w:pPr>
            <w:r w:rsidRPr="007F6D3F">
              <w:rPr>
                <w:rFonts w:ascii="Times New Roman" w:eastAsia="Times New Roman" w:hAnsi="Times New Roman" w:cs="Times New Roman"/>
                <w:color w:val="auto"/>
                <w:sz w:val="24"/>
                <w:szCs w:val="24"/>
              </w:rPr>
              <w:t>Gradski ured za gospodarstvo, ekološku održivost i strategijsko planiranje</w:t>
            </w:r>
          </w:p>
        </w:tc>
      </w:tr>
      <w:tr w:rsidR="00CE4763" w:rsidRPr="007F6D3F" w14:paraId="44C3C16F" w14:textId="77777777" w:rsidTr="00284074">
        <w:trPr>
          <w:trHeight w:val="274"/>
        </w:trPr>
        <w:tc>
          <w:tcPr>
            <w:tcW w:w="4654" w:type="dxa"/>
            <w:gridSpan w:val="2"/>
            <w:tcBorders>
              <w:top w:val="single" w:sz="4" w:space="0" w:color="000000"/>
              <w:left w:val="single" w:sz="4" w:space="0" w:color="000000"/>
              <w:bottom w:val="single" w:sz="4" w:space="0" w:color="000000"/>
              <w:right w:val="nil"/>
            </w:tcBorders>
            <w:shd w:val="clear" w:color="auto" w:fill="FFC000"/>
          </w:tcPr>
          <w:p w14:paraId="5BD05905" w14:textId="4A9767FF" w:rsidR="00CE4763" w:rsidRPr="007F6D3F" w:rsidRDefault="00BD2A5C" w:rsidP="00CE4763">
            <w:pPr>
              <w:spacing w:after="0" w:line="240" w:lineRule="auto"/>
              <w:ind w:left="0" w:right="0" w:firstLine="0"/>
              <w:jc w:val="left"/>
              <w:rPr>
                <w:rFonts w:ascii="Times New Roman" w:hAnsi="Times New Roman" w:cs="Times New Roman"/>
                <w:b/>
                <w:i/>
                <w:color w:val="auto"/>
                <w:sz w:val="24"/>
              </w:rPr>
            </w:pPr>
            <w:r w:rsidRPr="007F6D3F">
              <w:rPr>
                <w:rFonts w:ascii="Times New Roman" w:hAnsi="Times New Roman" w:cs="Times New Roman"/>
                <w:b/>
                <w:i/>
                <w:color w:val="auto"/>
                <w:sz w:val="24"/>
              </w:rPr>
              <w:t>Koordinator, izvršitelji i verifikatori</w:t>
            </w:r>
          </w:p>
        </w:tc>
        <w:tc>
          <w:tcPr>
            <w:tcW w:w="4645" w:type="dxa"/>
            <w:tcBorders>
              <w:top w:val="single" w:sz="4" w:space="0" w:color="000000"/>
              <w:left w:val="nil"/>
              <w:bottom w:val="single" w:sz="4" w:space="0" w:color="000000"/>
              <w:right w:val="single" w:sz="4" w:space="0" w:color="000000"/>
            </w:tcBorders>
            <w:shd w:val="clear" w:color="auto" w:fill="FFC000"/>
          </w:tcPr>
          <w:p w14:paraId="62F3F9D1"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p>
        </w:tc>
      </w:tr>
      <w:tr w:rsidR="00BD2A5C" w:rsidRPr="007F6D3F" w14:paraId="5B139F8B" w14:textId="77777777" w:rsidTr="00284074">
        <w:trPr>
          <w:trHeight w:val="1863"/>
        </w:trPr>
        <w:tc>
          <w:tcPr>
            <w:tcW w:w="4654" w:type="dxa"/>
            <w:gridSpan w:val="2"/>
            <w:tcBorders>
              <w:top w:val="single" w:sz="4" w:space="0" w:color="000000"/>
              <w:left w:val="nil"/>
              <w:bottom w:val="single" w:sz="4" w:space="0" w:color="000000"/>
              <w:right w:val="nil"/>
            </w:tcBorders>
          </w:tcPr>
          <w:p w14:paraId="24E4EC2E" w14:textId="077A17D8" w:rsidR="00BD2A5C" w:rsidRPr="007F6D3F" w:rsidRDefault="00BC191F" w:rsidP="00BD2A5C">
            <w:pPr>
              <w:spacing w:after="0" w:line="240" w:lineRule="auto"/>
              <w:ind w:left="0" w:right="0" w:firstLine="0"/>
              <w:jc w:val="left"/>
              <w:rPr>
                <w:rFonts w:ascii="Times New Roman" w:eastAsia="Times New Roman" w:hAnsi="Times New Roman" w:cs="Times New Roman"/>
                <w:color w:val="auto"/>
                <w:sz w:val="24"/>
              </w:rPr>
            </w:pPr>
            <w:r>
              <w:rPr>
                <w:rFonts w:ascii="Times New Roman" w:eastAsia="Times New Roman" w:hAnsi="Times New Roman" w:cs="Times New Roman"/>
                <w:color w:val="auto"/>
                <w:sz w:val="24"/>
              </w:rPr>
              <w:t xml:space="preserve">dr. sc. </w:t>
            </w:r>
            <w:r w:rsidR="00BD2A5C" w:rsidRPr="007F6D3F">
              <w:rPr>
                <w:rFonts w:ascii="Times New Roman" w:eastAsia="Times New Roman" w:hAnsi="Times New Roman" w:cs="Times New Roman"/>
                <w:color w:val="auto"/>
                <w:sz w:val="24"/>
              </w:rPr>
              <w:t>Ivana Krišto</w:t>
            </w:r>
          </w:p>
          <w:p w14:paraId="7D45712E" w14:textId="7D05426A" w:rsidR="00BD2A5C" w:rsidRPr="007F6D3F" w:rsidRDefault="00BD2A5C" w:rsidP="00BD2A5C">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Ozren Ilijaš</w:t>
            </w:r>
            <w:r w:rsidR="00BC191F">
              <w:rPr>
                <w:rFonts w:ascii="Times New Roman" w:eastAsia="Times New Roman" w:hAnsi="Times New Roman" w:cs="Times New Roman"/>
                <w:color w:val="auto"/>
                <w:sz w:val="24"/>
              </w:rPr>
              <w:t xml:space="preserve">, </w:t>
            </w:r>
            <w:r w:rsidR="00BC191F" w:rsidRPr="00BC191F">
              <w:rPr>
                <w:rFonts w:ascii="Times New Roman" w:eastAsia="Times New Roman" w:hAnsi="Times New Roman" w:cs="Times New Roman"/>
                <w:color w:val="auto"/>
                <w:sz w:val="24"/>
              </w:rPr>
              <w:t>struč. spec. ing. admin. chris.</w:t>
            </w:r>
          </w:p>
          <w:p w14:paraId="6C13F50F" w14:textId="1375E0DD" w:rsidR="00BD2A5C" w:rsidRPr="007F6D3F" w:rsidRDefault="00BD2A5C" w:rsidP="00BD2A5C">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Marko Cerjan</w:t>
            </w:r>
            <w:r w:rsidR="00BC191F">
              <w:rPr>
                <w:rFonts w:ascii="Times New Roman" w:eastAsia="Times New Roman" w:hAnsi="Times New Roman" w:cs="Times New Roman"/>
                <w:color w:val="auto"/>
                <w:sz w:val="24"/>
              </w:rPr>
              <w:t xml:space="preserve">, </w:t>
            </w:r>
            <w:r w:rsidR="00BC191F" w:rsidRPr="00BC191F">
              <w:rPr>
                <w:rFonts w:ascii="Times New Roman" w:eastAsia="Times New Roman" w:hAnsi="Times New Roman" w:cs="Times New Roman"/>
                <w:color w:val="auto"/>
                <w:sz w:val="24"/>
              </w:rPr>
              <w:t>struč. spec. ing. admin. chris.</w:t>
            </w:r>
          </w:p>
          <w:p w14:paraId="54AD2A52" w14:textId="7BDEA35C" w:rsidR="00BD2A5C" w:rsidRPr="007F6D3F" w:rsidRDefault="00BD2A5C" w:rsidP="00BD2A5C">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Vedran Šušković</w:t>
            </w:r>
            <w:r w:rsidR="00BC191F">
              <w:rPr>
                <w:rFonts w:ascii="Times New Roman" w:eastAsia="Times New Roman" w:hAnsi="Times New Roman" w:cs="Times New Roman"/>
                <w:color w:val="auto"/>
                <w:sz w:val="24"/>
              </w:rPr>
              <w:t xml:space="preserve">, </w:t>
            </w:r>
            <w:r w:rsidR="00BC191F" w:rsidRPr="00BC191F">
              <w:rPr>
                <w:rFonts w:ascii="Times New Roman" w:eastAsia="Times New Roman" w:hAnsi="Times New Roman" w:cs="Times New Roman"/>
                <w:color w:val="auto"/>
                <w:sz w:val="24"/>
              </w:rPr>
              <w:t xml:space="preserve">univ. spec. pol.  </w:t>
            </w:r>
          </w:p>
          <w:p w14:paraId="79CF5955" w14:textId="472B305E" w:rsidR="00BD2A5C" w:rsidRPr="007F6D3F" w:rsidRDefault="00250CDF" w:rsidP="00BD2A5C">
            <w:pPr>
              <w:spacing w:after="0" w:line="240" w:lineRule="auto"/>
              <w:ind w:left="0" w:right="0" w:firstLine="0"/>
              <w:jc w:val="left"/>
              <w:rPr>
                <w:rFonts w:ascii="Times New Roman" w:eastAsia="Times New Roman" w:hAnsi="Times New Roman" w:cs="Times New Roman"/>
                <w:color w:val="auto"/>
                <w:sz w:val="24"/>
              </w:rPr>
            </w:pPr>
            <w:r w:rsidRPr="00250CDF">
              <w:rPr>
                <w:rFonts w:ascii="Times New Roman" w:eastAsia="Times New Roman" w:hAnsi="Times New Roman" w:cs="Times New Roman"/>
                <w:color w:val="auto"/>
                <w:sz w:val="24"/>
              </w:rPr>
              <w:t xml:space="preserve">doc. dr. sc. </w:t>
            </w:r>
            <w:r w:rsidR="00BD2A5C" w:rsidRPr="007F6D3F">
              <w:rPr>
                <w:rFonts w:ascii="Times New Roman" w:eastAsia="Times New Roman" w:hAnsi="Times New Roman" w:cs="Times New Roman"/>
                <w:color w:val="auto"/>
                <w:sz w:val="24"/>
              </w:rPr>
              <w:t>Sandra Tucak Zorić</w:t>
            </w:r>
          </w:p>
          <w:p w14:paraId="2AB83EBB" w14:textId="4BBDACF6" w:rsidR="00BD2A5C" w:rsidRPr="007F6D3F" w:rsidRDefault="00BD2A5C" w:rsidP="00BD2A5C">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Filip Ćurko</w:t>
            </w:r>
            <w:r w:rsidR="00250CDF">
              <w:rPr>
                <w:rFonts w:ascii="Times New Roman" w:eastAsia="Times New Roman" w:hAnsi="Times New Roman" w:cs="Times New Roman"/>
                <w:color w:val="auto"/>
                <w:sz w:val="24"/>
              </w:rPr>
              <w:t xml:space="preserve">, </w:t>
            </w:r>
            <w:r w:rsidR="00250CDF" w:rsidRPr="00250CDF">
              <w:rPr>
                <w:rFonts w:ascii="Times New Roman" w:eastAsia="Times New Roman" w:hAnsi="Times New Roman" w:cs="Times New Roman"/>
                <w:color w:val="auto"/>
                <w:sz w:val="24"/>
              </w:rPr>
              <w:t>dipl. oec., univ. spec. oec. et polit.</w:t>
            </w:r>
          </w:p>
        </w:tc>
        <w:tc>
          <w:tcPr>
            <w:tcW w:w="4645" w:type="dxa"/>
            <w:tcBorders>
              <w:top w:val="single" w:sz="4" w:space="0" w:color="000000"/>
              <w:left w:val="nil"/>
              <w:bottom w:val="single" w:sz="4" w:space="0" w:color="000000"/>
              <w:right w:val="nil"/>
            </w:tcBorders>
          </w:tcPr>
          <w:p w14:paraId="794B5BF4" w14:textId="77777777" w:rsidR="00BD2A5C" w:rsidRPr="007F6D3F" w:rsidRDefault="00BD2A5C" w:rsidP="00BD2A5C">
            <w:pPr>
              <w:spacing w:after="0" w:line="240" w:lineRule="auto"/>
              <w:ind w:left="0" w:right="0" w:firstLine="0"/>
              <w:jc w:val="left"/>
              <w:rPr>
                <w:rFonts w:ascii="Times New Roman" w:hAnsi="Times New Roman" w:cs="Times New Roman"/>
                <w:color w:val="auto"/>
                <w:sz w:val="24"/>
              </w:rPr>
            </w:pPr>
          </w:p>
        </w:tc>
      </w:tr>
    </w:tbl>
    <w:p w14:paraId="1ADC73BC" w14:textId="77777777" w:rsidR="00CE4763" w:rsidRPr="007F6D3F" w:rsidRDefault="00CE4763" w:rsidP="00CE4763">
      <w:pPr>
        <w:spacing w:after="0" w:line="240" w:lineRule="auto"/>
        <w:ind w:left="0" w:right="0" w:firstLine="0"/>
        <w:jc w:val="left"/>
        <w:rPr>
          <w:rFonts w:ascii="Times New Roman" w:hAnsi="Times New Roman" w:cs="Times New Roman"/>
          <w:b/>
          <w:color w:val="auto"/>
          <w:sz w:val="24"/>
        </w:rPr>
      </w:pPr>
    </w:p>
    <w:tbl>
      <w:tblPr>
        <w:tblStyle w:val="TableGrid"/>
        <w:tblW w:w="9299" w:type="dxa"/>
        <w:tblInd w:w="-113" w:type="dxa"/>
        <w:tblCellMar>
          <w:top w:w="11" w:type="dxa"/>
          <w:left w:w="107" w:type="dxa"/>
          <w:right w:w="59" w:type="dxa"/>
        </w:tblCellMar>
        <w:tblLook w:val="04A0" w:firstRow="1" w:lastRow="0" w:firstColumn="1" w:lastColumn="0" w:noHBand="0" w:noVBand="1"/>
      </w:tblPr>
      <w:tblGrid>
        <w:gridCol w:w="4654"/>
        <w:gridCol w:w="4645"/>
      </w:tblGrid>
      <w:tr w:rsidR="00CE4763" w:rsidRPr="007F6D3F" w14:paraId="7072A8C4" w14:textId="77777777" w:rsidTr="00284074">
        <w:trPr>
          <w:trHeight w:val="275"/>
        </w:trPr>
        <w:tc>
          <w:tcPr>
            <w:tcW w:w="4595" w:type="dxa"/>
            <w:tcBorders>
              <w:top w:val="single" w:sz="4" w:space="0" w:color="000000"/>
              <w:left w:val="single" w:sz="4" w:space="0" w:color="000000"/>
              <w:bottom w:val="single" w:sz="4" w:space="0" w:color="000000"/>
              <w:right w:val="nil"/>
            </w:tcBorders>
            <w:shd w:val="clear" w:color="auto" w:fill="FFC000"/>
          </w:tcPr>
          <w:p w14:paraId="1650BDC7" w14:textId="3858C65A" w:rsidR="00CE4763" w:rsidRPr="007F6D3F" w:rsidRDefault="006C73D5" w:rsidP="00CE4763">
            <w:pPr>
              <w:spacing w:after="0" w:line="240" w:lineRule="auto"/>
              <w:ind w:left="0" w:right="0" w:firstLine="0"/>
              <w:jc w:val="left"/>
              <w:rPr>
                <w:rFonts w:ascii="Times New Roman" w:hAnsi="Times New Roman" w:cs="Times New Roman"/>
                <w:b/>
                <w:i/>
                <w:color w:val="auto"/>
                <w:sz w:val="24"/>
              </w:rPr>
            </w:pPr>
            <w:r w:rsidRPr="007F6D3F">
              <w:rPr>
                <w:rFonts w:ascii="Times New Roman" w:hAnsi="Times New Roman" w:cs="Times New Roman"/>
                <w:b/>
                <w:i/>
                <w:color w:val="auto"/>
                <w:sz w:val="24"/>
              </w:rPr>
              <w:t>Klizišta</w:t>
            </w:r>
          </w:p>
        </w:tc>
        <w:tc>
          <w:tcPr>
            <w:tcW w:w="4587" w:type="dxa"/>
            <w:tcBorders>
              <w:top w:val="single" w:sz="4" w:space="0" w:color="000000"/>
              <w:left w:val="nil"/>
              <w:bottom w:val="single" w:sz="4" w:space="0" w:color="000000"/>
              <w:right w:val="single" w:sz="4" w:space="0" w:color="000000"/>
            </w:tcBorders>
            <w:shd w:val="clear" w:color="auto" w:fill="FFC000"/>
          </w:tcPr>
          <w:p w14:paraId="328D43E6"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p>
        </w:tc>
      </w:tr>
      <w:tr w:rsidR="007F6D3F" w:rsidRPr="007F6D3F" w14:paraId="33B8DE89" w14:textId="77777777" w:rsidTr="00284074">
        <w:trPr>
          <w:trHeight w:val="272"/>
        </w:trPr>
        <w:tc>
          <w:tcPr>
            <w:tcW w:w="4595" w:type="dxa"/>
            <w:tcBorders>
              <w:top w:val="single" w:sz="4" w:space="0" w:color="000000"/>
              <w:left w:val="single" w:sz="4" w:space="0" w:color="000000"/>
              <w:bottom w:val="single" w:sz="4" w:space="0" w:color="000000"/>
              <w:right w:val="single" w:sz="4" w:space="0" w:color="000000"/>
            </w:tcBorders>
            <w:shd w:val="clear" w:color="auto" w:fill="FFC000"/>
          </w:tcPr>
          <w:p w14:paraId="79C15BB7" w14:textId="13FA9269" w:rsidR="00CE4763" w:rsidRPr="007F6D3F" w:rsidRDefault="00CE4763" w:rsidP="00CE4763">
            <w:pPr>
              <w:spacing w:after="0" w:line="240" w:lineRule="auto"/>
              <w:ind w:left="0" w:right="0" w:firstLine="0"/>
              <w:jc w:val="left"/>
              <w:rPr>
                <w:rFonts w:ascii="Times New Roman" w:hAnsi="Times New Roman" w:cs="Times New Roman"/>
                <w:color w:val="auto"/>
                <w:sz w:val="24"/>
              </w:rPr>
            </w:pPr>
            <w:r w:rsidRPr="007F6D3F">
              <w:rPr>
                <w:rFonts w:ascii="Times New Roman" w:eastAsia="Times New Roman" w:hAnsi="Times New Roman" w:cs="Times New Roman"/>
                <w:b/>
                <w:i/>
                <w:color w:val="auto"/>
                <w:sz w:val="24"/>
              </w:rPr>
              <w:t xml:space="preserve">Koordinator </w:t>
            </w:r>
            <w:r w:rsidR="00BD2A5C" w:rsidRPr="007F6D3F">
              <w:rPr>
                <w:rFonts w:ascii="Times New Roman" w:eastAsia="Times New Roman" w:hAnsi="Times New Roman" w:cs="Times New Roman"/>
                <w:b/>
                <w:i/>
                <w:color w:val="auto"/>
                <w:sz w:val="24"/>
              </w:rPr>
              <w:t>i izvršitelj</w:t>
            </w:r>
          </w:p>
        </w:tc>
        <w:tc>
          <w:tcPr>
            <w:tcW w:w="4587" w:type="dxa"/>
            <w:tcBorders>
              <w:top w:val="single" w:sz="4" w:space="0" w:color="000000"/>
              <w:left w:val="single" w:sz="4" w:space="0" w:color="000000"/>
              <w:bottom w:val="single" w:sz="4" w:space="0" w:color="000000"/>
              <w:right w:val="single" w:sz="4" w:space="0" w:color="000000"/>
            </w:tcBorders>
            <w:shd w:val="clear" w:color="auto" w:fill="FFC000"/>
          </w:tcPr>
          <w:p w14:paraId="09E866B5" w14:textId="6498E466" w:rsidR="00CE4763" w:rsidRPr="007F6D3F" w:rsidRDefault="00BD2A5C" w:rsidP="00CE4763">
            <w:pPr>
              <w:spacing w:after="0" w:line="240" w:lineRule="auto"/>
              <w:ind w:left="0" w:right="0" w:firstLine="0"/>
              <w:jc w:val="left"/>
              <w:rPr>
                <w:rFonts w:ascii="Times New Roman" w:hAnsi="Times New Roman" w:cs="Times New Roman"/>
                <w:b/>
                <w:i/>
                <w:color w:val="auto"/>
                <w:sz w:val="24"/>
              </w:rPr>
            </w:pPr>
            <w:r w:rsidRPr="007F6D3F">
              <w:rPr>
                <w:rFonts w:ascii="Times New Roman" w:hAnsi="Times New Roman" w:cs="Times New Roman"/>
                <w:b/>
                <w:i/>
                <w:color w:val="auto"/>
                <w:sz w:val="24"/>
              </w:rPr>
              <w:t>Verifikator</w:t>
            </w:r>
          </w:p>
        </w:tc>
      </w:tr>
      <w:tr w:rsidR="007F6D3F" w:rsidRPr="007F6D3F" w14:paraId="289CF173" w14:textId="77777777" w:rsidTr="00284074">
        <w:trPr>
          <w:trHeight w:val="1598"/>
        </w:trPr>
        <w:tc>
          <w:tcPr>
            <w:tcW w:w="4595" w:type="dxa"/>
            <w:tcBorders>
              <w:top w:val="single" w:sz="4" w:space="0" w:color="000000"/>
              <w:left w:val="nil"/>
              <w:bottom w:val="single" w:sz="4" w:space="0" w:color="000000"/>
              <w:right w:val="nil"/>
            </w:tcBorders>
            <w:vAlign w:val="center"/>
          </w:tcPr>
          <w:p w14:paraId="563DEAC3" w14:textId="7CB1EA2C" w:rsidR="00CE4763" w:rsidRPr="007F6D3F" w:rsidRDefault="00BD2A5C" w:rsidP="00CE4763">
            <w:pPr>
              <w:spacing w:after="0" w:line="240" w:lineRule="auto"/>
              <w:ind w:left="0" w:right="0" w:firstLine="0"/>
              <w:jc w:val="left"/>
              <w:rPr>
                <w:rFonts w:ascii="Times New Roman" w:hAnsi="Times New Roman" w:cs="Times New Roman"/>
                <w:color w:val="auto"/>
                <w:sz w:val="24"/>
              </w:rPr>
            </w:pPr>
            <w:r w:rsidRPr="007F6D3F">
              <w:rPr>
                <w:rFonts w:ascii="Times New Roman" w:hAnsi="Times New Roman" w:cs="Times New Roman"/>
                <w:color w:val="auto"/>
                <w:sz w:val="24"/>
              </w:rPr>
              <w:t>Gradski ured za mjesnu samoupravu, civilnu zaštitu i sigurnost</w:t>
            </w:r>
          </w:p>
        </w:tc>
        <w:tc>
          <w:tcPr>
            <w:tcW w:w="4587" w:type="dxa"/>
            <w:tcBorders>
              <w:top w:val="single" w:sz="4" w:space="0" w:color="000000"/>
              <w:left w:val="nil"/>
              <w:bottom w:val="single" w:sz="4" w:space="0" w:color="000000"/>
              <w:right w:val="nil"/>
            </w:tcBorders>
          </w:tcPr>
          <w:p w14:paraId="20640F23" w14:textId="356CEF91" w:rsidR="00BD2A5C" w:rsidRPr="007F6D3F" w:rsidRDefault="00BD2A5C" w:rsidP="00BD2A5C">
            <w:pPr>
              <w:spacing w:after="0" w:line="240" w:lineRule="auto"/>
              <w:ind w:left="0" w:right="0" w:firstLine="0"/>
              <w:jc w:val="left"/>
              <w:rPr>
                <w:rFonts w:ascii="Times New Roman" w:hAnsi="Times New Roman" w:cs="Times New Roman"/>
                <w:color w:val="auto"/>
                <w:sz w:val="24"/>
              </w:rPr>
            </w:pPr>
          </w:p>
          <w:p w14:paraId="67A463FE" w14:textId="074C65C0" w:rsidR="00CE4763" w:rsidRPr="007F6D3F" w:rsidRDefault="00B94862" w:rsidP="00CE4763">
            <w:pPr>
              <w:spacing w:after="0" w:line="240" w:lineRule="auto"/>
              <w:ind w:left="0" w:right="0" w:firstLine="0"/>
              <w:jc w:val="left"/>
              <w:rPr>
                <w:rFonts w:ascii="Times New Roman" w:hAnsi="Times New Roman" w:cs="Times New Roman"/>
                <w:color w:val="auto"/>
                <w:sz w:val="24"/>
              </w:rPr>
            </w:pPr>
            <w:r w:rsidRPr="007F6D3F">
              <w:rPr>
                <w:rFonts w:ascii="Times New Roman" w:hAnsi="Times New Roman" w:cs="Times New Roman"/>
                <w:color w:val="auto"/>
                <w:sz w:val="24"/>
              </w:rPr>
              <w:t>Gradski ured za obnovu, izgradnju, prostorno uređenje, graditeljstvo, komunalne poslove i promet</w:t>
            </w:r>
          </w:p>
        </w:tc>
      </w:tr>
      <w:tr w:rsidR="00CE4763" w:rsidRPr="007F6D3F" w14:paraId="66FF955E" w14:textId="77777777" w:rsidTr="00284074">
        <w:trPr>
          <w:trHeight w:val="274"/>
        </w:trPr>
        <w:tc>
          <w:tcPr>
            <w:tcW w:w="4595" w:type="dxa"/>
            <w:tcBorders>
              <w:top w:val="single" w:sz="4" w:space="0" w:color="000000"/>
              <w:left w:val="single" w:sz="4" w:space="0" w:color="000000"/>
              <w:bottom w:val="single" w:sz="4" w:space="0" w:color="000000"/>
              <w:right w:val="nil"/>
            </w:tcBorders>
            <w:shd w:val="clear" w:color="auto" w:fill="FFC000"/>
          </w:tcPr>
          <w:p w14:paraId="27E78B04" w14:textId="425B6477" w:rsidR="00CE4763" w:rsidRPr="007F6D3F" w:rsidRDefault="00BD2A5C" w:rsidP="00CE4763">
            <w:pPr>
              <w:spacing w:after="0" w:line="240" w:lineRule="auto"/>
              <w:ind w:left="0" w:right="0" w:firstLine="0"/>
              <w:jc w:val="left"/>
              <w:rPr>
                <w:rFonts w:ascii="Times New Roman" w:hAnsi="Times New Roman" w:cs="Times New Roman"/>
                <w:color w:val="auto"/>
                <w:sz w:val="24"/>
              </w:rPr>
            </w:pPr>
            <w:r w:rsidRPr="007F6D3F">
              <w:rPr>
                <w:rFonts w:ascii="Times New Roman" w:hAnsi="Times New Roman" w:cs="Times New Roman"/>
                <w:b/>
                <w:i/>
                <w:color w:val="auto"/>
                <w:sz w:val="24"/>
              </w:rPr>
              <w:t>Koordinator, izvršitelji i verifikatori</w:t>
            </w:r>
          </w:p>
        </w:tc>
        <w:tc>
          <w:tcPr>
            <w:tcW w:w="4587" w:type="dxa"/>
            <w:tcBorders>
              <w:top w:val="single" w:sz="4" w:space="0" w:color="000000"/>
              <w:left w:val="nil"/>
              <w:bottom w:val="single" w:sz="4" w:space="0" w:color="000000"/>
              <w:right w:val="single" w:sz="4" w:space="0" w:color="000000"/>
            </w:tcBorders>
            <w:shd w:val="clear" w:color="auto" w:fill="FFC000"/>
          </w:tcPr>
          <w:p w14:paraId="78CCE1CE"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p>
        </w:tc>
      </w:tr>
      <w:tr w:rsidR="00CE4763" w:rsidRPr="007F6D3F" w14:paraId="048E525F" w14:textId="77777777" w:rsidTr="00284074">
        <w:trPr>
          <w:trHeight w:val="1863"/>
        </w:trPr>
        <w:tc>
          <w:tcPr>
            <w:tcW w:w="4595" w:type="dxa"/>
            <w:tcBorders>
              <w:top w:val="single" w:sz="4" w:space="0" w:color="000000"/>
              <w:left w:val="nil"/>
              <w:bottom w:val="single" w:sz="4" w:space="0" w:color="000000"/>
              <w:right w:val="nil"/>
            </w:tcBorders>
          </w:tcPr>
          <w:p w14:paraId="12BE4CC1" w14:textId="522FA086" w:rsidR="00BD2A5C" w:rsidRPr="007F6D3F" w:rsidRDefault="00BC191F" w:rsidP="00BD2A5C">
            <w:pPr>
              <w:spacing w:after="0" w:line="240" w:lineRule="auto"/>
              <w:ind w:left="0" w:right="0" w:firstLine="0"/>
              <w:jc w:val="left"/>
              <w:rPr>
                <w:rFonts w:ascii="Times New Roman" w:eastAsia="Times New Roman" w:hAnsi="Times New Roman" w:cs="Times New Roman"/>
                <w:color w:val="auto"/>
                <w:sz w:val="24"/>
              </w:rPr>
            </w:pPr>
            <w:r>
              <w:rPr>
                <w:rFonts w:ascii="Times New Roman" w:eastAsia="Times New Roman" w:hAnsi="Times New Roman" w:cs="Times New Roman"/>
                <w:color w:val="auto"/>
                <w:sz w:val="24"/>
              </w:rPr>
              <w:t xml:space="preserve">dr. sc. </w:t>
            </w:r>
            <w:r w:rsidR="00BD2A5C" w:rsidRPr="007F6D3F">
              <w:rPr>
                <w:rFonts w:ascii="Times New Roman" w:eastAsia="Times New Roman" w:hAnsi="Times New Roman" w:cs="Times New Roman"/>
                <w:color w:val="auto"/>
                <w:sz w:val="24"/>
              </w:rPr>
              <w:t>Ivana Krišto</w:t>
            </w:r>
          </w:p>
          <w:p w14:paraId="29933EAA" w14:textId="7BDC5709" w:rsidR="00BD2A5C" w:rsidRPr="007F6D3F" w:rsidRDefault="00BD2A5C" w:rsidP="00BD2A5C">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Ozren Ilijaš</w:t>
            </w:r>
            <w:r w:rsidR="00BC191F">
              <w:rPr>
                <w:rFonts w:ascii="Times New Roman" w:eastAsia="Times New Roman" w:hAnsi="Times New Roman" w:cs="Times New Roman"/>
                <w:color w:val="auto"/>
                <w:sz w:val="24"/>
              </w:rPr>
              <w:t xml:space="preserve">, </w:t>
            </w:r>
            <w:r w:rsidR="00BC191F" w:rsidRPr="00BC191F">
              <w:rPr>
                <w:rFonts w:ascii="Times New Roman" w:eastAsia="Times New Roman" w:hAnsi="Times New Roman" w:cs="Times New Roman"/>
                <w:color w:val="auto"/>
                <w:sz w:val="24"/>
              </w:rPr>
              <w:t>struč. spec. ing. admin. chris.</w:t>
            </w:r>
          </w:p>
          <w:p w14:paraId="10D7BC3A" w14:textId="60263330" w:rsidR="00BD2A5C" w:rsidRPr="007F6D3F" w:rsidRDefault="00BD2A5C" w:rsidP="00BD2A5C">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Marko Cerjan</w:t>
            </w:r>
            <w:r w:rsidR="00BC191F">
              <w:rPr>
                <w:rFonts w:ascii="Times New Roman" w:eastAsia="Times New Roman" w:hAnsi="Times New Roman" w:cs="Times New Roman"/>
                <w:color w:val="auto"/>
                <w:sz w:val="24"/>
              </w:rPr>
              <w:t xml:space="preserve">, </w:t>
            </w:r>
            <w:r w:rsidR="00BC191F" w:rsidRPr="00BC191F">
              <w:rPr>
                <w:rFonts w:ascii="Times New Roman" w:eastAsia="Times New Roman" w:hAnsi="Times New Roman" w:cs="Times New Roman"/>
                <w:color w:val="auto"/>
                <w:sz w:val="24"/>
              </w:rPr>
              <w:t>struč. spec. ing. admin. chris.</w:t>
            </w:r>
          </w:p>
          <w:p w14:paraId="3F5CC6F3" w14:textId="21EA7D01" w:rsidR="00BD2A5C" w:rsidRPr="007F6D3F" w:rsidRDefault="00BD2A5C" w:rsidP="00BD2A5C">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Vedran Šušković</w:t>
            </w:r>
            <w:r w:rsidR="00BC191F">
              <w:rPr>
                <w:rFonts w:ascii="Times New Roman" w:eastAsia="Times New Roman" w:hAnsi="Times New Roman" w:cs="Times New Roman"/>
                <w:color w:val="auto"/>
                <w:sz w:val="24"/>
              </w:rPr>
              <w:t xml:space="preserve">, </w:t>
            </w:r>
            <w:r w:rsidR="00BC191F" w:rsidRPr="00BC191F">
              <w:rPr>
                <w:rFonts w:ascii="Times New Roman" w:eastAsia="Times New Roman" w:hAnsi="Times New Roman" w:cs="Times New Roman"/>
                <w:color w:val="auto"/>
                <w:sz w:val="24"/>
              </w:rPr>
              <w:t xml:space="preserve">univ. spec. pol.  </w:t>
            </w:r>
          </w:p>
          <w:p w14:paraId="3FF1BDB2" w14:textId="745C95B3" w:rsidR="00CE4763" w:rsidRPr="007F6D3F" w:rsidRDefault="00BD2A5C" w:rsidP="00CE4763">
            <w:pPr>
              <w:spacing w:after="0" w:line="240" w:lineRule="auto"/>
              <w:ind w:left="0" w:right="0" w:firstLine="0"/>
              <w:jc w:val="left"/>
              <w:rPr>
                <w:rFonts w:ascii="Times New Roman" w:eastAsia="Times New Roman" w:hAnsi="Times New Roman" w:cs="Times New Roman"/>
                <w:color w:val="auto"/>
                <w:sz w:val="24"/>
              </w:rPr>
            </w:pPr>
            <w:r w:rsidRPr="007F6D3F">
              <w:rPr>
                <w:rFonts w:ascii="Times New Roman" w:eastAsia="Times New Roman" w:hAnsi="Times New Roman" w:cs="Times New Roman"/>
                <w:color w:val="auto"/>
                <w:sz w:val="24"/>
              </w:rPr>
              <w:t>Filip Mrakužić</w:t>
            </w:r>
            <w:r w:rsidR="00250CDF">
              <w:rPr>
                <w:rFonts w:ascii="Times New Roman" w:eastAsia="Times New Roman" w:hAnsi="Times New Roman" w:cs="Times New Roman"/>
                <w:color w:val="auto"/>
                <w:sz w:val="24"/>
              </w:rPr>
              <w:t xml:space="preserve">, </w:t>
            </w:r>
            <w:r w:rsidR="00250CDF" w:rsidRPr="00250CDF">
              <w:rPr>
                <w:rFonts w:ascii="Times New Roman" w:eastAsia="Times New Roman" w:hAnsi="Times New Roman" w:cs="Times New Roman"/>
                <w:color w:val="auto"/>
                <w:sz w:val="24"/>
              </w:rPr>
              <w:t>mag. ing. min., univ. spec. mech.</w:t>
            </w:r>
          </w:p>
        </w:tc>
        <w:tc>
          <w:tcPr>
            <w:tcW w:w="4587" w:type="dxa"/>
            <w:tcBorders>
              <w:top w:val="single" w:sz="4" w:space="0" w:color="000000"/>
              <w:left w:val="nil"/>
              <w:bottom w:val="single" w:sz="4" w:space="0" w:color="000000"/>
              <w:right w:val="nil"/>
            </w:tcBorders>
          </w:tcPr>
          <w:p w14:paraId="3807211E" w14:textId="77777777" w:rsidR="00CE4763" w:rsidRPr="007F6D3F" w:rsidRDefault="00CE4763" w:rsidP="00CE4763">
            <w:pPr>
              <w:spacing w:after="0" w:line="240" w:lineRule="auto"/>
              <w:ind w:left="0" w:right="0" w:firstLine="0"/>
              <w:jc w:val="left"/>
              <w:rPr>
                <w:rFonts w:ascii="Times New Roman" w:hAnsi="Times New Roman" w:cs="Times New Roman"/>
                <w:color w:val="auto"/>
                <w:sz w:val="24"/>
              </w:rPr>
            </w:pPr>
          </w:p>
        </w:tc>
      </w:tr>
    </w:tbl>
    <w:p w14:paraId="62FAAB26" w14:textId="77777777" w:rsidR="00CE4763" w:rsidRPr="007F6D3F" w:rsidRDefault="00CE4763" w:rsidP="00CE4763">
      <w:pPr>
        <w:spacing w:after="0" w:line="240" w:lineRule="auto"/>
        <w:ind w:left="0" w:right="0" w:firstLine="709"/>
        <w:rPr>
          <w:rFonts w:ascii="Times New Roman" w:hAnsi="Times New Roman" w:cs="Times New Roman"/>
          <w:color w:val="auto"/>
          <w:sz w:val="24"/>
        </w:rPr>
      </w:pPr>
    </w:p>
    <w:p w14:paraId="4584CA30" w14:textId="77777777" w:rsidR="00CE4763" w:rsidRPr="007F6D3F" w:rsidRDefault="00CE4763" w:rsidP="00CE4763">
      <w:pPr>
        <w:spacing w:after="160" w:line="259" w:lineRule="auto"/>
        <w:ind w:left="0" w:right="0" w:firstLine="0"/>
        <w:jc w:val="left"/>
        <w:rPr>
          <w:rFonts w:ascii="Times New Roman" w:hAnsi="Times New Roman" w:cs="Times New Roman"/>
          <w:color w:val="auto"/>
          <w:sz w:val="24"/>
        </w:rPr>
      </w:pPr>
      <w:r w:rsidRPr="007F6D3F">
        <w:rPr>
          <w:rFonts w:ascii="Times New Roman" w:hAnsi="Times New Roman" w:cs="Times New Roman"/>
          <w:color w:val="auto"/>
          <w:sz w:val="24"/>
        </w:rPr>
        <w:br w:type="page"/>
      </w:r>
    </w:p>
    <w:p w14:paraId="124D772C" w14:textId="77777777" w:rsidR="00CE4763" w:rsidRPr="00CE4763" w:rsidRDefault="00CE4763" w:rsidP="00CE4763">
      <w:pPr>
        <w:spacing w:after="0" w:line="240" w:lineRule="auto"/>
        <w:ind w:left="0" w:right="0" w:firstLine="709"/>
        <w:rPr>
          <w:rFonts w:ascii="Times New Roman" w:hAnsi="Times New Roman" w:cs="Times New Roman"/>
          <w:color w:val="FF0000"/>
          <w:sz w:val="24"/>
        </w:rPr>
        <w:sectPr w:rsidR="00CE4763" w:rsidRPr="00CE4763" w:rsidSect="008A4D16">
          <w:headerReference w:type="default" r:id="rId183"/>
          <w:pgSz w:w="11906" w:h="16838"/>
          <w:pgMar w:top="1417" w:right="1417" w:bottom="1417" w:left="1417" w:header="737" w:footer="708" w:gutter="0"/>
          <w:cols w:space="708"/>
          <w:titlePg/>
          <w:docGrid w:linePitch="360"/>
        </w:sectPr>
      </w:pPr>
    </w:p>
    <w:p w14:paraId="40E17D65" w14:textId="410C5B0C" w:rsidR="00CE4763" w:rsidRPr="00CE4763" w:rsidRDefault="00CE4763" w:rsidP="00CE4763">
      <w:pPr>
        <w:spacing w:after="0" w:line="240" w:lineRule="auto"/>
        <w:ind w:left="0" w:right="0" w:firstLine="0"/>
        <w:jc w:val="center"/>
        <w:rPr>
          <w:rFonts w:ascii="Times New Roman" w:hAnsi="Times New Roman" w:cs="Times New Roman"/>
          <w:b/>
          <w:color w:val="FF0000"/>
          <w:sz w:val="24"/>
        </w:rPr>
      </w:pPr>
      <w:r w:rsidRPr="00CE4763">
        <w:rPr>
          <w:rFonts w:ascii="Times New Roman" w:hAnsi="Times New Roman" w:cs="Times New Roman"/>
          <w:sz w:val="24"/>
        </w:rPr>
        <w:lastRenderedPageBreak/>
        <w:t xml:space="preserve">PRILOG </w:t>
      </w:r>
      <w:r w:rsidR="0013016D">
        <w:rPr>
          <w:rFonts w:ascii="Times New Roman" w:hAnsi="Times New Roman" w:cs="Times New Roman"/>
          <w:sz w:val="24"/>
        </w:rPr>
        <w:t>1.</w:t>
      </w:r>
      <w:r w:rsidRPr="00CE4763">
        <w:rPr>
          <w:rFonts w:ascii="Times New Roman" w:hAnsi="Times New Roman" w:cs="Times New Roman"/>
          <w:noProof/>
          <w:sz w:val="24"/>
        </w:rPr>
        <w:drawing>
          <wp:inline distT="0" distB="0" distL="0" distR="0" wp14:anchorId="26853A03" wp14:editId="600F5DBA">
            <wp:extent cx="8591550" cy="5676900"/>
            <wp:effectExtent l="0" t="0" r="0" b="0"/>
            <wp:docPr id="73558" name="Picture 73558"/>
            <wp:cNvGraphicFramePr/>
            <a:graphic xmlns:a="http://schemas.openxmlformats.org/drawingml/2006/main">
              <a:graphicData uri="http://schemas.openxmlformats.org/drawingml/2006/picture">
                <pic:pic xmlns:pic="http://schemas.openxmlformats.org/drawingml/2006/picture">
                  <pic:nvPicPr>
                    <pic:cNvPr id="73558" name="Picture 73558"/>
                    <pic:cNvPicPr/>
                  </pic:nvPicPr>
                  <pic:blipFill>
                    <a:blip r:embed="rId184"/>
                    <a:stretch>
                      <a:fillRect/>
                    </a:stretch>
                  </pic:blipFill>
                  <pic:spPr>
                    <a:xfrm>
                      <a:off x="0" y="0"/>
                      <a:ext cx="8591550" cy="5676900"/>
                    </a:xfrm>
                    <a:prstGeom prst="rect">
                      <a:avLst/>
                    </a:prstGeom>
                  </pic:spPr>
                </pic:pic>
              </a:graphicData>
            </a:graphic>
          </wp:inline>
        </w:drawing>
      </w:r>
    </w:p>
    <w:p w14:paraId="25945E30" w14:textId="77777777" w:rsidR="00CE4763" w:rsidRPr="00CE4763" w:rsidRDefault="00CE4763" w:rsidP="00CE4763">
      <w:pPr>
        <w:spacing w:after="0" w:line="240" w:lineRule="auto"/>
        <w:ind w:left="0" w:right="0" w:firstLine="0"/>
        <w:jc w:val="left"/>
        <w:rPr>
          <w:rFonts w:ascii="Times New Roman" w:eastAsia="Calibri" w:hAnsi="Times New Roman" w:cs="Times New Roman"/>
          <w:sz w:val="24"/>
        </w:rPr>
      </w:pPr>
    </w:p>
    <w:p w14:paraId="47EE30C0" w14:textId="38CEFA33" w:rsidR="00CE4763" w:rsidRPr="00CE4763" w:rsidRDefault="00CE4763" w:rsidP="00CE4763">
      <w:pPr>
        <w:spacing w:after="0" w:line="240" w:lineRule="auto"/>
        <w:ind w:left="0" w:right="0" w:firstLine="0"/>
        <w:jc w:val="center"/>
        <w:rPr>
          <w:rFonts w:ascii="Times New Roman" w:hAnsi="Times New Roman" w:cs="Times New Roman"/>
          <w:b/>
          <w:color w:val="FF0000"/>
          <w:sz w:val="24"/>
        </w:rPr>
      </w:pPr>
      <w:r w:rsidRPr="00CE4763">
        <w:rPr>
          <w:rFonts w:ascii="Times New Roman" w:hAnsi="Times New Roman" w:cs="Times New Roman"/>
          <w:sz w:val="24"/>
        </w:rPr>
        <w:t>PRILOG</w:t>
      </w:r>
      <w:r w:rsidR="0013016D">
        <w:rPr>
          <w:rFonts w:ascii="Times New Roman" w:hAnsi="Times New Roman" w:cs="Times New Roman"/>
          <w:sz w:val="24"/>
        </w:rPr>
        <w:t xml:space="preserve"> 2.</w:t>
      </w:r>
      <w:r w:rsidRPr="00CE4763">
        <w:rPr>
          <w:rFonts w:ascii="Times New Roman" w:hAnsi="Times New Roman" w:cs="Times New Roman"/>
          <w:noProof/>
          <w:sz w:val="24"/>
        </w:rPr>
        <w:drawing>
          <wp:inline distT="0" distB="0" distL="0" distR="0" wp14:anchorId="488BA434" wp14:editId="30272D7E">
            <wp:extent cx="8888095" cy="5467985"/>
            <wp:effectExtent l="0" t="0" r="0" b="0"/>
            <wp:docPr id="73576" name="Picture 73576"/>
            <wp:cNvGraphicFramePr/>
            <a:graphic xmlns:a="http://schemas.openxmlformats.org/drawingml/2006/main">
              <a:graphicData uri="http://schemas.openxmlformats.org/drawingml/2006/picture">
                <pic:pic xmlns:pic="http://schemas.openxmlformats.org/drawingml/2006/picture">
                  <pic:nvPicPr>
                    <pic:cNvPr id="73576" name="Picture 73576"/>
                    <pic:cNvPicPr/>
                  </pic:nvPicPr>
                  <pic:blipFill>
                    <a:blip r:embed="rId185"/>
                    <a:stretch>
                      <a:fillRect/>
                    </a:stretch>
                  </pic:blipFill>
                  <pic:spPr>
                    <a:xfrm>
                      <a:off x="0" y="0"/>
                      <a:ext cx="8888095" cy="5467985"/>
                    </a:xfrm>
                    <a:prstGeom prst="rect">
                      <a:avLst/>
                    </a:prstGeom>
                  </pic:spPr>
                </pic:pic>
              </a:graphicData>
            </a:graphic>
          </wp:inline>
        </w:drawing>
      </w:r>
    </w:p>
    <w:p w14:paraId="17D1235F" w14:textId="77777777" w:rsidR="00CE4763" w:rsidRPr="00CE4763" w:rsidRDefault="00CE4763" w:rsidP="00CE4763">
      <w:pPr>
        <w:spacing w:after="0" w:line="240" w:lineRule="auto"/>
        <w:ind w:left="0" w:right="0" w:firstLine="0"/>
        <w:rPr>
          <w:rFonts w:ascii="Times New Roman" w:hAnsi="Times New Roman" w:cs="Times New Roman"/>
          <w:sz w:val="24"/>
        </w:rPr>
        <w:sectPr w:rsidR="00CE4763" w:rsidRPr="00CE4763" w:rsidSect="0049623D">
          <w:headerReference w:type="even" r:id="rId186"/>
          <w:headerReference w:type="default" r:id="rId187"/>
          <w:footerReference w:type="even" r:id="rId188"/>
          <w:footerReference w:type="default" r:id="rId189"/>
          <w:headerReference w:type="first" r:id="rId190"/>
          <w:footerReference w:type="first" r:id="rId191"/>
          <w:pgSz w:w="16838" w:h="11906" w:orient="landscape"/>
          <w:pgMar w:top="1135" w:right="1418" w:bottom="1418" w:left="1418" w:header="709" w:footer="709" w:gutter="0"/>
          <w:cols w:space="720"/>
          <w:docGrid w:linePitch="299"/>
        </w:sectPr>
      </w:pPr>
    </w:p>
    <w:p w14:paraId="4D46C363" w14:textId="77777777" w:rsidR="00CE4763" w:rsidRPr="00CE4763" w:rsidRDefault="00CE4763" w:rsidP="00CE4763">
      <w:pPr>
        <w:spacing w:after="0" w:line="240" w:lineRule="auto"/>
        <w:ind w:left="0" w:right="0" w:firstLine="0"/>
        <w:jc w:val="center"/>
        <w:rPr>
          <w:rFonts w:ascii="Times New Roman" w:hAnsi="Times New Roman" w:cs="Times New Roman"/>
          <w:b/>
          <w:sz w:val="24"/>
        </w:rPr>
      </w:pPr>
      <w:bookmarkStart w:id="154" w:name="_Toc2938657"/>
      <w:r w:rsidRPr="00CE4763">
        <w:rPr>
          <w:rFonts w:ascii="Times New Roman" w:hAnsi="Times New Roman" w:cs="Times New Roman"/>
          <w:b/>
          <w:sz w:val="24"/>
        </w:rPr>
        <w:lastRenderedPageBreak/>
        <w:t>Tablica uz PRILOG 1 i 2. Koordinate postrojenja s opasnim tvarima i zone djelovanja u slučaju akcidenata</w:t>
      </w:r>
      <w:bookmarkEnd w:id="154"/>
    </w:p>
    <w:p w14:paraId="2EC27892" w14:textId="77777777" w:rsidR="00CE4763" w:rsidRPr="00CE4763" w:rsidRDefault="00CE4763" w:rsidP="00CE4763">
      <w:pPr>
        <w:spacing w:after="0" w:line="240" w:lineRule="auto"/>
        <w:ind w:left="0" w:right="0" w:firstLine="0"/>
        <w:rPr>
          <w:rFonts w:ascii="Times New Roman" w:hAnsi="Times New Roman" w:cs="Times New Roman"/>
          <w:sz w:val="24"/>
        </w:rPr>
      </w:pPr>
    </w:p>
    <w:tbl>
      <w:tblPr>
        <w:tblStyle w:val="TableGrid"/>
        <w:tblW w:w="9072" w:type="dxa"/>
        <w:tblInd w:w="0" w:type="dxa"/>
        <w:tblLayout w:type="fixed"/>
        <w:tblCellMar>
          <w:top w:w="3" w:type="dxa"/>
          <w:left w:w="57" w:type="dxa"/>
          <w:right w:w="57" w:type="dxa"/>
        </w:tblCellMar>
        <w:tblLook w:val="04A0" w:firstRow="1" w:lastRow="0" w:firstColumn="1" w:lastColumn="0" w:noHBand="0" w:noVBand="1"/>
      </w:tblPr>
      <w:tblGrid>
        <w:gridCol w:w="513"/>
        <w:gridCol w:w="2280"/>
        <w:gridCol w:w="1710"/>
        <w:gridCol w:w="855"/>
        <w:gridCol w:w="855"/>
        <w:gridCol w:w="855"/>
        <w:gridCol w:w="1995"/>
        <w:gridCol w:w="9"/>
      </w:tblGrid>
      <w:tr w:rsidR="00CE4763" w:rsidRPr="00CE4763" w14:paraId="138BAF1D" w14:textId="77777777" w:rsidTr="00284074">
        <w:trPr>
          <w:cantSplit/>
          <w:tblHeader/>
        </w:trPr>
        <w:tc>
          <w:tcPr>
            <w:tcW w:w="513" w:type="dxa"/>
            <w:vMerge w:val="restart"/>
            <w:tcBorders>
              <w:top w:val="single" w:sz="4" w:space="0" w:color="000000"/>
              <w:left w:val="single" w:sz="4" w:space="0" w:color="000000"/>
              <w:bottom w:val="single" w:sz="4" w:space="0" w:color="000000"/>
              <w:right w:val="single" w:sz="4" w:space="0" w:color="000000"/>
            </w:tcBorders>
            <w:vAlign w:val="center"/>
          </w:tcPr>
          <w:p w14:paraId="75983714"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BR.</w:t>
            </w:r>
          </w:p>
        </w:tc>
        <w:tc>
          <w:tcPr>
            <w:tcW w:w="2280" w:type="dxa"/>
            <w:vMerge w:val="restart"/>
            <w:tcBorders>
              <w:top w:val="single" w:sz="4" w:space="0" w:color="000000"/>
              <w:left w:val="single" w:sz="4" w:space="0" w:color="000000"/>
              <w:bottom w:val="single" w:sz="4" w:space="0" w:color="000000"/>
              <w:right w:val="single" w:sz="4" w:space="0" w:color="000000"/>
            </w:tcBorders>
            <w:vAlign w:val="center"/>
          </w:tcPr>
          <w:p w14:paraId="6B85E363"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NAZIV</w:t>
            </w:r>
          </w:p>
        </w:tc>
        <w:tc>
          <w:tcPr>
            <w:tcW w:w="1710" w:type="dxa"/>
            <w:vMerge w:val="restart"/>
            <w:tcBorders>
              <w:top w:val="single" w:sz="4" w:space="0" w:color="000000"/>
              <w:left w:val="single" w:sz="4" w:space="0" w:color="000000"/>
              <w:bottom w:val="single" w:sz="4" w:space="0" w:color="000000"/>
              <w:right w:val="single" w:sz="4" w:space="0" w:color="000000"/>
            </w:tcBorders>
            <w:vAlign w:val="center"/>
          </w:tcPr>
          <w:p w14:paraId="0A71472D"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KOORDINATE</w:t>
            </w:r>
          </w:p>
        </w:tc>
        <w:tc>
          <w:tcPr>
            <w:tcW w:w="2565" w:type="dxa"/>
            <w:gridSpan w:val="3"/>
            <w:tcBorders>
              <w:top w:val="single" w:sz="4" w:space="0" w:color="000000"/>
              <w:left w:val="single" w:sz="4" w:space="0" w:color="000000"/>
              <w:bottom w:val="single" w:sz="4" w:space="0" w:color="000000"/>
              <w:right w:val="single" w:sz="4" w:space="0" w:color="000000"/>
            </w:tcBorders>
            <w:vAlign w:val="center"/>
          </w:tcPr>
          <w:p w14:paraId="36C446B7"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ZONE</w:t>
            </w:r>
          </w:p>
        </w:tc>
        <w:tc>
          <w:tcPr>
            <w:tcW w:w="2004" w:type="dxa"/>
            <w:gridSpan w:val="2"/>
            <w:vMerge w:val="restart"/>
            <w:tcBorders>
              <w:top w:val="single" w:sz="4" w:space="0" w:color="000000"/>
              <w:left w:val="single" w:sz="4" w:space="0" w:color="000000"/>
              <w:bottom w:val="single" w:sz="4" w:space="0" w:color="000000"/>
              <w:right w:val="single" w:sz="4" w:space="0" w:color="000000"/>
            </w:tcBorders>
            <w:vAlign w:val="center"/>
          </w:tcPr>
          <w:p w14:paraId="22D9AB41" w14:textId="77777777" w:rsidR="00CE4763" w:rsidRPr="00CE4763" w:rsidRDefault="00CE4763" w:rsidP="00CE4763">
            <w:pPr>
              <w:spacing w:after="0" w:line="240" w:lineRule="auto"/>
              <w:ind w:left="0" w:right="0" w:firstLine="0"/>
              <w:jc w:val="center"/>
              <w:rPr>
                <w:rFonts w:ascii="Times New Roman" w:hAnsi="Times New Roman" w:cs="Times New Roman"/>
              </w:rPr>
            </w:pPr>
            <w:r w:rsidRPr="00CE4763">
              <w:rPr>
                <w:rFonts w:ascii="Times New Roman" w:hAnsi="Times New Roman" w:cs="Times New Roman"/>
                <w:b/>
              </w:rPr>
              <w:t>ADRESA</w:t>
            </w:r>
          </w:p>
        </w:tc>
      </w:tr>
      <w:tr w:rsidR="00CE4763" w:rsidRPr="00CE4763" w14:paraId="01D52C8E" w14:textId="77777777" w:rsidTr="00284074">
        <w:trPr>
          <w:cantSplit/>
          <w:tblHeader/>
        </w:trPr>
        <w:tc>
          <w:tcPr>
            <w:tcW w:w="513" w:type="dxa"/>
            <w:vMerge/>
            <w:tcBorders>
              <w:top w:val="nil"/>
              <w:left w:val="single" w:sz="4" w:space="0" w:color="000000"/>
              <w:bottom w:val="single" w:sz="4" w:space="0" w:color="000000"/>
              <w:right w:val="single" w:sz="4" w:space="0" w:color="000000"/>
            </w:tcBorders>
          </w:tcPr>
          <w:p w14:paraId="70C99E7C" w14:textId="77777777" w:rsidR="00CE4763" w:rsidRPr="00CE4763" w:rsidRDefault="00CE4763" w:rsidP="00CE4763">
            <w:pPr>
              <w:spacing w:after="0" w:line="240" w:lineRule="auto"/>
              <w:ind w:left="0" w:right="0" w:firstLine="0"/>
              <w:jc w:val="left"/>
              <w:rPr>
                <w:rFonts w:ascii="Times New Roman" w:hAnsi="Times New Roman" w:cs="Times New Roman"/>
              </w:rPr>
            </w:pPr>
          </w:p>
        </w:tc>
        <w:tc>
          <w:tcPr>
            <w:tcW w:w="2280" w:type="dxa"/>
            <w:vMerge/>
            <w:tcBorders>
              <w:top w:val="nil"/>
              <w:left w:val="single" w:sz="4" w:space="0" w:color="000000"/>
              <w:bottom w:val="single" w:sz="4" w:space="0" w:color="000000"/>
              <w:right w:val="single" w:sz="4" w:space="0" w:color="000000"/>
            </w:tcBorders>
          </w:tcPr>
          <w:p w14:paraId="01D1E8AC" w14:textId="77777777" w:rsidR="00CE4763" w:rsidRPr="00CE4763" w:rsidRDefault="00CE4763" w:rsidP="00CE4763">
            <w:pPr>
              <w:spacing w:after="0" w:line="240" w:lineRule="auto"/>
              <w:ind w:left="0" w:right="0" w:firstLine="0"/>
              <w:jc w:val="left"/>
              <w:rPr>
                <w:rFonts w:ascii="Times New Roman" w:hAnsi="Times New Roman" w:cs="Times New Roman"/>
              </w:rPr>
            </w:pPr>
          </w:p>
        </w:tc>
        <w:tc>
          <w:tcPr>
            <w:tcW w:w="1710" w:type="dxa"/>
            <w:vMerge/>
            <w:tcBorders>
              <w:top w:val="nil"/>
              <w:left w:val="single" w:sz="4" w:space="0" w:color="000000"/>
              <w:bottom w:val="single" w:sz="4" w:space="0" w:color="000000"/>
              <w:right w:val="single" w:sz="4" w:space="0" w:color="000000"/>
            </w:tcBorders>
          </w:tcPr>
          <w:p w14:paraId="6CD7B811" w14:textId="77777777" w:rsidR="00CE4763" w:rsidRPr="00CE4763" w:rsidRDefault="00CE4763" w:rsidP="00CE4763">
            <w:pPr>
              <w:spacing w:after="0" w:line="240" w:lineRule="auto"/>
              <w:ind w:left="0" w:right="0" w:firstLine="0"/>
              <w:jc w:val="left"/>
              <w:rPr>
                <w:rFonts w:ascii="Times New Roman" w:hAnsi="Times New Roman" w:cs="Times New Roman"/>
              </w:rPr>
            </w:pPr>
          </w:p>
        </w:tc>
        <w:tc>
          <w:tcPr>
            <w:tcW w:w="855" w:type="dxa"/>
            <w:tcBorders>
              <w:top w:val="single" w:sz="4" w:space="0" w:color="000000"/>
              <w:left w:val="single" w:sz="4" w:space="0" w:color="000000"/>
              <w:bottom w:val="single" w:sz="4" w:space="0" w:color="000000"/>
              <w:right w:val="single" w:sz="4" w:space="0" w:color="000000"/>
            </w:tcBorders>
            <w:shd w:val="clear" w:color="auto" w:fill="FF0000"/>
          </w:tcPr>
          <w:p w14:paraId="2ABD5D1D"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shd w:val="clear" w:color="auto" w:fill="FFC000"/>
          </w:tcPr>
          <w:p w14:paraId="3DA9F28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shd w:val="clear" w:color="auto" w:fill="92D050"/>
          </w:tcPr>
          <w:p w14:paraId="3BCA32CF"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 </w:t>
            </w:r>
          </w:p>
        </w:tc>
        <w:tc>
          <w:tcPr>
            <w:tcW w:w="2004" w:type="dxa"/>
            <w:gridSpan w:val="2"/>
            <w:vMerge/>
            <w:tcBorders>
              <w:top w:val="nil"/>
              <w:left w:val="single" w:sz="4" w:space="0" w:color="000000"/>
              <w:bottom w:val="single" w:sz="4" w:space="0" w:color="000000"/>
              <w:right w:val="single" w:sz="4" w:space="0" w:color="000000"/>
            </w:tcBorders>
          </w:tcPr>
          <w:p w14:paraId="570BFC26" w14:textId="77777777" w:rsidR="00CE4763" w:rsidRPr="00CE4763" w:rsidRDefault="00CE4763" w:rsidP="00CE4763">
            <w:pPr>
              <w:spacing w:after="0" w:line="240" w:lineRule="auto"/>
              <w:ind w:left="0" w:right="0" w:firstLine="0"/>
              <w:jc w:val="left"/>
              <w:rPr>
                <w:rFonts w:ascii="Times New Roman" w:hAnsi="Times New Roman" w:cs="Times New Roman"/>
              </w:rPr>
            </w:pPr>
          </w:p>
        </w:tc>
      </w:tr>
      <w:tr w:rsidR="00CE4763" w:rsidRPr="00CE4763" w14:paraId="5E2920A6" w14:textId="77777777" w:rsidTr="00284074">
        <w:trPr>
          <w:cantSplit/>
        </w:trPr>
        <w:tc>
          <w:tcPr>
            <w:tcW w:w="513" w:type="dxa"/>
            <w:tcBorders>
              <w:top w:val="single" w:sz="4" w:space="0" w:color="000000"/>
              <w:left w:val="single" w:sz="4" w:space="0" w:color="000000"/>
              <w:bottom w:val="single" w:sz="4" w:space="0" w:color="000000"/>
              <w:right w:val="single" w:sz="4" w:space="0" w:color="000000"/>
            </w:tcBorders>
          </w:tcPr>
          <w:p w14:paraId="6A1AE287"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1. </w:t>
            </w:r>
          </w:p>
        </w:tc>
        <w:tc>
          <w:tcPr>
            <w:tcW w:w="2280" w:type="dxa"/>
            <w:tcBorders>
              <w:top w:val="single" w:sz="4" w:space="0" w:color="000000"/>
              <w:left w:val="single" w:sz="4" w:space="0" w:color="000000"/>
              <w:bottom w:val="single" w:sz="4" w:space="0" w:color="000000"/>
              <w:right w:val="single" w:sz="4" w:space="0" w:color="000000"/>
            </w:tcBorders>
          </w:tcPr>
          <w:p w14:paraId="247155ED"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TE-TO Zagreb </w:t>
            </w:r>
          </w:p>
        </w:tc>
        <w:tc>
          <w:tcPr>
            <w:tcW w:w="1710" w:type="dxa"/>
            <w:tcBorders>
              <w:top w:val="single" w:sz="4" w:space="0" w:color="000000"/>
              <w:left w:val="single" w:sz="4" w:space="0" w:color="000000"/>
              <w:bottom w:val="single" w:sz="4" w:space="0" w:color="000000"/>
              <w:right w:val="single" w:sz="4" w:space="0" w:color="000000"/>
            </w:tcBorders>
          </w:tcPr>
          <w:p w14:paraId="2AFA1966"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X </w:t>
            </w:r>
            <w:r w:rsidRPr="00CE4763">
              <w:rPr>
                <w:rFonts w:ascii="Times New Roman" w:hAnsi="Times New Roman" w:cs="Times New Roman"/>
                <w:i/>
              </w:rPr>
              <w:t>5.071.533,00</w:t>
            </w:r>
          </w:p>
          <w:p w14:paraId="57AD2FA7"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Y </w:t>
            </w:r>
            <w:r w:rsidRPr="00CE4763">
              <w:rPr>
                <w:rFonts w:ascii="Times New Roman" w:hAnsi="Times New Roman" w:cs="Times New Roman"/>
                <w:i/>
              </w:rPr>
              <w:t>5.579.517,00</w:t>
            </w:r>
          </w:p>
          <w:p w14:paraId="2A09EC17"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i/>
              </w:rPr>
              <w:t>45,78381</w:t>
            </w:r>
          </w:p>
          <w:p w14:paraId="59B300B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i/>
              </w:rPr>
              <w:t>16,02009</w:t>
            </w: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432EC4C5"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1967 </w:t>
            </w:r>
          </w:p>
        </w:tc>
        <w:tc>
          <w:tcPr>
            <w:tcW w:w="855" w:type="dxa"/>
            <w:tcBorders>
              <w:top w:val="single" w:sz="4" w:space="0" w:color="000000"/>
              <w:left w:val="single" w:sz="4" w:space="0" w:color="000000"/>
              <w:bottom w:val="single" w:sz="4" w:space="0" w:color="000000"/>
              <w:right w:val="single" w:sz="4" w:space="0" w:color="000000"/>
            </w:tcBorders>
          </w:tcPr>
          <w:p w14:paraId="743F8910"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5866 </w:t>
            </w:r>
          </w:p>
        </w:tc>
        <w:tc>
          <w:tcPr>
            <w:tcW w:w="855" w:type="dxa"/>
            <w:tcBorders>
              <w:top w:val="single" w:sz="4" w:space="0" w:color="000000"/>
              <w:left w:val="single" w:sz="4" w:space="0" w:color="000000"/>
              <w:bottom w:val="single" w:sz="4" w:space="0" w:color="000000"/>
              <w:right w:val="single" w:sz="4" w:space="0" w:color="000000"/>
            </w:tcBorders>
          </w:tcPr>
          <w:p w14:paraId="447A204D"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19 820 </w:t>
            </w:r>
          </w:p>
        </w:tc>
        <w:tc>
          <w:tcPr>
            <w:tcW w:w="2004" w:type="dxa"/>
            <w:gridSpan w:val="2"/>
            <w:tcBorders>
              <w:top w:val="single" w:sz="4" w:space="0" w:color="000000"/>
              <w:left w:val="single" w:sz="4" w:space="0" w:color="000000"/>
              <w:bottom w:val="single" w:sz="4" w:space="0" w:color="000000"/>
              <w:right w:val="single" w:sz="4" w:space="0" w:color="000000"/>
            </w:tcBorders>
          </w:tcPr>
          <w:p w14:paraId="1C35FC9F"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Kuševačka 10A </w:t>
            </w:r>
          </w:p>
        </w:tc>
      </w:tr>
      <w:tr w:rsidR="00CE4763" w:rsidRPr="00CE4763" w14:paraId="33FAEDF6" w14:textId="77777777" w:rsidTr="00284074">
        <w:trPr>
          <w:cantSplit/>
        </w:trPr>
        <w:tc>
          <w:tcPr>
            <w:tcW w:w="513" w:type="dxa"/>
            <w:tcBorders>
              <w:top w:val="single" w:sz="4" w:space="0" w:color="000000"/>
              <w:left w:val="single" w:sz="4" w:space="0" w:color="000000"/>
              <w:bottom w:val="single" w:sz="4" w:space="0" w:color="000000"/>
              <w:right w:val="single" w:sz="4" w:space="0" w:color="000000"/>
            </w:tcBorders>
          </w:tcPr>
          <w:p w14:paraId="6AD665AE"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2. </w:t>
            </w:r>
          </w:p>
        </w:tc>
        <w:tc>
          <w:tcPr>
            <w:tcW w:w="2280" w:type="dxa"/>
            <w:tcBorders>
              <w:top w:val="single" w:sz="4" w:space="0" w:color="000000"/>
              <w:left w:val="single" w:sz="4" w:space="0" w:color="000000"/>
              <w:bottom w:val="single" w:sz="4" w:space="0" w:color="000000"/>
              <w:right w:val="single" w:sz="4" w:space="0" w:color="000000"/>
            </w:tcBorders>
          </w:tcPr>
          <w:p w14:paraId="3E07BB3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Zagrebačka pivovara d.o.o. </w:t>
            </w:r>
          </w:p>
        </w:tc>
        <w:tc>
          <w:tcPr>
            <w:tcW w:w="1710" w:type="dxa"/>
            <w:tcBorders>
              <w:top w:val="single" w:sz="4" w:space="0" w:color="000000"/>
              <w:left w:val="single" w:sz="4" w:space="0" w:color="000000"/>
              <w:bottom w:val="single" w:sz="4" w:space="0" w:color="000000"/>
              <w:right w:val="single" w:sz="4" w:space="0" w:color="000000"/>
            </w:tcBorders>
          </w:tcPr>
          <w:p w14:paraId="49A55816"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X </w:t>
            </w:r>
            <w:r w:rsidRPr="00CE4763">
              <w:rPr>
                <w:rFonts w:ascii="Times New Roman" w:hAnsi="Times New Roman" w:cs="Times New Roman"/>
                <w:i/>
              </w:rPr>
              <w:t>5.074.820,00</w:t>
            </w:r>
          </w:p>
          <w:p w14:paraId="6731258C"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Y </w:t>
            </w:r>
            <w:r w:rsidRPr="00CE4763">
              <w:rPr>
                <w:rFonts w:ascii="Times New Roman" w:hAnsi="Times New Roman" w:cs="Times New Roman"/>
                <w:i/>
              </w:rPr>
              <w:t>5.574.055,00</w:t>
            </w:r>
          </w:p>
          <w:p w14:paraId="637A58BA"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i/>
              </w:rPr>
              <w:t>45,81402</w:t>
            </w:r>
          </w:p>
          <w:p w14:paraId="67AAD4D9"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i/>
              </w:rPr>
              <w:t>15,95213</w:t>
            </w: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1FB47DA6"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163 </w:t>
            </w:r>
          </w:p>
        </w:tc>
        <w:tc>
          <w:tcPr>
            <w:tcW w:w="855" w:type="dxa"/>
            <w:tcBorders>
              <w:top w:val="single" w:sz="4" w:space="0" w:color="000000"/>
              <w:left w:val="single" w:sz="4" w:space="0" w:color="000000"/>
              <w:bottom w:val="single" w:sz="4" w:space="0" w:color="000000"/>
              <w:right w:val="single" w:sz="4" w:space="0" w:color="000000"/>
            </w:tcBorders>
          </w:tcPr>
          <w:p w14:paraId="6A450399"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1 200 </w:t>
            </w:r>
          </w:p>
        </w:tc>
        <w:tc>
          <w:tcPr>
            <w:tcW w:w="855" w:type="dxa"/>
            <w:tcBorders>
              <w:top w:val="single" w:sz="4" w:space="0" w:color="000000"/>
              <w:left w:val="single" w:sz="4" w:space="0" w:color="000000"/>
              <w:bottom w:val="single" w:sz="4" w:space="0" w:color="000000"/>
              <w:right w:val="single" w:sz="4" w:space="0" w:color="000000"/>
            </w:tcBorders>
          </w:tcPr>
          <w:p w14:paraId="74A7EA8E"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7 200 </w:t>
            </w:r>
          </w:p>
        </w:tc>
        <w:tc>
          <w:tcPr>
            <w:tcW w:w="2004" w:type="dxa"/>
            <w:gridSpan w:val="2"/>
            <w:tcBorders>
              <w:top w:val="single" w:sz="4" w:space="0" w:color="000000"/>
              <w:left w:val="single" w:sz="4" w:space="0" w:color="000000"/>
              <w:bottom w:val="single" w:sz="4" w:space="0" w:color="000000"/>
              <w:right w:val="single" w:sz="4" w:space="0" w:color="000000"/>
            </w:tcBorders>
          </w:tcPr>
          <w:p w14:paraId="68DE51F4"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Ilica 224 </w:t>
            </w:r>
          </w:p>
        </w:tc>
      </w:tr>
      <w:tr w:rsidR="00CE4763" w:rsidRPr="00CE4763" w14:paraId="45C44E57" w14:textId="77777777" w:rsidTr="00284074">
        <w:trPr>
          <w:cantSplit/>
        </w:trPr>
        <w:tc>
          <w:tcPr>
            <w:tcW w:w="513" w:type="dxa"/>
            <w:tcBorders>
              <w:top w:val="single" w:sz="4" w:space="0" w:color="000000"/>
              <w:left w:val="single" w:sz="4" w:space="0" w:color="000000"/>
              <w:bottom w:val="single" w:sz="4" w:space="0" w:color="000000"/>
              <w:right w:val="single" w:sz="4" w:space="0" w:color="000000"/>
            </w:tcBorders>
          </w:tcPr>
          <w:p w14:paraId="3C87B48F"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3. </w:t>
            </w:r>
          </w:p>
        </w:tc>
        <w:tc>
          <w:tcPr>
            <w:tcW w:w="2280" w:type="dxa"/>
            <w:tcBorders>
              <w:top w:val="single" w:sz="4" w:space="0" w:color="000000"/>
              <w:left w:val="single" w:sz="4" w:space="0" w:color="000000"/>
              <w:bottom w:val="single" w:sz="4" w:space="0" w:color="000000"/>
              <w:right w:val="single" w:sz="4" w:space="0" w:color="000000"/>
            </w:tcBorders>
          </w:tcPr>
          <w:p w14:paraId="3D26A2A6"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KEMIKA - Pogon proizvodnje</w:t>
            </w:r>
          </w:p>
          <w:p w14:paraId="0E3A85D6"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laboratorijskih kemikalija </w:t>
            </w:r>
          </w:p>
        </w:tc>
        <w:tc>
          <w:tcPr>
            <w:tcW w:w="1710" w:type="dxa"/>
            <w:tcBorders>
              <w:top w:val="single" w:sz="4" w:space="0" w:color="000000"/>
              <w:left w:val="single" w:sz="4" w:space="0" w:color="000000"/>
              <w:bottom w:val="single" w:sz="4" w:space="0" w:color="000000"/>
              <w:right w:val="single" w:sz="4" w:space="0" w:color="000000"/>
            </w:tcBorders>
          </w:tcPr>
          <w:p w14:paraId="762D19D0"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X </w:t>
            </w:r>
            <w:r w:rsidRPr="00CE4763">
              <w:rPr>
                <w:rFonts w:ascii="Times New Roman" w:hAnsi="Times New Roman" w:cs="Times New Roman"/>
                <w:i/>
              </w:rPr>
              <w:t>5.074.242,00</w:t>
            </w:r>
          </w:p>
          <w:p w14:paraId="3B442DCF"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Y </w:t>
            </w:r>
            <w:r w:rsidRPr="00CE4763">
              <w:rPr>
                <w:rFonts w:ascii="Times New Roman" w:hAnsi="Times New Roman" w:cs="Times New Roman"/>
                <w:i/>
              </w:rPr>
              <w:t>5.578.640,00</w:t>
            </w:r>
          </w:p>
          <w:p w14:paraId="419E31BF"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i/>
              </w:rPr>
              <w:t>45,80819</w:t>
            </w:r>
          </w:p>
          <w:p w14:paraId="6CE7342A"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i/>
              </w:rPr>
              <w:t>16,01193</w:t>
            </w: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7CC92FE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4D3FD2D6"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248849D0"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845 </w:t>
            </w:r>
          </w:p>
        </w:tc>
        <w:tc>
          <w:tcPr>
            <w:tcW w:w="2004" w:type="dxa"/>
            <w:gridSpan w:val="2"/>
            <w:tcBorders>
              <w:top w:val="single" w:sz="4" w:space="0" w:color="000000"/>
              <w:left w:val="single" w:sz="4" w:space="0" w:color="000000"/>
              <w:bottom w:val="single" w:sz="4" w:space="0" w:color="000000"/>
              <w:right w:val="single" w:sz="4" w:space="0" w:color="000000"/>
            </w:tcBorders>
          </w:tcPr>
          <w:p w14:paraId="1B8483E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Heinzelova 53</w:t>
            </w:r>
          </w:p>
        </w:tc>
      </w:tr>
      <w:tr w:rsidR="00CE4763" w:rsidRPr="00CE4763" w14:paraId="7114948C" w14:textId="77777777" w:rsidTr="00284074">
        <w:trPr>
          <w:cantSplit/>
        </w:trPr>
        <w:tc>
          <w:tcPr>
            <w:tcW w:w="513" w:type="dxa"/>
            <w:tcBorders>
              <w:top w:val="single" w:sz="4" w:space="0" w:color="000000"/>
              <w:left w:val="single" w:sz="4" w:space="0" w:color="000000"/>
              <w:bottom w:val="single" w:sz="4" w:space="0" w:color="000000"/>
              <w:right w:val="single" w:sz="4" w:space="0" w:color="000000"/>
            </w:tcBorders>
          </w:tcPr>
          <w:p w14:paraId="16FE464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4. </w:t>
            </w:r>
          </w:p>
        </w:tc>
        <w:tc>
          <w:tcPr>
            <w:tcW w:w="2280" w:type="dxa"/>
            <w:tcBorders>
              <w:top w:val="single" w:sz="4" w:space="0" w:color="000000"/>
              <w:left w:val="single" w:sz="4" w:space="0" w:color="000000"/>
              <w:bottom w:val="single" w:sz="4" w:space="0" w:color="000000"/>
              <w:right w:val="single" w:sz="4" w:space="0" w:color="000000"/>
            </w:tcBorders>
          </w:tcPr>
          <w:p w14:paraId="33DA25F9"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Dukat d.d. </w:t>
            </w:r>
          </w:p>
        </w:tc>
        <w:tc>
          <w:tcPr>
            <w:tcW w:w="1710" w:type="dxa"/>
            <w:tcBorders>
              <w:top w:val="single" w:sz="4" w:space="0" w:color="000000"/>
              <w:left w:val="single" w:sz="4" w:space="0" w:color="000000"/>
              <w:bottom w:val="single" w:sz="4" w:space="0" w:color="000000"/>
              <w:right w:val="single" w:sz="4" w:space="0" w:color="000000"/>
            </w:tcBorders>
          </w:tcPr>
          <w:p w14:paraId="52EF8CAF"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X </w:t>
            </w:r>
            <w:r w:rsidRPr="00CE4763">
              <w:rPr>
                <w:rFonts w:ascii="Times New Roman" w:hAnsi="Times New Roman" w:cs="Times New Roman"/>
                <w:i/>
              </w:rPr>
              <w:t>5.073.299,88</w:t>
            </w:r>
          </w:p>
          <w:p w14:paraId="4AF4FD80"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u w:color="000000"/>
              </w:rPr>
              <w:t xml:space="preserve">Y </w:t>
            </w:r>
            <w:r w:rsidRPr="00CE4763">
              <w:rPr>
                <w:rFonts w:ascii="Times New Roman" w:hAnsi="Times New Roman" w:cs="Times New Roman"/>
                <w:i/>
              </w:rPr>
              <w:t>5.580.315,16</w:t>
            </w: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33ADEEDE"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204 </w:t>
            </w:r>
          </w:p>
        </w:tc>
        <w:tc>
          <w:tcPr>
            <w:tcW w:w="855" w:type="dxa"/>
            <w:tcBorders>
              <w:top w:val="single" w:sz="4" w:space="0" w:color="000000"/>
              <w:left w:val="single" w:sz="4" w:space="0" w:color="000000"/>
              <w:bottom w:val="single" w:sz="4" w:space="0" w:color="000000"/>
              <w:right w:val="single" w:sz="4" w:space="0" w:color="000000"/>
            </w:tcBorders>
          </w:tcPr>
          <w:p w14:paraId="32B18C8C"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916 </w:t>
            </w:r>
          </w:p>
        </w:tc>
        <w:tc>
          <w:tcPr>
            <w:tcW w:w="855" w:type="dxa"/>
            <w:tcBorders>
              <w:top w:val="single" w:sz="4" w:space="0" w:color="000000"/>
              <w:left w:val="single" w:sz="4" w:space="0" w:color="000000"/>
              <w:bottom w:val="single" w:sz="4" w:space="0" w:color="000000"/>
              <w:right w:val="single" w:sz="4" w:space="0" w:color="000000"/>
            </w:tcBorders>
          </w:tcPr>
          <w:p w14:paraId="60699ECA"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3 100 </w:t>
            </w:r>
          </w:p>
        </w:tc>
        <w:tc>
          <w:tcPr>
            <w:tcW w:w="2004" w:type="dxa"/>
            <w:gridSpan w:val="2"/>
            <w:tcBorders>
              <w:top w:val="single" w:sz="4" w:space="0" w:color="000000"/>
              <w:left w:val="single" w:sz="4" w:space="0" w:color="000000"/>
              <w:bottom w:val="single" w:sz="4" w:space="0" w:color="000000"/>
              <w:right w:val="single" w:sz="4" w:space="0" w:color="000000"/>
            </w:tcBorders>
          </w:tcPr>
          <w:p w14:paraId="4EFD939C"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Ul. Marijana Čavića 9 </w:t>
            </w:r>
          </w:p>
        </w:tc>
      </w:tr>
      <w:tr w:rsidR="00CE4763" w:rsidRPr="00CE4763" w14:paraId="075DD2C4" w14:textId="77777777" w:rsidTr="00284074">
        <w:trPr>
          <w:cantSplit/>
        </w:trPr>
        <w:tc>
          <w:tcPr>
            <w:tcW w:w="513" w:type="dxa"/>
            <w:tcBorders>
              <w:top w:val="single" w:sz="4" w:space="0" w:color="000000"/>
              <w:left w:val="single" w:sz="4" w:space="0" w:color="000000"/>
              <w:bottom w:val="single" w:sz="4" w:space="0" w:color="000000"/>
              <w:right w:val="single" w:sz="4" w:space="0" w:color="000000"/>
            </w:tcBorders>
          </w:tcPr>
          <w:p w14:paraId="3D93A6A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5. </w:t>
            </w:r>
          </w:p>
        </w:tc>
        <w:tc>
          <w:tcPr>
            <w:tcW w:w="2280" w:type="dxa"/>
            <w:tcBorders>
              <w:top w:val="single" w:sz="4" w:space="0" w:color="000000"/>
              <w:left w:val="single" w:sz="4" w:space="0" w:color="000000"/>
              <w:bottom w:val="single" w:sz="4" w:space="0" w:color="000000"/>
              <w:right w:val="single" w:sz="4" w:space="0" w:color="000000"/>
            </w:tcBorders>
          </w:tcPr>
          <w:p w14:paraId="646C84B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INA - Logistički terminali UNP 1 </w:t>
            </w:r>
          </w:p>
        </w:tc>
        <w:tc>
          <w:tcPr>
            <w:tcW w:w="1710" w:type="dxa"/>
            <w:tcBorders>
              <w:top w:val="single" w:sz="4" w:space="0" w:color="000000"/>
              <w:left w:val="single" w:sz="4" w:space="0" w:color="000000"/>
              <w:bottom w:val="single" w:sz="4" w:space="0" w:color="000000"/>
              <w:right w:val="single" w:sz="4" w:space="0" w:color="000000"/>
            </w:tcBorders>
          </w:tcPr>
          <w:p w14:paraId="322C67F4"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X </w:t>
            </w:r>
            <w:r w:rsidRPr="00CE4763">
              <w:rPr>
                <w:rFonts w:ascii="Times New Roman" w:hAnsi="Times New Roman" w:cs="Times New Roman"/>
                <w:i/>
              </w:rPr>
              <w:t>5.071.826,00</w:t>
            </w:r>
          </w:p>
          <w:p w14:paraId="6C9CBEB3"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Y </w:t>
            </w:r>
            <w:r w:rsidRPr="00CE4763">
              <w:rPr>
                <w:rFonts w:ascii="Times New Roman" w:hAnsi="Times New Roman" w:cs="Times New Roman"/>
                <w:i/>
              </w:rPr>
              <w:t>5.580.473,00</w:t>
            </w:r>
          </w:p>
          <w:p w14:paraId="544CC8AB"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i/>
              </w:rPr>
              <w:t>45,78640</w:t>
            </w:r>
          </w:p>
          <w:p w14:paraId="20BB3AD7"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i/>
              </w:rPr>
              <w:t>16,03548</w:t>
            </w: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49CD011A"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685 </w:t>
            </w:r>
          </w:p>
        </w:tc>
        <w:tc>
          <w:tcPr>
            <w:tcW w:w="855" w:type="dxa"/>
            <w:tcBorders>
              <w:top w:val="single" w:sz="4" w:space="0" w:color="000000"/>
              <w:left w:val="single" w:sz="4" w:space="0" w:color="000000"/>
              <w:bottom w:val="single" w:sz="4" w:space="0" w:color="000000"/>
              <w:right w:val="single" w:sz="4" w:space="0" w:color="000000"/>
            </w:tcBorders>
          </w:tcPr>
          <w:p w14:paraId="58B028B9"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1062 </w:t>
            </w:r>
          </w:p>
        </w:tc>
        <w:tc>
          <w:tcPr>
            <w:tcW w:w="855" w:type="dxa"/>
            <w:tcBorders>
              <w:top w:val="single" w:sz="4" w:space="0" w:color="000000"/>
              <w:left w:val="single" w:sz="4" w:space="0" w:color="000000"/>
              <w:bottom w:val="single" w:sz="4" w:space="0" w:color="000000"/>
              <w:right w:val="single" w:sz="4" w:space="0" w:color="000000"/>
            </w:tcBorders>
          </w:tcPr>
          <w:p w14:paraId="791718B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1803 </w:t>
            </w:r>
          </w:p>
        </w:tc>
        <w:tc>
          <w:tcPr>
            <w:tcW w:w="2004" w:type="dxa"/>
            <w:gridSpan w:val="2"/>
            <w:tcBorders>
              <w:top w:val="single" w:sz="4" w:space="0" w:color="000000"/>
              <w:left w:val="single" w:sz="4" w:space="0" w:color="000000"/>
              <w:bottom w:val="single" w:sz="4" w:space="0" w:color="000000"/>
              <w:right w:val="single" w:sz="4" w:space="0" w:color="000000"/>
            </w:tcBorders>
          </w:tcPr>
          <w:p w14:paraId="061C510B"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Radnička cesta 216 </w:t>
            </w:r>
          </w:p>
        </w:tc>
      </w:tr>
      <w:tr w:rsidR="00CE4763" w:rsidRPr="00CE4763" w14:paraId="188C10DB" w14:textId="77777777" w:rsidTr="00284074">
        <w:trPr>
          <w:cantSplit/>
        </w:trPr>
        <w:tc>
          <w:tcPr>
            <w:tcW w:w="513" w:type="dxa"/>
            <w:tcBorders>
              <w:top w:val="single" w:sz="4" w:space="0" w:color="000000"/>
              <w:left w:val="single" w:sz="4" w:space="0" w:color="000000"/>
              <w:bottom w:val="single" w:sz="4" w:space="0" w:color="000000"/>
              <w:right w:val="single" w:sz="4" w:space="0" w:color="000000"/>
            </w:tcBorders>
          </w:tcPr>
          <w:p w14:paraId="356B4C6C"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6. </w:t>
            </w:r>
          </w:p>
        </w:tc>
        <w:tc>
          <w:tcPr>
            <w:tcW w:w="2280" w:type="dxa"/>
            <w:tcBorders>
              <w:top w:val="single" w:sz="4" w:space="0" w:color="000000"/>
              <w:left w:val="single" w:sz="4" w:space="0" w:color="000000"/>
              <w:bottom w:val="single" w:sz="4" w:space="0" w:color="000000"/>
              <w:right w:val="single" w:sz="4" w:space="0" w:color="000000"/>
            </w:tcBorders>
          </w:tcPr>
          <w:p w14:paraId="705F8CF2"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Postrojenje Mala Mlaka </w:t>
            </w:r>
          </w:p>
        </w:tc>
        <w:tc>
          <w:tcPr>
            <w:tcW w:w="1710" w:type="dxa"/>
            <w:tcBorders>
              <w:top w:val="single" w:sz="4" w:space="0" w:color="000000"/>
              <w:left w:val="single" w:sz="4" w:space="0" w:color="000000"/>
              <w:bottom w:val="single" w:sz="4" w:space="0" w:color="000000"/>
              <w:right w:val="single" w:sz="4" w:space="0" w:color="000000"/>
            </w:tcBorders>
          </w:tcPr>
          <w:p w14:paraId="1CAF0538"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X </w:t>
            </w:r>
            <w:r w:rsidRPr="00CE4763">
              <w:rPr>
                <w:rFonts w:ascii="Times New Roman" w:hAnsi="Times New Roman" w:cs="Times New Roman"/>
                <w:i/>
              </w:rPr>
              <w:t>5.066.257,00</w:t>
            </w:r>
          </w:p>
          <w:p w14:paraId="0167FF01"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Y </w:t>
            </w:r>
            <w:r w:rsidRPr="00CE4763">
              <w:rPr>
                <w:rFonts w:ascii="Times New Roman" w:hAnsi="Times New Roman" w:cs="Times New Roman"/>
                <w:i/>
              </w:rPr>
              <w:t>5.575.479,00</w:t>
            </w:r>
          </w:p>
          <w:p w14:paraId="0DAE6BAF"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i/>
              </w:rPr>
              <w:t>45,68170</w:t>
            </w:r>
          </w:p>
          <w:p w14:paraId="7765D364"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i/>
              </w:rPr>
              <w:t>15,96076</w:t>
            </w: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186B9F3A"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73C8218D"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5FBC01E0"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4 000 </w:t>
            </w:r>
          </w:p>
        </w:tc>
        <w:tc>
          <w:tcPr>
            <w:tcW w:w="2004" w:type="dxa"/>
            <w:gridSpan w:val="2"/>
            <w:tcBorders>
              <w:top w:val="single" w:sz="4" w:space="0" w:color="000000"/>
              <w:left w:val="single" w:sz="4" w:space="0" w:color="000000"/>
              <w:bottom w:val="single" w:sz="4" w:space="0" w:color="000000"/>
              <w:right w:val="single" w:sz="4" w:space="0" w:color="000000"/>
            </w:tcBorders>
          </w:tcPr>
          <w:p w14:paraId="4AA0DEB1"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Sisačka bb </w:t>
            </w:r>
          </w:p>
        </w:tc>
      </w:tr>
      <w:tr w:rsidR="00CE4763" w:rsidRPr="00CE4763" w14:paraId="25958ADA" w14:textId="77777777" w:rsidTr="00284074">
        <w:trPr>
          <w:cantSplit/>
        </w:trPr>
        <w:tc>
          <w:tcPr>
            <w:tcW w:w="513" w:type="dxa"/>
            <w:tcBorders>
              <w:top w:val="single" w:sz="4" w:space="0" w:color="000000"/>
              <w:left w:val="single" w:sz="4" w:space="0" w:color="000000"/>
              <w:bottom w:val="single" w:sz="4" w:space="0" w:color="000000"/>
              <w:right w:val="single" w:sz="4" w:space="0" w:color="000000"/>
            </w:tcBorders>
          </w:tcPr>
          <w:p w14:paraId="506F7241"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7. </w:t>
            </w:r>
          </w:p>
        </w:tc>
        <w:tc>
          <w:tcPr>
            <w:tcW w:w="2280" w:type="dxa"/>
            <w:tcBorders>
              <w:top w:val="single" w:sz="4" w:space="0" w:color="000000"/>
              <w:left w:val="single" w:sz="4" w:space="0" w:color="000000"/>
              <w:bottom w:val="single" w:sz="4" w:space="0" w:color="000000"/>
              <w:right w:val="single" w:sz="4" w:space="0" w:color="000000"/>
            </w:tcBorders>
          </w:tcPr>
          <w:p w14:paraId="5E7F1981"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Würth - Hrvatska</w:t>
            </w:r>
            <w:r w:rsidRPr="00CE4763">
              <w:rPr>
                <w:rFonts w:ascii="Times New Roman" w:hAnsi="Times New Roman" w:cs="Times New Roman"/>
                <w:i/>
              </w:rPr>
              <w:t xml:space="preserve"> </w:t>
            </w:r>
            <w:r w:rsidRPr="00CE4763">
              <w:rPr>
                <w:rFonts w:ascii="Times New Roman" w:hAnsi="Times New Roman" w:cs="Times New Roman"/>
              </w:rPr>
              <w:t>Skladište kemikalija</w:t>
            </w:r>
          </w:p>
          <w:p w14:paraId="4D02474C"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(objekt E2) </w:t>
            </w:r>
          </w:p>
        </w:tc>
        <w:tc>
          <w:tcPr>
            <w:tcW w:w="1710" w:type="dxa"/>
            <w:tcBorders>
              <w:top w:val="single" w:sz="4" w:space="0" w:color="000000"/>
              <w:left w:val="single" w:sz="4" w:space="0" w:color="000000"/>
              <w:bottom w:val="single" w:sz="4" w:space="0" w:color="000000"/>
              <w:right w:val="single" w:sz="4" w:space="0" w:color="000000"/>
            </w:tcBorders>
          </w:tcPr>
          <w:p w14:paraId="6B761BDA"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X </w:t>
            </w:r>
            <w:r w:rsidRPr="00CE4763">
              <w:rPr>
                <w:rFonts w:ascii="Times New Roman" w:hAnsi="Times New Roman" w:cs="Times New Roman"/>
                <w:i/>
              </w:rPr>
              <w:t>5.074.348,00</w:t>
            </w:r>
          </w:p>
          <w:p w14:paraId="2D1773F5"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u w:color="000000"/>
              </w:rPr>
              <w:t xml:space="preserve">Y </w:t>
            </w:r>
            <w:r w:rsidRPr="00CE4763">
              <w:rPr>
                <w:rFonts w:ascii="Times New Roman" w:hAnsi="Times New Roman" w:cs="Times New Roman"/>
                <w:i/>
              </w:rPr>
              <w:t>5.566.694,00</w:t>
            </w: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77C837EC"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5716423B"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0BF7C80C"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197 </w:t>
            </w:r>
          </w:p>
        </w:tc>
        <w:tc>
          <w:tcPr>
            <w:tcW w:w="2004" w:type="dxa"/>
            <w:gridSpan w:val="2"/>
            <w:tcBorders>
              <w:top w:val="single" w:sz="4" w:space="0" w:color="000000"/>
              <w:left w:val="single" w:sz="4" w:space="0" w:color="000000"/>
              <w:bottom w:val="single" w:sz="4" w:space="0" w:color="000000"/>
              <w:right w:val="single" w:sz="4" w:space="0" w:color="000000"/>
            </w:tcBorders>
          </w:tcPr>
          <w:p w14:paraId="3BC23C71"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Ul. Franje Lučića 32 </w:t>
            </w:r>
          </w:p>
        </w:tc>
      </w:tr>
      <w:tr w:rsidR="00CE4763" w:rsidRPr="00CE4763" w14:paraId="3A3E65C4" w14:textId="77777777" w:rsidTr="00284074">
        <w:trPr>
          <w:cantSplit/>
        </w:trPr>
        <w:tc>
          <w:tcPr>
            <w:tcW w:w="513" w:type="dxa"/>
            <w:tcBorders>
              <w:top w:val="single" w:sz="4" w:space="0" w:color="000000"/>
              <w:left w:val="single" w:sz="4" w:space="0" w:color="000000"/>
              <w:bottom w:val="single" w:sz="4" w:space="0" w:color="000000"/>
              <w:right w:val="single" w:sz="4" w:space="0" w:color="000000"/>
            </w:tcBorders>
          </w:tcPr>
          <w:p w14:paraId="74FC91D4"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8. </w:t>
            </w:r>
          </w:p>
        </w:tc>
        <w:tc>
          <w:tcPr>
            <w:tcW w:w="2280" w:type="dxa"/>
            <w:tcBorders>
              <w:top w:val="single" w:sz="4" w:space="0" w:color="000000"/>
              <w:left w:val="single" w:sz="4" w:space="0" w:color="000000"/>
              <w:bottom w:val="single" w:sz="4" w:space="0" w:color="000000"/>
              <w:right w:val="single" w:sz="4" w:space="0" w:color="000000"/>
            </w:tcBorders>
          </w:tcPr>
          <w:p w14:paraId="18735A8B"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BP Jankomir </w:t>
            </w:r>
          </w:p>
        </w:tc>
        <w:tc>
          <w:tcPr>
            <w:tcW w:w="1710" w:type="dxa"/>
            <w:tcBorders>
              <w:top w:val="single" w:sz="4" w:space="0" w:color="000000"/>
              <w:left w:val="single" w:sz="4" w:space="0" w:color="000000"/>
              <w:bottom w:val="single" w:sz="4" w:space="0" w:color="000000"/>
              <w:right w:val="single" w:sz="4" w:space="0" w:color="000000"/>
            </w:tcBorders>
          </w:tcPr>
          <w:p w14:paraId="1C6548F6"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X </w:t>
            </w:r>
            <w:r w:rsidRPr="00CE4763">
              <w:rPr>
                <w:rFonts w:ascii="Times New Roman" w:hAnsi="Times New Roman" w:cs="Times New Roman"/>
                <w:i/>
              </w:rPr>
              <w:t>5.072.890,00</w:t>
            </w:r>
          </w:p>
          <w:p w14:paraId="74ACBD43"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Y </w:t>
            </w:r>
            <w:r w:rsidRPr="00CE4763">
              <w:rPr>
                <w:rFonts w:ascii="Times New Roman" w:hAnsi="Times New Roman" w:cs="Times New Roman"/>
                <w:i/>
              </w:rPr>
              <w:t>5.567.326,00</w:t>
            </w:r>
          </w:p>
          <w:p w14:paraId="21E5A083"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i/>
              </w:rPr>
              <w:t>45,79694</w:t>
            </w:r>
          </w:p>
          <w:p w14:paraId="014B8E19"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i/>
              </w:rPr>
              <w:t>15,86593</w:t>
            </w: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4A96F3A7"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1C0E2BB5"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66AF7C1E"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347 </w:t>
            </w:r>
          </w:p>
        </w:tc>
        <w:tc>
          <w:tcPr>
            <w:tcW w:w="2004" w:type="dxa"/>
            <w:gridSpan w:val="2"/>
            <w:tcBorders>
              <w:top w:val="single" w:sz="4" w:space="0" w:color="000000"/>
              <w:left w:val="single" w:sz="4" w:space="0" w:color="000000"/>
              <w:bottom w:val="single" w:sz="4" w:space="0" w:color="000000"/>
              <w:right w:val="single" w:sz="4" w:space="0" w:color="000000"/>
            </w:tcBorders>
          </w:tcPr>
          <w:p w14:paraId="7539820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Ljubljanska avenija 10 </w:t>
            </w:r>
          </w:p>
        </w:tc>
      </w:tr>
      <w:tr w:rsidR="00CE4763" w:rsidRPr="00CE4763" w14:paraId="4ECEDA8E" w14:textId="77777777" w:rsidTr="00284074">
        <w:trPr>
          <w:cantSplit/>
        </w:trPr>
        <w:tc>
          <w:tcPr>
            <w:tcW w:w="513" w:type="dxa"/>
            <w:tcBorders>
              <w:top w:val="single" w:sz="4" w:space="0" w:color="000000"/>
              <w:left w:val="single" w:sz="4" w:space="0" w:color="000000"/>
              <w:bottom w:val="single" w:sz="4" w:space="0" w:color="000000"/>
              <w:right w:val="single" w:sz="4" w:space="0" w:color="000000"/>
            </w:tcBorders>
          </w:tcPr>
          <w:p w14:paraId="06D2E999"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9. </w:t>
            </w:r>
          </w:p>
        </w:tc>
        <w:tc>
          <w:tcPr>
            <w:tcW w:w="2280" w:type="dxa"/>
            <w:tcBorders>
              <w:top w:val="single" w:sz="4" w:space="0" w:color="000000"/>
              <w:left w:val="single" w:sz="4" w:space="0" w:color="000000"/>
              <w:bottom w:val="single" w:sz="4" w:space="0" w:color="000000"/>
              <w:right w:val="single" w:sz="4" w:space="0" w:color="000000"/>
            </w:tcBorders>
          </w:tcPr>
          <w:p w14:paraId="64583A71"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BP Zagrebačka </w:t>
            </w:r>
          </w:p>
        </w:tc>
        <w:tc>
          <w:tcPr>
            <w:tcW w:w="1710" w:type="dxa"/>
            <w:tcBorders>
              <w:top w:val="single" w:sz="4" w:space="0" w:color="000000"/>
              <w:left w:val="single" w:sz="4" w:space="0" w:color="000000"/>
              <w:bottom w:val="single" w:sz="4" w:space="0" w:color="000000"/>
              <w:right w:val="single" w:sz="4" w:space="0" w:color="000000"/>
            </w:tcBorders>
          </w:tcPr>
          <w:p w14:paraId="27C6F32B"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i/>
              </w:rPr>
              <w:t>45,80356</w:t>
            </w:r>
          </w:p>
          <w:p w14:paraId="166B849A"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i/>
              </w:rPr>
              <w:t>15,91898</w:t>
            </w: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35CAC277"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65 </w:t>
            </w:r>
          </w:p>
        </w:tc>
        <w:tc>
          <w:tcPr>
            <w:tcW w:w="855" w:type="dxa"/>
            <w:tcBorders>
              <w:top w:val="single" w:sz="4" w:space="0" w:color="000000"/>
              <w:left w:val="single" w:sz="4" w:space="0" w:color="000000"/>
              <w:bottom w:val="single" w:sz="4" w:space="0" w:color="000000"/>
              <w:right w:val="single" w:sz="4" w:space="0" w:color="000000"/>
            </w:tcBorders>
          </w:tcPr>
          <w:p w14:paraId="3E9323C0"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124 </w:t>
            </w:r>
          </w:p>
        </w:tc>
        <w:tc>
          <w:tcPr>
            <w:tcW w:w="855" w:type="dxa"/>
            <w:tcBorders>
              <w:top w:val="single" w:sz="4" w:space="0" w:color="000000"/>
              <w:left w:val="single" w:sz="4" w:space="0" w:color="000000"/>
              <w:bottom w:val="single" w:sz="4" w:space="0" w:color="000000"/>
              <w:right w:val="single" w:sz="4" w:space="0" w:color="000000"/>
            </w:tcBorders>
          </w:tcPr>
          <w:p w14:paraId="2DCF5265"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192 </w:t>
            </w:r>
          </w:p>
        </w:tc>
        <w:tc>
          <w:tcPr>
            <w:tcW w:w="2004" w:type="dxa"/>
            <w:gridSpan w:val="2"/>
            <w:tcBorders>
              <w:top w:val="single" w:sz="4" w:space="0" w:color="000000"/>
              <w:left w:val="single" w:sz="4" w:space="0" w:color="000000"/>
              <w:bottom w:val="single" w:sz="4" w:space="0" w:color="000000"/>
              <w:right w:val="single" w:sz="4" w:space="0" w:color="000000"/>
            </w:tcBorders>
          </w:tcPr>
          <w:p w14:paraId="0598B7C6"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Zagrebačka 169 </w:t>
            </w:r>
          </w:p>
        </w:tc>
      </w:tr>
      <w:tr w:rsidR="00CE4763" w:rsidRPr="00CE4763" w14:paraId="36C3A777" w14:textId="77777777" w:rsidTr="00284074">
        <w:trPr>
          <w:cantSplit/>
        </w:trPr>
        <w:tc>
          <w:tcPr>
            <w:tcW w:w="513" w:type="dxa"/>
            <w:tcBorders>
              <w:top w:val="single" w:sz="4" w:space="0" w:color="000000"/>
              <w:left w:val="single" w:sz="4" w:space="0" w:color="000000"/>
              <w:bottom w:val="single" w:sz="4" w:space="0" w:color="000000"/>
              <w:right w:val="single" w:sz="4" w:space="0" w:color="000000"/>
            </w:tcBorders>
          </w:tcPr>
          <w:p w14:paraId="70A35931"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10. </w:t>
            </w:r>
          </w:p>
        </w:tc>
        <w:tc>
          <w:tcPr>
            <w:tcW w:w="2280" w:type="dxa"/>
            <w:tcBorders>
              <w:top w:val="single" w:sz="4" w:space="0" w:color="000000"/>
              <w:left w:val="single" w:sz="4" w:space="0" w:color="000000"/>
              <w:bottom w:val="single" w:sz="4" w:space="0" w:color="000000"/>
              <w:right w:val="single" w:sz="4" w:space="0" w:color="000000"/>
            </w:tcBorders>
          </w:tcPr>
          <w:p w14:paraId="45A1A450"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BP Jarun </w:t>
            </w:r>
          </w:p>
        </w:tc>
        <w:tc>
          <w:tcPr>
            <w:tcW w:w="1710" w:type="dxa"/>
            <w:tcBorders>
              <w:top w:val="single" w:sz="4" w:space="0" w:color="000000"/>
              <w:left w:val="single" w:sz="4" w:space="0" w:color="000000"/>
              <w:bottom w:val="single" w:sz="4" w:space="0" w:color="000000"/>
              <w:right w:val="single" w:sz="4" w:space="0" w:color="000000"/>
            </w:tcBorders>
          </w:tcPr>
          <w:p w14:paraId="6529601C"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X </w:t>
            </w:r>
            <w:r w:rsidRPr="00CE4763">
              <w:rPr>
                <w:rFonts w:ascii="Times New Roman" w:hAnsi="Times New Roman" w:cs="Times New Roman"/>
                <w:i/>
              </w:rPr>
              <w:t>5.071.982,00</w:t>
            </w:r>
          </w:p>
          <w:p w14:paraId="7F590436"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Y </w:t>
            </w:r>
            <w:r w:rsidRPr="00CE4763">
              <w:rPr>
                <w:rFonts w:ascii="Times New Roman" w:hAnsi="Times New Roman" w:cs="Times New Roman"/>
                <w:i/>
              </w:rPr>
              <w:t>5.571.855,00</w:t>
            </w:r>
          </w:p>
          <w:p w14:paraId="150376FE"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i/>
              </w:rPr>
              <w:t>45,78866</w:t>
            </w:r>
          </w:p>
          <w:p w14:paraId="40F8ACFD"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i/>
              </w:rPr>
              <w:t>15,92425</w:t>
            </w: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1F114106"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308 </w:t>
            </w:r>
          </w:p>
        </w:tc>
        <w:tc>
          <w:tcPr>
            <w:tcW w:w="855" w:type="dxa"/>
            <w:tcBorders>
              <w:top w:val="single" w:sz="4" w:space="0" w:color="000000"/>
              <w:left w:val="single" w:sz="4" w:space="0" w:color="000000"/>
              <w:bottom w:val="single" w:sz="4" w:space="0" w:color="000000"/>
              <w:right w:val="single" w:sz="4" w:space="0" w:color="000000"/>
            </w:tcBorders>
          </w:tcPr>
          <w:p w14:paraId="73F8583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195D62C5"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765 </w:t>
            </w:r>
          </w:p>
        </w:tc>
        <w:tc>
          <w:tcPr>
            <w:tcW w:w="2004" w:type="dxa"/>
            <w:gridSpan w:val="2"/>
            <w:tcBorders>
              <w:top w:val="single" w:sz="4" w:space="0" w:color="000000"/>
              <w:left w:val="single" w:sz="4" w:space="0" w:color="000000"/>
              <w:bottom w:val="single" w:sz="4" w:space="0" w:color="000000"/>
              <w:right w:val="single" w:sz="4" w:space="0" w:color="000000"/>
            </w:tcBorders>
          </w:tcPr>
          <w:p w14:paraId="2EA2CDF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Horvaćanska 71 </w:t>
            </w:r>
          </w:p>
        </w:tc>
      </w:tr>
      <w:tr w:rsidR="00CE4763" w:rsidRPr="00CE4763" w14:paraId="51B775FF" w14:textId="77777777" w:rsidTr="00284074">
        <w:tblPrEx>
          <w:tblCellMar>
            <w:top w:w="6" w:type="dxa"/>
          </w:tblCellMar>
        </w:tblPrEx>
        <w:trPr>
          <w:gridAfter w:val="1"/>
          <w:wAfter w:w="9" w:type="dxa"/>
          <w:cantSplit/>
        </w:trPr>
        <w:tc>
          <w:tcPr>
            <w:tcW w:w="513" w:type="dxa"/>
            <w:tcBorders>
              <w:top w:val="single" w:sz="4" w:space="0" w:color="000000"/>
              <w:left w:val="single" w:sz="4" w:space="0" w:color="000000"/>
              <w:bottom w:val="single" w:sz="4" w:space="0" w:color="000000"/>
              <w:right w:val="single" w:sz="4" w:space="0" w:color="000000"/>
            </w:tcBorders>
          </w:tcPr>
          <w:p w14:paraId="0AFC3EF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11. </w:t>
            </w:r>
          </w:p>
        </w:tc>
        <w:tc>
          <w:tcPr>
            <w:tcW w:w="2280" w:type="dxa"/>
            <w:tcBorders>
              <w:top w:val="single" w:sz="4" w:space="0" w:color="000000"/>
              <w:left w:val="single" w:sz="4" w:space="0" w:color="000000"/>
              <w:bottom w:val="single" w:sz="4" w:space="0" w:color="000000"/>
              <w:right w:val="single" w:sz="4" w:space="0" w:color="000000"/>
            </w:tcBorders>
          </w:tcPr>
          <w:p w14:paraId="0A07A50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Pliva </w:t>
            </w:r>
          </w:p>
        </w:tc>
        <w:tc>
          <w:tcPr>
            <w:tcW w:w="1710" w:type="dxa"/>
            <w:tcBorders>
              <w:top w:val="single" w:sz="4" w:space="0" w:color="000000"/>
              <w:left w:val="single" w:sz="4" w:space="0" w:color="000000"/>
              <w:bottom w:val="single" w:sz="4" w:space="0" w:color="000000"/>
              <w:right w:val="single" w:sz="4" w:space="0" w:color="000000"/>
            </w:tcBorders>
          </w:tcPr>
          <w:p w14:paraId="6252D296"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X </w:t>
            </w:r>
            <w:r w:rsidRPr="00CE4763">
              <w:rPr>
                <w:rFonts w:ascii="Times New Roman" w:hAnsi="Times New Roman" w:cs="Times New Roman"/>
                <w:i/>
              </w:rPr>
              <w:t>5.074.452,88</w:t>
            </w:r>
          </w:p>
          <w:p w14:paraId="1E65A48D"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Y </w:t>
            </w:r>
            <w:r w:rsidRPr="00CE4763">
              <w:rPr>
                <w:rFonts w:ascii="Times New Roman" w:hAnsi="Times New Roman" w:cs="Times New Roman"/>
                <w:i/>
              </w:rPr>
              <w:t>5.572.793,66</w:t>
            </w:r>
          </w:p>
          <w:p w14:paraId="3C6689D1"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i/>
              </w:rPr>
              <w:t>45,81133</w:t>
            </w:r>
          </w:p>
          <w:p w14:paraId="44C1F38A"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i/>
              </w:rPr>
              <w:t>15,93452</w:t>
            </w: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5FA8BC17"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674498B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4DA3A6EE"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49 </w:t>
            </w:r>
          </w:p>
        </w:tc>
        <w:tc>
          <w:tcPr>
            <w:tcW w:w="1995" w:type="dxa"/>
            <w:tcBorders>
              <w:top w:val="single" w:sz="4" w:space="0" w:color="000000"/>
              <w:left w:val="single" w:sz="4" w:space="0" w:color="000000"/>
              <w:bottom w:val="single" w:sz="4" w:space="0" w:color="000000"/>
              <w:right w:val="single" w:sz="4" w:space="0" w:color="000000"/>
            </w:tcBorders>
          </w:tcPr>
          <w:p w14:paraId="1A47DB5E"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Prilaz baruna Filipovića 25 </w:t>
            </w:r>
          </w:p>
        </w:tc>
      </w:tr>
      <w:tr w:rsidR="00CE4763" w:rsidRPr="00CE4763" w14:paraId="40B4B52A" w14:textId="77777777" w:rsidTr="00284074">
        <w:tblPrEx>
          <w:tblCellMar>
            <w:top w:w="6" w:type="dxa"/>
          </w:tblCellMar>
        </w:tblPrEx>
        <w:trPr>
          <w:gridAfter w:val="1"/>
          <w:wAfter w:w="9" w:type="dxa"/>
          <w:cantSplit/>
        </w:trPr>
        <w:tc>
          <w:tcPr>
            <w:tcW w:w="513" w:type="dxa"/>
            <w:tcBorders>
              <w:top w:val="single" w:sz="4" w:space="0" w:color="000000"/>
              <w:left w:val="single" w:sz="4" w:space="0" w:color="000000"/>
              <w:bottom w:val="single" w:sz="4" w:space="0" w:color="000000"/>
              <w:right w:val="single" w:sz="4" w:space="0" w:color="000000"/>
            </w:tcBorders>
          </w:tcPr>
          <w:p w14:paraId="0636911B"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12. </w:t>
            </w:r>
          </w:p>
        </w:tc>
        <w:tc>
          <w:tcPr>
            <w:tcW w:w="2280" w:type="dxa"/>
            <w:tcBorders>
              <w:top w:val="single" w:sz="4" w:space="0" w:color="000000"/>
              <w:left w:val="single" w:sz="4" w:space="0" w:color="000000"/>
              <w:bottom w:val="single" w:sz="4" w:space="0" w:color="000000"/>
              <w:right w:val="single" w:sz="4" w:space="0" w:color="000000"/>
            </w:tcBorders>
          </w:tcPr>
          <w:p w14:paraId="766967A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EL-TO Zagreb </w:t>
            </w:r>
          </w:p>
        </w:tc>
        <w:tc>
          <w:tcPr>
            <w:tcW w:w="1710" w:type="dxa"/>
            <w:tcBorders>
              <w:top w:val="single" w:sz="4" w:space="0" w:color="000000"/>
              <w:left w:val="single" w:sz="4" w:space="0" w:color="000000"/>
              <w:bottom w:val="single" w:sz="4" w:space="0" w:color="000000"/>
              <w:right w:val="single" w:sz="4" w:space="0" w:color="000000"/>
            </w:tcBorders>
          </w:tcPr>
          <w:p w14:paraId="44B9C636"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X </w:t>
            </w:r>
            <w:r w:rsidRPr="00CE4763">
              <w:rPr>
                <w:rFonts w:ascii="Times New Roman" w:hAnsi="Times New Roman" w:cs="Times New Roman"/>
                <w:i/>
              </w:rPr>
              <w:t>5.074.176,63</w:t>
            </w:r>
          </w:p>
          <w:p w14:paraId="25F5D1F9"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u w:color="000000"/>
              </w:rPr>
              <w:t xml:space="preserve">Y </w:t>
            </w:r>
            <w:r w:rsidRPr="00CE4763">
              <w:rPr>
                <w:rFonts w:ascii="Times New Roman" w:hAnsi="Times New Roman" w:cs="Times New Roman"/>
                <w:i/>
              </w:rPr>
              <w:t>5.574.210,33</w:t>
            </w: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6284F474"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22 </w:t>
            </w:r>
          </w:p>
        </w:tc>
        <w:tc>
          <w:tcPr>
            <w:tcW w:w="855" w:type="dxa"/>
            <w:tcBorders>
              <w:top w:val="single" w:sz="4" w:space="0" w:color="000000"/>
              <w:left w:val="single" w:sz="4" w:space="0" w:color="000000"/>
              <w:bottom w:val="single" w:sz="4" w:space="0" w:color="000000"/>
              <w:right w:val="single" w:sz="4" w:space="0" w:color="000000"/>
            </w:tcBorders>
          </w:tcPr>
          <w:p w14:paraId="21A2EC6B"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157 </w:t>
            </w:r>
          </w:p>
        </w:tc>
        <w:tc>
          <w:tcPr>
            <w:tcW w:w="855" w:type="dxa"/>
            <w:tcBorders>
              <w:top w:val="single" w:sz="4" w:space="0" w:color="000000"/>
              <w:left w:val="single" w:sz="4" w:space="0" w:color="000000"/>
              <w:bottom w:val="single" w:sz="4" w:space="0" w:color="000000"/>
              <w:right w:val="single" w:sz="4" w:space="0" w:color="000000"/>
            </w:tcBorders>
          </w:tcPr>
          <w:p w14:paraId="02549C64"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565 </w:t>
            </w:r>
          </w:p>
        </w:tc>
        <w:tc>
          <w:tcPr>
            <w:tcW w:w="1995" w:type="dxa"/>
            <w:tcBorders>
              <w:top w:val="single" w:sz="4" w:space="0" w:color="000000"/>
              <w:left w:val="single" w:sz="4" w:space="0" w:color="000000"/>
              <w:bottom w:val="single" w:sz="4" w:space="0" w:color="000000"/>
              <w:right w:val="single" w:sz="4" w:space="0" w:color="000000"/>
            </w:tcBorders>
          </w:tcPr>
          <w:p w14:paraId="030061CD"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Zagorska 1 </w:t>
            </w:r>
          </w:p>
        </w:tc>
      </w:tr>
      <w:tr w:rsidR="00CE4763" w:rsidRPr="00CE4763" w14:paraId="1E2FC1FF" w14:textId="77777777" w:rsidTr="00284074">
        <w:tblPrEx>
          <w:tblCellMar>
            <w:top w:w="6" w:type="dxa"/>
          </w:tblCellMar>
        </w:tblPrEx>
        <w:trPr>
          <w:gridAfter w:val="1"/>
          <w:wAfter w:w="9" w:type="dxa"/>
          <w:cantSplit/>
        </w:trPr>
        <w:tc>
          <w:tcPr>
            <w:tcW w:w="513" w:type="dxa"/>
            <w:tcBorders>
              <w:top w:val="single" w:sz="4" w:space="0" w:color="000000"/>
              <w:left w:val="single" w:sz="4" w:space="0" w:color="000000"/>
              <w:bottom w:val="single" w:sz="4" w:space="0" w:color="000000"/>
              <w:right w:val="single" w:sz="4" w:space="0" w:color="000000"/>
            </w:tcBorders>
          </w:tcPr>
          <w:p w14:paraId="6F96E5DD"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13. </w:t>
            </w:r>
          </w:p>
        </w:tc>
        <w:tc>
          <w:tcPr>
            <w:tcW w:w="2280" w:type="dxa"/>
            <w:tcBorders>
              <w:top w:val="single" w:sz="4" w:space="0" w:color="000000"/>
              <w:left w:val="single" w:sz="4" w:space="0" w:color="000000"/>
              <w:bottom w:val="single" w:sz="4" w:space="0" w:color="000000"/>
              <w:right w:val="single" w:sz="4" w:space="0" w:color="000000"/>
            </w:tcBorders>
          </w:tcPr>
          <w:p w14:paraId="0AFD5124"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BP Buzin </w:t>
            </w:r>
          </w:p>
        </w:tc>
        <w:tc>
          <w:tcPr>
            <w:tcW w:w="1710" w:type="dxa"/>
            <w:tcBorders>
              <w:top w:val="single" w:sz="4" w:space="0" w:color="000000"/>
              <w:left w:val="single" w:sz="4" w:space="0" w:color="000000"/>
              <w:bottom w:val="single" w:sz="4" w:space="0" w:color="000000"/>
              <w:right w:val="single" w:sz="4" w:space="0" w:color="000000"/>
            </w:tcBorders>
          </w:tcPr>
          <w:p w14:paraId="331E7D50"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X </w:t>
            </w:r>
            <w:r w:rsidRPr="00CE4763">
              <w:rPr>
                <w:rFonts w:ascii="Times New Roman" w:hAnsi="Times New Roman" w:cs="Times New Roman"/>
                <w:i/>
              </w:rPr>
              <w:t>5.067.705,00</w:t>
            </w:r>
          </w:p>
          <w:p w14:paraId="33BA387C"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u w:color="000000"/>
              </w:rPr>
              <w:t xml:space="preserve">Y </w:t>
            </w:r>
            <w:r w:rsidRPr="00CE4763">
              <w:rPr>
                <w:rFonts w:ascii="Times New Roman" w:hAnsi="Times New Roman" w:cs="Times New Roman"/>
                <w:i/>
              </w:rPr>
              <w:t>5.577.503,00</w:t>
            </w: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0A15BF66"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80 </w:t>
            </w:r>
          </w:p>
        </w:tc>
        <w:tc>
          <w:tcPr>
            <w:tcW w:w="855" w:type="dxa"/>
            <w:tcBorders>
              <w:top w:val="single" w:sz="4" w:space="0" w:color="000000"/>
              <w:left w:val="single" w:sz="4" w:space="0" w:color="000000"/>
              <w:bottom w:val="single" w:sz="4" w:space="0" w:color="000000"/>
              <w:right w:val="single" w:sz="4" w:space="0" w:color="000000"/>
            </w:tcBorders>
          </w:tcPr>
          <w:p w14:paraId="7F5C5111"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139EEF0B"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365 </w:t>
            </w:r>
          </w:p>
        </w:tc>
        <w:tc>
          <w:tcPr>
            <w:tcW w:w="1995" w:type="dxa"/>
            <w:tcBorders>
              <w:top w:val="single" w:sz="4" w:space="0" w:color="000000"/>
              <w:left w:val="single" w:sz="4" w:space="0" w:color="000000"/>
              <w:bottom w:val="single" w:sz="4" w:space="0" w:color="000000"/>
              <w:right w:val="single" w:sz="4" w:space="0" w:color="000000"/>
            </w:tcBorders>
          </w:tcPr>
          <w:p w14:paraId="534521D5"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Baneki 18 </w:t>
            </w:r>
          </w:p>
        </w:tc>
      </w:tr>
      <w:tr w:rsidR="00CE4763" w:rsidRPr="00CE4763" w14:paraId="3F66B120" w14:textId="77777777" w:rsidTr="00284074">
        <w:tblPrEx>
          <w:tblCellMar>
            <w:top w:w="6" w:type="dxa"/>
          </w:tblCellMar>
        </w:tblPrEx>
        <w:trPr>
          <w:gridAfter w:val="1"/>
          <w:wAfter w:w="9" w:type="dxa"/>
          <w:cantSplit/>
        </w:trPr>
        <w:tc>
          <w:tcPr>
            <w:tcW w:w="513" w:type="dxa"/>
            <w:tcBorders>
              <w:top w:val="single" w:sz="4" w:space="0" w:color="000000"/>
              <w:left w:val="single" w:sz="4" w:space="0" w:color="000000"/>
              <w:bottom w:val="single" w:sz="4" w:space="0" w:color="000000"/>
              <w:right w:val="single" w:sz="4" w:space="0" w:color="000000"/>
            </w:tcBorders>
          </w:tcPr>
          <w:p w14:paraId="2932106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14. </w:t>
            </w:r>
          </w:p>
        </w:tc>
        <w:tc>
          <w:tcPr>
            <w:tcW w:w="2280" w:type="dxa"/>
            <w:tcBorders>
              <w:top w:val="single" w:sz="4" w:space="0" w:color="000000"/>
              <w:left w:val="single" w:sz="4" w:space="0" w:color="000000"/>
              <w:bottom w:val="single" w:sz="4" w:space="0" w:color="000000"/>
              <w:right w:val="single" w:sz="4" w:space="0" w:color="000000"/>
            </w:tcBorders>
          </w:tcPr>
          <w:p w14:paraId="00AC252D"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Kraš d.d. </w:t>
            </w:r>
          </w:p>
        </w:tc>
        <w:tc>
          <w:tcPr>
            <w:tcW w:w="1710" w:type="dxa"/>
            <w:tcBorders>
              <w:top w:val="single" w:sz="4" w:space="0" w:color="000000"/>
              <w:left w:val="single" w:sz="4" w:space="0" w:color="000000"/>
              <w:bottom w:val="single" w:sz="4" w:space="0" w:color="000000"/>
              <w:right w:val="single" w:sz="4" w:space="0" w:color="000000"/>
            </w:tcBorders>
          </w:tcPr>
          <w:p w14:paraId="671AD615"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X </w:t>
            </w:r>
            <w:r w:rsidRPr="00CE4763">
              <w:rPr>
                <w:rFonts w:ascii="Times New Roman" w:hAnsi="Times New Roman" w:cs="Times New Roman"/>
                <w:i/>
              </w:rPr>
              <w:t>5.075.569,00</w:t>
            </w:r>
          </w:p>
          <w:p w14:paraId="0B93E050"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Y </w:t>
            </w:r>
            <w:r w:rsidRPr="00CE4763">
              <w:rPr>
                <w:rFonts w:ascii="Times New Roman" w:hAnsi="Times New Roman" w:cs="Times New Roman"/>
                <w:i/>
              </w:rPr>
              <w:t>5.580.176,00</w:t>
            </w:r>
          </w:p>
          <w:p w14:paraId="43112598"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i/>
              </w:rPr>
              <w:t>45,81986</w:t>
            </w:r>
          </w:p>
          <w:p w14:paraId="03DC0B7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i/>
              </w:rPr>
              <w:t>16,03154</w:t>
            </w: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2BB0A681"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32F06746"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4BB6BC0D"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660 </w:t>
            </w:r>
          </w:p>
        </w:tc>
        <w:tc>
          <w:tcPr>
            <w:tcW w:w="1995" w:type="dxa"/>
            <w:tcBorders>
              <w:top w:val="single" w:sz="4" w:space="0" w:color="000000"/>
              <w:left w:val="single" w:sz="4" w:space="0" w:color="000000"/>
              <w:bottom w:val="single" w:sz="4" w:space="0" w:color="000000"/>
              <w:right w:val="single" w:sz="4" w:space="0" w:color="000000"/>
            </w:tcBorders>
          </w:tcPr>
          <w:p w14:paraId="3C590D79"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Ravnice 48 </w:t>
            </w:r>
          </w:p>
        </w:tc>
      </w:tr>
      <w:tr w:rsidR="00CE4763" w:rsidRPr="00CE4763" w14:paraId="716D5C11" w14:textId="77777777" w:rsidTr="00284074">
        <w:tblPrEx>
          <w:tblCellMar>
            <w:top w:w="6" w:type="dxa"/>
          </w:tblCellMar>
        </w:tblPrEx>
        <w:trPr>
          <w:gridAfter w:val="1"/>
          <w:wAfter w:w="9" w:type="dxa"/>
          <w:cantSplit/>
        </w:trPr>
        <w:tc>
          <w:tcPr>
            <w:tcW w:w="513" w:type="dxa"/>
            <w:tcBorders>
              <w:top w:val="single" w:sz="4" w:space="0" w:color="000000"/>
              <w:left w:val="single" w:sz="4" w:space="0" w:color="000000"/>
              <w:bottom w:val="single" w:sz="4" w:space="0" w:color="000000"/>
              <w:right w:val="single" w:sz="4" w:space="0" w:color="000000"/>
            </w:tcBorders>
          </w:tcPr>
          <w:p w14:paraId="61A5EE1E"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lastRenderedPageBreak/>
              <w:t xml:space="preserve">15. </w:t>
            </w:r>
          </w:p>
        </w:tc>
        <w:tc>
          <w:tcPr>
            <w:tcW w:w="2280" w:type="dxa"/>
            <w:tcBorders>
              <w:top w:val="single" w:sz="4" w:space="0" w:color="000000"/>
              <w:left w:val="single" w:sz="4" w:space="0" w:color="000000"/>
              <w:bottom w:val="single" w:sz="4" w:space="0" w:color="000000"/>
              <w:right w:val="single" w:sz="4" w:space="0" w:color="000000"/>
            </w:tcBorders>
          </w:tcPr>
          <w:p w14:paraId="35ACD867"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Terminal Žitnjak </w:t>
            </w:r>
          </w:p>
        </w:tc>
        <w:tc>
          <w:tcPr>
            <w:tcW w:w="1710" w:type="dxa"/>
            <w:tcBorders>
              <w:top w:val="single" w:sz="4" w:space="0" w:color="000000"/>
              <w:left w:val="single" w:sz="4" w:space="0" w:color="000000"/>
              <w:bottom w:val="single" w:sz="4" w:space="0" w:color="000000"/>
              <w:right w:val="single" w:sz="4" w:space="0" w:color="000000"/>
            </w:tcBorders>
          </w:tcPr>
          <w:p w14:paraId="42F6C9A6"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X </w:t>
            </w:r>
            <w:r w:rsidRPr="00CE4763">
              <w:rPr>
                <w:rFonts w:ascii="Times New Roman" w:hAnsi="Times New Roman" w:cs="Times New Roman"/>
                <w:i/>
              </w:rPr>
              <w:t>5.072.992,00</w:t>
            </w:r>
          </w:p>
          <w:p w14:paraId="10A2C42B"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Y </w:t>
            </w:r>
            <w:r w:rsidRPr="00CE4763">
              <w:rPr>
                <w:rFonts w:ascii="Times New Roman" w:hAnsi="Times New Roman" w:cs="Times New Roman"/>
                <w:i/>
              </w:rPr>
              <w:t>5.583.230,00</w:t>
            </w:r>
          </w:p>
          <w:p w14:paraId="4F4C5773"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i/>
              </w:rPr>
              <w:t>45,79817</w:t>
            </w:r>
          </w:p>
          <w:p w14:paraId="3EC3A899"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i/>
              </w:rPr>
              <w:t>15,98923</w:t>
            </w: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7327DCE8"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362 </w:t>
            </w:r>
          </w:p>
        </w:tc>
        <w:tc>
          <w:tcPr>
            <w:tcW w:w="855" w:type="dxa"/>
            <w:tcBorders>
              <w:top w:val="single" w:sz="4" w:space="0" w:color="000000"/>
              <w:left w:val="single" w:sz="4" w:space="0" w:color="000000"/>
              <w:bottom w:val="single" w:sz="4" w:space="0" w:color="000000"/>
              <w:right w:val="single" w:sz="4" w:space="0" w:color="000000"/>
            </w:tcBorders>
          </w:tcPr>
          <w:p w14:paraId="5B529CA0"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462 </w:t>
            </w:r>
          </w:p>
        </w:tc>
        <w:tc>
          <w:tcPr>
            <w:tcW w:w="855" w:type="dxa"/>
            <w:tcBorders>
              <w:top w:val="single" w:sz="4" w:space="0" w:color="000000"/>
              <w:left w:val="single" w:sz="4" w:space="0" w:color="000000"/>
              <w:bottom w:val="single" w:sz="4" w:space="0" w:color="000000"/>
              <w:right w:val="single" w:sz="4" w:space="0" w:color="000000"/>
            </w:tcBorders>
          </w:tcPr>
          <w:p w14:paraId="0B4F9925"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684 </w:t>
            </w:r>
          </w:p>
        </w:tc>
        <w:tc>
          <w:tcPr>
            <w:tcW w:w="1995" w:type="dxa"/>
            <w:tcBorders>
              <w:top w:val="single" w:sz="4" w:space="0" w:color="000000"/>
              <w:left w:val="single" w:sz="4" w:space="0" w:color="000000"/>
              <w:bottom w:val="single" w:sz="4" w:space="0" w:color="000000"/>
              <w:right w:val="single" w:sz="4" w:space="0" w:color="000000"/>
            </w:tcBorders>
          </w:tcPr>
          <w:p w14:paraId="07B2CCF4"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Slavonska avenija 64 </w:t>
            </w:r>
          </w:p>
        </w:tc>
      </w:tr>
      <w:tr w:rsidR="00CE4763" w:rsidRPr="00CE4763" w14:paraId="5DA8A8E4" w14:textId="77777777" w:rsidTr="00284074">
        <w:tblPrEx>
          <w:tblCellMar>
            <w:top w:w="6" w:type="dxa"/>
          </w:tblCellMar>
        </w:tblPrEx>
        <w:trPr>
          <w:gridAfter w:val="1"/>
          <w:wAfter w:w="9" w:type="dxa"/>
          <w:cantSplit/>
        </w:trPr>
        <w:tc>
          <w:tcPr>
            <w:tcW w:w="513" w:type="dxa"/>
            <w:tcBorders>
              <w:top w:val="single" w:sz="4" w:space="0" w:color="000000"/>
              <w:left w:val="single" w:sz="4" w:space="0" w:color="000000"/>
              <w:bottom w:val="single" w:sz="4" w:space="0" w:color="000000"/>
              <w:right w:val="single" w:sz="4" w:space="0" w:color="000000"/>
            </w:tcBorders>
          </w:tcPr>
          <w:p w14:paraId="0B71F78F"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16. </w:t>
            </w:r>
          </w:p>
        </w:tc>
        <w:tc>
          <w:tcPr>
            <w:tcW w:w="2280" w:type="dxa"/>
            <w:tcBorders>
              <w:top w:val="single" w:sz="4" w:space="0" w:color="000000"/>
              <w:left w:val="single" w:sz="4" w:space="0" w:color="000000"/>
              <w:bottom w:val="single" w:sz="4" w:space="0" w:color="000000"/>
              <w:right w:val="single" w:sz="4" w:space="0" w:color="000000"/>
            </w:tcBorders>
          </w:tcPr>
          <w:p w14:paraId="2E32D456"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Labud Žitnjak </w:t>
            </w:r>
          </w:p>
        </w:tc>
        <w:tc>
          <w:tcPr>
            <w:tcW w:w="1710" w:type="dxa"/>
            <w:tcBorders>
              <w:top w:val="single" w:sz="4" w:space="0" w:color="000000"/>
              <w:left w:val="single" w:sz="4" w:space="0" w:color="000000"/>
              <w:bottom w:val="single" w:sz="4" w:space="0" w:color="000000"/>
              <w:right w:val="single" w:sz="4" w:space="0" w:color="000000"/>
            </w:tcBorders>
          </w:tcPr>
          <w:p w14:paraId="6F08A13C"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X </w:t>
            </w:r>
            <w:r w:rsidRPr="00CE4763">
              <w:rPr>
                <w:rFonts w:ascii="Times New Roman" w:hAnsi="Times New Roman" w:cs="Times New Roman"/>
                <w:i/>
              </w:rPr>
              <w:t>5.072.301,00</w:t>
            </w:r>
          </w:p>
          <w:p w14:paraId="391E6B44"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u w:color="000000"/>
              </w:rPr>
              <w:t xml:space="preserve">Y </w:t>
            </w:r>
            <w:r w:rsidRPr="00CE4763">
              <w:rPr>
                <w:rFonts w:ascii="Times New Roman" w:hAnsi="Times New Roman" w:cs="Times New Roman"/>
                <w:i/>
              </w:rPr>
              <w:t>5.582.750,00</w:t>
            </w: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5F05DBE7"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7ED222B4"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5E8A41E9"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792 </w:t>
            </w:r>
          </w:p>
        </w:tc>
        <w:tc>
          <w:tcPr>
            <w:tcW w:w="1995" w:type="dxa"/>
            <w:tcBorders>
              <w:top w:val="single" w:sz="4" w:space="0" w:color="000000"/>
              <w:left w:val="single" w:sz="4" w:space="0" w:color="000000"/>
              <w:bottom w:val="single" w:sz="4" w:space="0" w:color="000000"/>
              <w:right w:val="single" w:sz="4" w:space="0" w:color="000000"/>
            </w:tcBorders>
          </w:tcPr>
          <w:p w14:paraId="790F5E7C"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Radnička cesta 173 </w:t>
            </w:r>
          </w:p>
        </w:tc>
      </w:tr>
      <w:tr w:rsidR="00CE4763" w:rsidRPr="00CE4763" w14:paraId="27369316" w14:textId="77777777" w:rsidTr="00284074">
        <w:tblPrEx>
          <w:tblCellMar>
            <w:top w:w="6" w:type="dxa"/>
          </w:tblCellMar>
        </w:tblPrEx>
        <w:trPr>
          <w:gridAfter w:val="1"/>
          <w:wAfter w:w="9" w:type="dxa"/>
          <w:cantSplit/>
        </w:trPr>
        <w:tc>
          <w:tcPr>
            <w:tcW w:w="513" w:type="dxa"/>
            <w:tcBorders>
              <w:top w:val="single" w:sz="4" w:space="0" w:color="000000"/>
              <w:left w:val="single" w:sz="4" w:space="0" w:color="000000"/>
              <w:bottom w:val="single" w:sz="4" w:space="0" w:color="000000"/>
              <w:right w:val="single" w:sz="4" w:space="0" w:color="000000"/>
            </w:tcBorders>
          </w:tcPr>
          <w:p w14:paraId="2A6417C2"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17. </w:t>
            </w:r>
          </w:p>
        </w:tc>
        <w:tc>
          <w:tcPr>
            <w:tcW w:w="2280" w:type="dxa"/>
            <w:tcBorders>
              <w:top w:val="single" w:sz="4" w:space="0" w:color="000000"/>
              <w:left w:val="single" w:sz="4" w:space="0" w:color="000000"/>
              <w:bottom w:val="single" w:sz="4" w:space="0" w:color="000000"/>
              <w:right w:val="single" w:sz="4" w:space="0" w:color="000000"/>
            </w:tcBorders>
          </w:tcPr>
          <w:p w14:paraId="5CF03AA7"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SCOTT BADER d.o.o. </w:t>
            </w:r>
          </w:p>
        </w:tc>
        <w:tc>
          <w:tcPr>
            <w:tcW w:w="1710" w:type="dxa"/>
            <w:tcBorders>
              <w:top w:val="single" w:sz="4" w:space="0" w:color="000000"/>
              <w:left w:val="single" w:sz="4" w:space="0" w:color="000000"/>
              <w:bottom w:val="single" w:sz="4" w:space="0" w:color="000000"/>
              <w:right w:val="single" w:sz="4" w:space="0" w:color="000000"/>
            </w:tcBorders>
          </w:tcPr>
          <w:p w14:paraId="0706F5F5"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X </w:t>
            </w:r>
            <w:r w:rsidRPr="00CE4763">
              <w:rPr>
                <w:rFonts w:ascii="Times New Roman" w:hAnsi="Times New Roman" w:cs="Times New Roman"/>
                <w:i/>
              </w:rPr>
              <w:t>5.071.555,59</w:t>
            </w:r>
          </w:p>
          <w:p w14:paraId="311670F3"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Y </w:t>
            </w:r>
            <w:r w:rsidRPr="00CE4763">
              <w:rPr>
                <w:rFonts w:ascii="Times New Roman" w:hAnsi="Times New Roman" w:cs="Times New Roman"/>
                <w:i/>
              </w:rPr>
              <w:t>5.582.049,43</w:t>
            </w:r>
          </w:p>
          <w:p w14:paraId="44F7F5EA"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i/>
              </w:rPr>
              <w:t>45,78367</w:t>
            </w:r>
          </w:p>
          <w:p w14:paraId="77A1F177"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i/>
              </w:rPr>
              <w:t>16,05753</w:t>
            </w: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1AB94BCF"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38 </w:t>
            </w:r>
          </w:p>
        </w:tc>
        <w:tc>
          <w:tcPr>
            <w:tcW w:w="855" w:type="dxa"/>
            <w:tcBorders>
              <w:top w:val="single" w:sz="4" w:space="0" w:color="000000"/>
              <w:left w:val="single" w:sz="4" w:space="0" w:color="000000"/>
              <w:bottom w:val="single" w:sz="4" w:space="0" w:color="000000"/>
              <w:right w:val="single" w:sz="4" w:space="0" w:color="000000"/>
            </w:tcBorders>
          </w:tcPr>
          <w:p w14:paraId="519DF520"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63 </w:t>
            </w:r>
          </w:p>
        </w:tc>
        <w:tc>
          <w:tcPr>
            <w:tcW w:w="855" w:type="dxa"/>
            <w:tcBorders>
              <w:top w:val="single" w:sz="4" w:space="0" w:color="000000"/>
              <w:left w:val="single" w:sz="4" w:space="0" w:color="000000"/>
              <w:bottom w:val="single" w:sz="4" w:space="0" w:color="000000"/>
              <w:right w:val="single" w:sz="4" w:space="0" w:color="000000"/>
            </w:tcBorders>
          </w:tcPr>
          <w:p w14:paraId="33D1BDEB"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81 </w:t>
            </w:r>
          </w:p>
        </w:tc>
        <w:tc>
          <w:tcPr>
            <w:tcW w:w="1995" w:type="dxa"/>
            <w:tcBorders>
              <w:top w:val="single" w:sz="4" w:space="0" w:color="000000"/>
              <w:left w:val="single" w:sz="4" w:space="0" w:color="000000"/>
              <w:bottom w:val="single" w:sz="4" w:space="0" w:color="000000"/>
              <w:right w:val="single" w:sz="4" w:space="0" w:color="000000"/>
            </w:tcBorders>
          </w:tcPr>
          <w:p w14:paraId="106FAC6D"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Radnička cesta 173 i </w:t>
            </w:r>
          </w:p>
        </w:tc>
      </w:tr>
      <w:tr w:rsidR="00CE4763" w:rsidRPr="00CE4763" w14:paraId="404C7E5F" w14:textId="77777777" w:rsidTr="00284074">
        <w:tblPrEx>
          <w:tblCellMar>
            <w:top w:w="6" w:type="dxa"/>
          </w:tblCellMar>
        </w:tblPrEx>
        <w:trPr>
          <w:gridAfter w:val="1"/>
          <w:wAfter w:w="9" w:type="dxa"/>
          <w:cantSplit/>
        </w:trPr>
        <w:tc>
          <w:tcPr>
            <w:tcW w:w="513" w:type="dxa"/>
            <w:tcBorders>
              <w:top w:val="single" w:sz="4" w:space="0" w:color="000000"/>
              <w:left w:val="single" w:sz="4" w:space="0" w:color="000000"/>
              <w:bottom w:val="single" w:sz="4" w:space="0" w:color="000000"/>
              <w:right w:val="single" w:sz="4" w:space="0" w:color="000000"/>
            </w:tcBorders>
          </w:tcPr>
          <w:p w14:paraId="73B58363"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18. </w:t>
            </w:r>
          </w:p>
        </w:tc>
        <w:tc>
          <w:tcPr>
            <w:tcW w:w="2280" w:type="dxa"/>
            <w:tcBorders>
              <w:top w:val="single" w:sz="4" w:space="0" w:color="000000"/>
              <w:left w:val="single" w:sz="4" w:space="0" w:color="000000"/>
              <w:bottom w:val="single" w:sz="4" w:space="0" w:color="000000"/>
              <w:right w:val="single" w:sz="4" w:space="0" w:color="000000"/>
            </w:tcBorders>
          </w:tcPr>
          <w:p w14:paraId="157E6959"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INA Maziva d.o.o. </w:t>
            </w:r>
          </w:p>
        </w:tc>
        <w:tc>
          <w:tcPr>
            <w:tcW w:w="1710" w:type="dxa"/>
            <w:tcBorders>
              <w:top w:val="single" w:sz="4" w:space="0" w:color="000000"/>
              <w:left w:val="single" w:sz="4" w:space="0" w:color="000000"/>
              <w:bottom w:val="single" w:sz="4" w:space="0" w:color="000000"/>
              <w:right w:val="single" w:sz="4" w:space="0" w:color="000000"/>
            </w:tcBorders>
          </w:tcPr>
          <w:p w14:paraId="2D9C42E4"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X </w:t>
            </w:r>
            <w:r w:rsidRPr="00CE4763">
              <w:rPr>
                <w:rFonts w:ascii="Times New Roman" w:hAnsi="Times New Roman" w:cs="Times New Roman"/>
                <w:i/>
              </w:rPr>
              <w:t>5.071.144,00</w:t>
            </w:r>
          </w:p>
          <w:p w14:paraId="5EBEEA36"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u w:color="000000"/>
              </w:rPr>
              <w:t xml:space="preserve">Y </w:t>
            </w:r>
            <w:r w:rsidRPr="00CE4763">
              <w:rPr>
                <w:rFonts w:ascii="Times New Roman" w:hAnsi="Times New Roman" w:cs="Times New Roman"/>
                <w:i/>
              </w:rPr>
              <w:t>5.582.509,00</w:t>
            </w:r>
          </w:p>
          <w:p w14:paraId="5D2BFB19" w14:textId="77777777" w:rsidR="00CE4763" w:rsidRPr="00CE4763" w:rsidRDefault="00CE4763" w:rsidP="00CE4763">
            <w:pPr>
              <w:spacing w:after="0" w:line="240" w:lineRule="auto"/>
              <w:ind w:left="0" w:right="0" w:firstLine="0"/>
              <w:jc w:val="left"/>
              <w:rPr>
                <w:rFonts w:ascii="Times New Roman" w:hAnsi="Times New Roman" w:cs="Times New Roman"/>
                <w:i/>
              </w:rPr>
            </w:pPr>
            <w:r w:rsidRPr="00CE4763">
              <w:rPr>
                <w:rFonts w:ascii="Times New Roman" w:hAnsi="Times New Roman" w:cs="Times New Roman"/>
                <w:i/>
              </w:rPr>
              <w:t>45,77934</w:t>
            </w:r>
          </w:p>
          <w:p w14:paraId="7B4CD3FB"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i/>
              </w:rPr>
              <w:t>16,05821</w:t>
            </w:r>
            <w:r w:rsidRPr="00CE4763">
              <w:rPr>
                <w:rFonts w:ascii="Times New Roman" w:hAnsi="Times New Roman" w:cs="Times New Roman"/>
              </w:rPr>
              <w:t xml:space="preserve"> </w:t>
            </w:r>
          </w:p>
        </w:tc>
        <w:tc>
          <w:tcPr>
            <w:tcW w:w="855" w:type="dxa"/>
            <w:tcBorders>
              <w:top w:val="single" w:sz="4" w:space="0" w:color="000000"/>
              <w:left w:val="single" w:sz="4" w:space="0" w:color="000000"/>
              <w:bottom w:val="single" w:sz="4" w:space="0" w:color="000000"/>
              <w:right w:val="single" w:sz="4" w:space="0" w:color="000000"/>
            </w:tcBorders>
          </w:tcPr>
          <w:p w14:paraId="4D6D4596"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145 </w:t>
            </w:r>
          </w:p>
        </w:tc>
        <w:tc>
          <w:tcPr>
            <w:tcW w:w="855" w:type="dxa"/>
            <w:tcBorders>
              <w:top w:val="single" w:sz="4" w:space="0" w:color="000000"/>
              <w:left w:val="single" w:sz="4" w:space="0" w:color="000000"/>
              <w:bottom w:val="single" w:sz="4" w:space="0" w:color="000000"/>
              <w:right w:val="single" w:sz="4" w:space="0" w:color="000000"/>
            </w:tcBorders>
          </w:tcPr>
          <w:p w14:paraId="741359A4"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193 </w:t>
            </w:r>
          </w:p>
        </w:tc>
        <w:tc>
          <w:tcPr>
            <w:tcW w:w="855" w:type="dxa"/>
            <w:tcBorders>
              <w:top w:val="single" w:sz="4" w:space="0" w:color="000000"/>
              <w:left w:val="single" w:sz="4" w:space="0" w:color="000000"/>
              <w:bottom w:val="single" w:sz="4" w:space="0" w:color="000000"/>
              <w:right w:val="single" w:sz="4" w:space="0" w:color="000000"/>
            </w:tcBorders>
          </w:tcPr>
          <w:p w14:paraId="2562D3BA"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285 </w:t>
            </w:r>
          </w:p>
        </w:tc>
        <w:tc>
          <w:tcPr>
            <w:tcW w:w="1995" w:type="dxa"/>
            <w:tcBorders>
              <w:top w:val="single" w:sz="4" w:space="0" w:color="000000"/>
              <w:left w:val="single" w:sz="4" w:space="0" w:color="000000"/>
              <w:bottom w:val="single" w:sz="4" w:space="0" w:color="000000"/>
              <w:right w:val="single" w:sz="4" w:space="0" w:color="000000"/>
            </w:tcBorders>
          </w:tcPr>
          <w:p w14:paraId="5B6156D1" w14:textId="77777777" w:rsidR="00CE4763" w:rsidRPr="00CE4763" w:rsidRDefault="00CE4763" w:rsidP="00CE4763">
            <w:pPr>
              <w:spacing w:after="0" w:line="240" w:lineRule="auto"/>
              <w:ind w:left="0" w:right="0" w:firstLine="0"/>
              <w:jc w:val="left"/>
              <w:rPr>
                <w:rFonts w:ascii="Times New Roman" w:hAnsi="Times New Roman" w:cs="Times New Roman"/>
              </w:rPr>
            </w:pPr>
            <w:r w:rsidRPr="00CE4763">
              <w:rPr>
                <w:rFonts w:ascii="Times New Roman" w:hAnsi="Times New Roman" w:cs="Times New Roman"/>
              </w:rPr>
              <w:t xml:space="preserve">Radnička cesta 175 </w:t>
            </w:r>
          </w:p>
        </w:tc>
      </w:tr>
    </w:tbl>
    <w:p w14:paraId="5198D24F" w14:textId="0892F172" w:rsidR="00CE4763" w:rsidRPr="00CE4763" w:rsidRDefault="00CE4763" w:rsidP="00CE4763">
      <w:pPr>
        <w:spacing w:after="0" w:line="240" w:lineRule="auto"/>
        <w:ind w:left="0" w:right="0" w:firstLine="0"/>
        <w:jc w:val="center"/>
        <w:rPr>
          <w:rFonts w:ascii="Times New Roman" w:hAnsi="Times New Roman" w:cs="Times New Roman"/>
          <w:i/>
          <w:sz w:val="20"/>
          <w:szCs w:val="20"/>
        </w:rPr>
      </w:pPr>
      <w:r w:rsidRPr="00CE4763">
        <w:rPr>
          <w:rFonts w:ascii="Times New Roman" w:hAnsi="Times New Roman" w:cs="Times New Roman"/>
          <w:i/>
          <w:sz w:val="20"/>
          <w:szCs w:val="20"/>
        </w:rPr>
        <w:t xml:space="preserve">Izvor: </w:t>
      </w:r>
      <w:r w:rsidR="006E692C">
        <w:rPr>
          <w:rFonts w:ascii="Times New Roman" w:hAnsi="Times New Roman" w:cs="Times New Roman"/>
          <w:i/>
          <w:sz w:val="20"/>
          <w:szCs w:val="20"/>
        </w:rPr>
        <w:t>RPOT</w:t>
      </w:r>
    </w:p>
    <w:p w14:paraId="6EC90BB2" w14:textId="0DBD0528" w:rsidR="00CE4763" w:rsidRPr="00CE4763" w:rsidRDefault="00CE4763" w:rsidP="00CE4763">
      <w:pPr>
        <w:spacing w:after="0" w:line="240" w:lineRule="auto"/>
        <w:ind w:left="0" w:right="0" w:firstLine="0"/>
        <w:jc w:val="center"/>
        <w:rPr>
          <w:rFonts w:ascii="Times New Roman" w:hAnsi="Times New Roman" w:cs="Times New Roman"/>
          <w:i/>
          <w:sz w:val="20"/>
          <w:szCs w:val="20"/>
        </w:rPr>
      </w:pPr>
      <w:r w:rsidRPr="00CE4763">
        <w:rPr>
          <w:rFonts w:ascii="Times New Roman" w:hAnsi="Times New Roman" w:cs="Times New Roman"/>
          <w:i/>
          <w:sz w:val="20"/>
          <w:szCs w:val="20"/>
        </w:rPr>
        <w:t>Izvor mapa:</w:t>
      </w:r>
      <w:r w:rsidRPr="00CE4763">
        <w:rPr>
          <w:rFonts w:ascii="Times New Roman" w:eastAsia="Calibri" w:hAnsi="Times New Roman" w:cs="Times New Roman"/>
          <w:i/>
          <w:sz w:val="20"/>
          <w:szCs w:val="20"/>
        </w:rPr>
        <w:t xml:space="preserve"> </w:t>
      </w:r>
      <w:r w:rsidRPr="00CE4763">
        <w:rPr>
          <w:rFonts w:ascii="Times New Roman" w:hAnsi="Times New Roman" w:cs="Times New Roman"/>
          <w:i/>
          <w:sz w:val="20"/>
          <w:szCs w:val="20"/>
        </w:rPr>
        <w:t xml:space="preserve">Gradski ured za mjesnu samoupravu, civilnu zaštitu i sigurnost prema podacima iz </w:t>
      </w:r>
      <w:r w:rsidR="006E692C">
        <w:rPr>
          <w:rFonts w:ascii="Times New Roman" w:hAnsi="Times New Roman" w:cs="Times New Roman"/>
          <w:i/>
          <w:sz w:val="20"/>
          <w:szCs w:val="20"/>
        </w:rPr>
        <w:t>RPOT baze</w:t>
      </w:r>
    </w:p>
    <w:p w14:paraId="31D29431"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768BDE42"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6EDA8E99" w14:textId="77777777" w:rsidR="00CE4763" w:rsidRPr="00CE4763" w:rsidRDefault="00CE4763" w:rsidP="00CE4763">
      <w:pPr>
        <w:spacing w:after="0" w:line="240" w:lineRule="auto"/>
        <w:ind w:left="0" w:right="0" w:firstLine="0"/>
        <w:rPr>
          <w:rFonts w:ascii="Times New Roman" w:hAnsi="Times New Roman" w:cs="Times New Roman"/>
          <w:b/>
          <w:sz w:val="28"/>
        </w:rPr>
      </w:pPr>
      <w:bookmarkStart w:id="155" w:name="_Toc2938658"/>
      <w:r w:rsidRPr="00CE4763">
        <w:rPr>
          <w:rFonts w:ascii="Times New Roman" w:hAnsi="Times New Roman" w:cs="Times New Roman"/>
          <w:b/>
          <w:sz w:val="28"/>
        </w:rPr>
        <w:t>ZAVRŠNA ODREDBA</w:t>
      </w:r>
      <w:bookmarkEnd w:id="155"/>
    </w:p>
    <w:p w14:paraId="519D70E7" w14:textId="77777777" w:rsidR="00CE4763" w:rsidRPr="00CE4763" w:rsidRDefault="00CE4763" w:rsidP="00CE4763">
      <w:pPr>
        <w:spacing w:after="0" w:line="240" w:lineRule="auto"/>
        <w:ind w:left="0" w:right="0" w:firstLine="0"/>
        <w:rPr>
          <w:rFonts w:ascii="Times New Roman" w:hAnsi="Times New Roman" w:cs="Times New Roman"/>
          <w:sz w:val="24"/>
        </w:rPr>
      </w:pPr>
    </w:p>
    <w:p w14:paraId="2001285C" w14:textId="77777777" w:rsidR="00CE4763" w:rsidRPr="00CE4763" w:rsidRDefault="00CE4763" w:rsidP="00CE4763">
      <w:pPr>
        <w:spacing w:after="0" w:line="240" w:lineRule="auto"/>
        <w:ind w:left="0" w:right="0" w:firstLine="709"/>
        <w:rPr>
          <w:rFonts w:ascii="Times New Roman" w:hAnsi="Times New Roman" w:cs="Times New Roman"/>
          <w:sz w:val="24"/>
        </w:rPr>
      </w:pPr>
      <w:r w:rsidRPr="00CE4763">
        <w:rPr>
          <w:rFonts w:ascii="Times New Roman" w:hAnsi="Times New Roman" w:cs="Times New Roman"/>
          <w:sz w:val="24"/>
        </w:rPr>
        <w:t>Procjena rizika bit će objavljena u Službenom glasniku Grada Zagreba.</w:t>
      </w:r>
    </w:p>
    <w:p w14:paraId="67760E1D"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37084D52" w14:textId="77777777" w:rsidR="00CE4763" w:rsidRPr="00CE4763" w:rsidRDefault="00CE4763" w:rsidP="00CE4763">
      <w:pPr>
        <w:spacing w:after="0" w:line="240" w:lineRule="auto"/>
        <w:ind w:left="0" w:right="0" w:firstLine="0"/>
        <w:jc w:val="left"/>
        <w:rPr>
          <w:rFonts w:ascii="Times New Roman" w:hAnsi="Times New Roman" w:cs="Times New Roman"/>
          <w:sz w:val="24"/>
        </w:rPr>
      </w:pPr>
    </w:p>
    <w:p w14:paraId="548B1403" w14:textId="77777777" w:rsidR="00CE4763" w:rsidRPr="003435D0" w:rsidRDefault="00CE4763" w:rsidP="00CE4763">
      <w:pPr>
        <w:spacing w:after="0" w:line="240" w:lineRule="auto"/>
        <w:ind w:left="0" w:right="0" w:firstLine="0"/>
        <w:rPr>
          <w:rFonts w:ascii="Times New Roman" w:hAnsi="Times New Roman" w:cs="Times New Roman"/>
          <w:color w:val="auto"/>
          <w:sz w:val="24"/>
        </w:rPr>
      </w:pPr>
      <w:r w:rsidRPr="003435D0">
        <w:rPr>
          <w:rFonts w:ascii="Times New Roman" w:hAnsi="Times New Roman" w:cs="Times New Roman"/>
          <w:color w:val="auto"/>
          <w:sz w:val="24"/>
        </w:rPr>
        <w:t xml:space="preserve">KLASA: </w:t>
      </w:r>
    </w:p>
    <w:p w14:paraId="768B8D08" w14:textId="77777777" w:rsidR="00CE4763" w:rsidRPr="003435D0" w:rsidRDefault="00CE4763" w:rsidP="00CE4763">
      <w:pPr>
        <w:spacing w:after="0" w:line="240" w:lineRule="auto"/>
        <w:ind w:left="0" w:right="0" w:firstLine="0"/>
        <w:rPr>
          <w:rFonts w:ascii="Times New Roman" w:hAnsi="Times New Roman" w:cs="Times New Roman"/>
          <w:color w:val="auto"/>
          <w:sz w:val="24"/>
        </w:rPr>
      </w:pPr>
      <w:r w:rsidRPr="003435D0">
        <w:rPr>
          <w:rFonts w:ascii="Times New Roman" w:hAnsi="Times New Roman" w:cs="Times New Roman"/>
          <w:color w:val="auto"/>
          <w:sz w:val="24"/>
        </w:rPr>
        <w:t xml:space="preserve">URBROJ: </w:t>
      </w:r>
    </w:p>
    <w:p w14:paraId="62AE52DB" w14:textId="77777777" w:rsidR="00CE4763" w:rsidRPr="003435D0" w:rsidRDefault="00CE4763" w:rsidP="00CE4763">
      <w:pPr>
        <w:spacing w:after="0" w:line="240" w:lineRule="auto"/>
        <w:ind w:left="0" w:right="0" w:firstLine="0"/>
        <w:rPr>
          <w:rFonts w:ascii="Times New Roman" w:hAnsi="Times New Roman" w:cs="Times New Roman"/>
          <w:color w:val="auto"/>
          <w:sz w:val="24"/>
        </w:rPr>
      </w:pPr>
      <w:r w:rsidRPr="003435D0">
        <w:rPr>
          <w:rFonts w:ascii="Times New Roman" w:hAnsi="Times New Roman" w:cs="Times New Roman"/>
          <w:color w:val="auto"/>
          <w:sz w:val="24"/>
        </w:rPr>
        <w:t xml:space="preserve">Zagreb, </w:t>
      </w:r>
    </w:p>
    <w:p w14:paraId="54AD8B93" w14:textId="77777777" w:rsidR="00CE4763" w:rsidRPr="00CE4763" w:rsidRDefault="00CE4763" w:rsidP="00CE4763">
      <w:pPr>
        <w:spacing w:after="0" w:line="240" w:lineRule="auto"/>
        <w:ind w:left="0" w:right="0" w:firstLine="0"/>
        <w:rPr>
          <w:rFonts w:ascii="Times New Roman" w:hAnsi="Times New Roman" w:cs="Times New Roman"/>
          <w:color w:val="FF0000"/>
          <w:sz w:val="24"/>
          <w:szCs w:val="24"/>
        </w:rPr>
      </w:pPr>
    </w:p>
    <w:p w14:paraId="6574F8BD" w14:textId="77777777" w:rsidR="003435D0" w:rsidRPr="00CC64BC" w:rsidRDefault="003435D0" w:rsidP="003435D0">
      <w:pPr>
        <w:spacing w:after="0" w:line="240" w:lineRule="auto"/>
        <w:ind w:left="4536" w:right="692" w:hanging="11"/>
        <w:jc w:val="center"/>
        <w:rPr>
          <w:rFonts w:ascii="Times New Roman" w:eastAsia="Times New Roman" w:hAnsi="Times New Roman" w:cs="Times New Roman"/>
          <w:sz w:val="24"/>
          <w:szCs w:val="24"/>
        </w:rPr>
      </w:pPr>
      <w:r w:rsidRPr="00CC64BC">
        <w:rPr>
          <w:rFonts w:ascii="Times New Roman" w:eastAsia="Times New Roman" w:hAnsi="Times New Roman" w:cs="Times New Roman"/>
          <w:sz w:val="24"/>
          <w:szCs w:val="24"/>
        </w:rPr>
        <w:t>Predsjednik</w:t>
      </w:r>
    </w:p>
    <w:p w14:paraId="5377464C" w14:textId="77777777" w:rsidR="003435D0" w:rsidRPr="00CC64BC" w:rsidRDefault="003435D0" w:rsidP="003435D0">
      <w:pPr>
        <w:spacing w:after="0" w:line="240" w:lineRule="auto"/>
        <w:ind w:left="4536" w:right="692" w:hanging="11"/>
        <w:jc w:val="center"/>
        <w:rPr>
          <w:rFonts w:ascii="Times New Roman" w:eastAsia="Times New Roman" w:hAnsi="Times New Roman" w:cs="Times New Roman"/>
          <w:sz w:val="24"/>
          <w:szCs w:val="24"/>
        </w:rPr>
      </w:pPr>
      <w:r w:rsidRPr="00CC64BC">
        <w:rPr>
          <w:rFonts w:ascii="Times New Roman" w:eastAsia="Times New Roman" w:hAnsi="Times New Roman" w:cs="Times New Roman"/>
          <w:sz w:val="24"/>
          <w:szCs w:val="24"/>
        </w:rPr>
        <w:t>Gradske skupštine</w:t>
      </w:r>
    </w:p>
    <w:p w14:paraId="21D0B112" w14:textId="77777777" w:rsidR="003435D0" w:rsidRPr="00CC64BC" w:rsidRDefault="003435D0" w:rsidP="003435D0">
      <w:pPr>
        <w:spacing w:before="100" w:beforeAutospacing="1" w:after="100" w:afterAutospacing="1" w:line="240" w:lineRule="auto"/>
        <w:ind w:left="4536"/>
        <w:jc w:val="center"/>
        <w:rPr>
          <w:rFonts w:ascii="Times New Roman" w:eastAsia="Times New Roman" w:hAnsi="Times New Roman" w:cs="Times New Roman"/>
          <w:b/>
          <w:sz w:val="24"/>
          <w:szCs w:val="24"/>
        </w:rPr>
      </w:pPr>
      <w:r w:rsidRPr="00CC64BC">
        <w:rPr>
          <w:rFonts w:ascii="Times New Roman" w:eastAsia="Times New Roman" w:hAnsi="Times New Roman" w:cs="Times New Roman"/>
          <w:b/>
          <w:sz w:val="24"/>
          <w:szCs w:val="24"/>
        </w:rPr>
        <w:t>Joško Klisović</w:t>
      </w:r>
    </w:p>
    <w:p w14:paraId="25E63632" w14:textId="77777777" w:rsidR="00CE4763" w:rsidRPr="00CE4763" w:rsidRDefault="00CE4763" w:rsidP="00CE4763">
      <w:pPr>
        <w:spacing w:after="0" w:line="240" w:lineRule="auto"/>
        <w:ind w:left="0" w:right="0" w:firstLine="709"/>
        <w:rPr>
          <w:rFonts w:ascii="Times New Roman" w:hAnsi="Times New Roman" w:cs="Times New Roman"/>
          <w:color w:val="FF0000"/>
          <w:sz w:val="24"/>
        </w:rPr>
      </w:pPr>
    </w:p>
    <w:p w14:paraId="314EDB7A" w14:textId="43F4A906" w:rsidR="00950DC1" w:rsidRDefault="00950DC1" w:rsidP="00950DC1">
      <w:pPr>
        <w:tabs>
          <w:tab w:val="left" w:pos="1275"/>
        </w:tabs>
        <w:rPr>
          <w:rFonts w:ascii="Times New Roman" w:hAnsi="Times New Roman" w:cs="Times New Roman"/>
          <w:sz w:val="24"/>
        </w:rPr>
      </w:pPr>
    </w:p>
    <w:p w14:paraId="6095E55D" w14:textId="15D122B4" w:rsidR="00DC4B36" w:rsidRDefault="00DC4B36" w:rsidP="00DD36FC">
      <w:pPr>
        <w:spacing w:after="0" w:line="240" w:lineRule="auto"/>
        <w:ind w:left="0" w:right="0" w:firstLine="0"/>
        <w:jc w:val="center"/>
        <w:rPr>
          <w:rFonts w:ascii="Times New Roman" w:hAnsi="Times New Roman" w:cs="Times New Roman"/>
          <w:b/>
          <w:sz w:val="24"/>
          <w:szCs w:val="24"/>
        </w:rPr>
      </w:pPr>
      <w:r>
        <w:rPr>
          <w:rFonts w:ascii="Times New Roman" w:hAnsi="Times New Roman" w:cs="Times New Roman"/>
          <w:sz w:val="24"/>
        </w:rPr>
        <w:br w:type="page"/>
      </w:r>
      <w:r w:rsidRPr="00904096">
        <w:rPr>
          <w:rFonts w:ascii="Times New Roman" w:hAnsi="Times New Roman" w:cs="Times New Roman"/>
          <w:b/>
          <w:sz w:val="24"/>
          <w:szCs w:val="24"/>
        </w:rPr>
        <w:lastRenderedPageBreak/>
        <w:t>Obrazloženje</w:t>
      </w:r>
    </w:p>
    <w:p w14:paraId="132D0F7C" w14:textId="77777777" w:rsidR="00DD36FC" w:rsidRPr="00DC4B36" w:rsidRDefault="00DD36FC" w:rsidP="00DD36FC">
      <w:pPr>
        <w:spacing w:after="0" w:line="240" w:lineRule="auto"/>
        <w:ind w:left="0" w:right="0" w:firstLine="0"/>
        <w:jc w:val="center"/>
        <w:rPr>
          <w:rFonts w:ascii="Times New Roman" w:hAnsi="Times New Roman" w:cs="Times New Roman"/>
          <w:sz w:val="24"/>
        </w:rPr>
      </w:pPr>
    </w:p>
    <w:p w14:paraId="6765BC45" w14:textId="77777777" w:rsidR="00DC4B36" w:rsidRDefault="00DC4B36" w:rsidP="00DD36FC">
      <w:pPr>
        <w:spacing w:after="0" w:line="240" w:lineRule="auto"/>
        <w:ind w:left="0" w:right="0" w:firstLine="709"/>
        <w:rPr>
          <w:rFonts w:ascii="Times New Roman" w:hAnsi="Times New Roman" w:cs="Times New Roman"/>
          <w:sz w:val="24"/>
          <w:szCs w:val="24"/>
        </w:rPr>
      </w:pPr>
      <w:r w:rsidRPr="00904096">
        <w:rPr>
          <w:rFonts w:ascii="Times New Roman" w:hAnsi="Times New Roman" w:cs="Times New Roman"/>
          <w:sz w:val="24"/>
          <w:szCs w:val="24"/>
        </w:rPr>
        <w:t xml:space="preserve">Člankom 17. stavkom 1. alinejom </w:t>
      </w:r>
      <w:r>
        <w:rPr>
          <w:rFonts w:ascii="Times New Roman" w:hAnsi="Times New Roman" w:cs="Times New Roman"/>
          <w:sz w:val="24"/>
          <w:szCs w:val="24"/>
        </w:rPr>
        <w:t>2</w:t>
      </w:r>
      <w:r w:rsidRPr="00904096">
        <w:rPr>
          <w:rFonts w:ascii="Times New Roman" w:hAnsi="Times New Roman" w:cs="Times New Roman"/>
          <w:sz w:val="24"/>
          <w:szCs w:val="24"/>
        </w:rPr>
        <w:t xml:space="preserve">. Zakona o sustavu civilne zaštite (Narodne novine </w:t>
      </w:r>
      <w:r w:rsidRPr="00173D6A">
        <w:rPr>
          <w:rFonts w:ascii="Times New Roman" w:hAnsi="Times New Roman" w:cs="Times New Roman"/>
          <w:sz w:val="24"/>
          <w:szCs w:val="24"/>
        </w:rPr>
        <w:t>82/15, 118/18, 31/20, 20/2</w:t>
      </w:r>
      <w:r>
        <w:rPr>
          <w:rFonts w:ascii="Times New Roman" w:hAnsi="Times New Roman" w:cs="Times New Roman"/>
          <w:sz w:val="24"/>
          <w:szCs w:val="24"/>
        </w:rPr>
        <w:t>1</w:t>
      </w:r>
      <w:r w:rsidRPr="00904096">
        <w:rPr>
          <w:rFonts w:ascii="Times New Roman" w:hAnsi="Times New Roman" w:cs="Times New Roman"/>
          <w:sz w:val="24"/>
          <w:szCs w:val="24"/>
        </w:rPr>
        <w:t xml:space="preserve">) </w:t>
      </w:r>
      <w:r>
        <w:rPr>
          <w:rFonts w:ascii="Times New Roman" w:hAnsi="Times New Roman" w:cs="Times New Roman"/>
          <w:sz w:val="24"/>
          <w:szCs w:val="24"/>
        </w:rPr>
        <w:t>propisano je da predstavničko tijelo, na prijedlog izvršnog tijela jedinice lokalne i područne (regionalne) samouprave donosi procjenu rizika od velikih nesreća.</w:t>
      </w:r>
    </w:p>
    <w:p w14:paraId="577FF70D" w14:textId="273670C7" w:rsidR="00DC4B36" w:rsidRDefault="002164B2" w:rsidP="00DD36FC">
      <w:pPr>
        <w:spacing w:after="0" w:line="240" w:lineRule="auto"/>
        <w:ind w:left="0" w:right="0" w:firstLine="709"/>
        <w:rPr>
          <w:rFonts w:ascii="Times New Roman" w:hAnsi="Times New Roman" w:cs="Times New Roman"/>
          <w:sz w:val="24"/>
          <w:szCs w:val="24"/>
        </w:rPr>
      </w:pPr>
      <w:r>
        <w:rPr>
          <w:rFonts w:ascii="Times New Roman" w:hAnsi="Times New Roman" w:cs="Times New Roman"/>
          <w:sz w:val="24"/>
          <w:szCs w:val="24"/>
        </w:rPr>
        <w:t>Člankom 41. točkom 33. S</w:t>
      </w:r>
      <w:r w:rsidR="00DC4B36">
        <w:rPr>
          <w:rFonts w:ascii="Times New Roman" w:hAnsi="Times New Roman" w:cs="Times New Roman"/>
          <w:sz w:val="24"/>
          <w:szCs w:val="24"/>
        </w:rPr>
        <w:t>tatuta Grada Zagreba (Službeni glasnik Grada Zagreba</w:t>
      </w:r>
      <w:r>
        <w:rPr>
          <w:rFonts w:ascii="Times New Roman" w:hAnsi="Times New Roman" w:cs="Times New Roman"/>
          <w:sz w:val="24"/>
          <w:szCs w:val="24"/>
        </w:rPr>
        <w:t xml:space="preserve"> 23/16, 2/18, 23/18, 3/20, 3/21, 11/21 - pročišćeni tekst i 16/22</w:t>
      </w:r>
      <w:r w:rsidR="00DC4B36">
        <w:rPr>
          <w:rFonts w:ascii="Times New Roman" w:hAnsi="Times New Roman" w:cs="Times New Roman"/>
          <w:sz w:val="24"/>
          <w:szCs w:val="24"/>
        </w:rPr>
        <w:t>) određeno je da Gradska skupština donosi pojedinačne i druge akte iz samoupravnog djelokruga u skladu sa zakonom i statutom.</w:t>
      </w:r>
    </w:p>
    <w:p w14:paraId="2C2B8C80" w14:textId="77777777" w:rsidR="00DD36FC" w:rsidRPr="00DD36FC" w:rsidRDefault="00DC4B36" w:rsidP="00DD36FC">
      <w:pPr>
        <w:spacing w:after="0" w:line="240" w:lineRule="auto"/>
        <w:ind w:left="0" w:right="0" w:firstLine="709"/>
        <w:rPr>
          <w:rFonts w:ascii="Times New Roman" w:eastAsia="Times New Roman" w:hAnsi="Times New Roman" w:cs="Times New Roman"/>
          <w:sz w:val="24"/>
          <w:szCs w:val="24"/>
        </w:rPr>
      </w:pPr>
      <w:r w:rsidRPr="00DD36FC">
        <w:rPr>
          <w:rFonts w:ascii="Times New Roman" w:hAnsi="Times New Roman" w:cs="Times New Roman"/>
          <w:sz w:val="24"/>
          <w:szCs w:val="24"/>
        </w:rPr>
        <w:t>Sukladno članku 6. stavku 1. Pravilnika o smjernicama za izradu procjena rizika od katastrofa i velikih nesreća za područje Republike Hrvatske i jedinica lokalne i područne (regionalne) samouprave (N</w:t>
      </w:r>
      <w:r w:rsidR="007B5D32" w:rsidRPr="00DD36FC">
        <w:rPr>
          <w:rFonts w:ascii="Times New Roman" w:hAnsi="Times New Roman" w:cs="Times New Roman"/>
          <w:sz w:val="24"/>
          <w:szCs w:val="24"/>
        </w:rPr>
        <w:t xml:space="preserve">arodne novine </w:t>
      </w:r>
      <w:r w:rsidRPr="00DD36FC">
        <w:rPr>
          <w:rFonts w:ascii="Times New Roman" w:hAnsi="Times New Roman" w:cs="Times New Roman"/>
          <w:sz w:val="24"/>
          <w:szCs w:val="24"/>
        </w:rPr>
        <w:t xml:space="preserve">65/16) </w:t>
      </w:r>
      <w:r w:rsidRPr="00DD36FC">
        <w:rPr>
          <w:rFonts w:ascii="Times New Roman" w:eastAsia="Times New Roman" w:hAnsi="Times New Roman" w:cs="Times New Roman"/>
          <w:sz w:val="24"/>
          <w:szCs w:val="24"/>
        </w:rPr>
        <w:t>gradonačelnik Grada Zagreba donio je</w:t>
      </w:r>
      <w:r w:rsidR="007B5D32" w:rsidRPr="00DD36FC">
        <w:rPr>
          <w:rFonts w:ascii="Times New Roman" w:eastAsia="Times New Roman" w:hAnsi="Times New Roman" w:cs="Times New Roman"/>
          <w:sz w:val="24"/>
          <w:szCs w:val="24"/>
        </w:rPr>
        <w:t>,</w:t>
      </w:r>
      <w:r w:rsidRPr="00DD36FC">
        <w:rPr>
          <w:rFonts w:ascii="Times New Roman" w:eastAsia="Times New Roman" w:hAnsi="Times New Roman" w:cs="Times New Roman"/>
          <w:sz w:val="24"/>
          <w:szCs w:val="24"/>
        </w:rPr>
        <w:t xml:space="preserve"> 28. prosinca 2016.</w:t>
      </w:r>
      <w:r w:rsidR="007B5D32" w:rsidRPr="00DD36FC">
        <w:rPr>
          <w:rFonts w:ascii="Times New Roman" w:eastAsia="Times New Roman" w:hAnsi="Times New Roman" w:cs="Times New Roman"/>
          <w:sz w:val="24"/>
          <w:szCs w:val="24"/>
        </w:rPr>
        <w:t>,</w:t>
      </w:r>
      <w:r w:rsidRPr="00DD36FC">
        <w:rPr>
          <w:rFonts w:ascii="Times New Roman" w:eastAsia="Times New Roman" w:hAnsi="Times New Roman" w:cs="Times New Roman"/>
          <w:sz w:val="24"/>
          <w:szCs w:val="24"/>
        </w:rPr>
        <w:t xml:space="preserve"> Smjernice za izradu procjene rizika od velikih nesreća za područje Grada Zagreba, a na koje je Državna uprava za zaštitu i spašavanje izdala suglasnost (KLASA: 810-09/16-05/16, URBROJ: 543-01-04-01-17-28 od 24. siječnja 2017.)</w:t>
      </w:r>
      <w:r w:rsidR="007B5D32" w:rsidRPr="00DD36FC">
        <w:rPr>
          <w:rFonts w:ascii="Times New Roman" w:eastAsia="Times New Roman" w:hAnsi="Times New Roman" w:cs="Times New Roman"/>
          <w:sz w:val="24"/>
          <w:szCs w:val="24"/>
        </w:rPr>
        <w:t>. Sukladno navedenim Smjernicama</w:t>
      </w:r>
      <w:r w:rsidR="00DD36FC" w:rsidRPr="00DD36FC">
        <w:rPr>
          <w:rFonts w:ascii="Times New Roman" w:eastAsia="Times New Roman" w:hAnsi="Times New Roman" w:cs="Times New Roman"/>
          <w:sz w:val="24"/>
          <w:szCs w:val="24"/>
        </w:rPr>
        <w:t>,</w:t>
      </w:r>
      <w:r w:rsidR="007B5D32" w:rsidRPr="00DD36FC">
        <w:rPr>
          <w:rFonts w:ascii="Times New Roman" w:eastAsia="Times New Roman" w:hAnsi="Times New Roman" w:cs="Times New Roman"/>
          <w:sz w:val="24"/>
          <w:szCs w:val="24"/>
        </w:rPr>
        <w:t xml:space="preserve"> </w:t>
      </w:r>
      <w:r w:rsidR="00DD36FC" w:rsidRPr="00DD36FC">
        <w:rPr>
          <w:rFonts w:ascii="Times New Roman" w:eastAsia="Times New Roman" w:hAnsi="Times New Roman" w:cs="Times New Roman"/>
          <w:sz w:val="24"/>
          <w:szCs w:val="24"/>
        </w:rPr>
        <w:t xml:space="preserve">Zaključkom o osnivanju i imenovanju Povjerenstva za izradu Procjene rizika od velikih nesreća za područje Grada Zagreba (Službeni glasnik Grada Zagreba 26/18), </w:t>
      </w:r>
      <w:r w:rsidR="007B5D32" w:rsidRPr="00DD36FC">
        <w:rPr>
          <w:rFonts w:ascii="Times New Roman" w:eastAsia="Times New Roman" w:hAnsi="Times New Roman" w:cs="Times New Roman"/>
          <w:sz w:val="24"/>
          <w:szCs w:val="24"/>
        </w:rPr>
        <w:t>osnovana je radna skupina za izradu Procjene rizika od velikih nesreća za područje Grada Z</w:t>
      </w:r>
      <w:r w:rsidR="00DD36FC" w:rsidRPr="00DD36FC">
        <w:rPr>
          <w:rFonts w:ascii="Times New Roman" w:eastAsia="Times New Roman" w:hAnsi="Times New Roman" w:cs="Times New Roman"/>
          <w:sz w:val="24"/>
          <w:szCs w:val="24"/>
        </w:rPr>
        <w:t>agreba.</w:t>
      </w:r>
    </w:p>
    <w:p w14:paraId="27A1BDF6" w14:textId="461AD6A0" w:rsidR="00DC4B36" w:rsidRDefault="00DC4B36" w:rsidP="00DD36FC">
      <w:pPr>
        <w:spacing w:after="0" w:line="240" w:lineRule="auto"/>
        <w:ind w:left="0" w:right="0" w:firstLine="709"/>
        <w:rPr>
          <w:rFonts w:ascii="Times New Roman" w:hAnsi="Times New Roman" w:cs="Times New Roman"/>
          <w:sz w:val="24"/>
          <w:szCs w:val="24"/>
        </w:rPr>
      </w:pPr>
      <w:r w:rsidRPr="001B3747">
        <w:rPr>
          <w:rFonts w:ascii="Times New Roman" w:hAnsi="Times New Roman" w:cs="Times New Roman"/>
          <w:sz w:val="24"/>
          <w:szCs w:val="24"/>
        </w:rPr>
        <w:t>Gradska skupština Grada Zagreba je</w:t>
      </w:r>
      <w:r w:rsidR="00DD36FC">
        <w:rPr>
          <w:rFonts w:ascii="Times New Roman" w:hAnsi="Times New Roman" w:cs="Times New Roman"/>
          <w:sz w:val="24"/>
          <w:szCs w:val="24"/>
        </w:rPr>
        <w:t>,</w:t>
      </w:r>
      <w:r w:rsidRPr="001B3747">
        <w:rPr>
          <w:rFonts w:ascii="Times New Roman" w:hAnsi="Times New Roman" w:cs="Times New Roman"/>
          <w:sz w:val="24"/>
          <w:szCs w:val="24"/>
        </w:rPr>
        <w:t xml:space="preserve"> 21. ožujka 2019.</w:t>
      </w:r>
      <w:r w:rsidR="00DD36FC">
        <w:rPr>
          <w:rFonts w:ascii="Times New Roman" w:hAnsi="Times New Roman" w:cs="Times New Roman"/>
          <w:sz w:val="24"/>
          <w:szCs w:val="24"/>
        </w:rPr>
        <w:t>,</w:t>
      </w:r>
      <w:r w:rsidRPr="001B3747">
        <w:rPr>
          <w:rFonts w:ascii="Times New Roman" w:hAnsi="Times New Roman" w:cs="Times New Roman"/>
          <w:sz w:val="24"/>
          <w:szCs w:val="24"/>
        </w:rPr>
        <w:t xml:space="preserve"> </w:t>
      </w:r>
      <w:r w:rsidR="00DD36FC">
        <w:rPr>
          <w:rFonts w:ascii="Times New Roman" w:hAnsi="Times New Roman" w:cs="Times New Roman"/>
          <w:sz w:val="24"/>
          <w:szCs w:val="24"/>
        </w:rPr>
        <w:t>donijela</w:t>
      </w:r>
      <w:r w:rsidRPr="001B3747">
        <w:rPr>
          <w:rFonts w:ascii="Times New Roman" w:hAnsi="Times New Roman" w:cs="Times New Roman"/>
          <w:sz w:val="24"/>
          <w:szCs w:val="24"/>
        </w:rPr>
        <w:t xml:space="preserve"> Procjenu rizika od velikih nesreća za područje Grada Zagreba (Službeni glasnik Grada Zagreba 6/19)</w:t>
      </w:r>
      <w:r>
        <w:rPr>
          <w:rFonts w:ascii="Times New Roman" w:hAnsi="Times New Roman" w:cs="Times New Roman"/>
          <w:sz w:val="24"/>
          <w:szCs w:val="24"/>
        </w:rPr>
        <w:t>.</w:t>
      </w:r>
    </w:p>
    <w:p w14:paraId="1B86F338" w14:textId="77777777" w:rsidR="00DD36FC" w:rsidRDefault="00DD36FC" w:rsidP="00DD36FC">
      <w:pPr>
        <w:spacing w:after="0" w:line="240" w:lineRule="auto"/>
        <w:ind w:left="0" w:right="0" w:firstLine="709"/>
        <w:rPr>
          <w:rFonts w:ascii="Times New Roman" w:hAnsi="Times New Roman" w:cs="Times New Roman"/>
          <w:sz w:val="24"/>
        </w:rPr>
      </w:pPr>
      <w:r>
        <w:rPr>
          <w:rFonts w:ascii="Times New Roman" w:hAnsi="Times New Roman" w:cs="Times New Roman"/>
          <w:sz w:val="24"/>
        </w:rPr>
        <w:t xml:space="preserve">Člankom </w:t>
      </w:r>
      <w:r w:rsidRPr="00512B43">
        <w:rPr>
          <w:rFonts w:ascii="Times New Roman" w:hAnsi="Times New Roman" w:cs="Times New Roman"/>
          <w:sz w:val="24"/>
        </w:rPr>
        <w:t>8. stav</w:t>
      </w:r>
      <w:r>
        <w:rPr>
          <w:rFonts w:ascii="Times New Roman" w:hAnsi="Times New Roman" w:cs="Times New Roman"/>
          <w:sz w:val="24"/>
        </w:rPr>
        <w:t>kom</w:t>
      </w:r>
      <w:r w:rsidRPr="00512B43">
        <w:rPr>
          <w:rFonts w:ascii="Times New Roman" w:hAnsi="Times New Roman" w:cs="Times New Roman"/>
          <w:sz w:val="24"/>
        </w:rPr>
        <w:t xml:space="preserve"> 2. Pravilnika o smjernicama za izradu procjena rizika od katastrofa i velikih nesreća za područje Republike Hrvatske i jedinica lokalne i područne (regionalne) samouprave </w:t>
      </w:r>
      <w:r>
        <w:rPr>
          <w:rFonts w:ascii="Times New Roman" w:hAnsi="Times New Roman" w:cs="Times New Roman"/>
          <w:sz w:val="24"/>
        </w:rPr>
        <w:t>propisano je da se procjene rizika od velikih nesreća za područja jedinica lokalne samouprave izrađuju najmanje jednom u tri godine.</w:t>
      </w:r>
    </w:p>
    <w:p w14:paraId="232D6484" w14:textId="53962271" w:rsidR="00DD36FC" w:rsidRDefault="00DD36FC" w:rsidP="00DD36FC">
      <w:pPr>
        <w:spacing w:after="0" w:line="240" w:lineRule="auto"/>
        <w:ind w:left="0" w:right="0" w:firstLine="709"/>
        <w:rPr>
          <w:rFonts w:ascii="Times New Roman" w:hAnsi="Times New Roman" w:cs="Times New Roman"/>
          <w:sz w:val="24"/>
        </w:rPr>
      </w:pPr>
      <w:r>
        <w:rPr>
          <w:rFonts w:ascii="Times New Roman" w:hAnsi="Times New Roman" w:cs="Times New Roman"/>
          <w:sz w:val="24"/>
        </w:rPr>
        <w:t xml:space="preserve">Članovi radne skupine, imenovani Zaključkom o osnivanju i imenovanju Povjerenstva za izradu izmjene/dopune Procjene rizika od velikih nesreća za područje Grada Zagreba (Službeni glasnik Grada Zagreba 13/22), izradili su </w:t>
      </w:r>
      <w:r w:rsidR="00485335">
        <w:rPr>
          <w:rFonts w:ascii="Times New Roman" w:hAnsi="Times New Roman" w:cs="Times New Roman"/>
          <w:sz w:val="24"/>
        </w:rPr>
        <w:t xml:space="preserve">Prijedlog </w:t>
      </w:r>
      <w:r>
        <w:rPr>
          <w:rFonts w:ascii="Times New Roman" w:hAnsi="Times New Roman" w:cs="Times New Roman"/>
          <w:sz w:val="24"/>
        </w:rPr>
        <w:t>nov</w:t>
      </w:r>
      <w:r w:rsidR="00485335">
        <w:rPr>
          <w:rFonts w:ascii="Times New Roman" w:hAnsi="Times New Roman" w:cs="Times New Roman"/>
          <w:sz w:val="24"/>
        </w:rPr>
        <w:t>e</w:t>
      </w:r>
      <w:r w:rsidR="00E173DA">
        <w:rPr>
          <w:rFonts w:ascii="Times New Roman" w:hAnsi="Times New Roman" w:cs="Times New Roman"/>
          <w:sz w:val="24"/>
        </w:rPr>
        <w:t xml:space="preserve"> P</w:t>
      </w:r>
      <w:r>
        <w:rPr>
          <w:rFonts w:ascii="Times New Roman" w:hAnsi="Times New Roman" w:cs="Times New Roman"/>
          <w:sz w:val="24"/>
        </w:rPr>
        <w:t>rocjen</w:t>
      </w:r>
      <w:r w:rsidR="00485335">
        <w:rPr>
          <w:rFonts w:ascii="Times New Roman" w:hAnsi="Times New Roman" w:cs="Times New Roman"/>
          <w:sz w:val="24"/>
        </w:rPr>
        <w:t>e</w:t>
      </w:r>
      <w:r>
        <w:rPr>
          <w:rFonts w:ascii="Times New Roman" w:hAnsi="Times New Roman" w:cs="Times New Roman"/>
          <w:sz w:val="24"/>
        </w:rPr>
        <w:t xml:space="preserve"> rizika od velikih nesreća za područje Grada Zagreba, </w:t>
      </w:r>
      <w:r w:rsidRPr="005142C4">
        <w:rPr>
          <w:rFonts w:ascii="Times New Roman" w:hAnsi="Times New Roman" w:cs="Times New Roman"/>
          <w:sz w:val="24"/>
        </w:rPr>
        <w:t xml:space="preserve">u </w:t>
      </w:r>
      <w:r>
        <w:rPr>
          <w:rFonts w:ascii="Times New Roman" w:hAnsi="Times New Roman" w:cs="Times New Roman"/>
          <w:sz w:val="24"/>
        </w:rPr>
        <w:t xml:space="preserve">kojoj je izvršeno ažuriranje statističkih </w:t>
      </w:r>
      <w:r w:rsidRPr="00251342">
        <w:rPr>
          <w:rFonts w:ascii="Times New Roman" w:hAnsi="Times New Roman" w:cs="Times New Roman"/>
          <w:sz w:val="24"/>
        </w:rPr>
        <w:t>podataka</w:t>
      </w:r>
      <w:r>
        <w:rPr>
          <w:rFonts w:ascii="Times New Roman" w:hAnsi="Times New Roman" w:cs="Times New Roman"/>
          <w:sz w:val="24"/>
        </w:rPr>
        <w:t xml:space="preserve">, </w:t>
      </w:r>
      <w:r w:rsidRPr="00251342">
        <w:rPr>
          <w:rFonts w:ascii="Times New Roman" w:hAnsi="Times New Roman" w:cs="Times New Roman"/>
          <w:sz w:val="24"/>
        </w:rPr>
        <w:t xml:space="preserve">kriterija (u tablicama) sukladno novom popisu stanovništva i </w:t>
      </w:r>
      <w:r>
        <w:rPr>
          <w:rFonts w:ascii="Times New Roman" w:hAnsi="Times New Roman" w:cs="Times New Roman"/>
          <w:sz w:val="24"/>
        </w:rPr>
        <w:t xml:space="preserve">iznosu </w:t>
      </w:r>
      <w:r w:rsidRPr="00251342">
        <w:rPr>
          <w:rFonts w:ascii="Times New Roman" w:hAnsi="Times New Roman" w:cs="Times New Roman"/>
          <w:sz w:val="24"/>
        </w:rPr>
        <w:t>proračun</w:t>
      </w:r>
      <w:r>
        <w:rPr>
          <w:rFonts w:ascii="Times New Roman" w:hAnsi="Times New Roman" w:cs="Times New Roman"/>
          <w:sz w:val="24"/>
        </w:rPr>
        <w:t xml:space="preserve">a </w:t>
      </w:r>
      <w:r w:rsidRPr="00251342">
        <w:rPr>
          <w:rFonts w:ascii="Times New Roman" w:hAnsi="Times New Roman" w:cs="Times New Roman"/>
          <w:sz w:val="24"/>
        </w:rPr>
        <w:t>Grada Zagreba</w:t>
      </w:r>
      <w:r>
        <w:rPr>
          <w:rFonts w:ascii="Times New Roman" w:hAnsi="Times New Roman" w:cs="Times New Roman"/>
          <w:sz w:val="24"/>
        </w:rPr>
        <w:t xml:space="preserve"> te su obrađena tri nova rizika: </w:t>
      </w:r>
      <w:r w:rsidRPr="00DD36FC">
        <w:rPr>
          <w:rFonts w:ascii="Times New Roman" w:hAnsi="Times New Roman" w:cs="Times New Roman"/>
          <w:sz w:val="24"/>
        </w:rPr>
        <w:t>nuklearna nesreća, klizišta i nesreće na odlagalištima otpada.</w:t>
      </w:r>
    </w:p>
    <w:p w14:paraId="35D43085" w14:textId="4FC41AD6" w:rsidR="00DC4B36" w:rsidRPr="008D6B1F" w:rsidRDefault="00DC4B36" w:rsidP="00485335">
      <w:pPr>
        <w:spacing w:after="0" w:line="240" w:lineRule="auto"/>
        <w:ind w:left="0" w:right="0" w:firstLine="709"/>
        <w:rPr>
          <w:rFonts w:ascii="Times New Roman" w:hAnsi="Times New Roman" w:cs="Times New Roman"/>
          <w:sz w:val="24"/>
          <w:szCs w:val="24"/>
        </w:rPr>
      </w:pPr>
      <w:r w:rsidRPr="0034286B">
        <w:rPr>
          <w:rFonts w:ascii="Times New Roman" w:hAnsi="Times New Roman" w:cs="Times New Roman"/>
          <w:sz w:val="24"/>
          <w:szCs w:val="24"/>
        </w:rPr>
        <w:t>Slijedom navedenog predlaže se Gradskoj skupštini Grada Zagreba da r</w:t>
      </w:r>
      <w:r w:rsidR="00485335">
        <w:rPr>
          <w:rFonts w:ascii="Times New Roman" w:hAnsi="Times New Roman" w:cs="Times New Roman"/>
          <w:sz w:val="24"/>
          <w:szCs w:val="24"/>
        </w:rPr>
        <w:t xml:space="preserve">azmotri i donese </w:t>
      </w:r>
      <w:r w:rsidRPr="0034286B">
        <w:rPr>
          <w:rFonts w:ascii="Times New Roman" w:hAnsi="Times New Roman" w:cs="Times New Roman"/>
          <w:sz w:val="24"/>
          <w:szCs w:val="24"/>
        </w:rPr>
        <w:t>Procjen</w:t>
      </w:r>
      <w:r w:rsidR="00485335">
        <w:rPr>
          <w:rFonts w:ascii="Times New Roman" w:hAnsi="Times New Roman" w:cs="Times New Roman"/>
          <w:sz w:val="24"/>
          <w:szCs w:val="24"/>
        </w:rPr>
        <w:t>u</w:t>
      </w:r>
      <w:r w:rsidRPr="0034286B">
        <w:rPr>
          <w:rFonts w:ascii="Times New Roman" w:hAnsi="Times New Roman" w:cs="Times New Roman"/>
          <w:sz w:val="24"/>
          <w:szCs w:val="24"/>
        </w:rPr>
        <w:t xml:space="preserve"> rizika od veli</w:t>
      </w:r>
      <w:bookmarkStart w:id="156" w:name="_GoBack"/>
      <w:bookmarkEnd w:id="156"/>
      <w:r w:rsidRPr="0034286B">
        <w:rPr>
          <w:rFonts w:ascii="Times New Roman" w:hAnsi="Times New Roman" w:cs="Times New Roman"/>
          <w:sz w:val="24"/>
          <w:szCs w:val="24"/>
        </w:rPr>
        <w:t>kih ne</w:t>
      </w:r>
      <w:r w:rsidR="00485335">
        <w:rPr>
          <w:rFonts w:ascii="Times New Roman" w:hAnsi="Times New Roman" w:cs="Times New Roman"/>
          <w:sz w:val="24"/>
          <w:szCs w:val="24"/>
        </w:rPr>
        <w:t>sreća za područje Grada Zagreba</w:t>
      </w:r>
      <w:r w:rsidRPr="0034286B">
        <w:rPr>
          <w:rFonts w:ascii="Times New Roman" w:hAnsi="Times New Roman" w:cs="Times New Roman"/>
          <w:sz w:val="24"/>
          <w:szCs w:val="24"/>
        </w:rPr>
        <w:t xml:space="preserve"> kao u predloženom tekstu.</w:t>
      </w:r>
    </w:p>
    <w:sectPr w:rsidR="00DC4B36" w:rsidRPr="008D6B1F" w:rsidSect="009768D5">
      <w:headerReference w:type="even" r:id="rId192"/>
      <w:headerReference w:type="default" r:id="rId193"/>
      <w:footerReference w:type="even" r:id="rId194"/>
      <w:footerReference w:type="default" r:id="rId195"/>
      <w:footerReference w:type="first" r:id="rId196"/>
      <w:pgSz w:w="11906" w:h="16838"/>
      <w:pgMar w:top="1417" w:right="1417" w:bottom="1417" w:left="1417" w:header="709" w:footer="709" w:gutter="0"/>
      <w:cols w:space="720"/>
      <w:titlePg/>
      <w:docGrid w:linePitch="299"/>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2CDF4B" w16cex:dateUtc="2022-05-16T12:33:00Z"/>
  <w16cex:commentExtensible w16cex:durableId="26430766" w16cex:dateUtc="2022-06-02T07:54:00Z"/>
  <w16cex:commentExtensible w16cex:durableId="262CA728" w16cex:dateUtc="2022-05-16T08:34:00Z"/>
  <w16cex:commentExtensible w16cex:durableId="262CA7FF" w16cex:dateUtc="2022-05-16T08:37:00Z"/>
  <w16cex:commentExtensible w16cex:durableId="262CA891" w16cex:dateUtc="2022-05-16T08:40:00Z"/>
  <w16cex:commentExtensible w16cex:durableId="262CAB4C" w16cex:dateUtc="2022-05-16T08:51:00Z"/>
  <w16cex:commentExtensible w16cex:durableId="262CAC4E" w16cex:dateUtc="2022-05-16T08:56:00Z"/>
</w16cex:commentsExtensible>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673271" w14:textId="77777777" w:rsidR="00174514" w:rsidRDefault="00174514">
      <w:pPr>
        <w:spacing w:after="0" w:line="240" w:lineRule="auto"/>
      </w:pPr>
      <w:r>
        <w:separator/>
      </w:r>
    </w:p>
  </w:endnote>
  <w:endnote w:type="continuationSeparator" w:id="0">
    <w:p w14:paraId="49EE8302" w14:textId="77777777" w:rsidR="00174514" w:rsidRDefault="001745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SimSun-ExtB">
    <w:panose1 w:val="02010609060101010101"/>
    <w:charset w:val="86"/>
    <w:family w:val="modern"/>
    <w:pitch w:val="fixed"/>
    <w:sig w:usb0="00000003" w:usb1="0A0E0000" w:usb2="00000010" w:usb3="00000000" w:csb0="00040001"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Roboto">
    <w:altName w:val="Arial"/>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8959E7" w14:textId="77777777" w:rsidR="003E564E" w:rsidRDefault="003E564E">
    <w:pPr>
      <w:spacing w:after="160" w:line="259" w:lineRule="auto"/>
      <w:ind w:left="0" w:right="0" w:firstLine="0"/>
      <w:jc w:val="left"/>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sz w:val="24"/>
      </w:rPr>
      <w:id w:val="1505163609"/>
      <w:docPartObj>
        <w:docPartGallery w:val="Page Numbers (Bottom of Page)"/>
        <w:docPartUnique/>
      </w:docPartObj>
    </w:sdtPr>
    <w:sdtEndPr/>
    <w:sdtContent>
      <w:p w14:paraId="47054FFC" w14:textId="1095A68C" w:rsidR="003E564E" w:rsidRPr="0049623D" w:rsidRDefault="003E564E">
        <w:pPr>
          <w:pStyle w:val="Footer"/>
          <w:jc w:val="right"/>
          <w:rPr>
            <w:rFonts w:ascii="Times New Roman" w:hAnsi="Times New Roman"/>
            <w:sz w:val="24"/>
          </w:rPr>
        </w:pPr>
        <w:r w:rsidRPr="0049623D">
          <w:rPr>
            <w:rFonts w:ascii="Times New Roman" w:hAnsi="Times New Roman"/>
            <w:sz w:val="24"/>
          </w:rPr>
          <w:fldChar w:fldCharType="begin"/>
        </w:r>
        <w:r w:rsidRPr="0049623D">
          <w:rPr>
            <w:rFonts w:ascii="Times New Roman" w:hAnsi="Times New Roman"/>
            <w:sz w:val="24"/>
          </w:rPr>
          <w:instrText>PAGE   \* MERGEFORMAT</w:instrText>
        </w:r>
        <w:r w:rsidRPr="0049623D">
          <w:rPr>
            <w:rFonts w:ascii="Times New Roman" w:hAnsi="Times New Roman"/>
            <w:sz w:val="24"/>
          </w:rPr>
          <w:fldChar w:fldCharType="separate"/>
        </w:r>
        <w:r w:rsidR="00757B52">
          <w:rPr>
            <w:rFonts w:ascii="Times New Roman" w:hAnsi="Times New Roman"/>
            <w:noProof/>
            <w:sz w:val="24"/>
          </w:rPr>
          <w:t>341</w:t>
        </w:r>
        <w:r w:rsidRPr="0049623D">
          <w:rPr>
            <w:rFonts w:ascii="Times New Roman" w:hAnsi="Times New Roman"/>
            <w:sz w:val="24"/>
          </w:rPr>
          <w:fldChar w:fldCharType="end"/>
        </w:r>
      </w:p>
    </w:sdtContent>
  </w:sdt>
  <w:p w14:paraId="31DA3F9A" w14:textId="77777777" w:rsidR="003E564E" w:rsidRPr="0049623D" w:rsidRDefault="003E564E">
    <w:pPr>
      <w:spacing w:after="160" w:line="259" w:lineRule="auto"/>
      <w:ind w:left="0" w:right="0" w:firstLine="0"/>
      <w:jc w:val="left"/>
      <w:rPr>
        <w:rFonts w:ascii="Times New Roman" w:hAnsi="Times New Roman" w:cs="Times New Roman"/>
        <w:sz w:val="24"/>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0B51DD" w14:textId="77777777" w:rsidR="003E564E" w:rsidRDefault="003E564E">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094072" w14:textId="77777777" w:rsidR="003E564E" w:rsidRDefault="003E564E">
    <w:pPr>
      <w:spacing w:after="160" w:line="259" w:lineRule="auto"/>
      <w:ind w:left="0" w:right="0" w:firstLine="0"/>
      <w:jc w:val="left"/>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7527F9" w14:textId="77777777" w:rsidR="003E564E" w:rsidRDefault="003E564E">
    <w:pPr>
      <w:spacing w:after="160" w:line="259" w:lineRule="auto"/>
      <w:ind w:left="0" w:right="0" w:firstLine="0"/>
      <w:jc w:val="left"/>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47F04C" w14:textId="77777777" w:rsidR="003E564E" w:rsidRDefault="003E564E">
    <w:pPr>
      <w:spacing w:after="160" w:line="259" w:lineRule="auto"/>
      <w:ind w:left="0" w:right="0" w:firstLine="0"/>
      <w:jc w:val="lef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5214FC" w14:textId="77777777" w:rsidR="00174514" w:rsidRDefault="00174514">
      <w:pPr>
        <w:spacing w:after="0" w:line="259" w:lineRule="auto"/>
        <w:ind w:left="0" w:right="0" w:firstLine="0"/>
        <w:jc w:val="left"/>
      </w:pPr>
      <w:r>
        <w:separator/>
      </w:r>
    </w:p>
  </w:footnote>
  <w:footnote w:type="continuationSeparator" w:id="0">
    <w:p w14:paraId="28727F98" w14:textId="77777777" w:rsidR="00174514" w:rsidRDefault="00174514">
      <w:pPr>
        <w:spacing w:after="0" w:line="259" w:lineRule="auto"/>
        <w:ind w:left="0" w:right="0" w:firstLine="0"/>
        <w:jc w:val="left"/>
      </w:pPr>
      <w:r>
        <w:continuationSeparator/>
      </w:r>
    </w:p>
  </w:footnote>
  <w:footnote w:id="1">
    <w:p w14:paraId="21FEA206" w14:textId="545D7C6E" w:rsidR="003E564E" w:rsidRPr="009D58B1" w:rsidRDefault="003E564E" w:rsidP="009D58B1">
      <w:pPr>
        <w:pStyle w:val="FootnoteText"/>
        <w:ind w:left="0" w:right="0" w:firstLine="0"/>
        <w:rPr>
          <w:rFonts w:ascii="Times New Roman" w:hAnsi="Times New Roman" w:cs="Times New Roman"/>
        </w:rPr>
      </w:pPr>
      <w:r w:rsidRPr="00810E88">
        <w:rPr>
          <w:rStyle w:val="FootnoteReference"/>
          <w:rFonts w:ascii="Times New Roman" w:hAnsi="Times New Roman" w:cs="Times New Roman"/>
        </w:rPr>
        <w:footnoteRef/>
      </w:r>
      <w:r w:rsidRPr="00810E88">
        <w:rPr>
          <w:rFonts w:ascii="Times New Roman" w:hAnsi="Times New Roman" w:cs="Times New Roman"/>
        </w:rPr>
        <w:t xml:space="preserve"> Potres iz 1502. najvjerojatnije se nikad nije ni dogodio te se pretpostavlja kako se u stvari radi o Idrijskom potresu iz 1511. godine. U: Cecić, Ina; Sović, Ivica; Živčić, Mladen</w:t>
      </w:r>
      <w:r>
        <w:rPr>
          <w:rFonts w:ascii="Times New Roman" w:hAnsi="Times New Roman" w:cs="Times New Roman"/>
        </w:rPr>
        <w:t xml:space="preserve"> </w:t>
      </w:r>
      <w:r w:rsidRPr="00810E88">
        <w:rPr>
          <w:rFonts w:ascii="Times New Roman" w:hAnsi="Times New Roman" w:cs="Times New Roman"/>
        </w:rPr>
        <w:t>The Zagreb 1502 earthquake - doubtful or even fake? // Annales Geophysicae / EGS (ur.).</w:t>
      </w:r>
      <w:r>
        <w:rPr>
          <w:rFonts w:ascii="Times New Roman" w:hAnsi="Times New Roman" w:cs="Times New Roman"/>
        </w:rPr>
        <w:t xml:space="preserve"> </w:t>
      </w:r>
      <w:r w:rsidRPr="00810E88">
        <w:rPr>
          <w:rFonts w:ascii="Times New Roman" w:hAnsi="Times New Roman" w:cs="Times New Roman"/>
        </w:rPr>
        <w:t>Aberystwyth: Cambrian Press, 1998.</w:t>
      </w:r>
    </w:p>
  </w:footnote>
  <w:footnote w:id="2">
    <w:p w14:paraId="218FD7F3" w14:textId="679C8074" w:rsidR="003E564E" w:rsidRPr="00E4405A" w:rsidRDefault="003E564E" w:rsidP="00763DB5">
      <w:pPr>
        <w:pStyle w:val="FootnoteText"/>
        <w:ind w:left="0" w:right="0" w:firstLine="0"/>
        <w:rPr>
          <w:rFonts w:ascii="Times New Roman" w:hAnsi="Times New Roman" w:cs="Times New Roman"/>
        </w:rPr>
      </w:pPr>
      <w:r w:rsidRPr="00E4405A">
        <w:rPr>
          <w:rStyle w:val="FootnoteReference"/>
          <w:rFonts w:ascii="Times New Roman" w:hAnsi="Times New Roman" w:cs="Times New Roman"/>
        </w:rPr>
        <w:footnoteRef/>
      </w:r>
      <w:r w:rsidRPr="00E4405A">
        <w:rPr>
          <w:rFonts w:ascii="Times New Roman" w:hAnsi="Times New Roman" w:cs="Times New Roman"/>
        </w:rPr>
        <w:t xml:space="preserve"> Izvor: https://www.koronavirus.hr/najnovije/35</w:t>
      </w:r>
    </w:p>
  </w:footnote>
  <w:footnote w:id="3">
    <w:p w14:paraId="15DA6BBF" w14:textId="6DF7C793" w:rsidR="003E564E" w:rsidRPr="00E4405A" w:rsidRDefault="003E564E" w:rsidP="00763DB5">
      <w:pPr>
        <w:pStyle w:val="FootnoteText"/>
        <w:ind w:left="0" w:right="0" w:firstLine="0"/>
        <w:jc w:val="left"/>
        <w:rPr>
          <w:rFonts w:ascii="Times New Roman" w:hAnsi="Times New Roman" w:cs="Times New Roman"/>
        </w:rPr>
      </w:pPr>
      <w:r w:rsidRPr="00E4405A">
        <w:rPr>
          <w:rStyle w:val="FootnoteReference"/>
          <w:rFonts w:ascii="Times New Roman" w:hAnsi="Times New Roman" w:cs="Times New Roman"/>
        </w:rPr>
        <w:footnoteRef/>
      </w:r>
      <w:r w:rsidRPr="00E4405A">
        <w:rPr>
          <w:rFonts w:ascii="Times New Roman" w:hAnsi="Times New Roman" w:cs="Times New Roman"/>
        </w:rPr>
        <w:t xml:space="preserve"> https://hzzo.hr/sites/default/files/inline-files/IZVJE%C5%A0%C4%86E%20O%20POSLOVANJU%20HZZO-a%20za%202021.pdf</w:t>
      </w:r>
    </w:p>
  </w:footnote>
  <w:footnote w:id="4">
    <w:p w14:paraId="5448ED78" w14:textId="5E76AC0B" w:rsidR="003E564E" w:rsidRDefault="003E564E" w:rsidP="00763DB5">
      <w:pPr>
        <w:pStyle w:val="FootnoteText"/>
        <w:ind w:left="0" w:right="0" w:firstLine="0"/>
      </w:pPr>
      <w:r w:rsidRPr="00E4405A">
        <w:rPr>
          <w:rStyle w:val="FootnoteReference"/>
          <w:rFonts w:ascii="Times New Roman" w:hAnsi="Times New Roman" w:cs="Times New Roman"/>
        </w:rPr>
        <w:footnoteRef/>
      </w:r>
      <w:r w:rsidRPr="00E4405A">
        <w:rPr>
          <w:rFonts w:ascii="Times New Roman" w:hAnsi="Times New Roman" w:cs="Times New Roman"/>
        </w:rPr>
        <w:t xml:space="preserve"> Izvor: https://www.jutarnji.hr/vijesti/hrvatska/doznali-smo-konacnu-cijenu-troskova-pandemije-ovo-je-cifra-koju-je-u-26-mjeseci-nagomilao-hzzo-15183372</w:t>
      </w:r>
    </w:p>
  </w:footnote>
  <w:footnote w:id="5">
    <w:p w14:paraId="758AF309" w14:textId="0826DE8C" w:rsidR="003E564E" w:rsidRPr="0016216A" w:rsidRDefault="003E564E" w:rsidP="00763DB5">
      <w:pPr>
        <w:pStyle w:val="FootnoteText"/>
        <w:ind w:left="0" w:right="0" w:firstLine="0"/>
        <w:rPr>
          <w:rFonts w:ascii="Times New Roman" w:hAnsi="Times New Roman" w:cs="Times New Roman"/>
        </w:rPr>
      </w:pPr>
      <w:r w:rsidRPr="0016216A">
        <w:rPr>
          <w:rStyle w:val="FootnoteReference"/>
          <w:rFonts w:ascii="Times New Roman" w:hAnsi="Times New Roman" w:cs="Times New Roman"/>
        </w:rPr>
        <w:footnoteRef/>
      </w:r>
      <w:r w:rsidRPr="0016216A">
        <w:rPr>
          <w:rFonts w:ascii="Times New Roman" w:hAnsi="Times New Roman" w:cs="Times New Roman"/>
        </w:rPr>
        <w:t xml:space="preserve"> Procjenu utrošenih resursa za provedenu djelomičnu informatizaciju procesa nadzora na oboljelima i bliskim kontaktima, te planiranja i praćenja provedbe cijepljenja nije bilo moguće ishodovati i prikazati na nacionalnoj ili na razini Grada Zagreba u ovom dokumentu.</w:t>
      </w:r>
    </w:p>
  </w:footnote>
  <w:footnote w:id="6">
    <w:p w14:paraId="7BE2D532" w14:textId="11C13646" w:rsidR="003E564E" w:rsidRPr="00A66FAA" w:rsidRDefault="003E564E" w:rsidP="00763DB5">
      <w:pPr>
        <w:pStyle w:val="footnotedescription"/>
        <w:spacing w:line="240" w:lineRule="auto"/>
        <w:jc w:val="both"/>
        <w:rPr>
          <w:rFonts w:ascii="Times New Roman" w:hAnsi="Times New Roman" w:cs="Times New Roman"/>
        </w:rPr>
      </w:pPr>
      <w:r w:rsidRPr="00A66FAA">
        <w:rPr>
          <w:rStyle w:val="footnotemark"/>
          <w:rFonts w:ascii="Times New Roman" w:hAnsi="Times New Roman" w:cs="Times New Roman"/>
        </w:rPr>
        <w:footnoteRef/>
      </w:r>
      <w:r w:rsidRPr="00A66FAA">
        <w:rPr>
          <w:rFonts w:ascii="Times New Roman" w:hAnsi="Times New Roman" w:cs="Times New Roman"/>
        </w:rPr>
        <w:t xml:space="preserve"> </w:t>
      </w:r>
      <w:r w:rsidRPr="00A66FAA">
        <w:rPr>
          <w:rFonts w:ascii="Times New Roman" w:hAnsi="Times New Roman" w:cs="Times New Roman"/>
          <w:b/>
        </w:rPr>
        <w:t>Domino-efekt</w:t>
      </w:r>
      <w:r w:rsidRPr="00A66FAA">
        <w:rPr>
          <w:rFonts w:ascii="Times New Roman" w:hAnsi="Times New Roman" w:cs="Times New Roman"/>
        </w:rPr>
        <w:t xml:space="preserve"> je niz povezanih učinaka koji zbog međusobnog razmještaja i blizine područja postrojenja,</w:t>
      </w:r>
      <w:r>
        <w:rPr>
          <w:rFonts w:ascii="Times New Roman" w:hAnsi="Times New Roman" w:cs="Times New Roman"/>
        </w:rPr>
        <w:t xml:space="preserve"> </w:t>
      </w:r>
      <w:r w:rsidRPr="00A66FAA">
        <w:rPr>
          <w:rFonts w:ascii="Times New Roman" w:hAnsi="Times New Roman" w:cs="Times New Roman"/>
        </w:rPr>
        <w:t>odnosno dijelova postrojenja ili grupe postrojenja i količina opasnih tvari prisutnih u tim područjima postrojenja povećavaju mogućnost izbijanja velike nesreće ili pogoršavaju posljedice nastale nesreće</w:t>
      </w:r>
    </w:p>
  </w:footnote>
  <w:footnote w:id="7">
    <w:p w14:paraId="68424E59" w14:textId="77777777" w:rsidR="003E564E" w:rsidRPr="00A66FAA" w:rsidRDefault="003E564E" w:rsidP="00474A0C">
      <w:pPr>
        <w:pStyle w:val="footnotedescription"/>
        <w:spacing w:line="240" w:lineRule="auto"/>
        <w:rPr>
          <w:rFonts w:ascii="Times New Roman" w:hAnsi="Times New Roman" w:cs="Times New Roman"/>
        </w:rPr>
      </w:pPr>
      <w:r w:rsidRPr="00A66FAA">
        <w:rPr>
          <w:rStyle w:val="footnotemark"/>
          <w:rFonts w:ascii="Times New Roman" w:hAnsi="Times New Roman" w:cs="Times New Roman"/>
        </w:rPr>
        <w:footnoteRef/>
      </w:r>
      <w:r w:rsidRPr="00A66FAA">
        <w:rPr>
          <w:rFonts w:ascii="Times New Roman" w:hAnsi="Times New Roman" w:cs="Times New Roman"/>
        </w:rPr>
        <w:t xml:space="preserve"> The Washington Post: Cellphone service falls short after earthquake https://www.washingtonpost.com/business/economy/cellphone-service-falls-short-afterearthquake/2011/08/23/gIQAnl52ZJ_story.html?noredirect=on&amp;utm_term=.31df9d4936b1</w:t>
      </w:r>
    </w:p>
  </w:footnote>
  <w:footnote w:id="8">
    <w:p w14:paraId="52C4A75D" w14:textId="77777777" w:rsidR="003E564E" w:rsidRPr="00A66FAA" w:rsidRDefault="003E564E" w:rsidP="00474A0C">
      <w:pPr>
        <w:pStyle w:val="footnotedescription"/>
        <w:spacing w:line="240" w:lineRule="auto"/>
        <w:rPr>
          <w:rFonts w:ascii="Times New Roman" w:hAnsi="Times New Roman" w:cs="Times New Roman"/>
        </w:rPr>
      </w:pPr>
      <w:r w:rsidRPr="00A66FAA">
        <w:rPr>
          <w:rStyle w:val="footnotemark"/>
          <w:rFonts w:ascii="Times New Roman" w:hAnsi="Times New Roman" w:cs="Times New Roman"/>
        </w:rPr>
        <w:footnoteRef/>
      </w:r>
      <w:r w:rsidRPr="00A66FAA">
        <w:rPr>
          <w:rFonts w:ascii="Times New Roman" w:hAnsi="Times New Roman" w:cs="Times New Roman"/>
        </w:rPr>
        <w:t xml:space="preserve"> Procjena rizika HEP Proizvodnje za pogon EL-TO Zagreb, studeni 2017.</w:t>
      </w:r>
    </w:p>
  </w:footnote>
  <w:footnote w:id="9">
    <w:p w14:paraId="5D557E5D" w14:textId="77777777" w:rsidR="003E564E" w:rsidRPr="00A66FAA" w:rsidRDefault="003E564E" w:rsidP="00ED42D0">
      <w:pPr>
        <w:pStyle w:val="footnotedescription"/>
        <w:spacing w:line="240" w:lineRule="auto"/>
        <w:jc w:val="both"/>
        <w:rPr>
          <w:rFonts w:ascii="Times New Roman" w:hAnsi="Times New Roman" w:cs="Times New Roman"/>
        </w:rPr>
      </w:pPr>
      <w:r w:rsidRPr="00A66FAA">
        <w:rPr>
          <w:rStyle w:val="footnotemark"/>
          <w:rFonts w:ascii="Times New Roman" w:hAnsi="Times New Roman" w:cs="Times New Roman"/>
        </w:rPr>
        <w:footnoteRef/>
      </w:r>
      <w:r w:rsidRPr="00A66FAA">
        <w:rPr>
          <w:rFonts w:ascii="Times New Roman" w:hAnsi="Times New Roman" w:cs="Times New Roman"/>
        </w:rPr>
        <w:t xml:space="preserve"> Iz "Studije za saniranje posljedica potresa" koju je izradio Građevinski fakultet Sveučilišta u Zagrebu</w:t>
      </w:r>
    </w:p>
  </w:footnote>
  <w:footnote w:id="10">
    <w:p w14:paraId="33DD9EFC" w14:textId="77777777" w:rsidR="003E564E" w:rsidRPr="00A66FAA" w:rsidRDefault="003E564E" w:rsidP="00ED42D0">
      <w:pPr>
        <w:pStyle w:val="footnotedescription"/>
        <w:spacing w:line="240" w:lineRule="auto"/>
        <w:rPr>
          <w:rFonts w:ascii="Times New Roman" w:hAnsi="Times New Roman" w:cs="Times New Roman"/>
        </w:rPr>
      </w:pPr>
      <w:r w:rsidRPr="00A66FAA">
        <w:rPr>
          <w:rStyle w:val="footnotemark"/>
          <w:rFonts w:ascii="Times New Roman" w:hAnsi="Times New Roman" w:cs="Times New Roman"/>
        </w:rPr>
        <w:footnoteRef/>
      </w:r>
      <w:r w:rsidRPr="00A66FAA">
        <w:rPr>
          <w:rFonts w:ascii="Times New Roman" w:hAnsi="Times New Roman" w:cs="Times New Roman"/>
        </w:rPr>
        <w:t xml:space="preserve"> Crnobrnja N. (2005) "Zagrebački savski mostovi," Građevinar, Vol. 57, No. 12, pp. 977-985</w:t>
      </w:r>
    </w:p>
  </w:footnote>
  <w:footnote w:id="11">
    <w:p w14:paraId="58290449" w14:textId="77777777" w:rsidR="003E564E" w:rsidRPr="00A66FAA" w:rsidRDefault="003E564E" w:rsidP="00ED42D0">
      <w:pPr>
        <w:pStyle w:val="footnotedescription"/>
        <w:spacing w:line="240" w:lineRule="auto"/>
        <w:rPr>
          <w:rFonts w:ascii="Times New Roman" w:hAnsi="Times New Roman" w:cs="Times New Roman"/>
        </w:rPr>
      </w:pPr>
      <w:r w:rsidRPr="00A66FAA">
        <w:rPr>
          <w:rStyle w:val="footnotemark"/>
          <w:rFonts w:ascii="Times New Roman" w:hAnsi="Times New Roman" w:cs="Times New Roman"/>
        </w:rPr>
        <w:footnoteRef/>
      </w:r>
      <w:r w:rsidRPr="00A66FAA">
        <w:rPr>
          <w:rFonts w:ascii="Times New Roman" w:hAnsi="Times New Roman" w:cs="Times New Roman"/>
        </w:rPr>
        <w:t xml:space="preserve"> Službeni </w:t>
      </w:r>
      <w:r>
        <w:rPr>
          <w:rFonts w:ascii="Times New Roman" w:hAnsi="Times New Roman" w:cs="Times New Roman"/>
        </w:rPr>
        <w:t>glasnik</w:t>
      </w:r>
      <w:r w:rsidRPr="00A66FAA">
        <w:rPr>
          <w:rFonts w:ascii="Times New Roman" w:hAnsi="Times New Roman" w:cs="Times New Roman"/>
        </w:rPr>
        <w:t xml:space="preserve"> Grada Zagreba 19/11 (2011</w:t>
      </w:r>
      <w:r>
        <w:rPr>
          <w:rFonts w:ascii="Times New Roman" w:hAnsi="Times New Roman" w:cs="Times New Roman"/>
        </w:rPr>
        <w:t>.</w:t>
      </w:r>
      <w:r w:rsidRPr="00A66FAA">
        <w:rPr>
          <w:rFonts w:ascii="Times New Roman" w:hAnsi="Times New Roman" w:cs="Times New Roman"/>
        </w:rPr>
        <w:t>) Plan zaštite i spašavanja za područje Grada Zagreba (http://www.zagreb.hr/)</w:t>
      </w:r>
    </w:p>
  </w:footnote>
  <w:footnote w:id="12">
    <w:p w14:paraId="38963D16" w14:textId="77777777" w:rsidR="003E564E" w:rsidRPr="002209EC" w:rsidRDefault="003E564E" w:rsidP="00ED42D0">
      <w:pPr>
        <w:pStyle w:val="FootnoteText"/>
        <w:ind w:left="0" w:right="0" w:firstLine="0"/>
        <w:rPr>
          <w:rFonts w:ascii="Times New Roman" w:hAnsi="Times New Roman" w:cs="Times New Roman"/>
        </w:rPr>
      </w:pPr>
      <w:r w:rsidRPr="002209EC">
        <w:rPr>
          <w:rStyle w:val="FootnoteReference"/>
          <w:rFonts w:ascii="Times New Roman" w:hAnsi="Times New Roman" w:cs="Times New Roman"/>
        </w:rPr>
        <w:footnoteRef/>
      </w:r>
      <w:r w:rsidRPr="002209EC">
        <w:rPr>
          <w:rFonts w:ascii="Times New Roman" w:hAnsi="Times New Roman" w:cs="Times New Roman"/>
        </w:rPr>
        <w:t xml:space="preserve"> Crnobrnja N. (2005) „Zagrebački savski mostovi,“ Građevinar, Vol. 57, No. 12, pp. 977-985.</w:t>
      </w:r>
    </w:p>
  </w:footnote>
  <w:footnote w:id="13">
    <w:p w14:paraId="76B2434A" w14:textId="77777777" w:rsidR="003E564E" w:rsidRPr="002209EC" w:rsidRDefault="003E564E" w:rsidP="00ED42D0">
      <w:pPr>
        <w:pStyle w:val="FootnoteText"/>
        <w:ind w:left="0" w:right="0" w:firstLine="0"/>
        <w:rPr>
          <w:rFonts w:ascii="Times New Roman" w:hAnsi="Times New Roman" w:cs="Times New Roman"/>
        </w:rPr>
      </w:pPr>
      <w:r w:rsidRPr="002209EC">
        <w:rPr>
          <w:rStyle w:val="FootnoteReference"/>
          <w:rFonts w:ascii="Times New Roman" w:hAnsi="Times New Roman" w:cs="Times New Roman"/>
        </w:rPr>
        <w:footnoteRef/>
      </w:r>
      <w:r w:rsidRPr="002209EC">
        <w:rPr>
          <w:rFonts w:ascii="Times New Roman" w:hAnsi="Times New Roman" w:cs="Times New Roman"/>
        </w:rPr>
        <w:t xml:space="preserve"> Atalić, J. i suradnici (2017) Studija za saniranje posljedica potresa, 1-5. Faza, Građevinski fakultet Sveučilišta u Zagrebu.</w:t>
      </w:r>
    </w:p>
  </w:footnote>
  <w:footnote w:id="14">
    <w:p w14:paraId="2FCC66F8" w14:textId="77777777" w:rsidR="003E564E" w:rsidRDefault="003E564E" w:rsidP="00ED42D0">
      <w:pPr>
        <w:pStyle w:val="FootnoteText"/>
        <w:ind w:left="0" w:right="0" w:firstLine="0"/>
      </w:pPr>
      <w:r w:rsidRPr="002209EC">
        <w:rPr>
          <w:rStyle w:val="FootnoteReference"/>
          <w:rFonts w:ascii="Times New Roman" w:hAnsi="Times New Roman" w:cs="Times New Roman"/>
        </w:rPr>
        <w:footnoteRef/>
      </w:r>
      <w:r w:rsidRPr="002209EC">
        <w:rPr>
          <w:rFonts w:ascii="Times New Roman" w:hAnsi="Times New Roman" w:cs="Times New Roman"/>
        </w:rPr>
        <w:t xml:space="preserve"> Atalić, J., Šavor Novak, M., Uroš, M. Hak, S. (2018) Problemi u procjeni seizmičkog rizika u Hrvatskoj, 7. Konferencija Hrvatske platforme za smanjenje rizika od katastrofa, Zagreb, Hrvatska</w:t>
      </w:r>
    </w:p>
  </w:footnote>
  <w:footnote w:id="15">
    <w:p w14:paraId="4F96FFF3" w14:textId="77777777" w:rsidR="003E564E" w:rsidRPr="00A66FAA" w:rsidRDefault="003E564E" w:rsidP="00ED42D0">
      <w:pPr>
        <w:pStyle w:val="footnotedescription"/>
        <w:spacing w:line="240" w:lineRule="auto"/>
        <w:jc w:val="both"/>
        <w:rPr>
          <w:rFonts w:ascii="Times New Roman" w:hAnsi="Times New Roman" w:cs="Times New Roman"/>
        </w:rPr>
      </w:pPr>
      <w:r w:rsidRPr="00A66FAA">
        <w:rPr>
          <w:rStyle w:val="footnotemark"/>
          <w:rFonts w:ascii="Times New Roman" w:hAnsi="Times New Roman" w:cs="Times New Roman"/>
        </w:rPr>
        <w:footnoteRef/>
      </w:r>
      <w:r w:rsidRPr="00A66FAA">
        <w:rPr>
          <w:rFonts w:ascii="Times New Roman" w:hAnsi="Times New Roman" w:cs="Times New Roman"/>
        </w:rPr>
        <w:t xml:space="preserve"> Procjena rizika od katastrofa za Republiku Hrvatsku</w:t>
      </w:r>
    </w:p>
  </w:footnote>
  <w:footnote w:id="16">
    <w:p w14:paraId="6EE5EE88" w14:textId="77777777" w:rsidR="003E564E" w:rsidRPr="00A66FAA" w:rsidRDefault="003E564E" w:rsidP="00ED42D0">
      <w:pPr>
        <w:pStyle w:val="footnotedescription"/>
        <w:spacing w:line="240" w:lineRule="auto"/>
        <w:jc w:val="both"/>
        <w:rPr>
          <w:rFonts w:ascii="Times New Roman" w:hAnsi="Times New Roman" w:cs="Times New Roman"/>
        </w:rPr>
      </w:pPr>
      <w:r w:rsidRPr="00A66FAA">
        <w:rPr>
          <w:rStyle w:val="footnotemark"/>
          <w:rFonts w:ascii="Times New Roman" w:hAnsi="Times New Roman" w:cs="Times New Roman"/>
        </w:rPr>
        <w:footnoteRef/>
      </w:r>
      <w:r w:rsidRPr="00A66FAA">
        <w:rPr>
          <w:rFonts w:ascii="Times New Roman" w:hAnsi="Times New Roman" w:cs="Times New Roman"/>
        </w:rPr>
        <w:t xml:space="preserve"> Bal I.E., Crowley H., Pinho R. (2010.) Displacement-Based Earthquake Loss Assessment: Method Development and Application to Turkish Building Stock, Research Report Rose 2010/02, IUSS Press, Pavia, Italy</w:t>
      </w:r>
    </w:p>
  </w:footnote>
  <w:footnote w:id="17">
    <w:p w14:paraId="05FCCEC5" w14:textId="77777777" w:rsidR="003E564E" w:rsidRDefault="003E564E" w:rsidP="00ED42D0">
      <w:pPr>
        <w:pStyle w:val="FootnoteText"/>
        <w:ind w:left="0" w:right="0" w:firstLine="0"/>
      </w:pPr>
      <w:r>
        <w:rPr>
          <w:rStyle w:val="FootnoteReference"/>
        </w:rPr>
        <w:footnoteRef/>
      </w:r>
      <w:r>
        <w:t xml:space="preserve"> </w:t>
      </w:r>
      <w:r w:rsidRPr="00A66FAA">
        <w:rPr>
          <w:rFonts w:ascii="Times New Roman" w:hAnsi="Times New Roman" w:cs="Times New Roman"/>
        </w:rPr>
        <w:t>Kuk V., Prelogović E., Sović I. Kuk K., Šariri K. (2000) "Seizmološke i seizmotektonske značajke šireg zagrebačkog područja," Građevinar, Vol. 52, No. 11, pp. 647-653</w:t>
      </w:r>
    </w:p>
  </w:footnote>
  <w:footnote w:id="18">
    <w:p w14:paraId="4E951CAE" w14:textId="77777777" w:rsidR="003E564E" w:rsidRPr="00A66FAA" w:rsidRDefault="003E564E" w:rsidP="00ED42D0">
      <w:pPr>
        <w:pStyle w:val="footnotedescription"/>
        <w:spacing w:line="240" w:lineRule="auto"/>
        <w:jc w:val="both"/>
        <w:rPr>
          <w:rFonts w:ascii="Times New Roman" w:hAnsi="Times New Roman" w:cs="Times New Roman"/>
        </w:rPr>
      </w:pPr>
      <w:r w:rsidRPr="00A66FAA">
        <w:rPr>
          <w:rStyle w:val="footnotemark"/>
          <w:rFonts w:ascii="Times New Roman" w:hAnsi="Times New Roman" w:cs="Times New Roman"/>
        </w:rPr>
        <w:footnoteRef/>
      </w:r>
      <w:r w:rsidRPr="00A66FAA">
        <w:rPr>
          <w:rFonts w:ascii="Times New Roman" w:hAnsi="Times New Roman" w:cs="Times New Roman"/>
        </w:rPr>
        <w:t xml:space="preserve"> HRN EN 1998-1:2011 (2011) Eurocode 8: Projektiranje potresne otpornosti konstrukcija - 1. dio: Opća pravila, potresna djelovanja i pravila za zgrade, Hrvatski zavod za norme, Zagreb</w:t>
      </w:r>
    </w:p>
  </w:footnote>
  <w:footnote w:id="19">
    <w:p w14:paraId="497A1321" w14:textId="77777777" w:rsidR="003E564E" w:rsidRPr="007C0F1D" w:rsidRDefault="003E564E" w:rsidP="00ED42D0">
      <w:pPr>
        <w:pStyle w:val="FootnoteText"/>
        <w:ind w:left="0" w:right="0" w:firstLine="0"/>
        <w:rPr>
          <w:rFonts w:ascii="Times New Roman" w:hAnsi="Times New Roman" w:cs="Times New Roman"/>
        </w:rPr>
      </w:pPr>
      <w:r w:rsidRPr="007C0F1D">
        <w:rPr>
          <w:rStyle w:val="FootnoteReference"/>
          <w:rFonts w:ascii="Times New Roman" w:hAnsi="Times New Roman" w:cs="Times New Roman"/>
        </w:rPr>
        <w:footnoteRef/>
      </w:r>
      <w:r w:rsidRPr="007C0F1D">
        <w:rPr>
          <w:rFonts w:ascii="Times New Roman" w:hAnsi="Times New Roman" w:cs="Times New Roman"/>
        </w:rPr>
        <w:t xml:space="preserve"> Atalić, J., Šavor Novak, M., Uroš, M. Hak, S. (2018) Problemi u procjeni seizmičkog rizika u Hrvatskoj, 7. Konferencija Hrvatske platforme za smanjenje rizika od katastrofa, Zagreb, Hrvatska</w:t>
      </w:r>
    </w:p>
  </w:footnote>
  <w:footnote w:id="20">
    <w:p w14:paraId="6B3CC39C" w14:textId="77777777" w:rsidR="003E564E" w:rsidRPr="00595FEB" w:rsidRDefault="003E564E" w:rsidP="00ED42D0">
      <w:pPr>
        <w:pStyle w:val="FootnoteText"/>
        <w:ind w:left="0" w:right="0" w:firstLine="0"/>
        <w:rPr>
          <w:rFonts w:ascii="Times New Roman" w:hAnsi="Times New Roman" w:cs="Times New Roman"/>
        </w:rPr>
      </w:pPr>
      <w:r w:rsidRPr="00595FEB">
        <w:rPr>
          <w:rStyle w:val="FootnoteReference"/>
          <w:rFonts w:ascii="Times New Roman" w:hAnsi="Times New Roman" w:cs="Times New Roman"/>
        </w:rPr>
        <w:footnoteRef/>
      </w:r>
      <w:r w:rsidRPr="00595FEB">
        <w:rPr>
          <w:rFonts w:ascii="Times New Roman" w:hAnsi="Times New Roman" w:cs="Times New Roman"/>
        </w:rPr>
        <w:t xml:space="preserve"> Atalić, J. i suradnici (2017</w:t>
      </w:r>
      <w:r>
        <w:rPr>
          <w:rFonts w:ascii="Times New Roman" w:hAnsi="Times New Roman" w:cs="Times New Roman"/>
        </w:rPr>
        <w:t>.-2021.</w:t>
      </w:r>
      <w:r w:rsidRPr="00595FEB">
        <w:rPr>
          <w:rFonts w:ascii="Times New Roman" w:hAnsi="Times New Roman" w:cs="Times New Roman"/>
        </w:rPr>
        <w:t>) Studija za saniranje posljedica potresa, 1-</w:t>
      </w:r>
      <w:r>
        <w:rPr>
          <w:rFonts w:ascii="Times New Roman" w:hAnsi="Times New Roman" w:cs="Times New Roman"/>
        </w:rPr>
        <w:t>9</w:t>
      </w:r>
      <w:r w:rsidRPr="00595FEB">
        <w:rPr>
          <w:rFonts w:ascii="Times New Roman" w:hAnsi="Times New Roman" w:cs="Times New Roman"/>
        </w:rPr>
        <w:t>. Faza, Građevinski fakultet Sveučilišta u Zagrebu.</w:t>
      </w:r>
    </w:p>
  </w:footnote>
  <w:footnote w:id="21">
    <w:p w14:paraId="152923B9" w14:textId="77777777" w:rsidR="003E564E" w:rsidRPr="006B6A09" w:rsidRDefault="003E564E" w:rsidP="00ED42D0">
      <w:pPr>
        <w:pStyle w:val="FootnoteText"/>
        <w:ind w:left="0" w:right="0" w:firstLine="0"/>
        <w:rPr>
          <w:rFonts w:ascii="Times New Roman" w:hAnsi="Times New Roman" w:cs="Times New Roman"/>
        </w:rPr>
      </w:pPr>
      <w:r w:rsidRPr="006B6A09">
        <w:rPr>
          <w:rStyle w:val="FootnoteReference"/>
          <w:rFonts w:ascii="Times New Roman" w:hAnsi="Times New Roman" w:cs="Times New Roman"/>
        </w:rPr>
        <w:footnoteRef/>
      </w:r>
      <w:r w:rsidRPr="006B6A09">
        <w:rPr>
          <w:rFonts w:ascii="Times New Roman" w:hAnsi="Times New Roman" w:cs="Times New Roman"/>
        </w:rPr>
        <w:t xml:space="preserve"> Šavor Novak M., Atalić J., Domagoj Damjanović D., Uroš M. i ostali (2018): Studija za saniranje posljedica potresa u Gradu Zagrebu, 7. Konferencija Hrvatske platforme za smanjenje rizika od katastrofa, Zagreb, Hrvatska</w:t>
      </w:r>
    </w:p>
  </w:footnote>
  <w:footnote w:id="22">
    <w:p w14:paraId="664C20FC" w14:textId="77777777" w:rsidR="003E564E" w:rsidRPr="006B6A09" w:rsidRDefault="003E564E" w:rsidP="00ED42D0">
      <w:pPr>
        <w:pStyle w:val="FootnoteText"/>
        <w:ind w:left="0" w:right="0" w:firstLine="0"/>
        <w:rPr>
          <w:rFonts w:ascii="Times New Roman" w:hAnsi="Times New Roman" w:cs="Times New Roman"/>
        </w:rPr>
      </w:pPr>
      <w:r w:rsidRPr="006B6A09">
        <w:rPr>
          <w:rStyle w:val="FootnoteReference"/>
          <w:rFonts w:ascii="Times New Roman" w:hAnsi="Times New Roman" w:cs="Times New Roman"/>
        </w:rPr>
        <w:footnoteRef/>
      </w:r>
      <w:r w:rsidRPr="006B6A09">
        <w:rPr>
          <w:rFonts w:ascii="Times New Roman" w:hAnsi="Times New Roman" w:cs="Times New Roman"/>
        </w:rPr>
        <w:t xml:space="preserve"> HRN EN 1998-1:2011 (2011) Eurocode 8: Projektiranje potresne otpornosti konstrukcija - 1. dio: Opća pravila, potresna djelovanja i pravila za zgrade, Hrvatski zavod za norme, Zagreb i</w:t>
      </w:r>
    </w:p>
    <w:p w14:paraId="119A46E8" w14:textId="77777777" w:rsidR="003E564E" w:rsidRDefault="003E564E" w:rsidP="00ED42D0">
      <w:pPr>
        <w:pStyle w:val="FootnoteText"/>
        <w:ind w:left="0" w:right="0" w:firstLine="0"/>
      </w:pPr>
      <w:r w:rsidRPr="006B6A09">
        <w:rPr>
          <w:rFonts w:ascii="Times New Roman" w:hAnsi="Times New Roman" w:cs="Times New Roman"/>
        </w:rPr>
        <w:t>HRN EN 1998-1:2011/NA:2011 (2011) Eurokod 8: Projektiranje potresne otpornosti konstrukcija - 1. dio: Opća pravila, potresna djelovanja i pravila za zgrade – Nacionalni dodatak, Hrvatski zavod za norme, Zagreb.</w:t>
      </w:r>
    </w:p>
  </w:footnote>
  <w:footnote w:id="23">
    <w:p w14:paraId="669EE036" w14:textId="77777777" w:rsidR="003E564E" w:rsidRPr="006B6A09" w:rsidRDefault="003E564E" w:rsidP="00ED42D0">
      <w:pPr>
        <w:pStyle w:val="FootnoteText"/>
        <w:ind w:left="0" w:right="0" w:firstLine="0"/>
        <w:rPr>
          <w:rFonts w:ascii="Times New Roman" w:hAnsi="Times New Roman" w:cs="Times New Roman"/>
        </w:rPr>
      </w:pPr>
      <w:r w:rsidRPr="006B6A09">
        <w:rPr>
          <w:rStyle w:val="FootnoteReference"/>
          <w:rFonts w:ascii="Times New Roman" w:hAnsi="Times New Roman" w:cs="Times New Roman"/>
        </w:rPr>
        <w:footnoteRef/>
      </w:r>
      <w:r w:rsidRPr="006B6A09">
        <w:rPr>
          <w:rFonts w:ascii="Times New Roman" w:hAnsi="Times New Roman" w:cs="Times New Roman"/>
        </w:rPr>
        <w:t xml:space="preserve"> Atalić, J., Šavor Novak, M., Uroš, M., Hak, S., Damjanović, D., Sigmund, Z.(2018) Measures for the earthquake risk reduction in the city of Zagreb, Croatia, 16th European Conference on Earthquake Engineering, Thessaloniki, Greece.</w:t>
      </w:r>
    </w:p>
  </w:footnote>
  <w:footnote w:id="24">
    <w:p w14:paraId="780C5EB7" w14:textId="77777777" w:rsidR="003E564E" w:rsidRPr="006B6A09" w:rsidRDefault="003E564E" w:rsidP="00ED42D0">
      <w:pPr>
        <w:pStyle w:val="FootnoteText"/>
        <w:ind w:left="0" w:right="0" w:firstLine="0"/>
        <w:rPr>
          <w:rFonts w:ascii="Times New Roman" w:hAnsi="Times New Roman" w:cs="Times New Roman"/>
        </w:rPr>
      </w:pPr>
      <w:r w:rsidRPr="006B6A09">
        <w:rPr>
          <w:rStyle w:val="FootnoteReference"/>
          <w:rFonts w:ascii="Times New Roman" w:hAnsi="Times New Roman" w:cs="Times New Roman"/>
        </w:rPr>
        <w:footnoteRef/>
      </w:r>
      <w:r w:rsidRPr="006B6A09">
        <w:rPr>
          <w:rFonts w:ascii="Times New Roman" w:hAnsi="Times New Roman" w:cs="Times New Roman"/>
        </w:rPr>
        <w:t>Šavor Novak M., Atalić J., Domagoj Damjanović D., Uroš M. i ostali (2018): Studija za saniranje posljedica potresa u Gradu Zagrebu, 7. Konferencija Hrvatske platforme za smanjenje rizika od katastrofa, Zagreb, Hrvatska</w:t>
      </w:r>
    </w:p>
  </w:footnote>
  <w:footnote w:id="25">
    <w:p w14:paraId="0D9A904A" w14:textId="77777777" w:rsidR="003E564E" w:rsidRPr="00E91855" w:rsidRDefault="003E564E" w:rsidP="00ED42D0">
      <w:pPr>
        <w:pStyle w:val="footnotedescription"/>
        <w:spacing w:line="240" w:lineRule="auto"/>
        <w:jc w:val="both"/>
        <w:rPr>
          <w:rFonts w:ascii="Times New Roman" w:hAnsi="Times New Roman" w:cs="Times New Roman"/>
        </w:rPr>
      </w:pPr>
      <w:r w:rsidRPr="00E91855">
        <w:rPr>
          <w:rStyle w:val="footnotemark"/>
          <w:rFonts w:ascii="Times New Roman" w:hAnsi="Times New Roman" w:cs="Times New Roman"/>
        </w:rPr>
        <w:footnoteRef/>
      </w:r>
      <w:r w:rsidRPr="00E91855">
        <w:rPr>
          <w:rFonts w:ascii="Times New Roman" w:hAnsi="Times New Roman" w:cs="Times New Roman"/>
        </w:rPr>
        <w:t xml:space="preserve"> Telekomunikacije, električna energija i promet su redovito u prekidu nakon razornih potresa.</w:t>
      </w:r>
    </w:p>
  </w:footnote>
  <w:footnote w:id="26">
    <w:p w14:paraId="7D9E1975" w14:textId="77777777" w:rsidR="003E564E" w:rsidRPr="00E91855" w:rsidRDefault="003E564E" w:rsidP="00ED42D0">
      <w:pPr>
        <w:pStyle w:val="footnotedescription"/>
        <w:spacing w:line="240" w:lineRule="auto"/>
        <w:jc w:val="both"/>
        <w:rPr>
          <w:rFonts w:ascii="Times New Roman" w:hAnsi="Times New Roman" w:cs="Times New Roman"/>
        </w:rPr>
      </w:pPr>
      <w:r w:rsidRPr="00E91855">
        <w:rPr>
          <w:rStyle w:val="footnotemark"/>
          <w:rFonts w:ascii="Times New Roman" w:hAnsi="Times New Roman" w:cs="Times New Roman"/>
        </w:rPr>
        <w:footnoteRef/>
      </w:r>
      <w:r w:rsidRPr="00E91855">
        <w:rPr>
          <w:rFonts w:ascii="Times New Roman" w:hAnsi="Times New Roman" w:cs="Times New Roman"/>
        </w:rPr>
        <w:t xml:space="preserve"> Potres magnitude 7,9 prema Richterovoj ljestvici koji se 2007. dogodio u Peruu prouzročio je eksplozije plina u brojnim zgradama zbog čega je došlo do požara na mnogim lokacijama.</w:t>
      </w:r>
    </w:p>
  </w:footnote>
  <w:footnote w:id="27">
    <w:p w14:paraId="35438EA6" w14:textId="77777777" w:rsidR="003E564E" w:rsidRPr="00E91855" w:rsidRDefault="003E564E" w:rsidP="00ED42D0">
      <w:pPr>
        <w:pStyle w:val="footnotedescription"/>
        <w:spacing w:line="240" w:lineRule="auto"/>
        <w:jc w:val="both"/>
        <w:rPr>
          <w:rFonts w:ascii="Times New Roman" w:hAnsi="Times New Roman" w:cs="Times New Roman"/>
        </w:rPr>
      </w:pPr>
      <w:r w:rsidRPr="00E91855">
        <w:rPr>
          <w:rStyle w:val="footnotemark"/>
          <w:rFonts w:ascii="Times New Roman" w:hAnsi="Times New Roman" w:cs="Times New Roman"/>
        </w:rPr>
        <w:footnoteRef/>
      </w:r>
      <w:r w:rsidRPr="00E91855">
        <w:rPr>
          <w:rFonts w:ascii="Times New Roman" w:hAnsi="Times New Roman" w:cs="Times New Roman"/>
        </w:rPr>
        <w:t xml:space="preserve"> Izgrađena 1808. - po dostupnim podatcima nije ojačavana, nedavno je obnovljena soba za sastanke.</w:t>
      </w:r>
    </w:p>
  </w:footnote>
  <w:footnote w:id="28">
    <w:p w14:paraId="7BC43491" w14:textId="77777777" w:rsidR="003E564E" w:rsidRPr="00E91855" w:rsidRDefault="003E564E" w:rsidP="00ED42D0">
      <w:pPr>
        <w:pStyle w:val="footnotedescription"/>
        <w:spacing w:line="240" w:lineRule="auto"/>
        <w:jc w:val="both"/>
        <w:rPr>
          <w:rFonts w:ascii="Times New Roman" w:hAnsi="Times New Roman" w:cs="Times New Roman"/>
        </w:rPr>
      </w:pPr>
      <w:r w:rsidRPr="00E91855">
        <w:rPr>
          <w:rStyle w:val="footnotemark"/>
          <w:rFonts w:ascii="Times New Roman" w:hAnsi="Times New Roman" w:cs="Times New Roman"/>
        </w:rPr>
        <w:footnoteRef/>
      </w:r>
      <w:r w:rsidRPr="00E91855">
        <w:rPr>
          <w:rFonts w:ascii="Times New Roman" w:hAnsi="Times New Roman" w:cs="Times New Roman"/>
        </w:rPr>
        <w:t xml:space="preserve"> Izgrađena 1911., nije potresno ojačavana.</w:t>
      </w:r>
    </w:p>
  </w:footnote>
  <w:footnote w:id="29">
    <w:p w14:paraId="31219CB5" w14:textId="77777777" w:rsidR="003E564E" w:rsidRPr="00E91855" w:rsidRDefault="003E564E" w:rsidP="00ED42D0">
      <w:pPr>
        <w:pStyle w:val="footnotedescription"/>
        <w:spacing w:line="240" w:lineRule="auto"/>
        <w:jc w:val="both"/>
        <w:rPr>
          <w:rFonts w:ascii="Times New Roman" w:hAnsi="Times New Roman" w:cs="Times New Roman"/>
          <w:i/>
        </w:rPr>
      </w:pPr>
      <w:r w:rsidRPr="00E91855">
        <w:rPr>
          <w:rStyle w:val="footnotemark"/>
          <w:rFonts w:ascii="Times New Roman" w:hAnsi="Times New Roman" w:cs="Times New Roman"/>
        </w:rPr>
        <w:footnoteRef/>
      </w:r>
      <w:r w:rsidRPr="00E91855">
        <w:rPr>
          <w:rFonts w:ascii="Times New Roman" w:hAnsi="Times New Roman" w:cs="Times New Roman"/>
        </w:rPr>
        <w:t xml:space="preserve"> Više puta sanirana klizišta iznad zone prometnica koja se zbog jakog potresa vrlo lako mogu opet aktivirati.</w:t>
      </w:r>
    </w:p>
  </w:footnote>
  <w:footnote w:id="30">
    <w:p w14:paraId="7185934F" w14:textId="77777777" w:rsidR="003E564E" w:rsidRPr="00E91855" w:rsidRDefault="003E564E" w:rsidP="00ED42D0">
      <w:pPr>
        <w:pStyle w:val="FootnoteText"/>
        <w:ind w:left="0" w:right="0" w:firstLine="0"/>
        <w:rPr>
          <w:rFonts w:ascii="Times New Roman" w:hAnsi="Times New Roman" w:cs="Times New Roman"/>
        </w:rPr>
      </w:pPr>
      <w:r w:rsidRPr="00E91855">
        <w:rPr>
          <w:rStyle w:val="FootnoteReference"/>
          <w:rFonts w:ascii="Times New Roman" w:hAnsi="Times New Roman" w:cs="Times New Roman"/>
        </w:rPr>
        <w:footnoteRef/>
      </w:r>
      <w:r w:rsidRPr="00E91855">
        <w:rPr>
          <w:rFonts w:ascii="Times New Roman" w:hAnsi="Times New Roman" w:cs="Times New Roman"/>
        </w:rPr>
        <w:t xml:space="preserve"> Utvrđeno je da, izuzev novih mostova za suprotni smjer Mosta Zaprešić, Jankomirskog mosta i Domovinskog mosta, zagrebački savski mostovi nisu projektirani na danas propisano seizmičko</w:t>
      </w:r>
      <w:r w:rsidRPr="00A66FAA">
        <w:rPr>
          <w:rFonts w:ascii="Times New Roman" w:hAnsi="Times New Roman" w:cs="Times New Roman"/>
        </w:rPr>
        <w:t xml:space="preserve"> </w:t>
      </w:r>
      <w:r w:rsidRPr="00E91855">
        <w:rPr>
          <w:rFonts w:ascii="Times New Roman" w:hAnsi="Times New Roman" w:cs="Times New Roman"/>
        </w:rPr>
        <w:t>opterećenje. Stoga bi u slučaju potresa kakav se predviđa na području Grada Zagreba moglo doći do značajnih oštećenja ili čak rušenja nekih od njih. - Iz "Studije za saniranje posljedica potresa" koju je izradio Građevinski fakultet Sveučilišta u Zagrebu</w:t>
      </w:r>
    </w:p>
  </w:footnote>
  <w:footnote w:id="31">
    <w:p w14:paraId="2C712973" w14:textId="77777777" w:rsidR="003E564E" w:rsidRPr="00E91855" w:rsidRDefault="003E564E" w:rsidP="00ED42D0">
      <w:pPr>
        <w:pStyle w:val="FootnoteText"/>
        <w:ind w:left="0" w:right="0" w:firstLine="0"/>
        <w:rPr>
          <w:rFonts w:ascii="Times New Roman" w:hAnsi="Times New Roman" w:cs="Times New Roman"/>
        </w:rPr>
      </w:pPr>
      <w:r w:rsidRPr="00E91855">
        <w:rPr>
          <w:rStyle w:val="FootnoteReference"/>
          <w:rFonts w:ascii="Times New Roman" w:hAnsi="Times New Roman" w:cs="Times New Roman"/>
        </w:rPr>
        <w:footnoteRef/>
      </w:r>
      <w:r w:rsidRPr="00E91855">
        <w:rPr>
          <w:rFonts w:ascii="Times New Roman" w:hAnsi="Times New Roman" w:cs="Times New Roman"/>
        </w:rPr>
        <w:t xml:space="preserve"> Zagrebačke bolnice su građene uglavnom u doba Austro-Ugarske monarhije. Zadnja bolnica izgrađena prije KB Dubrava je bolnica Rebro koja je izgrađena tijekom Drugog svjetskog rata. Niti jedan od navedenih objekata nije potresno ojačavan </w:t>
      </w:r>
      <w:r w:rsidRPr="00E91855">
        <w:rPr>
          <w:rFonts w:ascii="Times New Roman" w:hAnsi="Times New Roman" w:cs="Times New Roman"/>
          <w:i/>
        </w:rPr>
        <w:t>Izvor: https://povijest.hr/zagreb/gdje-su-bile-prve-zagrebacke-bolnice/</w:t>
      </w:r>
    </w:p>
  </w:footnote>
  <w:footnote w:id="32">
    <w:p w14:paraId="0C4FDC0D" w14:textId="77777777" w:rsidR="003E564E" w:rsidRPr="00A90C4A" w:rsidRDefault="003E564E" w:rsidP="00ED42D0">
      <w:pPr>
        <w:pStyle w:val="FootnoteText"/>
        <w:ind w:left="0" w:right="0" w:firstLine="0"/>
        <w:rPr>
          <w:rFonts w:ascii="Times New Roman" w:hAnsi="Times New Roman" w:cs="Times New Roman"/>
        </w:rPr>
      </w:pPr>
      <w:r w:rsidRPr="00E91855">
        <w:rPr>
          <w:rStyle w:val="FootnoteReference"/>
          <w:rFonts w:ascii="Times New Roman" w:hAnsi="Times New Roman" w:cs="Times New Roman"/>
        </w:rPr>
        <w:footnoteRef/>
      </w:r>
      <w:r w:rsidRPr="00E91855">
        <w:rPr>
          <w:rFonts w:ascii="Times New Roman" w:hAnsi="Times New Roman" w:cs="Times New Roman"/>
        </w:rPr>
        <w:t xml:space="preserve"> Aničić, Dražen (1992) Prognoza štete na stambenom fondu i broja žrtava mogućeg budućeg potresa u Zagrebu, Civilna zaštita Zagreb, pp. 135-143.</w:t>
      </w:r>
    </w:p>
  </w:footnote>
  <w:footnote w:id="33">
    <w:p w14:paraId="6EB985D5" w14:textId="77777777" w:rsidR="003E564E" w:rsidRPr="00740C69" w:rsidRDefault="003E564E" w:rsidP="00ED42D0">
      <w:pPr>
        <w:pStyle w:val="FootnoteText"/>
        <w:ind w:left="0" w:right="0" w:firstLine="0"/>
        <w:rPr>
          <w:rFonts w:ascii="Times New Roman" w:hAnsi="Times New Roman" w:cs="Times New Roman"/>
        </w:rPr>
      </w:pPr>
      <w:r w:rsidRPr="00740C69">
        <w:rPr>
          <w:rStyle w:val="FootnoteReference"/>
          <w:rFonts w:ascii="Times New Roman" w:hAnsi="Times New Roman" w:cs="Times New Roman"/>
        </w:rPr>
        <w:footnoteRef/>
      </w:r>
      <w:r w:rsidRPr="00740C69">
        <w:rPr>
          <w:rFonts w:ascii="Times New Roman" w:hAnsi="Times New Roman" w:cs="Times New Roman"/>
        </w:rPr>
        <w:t>Aničić, Dražen (1992) Prognoza štete na stambenom fondu i broja žrtava mogućeg budućeg potresa u Zagrebu, Civilna zaštita Zagreb, pp. 135-143</w:t>
      </w:r>
    </w:p>
  </w:footnote>
  <w:footnote w:id="34">
    <w:p w14:paraId="5E503589" w14:textId="77777777" w:rsidR="003E564E" w:rsidRPr="002120E2" w:rsidRDefault="003E564E" w:rsidP="00B230EE">
      <w:pPr>
        <w:pStyle w:val="FootnoteText"/>
        <w:ind w:left="0" w:right="0" w:firstLine="0"/>
        <w:rPr>
          <w:rFonts w:ascii="Times New Roman" w:hAnsi="Times New Roman" w:cs="Times New Roman"/>
        </w:rPr>
      </w:pPr>
      <w:r w:rsidRPr="002120E2">
        <w:rPr>
          <w:rStyle w:val="FootnoteReference"/>
          <w:rFonts w:ascii="Times New Roman" w:hAnsi="Times New Roman" w:cs="Times New Roman"/>
        </w:rPr>
        <w:footnoteRef/>
      </w:r>
      <w:r w:rsidRPr="002120E2">
        <w:rPr>
          <w:rFonts w:ascii="Times New Roman" w:hAnsi="Times New Roman" w:cs="Times New Roman"/>
        </w:rPr>
        <w:t xml:space="preserve"> Aničić, D. i suradnici (2014) „Potresni rizik grada Zagreba - Infrastruktura, stanovništvo, građevine i kulturna dobra,“ Prijedlog projekta - verzija 3.0, Akademija tehničkih znanosti Hrvatske, Građevinski fakultet sveučilišta u Zagrebu, Ured za upravljanje u hitnim situacijama Grada Zagreba.</w:t>
      </w:r>
    </w:p>
  </w:footnote>
  <w:footnote w:id="35">
    <w:p w14:paraId="4622BE08" w14:textId="77777777" w:rsidR="003E564E" w:rsidRPr="00CD4BD2" w:rsidRDefault="003E564E" w:rsidP="00B230EE">
      <w:pPr>
        <w:pStyle w:val="FootnoteText"/>
        <w:ind w:left="0" w:right="0" w:firstLine="0"/>
        <w:rPr>
          <w:rFonts w:ascii="Times New Roman" w:hAnsi="Times New Roman" w:cs="Times New Roman"/>
        </w:rPr>
      </w:pPr>
      <w:r w:rsidRPr="00CD4BD2">
        <w:rPr>
          <w:rStyle w:val="FootnoteReference"/>
          <w:rFonts w:ascii="Times New Roman" w:hAnsi="Times New Roman" w:cs="Times New Roman"/>
        </w:rPr>
        <w:footnoteRef/>
      </w:r>
      <w:r w:rsidRPr="00CD4BD2">
        <w:rPr>
          <w:rFonts w:ascii="Times New Roman" w:hAnsi="Times New Roman" w:cs="Times New Roman"/>
        </w:rPr>
        <w:t>Projekt Potresni rizik grada Zagreba kao dio projekta Multisenzorsko zračno snimanje Republike Hrvatske za potrebe procjene smanjenja rizika od katastrofa je počeo krajem 2021. godine</w:t>
      </w:r>
    </w:p>
  </w:footnote>
  <w:footnote w:id="36">
    <w:p w14:paraId="3DE11D03" w14:textId="77777777" w:rsidR="003E564E" w:rsidRPr="003934CF" w:rsidRDefault="003E564E" w:rsidP="00FF1E38">
      <w:pPr>
        <w:pStyle w:val="FootnoteText"/>
        <w:rPr>
          <w:rFonts w:ascii="Times New Roman" w:hAnsi="Times New Roman" w:cs="Times New Roman"/>
        </w:rPr>
      </w:pPr>
      <w:r w:rsidRPr="003934CF">
        <w:rPr>
          <w:rStyle w:val="FootnoteReference"/>
          <w:rFonts w:ascii="Times New Roman" w:hAnsi="Times New Roman" w:cs="Times New Roman"/>
        </w:rPr>
        <w:footnoteRef/>
      </w:r>
      <w:r w:rsidRPr="003934CF">
        <w:rPr>
          <w:rFonts w:ascii="Times New Roman" w:hAnsi="Times New Roman" w:cs="Times New Roman"/>
        </w:rPr>
        <w:t xml:space="preserve"> Procjena rizika od katastrofa za Republiku Hrvatsku (2019.)</w:t>
      </w:r>
    </w:p>
  </w:footnote>
  <w:footnote w:id="37">
    <w:p w14:paraId="0022C958" w14:textId="77777777" w:rsidR="003E564E" w:rsidRPr="001F2A13" w:rsidRDefault="003E564E" w:rsidP="00B230EE">
      <w:pPr>
        <w:pStyle w:val="FootnoteText"/>
        <w:ind w:left="0" w:right="0" w:firstLine="0"/>
        <w:rPr>
          <w:rFonts w:ascii="Times New Roman" w:hAnsi="Times New Roman" w:cs="Times New Roman"/>
        </w:rPr>
      </w:pPr>
      <w:r w:rsidRPr="001F2A13">
        <w:rPr>
          <w:rStyle w:val="FootnoteReference"/>
          <w:rFonts w:ascii="Times New Roman" w:hAnsi="Times New Roman" w:cs="Times New Roman"/>
        </w:rPr>
        <w:footnoteRef/>
      </w:r>
      <w:r w:rsidRPr="001F2A13">
        <w:rPr>
          <w:rFonts w:ascii="Times New Roman" w:hAnsi="Times New Roman" w:cs="Times New Roman"/>
        </w:rPr>
        <w:t xml:space="preserve"> Earthquake Risk in Multifamily Residential Buildings Europe and Central Asia Region. Dostupno na: https://openknowledge.worldbank.org/handle/10986/34439</w:t>
      </w:r>
    </w:p>
  </w:footnote>
  <w:footnote w:id="38">
    <w:p w14:paraId="5192F2DC" w14:textId="77777777" w:rsidR="003E564E" w:rsidRDefault="003E564E" w:rsidP="00FF1E38">
      <w:pPr>
        <w:pStyle w:val="FootnoteText"/>
      </w:pPr>
      <w:r w:rsidRPr="001F2A13">
        <w:rPr>
          <w:rStyle w:val="FootnoteReference"/>
          <w:rFonts w:ascii="Times New Roman" w:hAnsi="Times New Roman" w:cs="Times New Roman"/>
        </w:rPr>
        <w:footnoteRef/>
      </w:r>
      <w:r w:rsidRPr="001F2A13">
        <w:rPr>
          <w:rFonts w:ascii="Times New Roman" w:hAnsi="Times New Roman" w:cs="Times New Roman"/>
        </w:rPr>
        <w:t xml:space="preserve"> Prema scenariju potres će se dogoditi u 02:00 ujutro tijekom vikenda.</w:t>
      </w:r>
    </w:p>
  </w:footnote>
  <w:footnote w:id="39">
    <w:p w14:paraId="0D7BBD1D" w14:textId="77777777" w:rsidR="003E564E" w:rsidRPr="00695C81" w:rsidRDefault="003E564E" w:rsidP="00B72BD0">
      <w:pPr>
        <w:pStyle w:val="FootnoteText"/>
        <w:ind w:left="0" w:right="0" w:firstLine="0"/>
        <w:rPr>
          <w:rFonts w:ascii="Times New Roman" w:hAnsi="Times New Roman" w:cs="Times New Roman"/>
        </w:rPr>
      </w:pPr>
      <w:r w:rsidRPr="00695C81">
        <w:rPr>
          <w:rStyle w:val="FootnoteReference"/>
          <w:rFonts w:ascii="Times New Roman" w:hAnsi="Times New Roman" w:cs="Times New Roman"/>
        </w:rPr>
        <w:footnoteRef/>
      </w:r>
      <w:r w:rsidRPr="00695C81">
        <w:rPr>
          <w:rFonts w:ascii="Times New Roman" w:hAnsi="Times New Roman" w:cs="Times New Roman"/>
        </w:rPr>
        <w:t xml:space="preserve"> Izvanredni profesor Josip Atalić s Građevinskog fakulteta Sveučilišta u Zagrebu sa suradnicima sudjeluje na znanstvenom projektu „Potresni rizik Grada Zagreba“ kojem je cilj definirati potresni hazard za Grad Zagreb, izraditi metodologiju za procjenu potresnog rizika za Grad Zagreb a koja je primjenjiva na sve velike gradove u Hrvatskoj, izraditi bazu podataka o građevinama i stanovništvu te izraditi procjenu potresnog rizika za Grad Zagreb. S obzirom na to da rezultati projekta sufinanciranog sredstvima Europske unije iz Europskog fonda za regionalni razvoj na dan 22.08.2022. još uvijek nisu dostupni budući da projekt još traje, a da se Procjena rizika od velikih nesreća sukladno Zakonu o sustavu civilne zaštite usvaja svake tri godine, u ovom dokumentu će biti preuzet koncept procjene rizika na razinama gradskih četvrti iz 2019. godine, a dokument će biti nadopunjen znanstveno utemeljenijom procjenom čim budu dostupni rezultati projekta „Potresni rizik Grada Zagreba“.</w:t>
      </w:r>
    </w:p>
  </w:footnote>
  <w:footnote w:id="40">
    <w:p w14:paraId="5F12C592" w14:textId="77777777" w:rsidR="003E564E" w:rsidRPr="00695C81" w:rsidRDefault="003E564E" w:rsidP="00B72BD0">
      <w:pPr>
        <w:pStyle w:val="FootnoteText"/>
        <w:ind w:left="0" w:right="0" w:firstLine="0"/>
        <w:rPr>
          <w:rFonts w:ascii="Times New Roman" w:hAnsi="Times New Roman" w:cs="Times New Roman"/>
        </w:rPr>
      </w:pPr>
      <w:r w:rsidRPr="00695C81">
        <w:rPr>
          <w:rStyle w:val="FootnoteReference"/>
          <w:rFonts w:ascii="Times New Roman" w:hAnsi="Times New Roman" w:cs="Times New Roman"/>
        </w:rPr>
        <w:footnoteRef/>
      </w:r>
      <w:r w:rsidRPr="00695C81">
        <w:rPr>
          <w:rFonts w:ascii="Times New Roman" w:hAnsi="Times New Roman" w:cs="Times New Roman"/>
        </w:rPr>
        <w:t xml:space="preserve"> Atalić, J. i suradnici (2019): Rizik od potresa za Hrvatsku: pregled istraživanja i postojećih procjena sa smjernicama za budućnost, Građevinar 10/2019</w:t>
      </w:r>
    </w:p>
  </w:footnote>
  <w:footnote w:id="41">
    <w:p w14:paraId="6E32492E" w14:textId="77777777" w:rsidR="003E564E" w:rsidRPr="00695C81" w:rsidRDefault="003E564E" w:rsidP="00FF1E38">
      <w:pPr>
        <w:pStyle w:val="FootnoteText"/>
        <w:rPr>
          <w:rFonts w:ascii="Times New Roman" w:hAnsi="Times New Roman" w:cs="Times New Roman"/>
        </w:rPr>
      </w:pPr>
      <w:r w:rsidRPr="00695C81">
        <w:rPr>
          <w:rStyle w:val="FootnoteReference"/>
          <w:rFonts w:ascii="Times New Roman" w:hAnsi="Times New Roman" w:cs="Times New Roman"/>
        </w:rPr>
        <w:footnoteRef/>
      </w:r>
      <w:r w:rsidRPr="00695C81">
        <w:rPr>
          <w:rFonts w:ascii="Times New Roman" w:hAnsi="Times New Roman" w:cs="Times New Roman"/>
        </w:rPr>
        <w:t xml:space="preserve"> Procjena rizika od katastrofa za RH</w:t>
      </w:r>
    </w:p>
  </w:footnote>
  <w:footnote w:id="42">
    <w:p w14:paraId="1A2E4D12" w14:textId="77777777" w:rsidR="003E564E" w:rsidRPr="00695C81" w:rsidRDefault="003E564E" w:rsidP="00FF1E38">
      <w:pPr>
        <w:pStyle w:val="FootnoteText"/>
        <w:rPr>
          <w:rFonts w:ascii="Times New Roman" w:hAnsi="Times New Roman" w:cs="Times New Roman"/>
        </w:rPr>
      </w:pPr>
      <w:r w:rsidRPr="00695C81">
        <w:rPr>
          <w:rStyle w:val="FootnoteReference"/>
          <w:rFonts w:ascii="Times New Roman" w:hAnsi="Times New Roman" w:cs="Times New Roman"/>
        </w:rPr>
        <w:footnoteRef/>
      </w:r>
      <w:r w:rsidRPr="00695C81">
        <w:rPr>
          <w:rFonts w:ascii="Times New Roman" w:hAnsi="Times New Roman" w:cs="Times New Roman"/>
        </w:rPr>
        <w:t xml:space="preserve"> Procjena rizika od katastrofa za RH</w:t>
      </w:r>
    </w:p>
  </w:footnote>
  <w:footnote w:id="43">
    <w:p w14:paraId="7D4F599E" w14:textId="77777777" w:rsidR="003E564E" w:rsidRDefault="003E564E" w:rsidP="00FF1E38">
      <w:pPr>
        <w:pStyle w:val="FootnoteText"/>
        <w:ind w:left="0" w:right="0" w:firstLine="0"/>
      </w:pPr>
      <w:r w:rsidRPr="00695C81">
        <w:rPr>
          <w:rStyle w:val="FootnoteReference"/>
          <w:rFonts w:ascii="Times New Roman" w:hAnsi="Times New Roman" w:cs="Times New Roman"/>
        </w:rPr>
        <w:footnoteRef/>
      </w:r>
      <w:r w:rsidRPr="00695C81">
        <w:rPr>
          <w:rFonts w:ascii="Times New Roman" w:hAnsi="Times New Roman" w:cs="Times New Roman"/>
        </w:rPr>
        <w:t xml:space="preserve"> Koeficijent starosti je postotni udio osoba starih 60 i više godina u ukupnom stanovništvu. Osnovni je pokazatelj razine starenja, a kad prijeđe vrijednost 12%, smatra se da je stanovništvo određenog područja zašlo u proces starenja. Izvor podataka: Statistički atlas gradskih četvrti Grada Zagreba</w:t>
      </w:r>
    </w:p>
  </w:footnote>
  <w:footnote w:id="44">
    <w:p w14:paraId="35684515" w14:textId="77777777" w:rsidR="003E564E" w:rsidRPr="00A66FAA" w:rsidRDefault="003E564E" w:rsidP="00FF1E38">
      <w:pPr>
        <w:pStyle w:val="footnotedescription"/>
        <w:spacing w:line="240" w:lineRule="auto"/>
        <w:ind w:left="210" w:right="425" w:hanging="210"/>
        <w:rPr>
          <w:rFonts w:ascii="Times New Roman" w:hAnsi="Times New Roman" w:cs="Times New Roman"/>
        </w:rPr>
      </w:pPr>
      <w:r w:rsidRPr="00A66FAA">
        <w:rPr>
          <w:rStyle w:val="footnotemark"/>
          <w:rFonts w:ascii="Times New Roman" w:hAnsi="Times New Roman" w:cs="Times New Roman"/>
        </w:rPr>
        <w:footnoteRef/>
      </w:r>
      <w:r w:rsidRPr="00A66FAA">
        <w:rPr>
          <w:rFonts w:ascii="Times New Roman" w:hAnsi="Times New Roman" w:cs="Times New Roman"/>
        </w:rPr>
        <w:t xml:space="preserve"> Listopad je mjesec s prosječno najviše maglovitih dana.</w:t>
      </w:r>
    </w:p>
  </w:footnote>
  <w:footnote w:id="45">
    <w:p w14:paraId="3A5EB894" w14:textId="77777777" w:rsidR="003E564E" w:rsidRPr="00A66FAA" w:rsidRDefault="003E564E" w:rsidP="00130CB5">
      <w:pPr>
        <w:pStyle w:val="footnotedescription"/>
        <w:spacing w:line="240" w:lineRule="auto"/>
        <w:ind w:left="210" w:right="425" w:hanging="210"/>
        <w:jc w:val="both"/>
        <w:rPr>
          <w:rFonts w:ascii="Times New Roman" w:hAnsi="Times New Roman" w:cs="Times New Roman"/>
        </w:rPr>
      </w:pPr>
      <w:r w:rsidRPr="00A66FAA">
        <w:rPr>
          <w:rStyle w:val="footnotemark"/>
          <w:rFonts w:ascii="Times New Roman" w:hAnsi="Times New Roman"/>
        </w:rPr>
        <w:footnoteRef/>
      </w:r>
      <w:r w:rsidRPr="00A66FAA">
        <w:rPr>
          <w:rFonts w:ascii="Times New Roman" w:hAnsi="Times New Roman" w:cs="Times New Roman"/>
        </w:rPr>
        <w:t xml:space="preserve"> Izvješće o sigurnosti za područje postrojenja INA</w:t>
      </w:r>
      <w:r>
        <w:rPr>
          <w:rFonts w:ascii="Times New Roman" w:hAnsi="Times New Roman" w:cs="Times New Roman"/>
        </w:rPr>
        <w:t xml:space="preserve"> </w:t>
      </w:r>
      <w:r w:rsidRPr="00A66FAA">
        <w:rPr>
          <w:rFonts w:ascii="Times New Roman" w:hAnsi="Times New Roman" w:cs="Times New Roman"/>
        </w:rPr>
        <w:t>-</w:t>
      </w:r>
      <w:r>
        <w:rPr>
          <w:rFonts w:ascii="Times New Roman" w:hAnsi="Times New Roman" w:cs="Times New Roman"/>
        </w:rPr>
        <w:t xml:space="preserve"> </w:t>
      </w:r>
      <w:r w:rsidRPr="00A66FAA">
        <w:rPr>
          <w:rFonts w:ascii="Times New Roman" w:hAnsi="Times New Roman" w:cs="Times New Roman"/>
        </w:rPr>
        <w:t>INDUSTRIJA NAFTE d. d. Logistika, Logistički terminali Regija Zagreb objekt UNP 1 Zagreb Radnička 216</w:t>
      </w:r>
    </w:p>
  </w:footnote>
  <w:footnote w:id="46">
    <w:p w14:paraId="5EDBD7A9" w14:textId="77777777" w:rsidR="003E564E" w:rsidRPr="00A66FAA" w:rsidRDefault="003E564E" w:rsidP="00130CB5">
      <w:pPr>
        <w:pStyle w:val="footnotedescription"/>
        <w:spacing w:line="240" w:lineRule="auto"/>
        <w:ind w:left="210" w:right="425" w:hanging="210"/>
        <w:jc w:val="both"/>
        <w:rPr>
          <w:rFonts w:ascii="Times New Roman" w:hAnsi="Times New Roman" w:cs="Times New Roman"/>
        </w:rPr>
      </w:pPr>
      <w:r w:rsidRPr="00A66FAA">
        <w:rPr>
          <w:rStyle w:val="footnotemark"/>
          <w:rFonts w:ascii="Times New Roman" w:hAnsi="Times New Roman"/>
        </w:rPr>
        <w:footnoteRef/>
      </w:r>
      <w:r w:rsidRPr="00A66FAA">
        <w:rPr>
          <w:rFonts w:ascii="Times New Roman" w:hAnsi="Times New Roman" w:cs="Times New Roman"/>
        </w:rPr>
        <w:t xml:space="preserve"> Domino</w:t>
      </w:r>
      <w:r>
        <w:rPr>
          <w:rFonts w:ascii="Times New Roman" w:hAnsi="Times New Roman" w:cs="Times New Roman"/>
        </w:rPr>
        <w:t>-</w:t>
      </w:r>
      <w:r w:rsidRPr="00A66FAA">
        <w:rPr>
          <w:rFonts w:ascii="Times New Roman" w:hAnsi="Times New Roman" w:cs="Times New Roman"/>
        </w:rPr>
        <w:t xml:space="preserve">efekt definiran </w:t>
      </w:r>
      <w:r>
        <w:rPr>
          <w:rFonts w:ascii="Times New Roman" w:hAnsi="Times New Roman" w:cs="Times New Roman"/>
        </w:rPr>
        <w:t xml:space="preserve">je </w:t>
      </w:r>
      <w:r w:rsidRPr="00A66FAA">
        <w:rPr>
          <w:rFonts w:ascii="Times New Roman" w:hAnsi="Times New Roman" w:cs="Times New Roman"/>
        </w:rPr>
        <w:t>kao djelovanje neke početne nesreće koja može prouzročiti drugu nesreću na susjednom postrojenju što bi pogoršalo posljedice početne nezgode. Domino</w:t>
      </w:r>
      <w:r>
        <w:rPr>
          <w:rFonts w:ascii="Times New Roman" w:hAnsi="Times New Roman" w:cs="Times New Roman"/>
        </w:rPr>
        <w:t>-</w:t>
      </w:r>
      <w:r w:rsidRPr="00A66FAA">
        <w:rPr>
          <w:rFonts w:ascii="Times New Roman" w:hAnsi="Times New Roman" w:cs="Times New Roman"/>
        </w:rPr>
        <w:t xml:space="preserve">efekt </w:t>
      </w:r>
      <w:r>
        <w:rPr>
          <w:rFonts w:ascii="Times New Roman" w:hAnsi="Times New Roman" w:cs="Times New Roman"/>
        </w:rPr>
        <w:t xml:space="preserve">je </w:t>
      </w:r>
      <w:r w:rsidRPr="00A66FAA">
        <w:rPr>
          <w:rFonts w:ascii="Times New Roman" w:hAnsi="Times New Roman" w:cs="Times New Roman"/>
        </w:rPr>
        <w:t>interakcija:</w:t>
      </w:r>
    </w:p>
    <w:p w14:paraId="32ED5CB1" w14:textId="77777777" w:rsidR="003E564E" w:rsidRPr="00A66FAA" w:rsidRDefault="003E564E" w:rsidP="00130CB5">
      <w:pPr>
        <w:pStyle w:val="footnotedescription"/>
        <w:spacing w:line="240" w:lineRule="auto"/>
        <w:ind w:left="210" w:right="425" w:hanging="210"/>
        <w:jc w:val="both"/>
        <w:rPr>
          <w:rFonts w:ascii="Times New Roman" w:hAnsi="Times New Roman" w:cs="Times New Roman"/>
        </w:rPr>
      </w:pPr>
      <w:r w:rsidRPr="00A66FAA">
        <w:rPr>
          <w:rFonts w:ascii="Times New Roman" w:hAnsi="Times New Roman" w:cs="Times New Roman"/>
        </w:rPr>
        <w:t>- između objekata na istoj lokaciji ili između objekata susjednih lokacija. Analiza domino</w:t>
      </w:r>
      <w:r>
        <w:rPr>
          <w:rFonts w:ascii="Times New Roman" w:hAnsi="Times New Roman" w:cs="Times New Roman"/>
        </w:rPr>
        <w:t>-</w:t>
      </w:r>
      <w:r w:rsidRPr="00A66FAA">
        <w:rPr>
          <w:rFonts w:ascii="Times New Roman" w:hAnsi="Times New Roman" w:cs="Times New Roman"/>
        </w:rPr>
        <w:t>efekta je analiza učinka koj</w:t>
      </w:r>
      <w:r>
        <w:rPr>
          <w:rFonts w:ascii="Times New Roman" w:hAnsi="Times New Roman" w:cs="Times New Roman"/>
        </w:rPr>
        <w:t>i</w:t>
      </w:r>
      <w:r w:rsidRPr="00A66FAA">
        <w:rPr>
          <w:rFonts w:ascii="Times New Roman" w:hAnsi="Times New Roman" w:cs="Times New Roman"/>
        </w:rPr>
        <w:t xml:space="preserve"> proizvodi jedan objekt na neki drugi: jedan se objekt smatra "inicijatorom" rizika dok se drugi objekt smatra "primateljem" rizika.</w:t>
      </w:r>
    </w:p>
  </w:footnote>
  <w:footnote w:id="47">
    <w:p w14:paraId="5709B429" w14:textId="77777777" w:rsidR="003E564E" w:rsidRPr="00A66FAA" w:rsidRDefault="003E564E" w:rsidP="00130CB5">
      <w:pPr>
        <w:pStyle w:val="footnotedescription"/>
        <w:spacing w:line="240" w:lineRule="auto"/>
        <w:ind w:left="210" w:right="425" w:hanging="210"/>
        <w:jc w:val="both"/>
        <w:rPr>
          <w:rFonts w:ascii="Times New Roman" w:hAnsi="Times New Roman" w:cs="Times New Roman"/>
        </w:rPr>
      </w:pPr>
      <w:r w:rsidRPr="00A66FAA">
        <w:rPr>
          <w:rStyle w:val="footnotemark"/>
          <w:rFonts w:ascii="Times New Roman" w:hAnsi="Times New Roman"/>
        </w:rPr>
        <w:footnoteRef/>
      </w:r>
      <w:r w:rsidRPr="00A66FAA">
        <w:rPr>
          <w:rFonts w:ascii="Times New Roman" w:hAnsi="Times New Roman" w:cs="Times New Roman"/>
        </w:rPr>
        <w:t xml:space="preserve"> Izvješće o sigurnosti za područje postrojenja TE-TO Zagreb</w:t>
      </w:r>
    </w:p>
  </w:footnote>
  <w:footnote w:id="48">
    <w:p w14:paraId="2A517C23" w14:textId="77777777" w:rsidR="003E564E" w:rsidRPr="00A66FAA" w:rsidRDefault="003E564E" w:rsidP="00FF1E38">
      <w:pPr>
        <w:pStyle w:val="footnotedescription"/>
        <w:spacing w:line="240" w:lineRule="auto"/>
        <w:ind w:left="210" w:right="425" w:hanging="210"/>
        <w:rPr>
          <w:rFonts w:ascii="Times New Roman" w:hAnsi="Times New Roman" w:cs="Times New Roman"/>
        </w:rPr>
      </w:pPr>
      <w:r w:rsidRPr="00A66FAA">
        <w:rPr>
          <w:rStyle w:val="footnotemark"/>
          <w:rFonts w:ascii="Times New Roman" w:hAnsi="Times New Roman"/>
        </w:rPr>
        <w:footnoteRef/>
      </w:r>
      <w:r w:rsidRPr="00A66FAA">
        <w:rPr>
          <w:rFonts w:ascii="Times New Roman" w:hAnsi="Times New Roman" w:cs="Times New Roman"/>
        </w:rPr>
        <w:t xml:space="preserve"> Vanjski plan zaštite i spašavanja stanovništva, materijalnih i kulturnih dobara i okoliša, str. 48</w:t>
      </w:r>
    </w:p>
  </w:footnote>
  <w:footnote w:id="49">
    <w:p w14:paraId="578388A0" w14:textId="77777777" w:rsidR="003E564E" w:rsidRPr="00A66FAA" w:rsidRDefault="003E564E" w:rsidP="00FF1E38">
      <w:pPr>
        <w:pStyle w:val="footnotedescription"/>
        <w:spacing w:line="240" w:lineRule="auto"/>
        <w:ind w:left="210" w:right="425" w:hanging="210"/>
        <w:jc w:val="both"/>
        <w:rPr>
          <w:rFonts w:ascii="Times New Roman" w:hAnsi="Times New Roman" w:cs="Times New Roman"/>
        </w:rPr>
      </w:pPr>
      <w:r w:rsidRPr="00A66FAA">
        <w:rPr>
          <w:rStyle w:val="footnotemark"/>
          <w:rFonts w:ascii="Times New Roman" w:hAnsi="Times New Roman" w:cs="Times New Roman"/>
        </w:rPr>
        <w:footnoteRef/>
      </w:r>
      <w:r w:rsidRPr="00A66FAA">
        <w:rPr>
          <w:rFonts w:ascii="Times New Roman" w:hAnsi="Times New Roman" w:cs="Times New Roman"/>
        </w:rPr>
        <w:t xml:space="preserve"> </w:t>
      </w:r>
      <w:r w:rsidRPr="00C734B2">
        <w:rPr>
          <w:rFonts w:ascii="Times New Roman" w:hAnsi="Times New Roman" w:cs="Times New Roman"/>
        </w:rPr>
        <w:t>Hutton, G. (2012). Global Costs and Benefits of Drinking-Water Supply and Sanitation</w:t>
      </w:r>
      <w:r>
        <w:rPr>
          <w:rFonts w:ascii="Times New Roman" w:hAnsi="Times New Roman" w:cs="Times New Roman"/>
        </w:rPr>
        <w:t xml:space="preserve"> </w:t>
      </w:r>
      <w:r w:rsidRPr="00C734B2">
        <w:rPr>
          <w:rFonts w:ascii="Times New Roman" w:hAnsi="Times New Roman" w:cs="Times New Roman"/>
        </w:rPr>
        <w:t>Interventions to</w:t>
      </w:r>
      <w:r>
        <w:rPr>
          <w:rFonts w:ascii="Times New Roman" w:hAnsi="Times New Roman" w:cs="Times New Roman"/>
        </w:rPr>
        <w:t xml:space="preserve"> </w:t>
      </w:r>
      <w:r w:rsidRPr="00C734B2">
        <w:rPr>
          <w:rFonts w:ascii="Times New Roman" w:hAnsi="Times New Roman" w:cs="Times New Roman"/>
        </w:rPr>
        <w:t>Reach the MDG Target and Universal Coverage. Report No.</w:t>
      </w:r>
      <w:r>
        <w:rPr>
          <w:rFonts w:ascii="Times New Roman" w:hAnsi="Times New Roman" w:cs="Times New Roman"/>
        </w:rPr>
        <w:t xml:space="preserve"> </w:t>
      </w:r>
      <w:r w:rsidRPr="00C734B2">
        <w:rPr>
          <w:rFonts w:ascii="Times New Roman" w:hAnsi="Times New Roman" w:cs="Times New Roman"/>
        </w:rPr>
        <w:t>WHO/HSE/WSH/12.01, World Health</w:t>
      </w:r>
      <w:r>
        <w:rPr>
          <w:rFonts w:ascii="Times New Roman" w:hAnsi="Times New Roman" w:cs="Times New Roman"/>
        </w:rPr>
        <w:t xml:space="preserve"> </w:t>
      </w:r>
      <w:r w:rsidRPr="00C734B2">
        <w:rPr>
          <w:rFonts w:ascii="Times New Roman" w:hAnsi="Times New Roman" w:cs="Times New Roman"/>
        </w:rPr>
        <w:t>Organization, Geneva.</w:t>
      </w:r>
      <w:r w:rsidRPr="00C734B2" w:rsidDel="00C734B2">
        <w:rPr>
          <w:rFonts w:ascii="Times New Roman" w:hAnsi="Times New Roman" w:cs="Times New Roman"/>
        </w:rPr>
        <w:t xml:space="preserve"> </w:t>
      </w:r>
    </w:p>
  </w:footnote>
  <w:footnote w:id="50">
    <w:p w14:paraId="6C1D4A20" w14:textId="77777777" w:rsidR="003E564E" w:rsidRPr="00D65D0F" w:rsidRDefault="003E564E" w:rsidP="00FF1E38">
      <w:pPr>
        <w:pStyle w:val="FootnoteText"/>
        <w:rPr>
          <w:rFonts w:ascii="Times New Roman" w:hAnsi="Times New Roman" w:cs="Times New Roman"/>
        </w:rPr>
      </w:pPr>
      <w:r w:rsidRPr="00D65D0F">
        <w:rPr>
          <w:rStyle w:val="FootnoteReference"/>
          <w:rFonts w:ascii="Times New Roman" w:hAnsi="Times New Roman" w:cs="Times New Roman"/>
        </w:rPr>
        <w:footnoteRef/>
      </w:r>
      <w:r w:rsidRPr="00D65D0F">
        <w:rPr>
          <w:rFonts w:ascii="Times New Roman" w:hAnsi="Times New Roman" w:cs="Times New Roman"/>
        </w:rPr>
        <w:t xml:space="preserve"> M.Smid, S.Russo, A.C.Costa, C.Granell, E.Pebesma: Ranking European capitals by exposure to heat waves and cold waves, Urban Climate Volume 27, March 2019, Pages 388-402</w:t>
      </w:r>
    </w:p>
  </w:footnote>
  <w:footnote w:id="51">
    <w:p w14:paraId="3AB18BF6" w14:textId="77777777" w:rsidR="003E564E" w:rsidRPr="00A66FAA" w:rsidRDefault="003E564E" w:rsidP="00FF1E38">
      <w:pPr>
        <w:pStyle w:val="footnotedescription"/>
        <w:spacing w:line="240" w:lineRule="auto"/>
        <w:ind w:left="210" w:right="425" w:hanging="210"/>
        <w:rPr>
          <w:rFonts w:ascii="Times New Roman" w:hAnsi="Times New Roman" w:cs="Times New Roman"/>
        </w:rPr>
      </w:pPr>
      <w:r w:rsidRPr="00A66FAA">
        <w:rPr>
          <w:rStyle w:val="footnotemark"/>
          <w:rFonts w:ascii="Times New Roman" w:hAnsi="Times New Roman" w:cs="Times New Roman"/>
        </w:rPr>
        <w:footnoteRef/>
      </w:r>
      <w:r w:rsidRPr="00A66FAA">
        <w:rPr>
          <w:rFonts w:ascii="Times New Roman" w:hAnsi="Times New Roman" w:cs="Times New Roman"/>
        </w:rPr>
        <w:t xml:space="preserve"> Indeks vlažne globus temperature</w:t>
      </w:r>
    </w:p>
  </w:footnote>
  <w:footnote w:id="52">
    <w:p w14:paraId="48532A38" w14:textId="77777777" w:rsidR="003E564E" w:rsidRPr="00A66FAA" w:rsidRDefault="003E564E" w:rsidP="00F02B3A">
      <w:pPr>
        <w:pStyle w:val="footnotedescription"/>
        <w:spacing w:line="240" w:lineRule="auto"/>
        <w:jc w:val="both"/>
        <w:rPr>
          <w:rFonts w:ascii="Times New Roman" w:hAnsi="Times New Roman" w:cs="Times New Roman"/>
        </w:rPr>
      </w:pPr>
      <w:r w:rsidRPr="00A66FAA">
        <w:rPr>
          <w:rStyle w:val="footnotemark"/>
          <w:rFonts w:ascii="Times New Roman" w:hAnsi="Times New Roman" w:cs="Times New Roman"/>
        </w:rPr>
        <w:footnoteRef/>
      </w:r>
      <w:r w:rsidRPr="00A66FAA">
        <w:rPr>
          <w:rFonts w:ascii="Times New Roman" w:hAnsi="Times New Roman" w:cs="Times New Roman"/>
        </w:rPr>
        <w:t xml:space="preserve"> Apel iz HEP-a: Smanjite potrošnju struje, ozbiljno nam prijete redukcije https://www.sibenik.in/?novosti=sibenik&amp;title=apel-iz-hep-a-smanjite-potrosnju-struje-ozbiljno-nam-prijeteredukcije&amp;id=44704&amp;fb_comment_id=843835629019611_843901119013062</w:t>
      </w:r>
    </w:p>
  </w:footnote>
  <w:footnote w:id="53">
    <w:p w14:paraId="3987759E" w14:textId="77777777" w:rsidR="003E564E" w:rsidRPr="00A66FAA" w:rsidRDefault="003E564E" w:rsidP="00F02B3A">
      <w:pPr>
        <w:pStyle w:val="footnotedescription"/>
        <w:spacing w:line="240" w:lineRule="auto"/>
        <w:jc w:val="both"/>
        <w:rPr>
          <w:rFonts w:ascii="Times New Roman" w:hAnsi="Times New Roman" w:cs="Times New Roman"/>
        </w:rPr>
      </w:pPr>
      <w:r w:rsidRPr="00A66FAA">
        <w:rPr>
          <w:rStyle w:val="footnotemark"/>
          <w:rFonts w:ascii="Times New Roman" w:hAnsi="Times New Roman" w:cs="Times New Roman"/>
        </w:rPr>
        <w:footnoteRef/>
      </w:r>
      <w:r w:rsidRPr="00A66FAA">
        <w:rPr>
          <w:rFonts w:ascii="Times New Roman" w:hAnsi="Times New Roman" w:cs="Times New Roman"/>
        </w:rPr>
        <w:t xml:space="preserve"> Ako potraje suša, uvest će se redukcije struje https://www.index.hr/vijesti/clanak/ako-potraje-susa-uvest-cese-redukcije-struje/154617.aspx</w:t>
      </w:r>
    </w:p>
  </w:footnote>
  <w:footnote w:id="54">
    <w:p w14:paraId="1CB80EFC" w14:textId="77777777" w:rsidR="003E564E" w:rsidRPr="00ED2153" w:rsidRDefault="003E564E" w:rsidP="00F02B3A">
      <w:pPr>
        <w:pStyle w:val="FootnoteText"/>
        <w:ind w:left="0" w:right="0" w:firstLine="0"/>
        <w:rPr>
          <w:rFonts w:ascii="Times New Roman" w:hAnsi="Times New Roman" w:cs="Times New Roman"/>
        </w:rPr>
      </w:pPr>
      <w:r w:rsidRPr="00ED2153">
        <w:rPr>
          <w:rStyle w:val="FootnoteReference"/>
          <w:rFonts w:ascii="Times New Roman" w:hAnsi="Times New Roman" w:cs="Times New Roman"/>
        </w:rPr>
        <w:footnoteRef/>
      </w:r>
      <w:r w:rsidRPr="00ED2153">
        <w:rPr>
          <w:rFonts w:ascii="Times New Roman" w:hAnsi="Times New Roman" w:cs="Times New Roman"/>
        </w:rPr>
        <w:t xml:space="preserve"> Sarah Lindley et al. Climate change, justice and vulnerability Joseph Rowntree Foundation (JRF), 2011).</w:t>
      </w:r>
    </w:p>
  </w:footnote>
  <w:footnote w:id="55">
    <w:p w14:paraId="5C239231" w14:textId="77777777" w:rsidR="003E564E" w:rsidRPr="00C15D55" w:rsidRDefault="003E564E" w:rsidP="003A70B6">
      <w:pPr>
        <w:pStyle w:val="FootnoteText"/>
        <w:ind w:left="0" w:right="0" w:firstLine="0"/>
        <w:rPr>
          <w:rFonts w:ascii="Times New Roman" w:hAnsi="Times New Roman" w:cs="Times New Roman"/>
        </w:rPr>
      </w:pPr>
      <w:r w:rsidRPr="00C15D55">
        <w:rPr>
          <w:rStyle w:val="FootnoteReference"/>
          <w:rFonts w:ascii="Times New Roman" w:hAnsi="Times New Roman" w:cs="Times New Roman"/>
        </w:rPr>
        <w:footnoteRef/>
      </w:r>
      <w:r w:rsidRPr="00C15D55">
        <w:rPr>
          <w:rFonts w:ascii="Times New Roman" w:eastAsia="Calibri" w:hAnsi="Times New Roman" w:cs="Times New Roman"/>
        </w:rPr>
        <w:t xml:space="preserve"> Gerontološko-javnozdravstveni pokazatelji zaštite zdravlja starijih osoba u Hrvatskoj i Gradu Zagrebu (2014. - 2016./popisna 2011.)</w:t>
      </w:r>
    </w:p>
  </w:footnote>
  <w:footnote w:id="56">
    <w:p w14:paraId="78E59985" w14:textId="77777777" w:rsidR="003E564E" w:rsidRPr="00F16CD1" w:rsidRDefault="003E564E" w:rsidP="00FF1E38">
      <w:pPr>
        <w:pStyle w:val="FootnoteText"/>
        <w:rPr>
          <w:rFonts w:ascii="Times New Roman" w:hAnsi="Times New Roman" w:cs="Times New Roman"/>
        </w:rPr>
      </w:pPr>
      <w:r w:rsidRPr="00F16CD1">
        <w:rPr>
          <w:rStyle w:val="FootnoteReference"/>
          <w:rFonts w:ascii="Times New Roman" w:hAnsi="Times New Roman" w:cs="Times New Roman"/>
        </w:rPr>
        <w:footnoteRef/>
      </w:r>
      <w:r w:rsidRPr="00F16CD1">
        <w:rPr>
          <w:rFonts w:ascii="Times New Roman" w:hAnsi="Times New Roman" w:cs="Times New Roman"/>
        </w:rPr>
        <w:t xml:space="preserve"> </w:t>
      </w:r>
      <w:bookmarkStart w:id="102" w:name="_Hlk109808485"/>
      <w:r w:rsidRPr="00F16CD1">
        <w:rPr>
          <w:rFonts w:ascii="Times New Roman" w:hAnsi="Times New Roman" w:cs="Times New Roman"/>
        </w:rPr>
        <w:t>Zdravstveno-statistički ljetopis Grada Zagreba za 2021. godinu</w:t>
      </w:r>
      <w:bookmarkEnd w:id="102"/>
    </w:p>
  </w:footnote>
  <w:footnote w:id="57">
    <w:p w14:paraId="1B3F876B" w14:textId="77777777" w:rsidR="003E564E" w:rsidRPr="00480A12" w:rsidRDefault="003E564E" w:rsidP="00FF1E38">
      <w:pPr>
        <w:pStyle w:val="FootnoteText"/>
        <w:rPr>
          <w:rFonts w:ascii="Times New Roman" w:hAnsi="Times New Roman" w:cs="Times New Roman"/>
        </w:rPr>
      </w:pPr>
      <w:r w:rsidRPr="00480A12">
        <w:rPr>
          <w:rStyle w:val="FootnoteReference"/>
          <w:rFonts w:ascii="Times New Roman" w:hAnsi="Times New Roman" w:cs="Times New Roman"/>
        </w:rPr>
        <w:footnoteRef/>
      </w:r>
      <w:r w:rsidRPr="00480A12">
        <w:rPr>
          <w:rFonts w:ascii="Times New Roman" w:hAnsi="Times New Roman" w:cs="Times New Roman"/>
        </w:rPr>
        <w:t xml:space="preserve"> Zdravstveno-statistički ljetopis Grada Zagreba za 2021. godinu</w:t>
      </w:r>
    </w:p>
  </w:footnote>
  <w:footnote w:id="58">
    <w:p w14:paraId="6F3AD056" w14:textId="77777777" w:rsidR="003E564E" w:rsidRPr="001660F5" w:rsidRDefault="003E564E" w:rsidP="00FF1E38">
      <w:pPr>
        <w:pStyle w:val="FootnoteText"/>
        <w:rPr>
          <w:rFonts w:ascii="Times New Roman" w:hAnsi="Times New Roman" w:cs="Times New Roman"/>
        </w:rPr>
      </w:pPr>
      <w:r w:rsidRPr="001660F5">
        <w:rPr>
          <w:rStyle w:val="FootnoteReference"/>
          <w:rFonts w:ascii="Times New Roman" w:hAnsi="Times New Roman" w:cs="Times New Roman"/>
        </w:rPr>
        <w:footnoteRef/>
      </w:r>
      <w:r w:rsidRPr="001660F5">
        <w:rPr>
          <w:rFonts w:ascii="Times New Roman" w:hAnsi="Times New Roman" w:cs="Times New Roman"/>
        </w:rPr>
        <w:t xml:space="preserve"> Povjerenstvo za primjenu lijekova u liječenju i profilaksi COVID-19 uključujući antivirusne i imunomodulacijske lijekove, u skladu s postojećim znanstvenim dokazima i preporukama međunarodnih relevantnih institucija je dana 8. rujna 2020. godine usvojilo Smjernice za liječenje oboljelih od COVID-19, verzija 1, koje su upućene svim zdravstvenim ustanovama u Republici Hrvatskoj u kojima se liječe bolesnici oboljeli od COVID-19 infekcije. Na sjednici Povjerenstva održanoj 21. prosinca 2021. godine prihvaćene su izmjene i dopune navedenih Smjernica pod nazivom Smjernice za liječenje oboljelih od koronavirusne bolesti 2019 (COVID-19), verzija 5 od 8. veljače 2022.</w:t>
      </w:r>
    </w:p>
  </w:footnote>
  <w:footnote w:id="59">
    <w:p w14:paraId="3E57637C" w14:textId="77777777" w:rsidR="003E564E" w:rsidRDefault="003E564E" w:rsidP="00FF1E38">
      <w:pPr>
        <w:pStyle w:val="FootnoteText"/>
      </w:pPr>
      <w:r w:rsidRPr="001660F5">
        <w:rPr>
          <w:rStyle w:val="FootnoteReference"/>
          <w:rFonts w:ascii="Times New Roman" w:hAnsi="Times New Roman" w:cs="Times New Roman"/>
        </w:rPr>
        <w:footnoteRef/>
      </w:r>
      <w:r w:rsidRPr="001660F5">
        <w:rPr>
          <w:rFonts w:ascii="Times New Roman" w:hAnsi="Times New Roman" w:cs="Times New Roman"/>
        </w:rPr>
        <w:t xml:space="preserve"> HZJZ, 2022. Dnevno izvješće o cijepljenju Hrvatskog zavoda za javno zdravstvo https://www.koronavirus.hr/uploads/Izvjestaj_o_cijepljenju_1708_e5f5685559.pdf ECDC, 2022.</w:t>
      </w:r>
    </w:p>
  </w:footnote>
  <w:footnote w:id="60">
    <w:p w14:paraId="399069C8" w14:textId="77777777" w:rsidR="003E564E" w:rsidRPr="00F14AA1" w:rsidRDefault="003E564E" w:rsidP="00FF1E38">
      <w:pPr>
        <w:pStyle w:val="FootnoteText"/>
        <w:rPr>
          <w:rFonts w:ascii="Times New Roman" w:hAnsi="Times New Roman" w:cs="Times New Roman"/>
        </w:rPr>
      </w:pPr>
      <w:r w:rsidRPr="00F14AA1">
        <w:rPr>
          <w:rStyle w:val="FootnoteReference"/>
          <w:rFonts w:ascii="Times New Roman" w:hAnsi="Times New Roman" w:cs="Times New Roman"/>
        </w:rPr>
        <w:footnoteRef/>
      </w:r>
      <w:r w:rsidRPr="00F14AA1">
        <w:rPr>
          <w:rFonts w:ascii="Times New Roman" w:hAnsi="Times New Roman" w:cs="Times New Roman"/>
        </w:rPr>
        <w:t xml:space="preserve"> Procjena rizika od katastrofa za Republiku Hrvatsku</w:t>
      </w:r>
    </w:p>
  </w:footnote>
  <w:footnote w:id="61">
    <w:p w14:paraId="71F0CA76" w14:textId="77777777" w:rsidR="003E564E" w:rsidRPr="0057433F" w:rsidRDefault="003E564E" w:rsidP="002735B8">
      <w:pPr>
        <w:pStyle w:val="FootnoteText"/>
        <w:rPr>
          <w:rFonts w:ascii="Times New Roman" w:hAnsi="Times New Roman" w:cs="Times New Roman"/>
        </w:rPr>
      </w:pPr>
      <w:r w:rsidRPr="0057433F">
        <w:rPr>
          <w:rStyle w:val="FootnoteReference"/>
          <w:rFonts w:ascii="Times New Roman" w:hAnsi="Times New Roman" w:cs="Times New Roman"/>
        </w:rPr>
        <w:footnoteRef/>
      </w:r>
      <w:r w:rsidRPr="0057433F">
        <w:rPr>
          <w:rFonts w:ascii="Times New Roman" w:hAnsi="Times New Roman" w:cs="Times New Roman"/>
        </w:rPr>
        <w:t xml:space="preserve"> Izvor: https://www.nek.si/hr/o-nama/o-nek-u</w:t>
      </w:r>
    </w:p>
  </w:footnote>
  <w:footnote w:id="62">
    <w:p w14:paraId="3D93F532" w14:textId="77777777" w:rsidR="003E564E" w:rsidRPr="00C734AD" w:rsidRDefault="003E564E" w:rsidP="002735B8">
      <w:pPr>
        <w:pStyle w:val="FootnoteText"/>
        <w:rPr>
          <w:rFonts w:ascii="Times New Roman" w:hAnsi="Times New Roman" w:cs="Times New Roman"/>
        </w:rPr>
      </w:pPr>
      <w:r w:rsidRPr="00C734AD">
        <w:rPr>
          <w:rStyle w:val="FootnoteReference"/>
          <w:rFonts w:ascii="Times New Roman" w:hAnsi="Times New Roman" w:cs="Times New Roman"/>
        </w:rPr>
        <w:footnoteRef/>
      </w:r>
      <w:r w:rsidRPr="00C734AD">
        <w:rPr>
          <w:rFonts w:ascii="Times New Roman" w:hAnsi="Times New Roman" w:cs="Times New Roman"/>
        </w:rPr>
        <w:t xml:space="preserve"> https://www.iaea.org/pris/</w:t>
      </w:r>
    </w:p>
  </w:footnote>
  <w:footnote w:id="63">
    <w:p w14:paraId="70326164" w14:textId="77777777" w:rsidR="003E564E" w:rsidRPr="00C734AD" w:rsidRDefault="003E564E" w:rsidP="002735B8">
      <w:pPr>
        <w:pStyle w:val="FootnoteText"/>
        <w:rPr>
          <w:rFonts w:ascii="Times New Roman" w:hAnsi="Times New Roman" w:cs="Times New Roman"/>
        </w:rPr>
      </w:pPr>
      <w:r w:rsidRPr="00C734AD">
        <w:rPr>
          <w:rStyle w:val="FootnoteReference"/>
          <w:rFonts w:ascii="Times New Roman" w:hAnsi="Times New Roman" w:cs="Times New Roman"/>
        </w:rPr>
        <w:footnoteRef/>
      </w:r>
      <w:r w:rsidRPr="00C734AD">
        <w:rPr>
          <w:rFonts w:ascii="Times New Roman" w:hAnsi="Times New Roman" w:cs="Times New Roman"/>
        </w:rPr>
        <w:t xml:space="preserve"> Procjena rizika od katastrofa za Republiku Hrvatsku</w:t>
      </w:r>
    </w:p>
  </w:footnote>
  <w:footnote w:id="64">
    <w:p w14:paraId="57CF3E8D" w14:textId="77777777" w:rsidR="003E564E" w:rsidRPr="0029696D" w:rsidRDefault="003E564E" w:rsidP="002735B8">
      <w:pPr>
        <w:pStyle w:val="FootnoteText"/>
        <w:rPr>
          <w:rFonts w:ascii="Times New Roman" w:hAnsi="Times New Roman" w:cs="Times New Roman"/>
        </w:rPr>
      </w:pPr>
      <w:r w:rsidRPr="0029696D">
        <w:rPr>
          <w:rStyle w:val="FootnoteReference"/>
          <w:rFonts w:ascii="Times New Roman" w:hAnsi="Times New Roman" w:cs="Times New Roman"/>
        </w:rPr>
        <w:footnoteRef/>
      </w:r>
      <w:r w:rsidRPr="0029696D">
        <w:rPr>
          <w:rFonts w:ascii="Times New Roman" w:hAnsi="Times New Roman" w:cs="Times New Roman"/>
        </w:rPr>
        <w:t xml:space="preserve"> Feretić, D., Čavlina, N., Debrecin, N., Nuklearne elektrane, Školska knjiga, Zagreb, 1995.</w:t>
      </w:r>
    </w:p>
  </w:footnote>
  <w:footnote w:id="65">
    <w:p w14:paraId="449F7F90" w14:textId="77777777" w:rsidR="003E564E" w:rsidRDefault="003E564E" w:rsidP="002735B8">
      <w:pPr>
        <w:pStyle w:val="FootnoteText"/>
      </w:pPr>
      <w:r w:rsidRPr="0029696D">
        <w:rPr>
          <w:rStyle w:val="FootnoteReference"/>
          <w:rFonts w:ascii="Times New Roman" w:hAnsi="Times New Roman" w:cs="Times New Roman"/>
        </w:rPr>
        <w:footnoteRef/>
      </w:r>
      <w:r w:rsidRPr="0029696D">
        <w:rPr>
          <w:rFonts w:ascii="Times New Roman" w:hAnsi="Times New Roman" w:cs="Times New Roman"/>
        </w:rPr>
        <w:t xml:space="preserve"> Ocjena ugroženosti od nuklearne nesreće u NE Krško i NE Pakš, ENCONET, 1999. Procjena rizika od velikih nesreća u nuklearnim elektranama, ENCONET, 2001.</w:t>
      </w:r>
    </w:p>
  </w:footnote>
  <w:footnote w:id="66">
    <w:p w14:paraId="35ED9712" w14:textId="77777777" w:rsidR="003E564E" w:rsidRPr="00C87EA6" w:rsidRDefault="003E564E" w:rsidP="002735B8">
      <w:pPr>
        <w:pStyle w:val="FootnoteText"/>
        <w:rPr>
          <w:rFonts w:ascii="Times New Roman" w:hAnsi="Times New Roman" w:cs="Times New Roman"/>
        </w:rPr>
      </w:pPr>
      <w:r w:rsidRPr="00C87EA6">
        <w:rPr>
          <w:rStyle w:val="FootnoteReference"/>
          <w:rFonts w:ascii="Times New Roman" w:hAnsi="Times New Roman" w:cs="Times New Roman"/>
        </w:rPr>
        <w:footnoteRef/>
      </w:r>
      <w:r w:rsidRPr="00C87EA6">
        <w:rPr>
          <w:rFonts w:ascii="Times New Roman" w:hAnsi="Times New Roman" w:cs="Times New Roman"/>
        </w:rPr>
        <w:t xml:space="preserve"> Preparedness and Response for a Nuclear or Radiological Emergency, General Safety Requirements Part 7, IAEA, 2015.</w:t>
      </w:r>
    </w:p>
  </w:footnote>
  <w:footnote w:id="67">
    <w:p w14:paraId="76C96C9F" w14:textId="77777777" w:rsidR="003E564E" w:rsidRPr="00C87EA6" w:rsidRDefault="003E564E" w:rsidP="002735B8">
      <w:pPr>
        <w:pStyle w:val="FootnoteText"/>
        <w:rPr>
          <w:rFonts w:ascii="Times New Roman" w:hAnsi="Times New Roman" w:cs="Times New Roman"/>
        </w:rPr>
      </w:pPr>
      <w:r w:rsidRPr="00C87EA6">
        <w:rPr>
          <w:rStyle w:val="FootnoteReference"/>
          <w:rFonts w:ascii="Times New Roman" w:hAnsi="Times New Roman" w:cs="Times New Roman"/>
        </w:rPr>
        <w:footnoteRef/>
      </w:r>
      <w:r w:rsidRPr="00C87EA6">
        <w:rPr>
          <w:rFonts w:ascii="Times New Roman" w:hAnsi="Times New Roman" w:cs="Times New Roman"/>
        </w:rPr>
        <w:t xml:space="preserve"> Procjena rizika od velikih nesreća u nuklearnim elektranama, Enconet, 2001.</w:t>
      </w:r>
    </w:p>
  </w:footnote>
  <w:footnote w:id="68">
    <w:p w14:paraId="2858FCDC" w14:textId="77777777" w:rsidR="003E564E" w:rsidRPr="00430FA2" w:rsidRDefault="003E564E" w:rsidP="002735B8">
      <w:pPr>
        <w:pStyle w:val="FootnoteText"/>
        <w:rPr>
          <w:rFonts w:ascii="Times New Roman" w:hAnsi="Times New Roman" w:cs="Times New Roman"/>
        </w:rPr>
      </w:pPr>
      <w:r w:rsidRPr="00430FA2">
        <w:rPr>
          <w:rStyle w:val="FootnoteReference"/>
          <w:rFonts w:ascii="Times New Roman" w:hAnsi="Times New Roman" w:cs="Times New Roman"/>
        </w:rPr>
        <w:footnoteRef/>
      </w:r>
      <w:r w:rsidRPr="00430FA2">
        <w:rPr>
          <w:rFonts w:ascii="Times New Roman" w:hAnsi="Times New Roman" w:cs="Times New Roman"/>
        </w:rPr>
        <w:t xml:space="preserve"> Određuju se postupkom optimiranja zaštitne strategije uz uvažavanje referentnih razina, a iskazuju se kao granične vrijednosti procijenjene ili primljene doze. Ako procijenjena ili primljena doza premašuje generički kriterij potrebno je poduzeti mjere zaštite ili druge mjere, i to pojedinačno ili u kombinaciji.</w:t>
      </w:r>
    </w:p>
  </w:footnote>
  <w:footnote w:id="69">
    <w:p w14:paraId="78E94961" w14:textId="77777777" w:rsidR="003E564E" w:rsidRPr="00430FA2" w:rsidRDefault="003E564E" w:rsidP="002735B8">
      <w:pPr>
        <w:pStyle w:val="FootnoteText"/>
        <w:rPr>
          <w:rFonts w:ascii="Times New Roman" w:hAnsi="Times New Roman" w:cs="Times New Roman"/>
        </w:rPr>
      </w:pPr>
      <w:r w:rsidRPr="00430FA2">
        <w:rPr>
          <w:rStyle w:val="FootnoteReference"/>
          <w:rFonts w:ascii="Times New Roman" w:hAnsi="Times New Roman" w:cs="Times New Roman"/>
        </w:rPr>
        <w:footnoteRef/>
      </w:r>
      <w:r w:rsidRPr="00430FA2">
        <w:rPr>
          <w:rFonts w:ascii="Times New Roman" w:hAnsi="Times New Roman" w:cs="Times New Roman"/>
        </w:rPr>
        <w:t xml:space="preserve"> NEK Source Term Recalculation, NEK ESD-TR-09/14, 2014</w:t>
      </w:r>
    </w:p>
  </w:footnote>
  <w:footnote w:id="70">
    <w:p w14:paraId="28B0F6B1" w14:textId="77777777" w:rsidR="003E564E" w:rsidRDefault="003E564E" w:rsidP="002735B8">
      <w:pPr>
        <w:pStyle w:val="FootnoteText"/>
      </w:pPr>
      <w:r w:rsidRPr="00430FA2">
        <w:rPr>
          <w:rStyle w:val="FootnoteReference"/>
          <w:rFonts w:ascii="Times New Roman" w:hAnsi="Times New Roman" w:cs="Times New Roman"/>
        </w:rPr>
        <w:footnoteRef/>
      </w:r>
      <w:r w:rsidRPr="00430FA2">
        <w:rPr>
          <w:rFonts w:ascii="Times New Roman" w:hAnsi="Times New Roman" w:cs="Times New Roman"/>
        </w:rPr>
        <w:t xml:space="preserve"> Procjena nuklearne i radiološke opasnosti za Republiku Hrvatsku, DZRNS 2018.</w:t>
      </w:r>
    </w:p>
  </w:footnote>
  <w:footnote w:id="71">
    <w:p w14:paraId="27F49FDF" w14:textId="77777777" w:rsidR="003E564E" w:rsidRPr="0008048C" w:rsidRDefault="003E564E" w:rsidP="002735B8">
      <w:pPr>
        <w:pStyle w:val="FootnoteText"/>
        <w:rPr>
          <w:rFonts w:ascii="Times New Roman" w:hAnsi="Times New Roman" w:cs="Times New Roman"/>
        </w:rPr>
      </w:pPr>
      <w:r w:rsidRPr="0008048C">
        <w:rPr>
          <w:rStyle w:val="FootnoteReference"/>
          <w:rFonts w:ascii="Times New Roman" w:hAnsi="Times New Roman" w:cs="Times New Roman"/>
        </w:rPr>
        <w:footnoteRef/>
      </w:r>
      <w:r w:rsidRPr="0008048C">
        <w:rPr>
          <w:rFonts w:ascii="Times New Roman" w:hAnsi="Times New Roman" w:cs="Times New Roman"/>
        </w:rPr>
        <w:t>Izvor: https://mingor.gov.hr/UserDocsImages/UPRAVA-ZA-PROCJENU-UTJECAJA-NA-OKOLIS-ODRZIVO-GOSPODARENJE-OTPADOM/Puo/11_05_2022_Studija_Produljenje_pogonskog_vijeka_NEK_HR.pdf</w:t>
      </w:r>
    </w:p>
  </w:footnote>
  <w:footnote w:id="72">
    <w:p w14:paraId="6EA5F0FF" w14:textId="77777777" w:rsidR="003E564E" w:rsidRPr="00056BA6" w:rsidRDefault="003E564E" w:rsidP="002735B8">
      <w:pPr>
        <w:pStyle w:val="FootnoteText"/>
        <w:rPr>
          <w:rFonts w:ascii="Times New Roman" w:hAnsi="Times New Roman" w:cs="Times New Roman"/>
        </w:rPr>
      </w:pPr>
      <w:r w:rsidRPr="00056BA6">
        <w:rPr>
          <w:rStyle w:val="FootnoteReference"/>
          <w:rFonts w:ascii="Times New Roman" w:hAnsi="Times New Roman" w:cs="Times New Roman"/>
        </w:rPr>
        <w:footnoteRef/>
      </w:r>
      <w:r w:rsidRPr="00056BA6">
        <w:rPr>
          <w:rFonts w:ascii="Times New Roman" w:hAnsi="Times New Roman" w:cs="Times New Roman"/>
        </w:rPr>
        <w:t xml:space="preserve"> Hot spot je mjesto na kojem je razina radioaktivne kontaminacije značajno viša od razine kontaminacije na okolnom području.</w:t>
      </w:r>
    </w:p>
  </w:footnote>
  <w:footnote w:id="73">
    <w:p w14:paraId="6F1B4F4F" w14:textId="77777777" w:rsidR="003E564E" w:rsidRPr="00056BA6" w:rsidRDefault="003E564E" w:rsidP="002735B8">
      <w:pPr>
        <w:pStyle w:val="FootnoteText"/>
        <w:rPr>
          <w:rFonts w:ascii="Times New Roman" w:hAnsi="Times New Roman" w:cs="Times New Roman"/>
        </w:rPr>
      </w:pPr>
      <w:r w:rsidRPr="00056BA6">
        <w:rPr>
          <w:rStyle w:val="FootnoteReference"/>
          <w:rFonts w:ascii="Times New Roman" w:hAnsi="Times New Roman" w:cs="Times New Roman"/>
        </w:rPr>
        <w:footnoteRef/>
      </w:r>
      <w:r w:rsidRPr="00056BA6">
        <w:rPr>
          <w:rFonts w:ascii="Times New Roman" w:hAnsi="Times New Roman" w:cs="Times New Roman"/>
        </w:rPr>
        <w:t xml:space="preserve"> Određuju se postupkom optimiranja zaštitne strategije uz uvažavanje referentnih razina, a iskazuju se kao granične vrijednosti procijenjene ili primljene doze. Ako procijenjena ili primljena doza premašuje generički kriterij potrebno je poduzeti mjere zaštite ili druge mjere, i to pojedinačno ili u kombinaciji.</w:t>
      </w:r>
    </w:p>
  </w:footnote>
  <w:footnote w:id="74">
    <w:p w14:paraId="05BE8077" w14:textId="77777777" w:rsidR="003E564E" w:rsidRPr="00056BA6" w:rsidRDefault="003E564E" w:rsidP="002735B8">
      <w:pPr>
        <w:pStyle w:val="FootnoteText"/>
        <w:rPr>
          <w:rFonts w:ascii="Times New Roman" w:hAnsi="Times New Roman" w:cs="Times New Roman"/>
        </w:rPr>
      </w:pPr>
      <w:r w:rsidRPr="00056BA6">
        <w:rPr>
          <w:rStyle w:val="FootnoteReference"/>
          <w:rFonts w:ascii="Times New Roman" w:hAnsi="Times New Roman" w:cs="Times New Roman"/>
        </w:rPr>
        <w:footnoteRef/>
      </w:r>
      <w:r w:rsidRPr="00056BA6">
        <w:rPr>
          <w:rFonts w:ascii="Times New Roman" w:hAnsi="Times New Roman" w:cs="Times New Roman"/>
        </w:rPr>
        <w:t xml:space="preserve"> Ekvivalentna doza je operativna dozimetrijska mjerna veličina koja se koristi za procjenu zdravstvenih rizika od nastanka determinističkih učinaka za tkivo ili organ. </w:t>
      </w:r>
    </w:p>
  </w:footnote>
  <w:footnote w:id="75">
    <w:p w14:paraId="785304F5" w14:textId="77777777" w:rsidR="003E564E" w:rsidRDefault="003E564E" w:rsidP="002735B8">
      <w:pPr>
        <w:pStyle w:val="FootnoteText"/>
      </w:pPr>
      <w:r w:rsidRPr="00056BA6">
        <w:rPr>
          <w:rStyle w:val="FootnoteReference"/>
          <w:rFonts w:ascii="Times New Roman" w:hAnsi="Times New Roman" w:cs="Times New Roman"/>
        </w:rPr>
        <w:footnoteRef/>
      </w:r>
      <w:r w:rsidRPr="00056BA6">
        <w:rPr>
          <w:rFonts w:ascii="Times New Roman" w:hAnsi="Times New Roman" w:cs="Times New Roman"/>
        </w:rPr>
        <w:t xml:space="preserve"> Efektivna doza je operativna dozimetrijska veličina koja se koristi za procjenu zdravstvenih rizika od nastanka stohastičkih učinaka za cijelo tijelo, tj. vjerojatnosti pojave karcinoma ili nasljednih učinaka.</w:t>
      </w:r>
    </w:p>
  </w:footnote>
  <w:footnote w:id="76">
    <w:p w14:paraId="23F21FE5" w14:textId="77777777" w:rsidR="003E564E" w:rsidRPr="00736119" w:rsidRDefault="003E564E" w:rsidP="002735B8">
      <w:pPr>
        <w:pStyle w:val="FootnoteText"/>
        <w:rPr>
          <w:rFonts w:ascii="Times New Roman" w:hAnsi="Times New Roman" w:cs="Times New Roman"/>
        </w:rPr>
      </w:pPr>
      <w:r w:rsidRPr="00736119">
        <w:rPr>
          <w:rStyle w:val="FootnoteReference"/>
          <w:rFonts w:ascii="Times New Roman" w:hAnsi="Times New Roman" w:cs="Times New Roman"/>
        </w:rPr>
        <w:footnoteRef/>
      </w:r>
      <w:r w:rsidRPr="00736119">
        <w:rPr>
          <w:rFonts w:ascii="Times New Roman" w:hAnsi="Times New Roman" w:cs="Times New Roman"/>
        </w:rPr>
        <w:t xml:space="preserve"> Riječ je o graničnim vrijednostima izravno mjerljivih veličina, pri čijem prekoračenju je potrebno što prije poduzeti određenu mjeru ili kombinaciju mjera. Tipično se izražavaju u formi brzine doze, vremenski integrirane koncentracije u zraku, površinske kontaminacije i koncentracije radionuklida u hrani, vodi ili biološkim uzorcima.</w:t>
      </w:r>
    </w:p>
  </w:footnote>
  <w:footnote w:id="77">
    <w:p w14:paraId="1ABE5575" w14:textId="77777777" w:rsidR="003E564E" w:rsidRPr="00736119" w:rsidRDefault="003E564E" w:rsidP="002735B8">
      <w:pPr>
        <w:pStyle w:val="FootnoteText"/>
        <w:rPr>
          <w:rFonts w:ascii="Times New Roman" w:hAnsi="Times New Roman" w:cs="Times New Roman"/>
        </w:rPr>
      </w:pPr>
      <w:r w:rsidRPr="00736119">
        <w:rPr>
          <w:rStyle w:val="FootnoteReference"/>
          <w:rFonts w:ascii="Times New Roman" w:hAnsi="Times New Roman" w:cs="Times New Roman"/>
        </w:rPr>
        <w:footnoteRef/>
      </w:r>
      <w:r w:rsidRPr="00736119">
        <w:rPr>
          <w:rFonts w:ascii="Times New Roman" w:hAnsi="Times New Roman" w:cs="Times New Roman"/>
        </w:rPr>
        <w:t xml:space="preserve"> Efektivna doza je operativna dozimetrijska veličina koja se koristi za procjenu zdravstvenih rizika od nastanka stohastičkih učinaka za cijelo tijelo tj. vjerojatnosti pojave karcinoma ili nasljednih učinaka. </w:t>
      </w:r>
    </w:p>
  </w:footnote>
  <w:footnote w:id="78">
    <w:p w14:paraId="12E12500" w14:textId="77777777" w:rsidR="003E564E" w:rsidRPr="00736119" w:rsidRDefault="003E564E" w:rsidP="002735B8">
      <w:pPr>
        <w:pStyle w:val="FootnoteText"/>
        <w:rPr>
          <w:rFonts w:ascii="Times New Roman" w:hAnsi="Times New Roman" w:cs="Times New Roman"/>
        </w:rPr>
      </w:pPr>
      <w:r w:rsidRPr="00736119">
        <w:rPr>
          <w:rStyle w:val="FootnoteReference"/>
          <w:rFonts w:ascii="Times New Roman" w:hAnsi="Times New Roman" w:cs="Times New Roman"/>
        </w:rPr>
        <w:footnoteRef/>
      </w:r>
      <w:r w:rsidRPr="00736119">
        <w:rPr>
          <w:rFonts w:ascii="Times New Roman" w:hAnsi="Times New Roman" w:cs="Times New Roman"/>
        </w:rPr>
        <w:t xml:space="preserve"> https://www.hgk.hr/komora-zagreb/poljoprivreda</w:t>
      </w:r>
    </w:p>
  </w:footnote>
  <w:footnote w:id="79">
    <w:p w14:paraId="62552D04" w14:textId="77777777" w:rsidR="003E564E" w:rsidRPr="004F0406" w:rsidRDefault="003E564E" w:rsidP="00EF2412">
      <w:pPr>
        <w:pStyle w:val="FootnoteText"/>
        <w:ind w:left="0" w:right="0" w:firstLine="0"/>
        <w:rPr>
          <w:rFonts w:ascii="Times New Roman" w:hAnsi="Times New Roman" w:cs="Times New Roman"/>
        </w:rPr>
      </w:pPr>
      <w:r w:rsidRPr="004F0406">
        <w:rPr>
          <w:rStyle w:val="FootnoteReference"/>
          <w:rFonts w:ascii="Times New Roman" w:hAnsi="Times New Roman" w:cs="Times New Roman"/>
        </w:rPr>
        <w:footnoteRef/>
      </w:r>
      <w:r w:rsidRPr="004F0406">
        <w:rPr>
          <w:rFonts w:ascii="Times New Roman" w:hAnsi="Times New Roman" w:cs="Times New Roman"/>
        </w:rPr>
        <w:t xml:space="preserve"> Hot spot je mjesto na kojem je razina radioaktivne kontaminacije značajno viša od razine kontaminacije na okolnom području.</w:t>
      </w:r>
    </w:p>
  </w:footnote>
  <w:footnote w:id="80">
    <w:p w14:paraId="78ACDF3F" w14:textId="77777777" w:rsidR="003E564E" w:rsidRPr="004F0406" w:rsidRDefault="003E564E" w:rsidP="00180C62">
      <w:pPr>
        <w:pStyle w:val="FootnoteText"/>
        <w:ind w:left="0" w:right="0" w:firstLine="0"/>
        <w:rPr>
          <w:rFonts w:ascii="Times New Roman" w:hAnsi="Times New Roman" w:cs="Times New Roman"/>
        </w:rPr>
      </w:pPr>
      <w:r w:rsidRPr="004F0406">
        <w:rPr>
          <w:rStyle w:val="FootnoteReference"/>
          <w:rFonts w:ascii="Times New Roman" w:hAnsi="Times New Roman" w:cs="Times New Roman"/>
        </w:rPr>
        <w:footnoteRef/>
      </w:r>
      <w:r w:rsidRPr="004F0406">
        <w:rPr>
          <w:rFonts w:ascii="Times New Roman" w:hAnsi="Times New Roman" w:cs="Times New Roman"/>
        </w:rPr>
        <w:t xml:space="preserve"> Sukladno planskim dokumentima državne razine evakuacija se neće provoditi na području Grada Zagreba ali se pri procjeni uzima u obzir i panika, nepridržavanje uputa od strane građana i sl. što može rezultirati neplanskom samoevakuacijom stanovništva, a to može imati utjecaja na javni red i mir i sigurnost građana. </w:t>
      </w:r>
    </w:p>
  </w:footnote>
  <w:footnote w:id="81">
    <w:p w14:paraId="23A27AFF" w14:textId="77777777" w:rsidR="003E564E" w:rsidRPr="000C2060" w:rsidRDefault="003E564E" w:rsidP="002735B8">
      <w:pPr>
        <w:pStyle w:val="FootnoteText"/>
        <w:rPr>
          <w:rFonts w:ascii="Times New Roman" w:hAnsi="Times New Roman" w:cs="Times New Roman"/>
        </w:rPr>
      </w:pPr>
      <w:r w:rsidRPr="000C2060">
        <w:rPr>
          <w:rStyle w:val="FootnoteReference"/>
          <w:rFonts w:ascii="Times New Roman" w:hAnsi="Times New Roman" w:cs="Times New Roman"/>
        </w:rPr>
        <w:footnoteRef/>
      </w:r>
      <w:r w:rsidRPr="000C2060">
        <w:rPr>
          <w:rFonts w:ascii="Times New Roman" w:hAnsi="Times New Roman" w:cs="Times New Roman"/>
        </w:rPr>
        <w:t xml:space="preserve"> https://www.cistoca.hr/gospodarenje-otpadom-8/plinsko-postrojenje/4208</w:t>
      </w:r>
    </w:p>
  </w:footnote>
  <w:footnote w:id="82">
    <w:p w14:paraId="2B555D88" w14:textId="77777777" w:rsidR="003E564E" w:rsidRPr="000C2060" w:rsidRDefault="003E564E" w:rsidP="00852072">
      <w:pPr>
        <w:pStyle w:val="FootnoteText"/>
        <w:ind w:left="0" w:right="0" w:firstLine="0"/>
        <w:rPr>
          <w:rFonts w:ascii="Times New Roman" w:hAnsi="Times New Roman" w:cs="Times New Roman"/>
        </w:rPr>
      </w:pPr>
      <w:r w:rsidRPr="000C2060">
        <w:rPr>
          <w:rStyle w:val="FootnoteReference"/>
          <w:rFonts w:ascii="Times New Roman" w:hAnsi="Times New Roman" w:cs="Times New Roman"/>
        </w:rPr>
        <w:footnoteRef/>
      </w:r>
      <w:r w:rsidRPr="000C2060">
        <w:rPr>
          <w:rFonts w:ascii="Times New Roman" w:hAnsi="Times New Roman" w:cs="Times New Roman"/>
        </w:rPr>
        <w:t xml:space="preserve"> Izvor: https://eloo.haop.hr/public/</w:t>
      </w:r>
    </w:p>
  </w:footnote>
  <w:footnote w:id="83">
    <w:p w14:paraId="04F1FC88" w14:textId="77777777" w:rsidR="003E564E" w:rsidRDefault="003E564E" w:rsidP="00852072">
      <w:pPr>
        <w:pStyle w:val="FootnoteText"/>
        <w:ind w:left="0" w:right="0" w:firstLine="0"/>
      </w:pPr>
      <w:r w:rsidRPr="000C2060">
        <w:rPr>
          <w:rStyle w:val="FootnoteReference"/>
          <w:rFonts w:ascii="Times New Roman" w:hAnsi="Times New Roman" w:cs="Times New Roman"/>
        </w:rPr>
        <w:footnoteRef/>
      </w:r>
      <w:r w:rsidRPr="000C2060">
        <w:rPr>
          <w:rFonts w:ascii="Times New Roman" w:hAnsi="Times New Roman" w:cs="Times New Roman"/>
        </w:rPr>
        <w:t xml:space="preserve"> Nakić Z., Prce M. Posavec K.: Utjecaj odlagališta otpada Jakuševec-Prudinec na kakvoću podzemne vode, Rudarsko-geološko-naftni zbornik Vol. 19 str. 35 - 45, Zagreb 1997.</w:t>
      </w:r>
    </w:p>
  </w:footnote>
  <w:footnote w:id="84">
    <w:p w14:paraId="5271A3E1" w14:textId="77777777" w:rsidR="003E564E" w:rsidRPr="000C2060" w:rsidRDefault="003E564E" w:rsidP="00852072">
      <w:pPr>
        <w:pStyle w:val="FootnoteText"/>
        <w:ind w:left="0" w:right="0" w:firstLine="0"/>
        <w:rPr>
          <w:rFonts w:ascii="Times New Roman" w:hAnsi="Times New Roman" w:cs="Times New Roman"/>
        </w:rPr>
      </w:pPr>
      <w:r w:rsidRPr="000C2060">
        <w:rPr>
          <w:rStyle w:val="FootnoteReference"/>
          <w:rFonts w:ascii="Times New Roman" w:hAnsi="Times New Roman" w:cs="Times New Roman"/>
        </w:rPr>
        <w:footnoteRef/>
      </w:r>
      <w:r w:rsidRPr="000C2060">
        <w:rPr>
          <w:rFonts w:ascii="Times New Roman" w:hAnsi="Times New Roman" w:cs="Times New Roman"/>
        </w:rPr>
        <w:t xml:space="preserve"> Izvor: </w:t>
      </w:r>
      <w:bookmarkStart w:id="113" w:name="_Hlk105057660"/>
      <w:r w:rsidRPr="000C2060">
        <w:rPr>
          <w:rFonts w:ascii="Times New Roman" w:hAnsi="Times New Roman" w:cs="Times New Roman"/>
        </w:rPr>
        <w:t>Tehničko–tehnološko rješenje postojećeg postrojenja odlagališta otpada Prudinec/Jakuševec, Ecoina d.o.o. Zagreb, Travanj 2014.</w:t>
      </w:r>
      <w:bookmarkEnd w:id="113"/>
    </w:p>
  </w:footnote>
  <w:footnote w:id="85">
    <w:p w14:paraId="6CA8CA99" w14:textId="77777777" w:rsidR="003E564E" w:rsidRPr="00D76FC4" w:rsidRDefault="003E564E" w:rsidP="00852072">
      <w:pPr>
        <w:pStyle w:val="FootnoteText"/>
        <w:ind w:left="0" w:right="0" w:firstLine="0"/>
        <w:rPr>
          <w:rFonts w:ascii="Times New Roman" w:hAnsi="Times New Roman" w:cs="Times New Roman"/>
        </w:rPr>
      </w:pPr>
      <w:r w:rsidRPr="00D76FC4">
        <w:rPr>
          <w:rStyle w:val="FootnoteReference"/>
          <w:rFonts w:ascii="Times New Roman" w:hAnsi="Times New Roman" w:cs="Times New Roman"/>
        </w:rPr>
        <w:footnoteRef/>
      </w:r>
      <w:r w:rsidRPr="00D76FC4">
        <w:rPr>
          <w:rFonts w:ascii="Times New Roman" w:hAnsi="Times New Roman" w:cs="Times New Roman"/>
        </w:rPr>
        <w:t xml:space="preserve"> </w:t>
      </w:r>
      <w:bookmarkStart w:id="114" w:name="_Hlk105057678"/>
      <w:r w:rsidRPr="00D76FC4">
        <w:rPr>
          <w:rFonts w:ascii="Times New Roman" w:hAnsi="Times New Roman" w:cs="Times New Roman"/>
        </w:rPr>
        <w:t>Studija o utjecaju na okoliš regionalnog vodoopskrbnog sustava Zagrebačke županije – Zagreb istok, IGH, listopad 2016.</w:t>
      </w:r>
      <w:bookmarkEnd w:id="114"/>
    </w:p>
  </w:footnote>
  <w:footnote w:id="86">
    <w:p w14:paraId="227143F3" w14:textId="77777777" w:rsidR="003E564E" w:rsidRPr="00D76FC4" w:rsidRDefault="003E564E" w:rsidP="00852072">
      <w:pPr>
        <w:pStyle w:val="FootnoteText"/>
        <w:ind w:left="0" w:right="0" w:firstLine="0"/>
        <w:rPr>
          <w:rFonts w:ascii="Times New Roman" w:hAnsi="Times New Roman" w:cs="Times New Roman"/>
        </w:rPr>
      </w:pPr>
      <w:r w:rsidRPr="00D76FC4">
        <w:rPr>
          <w:rStyle w:val="FootnoteReference"/>
          <w:rFonts w:ascii="Times New Roman" w:hAnsi="Times New Roman" w:cs="Times New Roman"/>
        </w:rPr>
        <w:footnoteRef/>
      </w:r>
      <w:r w:rsidRPr="00D76FC4">
        <w:rPr>
          <w:rFonts w:ascii="Times New Roman" w:hAnsi="Times New Roman" w:cs="Times New Roman"/>
        </w:rPr>
        <w:t xml:space="preserve"> Promatrački zdenac maloga promjera za mjerenje visine vodnoga lica podzemnih voda</w:t>
      </w:r>
    </w:p>
  </w:footnote>
  <w:footnote w:id="87">
    <w:p w14:paraId="6E487833" w14:textId="77777777" w:rsidR="003E564E" w:rsidRPr="00D76FC4" w:rsidRDefault="003E564E" w:rsidP="00852072">
      <w:pPr>
        <w:pStyle w:val="FootnoteText"/>
        <w:ind w:left="0" w:right="0" w:firstLine="0"/>
        <w:rPr>
          <w:rFonts w:ascii="Times New Roman" w:hAnsi="Times New Roman" w:cs="Times New Roman"/>
        </w:rPr>
      </w:pPr>
      <w:r w:rsidRPr="00D76FC4">
        <w:rPr>
          <w:rStyle w:val="FootnoteReference"/>
          <w:rFonts w:ascii="Times New Roman" w:hAnsi="Times New Roman" w:cs="Times New Roman"/>
        </w:rPr>
        <w:footnoteRef/>
      </w:r>
      <w:r w:rsidRPr="00D76FC4">
        <w:rPr>
          <w:rFonts w:ascii="Times New Roman" w:hAnsi="Times New Roman" w:cs="Times New Roman"/>
        </w:rPr>
        <w:t xml:space="preserve"> MDK - maksimalno dopustive koncentracije štetnih tvari</w:t>
      </w:r>
    </w:p>
  </w:footnote>
  <w:footnote w:id="88">
    <w:p w14:paraId="6D381BD5" w14:textId="77777777" w:rsidR="003E564E" w:rsidRPr="00D76FC4" w:rsidRDefault="003E564E" w:rsidP="00852072">
      <w:pPr>
        <w:pStyle w:val="FootnoteText"/>
        <w:ind w:left="0" w:right="0" w:firstLine="0"/>
        <w:rPr>
          <w:rFonts w:ascii="Times New Roman" w:hAnsi="Times New Roman" w:cs="Times New Roman"/>
        </w:rPr>
      </w:pPr>
      <w:r w:rsidRPr="00D76FC4">
        <w:rPr>
          <w:rStyle w:val="FootnoteReference"/>
          <w:rFonts w:ascii="Times New Roman" w:hAnsi="Times New Roman" w:cs="Times New Roman"/>
        </w:rPr>
        <w:footnoteRef/>
      </w:r>
      <w:r w:rsidRPr="00D76FC4">
        <w:rPr>
          <w:rFonts w:ascii="Times New Roman" w:hAnsi="Times New Roman" w:cs="Times New Roman"/>
        </w:rPr>
        <w:t xml:space="preserve"> </w:t>
      </w:r>
      <w:bookmarkStart w:id="115" w:name="_Hlk105057704"/>
      <w:r w:rsidRPr="00D76FC4">
        <w:rPr>
          <w:rFonts w:ascii="Times New Roman" w:hAnsi="Times New Roman" w:cs="Times New Roman"/>
        </w:rPr>
        <w:t>Nakić Z., Prce M., Posavec K.: Utjecaj odlagališta otpada Jakuševec - Prudinec na kakvoću podzemne vode, Rudarsko-geološko-naftni zbornik vol. 19 str. 35 - 45 Zagreb, 2007.</w:t>
      </w:r>
    </w:p>
    <w:bookmarkEnd w:id="115"/>
  </w:footnote>
  <w:footnote w:id="89">
    <w:p w14:paraId="1C90BC62" w14:textId="77777777" w:rsidR="003E564E" w:rsidRDefault="003E564E" w:rsidP="00852072">
      <w:pPr>
        <w:pStyle w:val="FootnoteText"/>
        <w:ind w:left="0" w:right="0" w:firstLine="0"/>
      </w:pPr>
      <w:r w:rsidRPr="00D76FC4">
        <w:rPr>
          <w:rStyle w:val="FootnoteReference"/>
          <w:rFonts w:ascii="Times New Roman" w:hAnsi="Times New Roman" w:cs="Times New Roman"/>
        </w:rPr>
        <w:footnoteRef/>
      </w:r>
      <w:r w:rsidRPr="00D76FC4">
        <w:rPr>
          <w:rFonts w:ascii="Times New Roman" w:hAnsi="Times New Roman" w:cs="Times New Roman"/>
        </w:rPr>
        <w:t xml:space="preserve"> Ahel M, et al. Organska onečišćenja u odlagalištu otpada Jakuševec i njihov utjecaj na podzemne vode, Arh Hig Rada Toksikol 2006;57:307-315</w:t>
      </w:r>
    </w:p>
  </w:footnote>
  <w:footnote w:id="90">
    <w:p w14:paraId="7797B4C5" w14:textId="77777777" w:rsidR="003E564E" w:rsidRPr="00D76FC4" w:rsidRDefault="003E564E" w:rsidP="002735B8">
      <w:pPr>
        <w:pStyle w:val="FootnoteText"/>
        <w:rPr>
          <w:rFonts w:ascii="Times New Roman" w:hAnsi="Times New Roman" w:cs="Times New Roman"/>
        </w:rPr>
      </w:pPr>
      <w:r w:rsidRPr="00D76FC4">
        <w:rPr>
          <w:rStyle w:val="FootnoteReference"/>
          <w:rFonts w:ascii="Times New Roman" w:hAnsi="Times New Roman" w:cs="Times New Roman"/>
        </w:rPr>
        <w:footnoteRef/>
      </w:r>
      <w:r w:rsidRPr="00D76FC4">
        <w:rPr>
          <w:rFonts w:ascii="Times New Roman" w:hAnsi="Times New Roman" w:cs="Times New Roman"/>
        </w:rPr>
        <w:t xml:space="preserve"> Izvor: https://www.zagrebancija.com/mayer-jakusevec-bi-mogao-zagaditi-vodu-u-zagrebu/</w:t>
      </w:r>
    </w:p>
  </w:footnote>
  <w:footnote w:id="91">
    <w:p w14:paraId="11FEDA1D" w14:textId="77777777" w:rsidR="003E564E" w:rsidRPr="00D76FC4" w:rsidRDefault="003E564E" w:rsidP="002735B8">
      <w:pPr>
        <w:pStyle w:val="FootnoteText"/>
        <w:rPr>
          <w:rFonts w:ascii="Times New Roman" w:hAnsi="Times New Roman" w:cs="Times New Roman"/>
        </w:rPr>
      </w:pPr>
      <w:r w:rsidRPr="00D76FC4">
        <w:rPr>
          <w:rStyle w:val="FootnoteReference"/>
          <w:rFonts w:ascii="Times New Roman" w:hAnsi="Times New Roman" w:cs="Times New Roman"/>
        </w:rPr>
        <w:footnoteRef/>
      </w:r>
      <w:r w:rsidRPr="00D76FC4">
        <w:rPr>
          <w:rFonts w:ascii="Times New Roman" w:hAnsi="Times New Roman" w:cs="Times New Roman"/>
        </w:rPr>
        <w:t xml:space="preserve"> eng. non methane organic compounds – nemetanski organski spojevi</w:t>
      </w:r>
    </w:p>
  </w:footnote>
  <w:footnote w:id="92">
    <w:p w14:paraId="7902376A" w14:textId="77777777" w:rsidR="003E564E" w:rsidRDefault="003E564E" w:rsidP="002735B8">
      <w:pPr>
        <w:pStyle w:val="FootnoteText"/>
      </w:pPr>
      <w:r w:rsidRPr="00D76FC4">
        <w:rPr>
          <w:rStyle w:val="FootnoteReference"/>
          <w:rFonts w:ascii="Times New Roman" w:hAnsi="Times New Roman" w:cs="Times New Roman"/>
        </w:rPr>
        <w:footnoteRef/>
      </w:r>
      <w:r w:rsidRPr="00D76FC4">
        <w:rPr>
          <w:rFonts w:ascii="Times New Roman" w:hAnsi="Times New Roman" w:cs="Times New Roman"/>
        </w:rPr>
        <w:t xml:space="preserve"> Izvor: </w:t>
      </w:r>
      <w:bookmarkStart w:id="116" w:name="_Hlk105058852"/>
      <w:r w:rsidRPr="00D76FC4">
        <w:rPr>
          <w:rFonts w:ascii="Times New Roman" w:hAnsi="Times New Roman" w:cs="Times New Roman"/>
        </w:rPr>
        <w:t>Landfill Gas Primer - An Overview for Environmental Health Professionals</w:t>
      </w:r>
    </w:p>
    <w:bookmarkEnd w:id="116"/>
  </w:footnote>
  <w:footnote w:id="93">
    <w:p w14:paraId="6514D624" w14:textId="77777777" w:rsidR="003E564E" w:rsidRPr="00190B2E" w:rsidRDefault="003E564E" w:rsidP="00852072">
      <w:pPr>
        <w:pStyle w:val="FootnoteText"/>
        <w:ind w:left="0" w:right="0" w:firstLine="0"/>
        <w:rPr>
          <w:rFonts w:ascii="Times New Roman" w:hAnsi="Times New Roman" w:cs="Times New Roman"/>
        </w:rPr>
      </w:pPr>
      <w:r w:rsidRPr="00190B2E">
        <w:rPr>
          <w:rStyle w:val="FootnoteReference"/>
          <w:rFonts w:ascii="Times New Roman" w:hAnsi="Times New Roman" w:cs="Times New Roman"/>
        </w:rPr>
        <w:footnoteRef/>
      </w:r>
      <w:r w:rsidRPr="00190B2E">
        <w:rPr>
          <w:rFonts w:ascii="Times New Roman" w:hAnsi="Times New Roman" w:cs="Times New Roman"/>
        </w:rPr>
        <w:t xml:space="preserve"> Izvor: Godišnje izvješće o praćenju i ocjeni kvalitete zraka za 2012 godinu Odlagalište Prudinec-Jakuševec, Zavod za javno zdravstvo Dr. Andrija Štampar</w:t>
      </w:r>
    </w:p>
  </w:footnote>
  <w:footnote w:id="94">
    <w:p w14:paraId="6B680E00" w14:textId="77777777" w:rsidR="003E564E" w:rsidRDefault="003E564E" w:rsidP="00852072">
      <w:pPr>
        <w:pStyle w:val="FootnoteText"/>
        <w:ind w:left="0" w:right="0" w:firstLine="0"/>
      </w:pPr>
      <w:r w:rsidRPr="00190B2E">
        <w:rPr>
          <w:rStyle w:val="FootnoteReference"/>
          <w:rFonts w:ascii="Times New Roman" w:hAnsi="Times New Roman" w:cs="Times New Roman"/>
        </w:rPr>
        <w:footnoteRef/>
      </w:r>
      <w:r w:rsidRPr="00190B2E">
        <w:rPr>
          <w:rFonts w:ascii="Times New Roman" w:hAnsi="Times New Roman" w:cs="Times New Roman"/>
        </w:rPr>
        <w:t xml:space="preserve"> Godišnje izvješće o rezultatima praćenja kvalitete zraka na automatskoj postaji za praćenje kvalitete zraka Jakuševec u 2021. godini</w:t>
      </w:r>
    </w:p>
  </w:footnote>
  <w:footnote w:id="95">
    <w:p w14:paraId="11EDF78F" w14:textId="77777777" w:rsidR="003E564E" w:rsidRPr="00190B2E" w:rsidRDefault="003E564E" w:rsidP="00852072">
      <w:pPr>
        <w:pStyle w:val="FootnoteText"/>
        <w:ind w:left="0" w:right="0" w:firstLine="0"/>
        <w:rPr>
          <w:rFonts w:ascii="Times New Roman" w:hAnsi="Times New Roman" w:cs="Times New Roman"/>
        </w:rPr>
      </w:pPr>
      <w:r w:rsidRPr="00190B2E">
        <w:rPr>
          <w:rStyle w:val="FootnoteReference"/>
          <w:rFonts w:ascii="Times New Roman" w:hAnsi="Times New Roman" w:cs="Times New Roman"/>
        </w:rPr>
        <w:footnoteRef/>
      </w:r>
      <w:r w:rsidRPr="00190B2E">
        <w:rPr>
          <w:rFonts w:ascii="Times New Roman" w:hAnsi="Times New Roman" w:cs="Times New Roman"/>
        </w:rPr>
        <w:t xml:space="preserve"> Kumić V., Milanović Z.: Otplinjavanje odlagališta neobrađenog komunalnog otpada, POLYTECHNIC &amp; DESIGN Vol. 4, No. 2, 2016.</w:t>
      </w:r>
    </w:p>
  </w:footnote>
  <w:footnote w:id="96">
    <w:p w14:paraId="713EEF9B" w14:textId="77777777" w:rsidR="003E564E" w:rsidRDefault="003E564E" w:rsidP="00852072">
      <w:pPr>
        <w:pStyle w:val="FootnoteText"/>
        <w:ind w:left="0" w:right="0" w:firstLine="0"/>
      </w:pPr>
      <w:r w:rsidRPr="00190B2E">
        <w:rPr>
          <w:rStyle w:val="FootnoteReference"/>
          <w:rFonts w:ascii="Times New Roman" w:hAnsi="Times New Roman" w:cs="Times New Roman"/>
        </w:rPr>
        <w:footnoteRef/>
      </w:r>
      <w:r w:rsidRPr="00190B2E">
        <w:rPr>
          <w:rFonts w:ascii="Times New Roman" w:hAnsi="Times New Roman" w:cs="Times New Roman"/>
        </w:rPr>
        <w:t xml:space="preserve"> FEMA: Landfill fires their magnitude, characteristics, and mitigation, May 2002</w:t>
      </w:r>
    </w:p>
  </w:footnote>
  <w:footnote w:id="97">
    <w:p w14:paraId="167AF22A" w14:textId="77777777" w:rsidR="003E564E" w:rsidRPr="001C4B08" w:rsidRDefault="003E564E" w:rsidP="00852072">
      <w:pPr>
        <w:pStyle w:val="FootnoteText"/>
        <w:ind w:left="0" w:right="0" w:firstLine="0"/>
        <w:rPr>
          <w:rFonts w:ascii="Times New Roman" w:hAnsi="Times New Roman" w:cs="Times New Roman"/>
        </w:rPr>
      </w:pPr>
      <w:r w:rsidRPr="001C4B08">
        <w:rPr>
          <w:rStyle w:val="FootnoteReference"/>
          <w:rFonts w:ascii="Times New Roman" w:hAnsi="Times New Roman" w:cs="Times New Roman"/>
        </w:rPr>
        <w:footnoteRef/>
      </w:r>
      <w:r w:rsidRPr="001C4B08">
        <w:rPr>
          <w:rFonts w:ascii="Times New Roman" w:hAnsi="Times New Roman" w:cs="Times New Roman"/>
        </w:rPr>
        <w:t xml:space="preserve"> Izvor: https://www.atsdr.cdc.gov/hac/landfill/html/ch2.html</w:t>
      </w:r>
    </w:p>
  </w:footnote>
  <w:footnote w:id="98">
    <w:p w14:paraId="05A8FB9F" w14:textId="77777777" w:rsidR="003E564E" w:rsidRPr="001C4B08" w:rsidRDefault="003E564E" w:rsidP="00852072">
      <w:pPr>
        <w:pStyle w:val="FootnoteText"/>
        <w:ind w:left="0" w:right="0" w:firstLine="0"/>
        <w:rPr>
          <w:rFonts w:ascii="Times New Roman" w:hAnsi="Times New Roman" w:cs="Times New Roman"/>
        </w:rPr>
      </w:pPr>
      <w:r w:rsidRPr="001C4B08">
        <w:rPr>
          <w:rStyle w:val="FootnoteReference"/>
          <w:rFonts w:ascii="Times New Roman" w:hAnsi="Times New Roman" w:cs="Times New Roman"/>
        </w:rPr>
        <w:footnoteRef/>
      </w:r>
      <w:r w:rsidRPr="001C4B08">
        <w:rPr>
          <w:rFonts w:ascii="Times New Roman" w:hAnsi="Times New Roman" w:cs="Times New Roman"/>
        </w:rPr>
        <w:t xml:space="preserve"> Vujević D. et.al.: Sastav odlagališnog plina na odlagalištu otpada Prudinec/Jakuševec, Inženjerstvo okoliša No.1 Vol.1 2014.</w:t>
      </w:r>
    </w:p>
  </w:footnote>
  <w:footnote w:id="99">
    <w:p w14:paraId="3EC9A561" w14:textId="77777777" w:rsidR="003E564E" w:rsidRDefault="003E564E" w:rsidP="00852072">
      <w:pPr>
        <w:pStyle w:val="FootnoteText"/>
        <w:ind w:left="0" w:right="0" w:firstLine="0"/>
      </w:pPr>
      <w:r w:rsidRPr="001C4B08">
        <w:rPr>
          <w:rStyle w:val="FootnoteReference"/>
          <w:rFonts w:ascii="Times New Roman" w:hAnsi="Times New Roman" w:cs="Times New Roman"/>
        </w:rPr>
        <w:footnoteRef/>
      </w:r>
      <w:r w:rsidRPr="001C4B08">
        <w:rPr>
          <w:rFonts w:ascii="Times New Roman" w:hAnsi="Times New Roman" w:cs="Times New Roman"/>
        </w:rPr>
        <w:t xml:space="preserve"> Izvor: https://www.atsdr.cdc.gov/hac/landfill/html/ch2.html</w:t>
      </w:r>
    </w:p>
  </w:footnote>
  <w:footnote w:id="100">
    <w:p w14:paraId="58DA50EE" w14:textId="77777777" w:rsidR="003E564E" w:rsidRPr="001C4B08" w:rsidRDefault="003E564E" w:rsidP="00852072">
      <w:pPr>
        <w:pStyle w:val="FootnoteText"/>
        <w:ind w:left="0" w:right="0" w:firstLine="0"/>
        <w:rPr>
          <w:rFonts w:ascii="Times New Roman" w:hAnsi="Times New Roman" w:cs="Times New Roman"/>
        </w:rPr>
      </w:pPr>
      <w:r w:rsidRPr="001C4B08">
        <w:rPr>
          <w:rStyle w:val="FootnoteReference"/>
          <w:rFonts w:ascii="Times New Roman" w:hAnsi="Times New Roman" w:cs="Times New Roman"/>
        </w:rPr>
        <w:footnoteRef/>
      </w:r>
      <w:r w:rsidRPr="001C4B08">
        <w:rPr>
          <w:rFonts w:ascii="Times New Roman" w:hAnsi="Times New Roman" w:cs="Times New Roman"/>
        </w:rPr>
        <w:t xml:space="preserve"> New Zealand Minister for the Environment, Landfill Guidelines Hazards Of Burning At Landfills,</w:t>
      </w:r>
    </w:p>
    <w:p w14:paraId="4A5F9A5E" w14:textId="77777777" w:rsidR="003E564E" w:rsidRPr="001C4B08" w:rsidRDefault="003E564E" w:rsidP="00852072">
      <w:pPr>
        <w:pStyle w:val="FootnoteText"/>
        <w:ind w:left="0" w:right="0" w:firstLine="0"/>
        <w:rPr>
          <w:rFonts w:ascii="Times New Roman" w:hAnsi="Times New Roman" w:cs="Times New Roman"/>
        </w:rPr>
      </w:pPr>
      <w:r w:rsidRPr="001C4B08">
        <w:rPr>
          <w:rFonts w:ascii="Times New Roman" w:hAnsi="Times New Roman" w:cs="Times New Roman"/>
        </w:rPr>
        <w:t>Dec. 1997.</w:t>
      </w:r>
    </w:p>
  </w:footnote>
  <w:footnote w:id="101">
    <w:p w14:paraId="50B1F52B" w14:textId="77777777" w:rsidR="003E564E" w:rsidRPr="001C4B08" w:rsidRDefault="003E564E" w:rsidP="00852072">
      <w:pPr>
        <w:pStyle w:val="FootnoteText"/>
        <w:ind w:left="0" w:right="0" w:firstLine="0"/>
        <w:rPr>
          <w:rFonts w:ascii="Times New Roman" w:hAnsi="Times New Roman" w:cs="Times New Roman"/>
        </w:rPr>
      </w:pPr>
      <w:r w:rsidRPr="001C4B08">
        <w:rPr>
          <w:rStyle w:val="FootnoteReference"/>
          <w:rFonts w:ascii="Times New Roman" w:hAnsi="Times New Roman" w:cs="Times New Roman"/>
        </w:rPr>
        <w:footnoteRef/>
      </w:r>
      <w:r w:rsidRPr="001C4B08">
        <w:rPr>
          <w:rFonts w:ascii="Times New Roman" w:hAnsi="Times New Roman" w:cs="Times New Roman"/>
        </w:rPr>
        <w:t xml:space="preserve"> EPA: Guidance for evaluating landfill gas emissions from closed or abandoned facilities</w:t>
      </w:r>
    </w:p>
  </w:footnote>
  <w:footnote w:id="102">
    <w:p w14:paraId="56175779" w14:textId="77777777" w:rsidR="003E564E" w:rsidRPr="001C4B08" w:rsidRDefault="003E564E" w:rsidP="00852072">
      <w:pPr>
        <w:pStyle w:val="FootnoteText"/>
        <w:ind w:left="0" w:right="0" w:firstLine="0"/>
        <w:rPr>
          <w:rFonts w:ascii="Times New Roman" w:hAnsi="Times New Roman" w:cs="Times New Roman"/>
        </w:rPr>
      </w:pPr>
      <w:r w:rsidRPr="001C4B08">
        <w:rPr>
          <w:rStyle w:val="FootnoteReference"/>
          <w:rFonts w:ascii="Times New Roman" w:hAnsi="Times New Roman" w:cs="Times New Roman"/>
        </w:rPr>
        <w:footnoteRef/>
      </w:r>
      <w:r w:rsidRPr="001C4B08">
        <w:rPr>
          <w:rFonts w:ascii="Times New Roman" w:hAnsi="Times New Roman" w:cs="Times New Roman"/>
        </w:rPr>
        <w:t xml:space="preserve"> The pottstown landfill: Independent environmental review of critical issues, Henry S. Cole, Ph.D.</w:t>
      </w:r>
    </w:p>
    <w:p w14:paraId="5883A987" w14:textId="77777777" w:rsidR="003E564E" w:rsidRPr="001C4B08" w:rsidRDefault="003E564E" w:rsidP="00852072">
      <w:pPr>
        <w:pStyle w:val="FootnoteText"/>
        <w:ind w:left="0" w:right="0" w:firstLine="0"/>
        <w:rPr>
          <w:rFonts w:ascii="Times New Roman" w:hAnsi="Times New Roman" w:cs="Times New Roman"/>
        </w:rPr>
      </w:pPr>
      <w:r w:rsidRPr="001C4B08">
        <w:rPr>
          <w:rFonts w:ascii="Times New Roman" w:hAnsi="Times New Roman" w:cs="Times New Roman"/>
        </w:rPr>
        <w:t>May 2005.</w:t>
      </w:r>
    </w:p>
  </w:footnote>
  <w:footnote w:id="103">
    <w:p w14:paraId="4E0B8173" w14:textId="77777777" w:rsidR="003E564E" w:rsidRDefault="003E564E" w:rsidP="00852072">
      <w:pPr>
        <w:pStyle w:val="FootnoteText"/>
        <w:ind w:left="0" w:right="0" w:firstLine="0"/>
      </w:pPr>
      <w:r w:rsidRPr="001C4B08">
        <w:rPr>
          <w:rStyle w:val="FootnoteReference"/>
          <w:rFonts w:ascii="Times New Roman" w:hAnsi="Times New Roman" w:cs="Times New Roman"/>
        </w:rPr>
        <w:footnoteRef/>
      </w:r>
      <w:r w:rsidRPr="001C4B08">
        <w:rPr>
          <w:rFonts w:ascii="Times New Roman" w:hAnsi="Times New Roman" w:cs="Times New Roman"/>
        </w:rPr>
        <w:t xml:space="preserve"> Wilson S., Mortimer S.: Geological Society, London, Engineering Geology Special Publications, Volume 29, 457-478</w:t>
      </w:r>
    </w:p>
  </w:footnote>
  <w:footnote w:id="104">
    <w:p w14:paraId="2A71F7B7" w14:textId="77777777" w:rsidR="003E564E" w:rsidRPr="001C4B08" w:rsidRDefault="003E564E" w:rsidP="00852072">
      <w:pPr>
        <w:pStyle w:val="FootnoteText"/>
        <w:ind w:left="0" w:right="0" w:firstLine="0"/>
        <w:rPr>
          <w:rFonts w:ascii="Times New Roman" w:hAnsi="Times New Roman" w:cs="Times New Roman"/>
        </w:rPr>
      </w:pPr>
      <w:r w:rsidRPr="001C4B08">
        <w:rPr>
          <w:rStyle w:val="FootnoteReference"/>
          <w:rFonts w:ascii="Times New Roman" w:hAnsi="Times New Roman" w:cs="Times New Roman"/>
        </w:rPr>
        <w:footnoteRef/>
      </w:r>
      <w:r w:rsidRPr="001C4B08">
        <w:rPr>
          <w:rFonts w:ascii="Times New Roman" w:hAnsi="Times New Roman" w:cs="Times New Roman"/>
        </w:rPr>
        <w:t xml:space="preserve"> Lavigne et al. Geoenvironmental Disasters The 21 February 2005, catastrophic waste</w:t>
      </w:r>
    </w:p>
    <w:p w14:paraId="7138E046" w14:textId="77777777" w:rsidR="003E564E" w:rsidRPr="001C4B08" w:rsidRDefault="003E564E" w:rsidP="00852072">
      <w:pPr>
        <w:pStyle w:val="FootnoteText"/>
        <w:ind w:left="0" w:right="0" w:firstLine="0"/>
        <w:rPr>
          <w:rFonts w:ascii="Times New Roman" w:hAnsi="Times New Roman" w:cs="Times New Roman"/>
        </w:rPr>
      </w:pPr>
      <w:r w:rsidRPr="001C4B08">
        <w:rPr>
          <w:rFonts w:ascii="Times New Roman" w:hAnsi="Times New Roman" w:cs="Times New Roman"/>
        </w:rPr>
        <w:t>avalanche at Leuwigajah dumpsite, Bandung, Indonesia2014, 1:10 http://www.geoenvironmental-disasters.com/content/1/1/10</w:t>
      </w:r>
    </w:p>
  </w:footnote>
  <w:footnote w:id="105">
    <w:p w14:paraId="2E00D17F" w14:textId="77777777" w:rsidR="003E564E" w:rsidRPr="001C4B08" w:rsidRDefault="003E564E" w:rsidP="00852072">
      <w:pPr>
        <w:pStyle w:val="FootnoteText"/>
        <w:ind w:left="0" w:right="0" w:firstLine="0"/>
        <w:rPr>
          <w:rFonts w:ascii="Times New Roman" w:hAnsi="Times New Roman" w:cs="Times New Roman"/>
        </w:rPr>
      </w:pPr>
      <w:r w:rsidRPr="001C4B08">
        <w:rPr>
          <w:rStyle w:val="FootnoteReference"/>
          <w:rFonts w:ascii="Times New Roman" w:hAnsi="Times New Roman" w:cs="Times New Roman"/>
        </w:rPr>
        <w:footnoteRef/>
      </w:r>
      <w:r w:rsidRPr="001C4B08">
        <w:rPr>
          <w:rFonts w:ascii="Times New Roman" w:hAnsi="Times New Roman" w:cs="Times New Roman"/>
        </w:rPr>
        <w:t xml:space="preserve"> Provjera je izvršena preko servisa Google Earth</w:t>
      </w:r>
    </w:p>
  </w:footnote>
  <w:footnote w:id="106">
    <w:p w14:paraId="7071B68C" w14:textId="77777777" w:rsidR="003E564E" w:rsidRPr="001C4B08" w:rsidRDefault="003E564E" w:rsidP="00852072">
      <w:pPr>
        <w:pStyle w:val="FootnoteText"/>
        <w:ind w:left="0" w:right="0" w:firstLine="0"/>
        <w:rPr>
          <w:rFonts w:ascii="Times New Roman" w:hAnsi="Times New Roman" w:cs="Times New Roman"/>
        </w:rPr>
      </w:pPr>
      <w:r w:rsidRPr="001C4B08">
        <w:rPr>
          <w:rStyle w:val="FootnoteReference"/>
          <w:rFonts w:ascii="Times New Roman" w:hAnsi="Times New Roman" w:cs="Times New Roman"/>
        </w:rPr>
        <w:footnoteRef/>
      </w:r>
      <w:r w:rsidRPr="001C4B08">
        <w:rPr>
          <w:rFonts w:ascii="Times New Roman" w:hAnsi="Times New Roman" w:cs="Times New Roman"/>
        </w:rPr>
        <w:t xml:space="preserve"> https://www.jornada.com.mx/2010/06/16/estados/033n1est</w:t>
      </w:r>
    </w:p>
  </w:footnote>
  <w:footnote w:id="107">
    <w:p w14:paraId="557508A7" w14:textId="77777777" w:rsidR="003E564E" w:rsidRDefault="003E564E" w:rsidP="00852072">
      <w:pPr>
        <w:pStyle w:val="FootnoteText"/>
        <w:ind w:left="0" w:right="0" w:firstLine="0"/>
      </w:pPr>
      <w:r w:rsidRPr="001C4B08">
        <w:rPr>
          <w:rStyle w:val="FootnoteReference"/>
          <w:rFonts w:ascii="Times New Roman" w:hAnsi="Times New Roman" w:cs="Times New Roman"/>
        </w:rPr>
        <w:footnoteRef/>
      </w:r>
      <w:r w:rsidRPr="001C4B08">
        <w:rPr>
          <w:rFonts w:ascii="Times New Roman" w:hAnsi="Times New Roman" w:cs="Times New Roman"/>
        </w:rPr>
        <w:t xml:space="preserve"> https://www.jornada.com.mx/2010/06/17/estados/031n1est</w:t>
      </w:r>
    </w:p>
  </w:footnote>
  <w:footnote w:id="108">
    <w:p w14:paraId="05D9C8D0" w14:textId="77777777" w:rsidR="003E564E" w:rsidRPr="004F1A58" w:rsidRDefault="003E564E" w:rsidP="004F1A58">
      <w:pPr>
        <w:pStyle w:val="FootnoteText"/>
        <w:ind w:left="0" w:right="0" w:firstLine="0"/>
        <w:rPr>
          <w:rFonts w:ascii="Times New Roman" w:hAnsi="Times New Roman" w:cs="Times New Roman"/>
        </w:rPr>
      </w:pPr>
      <w:r w:rsidRPr="004F1A58">
        <w:rPr>
          <w:rStyle w:val="FootnoteReference"/>
          <w:rFonts w:ascii="Times New Roman" w:hAnsi="Times New Roman" w:cs="Times New Roman"/>
        </w:rPr>
        <w:footnoteRef/>
      </w:r>
      <w:r w:rsidRPr="004F1A58">
        <w:rPr>
          <w:rFonts w:ascii="Times New Roman" w:hAnsi="Times New Roman" w:cs="Times New Roman"/>
        </w:rPr>
        <w:t xml:space="preserve"> Izvor:</w:t>
      </w:r>
      <w:bookmarkStart w:id="117" w:name="_Hlk105059182"/>
      <w:r w:rsidRPr="004F1A58">
        <w:rPr>
          <w:rFonts w:ascii="Times New Roman" w:hAnsi="Times New Roman" w:cs="Times New Roman"/>
        </w:rPr>
        <w:t>https://www.mlive.com/news/grand-rapids/2016/08/landfill_gas_could_cause_explo.html</w:t>
      </w:r>
      <w:bookmarkEnd w:id="117"/>
    </w:p>
  </w:footnote>
  <w:footnote w:id="109">
    <w:p w14:paraId="0EF97462" w14:textId="77777777" w:rsidR="003E564E" w:rsidRPr="00C936CC" w:rsidRDefault="003E564E" w:rsidP="004F1A58">
      <w:pPr>
        <w:spacing w:after="0"/>
        <w:ind w:left="0" w:right="0" w:firstLine="0"/>
        <w:rPr>
          <w:rFonts w:ascii="Times New Roman" w:hAnsi="Times New Roman" w:cs="Times New Roman"/>
          <w:sz w:val="24"/>
          <w:szCs w:val="24"/>
        </w:rPr>
      </w:pPr>
      <w:r w:rsidRPr="004F1A58">
        <w:rPr>
          <w:rStyle w:val="FootnoteReference"/>
          <w:rFonts w:ascii="Times New Roman" w:hAnsi="Times New Roman" w:cs="Times New Roman"/>
          <w:sz w:val="20"/>
          <w:szCs w:val="20"/>
        </w:rPr>
        <w:footnoteRef/>
      </w:r>
      <w:r w:rsidRPr="004F1A58">
        <w:rPr>
          <w:rFonts w:ascii="Times New Roman" w:hAnsi="Times New Roman" w:cs="Times New Roman"/>
          <w:sz w:val="20"/>
          <w:szCs w:val="20"/>
        </w:rPr>
        <w:t xml:space="preserve"> Podružnica ZGOS na lokaciji odlagališta ima 17 radnika raspoređenih u dvije smjene. Na lokaciji se nalaze i radnici drugih tvrtki, te čuvari i vatrogasci, što čini ukupno 47 - 81 svih prisutnih radnika.</w:t>
      </w:r>
    </w:p>
  </w:footnote>
  <w:footnote w:id="110">
    <w:p w14:paraId="12F29C83" w14:textId="1DF89282" w:rsidR="003E564E" w:rsidRPr="004F1A58" w:rsidRDefault="003E564E" w:rsidP="004F1A58">
      <w:pPr>
        <w:pStyle w:val="FootnoteText"/>
        <w:ind w:left="0" w:right="0" w:firstLine="0"/>
        <w:rPr>
          <w:rFonts w:ascii="Times New Roman" w:hAnsi="Times New Roman" w:cs="Times New Roman"/>
        </w:rPr>
      </w:pPr>
      <w:r w:rsidRPr="004F1A58">
        <w:rPr>
          <w:rStyle w:val="FootnoteReference"/>
          <w:rFonts w:ascii="Times New Roman" w:hAnsi="Times New Roman" w:cs="Times New Roman"/>
        </w:rPr>
        <w:footnoteRef/>
      </w:r>
      <w:r w:rsidRPr="004F1A58">
        <w:rPr>
          <w:rFonts w:ascii="Times New Roman" w:hAnsi="Times New Roman" w:cs="Times New Roman"/>
        </w:rPr>
        <w:t xml:space="preserve"> Prema ruži vjetrova dominantni vjetrovi su sjevernjak i sjeveroistočnjak, pa su u slučaju nastanka</w:t>
      </w:r>
      <w:r>
        <w:rPr>
          <w:rFonts w:ascii="Times New Roman" w:hAnsi="Times New Roman" w:cs="Times New Roman"/>
        </w:rPr>
        <w:t xml:space="preserve"> </w:t>
      </w:r>
      <w:r w:rsidRPr="004F1A58">
        <w:rPr>
          <w:rFonts w:ascii="Times New Roman" w:hAnsi="Times New Roman" w:cs="Times New Roman"/>
        </w:rPr>
        <w:t xml:space="preserve">požara zbog dima statistički najugroženija područja naselja Jakuševec i južni dio naselja Dugave, no u scenariju vjetar puše iz smjera jugoistoka prema naseljima Utrina, Zapruđe, Središće i Sopot zbog najgušće naseljenosti. </w:t>
      </w:r>
    </w:p>
  </w:footnote>
  <w:footnote w:id="111">
    <w:p w14:paraId="006AF6F4" w14:textId="77777777" w:rsidR="003E564E" w:rsidRPr="004F1A58" w:rsidRDefault="003E564E" w:rsidP="004F1A58">
      <w:pPr>
        <w:pStyle w:val="FootnoteText"/>
        <w:ind w:left="0" w:right="0" w:firstLine="0"/>
        <w:rPr>
          <w:rFonts w:ascii="Times New Roman" w:hAnsi="Times New Roman" w:cs="Times New Roman"/>
        </w:rPr>
      </w:pPr>
      <w:r w:rsidRPr="004F1A58">
        <w:rPr>
          <w:rStyle w:val="FootnoteReference"/>
          <w:rFonts w:ascii="Times New Roman" w:hAnsi="Times New Roman" w:cs="Times New Roman"/>
        </w:rPr>
        <w:footnoteRef/>
      </w:r>
      <w:r w:rsidRPr="004F1A58">
        <w:rPr>
          <w:rFonts w:ascii="Times New Roman" w:hAnsi="Times New Roman" w:cs="Times New Roman"/>
        </w:rPr>
        <w:t xml:space="preserve"> Izvori za zone ugroženosti: </w:t>
      </w:r>
      <w:bookmarkStart w:id="118" w:name="_Hlk105059223"/>
      <w:r w:rsidRPr="004F1A58">
        <w:rPr>
          <w:rFonts w:ascii="Times New Roman" w:hAnsi="Times New Roman" w:cs="Times New Roman"/>
        </w:rPr>
        <w:t>New Zealand Minister for the Environment, Landfill Guidelines Hazards Of Burning At Landfills, Dec. 1997. Source on dioxins: U.S. EPA, Dioxin Inventory.</w:t>
      </w:r>
      <w:bookmarkEnd w:id="118"/>
    </w:p>
  </w:footnote>
  <w:footnote w:id="112">
    <w:p w14:paraId="232F18FC" w14:textId="64194583" w:rsidR="003E564E" w:rsidRPr="004F1A58" w:rsidRDefault="003E564E" w:rsidP="004F1A58">
      <w:pPr>
        <w:spacing w:after="0"/>
        <w:ind w:left="0" w:right="0" w:firstLine="0"/>
        <w:rPr>
          <w:rFonts w:ascii="Times New Roman" w:hAnsi="Times New Roman" w:cs="Times New Roman"/>
          <w:sz w:val="20"/>
          <w:szCs w:val="20"/>
        </w:rPr>
      </w:pPr>
      <w:r w:rsidRPr="004F1A58">
        <w:rPr>
          <w:rStyle w:val="FootnoteReference"/>
          <w:rFonts w:ascii="Times New Roman" w:hAnsi="Times New Roman" w:cs="Times New Roman"/>
          <w:sz w:val="20"/>
          <w:szCs w:val="20"/>
        </w:rPr>
        <w:footnoteRef/>
      </w:r>
      <w:r w:rsidRPr="004F1A58">
        <w:rPr>
          <w:rFonts w:ascii="Times New Roman" w:hAnsi="Times New Roman" w:cs="Times New Roman"/>
          <w:sz w:val="20"/>
          <w:szCs w:val="20"/>
        </w:rPr>
        <w:t xml:space="preserve"> Temperaturna inverzija predstavlja porast temperature s visinom te se tijekom takvih situacija dim ne širi uvis, već se čak i spušta ka tlu.</w:t>
      </w:r>
    </w:p>
  </w:footnote>
  <w:footnote w:id="113">
    <w:p w14:paraId="60DE490F" w14:textId="77777777" w:rsidR="003E564E" w:rsidRPr="002B66B6" w:rsidRDefault="003E564E" w:rsidP="002B66B6">
      <w:pPr>
        <w:pStyle w:val="FootnoteText"/>
        <w:ind w:left="0" w:right="0" w:firstLine="0"/>
        <w:rPr>
          <w:rFonts w:ascii="Times New Roman" w:hAnsi="Times New Roman" w:cs="Times New Roman"/>
        </w:rPr>
      </w:pPr>
      <w:r w:rsidRPr="002B66B6">
        <w:rPr>
          <w:rStyle w:val="FootnoteReference"/>
          <w:rFonts w:ascii="Times New Roman" w:hAnsi="Times New Roman" w:cs="Times New Roman"/>
        </w:rPr>
        <w:footnoteRef/>
      </w:r>
      <w:r w:rsidRPr="002B66B6">
        <w:rPr>
          <w:rFonts w:ascii="Times New Roman" w:hAnsi="Times New Roman" w:cs="Times New Roman"/>
        </w:rPr>
        <w:t xml:space="preserve"> Izvor: https://gin.hr/tehnicko-savjetovanje-u-sanaciji-odlagalista-otpada/</w:t>
      </w:r>
    </w:p>
  </w:footnote>
  <w:footnote w:id="114">
    <w:p w14:paraId="4AA5ADE9" w14:textId="77777777" w:rsidR="003E564E" w:rsidRDefault="003E564E" w:rsidP="002B66B6">
      <w:pPr>
        <w:pStyle w:val="FootnoteText"/>
        <w:ind w:left="0" w:right="0" w:firstLine="0"/>
      </w:pPr>
      <w:r w:rsidRPr="002B66B6">
        <w:rPr>
          <w:rStyle w:val="FootnoteReference"/>
          <w:rFonts w:ascii="Times New Roman" w:hAnsi="Times New Roman" w:cs="Times New Roman"/>
        </w:rPr>
        <w:footnoteRef/>
      </w:r>
      <w:r w:rsidRPr="002B66B6">
        <w:rPr>
          <w:rFonts w:ascii="Times New Roman" w:hAnsi="Times New Roman" w:cs="Times New Roman"/>
        </w:rPr>
        <w:t xml:space="preserve"> Ako pritom odlagalište otpada ne smatramo kritičnom infrastrukturom što ono svakako jest budući da nefunkcioniranje sustava odvoza otpada značajno degradira i otežava kvalitetu života stanovništva. </w:t>
      </w:r>
    </w:p>
  </w:footnote>
  <w:footnote w:id="115">
    <w:p w14:paraId="510DA38D" w14:textId="77777777" w:rsidR="003E564E" w:rsidRPr="002B66B6" w:rsidRDefault="003E564E" w:rsidP="002B66B6">
      <w:pPr>
        <w:pStyle w:val="FootnoteText"/>
        <w:ind w:left="0" w:right="0" w:firstLine="0"/>
        <w:rPr>
          <w:rFonts w:ascii="Times New Roman" w:hAnsi="Times New Roman" w:cs="Times New Roman"/>
        </w:rPr>
      </w:pPr>
      <w:r w:rsidRPr="002B66B6">
        <w:rPr>
          <w:rStyle w:val="FootnoteReference"/>
          <w:rFonts w:ascii="Times New Roman" w:hAnsi="Times New Roman" w:cs="Times New Roman"/>
        </w:rPr>
        <w:footnoteRef/>
      </w:r>
      <w:r w:rsidRPr="002B66B6">
        <w:rPr>
          <w:rFonts w:ascii="Times New Roman" w:hAnsi="Times New Roman" w:cs="Times New Roman"/>
        </w:rPr>
        <w:t xml:space="preserve"> Koeficijent starosti je postotni udio osoba starih 60 i više godina u ukupnom stanovništvu. Osnovni je pokazatelj razine starenja.</w:t>
      </w:r>
    </w:p>
  </w:footnote>
  <w:footnote w:id="116">
    <w:p w14:paraId="52505014" w14:textId="77777777" w:rsidR="003E564E" w:rsidRPr="007431A6" w:rsidRDefault="003E564E" w:rsidP="00472217">
      <w:pPr>
        <w:pStyle w:val="FootnoteText"/>
        <w:rPr>
          <w:rFonts w:ascii="Times New Roman" w:hAnsi="Times New Roman" w:cs="Times New Roman"/>
        </w:rPr>
      </w:pPr>
      <w:r w:rsidRPr="007431A6">
        <w:rPr>
          <w:rStyle w:val="FootnoteReference"/>
          <w:rFonts w:ascii="Times New Roman" w:hAnsi="Times New Roman" w:cs="Times New Roman"/>
        </w:rPr>
        <w:footnoteRef/>
      </w:r>
      <w:r w:rsidRPr="007431A6">
        <w:rPr>
          <w:rFonts w:ascii="Times New Roman" w:hAnsi="Times New Roman" w:cs="Times New Roman"/>
        </w:rPr>
        <w:t xml:space="preserve"> Izvješće o stanju u prostoru Grada Zagreba za razdoblje 2013.– 2016.</w:t>
      </w:r>
    </w:p>
  </w:footnote>
  <w:footnote w:id="117">
    <w:p w14:paraId="6E1CDFE3" w14:textId="77777777" w:rsidR="003E564E" w:rsidRDefault="003E564E" w:rsidP="00472217">
      <w:pPr>
        <w:pStyle w:val="FootnoteText"/>
      </w:pPr>
      <w:r w:rsidRPr="007431A6">
        <w:rPr>
          <w:rStyle w:val="FootnoteReference"/>
          <w:rFonts w:ascii="Times New Roman" w:hAnsi="Times New Roman" w:cs="Times New Roman"/>
        </w:rPr>
        <w:footnoteRef/>
      </w:r>
      <w:r w:rsidRPr="007431A6">
        <w:rPr>
          <w:rFonts w:ascii="Times New Roman" w:hAnsi="Times New Roman" w:cs="Times New Roman"/>
        </w:rPr>
        <w:t xml:space="preserve"> Izvješće o stanju u prostoru Grada Zagreba za razdoblje 2013.– 2016.</w:t>
      </w:r>
    </w:p>
  </w:footnote>
  <w:footnote w:id="118">
    <w:p w14:paraId="64C5F263" w14:textId="77777777" w:rsidR="003E564E" w:rsidRPr="001876B6" w:rsidRDefault="003E564E" w:rsidP="00C94CF6">
      <w:pPr>
        <w:pStyle w:val="FootnoteText"/>
        <w:ind w:left="0" w:right="0" w:firstLine="0"/>
        <w:rPr>
          <w:rFonts w:ascii="Times New Roman" w:hAnsi="Times New Roman" w:cs="Times New Roman"/>
        </w:rPr>
      </w:pPr>
      <w:r w:rsidRPr="001876B6">
        <w:rPr>
          <w:rStyle w:val="FootnoteReference"/>
          <w:rFonts w:ascii="Times New Roman" w:hAnsi="Times New Roman" w:cs="Times New Roman"/>
        </w:rPr>
        <w:footnoteRef/>
      </w:r>
      <w:r w:rsidRPr="001876B6">
        <w:rPr>
          <w:rFonts w:ascii="Times New Roman" w:hAnsi="Times New Roman" w:cs="Times New Roman"/>
        </w:rPr>
        <w:t xml:space="preserve"> Izvor: Kartografski podaci o klizištima u GIS-u kao tematski sloj prirodnih ograničenja vezanih uz klimatske promjene, Rudarsko-geološko-naftni fakultet, prosinac 2019.</w:t>
      </w:r>
    </w:p>
  </w:footnote>
  <w:footnote w:id="119">
    <w:p w14:paraId="18F0A199" w14:textId="77777777" w:rsidR="003E564E" w:rsidRDefault="003E564E" w:rsidP="00C94CF6">
      <w:pPr>
        <w:pStyle w:val="FootnoteText"/>
        <w:ind w:left="0" w:right="0" w:firstLine="0"/>
      </w:pPr>
      <w:r w:rsidRPr="001876B6">
        <w:rPr>
          <w:rStyle w:val="FootnoteReference"/>
          <w:rFonts w:ascii="Times New Roman" w:hAnsi="Times New Roman" w:cs="Times New Roman"/>
        </w:rPr>
        <w:footnoteRef/>
      </w:r>
      <w:r w:rsidRPr="001876B6">
        <w:rPr>
          <w:rFonts w:ascii="Times New Roman" w:hAnsi="Times New Roman" w:cs="Times New Roman"/>
        </w:rPr>
        <w:t xml:space="preserve"> Podbojec M., Jukić M.: Sinteza istražnih inženjerskogeoloških i geotehničkih radova i provedenih sanacijskih mjera na klizištu Črešnjevec (1982. – 2016.)</w:t>
      </w:r>
    </w:p>
  </w:footnote>
  <w:footnote w:id="120">
    <w:p w14:paraId="6274380E" w14:textId="77777777" w:rsidR="003E564E" w:rsidRPr="001876B6" w:rsidRDefault="003E564E" w:rsidP="00C94CF6">
      <w:pPr>
        <w:pStyle w:val="FootnoteText"/>
        <w:ind w:left="0" w:right="0" w:firstLine="0"/>
        <w:rPr>
          <w:rFonts w:ascii="Times New Roman" w:hAnsi="Times New Roman" w:cs="Times New Roman"/>
        </w:rPr>
      </w:pPr>
      <w:r w:rsidRPr="001876B6">
        <w:rPr>
          <w:rStyle w:val="FootnoteReference"/>
          <w:rFonts w:ascii="Times New Roman" w:hAnsi="Times New Roman" w:cs="Times New Roman"/>
        </w:rPr>
        <w:footnoteRef/>
      </w:r>
      <w:r w:rsidRPr="001876B6">
        <w:rPr>
          <w:rFonts w:ascii="Times New Roman" w:hAnsi="Times New Roman" w:cs="Times New Roman"/>
        </w:rPr>
        <w:t xml:space="preserve"> Mihalić-Arbanas S., Arbanas Ž, Bernat S., Krkač M., Kalinić P., Martinović K, Fabris N., Sajko J., Antolović A.: Upravljanje kriznim situacijama uslijed pokretanja klizišta</w:t>
      </w:r>
    </w:p>
  </w:footnote>
  <w:footnote w:id="121">
    <w:p w14:paraId="1F976A3F" w14:textId="77777777" w:rsidR="003E564E" w:rsidRPr="001876B6" w:rsidRDefault="003E564E" w:rsidP="00C94CF6">
      <w:pPr>
        <w:pStyle w:val="FootnoteText"/>
        <w:ind w:left="0" w:right="0" w:firstLine="0"/>
        <w:rPr>
          <w:rFonts w:ascii="Times New Roman" w:hAnsi="Times New Roman" w:cs="Times New Roman"/>
        </w:rPr>
      </w:pPr>
      <w:r w:rsidRPr="001876B6">
        <w:rPr>
          <w:rStyle w:val="FootnoteReference"/>
          <w:rFonts w:ascii="Times New Roman" w:hAnsi="Times New Roman" w:cs="Times New Roman"/>
        </w:rPr>
        <w:footnoteRef/>
      </w:r>
      <w:r w:rsidRPr="001876B6">
        <w:rPr>
          <w:rFonts w:ascii="Times New Roman" w:hAnsi="Times New Roman" w:cs="Times New Roman"/>
        </w:rPr>
        <w:t xml:space="preserve"> Mihalić-Arbanas S., Arbanas Ž, Bernat S., Krkač M., Kalinić P., Martinović K, Fabris N., Sajko J., Antolović A.: Upravljanje kriznim situacijama uslijed pokretanja klizišta</w:t>
      </w:r>
    </w:p>
  </w:footnote>
  <w:footnote w:id="122">
    <w:p w14:paraId="0ED3C1B7" w14:textId="77777777" w:rsidR="003E564E" w:rsidRPr="001876B6" w:rsidRDefault="003E564E" w:rsidP="00C94CF6">
      <w:pPr>
        <w:pStyle w:val="FootnoteText"/>
        <w:ind w:left="0" w:right="0" w:firstLine="0"/>
        <w:rPr>
          <w:rFonts w:ascii="Times New Roman" w:hAnsi="Times New Roman" w:cs="Times New Roman"/>
        </w:rPr>
      </w:pPr>
      <w:r w:rsidRPr="001876B6">
        <w:rPr>
          <w:rStyle w:val="FootnoteReference"/>
          <w:rFonts w:ascii="Times New Roman" w:hAnsi="Times New Roman" w:cs="Times New Roman"/>
        </w:rPr>
        <w:footnoteRef/>
      </w:r>
      <w:r w:rsidRPr="001876B6">
        <w:rPr>
          <w:rFonts w:ascii="Times New Roman" w:hAnsi="Times New Roman" w:cs="Times New Roman"/>
        </w:rPr>
        <w:t>https://meteo.hr/objave_najave_natjecaji.php?section=onn&amp;param=objave&amp;el=dogadjanja&amp;daj=smd15032022#po1</w:t>
      </w:r>
    </w:p>
  </w:footnote>
  <w:footnote w:id="123">
    <w:p w14:paraId="6CBB4040" w14:textId="77777777" w:rsidR="003E564E" w:rsidRPr="001876B6" w:rsidRDefault="003E564E" w:rsidP="00C94CF6">
      <w:pPr>
        <w:pStyle w:val="FootnoteText"/>
        <w:ind w:left="0" w:right="0" w:firstLine="0"/>
        <w:rPr>
          <w:rFonts w:ascii="Times New Roman" w:hAnsi="Times New Roman" w:cs="Times New Roman"/>
        </w:rPr>
      </w:pPr>
      <w:r w:rsidRPr="001876B6">
        <w:rPr>
          <w:rStyle w:val="FootnoteReference"/>
          <w:rFonts w:ascii="Times New Roman" w:hAnsi="Times New Roman" w:cs="Times New Roman"/>
        </w:rPr>
        <w:footnoteRef/>
      </w:r>
      <w:r w:rsidRPr="001876B6">
        <w:rPr>
          <w:rFonts w:ascii="Times New Roman" w:hAnsi="Times New Roman" w:cs="Times New Roman"/>
        </w:rPr>
        <w:t xml:space="preserve"> Glavna radna skupina Hrvatske platforme za smanjenje rizika od katastrofa, 2019.</w:t>
      </w:r>
    </w:p>
  </w:footnote>
  <w:footnote w:id="124">
    <w:p w14:paraId="669CCEFC" w14:textId="77777777" w:rsidR="003E564E" w:rsidRPr="001876B6" w:rsidRDefault="003E564E" w:rsidP="00C94CF6">
      <w:pPr>
        <w:pStyle w:val="FootnoteText"/>
        <w:ind w:left="0" w:right="0" w:firstLine="0"/>
        <w:rPr>
          <w:rFonts w:ascii="Times New Roman" w:hAnsi="Times New Roman" w:cs="Times New Roman"/>
        </w:rPr>
      </w:pPr>
      <w:r w:rsidRPr="001876B6">
        <w:rPr>
          <w:rStyle w:val="FootnoteReference"/>
          <w:rFonts w:ascii="Times New Roman" w:hAnsi="Times New Roman" w:cs="Times New Roman"/>
        </w:rPr>
        <w:footnoteRef/>
      </w:r>
      <w:r w:rsidRPr="001876B6">
        <w:rPr>
          <w:rFonts w:ascii="Times New Roman" w:hAnsi="Times New Roman" w:cs="Times New Roman"/>
        </w:rPr>
        <w:t xml:space="preserve"> Projekt „</w:t>
      </w:r>
      <w:r w:rsidRPr="001876B6">
        <w:rPr>
          <w:rFonts w:ascii="Times New Roman" w:hAnsi="Times New Roman" w:cs="Times New Roman"/>
          <w:i/>
        </w:rPr>
        <w:t>Primijenjena istraživanja klizišta za razvoj mjera ublažavanja i prevencije rizika“</w:t>
      </w:r>
      <w:r w:rsidRPr="001876B6">
        <w:rPr>
          <w:rFonts w:ascii="Times New Roman" w:hAnsi="Times New Roman" w:cs="Times New Roman"/>
        </w:rPr>
        <w:t xml:space="preserve"> (PRI-MJER) koji traje do 30.4.2023. uvodi koncept mjera prilagodbe klimatskim promjenama za ublažavanje i prevenciju rizika od klizanja te se sustavno bavi istraživanjem načina i elaboriranjem prednosti njihove primjene. Uz ostalo, biti će izrađena i Karta ugroženosti velikog, dubokog i visoko rizičnog klizišta Kostanjek, koja će se koristiti pri nadopuni scenarija. </w:t>
      </w:r>
    </w:p>
  </w:footnote>
  <w:footnote w:id="125">
    <w:p w14:paraId="28BD7D94" w14:textId="77777777" w:rsidR="003E564E" w:rsidRDefault="003E564E" w:rsidP="00472217">
      <w:pPr>
        <w:pStyle w:val="FootnoteText"/>
      </w:pPr>
      <w:r w:rsidRPr="001876B6">
        <w:rPr>
          <w:rStyle w:val="FootnoteReference"/>
          <w:rFonts w:ascii="Times New Roman" w:hAnsi="Times New Roman" w:cs="Times New Roman"/>
        </w:rPr>
        <w:footnoteRef/>
      </w:r>
      <w:r w:rsidRPr="001876B6">
        <w:rPr>
          <w:rFonts w:ascii="Times New Roman" w:hAnsi="Times New Roman" w:cs="Times New Roman"/>
        </w:rPr>
        <w:t>https://www.crometeo.hr/prisjetimo-se-meteoroloske-2013-godine-u-hrvatskoj-kroz-100-fascinatnih-fotografija/</w:t>
      </w:r>
    </w:p>
  </w:footnote>
  <w:footnote w:id="126">
    <w:p w14:paraId="08875D0D" w14:textId="77777777" w:rsidR="003E564E" w:rsidRPr="001876B6" w:rsidRDefault="003E564E" w:rsidP="00DD0C1F">
      <w:pPr>
        <w:pStyle w:val="FootnoteText"/>
        <w:ind w:left="0" w:right="0" w:firstLine="0"/>
        <w:rPr>
          <w:rFonts w:ascii="Times New Roman" w:hAnsi="Times New Roman" w:cs="Times New Roman"/>
        </w:rPr>
      </w:pPr>
      <w:r w:rsidRPr="001876B6">
        <w:rPr>
          <w:rStyle w:val="FootnoteReference"/>
          <w:rFonts w:ascii="Times New Roman" w:hAnsi="Times New Roman" w:cs="Times New Roman"/>
        </w:rPr>
        <w:footnoteRef/>
      </w:r>
      <w:r w:rsidRPr="001876B6">
        <w:rPr>
          <w:rFonts w:ascii="Times New Roman" w:hAnsi="Times New Roman" w:cs="Times New Roman"/>
        </w:rPr>
        <w:t xml:space="preserve"> Maksimalna zabilježena brzina gibanja klizišta iznosila je 4,5 mm/dan, a dogodila se u prvom tjednu travnja 2013. godine. Prema: Krkač M. Opservatorij za praćenje klizišta Kostanjek</w:t>
      </w:r>
    </w:p>
  </w:footnote>
  <w:footnote w:id="127">
    <w:p w14:paraId="4C097DBC" w14:textId="77777777" w:rsidR="003E564E" w:rsidRDefault="003E564E" w:rsidP="00DD0C1F">
      <w:pPr>
        <w:pStyle w:val="FootnoteText"/>
        <w:ind w:left="0" w:right="0" w:firstLine="0"/>
      </w:pPr>
      <w:r w:rsidRPr="001876B6">
        <w:rPr>
          <w:rStyle w:val="FootnoteReference"/>
          <w:rFonts w:ascii="Times New Roman" w:hAnsi="Times New Roman" w:cs="Times New Roman"/>
        </w:rPr>
        <w:footnoteRef/>
      </w:r>
      <w:r w:rsidRPr="001876B6">
        <w:rPr>
          <w:rFonts w:ascii="Times New Roman" w:hAnsi="Times New Roman" w:cs="Times New Roman"/>
        </w:rPr>
        <w:t xml:space="preserve"> Samo na području klizišta Kostanjek živi oko 500 građana.</w:t>
      </w:r>
    </w:p>
  </w:footnote>
  <w:footnote w:id="128">
    <w:p w14:paraId="2329701D" w14:textId="77777777" w:rsidR="003E564E" w:rsidRPr="001876B6" w:rsidRDefault="003E564E" w:rsidP="00DD0C1F">
      <w:pPr>
        <w:pStyle w:val="FootnoteText"/>
        <w:ind w:left="0" w:right="0" w:firstLine="0"/>
        <w:rPr>
          <w:rFonts w:ascii="Times New Roman" w:hAnsi="Times New Roman" w:cs="Times New Roman"/>
        </w:rPr>
      </w:pPr>
      <w:r w:rsidRPr="001876B6">
        <w:rPr>
          <w:rStyle w:val="FootnoteReference"/>
          <w:rFonts w:ascii="Times New Roman" w:hAnsi="Times New Roman" w:cs="Times New Roman"/>
        </w:rPr>
        <w:footnoteRef/>
      </w:r>
      <w:r w:rsidRPr="001876B6">
        <w:rPr>
          <w:rFonts w:ascii="Times New Roman" w:hAnsi="Times New Roman" w:cs="Times New Roman"/>
        </w:rPr>
        <w:t xml:space="preserve"> Izvor: Izvješće o stanju evidentiranih i novonastalih nestabilnih padina u Gradu Zagrebu 2013./2014. s mjerama postupanja</w:t>
      </w:r>
    </w:p>
  </w:footnote>
  <w:footnote w:id="129">
    <w:p w14:paraId="07BEC1B6" w14:textId="77777777" w:rsidR="003E564E" w:rsidRPr="001876B6" w:rsidRDefault="003E564E" w:rsidP="00DD0C1F">
      <w:pPr>
        <w:pStyle w:val="FootnoteText"/>
        <w:ind w:left="0" w:right="0" w:firstLine="0"/>
        <w:rPr>
          <w:rFonts w:ascii="Times New Roman" w:hAnsi="Times New Roman" w:cs="Times New Roman"/>
        </w:rPr>
      </w:pPr>
      <w:r w:rsidRPr="001876B6">
        <w:rPr>
          <w:rStyle w:val="FootnoteReference"/>
          <w:rFonts w:ascii="Times New Roman" w:hAnsi="Times New Roman" w:cs="Times New Roman"/>
        </w:rPr>
        <w:footnoteRef/>
      </w:r>
      <w:r w:rsidRPr="001876B6">
        <w:rPr>
          <w:rFonts w:ascii="Times New Roman" w:hAnsi="Times New Roman" w:cs="Times New Roman"/>
        </w:rPr>
        <w:t xml:space="preserve"> Sokolić Ž.: Klizišta – mogućnosti smanjenja šteta, Polytechnic &amp; design vol. 1, no. 1, 2013</w:t>
      </w:r>
    </w:p>
  </w:footnote>
  <w:footnote w:id="130">
    <w:p w14:paraId="3C1A06EF" w14:textId="77777777" w:rsidR="003E564E" w:rsidRDefault="003E564E" w:rsidP="00BA0552">
      <w:pPr>
        <w:pStyle w:val="FootnoteText"/>
        <w:ind w:left="0" w:right="0" w:firstLine="0"/>
      </w:pPr>
      <w:r w:rsidRPr="001876B6">
        <w:rPr>
          <w:rStyle w:val="FootnoteReference"/>
          <w:rFonts w:ascii="Times New Roman" w:hAnsi="Times New Roman" w:cs="Times New Roman"/>
        </w:rPr>
        <w:footnoteRef/>
      </w:r>
      <w:r w:rsidRPr="001876B6">
        <w:rPr>
          <w:rFonts w:ascii="Times New Roman" w:hAnsi="Times New Roman" w:cs="Times New Roman"/>
        </w:rPr>
        <w:t xml:space="preserve"> Izvor: Izvješće o stanju evidentiranih i novonastalih nestabilnih padina u Gradu Zagrebu 2013./2014. s mjerama postupanja</w:t>
      </w:r>
    </w:p>
  </w:footnote>
  <w:footnote w:id="131">
    <w:p w14:paraId="4D88D1EB" w14:textId="77777777" w:rsidR="003E564E" w:rsidRPr="001876B6" w:rsidRDefault="003E564E" w:rsidP="00472217">
      <w:pPr>
        <w:pStyle w:val="FootnoteText"/>
        <w:rPr>
          <w:rFonts w:ascii="Times New Roman" w:hAnsi="Times New Roman" w:cs="Times New Roman"/>
        </w:rPr>
      </w:pPr>
      <w:r w:rsidRPr="001876B6">
        <w:rPr>
          <w:rStyle w:val="FootnoteReference"/>
          <w:rFonts w:ascii="Times New Roman" w:hAnsi="Times New Roman" w:cs="Times New Roman"/>
        </w:rPr>
        <w:footnoteRef/>
      </w:r>
      <w:r w:rsidRPr="001876B6">
        <w:rPr>
          <w:rFonts w:ascii="Times New Roman" w:hAnsi="Times New Roman" w:cs="Times New Roman"/>
        </w:rPr>
        <w:t xml:space="preserve"> Izvor: RH-Glavna radna skupina Hrvatske platforme za smanjenje rizika od katastrofa, 2019.</w:t>
      </w:r>
    </w:p>
  </w:footnote>
  <w:footnote w:id="132">
    <w:p w14:paraId="14EA0F12" w14:textId="77777777" w:rsidR="003E564E" w:rsidRPr="00346F79" w:rsidRDefault="003E564E" w:rsidP="00253B15">
      <w:pPr>
        <w:pStyle w:val="FootnoteText"/>
        <w:ind w:left="0" w:right="0" w:firstLine="0"/>
        <w:rPr>
          <w:rFonts w:ascii="Times New Roman" w:hAnsi="Times New Roman" w:cs="Times New Roman"/>
        </w:rPr>
      </w:pPr>
      <w:r w:rsidRPr="00346F79">
        <w:rPr>
          <w:rStyle w:val="FootnoteReference"/>
          <w:rFonts w:ascii="Times New Roman" w:hAnsi="Times New Roman" w:cs="Times New Roman"/>
        </w:rPr>
        <w:footnoteRef/>
      </w:r>
      <w:r w:rsidRPr="00346F79">
        <w:rPr>
          <w:rFonts w:ascii="Times New Roman" w:hAnsi="Times New Roman" w:cs="Times New Roman"/>
        </w:rPr>
        <w:t xml:space="preserve"> Preliminarni podaci projekta PRI-MJER su dobiveni ljubaznošću znanstvenika sa Rudarsko-geološko-naftnog fakulteta Sveučilišta u Zagrebu, gospođe Sanje Bernat Gazibara, istraživačice na projektu i Snježane Mihalić Arbanas, voditeljice projekta</w:t>
      </w:r>
    </w:p>
  </w:footnote>
  <w:footnote w:id="133">
    <w:p w14:paraId="7250F230" w14:textId="77777777" w:rsidR="003E564E" w:rsidRDefault="003E564E" w:rsidP="00472217">
      <w:pPr>
        <w:pStyle w:val="FootnoteText"/>
      </w:pPr>
      <w:r w:rsidRPr="00346F79">
        <w:rPr>
          <w:rStyle w:val="FootnoteReference"/>
          <w:rFonts w:ascii="Times New Roman" w:hAnsi="Times New Roman" w:cs="Times New Roman"/>
        </w:rPr>
        <w:footnoteRef/>
      </w:r>
      <w:r w:rsidRPr="00346F79">
        <w:rPr>
          <w:rFonts w:ascii="Times New Roman" w:hAnsi="Times New Roman" w:cs="Times New Roman"/>
        </w:rPr>
        <w:t xml:space="preserve"> Stručna podloga za Državni plan prostornog razvoja, DPPR, prosinac 2019.</w:t>
      </w:r>
    </w:p>
  </w:footnote>
  <w:footnote w:id="134">
    <w:p w14:paraId="6EC8804A" w14:textId="5FCCFB9B" w:rsidR="003E564E" w:rsidRPr="00B96E60" w:rsidRDefault="003E564E" w:rsidP="00B96E60">
      <w:pPr>
        <w:pStyle w:val="FootnoteText"/>
        <w:ind w:left="0" w:right="0" w:firstLine="0"/>
        <w:rPr>
          <w:rFonts w:ascii="Times New Roman" w:hAnsi="Times New Roman" w:cs="Times New Roman"/>
        </w:rPr>
      </w:pPr>
      <w:r w:rsidRPr="00B96E60">
        <w:rPr>
          <w:rStyle w:val="FootnoteReference"/>
          <w:rFonts w:ascii="Times New Roman" w:hAnsi="Times New Roman" w:cs="Times New Roman"/>
        </w:rPr>
        <w:footnoteRef/>
      </w:r>
      <w:r w:rsidRPr="00B96E60">
        <w:rPr>
          <w:rFonts w:ascii="Times New Roman" w:hAnsi="Times New Roman" w:cs="Times New Roman"/>
        </w:rPr>
        <w:t xml:space="preserve"> Gradski ured za mjesnu samoupravu, civilnu zaštitu i sigurnost 01.01.2022. godine preuzeo je poslove ukinutog Ureda za upravljanje u hitnim situacijama.</w:t>
      </w:r>
    </w:p>
  </w:footnote>
  <w:footnote w:id="135">
    <w:p w14:paraId="2A99D93C" w14:textId="42951B62" w:rsidR="003E564E" w:rsidRPr="00C52618" w:rsidRDefault="003E564E" w:rsidP="0081626E">
      <w:pPr>
        <w:pStyle w:val="FootnoteText"/>
        <w:ind w:left="0" w:right="0" w:firstLine="0"/>
        <w:rPr>
          <w:rFonts w:ascii="Times New Roman" w:hAnsi="Times New Roman" w:cs="Times New Roman"/>
        </w:rPr>
      </w:pPr>
      <w:r w:rsidRPr="00FB2492">
        <w:rPr>
          <w:rStyle w:val="FootnoteReference"/>
          <w:rFonts w:ascii="Times New Roman" w:hAnsi="Times New Roman" w:cs="Times New Roman"/>
        </w:rPr>
        <w:footnoteRef/>
      </w:r>
      <w:r w:rsidRPr="00FB2492">
        <w:rPr>
          <w:rFonts w:ascii="Times New Roman" w:hAnsi="Times New Roman" w:cs="Times New Roman"/>
        </w:rPr>
        <w:t xml:space="preserve"> Navedeni ured 01.01.2022. godine preuzeo je poslove ukinutog Ureda za upravljanje u hitnim situacijama.</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7862639"/>
      <w:docPartObj>
        <w:docPartGallery w:val="Page Numbers (Top of Page)"/>
        <w:docPartUnique/>
      </w:docPartObj>
    </w:sdtPr>
    <w:sdtEndPr/>
    <w:sdtContent>
      <w:p w14:paraId="37E4B283" w14:textId="54CE34BE" w:rsidR="003E564E" w:rsidRDefault="003E564E">
        <w:pPr>
          <w:pStyle w:val="Header"/>
          <w:jc w:val="center"/>
        </w:pPr>
        <w:r>
          <w:fldChar w:fldCharType="begin"/>
        </w:r>
        <w:r>
          <w:instrText>PAGE   \* MERGEFORMAT</w:instrText>
        </w:r>
        <w:r>
          <w:fldChar w:fldCharType="separate"/>
        </w:r>
        <w:r w:rsidR="00757B52">
          <w:rPr>
            <w:noProof/>
          </w:rPr>
          <w:t>339</w:t>
        </w:r>
        <w:r>
          <w:fldChar w:fldCharType="end"/>
        </w:r>
      </w:p>
    </w:sdtContent>
  </w:sdt>
  <w:p w14:paraId="649543E5" w14:textId="77777777" w:rsidR="003E564E" w:rsidRDefault="003E564E">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090301" w14:textId="77777777" w:rsidR="003E564E" w:rsidRDefault="003E564E">
    <w:pPr>
      <w:spacing w:after="160" w:line="259" w:lineRule="auto"/>
      <w:ind w:left="0" w:right="0" w:firstLine="0"/>
      <w:jc w:val="left"/>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AD70D7" w14:textId="77777777" w:rsidR="003E564E" w:rsidRDefault="003E564E">
    <w:pPr>
      <w:spacing w:after="160" w:line="259" w:lineRule="auto"/>
      <w:ind w:left="0" w:right="0" w:firstLine="0"/>
      <w:jc w:val="left"/>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D71A19" w14:textId="77777777" w:rsidR="003E564E" w:rsidRDefault="003E564E">
    <w:pPr>
      <w:spacing w:after="160" w:line="259" w:lineRule="auto"/>
      <w:ind w:left="0" w:right="0" w:firstLine="0"/>
      <w:jc w:val="left"/>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ABEE0E" w14:textId="77777777" w:rsidR="003E564E" w:rsidRDefault="003E564E" w:rsidP="005D3746">
    <w:pPr>
      <w:pStyle w:val="Header"/>
      <w:framePr w:wrap="around"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p w14:paraId="18D82FD5" w14:textId="77777777" w:rsidR="003E564E" w:rsidRDefault="003E564E">
    <w:pPr>
      <w:spacing w:after="0" w:line="259" w:lineRule="auto"/>
      <w:ind w:left="0" w:right="53" w:firstLine="0"/>
      <w:jc w:val="center"/>
    </w:pPr>
    <w:r>
      <w:t xml:space="preserve">GRAD Zagreb - Procjena rizika od velikih nesreća </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71CE46" w14:textId="03773F95" w:rsidR="003E564E" w:rsidRPr="00EF2CCB" w:rsidRDefault="003E564E" w:rsidP="00EF2CCB">
    <w:pPr>
      <w:pStyle w:val="Header"/>
      <w:tabs>
        <w:tab w:val="clear" w:pos="4536"/>
        <w:tab w:val="clear" w:pos="9072"/>
      </w:tabs>
      <w:ind w:left="0" w:right="0" w:firstLine="0"/>
      <w:jc w:val="center"/>
      <w:rPr>
        <w:rFonts w:ascii="Times New Roman" w:hAnsi="Times New Roman" w:cs="Times New Roman"/>
        <w:sz w:val="24"/>
      </w:rPr>
    </w:pPr>
    <w:r w:rsidRPr="00EE6A22">
      <w:rPr>
        <w:rStyle w:val="PageNumber"/>
        <w:rFonts w:ascii="Times New Roman" w:hAnsi="Times New Roman" w:cs="Times New Roman"/>
        <w:sz w:val="24"/>
      </w:rPr>
      <w:fldChar w:fldCharType="begin"/>
    </w:r>
    <w:r w:rsidRPr="00EE6A22">
      <w:rPr>
        <w:rStyle w:val="PageNumber"/>
        <w:rFonts w:ascii="Times New Roman" w:hAnsi="Times New Roman" w:cs="Times New Roman"/>
        <w:sz w:val="24"/>
      </w:rPr>
      <w:instrText xml:space="preserve"> PAGE </w:instrText>
    </w:r>
    <w:r w:rsidRPr="00EE6A22">
      <w:rPr>
        <w:rStyle w:val="PageNumber"/>
        <w:rFonts w:ascii="Times New Roman" w:hAnsi="Times New Roman" w:cs="Times New Roman"/>
        <w:sz w:val="24"/>
      </w:rPr>
      <w:fldChar w:fldCharType="separate"/>
    </w:r>
    <w:r w:rsidR="00757B52">
      <w:rPr>
        <w:rStyle w:val="PageNumber"/>
        <w:rFonts w:ascii="Times New Roman" w:hAnsi="Times New Roman" w:cs="Times New Roman"/>
        <w:noProof/>
        <w:sz w:val="24"/>
      </w:rPr>
      <w:t>344</w:t>
    </w:r>
    <w:r w:rsidRPr="00EE6A22">
      <w:rPr>
        <w:rStyle w:val="PageNumber"/>
        <w:rFonts w:ascii="Times New Roman" w:hAnsi="Times New Roman" w:cs="Times New Roman"/>
        <w:sz w:val="24"/>
      </w:rPr>
      <w:fldChar w:fldCharType="end"/>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D93738"/>
    <w:multiLevelType w:val="hybridMultilevel"/>
    <w:tmpl w:val="1B96C3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A440BBC"/>
    <w:multiLevelType w:val="hybridMultilevel"/>
    <w:tmpl w:val="E04077B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B4F0970"/>
    <w:multiLevelType w:val="hybridMultilevel"/>
    <w:tmpl w:val="8944575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EAF00CE"/>
    <w:multiLevelType w:val="hybridMultilevel"/>
    <w:tmpl w:val="2DD6F5A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12C13155"/>
    <w:multiLevelType w:val="hybridMultilevel"/>
    <w:tmpl w:val="23B65A1E"/>
    <w:lvl w:ilvl="0" w:tplc="C616B9B2">
      <w:start w:val="2"/>
      <w:numFmt w:val="bullet"/>
      <w:lvlText w:val="-"/>
      <w:lvlJc w:val="left"/>
      <w:pPr>
        <w:ind w:left="720" w:hanging="360"/>
      </w:pPr>
      <w:rPr>
        <w:rFonts w:ascii="Arial" w:eastAsia="Arial"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1DA325BD"/>
    <w:multiLevelType w:val="hybridMultilevel"/>
    <w:tmpl w:val="F48676B2"/>
    <w:lvl w:ilvl="0" w:tplc="6544398C">
      <w:start w:val="1"/>
      <w:numFmt w:val="bullet"/>
      <w:lvlText w:val="-"/>
      <w:lvlJc w:val="left"/>
      <w:pPr>
        <w:ind w:left="1429" w:hanging="360"/>
      </w:pPr>
      <w:rPr>
        <w:rFonts w:ascii="Calibri" w:eastAsia="Calibri" w:hAnsi="Calibri" w:cs="Calibri" w:hint="default"/>
        <w:b w:val="0"/>
        <w:i w:val="0"/>
        <w:strike w:val="0"/>
        <w:dstrike w:val="0"/>
        <w:color w:val="000000"/>
        <w:sz w:val="22"/>
        <w:szCs w:val="22"/>
        <w:u w:val="none" w:color="000000"/>
        <w:bdr w:val="none" w:sz="0" w:space="0" w:color="auto"/>
        <w:shd w:val="clear" w:color="auto" w:fill="auto"/>
        <w:vertAlign w:val="baseline"/>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6" w15:restartNumberingAfterBreak="0">
    <w:nsid w:val="20C155F5"/>
    <w:multiLevelType w:val="hybridMultilevel"/>
    <w:tmpl w:val="DD7C68E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2A925440"/>
    <w:multiLevelType w:val="hybridMultilevel"/>
    <w:tmpl w:val="B218D70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30B37AD8"/>
    <w:multiLevelType w:val="hybridMultilevel"/>
    <w:tmpl w:val="E2C439C2"/>
    <w:lvl w:ilvl="0" w:tplc="041A0001">
      <w:start w:val="1"/>
      <w:numFmt w:val="bullet"/>
      <w:lvlText w:val=""/>
      <w:lvlJc w:val="left"/>
      <w:pPr>
        <w:ind w:left="1429" w:hanging="360"/>
      </w:pPr>
      <w:rPr>
        <w:rFonts w:ascii="Symbol" w:hAnsi="Symbol"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9" w15:restartNumberingAfterBreak="0">
    <w:nsid w:val="3139220F"/>
    <w:multiLevelType w:val="hybridMultilevel"/>
    <w:tmpl w:val="9D34726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35C62A22"/>
    <w:multiLevelType w:val="hybridMultilevel"/>
    <w:tmpl w:val="4D6CBF8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15:restartNumberingAfterBreak="0">
    <w:nsid w:val="40996929"/>
    <w:multiLevelType w:val="hybridMultilevel"/>
    <w:tmpl w:val="2EEEE180"/>
    <w:lvl w:ilvl="0" w:tplc="27FC611C">
      <w:start w:val="1"/>
      <w:numFmt w:val="bullet"/>
      <w:lvlText w:val="-"/>
      <w:lvlJc w:val="left"/>
      <w:pPr>
        <w:ind w:left="720" w:hanging="360"/>
      </w:pPr>
      <w:rPr>
        <w:rFonts w:ascii="SimSun-ExtB" w:eastAsia="SimSun-ExtB" w:hAnsi="SimSun-ExtB" w:cs="SimSun-ExtB"/>
        <w:b w:val="0"/>
        <w:i w:val="0"/>
        <w:strike w:val="0"/>
        <w:dstrike w:val="0"/>
        <w:color w:val="000000"/>
        <w:sz w:val="22"/>
        <w:szCs w:val="22"/>
        <w:u w:val="none" w:color="000000"/>
        <w:bdr w:val="none" w:sz="0" w:space="0" w:color="auto"/>
        <w:shd w:val="clear" w:color="auto" w:fill="auto"/>
        <w:vertAlign w:val="baseline"/>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41C1398D"/>
    <w:multiLevelType w:val="hybridMultilevel"/>
    <w:tmpl w:val="1D26AC76"/>
    <w:lvl w:ilvl="0" w:tplc="D0C218B2">
      <w:start w:val="1"/>
      <w:numFmt w:val="bullet"/>
      <w:lvlText w:val="-"/>
      <w:lvlJc w:val="left"/>
      <w:pPr>
        <w:ind w:left="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34E1A0E">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802F746">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6041A24">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052E0A4">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A64C2E2">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3C2A086">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26C854E">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1785FE4">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430F5A13"/>
    <w:multiLevelType w:val="hybridMultilevel"/>
    <w:tmpl w:val="9662C57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4E6C5856"/>
    <w:multiLevelType w:val="hybridMultilevel"/>
    <w:tmpl w:val="331AD9C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4E6F4771"/>
    <w:multiLevelType w:val="hybridMultilevel"/>
    <w:tmpl w:val="D4C873A6"/>
    <w:lvl w:ilvl="0" w:tplc="B9D6F6F6">
      <w:start w:val="1"/>
      <w:numFmt w:val="decimal"/>
      <w:lvlText w:val="%1)"/>
      <w:lvlJc w:val="left"/>
      <w:pPr>
        <w:ind w:left="1069" w:hanging="360"/>
      </w:pPr>
      <w:rPr>
        <w:rFonts w:hint="default"/>
      </w:rPr>
    </w:lvl>
    <w:lvl w:ilvl="1" w:tplc="041A0019" w:tentative="1">
      <w:start w:val="1"/>
      <w:numFmt w:val="lowerLetter"/>
      <w:lvlText w:val="%2."/>
      <w:lvlJc w:val="left"/>
      <w:pPr>
        <w:ind w:left="1789" w:hanging="360"/>
      </w:pPr>
    </w:lvl>
    <w:lvl w:ilvl="2" w:tplc="041A001B" w:tentative="1">
      <w:start w:val="1"/>
      <w:numFmt w:val="lowerRoman"/>
      <w:lvlText w:val="%3."/>
      <w:lvlJc w:val="right"/>
      <w:pPr>
        <w:ind w:left="2509" w:hanging="180"/>
      </w:pPr>
    </w:lvl>
    <w:lvl w:ilvl="3" w:tplc="041A000F" w:tentative="1">
      <w:start w:val="1"/>
      <w:numFmt w:val="decimal"/>
      <w:lvlText w:val="%4."/>
      <w:lvlJc w:val="left"/>
      <w:pPr>
        <w:ind w:left="3229" w:hanging="360"/>
      </w:pPr>
    </w:lvl>
    <w:lvl w:ilvl="4" w:tplc="041A0019" w:tentative="1">
      <w:start w:val="1"/>
      <w:numFmt w:val="lowerLetter"/>
      <w:lvlText w:val="%5."/>
      <w:lvlJc w:val="left"/>
      <w:pPr>
        <w:ind w:left="3949" w:hanging="360"/>
      </w:pPr>
    </w:lvl>
    <w:lvl w:ilvl="5" w:tplc="041A001B" w:tentative="1">
      <w:start w:val="1"/>
      <w:numFmt w:val="lowerRoman"/>
      <w:lvlText w:val="%6."/>
      <w:lvlJc w:val="right"/>
      <w:pPr>
        <w:ind w:left="4669" w:hanging="180"/>
      </w:pPr>
    </w:lvl>
    <w:lvl w:ilvl="6" w:tplc="041A000F" w:tentative="1">
      <w:start w:val="1"/>
      <w:numFmt w:val="decimal"/>
      <w:lvlText w:val="%7."/>
      <w:lvlJc w:val="left"/>
      <w:pPr>
        <w:ind w:left="5389" w:hanging="360"/>
      </w:pPr>
    </w:lvl>
    <w:lvl w:ilvl="7" w:tplc="041A0019" w:tentative="1">
      <w:start w:val="1"/>
      <w:numFmt w:val="lowerLetter"/>
      <w:lvlText w:val="%8."/>
      <w:lvlJc w:val="left"/>
      <w:pPr>
        <w:ind w:left="6109" w:hanging="360"/>
      </w:pPr>
    </w:lvl>
    <w:lvl w:ilvl="8" w:tplc="041A001B" w:tentative="1">
      <w:start w:val="1"/>
      <w:numFmt w:val="lowerRoman"/>
      <w:lvlText w:val="%9."/>
      <w:lvlJc w:val="right"/>
      <w:pPr>
        <w:ind w:left="6829" w:hanging="180"/>
      </w:pPr>
    </w:lvl>
  </w:abstractNum>
  <w:abstractNum w:abstractNumId="16" w15:restartNumberingAfterBreak="0">
    <w:nsid w:val="512E2052"/>
    <w:multiLevelType w:val="hybridMultilevel"/>
    <w:tmpl w:val="1D9C4FE6"/>
    <w:lvl w:ilvl="0" w:tplc="041A0013">
      <w:start w:val="1"/>
      <w:numFmt w:val="upperRoman"/>
      <w:lvlText w:val="%1."/>
      <w:lvlJc w:val="righ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 w15:restartNumberingAfterBreak="0">
    <w:nsid w:val="5A2E6D8D"/>
    <w:multiLevelType w:val="hybridMultilevel"/>
    <w:tmpl w:val="31FA954E"/>
    <w:lvl w:ilvl="0" w:tplc="041A0001">
      <w:start w:val="1"/>
      <w:numFmt w:val="bullet"/>
      <w:lvlText w:val=""/>
      <w:lvlJc w:val="left"/>
      <w:pPr>
        <w:ind w:left="1429" w:hanging="360"/>
      </w:pPr>
      <w:rPr>
        <w:rFonts w:ascii="Symbol" w:hAnsi="Symbol"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18" w15:restartNumberingAfterBreak="0">
    <w:nsid w:val="5BCC6BDF"/>
    <w:multiLevelType w:val="hybridMultilevel"/>
    <w:tmpl w:val="D4CAC448"/>
    <w:lvl w:ilvl="0" w:tplc="85989822">
      <w:start w:val="1"/>
      <w:numFmt w:val="decimal"/>
      <w:lvlText w:val="%1."/>
      <w:lvlJc w:val="left"/>
      <w:pPr>
        <w:ind w:left="1069" w:hanging="360"/>
      </w:pPr>
      <w:rPr>
        <w:rFonts w:hint="default"/>
      </w:rPr>
    </w:lvl>
    <w:lvl w:ilvl="1" w:tplc="041A0019" w:tentative="1">
      <w:start w:val="1"/>
      <w:numFmt w:val="lowerLetter"/>
      <w:lvlText w:val="%2."/>
      <w:lvlJc w:val="left"/>
      <w:pPr>
        <w:ind w:left="1789" w:hanging="360"/>
      </w:pPr>
    </w:lvl>
    <w:lvl w:ilvl="2" w:tplc="041A001B" w:tentative="1">
      <w:start w:val="1"/>
      <w:numFmt w:val="lowerRoman"/>
      <w:lvlText w:val="%3."/>
      <w:lvlJc w:val="right"/>
      <w:pPr>
        <w:ind w:left="2509" w:hanging="180"/>
      </w:pPr>
    </w:lvl>
    <w:lvl w:ilvl="3" w:tplc="041A000F" w:tentative="1">
      <w:start w:val="1"/>
      <w:numFmt w:val="decimal"/>
      <w:lvlText w:val="%4."/>
      <w:lvlJc w:val="left"/>
      <w:pPr>
        <w:ind w:left="3229" w:hanging="360"/>
      </w:pPr>
    </w:lvl>
    <w:lvl w:ilvl="4" w:tplc="041A0019" w:tentative="1">
      <w:start w:val="1"/>
      <w:numFmt w:val="lowerLetter"/>
      <w:lvlText w:val="%5."/>
      <w:lvlJc w:val="left"/>
      <w:pPr>
        <w:ind w:left="3949" w:hanging="360"/>
      </w:pPr>
    </w:lvl>
    <w:lvl w:ilvl="5" w:tplc="041A001B" w:tentative="1">
      <w:start w:val="1"/>
      <w:numFmt w:val="lowerRoman"/>
      <w:lvlText w:val="%6."/>
      <w:lvlJc w:val="right"/>
      <w:pPr>
        <w:ind w:left="4669" w:hanging="180"/>
      </w:pPr>
    </w:lvl>
    <w:lvl w:ilvl="6" w:tplc="041A000F" w:tentative="1">
      <w:start w:val="1"/>
      <w:numFmt w:val="decimal"/>
      <w:lvlText w:val="%7."/>
      <w:lvlJc w:val="left"/>
      <w:pPr>
        <w:ind w:left="5389" w:hanging="360"/>
      </w:pPr>
    </w:lvl>
    <w:lvl w:ilvl="7" w:tplc="041A0019" w:tentative="1">
      <w:start w:val="1"/>
      <w:numFmt w:val="lowerLetter"/>
      <w:lvlText w:val="%8."/>
      <w:lvlJc w:val="left"/>
      <w:pPr>
        <w:ind w:left="6109" w:hanging="360"/>
      </w:pPr>
    </w:lvl>
    <w:lvl w:ilvl="8" w:tplc="041A001B" w:tentative="1">
      <w:start w:val="1"/>
      <w:numFmt w:val="lowerRoman"/>
      <w:lvlText w:val="%9."/>
      <w:lvlJc w:val="right"/>
      <w:pPr>
        <w:ind w:left="6829" w:hanging="180"/>
      </w:pPr>
    </w:lvl>
  </w:abstractNum>
  <w:abstractNum w:abstractNumId="19" w15:restartNumberingAfterBreak="0">
    <w:nsid w:val="5C3821FB"/>
    <w:multiLevelType w:val="hybridMultilevel"/>
    <w:tmpl w:val="B0FC3D7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5F947DF3"/>
    <w:multiLevelType w:val="hybridMultilevel"/>
    <w:tmpl w:val="3C7E1FF2"/>
    <w:lvl w:ilvl="0" w:tplc="041A0001">
      <w:start w:val="1"/>
      <w:numFmt w:val="bullet"/>
      <w:lvlText w:val=""/>
      <w:lvlJc w:val="left"/>
      <w:pPr>
        <w:ind w:left="1429" w:hanging="360"/>
      </w:pPr>
      <w:rPr>
        <w:rFonts w:ascii="Symbol" w:hAnsi="Symbol"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1" w15:restartNumberingAfterBreak="0">
    <w:nsid w:val="66F20F7A"/>
    <w:multiLevelType w:val="hybridMultilevel"/>
    <w:tmpl w:val="E8709B4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2" w15:restartNumberingAfterBreak="0">
    <w:nsid w:val="6B683105"/>
    <w:multiLevelType w:val="hybridMultilevel"/>
    <w:tmpl w:val="352A0810"/>
    <w:lvl w:ilvl="0" w:tplc="27FC611C">
      <w:start w:val="1"/>
      <w:numFmt w:val="bullet"/>
      <w:lvlText w:val="-"/>
      <w:lvlJc w:val="left"/>
      <w:pPr>
        <w:ind w:left="720" w:hanging="360"/>
      </w:pPr>
      <w:rPr>
        <w:rFonts w:ascii="SimSun-ExtB" w:eastAsia="SimSun-ExtB" w:hAnsi="SimSun-ExtB" w:cs="SimSun-ExtB"/>
        <w:b w:val="0"/>
        <w:i w:val="0"/>
        <w:strike w:val="0"/>
        <w:dstrike w:val="0"/>
        <w:color w:val="000000"/>
        <w:sz w:val="22"/>
        <w:szCs w:val="22"/>
        <w:u w:val="none" w:color="000000"/>
        <w:bdr w:val="none" w:sz="0" w:space="0" w:color="auto"/>
        <w:shd w:val="clear" w:color="auto" w:fill="auto"/>
        <w:vertAlign w:val="baseline"/>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79131E75"/>
    <w:multiLevelType w:val="hybridMultilevel"/>
    <w:tmpl w:val="6944B934"/>
    <w:lvl w:ilvl="0" w:tplc="041A0001">
      <w:start w:val="1"/>
      <w:numFmt w:val="bullet"/>
      <w:lvlText w:val=""/>
      <w:lvlJc w:val="left"/>
      <w:pPr>
        <w:ind w:left="1429" w:hanging="360"/>
      </w:pPr>
      <w:rPr>
        <w:rFonts w:ascii="Symbol" w:hAnsi="Symbol"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4" w15:restartNumberingAfterBreak="0">
    <w:nsid w:val="7B245F34"/>
    <w:multiLevelType w:val="hybridMultilevel"/>
    <w:tmpl w:val="38EC3D3A"/>
    <w:lvl w:ilvl="0" w:tplc="27FC611C">
      <w:start w:val="1"/>
      <w:numFmt w:val="bullet"/>
      <w:lvlText w:val="-"/>
      <w:lvlJc w:val="left"/>
      <w:pPr>
        <w:ind w:left="720" w:hanging="360"/>
      </w:pPr>
      <w:rPr>
        <w:rFonts w:ascii="SimSun-ExtB" w:eastAsia="SimSun-ExtB" w:hAnsi="SimSun-ExtB" w:cs="SimSun-ExtB"/>
        <w:b w:val="0"/>
        <w:i w:val="0"/>
        <w:strike w:val="0"/>
        <w:dstrike w:val="0"/>
        <w:color w:val="000000"/>
        <w:sz w:val="22"/>
        <w:szCs w:val="22"/>
        <w:u w:val="none" w:color="000000"/>
        <w:bdr w:val="none" w:sz="0" w:space="0" w:color="auto"/>
        <w:shd w:val="clear" w:color="auto" w:fill="auto"/>
        <w:vertAlign w:val="baseline"/>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7BCA3648"/>
    <w:multiLevelType w:val="hybridMultilevel"/>
    <w:tmpl w:val="6E4CDCA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7DDD6973"/>
    <w:multiLevelType w:val="hybridMultilevel"/>
    <w:tmpl w:val="4D784C4C"/>
    <w:lvl w:ilvl="0" w:tplc="5DF035BC">
      <w:start w:val="1"/>
      <w:numFmt w:val="bullet"/>
      <w:lvlText w:val="•"/>
      <w:lvlJc w:val="left"/>
      <w:pPr>
        <w:ind w:left="11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FAA3EC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F14873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EBABCE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648EB0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4B8488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0646F3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F3265A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00A47D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7E625741"/>
    <w:multiLevelType w:val="hybridMultilevel"/>
    <w:tmpl w:val="DB4C7770"/>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9"/>
  </w:num>
  <w:num w:numId="2">
    <w:abstractNumId w:val="20"/>
  </w:num>
  <w:num w:numId="3">
    <w:abstractNumId w:val="17"/>
  </w:num>
  <w:num w:numId="4">
    <w:abstractNumId w:val="23"/>
  </w:num>
  <w:num w:numId="5">
    <w:abstractNumId w:val="8"/>
  </w:num>
  <w:num w:numId="6">
    <w:abstractNumId w:val="0"/>
  </w:num>
  <w:num w:numId="7">
    <w:abstractNumId w:val="6"/>
  </w:num>
  <w:num w:numId="8">
    <w:abstractNumId w:val="25"/>
  </w:num>
  <w:num w:numId="9">
    <w:abstractNumId w:val="19"/>
  </w:num>
  <w:num w:numId="10">
    <w:abstractNumId w:val="4"/>
  </w:num>
  <w:num w:numId="11">
    <w:abstractNumId w:val="27"/>
  </w:num>
  <w:num w:numId="12">
    <w:abstractNumId w:val="26"/>
  </w:num>
  <w:num w:numId="13">
    <w:abstractNumId w:val="11"/>
  </w:num>
  <w:num w:numId="14">
    <w:abstractNumId w:val="16"/>
  </w:num>
  <w:num w:numId="15">
    <w:abstractNumId w:val="22"/>
  </w:num>
  <w:num w:numId="16">
    <w:abstractNumId w:val="24"/>
  </w:num>
  <w:num w:numId="17">
    <w:abstractNumId w:val="12"/>
  </w:num>
  <w:num w:numId="18">
    <w:abstractNumId w:val="21"/>
  </w:num>
  <w:num w:numId="19">
    <w:abstractNumId w:val="10"/>
  </w:num>
  <w:num w:numId="20">
    <w:abstractNumId w:val="2"/>
  </w:num>
  <w:num w:numId="21">
    <w:abstractNumId w:val="3"/>
  </w:num>
  <w:num w:numId="22">
    <w:abstractNumId w:val="1"/>
  </w:num>
  <w:num w:numId="23">
    <w:abstractNumId w:val="7"/>
  </w:num>
  <w:num w:numId="24">
    <w:abstractNumId w:val="13"/>
  </w:num>
  <w:num w:numId="25">
    <w:abstractNumId w:val="14"/>
  </w:num>
  <w:num w:numId="26">
    <w:abstractNumId w:val="5"/>
  </w:num>
  <w:num w:numId="27">
    <w:abstractNumId w:val="18"/>
  </w:num>
  <w:num w:numId="28">
    <w:abstractNumId w:val="1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hideGrammaticalErrors/>
  <w:defaultTabStop w:val="709"/>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7A56"/>
    <w:rsid w:val="0000034B"/>
    <w:rsid w:val="00000A10"/>
    <w:rsid w:val="00005E09"/>
    <w:rsid w:val="00007DB6"/>
    <w:rsid w:val="000111DC"/>
    <w:rsid w:val="00012485"/>
    <w:rsid w:val="00012F75"/>
    <w:rsid w:val="00015133"/>
    <w:rsid w:val="00017BB4"/>
    <w:rsid w:val="00017EF4"/>
    <w:rsid w:val="00021B96"/>
    <w:rsid w:val="000234C5"/>
    <w:rsid w:val="00024019"/>
    <w:rsid w:val="00024AD9"/>
    <w:rsid w:val="00025DB7"/>
    <w:rsid w:val="00032A75"/>
    <w:rsid w:val="00032BDF"/>
    <w:rsid w:val="00032D35"/>
    <w:rsid w:val="00032DF1"/>
    <w:rsid w:val="00033F15"/>
    <w:rsid w:val="0003514B"/>
    <w:rsid w:val="00036534"/>
    <w:rsid w:val="0003700B"/>
    <w:rsid w:val="00037525"/>
    <w:rsid w:val="000420C4"/>
    <w:rsid w:val="00042753"/>
    <w:rsid w:val="000445FE"/>
    <w:rsid w:val="000468AD"/>
    <w:rsid w:val="00046FCA"/>
    <w:rsid w:val="000473BA"/>
    <w:rsid w:val="000473DB"/>
    <w:rsid w:val="000527A9"/>
    <w:rsid w:val="00054C96"/>
    <w:rsid w:val="0005574F"/>
    <w:rsid w:val="0005665B"/>
    <w:rsid w:val="00056BA6"/>
    <w:rsid w:val="00056C57"/>
    <w:rsid w:val="00057FF1"/>
    <w:rsid w:val="000629EB"/>
    <w:rsid w:val="00063E46"/>
    <w:rsid w:val="0006659B"/>
    <w:rsid w:val="00066661"/>
    <w:rsid w:val="00071131"/>
    <w:rsid w:val="00071895"/>
    <w:rsid w:val="00072515"/>
    <w:rsid w:val="00074124"/>
    <w:rsid w:val="00077BE4"/>
    <w:rsid w:val="0008048C"/>
    <w:rsid w:val="00082088"/>
    <w:rsid w:val="000827D3"/>
    <w:rsid w:val="0008295B"/>
    <w:rsid w:val="00084071"/>
    <w:rsid w:val="00085325"/>
    <w:rsid w:val="000868F1"/>
    <w:rsid w:val="00087825"/>
    <w:rsid w:val="00090318"/>
    <w:rsid w:val="000908CE"/>
    <w:rsid w:val="00092A6A"/>
    <w:rsid w:val="00095B37"/>
    <w:rsid w:val="00097718"/>
    <w:rsid w:val="00097DDA"/>
    <w:rsid w:val="000A146A"/>
    <w:rsid w:val="000A2649"/>
    <w:rsid w:val="000A3DB1"/>
    <w:rsid w:val="000A4F7D"/>
    <w:rsid w:val="000A50C7"/>
    <w:rsid w:val="000A61C2"/>
    <w:rsid w:val="000A7475"/>
    <w:rsid w:val="000B1D48"/>
    <w:rsid w:val="000B32DB"/>
    <w:rsid w:val="000B4DFD"/>
    <w:rsid w:val="000C0765"/>
    <w:rsid w:val="000C12EC"/>
    <w:rsid w:val="000C1A3A"/>
    <w:rsid w:val="000C2060"/>
    <w:rsid w:val="000C269E"/>
    <w:rsid w:val="000C3EAF"/>
    <w:rsid w:val="000C6C7D"/>
    <w:rsid w:val="000D0A3E"/>
    <w:rsid w:val="000D51B8"/>
    <w:rsid w:val="000D5B09"/>
    <w:rsid w:val="000D6A0F"/>
    <w:rsid w:val="000D6F7D"/>
    <w:rsid w:val="000D7780"/>
    <w:rsid w:val="000E077D"/>
    <w:rsid w:val="000E0CE1"/>
    <w:rsid w:val="000E2CA3"/>
    <w:rsid w:val="000E4BBE"/>
    <w:rsid w:val="000E4DD8"/>
    <w:rsid w:val="000E6F22"/>
    <w:rsid w:val="000F079D"/>
    <w:rsid w:val="000F11C7"/>
    <w:rsid w:val="000F205B"/>
    <w:rsid w:val="001009B0"/>
    <w:rsid w:val="001010ED"/>
    <w:rsid w:val="0010138E"/>
    <w:rsid w:val="0010207F"/>
    <w:rsid w:val="00105660"/>
    <w:rsid w:val="001111DF"/>
    <w:rsid w:val="00111BD0"/>
    <w:rsid w:val="001121BE"/>
    <w:rsid w:val="00112ABB"/>
    <w:rsid w:val="0011454A"/>
    <w:rsid w:val="00114CAB"/>
    <w:rsid w:val="00116089"/>
    <w:rsid w:val="0011661F"/>
    <w:rsid w:val="00116FFD"/>
    <w:rsid w:val="00117522"/>
    <w:rsid w:val="00117FAE"/>
    <w:rsid w:val="00122420"/>
    <w:rsid w:val="001234AE"/>
    <w:rsid w:val="00127169"/>
    <w:rsid w:val="0013016D"/>
    <w:rsid w:val="00130CB5"/>
    <w:rsid w:val="0013190F"/>
    <w:rsid w:val="00132544"/>
    <w:rsid w:val="00132C6C"/>
    <w:rsid w:val="00133200"/>
    <w:rsid w:val="0014113B"/>
    <w:rsid w:val="00143177"/>
    <w:rsid w:val="00146B29"/>
    <w:rsid w:val="001475F3"/>
    <w:rsid w:val="00151209"/>
    <w:rsid w:val="00151B52"/>
    <w:rsid w:val="001522F8"/>
    <w:rsid w:val="001526D4"/>
    <w:rsid w:val="001567FC"/>
    <w:rsid w:val="001570BF"/>
    <w:rsid w:val="00160761"/>
    <w:rsid w:val="001616AD"/>
    <w:rsid w:val="0016216A"/>
    <w:rsid w:val="00164BFA"/>
    <w:rsid w:val="001660F5"/>
    <w:rsid w:val="00166FEB"/>
    <w:rsid w:val="00167933"/>
    <w:rsid w:val="00167F7E"/>
    <w:rsid w:val="00170AF0"/>
    <w:rsid w:val="0017137F"/>
    <w:rsid w:val="00171F4E"/>
    <w:rsid w:val="001726D1"/>
    <w:rsid w:val="00172D22"/>
    <w:rsid w:val="00174514"/>
    <w:rsid w:val="00174C28"/>
    <w:rsid w:val="00175925"/>
    <w:rsid w:val="001773C5"/>
    <w:rsid w:val="0018095B"/>
    <w:rsid w:val="00180C62"/>
    <w:rsid w:val="001814BE"/>
    <w:rsid w:val="00181C9F"/>
    <w:rsid w:val="0018237C"/>
    <w:rsid w:val="00182C66"/>
    <w:rsid w:val="001872DA"/>
    <w:rsid w:val="00190B2E"/>
    <w:rsid w:val="001919E8"/>
    <w:rsid w:val="00193BC6"/>
    <w:rsid w:val="00196682"/>
    <w:rsid w:val="001967E9"/>
    <w:rsid w:val="001A04FA"/>
    <w:rsid w:val="001A0665"/>
    <w:rsid w:val="001A2E10"/>
    <w:rsid w:val="001A2EAB"/>
    <w:rsid w:val="001A30B6"/>
    <w:rsid w:val="001A6C5F"/>
    <w:rsid w:val="001B12E4"/>
    <w:rsid w:val="001B151C"/>
    <w:rsid w:val="001B261F"/>
    <w:rsid w:val="001B3661"/>
    <w:rsid w:val="001B3FDF"/>
    <w:rsid w:val="001C067E"/>
    <w:rsid w:val="001C1D02"/>
    <w:rsid w:val="001C4B06"/>
    <w:rsid w:val="001C4B08"/>
    <w:rsid w:val="001C5694"/>
    <w:rsid w:val="001C5BD1"/>
    <w:rsid w:val="001C6DB8"/>
    <w:rsid w:val="001D0309"/>
    <w:rsid w:val="001D052C"/>
    <w:rsid w:val="001D0904"/>
    <w:rsid w:val="001D0E66"/>
    <w:rsid w:val="001D13DB"/>
    <w:rsid w:val="001D3863"/>
    <w:rsid w:val="001D4E48"/>
    <w:rsid w:val="001D54C7"/>
    <w:rsid w:val="001D58E2"/>
    <w:rsid w:val="001D6E3A"/>
    <w:rsid w:val="001D7177"/>
    <w:rsid w:val="001D7DEB"/>
    <w:rsid w:val="001E2B36"/>
    <w:rsid w:val="001E30BB"/>
    <w:rsid w:val="001E3790"/>
    <w:rsid w:val="001E3BD8"/>
    <w:rsid w:val="001E4647"/>
    <w:rsid w:val="001E5E37"/>
    <w:rsid w:val="001F1761"/>
    <w:rsid w:val="001F4BC3"/>
    <w:rsid w:val="001F535B"/>
    <w:rsid w:val="001F5372"/>
    <w:rsid w:val="001F74D6"/>
    <w:rsid w:val="001F7793"/>
    <w:rsid w:val="00201092"/>
    <w:rsid w:val="00203932"/>
    <w:rsid w:val="0020584F"/>
    <w:rsid w:val="002078D1"/>
    <w:rsid w:val="002115F3"/>
    <w:rsid w:val="00211770"/>
    <w:rsid w:val="002120E2"/>
    <w:rsid w:val="00212858"/>
    <w:rsid w:val="0021465A"/>
    <w:rsid w:val="00215011"/>
    <w:rsid w:val="002164B2"/>
    <w:rsid w:val="00217F2F"/>
    <w:rsid w:val="00217F9E"/>
    <w:rsid w:val="0022015B"/>
    <w:rsid w:val="002213A3"/>
    <w:rsid w:val="00221DBD"/>
    <w:rsid w:val="002221D7"/>
    <w:rsid w:val="00222242"/>
    <w:rsid w:val="00223B89"/>
    <w:rsid w:val="00233D59"/>
    <w:rsid w:val="00236FA9"/>
    <w:rsid w:val="00237597"/>
    <w:rsid w:val="0023767A"/>
    <w:rsid w:val="00240A0F"/>
    <w:rsid w:val="00241617"/>
    <w:rsid w:val="002455A8"/>
    <w:rsid w:val="00247542"/>
    <w:rsid w:val="00247EE2"/>
    <w:rsid w:val="00250CDF"/>
    <w:rsid w:val="00251342"/>
    <w:rsid w:val="0025272B"/>
    <w:rsid w:val="00253410"/>
    <w:rsid w:val="002536D3"/>
    <w:rsid w:val="00253B15"/>
    <w:rsid w:val="002566A3"/>
    <w:rsid w:val="0025690A"/>
    <w:rsid w:val="0026214B"/>
    <w:rsid w:val="00263169"/>
    <w:rsid w:val="00264057"/>
    <w:rsid w:val="0026463B"/>
    <w:rsid w:val="00267014"/>
    <w:rsid w:val="0027224C"/>
    <w:rsid w:val="002735B8"/>
    <w:rsid w:val="00273E64"/>
    <w:rsid w:val="00276094"/>
    <w:rsid w:val="00280B08"/>
    <w:rsid w:val="002816C7"/>
    <w:rsid w:val="00283016"/>
    <w:rsid w:val="00284074"/>
    <w:rsid w:val="00284379"/>
    <w:rsid w:val="00284CF7"/>
    <w:rsid w:val="00292726"/>
    <w:rsid w:val="00294256"/>
    <w:rsid w:val="0029556F"/>
    <w:rsid w:val="0029696D"/>
    <w:rsid w:val="002A5312"/>
    <w:rsid w:val="002A5D88"/>
    <w:rsid w:val="002A6ABE"/>
    <w:rsid w:val="002B32A3"/>
    <w:rsid w:val="002B4402"/>
    <w:rsid w:val="002B4EE4"/>
    <w:rsid w:val="002B500E"/>
    <w:rsid w:val="002B66B6"/>
    <w:rsid w:val="002B7482"/>
    <w:rsid w:val="002B77F3"/>
    <w:rsid w:val="002C103F"/>
    <w:rsid w:val="002C11D2"/>
    <w:rsid w:val="002C23F8"/>
    <w:rsid w:val="002C28F4"/>
    <w:rsid w:val="002C3B4B"/>
    <w:rsid w:val="002C3C26"/>
    <w:rsid w:val="002D02D3"/>
    <w:rsid w:val="002D271C"/>
    <w:rsid w:val="002D2995"/>
    <w:rsid w:val="002D4A0F"/>
    <w:rsid w:val="002E1540"/>
    <w:rsid w:val="002E1DDD"/>
    <w:rsid w:val="002E40FE"/>
    <w:rsid w:val="002E583D"/>
    <w:rsid w:val="002E5C9E"/>
    <w:rsid w:val="002E6F3A"/>
    <w:rsid w:val="002E70D8"/>
    <w:rsid w:val="002E7435"/>
    <w:rsid w:val="002F19DD"/>
    <w:rsid w:val="002F1B29"/>
    <w:rsid w:val="002F47FC"/>
    <w:rsid w:val="002F4BE5"/>
    <w:rsid w:val="002F5A21"/>
    <w:rsid w:val="003008EE"/>
    <w:rsid w:val="00301CDC"/>
    <w:rsid w:val="00302468"/>
    <w:rsid w:val="00304536"/>
    <w:rsid w:val="00305E26"/>
    <w:rsid w:val="0030779B"/>
    <w:rsid w:val="0031044A"/>
    <w:rsid w:val="00311052"/>
    <w:rsid w:val="00312376"/>
    <w:rsid w:val="00312389"/>
    <w:rsid w:val="00317C14"/>
    <w:rsid w:val="003208D8"/>
    <w:rsid w:val="0032412D"/>
    <w:rsid w:val="0032536A"/>
    <w:rsid w:val="00327986"/>
    <w:rsid w:val="00327BAD"/>
    <w:rsid w:val="00330420"/>
    <w:rsid w:val="0033132A"/>
    <w:rsid w:val="00334BFA"/>
    <w:rsid w:val="003356FA"/>
    <w:rsid w:val="00335833"/>
    <w:rsid w:val="0033642E"/>
    <w:rsid w:val="003435D0"/>
    <w:rsid w:val="003440FA"/>
    <w:rsid w:val="00344AA5"/>
    <w:rsid w:val="0034630F"/>
    <w:rsid w:val="003465D6"/>
    <w:rsid w:val="0035046F"/>
    <w:rsid w:val="003508EC"/>
    <w:rsid w:val="0035283C"/>
    <w:rsid w:val="00355E3C"/>
    <w:rsid w:val="00357D50"/>
    <w:rsid w:val="00360054"/>
    <w:rsid w:val="00360BA9"/>
    <w:rsid w:val="00362B2A"/>
    <w:rsid w:val="00364E10"/>
    <w:rsid w:val="00366C7C"/>
    <w:rsid w:val="0036714A"/>
    <w:rsid w:val="003679D2"/>
    <w:rsid w:val="0037187C"/>
    <w:rsid w:val="00372467"/>
    <w:rsid w:val="00372E22"/>
    <w:rsid w:val="00375232"/>
    <w:rsid w:val="00377FBC"/>
    <w:rsid w:val="00381D97"/>
    <w:rsid w:val="00382983"/>
    <w:rsid w:val="003859B0"/>
    <w:rsid w:val="00385A37"/>
    <w:rsid w:val="00390916"/>
    <w:rsid w:val="0039317C"/>
    <w:rsid w:val="003934CF"/>
    <w:rsid w:val="003944AF"/>
    <w:rsid w:val="00395D8A"/>
    <w:rsid w:val="00395E37"/>
    <w:rsid w:val="003A079F"/>
    <w:rsid w:val="003A1727"/>
    <w:rsid w:val="003A2CF2"/>
    <w:rsid w:val="003A387C"/>
    <w:rsid w:val="003A5814"/>
    <w:rsid w:val="003A6E62"/>
    <w:rsid w:val="003A70B6"/>
    <w:rsid w:val="003A7F76"/>
    <w:rsid w:val="003B0350"/>
    <w:rsid w:val="003B079D"/>
    <w:rsid w:val="003B0F53"/>
    <w:rsid w:val="003B13F0"/>
    <w:rsid w:val="003B523F"/>
    <w:rsid w:val="003B5FD1"/>
    <w:rsid w:val="003C3A5A"/>
    <w:rsid w:val="003C4E7B"/>
    <w:rsid w:val="003C5E60"/>
    <w:rsid w:val="003C7393"/>
    <w:rsid w:val="003C7D23"/>
    <w:rsid w:val="003D0111"/>
    <w:rsid w:val="003D097F"/>
    <w:rsid w:val="003D0DCE"/>
    <w:rsid w:val="003D3BF4"/>
    <w:rsid w:val="003D4D6C"/>
    <w:rsid w:val="003D6003"/>
    <w:rsid w:val="003E2F12"/>
    <w:rsid w:val="003E546E"/>
    <w:rsid w:val="003E5482"/>
    <w:rsid w:val="003E564E"/>
    <w:rsid w:val="003E5715"/>
    <w:rsid w:val="003F3E2D"/>
    <w:rsid w:val="003F5D94"/>
    <w:rsid w:val="003F7A56"/>
    <w:rsid w:val="00401610"/>
    <w:rsid w:val="00401D9A"/>
    <w:rsid w:val="00403446"/>
    <w:rsid w:val="0040590E"/>
    <w:rsid w:val="004067E6"/>
    <w:rsid w:val="00407C09"/>
    <w:rsid w:val="004201AC"/>
    <w:rsid w:val="00423AAE"/>
    <w:rsid w:val="00424734"/>
    <w:rsid w:val="004248E6"/>
    <w:rsid w:val="00427F7D"/>
    <w:rsid w:val="0043065E"/>
    <w:rsid w:val="00430FA2"/>
    <w:rsid w:val="004317D1"/>
    <w:rsid w:val="00433B54"/>
    <w:rsid w:val="00435702"/>
    <w:rsid w:val="004379D6"/>
    <w:rsid w:val="0044237A"/>
    <w:rsid w:val="00442E8E"/>
    <w:rsid w:val="00443CF1"/>
    <w:rsid w:val="0044485B"/>
    <w:rsid w:val="00451B0C"/>
    <w:rsid w:val="00451D86"/>
    <w:rsid w:val="00453864"/>
    <w:rsid w:val="00454CF3"/>
    <w:rsid w:val="00457B01"/>
    <w:rsid w:val="0046164C"/>
    <w:rsid w:val="00461E5D"/>
    <w:rsid w:val="0046221E"/>
    <w:rsid w:val="00467104"/>
    <w:rsid w:val="00472217"/>
    <w:rsid w:val="00472D1A"/>
    <w:rsid w:val="00474A0C"/>
    <w:rsid w:val="00474F91"/>
    <w:rsid w:val="004750F4"/>
    <w:rsid w:val="00476BBA"/>
    <w:rsid w:val="0047770A"/>
    <w:rsid w:val="00481330"/>
    <w:rsid w:val="00481398"/>
    <w:rsid w:val="0048337B"/>
    <w:rsid w:val="00483C49"/>
    <w:rsid w:val="00483F6F"/>
    <w:rsid w:val="00484C08"/>
    <w:rsid w:val="00485335"/>
    <w:rsid w:val="0048712F"/>
    <w:rsid w:val="00487D4D"/>
    <w:rsid w:val="00491D2A"/>
    <w:rsid w:val="00492981"/>
    <w:rsid w:val="0049623D"/>
    <w:rsid w:val="00496D7E"/>
    <w:rsid w:val="004A1495"/>
    <w:rsid w:val="004A5B9A"/>
    <w:rsid w:val="004B02EB"/>
    <w:rsid w:val="004B4C62"/>
    <w:rsid w:val="004C1833"/>
    <w:rsid w:val="004C2905"/>
    <w:rsid w:val="004C409E"/>
    <w:rsid w:val="004C450C"/>
    <w:rsid w:val="004C4515"/>
    <w:rsid w:val="004C54EE"/>
    <w:rsid w:val="004C575D"/>
    <w:rsid w:val="004C6B80"/>
    <w:rsid w:val="004C7674"/>
    <w:rsid w:val="004D2260"/>
    <w:rsid w:val="004D6E3E"/>
    <w:rsid w:val="004D7262"/>
    <w:rsid w:val="004D79DA"/>
    <w:rsid w:val="004E0BF6"/>
    <w:rsid w:val="004E0DEE"/>
    <w:rsid w:val="004E1A7D"/>
    <w:rsid w:val="004E1B32"/>
    <w:rsid w:val="004E20A3"/>
    <w:rsid w:val="004E24FC"/>
    <w:rsid w:val="004E286C"/>
    <w:rsid w:val="004E522E"/>
    <w:rsid w:val="004F0406"/>
    <w:rsid w:val="004F1A58"/>
    <w:rsid w:val="004F47BA"/>
    <w:rsid w:val="004F6158"/>
    <w:rsid w:val="00502CC9"/>
    <w:rsid w:val="00502F40"/>
    <w:rsid w:val="00503596"/>
    <w:rsid w:val="00503DEF"/>
    <w:rsid w:val="005053C8"/>
    <w:rsid w:val="00506A91"/>
    <w:rsid w:val="00506BF4"/>
    <w:rsid w:val="005106EE"/>
    <w:rsid w:val="00512B43"/>
    <w:rsid w:val="005142C4"/>
    <w:rsid w:val="0051440D"/>
    <w:rsid w:val="005156ED"/>
    <w:rsid w:val="00516622"/>
    <w:rsid w:val="005221BE"/>
    <w:rsid w:val="00522883"/>
    <w:rsid w:val="0052334B"/>
    <w:rsid w:val="00523501"/>
    <w:rsid w:val="00524B1D"/>
    <w:rsid w:val="00524CBE"/>
    <w:rsid w:val="00525166"/>
    <w:rsid w:val="00526B95"/>
    <w:rsid w:val="00527649"/>
    <w:rsid w:val="005278DE"/>
    <w:rsid w:val="005302E1"/>
    <w:rsid w:val="0053153E"/>
    <w:rsid w:val="00531A49"/>
    <w:rsid w:val="00532FAE"/>
    <w:rsid w:val="0053388C"/>
    <w:rsid w:val="0053450A"/>
    <w:rsid w:val="00534DDB"/>
    <w:rsid w:val="0053539E"/>
    <w:rsid w:val="00535ABA"/>
    <w:rsid w:val="0053616A"/>
    <w:rsid w:val="00541311"/>
    <w:rsid w:val="00542865"/>
    <w:rsid w:val="005438CC"/>
    <w:rsid w:val="00544354"/>
    <w:rsid w:val="0054790E"/>
    <w:rsid w:val="00550224"/>
    <w:rsid w:val="00550A7B"/>
    <w:rsid w:val="00550C82"/>
    <w:rsid w:val="0055386C"/>
    <w:rsid w:val="005605E1"/>
    <w:rsid w:val="0056449B"/>
    <w:rsid w:val="005652C5"/>
    <w:rsid w:val="00566253"/>
    <w:rsid w:val="0056711B"/>
    <w:rsid w:val="00567933"/>
    <w:rsid w:val="005705BA"/>
    <w:rsid w:val="00571A98"/>
    <w:rsid w:val="005729BA"/>
    <w:rsid w:val="0057304C"/>
    <w:rsid w:val="005733FC"/>
    <w:rsid w:val="0057433F"/>
    <w:rsid w:val="00574C92"/>
    <w:rsid w:val="00575A2B"/>
    <w:rsid w:val="00575FD3"/>
    <w:rsid w:val="00584787"/>
    <w:rsid w:val="005850CC"/>
    <w:rsid w:val="005855AB"/>
    <w:rsid w:val="0059173A"/>
    <w:rsid w:val="00592667"/>
    <w:rsid w:val="005938FB"/>
    <w:rsid w:val="00593E23"/>
    <w:rsid w:val="00595BCC"/>
    <w:rsid w:val="005A0C31"/>
    <w:rsid w:val="005A2798"/>
    <w:rsid w:val="005A48E0"/>
    <w:rsid w:val="005A6BC2"/>
    <w:rsid w:val="005A70F9"/>
    <w:rsid w:val="005A78BA"/>
    <w:rsid w:val="005B16B6"/>
    <w:rsid w:val="005B1786"/>
    <w:rsid w:val="005B29FD"/>
    <w:rsid w:val="005B396A"/>
    <w:rsid w:val="005B4782"/>
    <w:rsid w:val="005B5C00"/>
    <w:rsid w:val="005B6A9F"/>
    <w:rsid w:val="005B784F"/>
    <w:rsid w:val="005C000E"/>
    <w:rsid w:val="005C179E"/>
    <w:rsid w:val="005C375E"/>
    <w:rsid w:val="005C5D4C"/>
    <w:rsid w:val="005C730D"/>
    <w:rsid w:val="005D11E2"/>
    <w:rsid w:val="005D175B"/>
    <w:rsid w:val="005D2821"/>
    <w:rsid w:val="005D3746"/>
    <w:rsid w:val="005D3CE2"/>
    <w:rsid w:val="005D4A25"/>
    <w:rsid w:val="005D5775"/>
    <w:rsid w:val="005D6F6E"/>
    <w:rsid w:val="005D7D73"/>
    <w:rsid w:val="005E088F"/>
    <w:rsid w:val="005E0C81"/>
    <w:rsid w:val="005E14BF"/>
    <w:rsid w:val="005E1F63"/>
    <w:rsid w:val="005E3A25"/>
    <w:rsid w:val="005E4480"/>
    <w:rsid w:val="005F0447"/>
    <w:rsid w:val="005F302E"/>
    <w:rsid w:val="005F5224"/>
    <w:rsid w:val="005F55F3"/>
    <w:rsid w:val="005F60A2"/>
    <w:rsid w:val="005F6A3D"/>
    <w:rsid w:val="0060000A"/>
    <w:rsid w:val="00600308"/>
    <w:rsid w:val="006012ED"/>
    <w:rsid w:val="00603E09"/>
    <w:rsid w:val="0060440C"/>
    <w:rsid w:val="00604868"/>
    <w:rsid w:val="00606C1A"/>
    <w:rsid w:val="00607207"/>
    <w:rsid w:val="00610748"/>
    <w:rsid w:val="00611D5F"/>
    <w:rsid w:val="00613F43"/>
    <w:rsid w:val="00614C48"/>
    <w:rsid w:val="006153AA"/>
    <w:rsid w:val="006218CF"/>
    <w:rsid w:val="00626111"/>
    <w:rsid w:val="0063461E"/>
    <w:rsid w:val="00634B5D"/>
    <w:rsid w:val="00636BC1"/>
    <w:rsid w:val="006379F4"/>
    <w:rsid w:val="00637DAE"/>
    <w:rsid w:val="00640F07"/>
    <w:rsid w:val="00642F62"/>
    <w:rsid w:val="00645B0F"/>
    <w:rsid w:val="00646693"/>
    <w:rsid w:val="00651403"/>
    <w:rsid w:val="00654716"/>
    <w:rsid w:val="006624EA"/>
    <w:rsid w:val="006632FB"/>
    <w:rsid w:val="00671529"/>
    <w:rsid w:val="0067208F"/>
    <w:rsid w:val="0067249B"/>
    <w:rsid w:val="00672D7A"/>
    <w:rsid w:val="00673B3E"/>
    <w:rsid w:val="00673F7A"/>
    <w:rsid w:val="006763E5"/>
    <w:rsid w:val="00676F3A"/>
    <w:rsid w:val="006776CB"/>
    <w:rsid w:val="0068022A"/>
    <w:rsid w:val="00680FEA"/>
    <w:rsid w:val="00686AF7"/>
    <w:rsid w:val="00687F92"/>
    <w:rsid w:val="00691915"/>
    <w:rsid w:val="006A199A"/>
    <w:rsid w:val="006A2618"/>
    <w:rsid w:val="006A431D"/>
    <w:rsid w:val="006A6914"/>
    <w:rsid w:val="006A70E5"/>
    <w:rsid w:val="006B2815"/>
    <w:rsid w:val="006B4010"/>
    <w:rsid w:val="006B7761"/>
    <w:rsid w:val="006C02EC"/>
    <w:rsid w:val="006C0DC4"/>
    <w:rsid w:val="006C39C4"/>
    <w:rsid w:val="006C49C3"/>
    <w:rsid w:val="006C5222"/>
    <w:rsid w:val="006C605C"/>
    <w:rsid w:val="006C73D5"/>
    <w:rsid w:val="006D06CB"/>
    <w:rsid w:val="006D08F1"/>
    <w:rsid w:val="006D14AC"/>
    <w:rsid w:val="006D19C2"/>
    <w:rsid w:val="006D5ECD"/>
    <w:rsid w:val="006D6184"/>
    <w:rsid w:val="006E0865"/>
    <w:rsid w:val="006E0909"/>
    <w:rsid w:val="006E262F"/>
    <w:rsid w:val="006E4984"/>
    <w:rsid w:val="006E5FA9"/>
    <w:rsid w:val="006E692C"/>
    <w:rsid w:val="006F0777"/>
    <w:rsid w:val="006F21BC"/>
    <w:rsid w:val="006F2B75"/>
    <w:rsid w:val="006F4331"/>
    <w:rsid w:val="006F4E2B"/>
    <w:rsid w:val="006F67F0"/>
    <w:rsid w:val="006F7038"/>
    <w:rsid w:val="00700C46"/>
    <w:rsid w:val="0070204B"/>
    <w:rsid w:val="00703109"/>
    <w:rsid w:val="007076DF"/>
    <w:rsid w:val="00710CC5"/>
    <w:rsid w:val="00714BDF"/>
    <w:rsid w:val="0071653F"/>
    <w:rsid w:val="00717778"/>
    <w:rsid w:val="00717DA4"/>
    <w:rsid w:val="0072128E"/>
    <w:rsid w:val="00721931"/>
    <w:rsid w:val="0072429F"/>
    <w:rsid w:val="00724EE2"/>
    <w:rsid w:val="00731038"/>
    <w:rsid w:val="0073551D"/>
    <w:rsid w:val="00735AD9"/>
    <w:rsid w:val="00736119"/>
    <w:rsid w:val="007406E6"/>
    <w:rsid w:val="00740B83"/>
    <w:rsid w:val="00741270"/>
    <w:rsid w:val="007450A4"/>
    <w:rsid w:val="00745927"/>
    <w:rsid w:val="007473A9"/>
    <w:rsid w:val="00751F30"/>
    <w:rsid w:val="007527FE"/>
    <w:rsid w:val="007529FC"/>
    <w:rsid w:val="00757B52"/>
    <w:rsid w:val="00757E67"/>
    <w:rsid w:val="00763B3D"/>
    <w:rsid w:val="00763DB5"/>
    <w:rsid w:val="00766A36"/>
    <w:rsid w:val="00766BDA"/>
    <w:rsid w:val="00767363"/>
    <w:rsid w:val="00776803"/>
    <w:rsid w:val="00780AD8"/>
    <w:rsid w:val="00780BBB"/>
    <w:rsid w:val="007811CE"/>
    <w:rsid w:val="0078245C"/>
    <w:rsid w:val="00783622"/>
    <w:rsid w:val="00783ED8"/>
    <w:rsid w:val="007852DE"/>
    <w:rsid w:val="00786447"/>
    <w:rsid w:val="00786588"/>
    <w:rsid w:val="00786D17"/>
    <w:rsid w:val="007872F3"/>
    <w:rsid w:val="00787F48"/>
    <w:rsid w:val="0079263F"/>
    <w:rsid w:val="00792948"/>
    <w:rsid w:val="00793624"/>
    <w:rsid w:val="00795B22"/>
    <w:rsid w:val="007A0F35"/>
    <w:rsid w:val="007A104F"/>
    <w:rsid w:val="007A2A06"/>
    <w:rsid w:val="007A48E8"/>
    <w:rsid w:val="007B013E"/>
    <w:rsid w:val="007B1F3D"/>
    <w:rsid w:val="007B56EE"/>
    <w:rsid w:val="007B5A21"/>
    <w:rsid w:val="007B5D32"/>
    <w:rsid w:val="007B6157"/>
    <w:rsid w:val="007C0D6C"/>
    <w:rsid w:val="007C14C5"/>
    <w:rsid w:val="007C7B8A"/>
    <w:rsid w:val="007D0BF5"/>
    <w:rsid w:val="007D4A36"/>
    <w:rsid w:val="007D53EA"/>
    <w:rsid w:val="007D57E4"/>
    <w:rsid w:val="007E05EB"/>
    <w:rsid w:val="007E2771"/>
    <w:rsid w:val="007E4ABB"/>
    <w:rsid w:val="007E5E79"/>
    <w:rsid w:val="007E759E"/>
    <w:rsid w:val="007F144E"/>
    <w:rsid w:val="007F15EF"/>
    <w:rsid w:val="007F51EC"/>
    <w:rsid w:val="007F6D3F"/>
    <w:rsid w:val="007F7E12"/>
    <w:rsid w:val="008004A7"/>
    <w:rsid w:val="0080065A"/>
    <w:rsid w:val="00802178"/>
    <w:rsid w:val="008036F8"/>
    <w:rsid w:val="00804F9A"/>
    <w:rsid w:val="00805241"/>
    <w:rsid w:val="008065F0"/>
    <w:rsid w:val="00807FE3"/>
    <w:rsid w:val="008107AD"/>
    <w:rsid w:val="00810D65"/>
    <w:rsid w:val="00810E88"/>
    <w:rsid w:val="008114B7"/>
    <w:rsid w:val="00814BE5"/>
    <w:rsid w:val="0081578E"/>
    <w:rsid w:val="00815F85"/>
    <w:rsid w:val="0081626E"/>
    <w:rsid w:val="008167C3"/>
    <w:rsid w:val="008167DF"/>
    <w:rsid w:val="00816C35"/>
    <w:rsid w:val="00816F38"/>
    <w:rsid w:val="00817363"/>
    <w:rsid w:val="008173D7"/>
    <w:rsid w:val="008176DE"/>
    <w:rsid w:val="0081797B"/>
    <w:rsid w:val="00821502"/>
    <w:rsid w:val="008236E0"/>
    <w:rsid w:val="00825BE8"/>
    <w:rsid w:val="008267EB"/>
    <w:rsid w:val="00830C3E"/>
    <w:rsid w:val="00833C7D"/>
    <w:rsid w:val="00836CBC"/>
    <w:rsid w:val="00841782"/>
    <w:rsid w:val="00842016"/>
    <w:rsid w:val="00845777"/>
    <w:rsid w:val="00845F6A"/>
    <w:rsid w:val="0084607A"/>
    <w:rsid w:val="00852072"/>
    <w:rsid w:val="00852D87"/>
    <w:rsid w:val="008546EC"/>
    <w:rsid w:val="00854F50"/>
    <w:rsid w:val="008551B0"/>
    <w:rsid w:val="008578F4"/>
    <w:rsid w:val="00860033"/>
    <w:rsid w:val="008641EB"/>
    <w:rsid w:val="008647E9"/>
    <w:rsid w:val="008664F5"/>
    <w:rsid w:val="00867137"/>
    <w:rsid w:val="00873059"/>
    <w:rsid w:val="00882C32"/>
    <w:rsid w:val="00885376"/>
    <w:rsid w:val="0088750A"/>
    <w:rsid w:val="0088761D"/>
    <w:rsid w:val="008879E1"/>
    <w:rsid w:val="008910AF"/>
    <w:rsid w:val="008917E7"/>
    <w:rsid w:val="0089185B"/>
    <w:rsid w:val="0089425F"/>
    <w:rsid w:val="008965ED"/>
    <w:rsid w:val="008A1035"/>
    <w:rsid w:val="008A1CA7"/>
    <w:rsid w:val="008A4D16"/>
    <w:rsid w:val="008A65DF"/>
    <w:rsid w:val="008A76A6"/>
    <w:rsid w:val="008B08B5"/>
    <w:rsid w:val="008B3016"/>
    <w:rsid w:val="008B3D9F"/>
    <w:rsid w:val="008B6432"/>
    <w:rsid w:val="008B6F17"/>
    <w:rsid w:val="008B78CE"/>
    <w:rsid w:val="008C05C9"/>
    <w:rsid w:val="008C1F89"/>
    <w:rsid w:val="008C2DC5"/>
    <w:rsid w:val="008C46D2"/>
    <w:rsid w:val="008C5014"/>
    <w:rsid w:val="008C763F"/>
    <w:rsid w:val="008D13B5"/>
    <w:rsid w:val="008D6646"/>
    <w:rsid w:val="008D74A2"/>
    <w:rsid w:val="008D7F4B"/>
    <w:rsid w:val="008E270C"/>
    <w:rsid w:val="008E5946"/>
    <w:rsid w:val="008F11E3"/>
    <w:rsid w:val="008F1896"/>
    <w:rsid w:val="008F2FE4"/>
    <w:rsid w:val="008F4FBD"/>
    <w:rsid w:val="008F7D58"/>
    <w:rsid w:val="00900184"/>
    <w:rsid w:val="00902213"/>
    <w:rsid w:val="0090230C"/>
    <w:rsid w:val="00903C25"/>
    <w:rsid w:val="009073F8"/>
    <w:rsid w:val="00907E6E"/>
    <w:rsid w:val="00910447"/>
    <w:rsid w:val="009140E4"/>
    <w:rsid w:val="0091483A"/>
    <w:rsid w:val="0091616A"/>
    <w:rsid w:val="00916358"/>
    <w:rsid w:val="0091669E"/>
    <w:rsid w:val="00917BF3"/>
    <w:rsid w:val="00920DD5"/>
    <w:rsid w:val="009211D2"/>
    <w:rsid w:val="00924FB7"/>
    <w:rsid w:val="0092582A"/>
    <w:rsid w:val="009276F0"/>
    <w:rsid w:val="00927BD5"/>
    <w:rsid w:val="00934B42"/>
    <w:rsid w:val="00940E77"/>
    <w:rsid w:val="00942295"/>
    <w:rsid w:val="0094250C"/>
    <w:rsid w:val="009429E5"/>
    <w:rsid w:val="0094309C"/>
    <w:rsid w:val="00944AB1"/>
    <w:rsid w:val="009466BB"/>
    <w:rsid w:val="00946EC0"/>
    <w:rsid w:val="009506EC"/>
    <w:rsid w:val="00950DC1"/>
    <w:rsid w:val="009518A9"/>
    <w:rsid w:val="00953FED"/>
    <w:rsid w:val="009579E1"/>
    <w:rsid w:val="00963E2A"/>
    <w:rsid w:val="0096481D"/>
    <w:rsid w:val="00964DE6"/>
    <w:rsid w:val="00964F61"/>
    <w:rsid w:val="00965A92"/>
    <w:rsid w:val="00965D4E"/>
    <w:rsid w:val="00967428"/>
    <w:rsid w:val="00970914"/>
    <w:rsid w:val="00971C29"/>
    <w:rsid w:val="00974918"/>
    <w:rsid w:val="00974B09"/>
    <w:rsid w:val="00976283"/>
    <w:rsid w:val="009768D5"/>
    <w:rsid w:val="00981779"/>
    <w:rsid w:val="00984911"/>
    <w:rsid w:val="00987F1B"/>
    <w:rsid w:val="009909A5"/>
    <w:rsid w:val="00991295"/>
    <w:rsid w:val="009926DA"/>
    <w:rsid w:val="00992718"/>
    <w:rsid w:val="00993CDF"/>
    <w:rsid w:val="009947A0"/>
    <w:rsid w:val="009953A6"/>
    <w:rsid w:val="00997CD3"/>
    <w:rsid w:val="009A001B"/>
    <w:rsid w:val="009A2E04"/>
    <w:rsid w:val="009A5935"/>
    <w:rsid w:val="009A71D0"/>
    <w:rsid w:val="009A79BD"/>
    <w:rsid w:val="009A7E5E"/>
    <w:rsid w:val="009B4368"/>
    <w:rsid w:val="009B7FA9"/>
    <w:rsid w:val="009C3933"/>
    <w:rsid w:val="009C4225"/>
    <w:rsid w:val="009D06FC"/>
    <w:rsid w:val="009D312C"/>
    <w:rsid w:val="009D5706"/>
    <w:rsid w:val="009D58B1"/>
    <w:rsid w:val="009D5EFE"/>
    <w:rsid w:val="009D695D"/>
    <w:rsid w:val="009D778B"/>
    <w:rsid w:val="009D7CFC"/>
    <w:rsid w:val="009E32C0"/>
    <w:rsid w:val="009E4873"/>
    <w:rsid w:val="009E494F"/>
    <w:rsid w:val="009E67EE"/>
    <w:rsid w:val="009E7EC7"/>
    <w:rsid w:val="009F18C3"/>
    <w:rsid w:val="009F35CF"/>
    <w:rsid w:val="009F3A8D"/>
    <w:rsid w:val="009F578B"/>
    <w:rsid w:val="009F67DA"/>
    <w:rsid w:val="00A00440"/>
    <w:rsid w:val="00A05B07"/>
    <w:rsid w:val="00A07960"/>
    <w:rsid w:val="00A079E6"/>
    <w:rsid w:val="00A07A0E"/>
    <w:rsid w:val="00A10E6F"/>
    <w:rsid w:val="00A12348"/>
    <w:rsid w:val="00A12FCC"/>
    <w:rsid w:val="00A1411C"/>
    <w:rsid w:val="00A1617B"/>
    <w:rsid w:val="00A16D0A"/>
    <w:rsid w:val="00A22605"/>
    <w:rsid w:val="00A22D17"/>
    <w:rsid w:val="00A26909"/>
    <w:rsid w:val="00A26A19"/>
    <w:rsid w:val="00A33F25"/>
    <w:rsid w:val="00A40A65"/>
    <w:rsid w:val="00A42B09"/>
    <w:rsid w:val="00A42E28"/>
    <w:rsid w:val="00A431AE"/>
    <w:rsid w:val="00A43B6B"/>
    <w:rsid w:val="00A45332"/>
    <w:rsid w:val="00A45DB5"/>
    <w:rsid w:val="00A4609E"/>
    <w:rsid w:val="00A4649E"/>
    <w:rsid w:val="00A47EAF"/>
    <w:rsid w:val="00A51D1B"/>
    <w:rsid w:val="00A540BC"/>
    <w:rsid w:val="00A55260"/>
    <w:rsid w:val="00A60DD3"/>
    <w:rsid w:val="00A64346"/>
    <w:rsid w:val="00A66FAA"/>
    <w:rsid w:val="00A67E66"/>
    <w:rsid w:val="00A71A38"/>
    <w:rsid w:val="00A82145"/>
    <w:rsid w:val="00A8217B"/>
    <w:rsid w:val="00A87CF4"/>
    <w:rsid w:val="00A9029C"/>
    <w:rsid w:val="00A93D98"/>
    <w:rsid w:val="00A947E0"/>
    <w:rsid w:val="00A95FE9"/>
    <w:rsid w:val="00A9717D"/>
    <w:rsid w:val="00A9754A"/>
    <w:rsid w:val="00AA66C5"/>
    <w:rsid w:val="00AB377C"/>
    <w:rsid w:val="00AB4143"/>
    <w:rsid w:val="00AB41CA"/>
    <w:rsid w:val="00AB6D94"/>
    <w:rsid w:val="00AB6FA6"/>
    <w:rsid w:val="00AB73DE"/>
    <w:rsid w:val="00AC1CA3"/>
    <w:rsid w:val="00AC32CB"/>
    <w:rsid w:val="00AC352C"/>
    <w:rsid w:val="00AD1E1C"/>
    <w:rsid w:val="00AD2C1E"/>
    <w:rsid w:val="00AD3517"/>
    <w:rsid w:val="00AD6B1A"/>
    <w:rsid w:val="00AE05B0"/>
    <w:rsid w:val="00AE20EC"/>
    <w:rsid w:val="00AE2C0B"/>
    <w:rsid w:val="00AE59BF"/>
    <w:rsid w:val="00AE70FB"/>
    <w:rsid w:val="00AF0380"/>
    <w:rsid w:val="00AF414E"/>
    <w:rsid w:val="00AF418A"/>
    <w:rsid w:val="00AF5C91"/>
    <w:rsid w:val="00B00D91"/>
    <w:rsid w:val="00B01260"/>
    <w:rsid w:val="00B0342F"/>
    <w:rsid w:val="00B03960"/>
    <w:rsid w:val="00B03CA2"/>
    <w:rsid w:val="00B046E1"/>
    <w:rsid w:val="00B048B5"/>
    <w:rsid w:val="00B04B7F"/>
    <w:rsid w:val="00B051E8"/>
    <w:rsid w:val="00B05705"/>
    <w:rsid w:val="00B06154"/>
    <w:rsid w:val="00B06580"/>
    <w:rsid w:val="00B12C2D"/>
    <w:rsid w:val="00B13952"/>
    <w:rsid w:val="00B16A56"/>
    <w:rsid w:val="00B20183"/>
    <w:rsid w:val="00B2189B"/>
    <w:rsid w:val="00B22705"/>
    <w:rsid w:val="00B2286D"/>
    <w:rsid w:val="00B230EE"/>
    <w:rsid w:val="00B2471C"/>
    <w:rsid w:val="00B25CDC"/>
    <w:rsid w:val="00B27CB1"/>
    <w:rsid w:val="00B324E0"/>
    <w:rsid w:val="00B35D29"/>
    <w:rsid w:val="00B36632"/>
    <w:rsid w:val="00B41048"/>
    <w:rsid w:val="00B4204B"/>
    <w:rsid w:val="00B43203"/>
    <w:rsid w:val="00B43F88"/>
    <w:rsid w:val="00B50664"/>
    <w:rsid w:val="00B51237"/>
    <w:rsid w:val="00B51754"/>
    <w:rsid w:val="00B51AE1"/>
    <w:rsid w:val="00B56BEA"/>
    <w:rsid w:val="00B56F97"/>
    <w:rsid w:val="00B62469"/>
    <w:rsid w:val="00B630DC"/>
    <w:rsid w:val="00B63B15"/>
    <w:rsid w:val="00B64756"/>
    <w:rsid w:val="00B64C3E"/>
    <w:rsid w:val="00B65ED2"/>
    <w:rsid w:val="00B67B09"/>
    <w:rsid w:val="00B72BD0"/>
    <w:rsid w:val="00B72C00"/>
    <w:rsid w:val="00B77649"/>
    <w:rsid w:val="00B85830"/>
    <w:rsid w:val="00B858A8"/>
    <w:rsid w:val="00B86972"/>
    <w:rsid w:val="00B86C93"/>
    <w:rsid w:val="00B90FA0"/>
    <w:rsid w:val="00B918F6"/>
    <w:rsid w:val="00B918FA"/>
    <w:rsid w:val="00B9364A"/>
    <w:rsid w:val="00B943D4"/>
    <w:rsid w:val="00B94862"/>
    <w:rsid w:val="00B96E60"/>
    <w:rsid w:val="00BA02DF"/>
    <w:rsid w:val="00BA0552"/>
    <w:rsid w:val="00BA0DB4"/>
    <w:rsid w:val="00BA48DC"/>
    <w:rsid w:val="00BA4C89"/>
    <w:rsid w:val="00BA6BF9"/>
    <w:rsid w:val="00BB0508"/>
    <w:rsid w:val="00BB072B"/>
    <w:rsid w:val="00BB093D"/>
    <w:rsid w:val="00BB0D9F"/>
    <w:rsid w:val="00BB3262"/>
    <w:rsid w:val="00BC0464"/>
    <w:rsid w:val="00BC12D6"/>
    <w:rsid w:val="00BC191F"/>
    <w:rsid w:val="00BC1F51"/>
    <w:rsid w:val="00BC2920"/>
    <w:rsid w:val="00BD05D2"/>
    <w:rsid w:val="00BD08A2"/>
    <w:rsid w:val="00BD25F4"/>
    <w:rsid w:val="00BD2A5C"/>
    <w:rsid w:val="00BD3095"/>
    <w:rsid w:val="00BD3851"/>
    <w:rsid w:val="00BD3BF4"/>
    <w:rsid w:val="00BD5C25"/>
    <w:rsid w:val="00BE0540"/>
    <w:rsid w:val="00BE0A83"/>
    <w:rsid w:val="00BE1D9E"/>
    <w:rsid w:val="00BE413F"/>
    <w:rsid w:val="00BE430A"/>
    <w:rsid w:val="00BE4744"/>
    <w:rsid w:val="00BE5DED"/>
    <w:rsid w:val="00BE770E"/>
    <w:rsid w:val="00BF282E"/>
    <w:rsid w:val="00BF2AD6"/>
    <w:rsid w:val="00BF315E"/>
    <w:rsid w:val="00BF3973"/>
    <w:rsid w:val="00BF4971"/>
    <w:rsid w:val="00BF64CA"/>
    <w:rsid w:val="00BF66E4"/>
    <w:rsid w:val="00BF6F70"/>
    <w:rsid w:val="00C00263"/>
    <w:rsid w:val="00C00905"/>
    <w:rsid w:val="00C0203C"/>
    <w:rsid w:val="00C0214E"/>
    <w:rsid w:val="00C0479F"/>
    <w:rsid w:val="00C05273"/>
    <w:rsid w:val="00C05C2F"/>
    <w:rsid w:val="00C108BF"/>
    <w:rsid w:val="00C10FBE"/>
    <w:rsid w:val="00C15D55"/>
    <w:rsid w:val="00C2019F"/>
    <w:rsid w:val="00C207B1"/>
    <w:rsid w:val="00C2098F"/>
    <w:rsid w:val="00C214A3"/>
    <w:rsid w:val="00C21B5C"/>
    <w:rsid w:val="00C220D8"/>
    <w:rsid w:val="00C26F04"/>
    <w:rsid w:val="00C30191"/>
    <w:rsid w:val="00C324E8"/>
    <w:rsid w:val="00C34C9B"/>
    <w:rsid w:val="00C3602C"/>
    <w:rsid w:val="00C419F0"/>
    <w:rsid w:val="00C425D1"/>
    <w:rsid w:val="00C42DFA"/>
    <w:rsid w:val="00C45A67"/>
    <w:rsid w:val="00C47641"/>
    <w:rsid w:val="00C517E5"/>
    <w:rsid w:val="00C51A5E"/>
    <w:rsid w:val="00C52618"/>
    <w:rsid w:val="00C535D4"/>
    <w:rsid w:val="00C539D3"/>
    <w:rsid w:val="00C55B26"/>
    <w:rsid w:val="00C55B37"/>
    <w:rsid w:val="00C5682E"/>
    <w:rsid w:val="00C5768E"/>
    <w:rsid w:val="00C611D9"/>
    <w:rsid w:val="00C6494D"/>
    <w:rsid w:val="00C64CE7"/>
    <w:rsid w:val="00C6701E"/>
    <w:rsid w:val="00C70C9F"/>
    <w:rsid w:val="00C716DA"/>
    <w:rsid w:val="00C71D22"/>
    <w:rsid w:val="00C734AD"/>
    <w:rsid w:val="00C74214"/>
    <w:rsid w:val="00C74F2F"/>
    <w:rsid w:val="00C754D5"/>
    <w:rsid w:val="00C76D2E"/>
    <w:rsid w:val="00C8159F"/>
    <w:rsid w:val="00C82939"/>
    <w:rsid w:val="00C85A08"/>
    <w:rsid w:val="00C86F4C"/>
    <w:rsid w:val="00C87AE5"/>
    <w:rsid w:val="00C87EA6"/>
    <w:rsid w:val="00C87F60"/>
    <w:rsid w:val="00C90FBB"/>
    <w:rsid w:val="00C924A9"/>
    <w:rsid w:val="00C92BB3"/>
    <w:rsid w:val="00C93FB2"/>
    <w:rsid w:val="00C94CF6"/>
    <w:rsid w:val="00C952C1"/>
    <w:rsid w:val="00C95EDE"/>
    <w:rsid w:val="00C96027"/>
    <w:rsid w:val="00C96208"/>
    <w:rsid w:val="00C97BC3"/>
    <w:rsid w:val="00C97DDD"/>
    <w:rsid w:val="00CA085C"/>
    <w:rsid w:val="00CA0FF9"/>
    <w:rsid w:val="00CA305B"/>
    <w:rsid w:val="00CA3C1C"/>
    <w:rsid w:val="00CA441E"/>
    <w:rsid w:val="00CA4FDE"/>
    <w:rsid w:val="00CB0F1C"/>
    <w:rsid w:val="00CB264C"/>
    <w:rsid w:val="00CB5DE5"/>
    <w:rsid w:val="00CB645E"/>
    <w:rsid w:val="00CB7C89"/>
    <w:rsid w:val="00CC129C"/>
    <w:rsid w:val="00CC1B08"/>
    <w:rsid w:val="00CC1C6A"/>
    <w:rsid w:val="00CC1C85"/>
    <w:rsid w:val="00CD0D2F"/>
    <w:rsid w:val="00CD2BE9"/>
    <w:rsid w:val="00CD4FB6"/>
    <w:rsid w:val="00CD743E"/>
    <w:rsid w:val="00CD7DB9"/>
    <w:rsid w:val="00CE01FB"/>
    <w:rsid w:val="00CE034E"/>
    <w:rsid w:val="00CE4763"/>
    <w:rsid w:val="00CE628C"/>
    <w:rsid w:val="00CF0528"/>
    <w:rsid w:val="00CF1918"/>
    <w:rsid w:val="00CF32BE"/>
    <w:rsid w:val="00CF4314"/>
    <w:rsid w:val="00CF489B"/>
    <w:rsid w:val="00CF4A76"/>
    <w:rsid w:val="00CF5029"/>
    <w:rsid w:val="00CF513F"/>
    <w:rsid w:val="00CF63E3"/>
    <w:rsid w:val="00CF6EBB"/>
    <w:rsid w:val="00D00D00"/>
    <w:rsid w:val="00D02E7C"/>
    <w:rsid w:val="00D04709"/>
    <w:rsid w:val="00D05D45"/>
    <w:rsid w:val="00D06311"/>
    <w:rsid w:val="00D06A82"/>
    <w:rsid w:val="00D06B37"/>
    <w:rsid w:val="00D10713"/>
    <w:rsid w:val="00D132CD"/>
    <w:rsid w:val="00D1576E"/>
    <w:rsid w:val="00D16723"/>
    <w:rsid w:val="00D20688"/>
    <w:rsid w:val="00D207AF"/>
    <w:rsid w:val="00D208F0"/>
    <w:rsid w:val="00D2098C"/>
    <w:rsid w:val="00D20D08"/>
    <w:rsid w:val="00D21CB1"/>
    <w:rsid w:val="00D21FF1"/>
    <w:rsid w:val="00D22C4E"/>
    <w:rsid w:val="00D24747"/>
    <w:rsid w:val="00D2785F"/>
    <w:rsid w:val="00D30777"/>
    <w:rsid w:val="00D30841"/>
    <w:rsid w:val="00D3358B"/>
    <w:rsid w:val="00D33F76"/>
    <w:rsid w:val="00D341B8"/>
    <w:rsid w:val="00D34B92"/>
    <w:rsid w:val="00D41154"/>
    <w:rsid w:val="00D45E3A"/>
    <w:rsid w:val="00D506E0"/>
    <w:rsid w:val="00D50A9D"/>
    <w:rsid w:val="00D512CF"/>
    <w:rsid w:val="00D529D7"/>
    <w:rsid w:val="00D578BE"/>
    <w:rsid w:val="00D57E97"/>
    <w:rsid w:val="00D57F0E"/>
    <w:rsid w:val="00D609EF"/>
    <w:rsid w:val="00D614CF"/>
    <w:rsid w:val="00D65D0F"/>
    <w:rsid w:val="00D7026D"/>
    <w:rsid w:val="00D728E5"/>
    <w:rsid w:val="00D72DDB"/>
    <w:rsid w:val="00D768C6"/>
    <w:rsid w:val="00D76FC4"/>
    <w:rsid w:val="00D80F2C"/>
    <w:rsid w:val="00D81530"/>
    <w:rsid w:val="00D856CC"/>
    <w:rsid w:val="00D87A48"/>
    <w:rsid w:val="00D93AF1"/>
    <w:rsid w:val="00D93FE4"/>
    <w:rsid w:val="00D946DA"/>
    <w:rsid w:val="00D9604D"/>
    <w:rsid w:val="00D96D8B"/>
    <w:rsid w:val="00DA06B6"/>
    <w:rsid w:val="00DA0B49"/>
    <w:rsid w:val="00DA1055"/>
    <w:rsid w:val="00DA10F6"/>
    <w:rsid w:val="00DA19E9"/>
    <w:rsid w:val="00DA2E3A"/>
    <w:rsid w:val="00DA3B91"/>
    <w:rsid w:val="00DA3CD9"/>
    <w:rsid w:val="00DB239D"/>
    <w:rsid w:val="00DB39FA"/>
    <w:rsid w:val="00DB63A4"/>
    <w:rsid w:val="00DC1EC0"/>
    <w:rsid w:val="00DC29F2"/>
    <w:rsid w:val="00DC3612"/>
    <w:rsid w:val="00DC4270"/>
    <w:rsid w:val="00DC4B36"/>
    <w:rsid w:val="00DC5030"/>
    <w:rsid w:val="00DC7D8F"/>
    <w:rsid w:val="00DD0C1F"/>
    <w:rsid w:val="00DD0E9D"/>
    <w:rsid w:val="00DD132E"/>
    <w:rsid w:val="00DD290E"/>
    <w:rsid w:val="00DD36FC"/>
    <w:rsid w:val="00DD51D2"/>
    <w:rsid w:val="00DD6449"/>
    <w:rsid w:val="00DD6E34"/>
    <w:rsid w:val="00DD738E"/>
    <w:rsid w:val="00DD7501"/>
    <w:rsid w:val="00DE0C9A"/>
    <w:rsid w:val="00DE21C7"/>
    <w:rsid w:val="00DE28B3"/>
    <w:rsid w:val="00DE3701"/>
    <w:rsid w:val="00DF12ED"/>
    <w:rsid w:val="00DF1C9D"/>
    <w:rsid w:val="00DF2734"/>
    <w:rsid w:val="00DF38F0"/>
    <w:rsid w:val="00DF4C4E"/>
    <w:rsid w:val="00DF507E"/>
    <w:rsid w:val="00DF665E"/>
    <w:rsid w:val="00DF7B41"/>
    <w:rsid w:val="00E027AB"/>
    <w:rsid w:val="00E05F09"/>
    <w:rsid w:val="00E064F0"/>
    <w:rsid w:val="00E07573"/>
    <w:rsid w:val="00E07BCA"/>
    <w:rsid w:val="00E10331"/>
    <w:rsid w:val="00E10684"/>
    <w:rsid w:val="00E112D5"/>
    <w:rsid w:val="00E12671"/>
    <w:rsid w:val="00E16674"/>
    <w:rsid w:val="00E173DA"/>
    <w:rsid w:val="00E212FB"/>
    <w:rsid w:val="00E25892"/>
    <w:rsid w:val="00E25CE4"/>
    <w:rsid w:val="00E26D7F"/>
    <w:rsid w:val="00E279F0"/>
    <w:rsid w:val="00E30290"/>
    <w:rsid w:val="00E31281"/>
    <w:rsid w:val="00E31DF8"/>
    <w:rsid w:val="00E32E93"/>
    <w:rsid w:val="00E33828"/>
    <w:rsid w:val="00E342E9"/>
    <w:rsid w:val="00E343C0"/>
    <w:rsid w:val="00E40AC8"/>
    <w:rsid w:val="00E4203C"/>
    <w:rsid w:val="00E42CD6"/>
    <w:rsid w:val="00E43F92"/>
    <w:rsid w:val="00E4405A"/>
    <w:rsid w:val="00E4458B"/>
    <w:rsid w:val="00E47DAA"/>
    <w:rsid w:val="00E5054D"/>
    <w:rsid w:val="00E50887"/>
    <w:rsid w:val="00E50D99"/>
    <w:rsid w:val="00E552E7"/>
    <w:rsid w:val="00E56707"/>
    <w:rsid w:val="00E62547"/>
    <w:rsid w:val="00E654ED"/>
    <w:rsid w:val="00E7050A"/>
    <w:rsid w:val="00E768BC"/>
    <w:rsid w:val="00E77D16"/>
    <w:rsid w:val="00E80136"/>
    <w:rsid w:val="00E82F53"/>
    <w:rsid w:val="00E836CA"/>
    <w:rsid w:val="00E83D33"/>
    <w:rsid w:val="00E849FD"/>
    <w:rsid w:val="00E87BEB"/>
    <w:rsid w:val="00E90834"/>
    <w:rsid w:val="00E908E5"/>
    <w:rsid w:val="00E91855"/>
    <w:rsid w:val="00E91B8E"/>
    <w:rsid w:val="00E92F01"/>
    <w:rsid w:val="00E977C1"/>
    <w:rsid w:val="00E977F2"/>
    <w:rsid w:val="00EA16AE"/>
    <w:rsid w:val="00EA269E"/>
    <w:rsid w:val="00EA3C22"/>
    <w:rsid w:val="00EA49A2"/>
    <w:rsid w:val="00EA5E4E"/>
    <w:rsid w:val="00EB0819"/>
    <w:rsid w:val="00EB571E"/>
    <w:rsid w:val="00EB5C8F"/>
    <w:rsid w:val="00EB5CA0"/>
    <w:rsid w:val="00EB61E8"/>
    <w:rsid w:val="00EB7724"/>
    <w:rsid w:val="00EC2A00"/>
    <w:rsid w:val="00EC320A"/>
    <w:rsid w:val="00EC3298"/>
    <w:rsid w:val="00EC34E9"/>
    <w:rsid w:val="00EC4263"/>
    <w:rsid w:val="00EC43BB"/>
    <w:rsid w:val="00EC6617"/>
    <w:rsid w:val="00ED0E10"/>
    <w:rsid w:val="00ED2153"/>
    <w:rsid w:val="00ED2C13"/>
    <w:rsid w:val="00ED3FBF"/>
    <w:rsid w:val="00ED42D0"/>
    <w:rsid w:val="00ED440B"/>
    <w:rsid w:val="00ED44E9"/>
    <w:rsid w:val="00ED5079"/>
    <w:rsid w:val="00ED5759"/>
    <w:rsid w:val="00EE48BB"/>
    <w:rsid w:val="00EE5375"/>
    <w:rsid w:val="00EE5808"/>
    <w:rsid w:val="00EE6A22"/>
    <w:rsid w:val="00EF2412"/>
    <w:rsid w:val="00EF2A12"/>
    <w:rsid w:val="00EF2CCB"/>
    <w:rsid w:val="00EF3830"/>
    <w:rsid w:val="00EF60D1"/>
    <w:rsid w:val="00EF7C31"/>
    <w:rsid w:val="00F02B3A"/>
    <w:rsid w:val="00F0562C"/>
    <w:rsid w:val="00F05BBB"/>
    <w:rsid w:val="00F061D5"/>
    <w:rsid w:val="00F066A9"/>
    <w:rsid w:val="00F067FE"/>
    <w:rsid w:val="00F07D1D"/>
    <w:rsid w:val="00F07F54"/>
    <w:rsid w:val="00F11B4B"/>
    <w:rsid w:val="00F123C7"/>
    <w:rsid w:val="00F13248"/>
    <w:rsid w:val="00F14AA1"/>
    <w:rsid w:val="00F14B2B"/>
    <w:rsid w:val="00F15061"/>
    <w:rsid w:val="00F15940"/>
    <w:rsid w:val="00F15F4C"/>
    <w:rsid w:val="00F1654E"/>
    <w:rsid w:val="00F16E14"/>
    <w:rsid w:val="00F20ED2"/>
    <w:rsid w:val="00F2162E"/>
    <w:rsid w:val="00F21CCA"/>
    <w:rsid w:val="00F306D9"/>
    <w:rsid w:val="00F32ACD"/>
    <w:rsid w:val="00F32C34"/>
    <w:rsid w:val="00F331B9"/>
    <w:rsid w:val="00F34196"/>
    <w:rsid w:val="00F3475E"/>
    <w:rsid w:val="00F3644E"/>
    <w:rsid w:val="00F36735"/>
    <w:rsid w:val="00F45187"/>
    <w:rsid w:val="00F45E3E"/>
    <w:rsid w:val="00F508A2"/>
    <w:rsid w:val="00F5149C"/>
    <w:rsid w:val="00F52898"/>
    <w:rsid w:val="00F55998"/>
    <w:rsid w:val="00F57CEF"/>
    <w:rsid w:val="00F60035"/>
    <w:rsid w:val="00F60D66"/>
    <w:rsid w:val="00F633B1"/>
    <w:rsid w:val="00F642FA"/>
    <w:rsid w:val="00F64894"/>
    <w:rsid w:val="00F64D0A"/>
    <w:rsid w:val="00F659AD"/>
    <w:rsid w:val="00F70B0F"/>
    <w:rsid w:val="00F74363"/>
    <w:rsid w:val="00F753F4"/>
    <w:rsid w:val="00F76189"/>
    <w:rsid w:val="00F804DA"/>
    <w:rsid w:val="00F82AA9"/>
    <w:rsid w:val="00F85151"/>
    <w:rsid w:val="00F86D15"/>
    <w:rsid w:val="00F90290"/>
    <w:rsid w:val="00F92182"/>
    <w:rsid w:val="00F92807"/>
    <w:rsid w:val="00F92B9F"/>
    <w:rsid w:val="00F93276"/>
    <w:rsid w:val="00F936A0"/>
    <w:rsid w:val="00F94B54"/>
    <w:rsid w:val="00F9535F"/>
    <w:rsid w:val="00F964C3"/>
    <w:rsid w:val="00F97183"/>
    <w:rsid w:val="00FA49F2"/>
    <w:rsid w:val="00FA556F"/>
    <w:rsid w:val="00FB2492"/>
    <w:rsid w:val="00FB4F8C"/>
    <w:rsid w:val="00FB6440"/>
    <w:rsid w:val="00FC1A20"/>
    <w:rsid w:val="00FC2495"/>
    <w:rsid w:val="00FC2CBE"/>
    <w:rsid w:val="00FC4C70"/>
    <w:rsid w:val="00FC5729"/>
    <w:rsid w:val="00FD04B8"/>
    <w:rsid w:val="00FD66EB"/>
    <w:rsid w:val="00FD768F"/>
    <w:rsid w:val="00FE07AC"/>
    <w:rsid w:val="00FE3877"/>
    <w:rsid w:val="00FE5492"/>
    <w:rsid w:val="00FE6DA4"/>
    <w:rsid w:val="00FE743D"/>
    <w:rsid w:val="00FF0989"/>
    <w:rsid w:val="00FF1E38"/>
    <w:rsid w:val="00FF5E29"/>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543088"/>
  <w15:docId w15:val="{5F538632-82AD-4CA3-A1E1-EE2EF6121C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hr-HR" w:eastAsia="hr-H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552E7"/>
    <w:pPr>
      <w:spacing w:after="164" w:line="271" w:lineRule="auto"/>
      <w:ind w:left="10" w:right="691" w:hanging="10"/>
      <w:jc w:val="both"/>
    </w:pPr>
    <w:rPr>
      <w:rFonts w:ascii="Arial" w:eastAsia="Arial" w:hAnsi="Arial" w:cs="Arial"/>
      <w:color w:val="000000"/>
    </w:rPr>
  </w:style>
  <w:style w:type="paragraph" w:styleId="Heading1">
    <w:name w:val="heading 1"/>
    <w:next w:val="Normal"/>
    <w:link w:val="Heading1Char"/>
    <w:uiPriority w:val="9"/>
    <w:unhideWhenUsed/>
    <w:qFormat/>
    <w:pPr>
      <w:keepNext/>
      <w:keepLines/>
      <w:spacing w:after="0"/>
      <w:ind w:left="10" w:right="698" w:hanging="10"/>
      <w:outlineLvl w:val="0"/>
    </w:pPr>
    <w:rPr>
      <w:rFonts w:ascii="Arial" w:eastAsia="Arial" w:hAnsi="Arial" w:cs="Arial"/>
      <w:b/>
      <w:color w:val="000000"/>
      <w:sz w:val="36"/>
    </w:rPr>
  </w:style>
  <w:style w:type="paragraph" w:styleId="Heading2">
    <w:name w:val="heading 2"/>
    <w:next w:val="Normal"/>
    <w:link w:val="Heading2Char"/>
    <w:uiPriority w:val="9"/>
    <w:unhideWhenUsed/>
    <w:qFormat/>
    <w:pPr>
      <w:keepNext/>
      <w:keepLines/>
      <w:spacing w:after="67" w:line="268" w:lineRule="auto"/>
      <w:ind w:left="10" w:hanging="10"/>
      <w:outlineLvl w:val="1"/>
    </w:pPr>
    <w:rPr>
      <w:rFonts w:ascii="Arial" w:eastAsia="Arial" w:hAnsi="Arial" w:cs="Arial"/>
      <w:b/>
      <w:color w:val="000000"/>
      <w:sz w:val="32"/>
    </w:rPr>
  </w:style>
  <w:style w:type="paragraph" w:styleId="Heading3">
    <w:name w:val="heading 3"/>
    <w:next w:val="Normal"/>
    <w:link w:val="Heading3Char"/>
    <w:uiPriority w:val="9"/>
    <w:unhideWhenUsed/>
    <w:qFormat/>
    <w:pPr>
      <w:keepNext/>
      <w:keepLines/>
      <w:spacing w:after="112" w:line="268" w:lineRule="auto"/>
      <w:ind w:left="293" w:hanging="10"/>
      <w:outlineLvl w:val="2"/>
    </w:pPr>
    <w:rPr>
      <w:rFonts w:ascii="Arial" w:eastAsia="Arial" w:hAnsi="Arial" w:cs="Arial"/>
      <w:b/>
      <w:color w:val="000000"/>
      <w:sz w:val="24"/>
    </w:rPr>
  </w:style>
  <w:style w:type="paragraph" w:styleId="Heading4">
    <w:name w:val="heading 4"/>
    <w:next w:val="Normal"/>
    <w:link w:val="Heading4Char"/>
    <w:uiPriority w:val="9"/>
    <w:unhideWhenUsed/>
    <w:qFormat/>
    <w:pPr>
      <w:keepNext/>
      <w:keepLines/>
      <w:spacing w:after="4" w:line="268" w:lineRule="auto"/>
      <w:ind w:left="10" w:right="696" w:hanging="10"/>
      <w:jc w:val="center"/>
      <w:outlineLvl w:val="3"/>
    </w:pPr>
    <w:rPr>
      <w:rFonts w:ascii="Arial" w:eastAsia="Arial" w:hAnsi="Arial" w:cs="Arial"/>
      <w:b/>
      <w:color w:val="000000"/>
    </w:rPr>
  </w:style>
  <w:style w:type="paragraph" w:styleId="Heading5">
    <w:name w:val="heading 5"/>
    <w:next w:val="Normal"/>
    <w:link w:val="Heading5Char"/>
    <w:uiPriority w:val="9"/>
    <w:unhideWhenUsed/>
    <w:qFormat/>
    <w:pPr>
      <w:keepNext/>
      <w:keepLines/>
      <w:spacing w:after="182"/>
      <w:ind w:left="10" w:hanging="10"/>
      <w:outlineLvl w:val="4"/>
    </w:pPr>
    <w:rPr>
      <w:rFonts w:ascii="Arial" w:eastAsia="Arial" w:hAnsi="Arial" w:cs="Arial"/>
      <w:color w:val="000000"/>
      <w:u w:val="single" w:color="000000"/>
    </w:rPr>
  </w:style>
  <w:style w:type="paragraph" w:styleId="Heading6">
    <w:name w:val="heading 6"/>
    <w:next w:val="Normal"/>
    <w:link w:val="Heading6Char"/>
    <w:uiPriority w:val="9"/>
    <w:unhideWhenUsed/>
    <w:qFormat/>
    <w:pPr>
      <w:keepNext/>
      <w:keepLines/>
      <w:spacing w:after="180"/>
      <w:ind w:left="10" w:hanging="10"/>
      <w:outlineLvl w:val="5"/>
    </w:pPr>
    <w:rPr>
      <w:rFonts w:ascii="Arial" w:eastAsia="Arial" w:hAnsi="Arial" w:cs="Arial"/>
      <w:b/>
      <w: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Pr>
      <w:rFonts w:ascii="Arial" w:eastAsia="Arial" w:hAnsi="Arial" w:cs="Arial"/>
      <w:b/>
      <w:color w:val="000000"/>
      <w:sz w:val="36"/>
    </w:rPr>
  </w:style>
  <w:style w:type="character" w:customStyle="1" w:styleId="Heading2Char">
    <w:name w:val="Heading 2 Char"/>
    <w:link w:val="Heading2"/>
    <w:uiPriority w:val="9"/>
    <w:rPr>
      <w:rFonts w:ascii="Arial" w:eastAsia="Arial" w:hAnsi="Arial" w:cs="Arial"/>
      <w:b/>
      <w:color w:val="000000"/>
      <w:sz w:val="32"/>
    </w:rPr>
  </w:style>
  <w:style w:type="character" w:customStyle="1" w:styleId="Heading3Char">
    <w:name w:val="Heading 3 Char"/>
    <w:link w:val="Heading3"/>
    <w:uiPriority w:val="9"/>
    <w:rPr>
      <w:rFonts w:ascii="Arial" w:eastAsia="Arial" w:hAnsi="Arial" w:cs="Arial"/>
      <w:b/>
      <w:color w:val="000000"/>
      <w:sz w:val="24"/>
    </w:rPr>
  </w:style>
  <w:style w:type="character" w:customStyle="1" w:styleId="Heading4Char">
    <w:name w:val="Heading 4 Char"/>
    <w:link w:val="Heading4"/>
    <w:uiPriority w:val="9"/>
    <w:rPr>
      <w:rFonts w:ascii="Arial" w:eastAsia="Arial" w:hAnsi="Arial" w:cs="Arial"/>
      <w:b/>
      <w:color w:val="000000"/>
      <w:sz w:val="22"/>
    </w:rPr>
  </w:style>
  <w:style w:type="character" w:customStyle="1" w:styleId="Heading5Char">
    <w:name w:val="Heading 5 Char"/>
    <w:link w:val="Heading5"/>
    <w:uiPriority w:val="9"/>
    <w:rPr>
      <w:rFonts w:ascii="Arial" w:eastAsia="Arial" w:hAnsi="Arial" w:cs="Arial"/>
      <w:color w:val="000000"/>
      <w:sz w:val="22"/>
      <w:u w:val="single" w:color="000000"/>
    </w:rPr>
  </w:style>
  <w:style w:type="character" w:customStyle="1" w:styleId="Heading6Char">
    <w:name w:val="Heading 6 Char"/>
    <w:link w:val="Heading6"/>
    <w:uiPriority w:val="9"/>
    <w:rPr>
      <w:rFonts w:ascii="Arial" w:eastAsia="Arial" w:hAnsi="Arial" w:cs="Arial"/>
      <w:b/>
      <w:i/>
      <w:color w:val="000000"/>
      <w:sz w:val="22"/>
    </w:rPr>
  </w:style>
  <w:style w:type="paragraph" w:customStyle="1" w:styleId="footnotedescription">
    <w:name w:val="footnote description"/>
    <w:next w:val="Normal"/>
    <w:link w:val="footnotedescriptionChar"/>
    <w:hidden/>
    <w:pPr>
      <w:spacing w:after="0" w:line="256" w:lineRule="auto"/>
    </w:pPr>
    <w:rPr>
      <w:rFonts w:ascii="Calibri" w:eastAsia="Calibri" w:hAnsi="Calibri" w:cs="Calibri"/>
      <w:color w:val="000000"/>
      <w:sz w:val="20"/>
    </w:rPr>
  </w:style>
  <w:style w:type="character" w:customStyle="1" w:styleId="footnotedescriptionChar">
    <w:name w:val="footnote description Char"/>
    <w:link w:val="footnotedescription"/>
    <w:rPr>
      <w:rFonts w:ascii="Calibri" w:eastAsia="Calibri" w:hAnsi="Calibri" w:cs="Calibri"/>
      <w:color w:val="000000"/>
      <w:sz w:val="20"/>
    </w:rPr>
  </w:style>
  <w:style w:type="character" w:customStyle="1" w:styleId="footnotemark">
    <w:name w:val="footnote mark"/>
    <w:hidden/>
    <w:rPr>
      <w:rFonts w:ascii="Calibri" w:eastAsia="Calibri" w:hAnsi="Calibri" w:cs="Calibri"/>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Footer">
    <w:name w:val="footer"/>
    <w:basedOn w:val="Normal"/>
    <w:link w:val="FooterChar"/>
    <w:uiPriority w:val="99"/>
    <w:unhideWhenUsed/>
    <w:rsid w:val="00C539D3"/>
    <w:pPr>
      <w:tabs>
        <w:tab w:val="center" w:pos="4680"/>
        <w:tab w:val="right" w:pos="9360"/>
      </w:tabs>
      <w:spacing w:after="0" w:line="240" w:lineRule="auto"/>
      <w:ind w:left="0" w:right="0" w:firstLine="0"/>
      <w:jc w:val="left"/>
    </w:pPr>
    <w:rPr>
      <w:rFonts w:asciiTheme="minorHAnsi" w:eastAsiaTheme="minorEastAsia" w:hAnsiTheme="minorHAnsi" w:cs="Times New Roman"/>
      <w:color w:val="auto"/>
    </w:rPr>
  </w:style>
  <w:style w:type="character" w:customStyle="1" w:styleId="FooterChar">
    <w:name w:val="Footer Char"/>
    <w:basedOn w:val="DefaultParagraphFont"/>
    <w:link w:val="Footer"/>
    <w:uiPriority w:val="99"/>
    <w:rsid w:val="00C539D3"/>
    <w:rPr>
      <w:rFonts w:cs="Times New Roman"/>
    </w:rPr>
  </w:style>
  <w:style w:type="paragraph" w:styleId="TOCHeading">
    <w:name w:val="TOC Heading"/>
    <w:basedOn w:val="Heading1"/>
    <w:next w:val="Normal"/>
    <w:uiPriority w:val="39"/>
    <w:unhideWhenUsed/>
    <w:qFormat/>
    <w:rsid w:val="00C539D3"/>
    <w:pPr>
      <w:spacing w:before="240"/>
      <w:ind w:left="0" w:right="0" w:firstLine="0"/>
      <w:outlineLvl w:val="9"/>
    </w:pPr>
    <w:rPr>
      <w:rFonts w:asciiTheme="majorHAnsi" w:eastAsiaTheme="majorEastAsia" w:hAnsiTheme="majorHAnsi" w:cstheme="majorBidi"/>
      <w:b w:val="0"/>
      <w:color w:val="2E74B5" w:themeColor="accent1" w:themeShade="BF"/>
      <w:sz w:val="32"/>
      <w:szCs w:val="32"/>
    </w:rPr>
  </w:style>
  <w:style w:type="paragraph" w:styleId="TOC1">
    <w:name w:val="toc 1"/>
    <w:basedOn w:val="Normal"/>
    <w:next w:val="Normal"/>
    <w:autoRedefine/>
    <w:uiPriority w:val="39"/>
    <w:unhideWhenUsed/>
    <w:rsid w:val="00C539D3"/>
    <w:pPr>
      <w:spacing w:after="100"/>
      <w:ind w:left="0"/>
    </w:pPr>
  </w:style>
  <w:style w:type="paragraph" w:styleId="TOC2">
    <w:name w:val="toc 2"/>
    <w:basedOn w:val="Normal"/>
    <w:next w:val="Normal"/>
    <w:autoRedefine/>
    <w:uiPriority w:val="39"/>
    <w:unhideWhenUsed/>
    <w:rsid w:val="00C539D3"/>
    <w:pPr>
      <w:spacing w:after="100"/>
      <w:ind w:left="220"/>
    </w:pPr>
  </w:style>
  <w:style w:type="paragraph" w:styleId="TOC3">
    <w:name w:val="toc 3"/>
    <w:basedOn w:val="Normal"/>
    <w:next w:val="Normal"/>
    <w:autoRedefine/>
    <w:uiPriority w:val="39"/>
    <w:unhideWhenUsed/>
    <w:rsid w:val="00C539D3"/>
    <w:pPr>
      <w:spacing w:after="100"/>
      <w:ind w:left="440"/>
    </w:pPr>
  </w:style>
  <w:style w:type="character" w:styleId="Hyperlink">
    <w:name w:val="Hyperlink"/>
    <w:basedOn w:val="DefaultParagraphFont"/>
    <w:uiPriority w:val="99"/>
    <w:unhideWhenUsed/>
    <w:rsid w:val="00C539D3"/>
    <w:rPr>
      <w:color w:val="0563C1" w:themeColor="hyperlink"/>
      <w:u w:val="single"/>
    </w:rPr>
  </w:style>
  <w:style w:type="paragraph" w:styleId="Header">
    <w:name w:val="header"/>
    <w:basedOn w:val="Normal"/>
    <w:link w:val="HeaderChar"/>
    <w:uiPriority w:val="99"/>
    <w:unhideWhenUsed/>
    <w:rsid w:val="00E40AC8"/>
    <w:pPr>
      <w:tabs>
        <w:tab w:val="center" w:pos="4536"/>
        <w:tab w:val="right" w:pos="9072"/>
      </w:tabs>
      <w:spacing w:after="0" w:line="240" w:lineRule="auto"/>
    </w:pPr>
  </w:style>
  <w:style w:type="character" w:customStyle="1" w:styleId="HeaderChar">
    <w:name w:val="Header Char"/>
    <w:basedOn w:val="DefaultParagraphFont"/>
    <w:link w:val="Header"/>
    <w:uiPriority w:val="99"/>
    <w:rsid w:val="00E40AC8"/>
    <w:rPr>
      <w:rFonts w:ascii="Arial" w:eastAsia="Arial" w:hAnsi="Arial" w:cs="Arial"/>
      <w:color w:val="000000"/>
    </w:rPr>
  </w:style>
  <w:style w:type="character" w:styleId="PageNumber">
    <w:name w:val="page number"/>
    <w:basedOn w:val="DefaultParagraphFont"/>
    <w:uiPriority w:val="99"/>
    <w:semiHidden/>
    <w:unhideWhenUsed/>
    <w:rsid w:val="00EE6A22"/>
  </w:style>
  <w:style w:type="table" w:styleId="TableGrid0">
    <w:name w:val="Table Grid"/>
    <w:basedOn w:val="TableNormal"/>
    <w:uiPriority w:val="39"/>
    <w:rsid w:val="00DB63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1D6E3A"/>
    <w:rPr>
      <w:sz w:val="16"/>
      <w:szCs w:val="16"/>
    </w:rPr>
  </w:style>
  <w:style w:type="paragraph" w:styleId="CommentText">
    <w:name w:val="annotation text"/>
    <w:basedOn w:val="Normal"/>
    <w:link w:val="CommentTextChar"/>
    <w:uiPriority w:val="99"/>
    <w:unhideWhenUsed/>
    <w:rsid w:val="001D6E3A"/>
    <w:pPr>
      <w:spacing w:line="240" w:lineRule="auto"/>
    </w:pPr>
    <w:rPr>
      <w:sz w:val="20"/>
      <w:szCs w:val="20"/>
    </w:rPr>
  </w:style>
  <w:style w:type="character" w:customStyle="1" w:styleId="CommentTextChar">
    <w:name w:val="Comment Text Char"/>
    <w:basedOn w:val="DefaultParagraphFont"/>
    <w:link w:val="CommentText"/>
    <w:uiPriority w:val="99"/>
    <w:rsid w:val="001D6E3A"/>
    <w:rPr>
      <w:rFonts w:ascii="Arial" w:eastAsia="Arial" w:hAnsi="Arial" w:cs="Arial"/>
      <w:color w:val="000000"/>
      <w:sz w:val="20"/>
      <w:szCs w:val="20"/>
    </w:rPr>
  </w:style>
  <w:style w:type="paragraph" w:styleId="CommentSubject">
    <w:name w:val="annotation subject"/>
    <w:basedOn w:val="CommentText"/>
    <w:next w:val="CommentText"/>
    <w:link w:val="CommentSubjectChar"/>
    <w:uiPriority w:val="99"/>
    <w:semiHidden/>
    <w:unhideWhenUsed/>
    <w:rsid w:val="001D6E3A"/>
    <w:rPr>
      <w:b/>
      <w:bCs/>
    </w:rPr>
  </w:style>
  <w:style w:type="character" w:customStyle="1" w:styleId="CommentSubjectChar">
    <w:name w:val="Comment Subject Char"/>
    <w:basedOn w:val="CommentTextChar"/>
    <w:link w:val="CommentSubject"/>
    <w:uiPriority w:val="99"/>
    <w:semiHidden/>
    <w:rsid w:val="001D6E3A"/>
    <w:rPr>
      <w:rFonts w:ascii="Arial" w:eastAsia="Arial" w:hAnsi="Arial" w:cs="Arial"/>
      <w:b/>
      <w:bCs/>
      <w:color w:val="000000"/>
      <w:sz w:val="20"/>
      <w:szCs w:val="20"/>
    </w:rPr>
  </w:style>
  <w:style w:type="paragraph" w:styleId="BalloonText">
    <w:name w:val="Balloon Text"/>
    <w:basedOn w:val="Normal"/>
    <w:link w:val="BalloonTextChar"/>
    <w:uiPriority w:val="99"/>
    <w:semiHidden/>
    <w:unhideWhenUsed/>
    <w:rsid w:val="001D6E3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D6E3A"/>
    <w:rPr>
      <w:rFonts w:ascii="Segoe UI" w:eastAsia="Arial" w:hAnsi="Segoe UI" w:cs="Segoe UI"/>
      <w:color w:val="000000"/>
      <w:sz w:val="18"/>
      <w:szCs w:val="18"/>
    </w:rPr>
  </w:style>
  <w:style w:type="paragraph" w:styleId="FootnoteText">
    <w:name w:val="footnote text"/>
    <w:basedOn w:val="Normal"/>
    <w:link w:val="FootnoteTextChar"/>
    <w:uiPriority w:val="99"/>
    <w:unhideWhenUsed/>
    <w:rsid w:val="007852DE"/>
    <w:pPr>
      <w:spacing w:after="0" w:line="240" w:lineRule="auto"/>
    </w:pPr>
    <w:rPr>
      <w:sz w:val="20"/>
      <w:szCs w:val="20"/>
    </w:rPr>
  </w:style>
  <w:style w:type="character" w:customStyle="1" w:styleId="FootnoteTextChar">
    <w:name w:val="Footnote Text Char"/>
    <w:basedOn w:val="DefaultParagraphFont"/>
    <w:link w:val="FootnoteText"/>
    <w:uiPriority w:val="99"/>
    <w:rsid w:val="007852DE"/>
    <w:rPr>
      <w:rFonts w:ascii="Arial" w:eastAsia="Arial" w:hAnsi="Arial" w:cs="Arial"/>
      <w:color w:val="000000"/>
      <w:sz w:val="20"/>
      <w:szCs w:val="20"/>
    </w:rPr>
  </w:style>
  <w:style w:type="character" w:styleId="FootnoteReference">
    <w:name w:val="footnote reference"/>
    <w:basedOn w:val="DefaultParagraphFont"/>
    <w:uiPriority w:val="99"/>
    <w:semiHidden/>
    <w:unhideWhenUsed/>
    <w:rsid w:val="007852DE"/>
    <w:rPr>
      <w:vertAlign w:val="superscript"/>
    </w:rPr>
  </w:style>
  <w:style w:type="paragraph" w:styleId="BodyText">
    <w:name w:val="Body Text"/>
    <w:basedOn w:val="Normal"/>
    <w:link w:val="BodyTextChar"/>
    <w:uiPriority w:val="1"/>
    <w:qFormat/>
    <w:rsid w:val="002C11D2"/>
    <w:pPr>
      <w:widowControl w:val="0"/>
      <w:spacing w:after="0" w:line="240" w:lineRule="auto"/>
      <w:ind w:left="302" w:right="0" w:firstLine="0"/>
      <w:jc w:val="left"/>
    </w:pPr>
    <w:rPr>
      <w:rFonts w:ascii="Cambria" w:eastAsia="Cambria" w:hAnsi="Cambria" w:cstheme="minorBidi"/>
      <w:color w:val="auto"/>
      <w:sz w:val="16"/>
      <w:szCs w:val="16"/>
      <w:lang w:val="en-US" w:eastAsia="en-US"/>
    </w:rPr>
  </w:style>
  <w:style w:type="character" w:customStyle="1" w:styleId="BodyTextChar">
    <w:name w:val="Body Text Char"/>
    <w:basedOn w:val="DefaultParagraphFont"/>
    <w:link w:val="BodyText"/>
    <w:uiPriority w:val="1"/>
    <w:rsid w:val="002C11D2"/>
    <w:rPr>
      <w:rFonts w:ascii="Cambria" w:eastAsia="Cambria" w:hAnsi="Cambria"/>
      <w:sz w:val="16"/>
      <w:szCs w:val="16"/>
      <w:lang w:val="en-US" w:eastAsia="en-US"/>
    </w:rPr>
  </w:style>
  <w:style w:type="paragraph" w:customStyle="1" w:styleId="TableParagraph">
    <w:name w:val="Table Paragraph"/>
    <w:basedOn w:val="Normal"/>
    <w:uiPriority w:val="1"/>
    <w:qFormat/>
    <w:rsid w:val="002C11D2"/>
    <w:pPr>
      <w:widowControl w:val="0"/>
      <w:spacing w:after="0" w:line="240" w:lineRule="auto"/>
      <w:ind w:left="0" w:right="0" w:firstLine="0"/>
      <w:jc w:val="left"/>
    </w:pPr>
    <w:rPr>
      <w:rFonts w:asciiTheme="minorHAnsi" w:eastAsiaTheme="minorHAnsi" w:hAnsiTheme="minorHAnsi" w:cstheme="minorBidi"/>
      <w:color w:val="auto"/>
      <w:lang w:val="en-US" w:eastAsia="en-US"/>
    </w:rPr>
  </w:style>
  <w:style w:type="character" w:customStyle="1" w:styleId="UnresolvedMention1">
    <w:name w:val="Unresolved Mention1"/>
    <w:basedOn w:val="DefaultParagraphFont"/>
    <w:uiPriority w:val="99"/>
    <w:semiHidden/>
    <w:unhideWhenUsed/>
    <w:rsid w:val="009C4225"/>
    <w:rPr>
      <w:color w:val="605E5C"/>
      <w:shd w:val="clear" w:color="auto" w:fill="E1DFDD"/>
    </w:rPr>
  </w:style>
  <w:style w:type="character" w:customStyle="1" w:styleId="UnresolvedMention2">
    <w:name w:val="Unresolved Mention2"/>
    <w:basedOn w:val="DefaultParagraphFont"/>
    <w:uiPriority w:val="99"/>
    <w:semiHidden/>
    <w:unhideWhenUsed/>
    <w:rsid w:val="00122420"/>
    <w:rPr>
      <w:color w:val="605E5C"/>
      <w:shd w:val="clear" w:color="auto" w:fill="E1DFDD"/>
    </w:rPr>
  </w:style>
  <w:style w:type="paragraph" w:styleId="Revision">
    <w:name w:val="Revision"/>
    <w:hidden/>
    <w:uiPriority w:val="99"/>
    <w:semiHidden/>
    <w:rsid w:val="0032536A"/>
    <w:pPr>
      <w:spacing w:after="0" w:line="240" w:lineRule="auto"/>
    </w:pPr>
    <w:rPr>
      <w:rFonts w:ascii="Arial" w:eastAsia="Arial" w:hAnsi="Arial" w:cs="Arial"/>
      <w:color w:val="000000"/>
    </w:rPr>
  </w:style>
  <w:style w:type="character" w:styleId="FollowedHyperlink">
    <w:name w:val="FollowedHyperlink"/>
    <w:basedOn w:val="DefaultParagraphFont"/>
    <w:uiPriority w:val="99"/>
    <w:semiHidden/>
    <w:unhideWhenUsed/>
    <w:rsid w:val="003B523F"/>
    <w:rPr>
      <w:color w:val="954F72" w:themeColor="followedHyperlink"/>
      <w:u w:val="single"/>
    </w:rPr>
  </w:style>
  <w:style w:type="character" w:customStyle="1" w:styleId="UnresolvedMention3">
    <w:name w:val="Unresolved Mention3"/>
    <w:basedOn w:val="DefaultParagraphFont"/>
    <w:uiPriority w:val="99"/>
    <w:semiHidden/>
    <w:unhideWhenUsed/>
    <w:rsid w:val="00BC2920"/>
    <w:rPr>
      <w:color w:val="605E5C"/>
      <w:shd w:val="clear" w:color="auto" w:fill="E1DFDD"/>
    </w:rPr>
  </w:style>
  <w:style w:type="paragraph" w:styleId="ListParagraph">
    <w:name w:val="List Paragraph"/>
    <w:basedOn w:val="Normal"/>
    <w:uiPriority w:val="34"/>
    <w:qFormat/>
    <w:rsid w:val="0003514B"/>
    <w:pPr>
      <w:ind w:left="720"/>
      <w:contextualSpacing/>
    </w:pPr>
  </w:style>
  <w:style w:type="character" w:customStyle="1" w:styleId="UnresolvedMention4">
    <w:name w:val="Unresolved Mention4"/>
    <w:basedOn w:val="DefaultParagraphFont"/>
    <w:uiPriority w:val="99"/>
    <w:semiHidden/>
    <w:unhideWhenUsed/>
    <w:rsid w:val="0011454A"/>
    <w:rPr>
      <w:color w:val="605E5C"/>
      <w:shd w:val="clear" w:color="auto" w:fill="E1DFDD"/>
    </w:rPr>
  </w:style>
  <w:style w:type="paragraph" w:styleId="NormalWeb">
    <w:name w:val="Normal (Web)"/>
    <w:basedOn w:val="Normal"/>
    <w:uiPriority w:val="99"/>
    <w:unhideWhenUsed/>
    <w:rsid w:val="00EB5C8F"/>
    <w:pPr>
      <w:spacing w:before="100" w:beforeAutospacing="1" w:after="100" w:afterAutospacing="1" w:line="240" w:lineRule="auto"/>
      <w:ind w:left="0" w:right="0" w:firstLine="0"/>
      <w:jc w:val="left"/>
    </w:pPr>
    <w:rPr>
      <w:rFonts w:ascii="Times New Roman" w:eastAsia="Times New Roman" w:hAnsi="Times New Roman" w:cs="Times New Roman"/>
      <w:color w:val="auto"/>
      <w:sz w:val="24"/>
      <w:szCs w:val="24"/>
      <w:lang w:eastAsia="en-US"/>
    </w:rPr>
  </w:style>
  <w:style w:type="numbering" w:customStyle="1" w:styleId="NoList1">
    <w:name w:val="No List1"/>
    <w:next w:val="NoList"/>
    <w:uiPriority w:val="99"/>
    <w:semiHidden/>
    <w:unhideWhenUsed/>
    <w:rsid w:val="00FF1E38"/>
  </w:style>
  <w:style w:type="numbering" w:customStyle="1" w:styleId="NoList11">
    <w:name w:val="No List11"/>
    <w:next w:val="NoList"/>
    <w:uiPriority w:val="99"/>
    <w:semiHidden/>
    <w:unhideWhenUsed/>
    <w:rsid w:val="00FF1E38"/>
  </w:style>
  <w:style w:type="table" w:customStyle="1" w:styleId="TableGrid1">
    <w:name w:val="TableGrid1"/>
    <w:rsid w:val="00FF1E38"/>
    <w:pPr>
      <w:spacing w:after="0" w:line="240" w:lineRule="auto"/>
    </w:pPr>
    <w:rPr>
      <w:rFonts w:eastAsia="Times New Roman"/>
    </w:rPr>
    <w:tblPr>
      <w:tblCellMar>
        <w:top w:w="0" w:type="dxa"/>
        <w:left w:w="0" w:type="dxa"/>
        <w:bottom w:w="0" w:type="dxa"/>
        <w:right w:w="0" w:type="dxa"/>
      </w:tblCellMar>
    </w:tblPr>
  </w:style>
  <w:style w:type="paragraph" w:customStyle="1" w:styleId="Footer1">
    <w:name w:val="Footer1"/>
    <w:basedOn w:val="Normal"/>
    <w:next w:val="Footer"/>
    <w:uiPriority w:val="99"/>
    <w:unhideWhenUsed/>
    <w:rsid w:val="00FF1E38"/>
    <w:pPr>
      <w:tabs>
        <w:tab w:val="center" w:pos="4680"/>
        <w:tab w:val="right" w:pos="9360"/>
      </w:tabs>
      <w:spacing w:after="0" w:line="240" w:lineRule="auto"/>
      <w:ind w:left="0" w:right="0" w:firstLine="0"/>
      <w:jc w:val="left"/>
    </w:pPr>
    <w:rPr>
      <w:rFonts w:ascii="Calibri" w:eastAsia="Calibri" w:hAnsi="Calibri" w:cs="Times New Roman"/>
      <w:color w:val="auto"/>
      <w:lang w:eastAsia="en-US"/>
    </w:rPr>
  </w:style>
  <w:style w:type="paragraph" w:customStyle="1" w:styleId="TOCHeading1">
    <w:name w:val="TOC Heading1"/>
    <w:basedOn w:val="Heading1"/>
    <w:next w:val="Normal"/>
    <w:uiPriority w:val="39"/>
    <w:unhideWhenUsed/>
    <w:qFormat/>
    <w:rsid w:val="00FF1E38"/>
    <w:pPr>
      <w:spacing w:before="240"/>
      <w:ind w:left="0" w:right="0" w:firstLine="0"/>
      <w:outlineLvl w:val="9"/>
    </w:pPr>
    <w:rPr>
      <w:rFonts w:ascii="Calibri Light" w:eastAsia="Times New Roman" w:hAnsi="Calibri Light" w:cs="Times New Roman"/>
      <w:b w:val="0"/>
      <w:color w:val="2E74B5"/>
      <w:sz w:val="32"/>
      <w:szCs w:val="32"/>
    </w:rPr>
  </w:style>
  <w:style w:type="character" w:customStyle="1" w:styleId="Hyperlink1">
    <w:name w:val="Hyperlink1"/>
    <w:basedOn w:val="DefaultParagraphFont"/>
    <w:uiPriority w:val="99"/>
    <w:unhideWhenUsed/>
    <w:rsid w:val="00FF1E38"/>
    <w:rPr>
      <w:color w:val="0563C1"/>
      <w:u w:val="single"/>
    </w:rPr>
  </w:style>
  <w:style w:type="table" w:customStyle="1" w:styleId="TableGrid10">
    <w:name w:val="Table Grid1"/>
    <w:basedOn w:val="TableNormal"/>
    <w:next w:val="TableGrid0"/>
    <w:uiPriority w:val="39"/>
    <w:rsid w:val="00FF1E38"/>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
    <w:name w:val="Body Text1"/>
    <w:basedOn w:val="Normal"/>
    <w:next w:val="BodyText"/>
    <w:uiPriority w:val="1"/>
    <w:qFormat/>
    <w:rsid w:val="00FF1E38"/>
    <w:pPr>
      <w:widowControl w:val="0"/>
      <w:spacing w:after="0" w:line="240" w:lineRule="auto"/>
      <w:ind w:left="302" w:right="0" w:firstLine="0"/>
      <w:jc w:val="left"/>
    </w:pPr>
    <w:rPr>
      <w:rFonts w:ascii="Cambria" w:eastAsia="Cambria" w:hAnsi="Cambria" w:cs="Times New Roman"/>
      <w:color w:val="auto"/>
      <w:sz w:val="16"/>
      <w:szCs w:val="16"/>
      <w:lang w:val="en-US" w:eastAsia="en-US"/>
    </w:rPr>
  </w:style>
  <w:style w:type="character" w:customStyle="1" w:styleId="FooterChar1">
    <w:name w:val="Footer Char1"/>
    <w:basedOn w:val="DefaultParagraphFont"/>
    <w:uiPriority w:val="99"/>
    <w:rsid w:val="00FF1E38"/>
  </w:style>
  <w:style w:type="character" w:customStyle="1" w:styleId="BodyTextChar1">
    <w:name w:val="Body Text Char1"/>
    <w:basedOn w:val="DefaultParagraphFont"/>
    <w:uiPriority w:val="99"/>
    <w:semiHidden/>
    <w:rsid w:val="00FF1E38"/>
  </w:style>
  <w:style w:type="table" w:customStyle="1" w:styleId="TableGrid11">
    <w:name w:val="TableGrid11"/>
    <w:rsid w:val="00FF1E38"/>
    <w:pPr>
      <w:spacing w:after="0" w:line="240" w:lineRule="auto"/>
      <w:jc w:val="both"/>
    </w:pPr>
    <w:rPr>
      <w:rFonts w:eastAsia="Times New Roman"/>
    </w:rPr>
    <w:tblPr>
      <w:tblCellMar>
        <w:top w:w="0" w:type="dxa"/>
        <w:left w:w="0" w:type="dxa"/>
        <w:bottom w:w="0" w:type="dxa"/>
        <w:right w:w="0" w:type="dxa"/>
      </w:tblCellMar>
    </w:tblPr>
  </w:style>
  <w:style w:type="table" w:customStyle="1" w:styleId="TableGrid2">
    <w:name w:val="TableGrid2"/>
    <w:rsid w:val="00FF1E38"/>
    <w:pPr>
      <w:spacing w:after="0" w:line="240" w:lineRule="auto"/>
      <w:jc w:val="both"/>
    </w:pPr>
    <w:rPr>
      <w:rFonts w:eastAsia="Times New Roman"/>
    </w:rPr>
    <w:tblPr>
      <w:tblCellMar>
        <w:top w:w="0" w:type="dxa"/>
        <w:left w:w="0" w:type="dxa"/>
        <w:bottom w:w="0" w:type="dxa"/>
        <w:right w:w="0" w:type="dxa"/>
      </w:tblCellMar>
    </w:tblPr>
  </w:style>
  <w:style w:type="table" w:customStyle="1" w:styleId="TableGrid3">
    <w:name w:val="TableGrid3"/>
    <w:rsid w:val="00FF1E38"/>
    <w:pPr>
      <w:spacing w:after="0" w:line="240" w:lineRule="auto"/>
      <w:jc w:val="both"/>
    </w:pPr>
    <w:rPr>
      <w:rFonts w:eastAsia="Times New Roman"/>
    </w:rPr>
    <w:tblPr>
      <w:tblCellMar>
        <w:top w:w="0" w:type="dxa"/>
        <w:left w:w="0" w:type="dxa"/>
        <w:bottom w:w="0" w:type="dxa"/>
        <w:right w:w="0" w:type="dxa"/>
      </w:tblCellMar>
    </w:tblPr>
  </w:style>
  <w:style w:type="table" w:customStyle="1" w:styleId="TableGrid20">
    <w:name w:val="Table Grid2"/>
    <w:basedOn w:val="TableNormal"/>
    <w:next w:val="TableGrid0"/>
    <w:uiPriority w:val="39"/>
    <w:rsid w:val="00FF1E3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Grid12"/>
    <w:rsid w:val="00FF1E38"/>
    <w:pPr>
      <w:spacing w:after="0" w:line="240" w:lineRule="auto"/>
      <w:jc w:val="both"/>
    </w:pPr>
    <w:rPr>
      <w:rFonts w:eastAsia="Times New Roman"/>
    </w:rPr>
    <w:tblPr>
      <w:tblCellMar>
        <w:top w:w="0" w:type="dxa"/>
        <w:left w:w="0" w:type="dxa"/>
        <w:bottom w:w="0" w:type="dxa"/>
        <w:right w:w="0" w:type="dxa"/>
      </w:tblCellMar>
    </w:tblPr>
  </w:style>
  <w:style w:type="table" w:customStyle="1" w:styleId="TableGrid4">
    <w:name w:val="TableGrid4"/>
    <w:rsid w:val="00FF1E38"/>
    <w:pPr>
      <w:spacing w:after="0" w:line="240" w:lineRule="auto"/>
      <w:jc w:val="both"/>
    </w:pPr>
    <w:rPr>
      <w:rFonts w:eastAsia="Times New Roman"/>
    </w:rPr>
    <w:tblPr>
      <w:tblCellMar>
        <w:top w:w="0" w:type="dxa"/>
        <w:left w:w="0" w:type="dxa"/>
        <w:bottom w:w="0" w:type="dxa"/>
        <w:right w:w="0" w:type="dxa"/>
      </w:tblCellMar>
    </w:tblPr>
  </w:style>
  <w:style w:type="table" w:customStyle="1" w:styleId="TableGrid5">
    <w:name w:val="TableGrid5"/>
    <w:rsid w:val="00FF1E38"/>
    <w:pPr>
      <w:spacing w:after="0" w:line="240" w:lineRule="auto"/>
      <w:jc w:val="both"/>
    </w:pPr>
    <w:rPr>
      <w:rFonts w:eastAsia="Times New Roman"/>
    </w:rPr>
    <w:tblPr>
      <w:tblCellMar>
        <w:top w:w="0" w:type="dxa"/>
        <w:left w:w="0" w:type="dxa"/>
        <w:bottom w:w="0" w:type="dxa"/>
        <w:right w:w="0" w:type="dxa"/>
      </w:tblCellMar>
    </w:tblPr>
  </w:style>
  <w:style w:type="table" w:customStyle="1" w:styleId="TableGrid6">
    <w:name w:val="TableGrid6"/>
    <w:rsid w:val="00FF1E38"/>
    <w:pPr>
      <w:spacing w:after="0" w:line="240" w:lineRule="auto"/>
    </w:pPr>
    <w:rPr>
      <w:rFonts w:eastAsia="Times New Roman"/>
    </w:rPr>
    <w:tblPr>
      <w:tblCellMar>
        <w:top w:w="0" w:type="dxa"/>
        <w:left w:w="0" w:type="dxa"/>
        <w:bottom w:w="0" w:type="dxa"/>
        <w:right w:w="0" w:type="dxa"/>
      </w:tblCellMar>
    </w:tblPr>
  </w:style>
  <w:style w:type="table" w:customStyle="1" w:styleId="TableGrid30">
    <w:name w:val="Table Grid3"/>
    <w:basedOn w:val="TableNormal"/>
    <w:next w:val="TableGrid0"/>
    <w:uiPriority w:val="39"/>
    <w:rsid w:val="00FF1E38"/>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Grid13"/>
    <w:rsid w:val="00FF1E38"/>
    <w:pPr>
      <w:spacing w:after="0" w:line="240" w:lineRule="auto"/>
      <w:jc w:val="both"/>
    </w:pPr>
    <w:tblPr>
      <w:tblCellMar>
        <w:top w:w="0" w:type="dxa"/>
        <w:left w:w="0" w:type="dxa"/>
        <w:bottom w:w="0" w:type="dxa"/>
        <w:right w:w="0" w:type="dxa"/>
      </w:tblCellMar>
    </w:tblPr>
  </w:style>
  <w:style w:type="numbering" w:customStyle="1" w:styleId="NoList2">
    <w:name w:val="No List2"/>
    <w:next w:val="NoList"/>
    <w:uiPriority w:val="99"/>
    <w:semiHidden/>
    <w:unhideWhenUsed/>
    <w:rsid w:val="002735B8"/>
  </w:style>
  <w:style w:type="table" w:customStyle="1" w:styleId="TableGrid7">
    <w:name w:val="TableGrid7"/>
    <w:rsid w:val="002735B8"/>
    <w:pPr>
      <w:spacing w:after="0" w:line="240" w:lineRule="auto"/>
      <w:jc w:val="both"/>
    </w:pPr>
    <w:tblPr>
      <w:tblCellMar>
        <w:top w:w="0" w:type="dxa"/>
        <w:left w:w="0" w:type="dxa"/>
        <w:bottom w:w="0" w:type="dxa"/>
        <w:right w:w="0" w:type="dxa"/>
      </w:tblCellMar>
    </w:tblPr>
  </w:style>
  <w:style w:type="paragraph" w:styleId="Caption">
    <w:name w:val="caption"/>
    <w:basedOn w:val="Normal"/>
    <w:next w:val="Normal"/>
    <w:uiPriority w:val="35"/>
    <w:unhideWhenUsed/>
    <w:qFormat/>
    <w:rsid w:val="002735B8"/>
    <w:pPr>
      <w:spacing w:after="200" w:line="240" w:lineRule="auto"/>
      <w:ind w:left="0" w:right="0" w:firstLine="0"/>
    </w:pPr>
    <w:rPr>
      <w:i/>
      <w:iCs/>
      <w:color w:val="44546A" w:themeColor="text2"/>
      <w:sz w:val="18"/>
      <w:szCs w:val="18"/>
    </w:rPr>
  </w:style>
  <w:style w:type="paragraph" w:customStyle="1" w:styleId="Default">
    <w:name w:val="Default"/>
    <w:rsid w:val="002735B8"/>
    <w:pPr>
      <w:autoSpaceDE w:val="0"/>
      <w:autoSpaceDN w:val="0"/>
      <w:adjustRightInd w:val="0"/>
      <w:spacing w:after="0" w:line="240" w:lineRule="auto"/>
      <w:jc w:val="both"/>
    </w:pPr>
    <w:rPr>
      <w:rFonts w:ascii="Cambria" w:eastAsiaTheme="minorHAnsi" w:hAnsi="Cambria" w:cs="Cambria"/>
      <w:color w:val="000000"/>
      <w:sz w:val="24"/>
      <w:szCs w:val="24"/>
      <w:lang w:eastAsia="en-US"/>
    </w:rPr>
  </w:style>
  <w:style w:type="character" w:styleId="Emphasis">
    <w:name w:val="Emphasis"/>
    <w:basedOn w:val="DefaultParagraphFont"/>
    <w:uiPriority w:val="20"/>
    <w:qFormat/>
    <w:rsid w:val="002735B8"/>
    <w:rPr>
      <w:i/>
      <w:iCs/>
    </w:rPr>
  </w:style>
  <w:style w:type="table" w:customStyle="1" w:styleId="TableGrid40">
    <w:name w:val="Table Grid4"/>
    <w:basedOn w:val="TableNormal"/>
    <w:next w:val="TableGrid0"/>
    <w:uiPriority w:val="39"/>
    <w:rsid w:val="002735B8"/>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Grid14"/>
    <w:rsid w:val="002735B8"/>
    <w:pPr>
      <w:spacing w:after="0" w:line="240" w:lineRule="auto"/>
    </w:pPr>
    <w:tblPr>
      <w:tblCellMar>
        <w:top w:w="0" w:type="dxa"/>
        <w:left w:w="0" w:type="dxa"/>
        <w:bottom w:w="0" w:type="dxa"/>
        <w:right w:w="0" w:type="dxa"/>
      </w:tblCellMar>
    </w:tblPr>
  </w:style>
  <w:style w:type="table" w:customStyle="1" w:styleId="TableGrid21">
    <w:name w:val="TableGrid21"/>
    <w:rsid w:val="002735B8"/>
    <w:pPr>
      <w:spacing w:after="0" w:line="240" w:lineRule="auto"/>
    </w:pPr>
    <w:tblPr>
      <w:tblCellMar>
        <w:top w:w="0" w:type="dxa"/>
        <w:left w:w="0" w:type="dxa"/>
        <w:bottom w:w="0" w:type="dxa"/>
        <w:right w:w="0" w:type="dxa"/>
      </w:tblCellMar>
    </w:tblPr>
  </w:style>
  <w:style w:type="table" w:customStyle="1" w:styleId="TableGrid110">
    <w:name w:val="Table Grid11"/>
    <w:basedOn w:val="TableNormal"/>
    <w:next w:val="TableGrid0"/>
    <w:rsid w:val="002735B8"/>
    <w:pPr>
      <w:spacing w:after="120" w:line="240" w:lineRule="auto"/>
      <w:ind w:firstLine="709"/>
      <w:jc w:val="both"/>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2735B8"/>
  </w:style>
  <w:style w:type="table" w:customStyle="1" w:styleId="TableGrid8">
    <w:name w:val="TableGrid8"/>
    <w:rsid w:val="002735B8"/>
    <w:pPr>
      <w:spacing w:after="0" w:line="240" w:lineRule="auto"/>
      <w:jc w:val="both"/>
    </w:pPr>
    <w:tblPr>
      <w:tblCellMar>
        <w:top w:w="0" w:type="dxa"/>
        <w:left w:w="0" w:type="dxa"/>
        <w:bottom w:w="0" w:type="dxa"/>
        <w:right w:w="0" w:type="dxa"/>
      </w:tblCellMar>
    </w:tblPr>
  </w:style>
  <w:style w:type="table" w:customStyle="1" w:styleId="TableGrid50">
    <w:name w:val="Table Grid5"/>
    <w:basedOn w:val="TableNormal"/>
    <w:next w:val="TableGrid0"/>
    <w:uiPriority w:val="39"/>
    <w:rsid w:val="002735B8"/>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Grid15"/>
    <w:rsid w:val="002735B8"/>
    <w:pPr>
      <w:spacing w:after="0" w:line="240" w:lineRule="auto"/>
    </w:pPr>
    <w:tblPr>
      <w:tblCellMar>
        <w:top w:w="0" w:type="dxa"/>
        <w:left w:w="0" w:type="dxa"/>
        <w:bottom w:w="0" w:type="dxa"/>
        <w:right w:w="0" w:type="dxa"/>
      </w:tblCellMar>
    </w:tblPr>
  </w:style>
  <w:style w:type="table" w:customStyle="1" w:styleId="TableGrid22">
    <w:name w:val="TableGrid22"/>
    <w:rsid w:val="002735B8"/>
    <w:pPr>
      <w:spacing w:after="0" w:line="240" w:lineRule="auto"/>
    </w:pPr>
    <w:tblPr>
      <w:tblCellMar>
        <w:top w:w="0" w:type="dxa"/>
        <w:left w:w="0" w:type="dxa"/>
        <w:bottom w:w="0" w:type="dxa"/>
        <w:right w:w="0" w:type="dxa"/>
      </w:tblCellMar>
    </w:tblPr>
  </w:style>
  <w:style w:type="character" w:customStyle="1" w:styleId="A4">
    <w:name w:val="A4"/>
    <w:uiPriority w:val="99"/>
    <w:rsid w:val="002735B8"/>
    <w:rPr>
      <w:color w:val="000000"/>
      <w:sz w:val="12"/>
      <w:szCs w:val="12"/>
    </w:rPr>
  </w:style>
  <w:style w:type="table" w:customStyle="1" w:styleId="TableGrid31">
    <w:name w:val="TableGrid31"/>
    <w:rsid w:val="002735B8"/>
    <w:pPr>
      <w:spacing w:after="0" w:line="240" w:lineRule="auto"/>
    </w:pPr>
    <w:tblPr>
      <w:tblCellMar>
        <w:top w:w="0" w:type="dxa"/>
        <w:left w:w="0" w:type="dxa"/>
        <w:bottom w:w="0" w:type="dxa"/>
        <w:right w:w="0" w:type="dxa"/>
      </w:tblCellMar>
    </w:tblPr>
  </w:style>
  <w:style w:type="numbering" w:customStyle="1" w:styleId="NoList4">
    <w:name w:val="No List4"/>
    <w:next w:val="NoList"/>
    <w:uiPriority w:val="99"/>
    <w:semiHidden/>
    <w:unhideWhenUsed/>
    <w:rsid w:val="00472217"/>
  </w:style>
  <w:style w:type="table" w:customStyle="1" w:styleId="TableGrid9">
    <w:name w:val="TableGrid9"/>
    <w:rsid w:val="00472217"/>
    <w:pPr>
      <w:spacing w:after="0" w:line="240" w:lineRule="auto"/>
      <w:jc w:val="both"/>
    </w:pPr>
    <w:tblPr>
      <w:tblCellMar>
        <w:top w:w="0" w:type="dxa"/>
        <w:left w:w="0" w:type="dxa"/>
        <w:bottom w:w="0" w:type="dxa"/>
        <w:right w:w="0" w:type="dxa"/>
      </w:tblCellMar>
    </w:tblPr>
  </w:style>
  <w:style w:type="table" w:customStyle="1" w:styleId="TableGrid60">
    <w:name w:val="Table Grid6"/>
    <w:basedOn w:val="TableNormal"/>
    <w:next w:val="TableGrid0"/>
    <w:uiPriority w:val="39"/>
    <w:rsid w:val="00472217"/>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Grid16"/>
    <w:rsid w:val="00472217"/>
    <w:pPr>
      <w:spacing w:after="0" w:line="240" w:lineRule="auto"/>
    </w:pPr>
    <w:tblPr>
      <w:tblCellMar>
        <w:top w:w="0" w:type="dxa"/>
        <w:left w:w="0" w:type="dxa"/>
        <w:bottom w:w="0" w:type="dxa"/>
        <w:right w:w="0" w:type="dxa"/>
      </w:tblCellMar>
    </w:tblPr>
  </w:style>
  <w:style w:type="table" w:customStyle="1" w:styleId="TableGrid23">
    <w:name w:val="TableGrid23"/>
    <w:rsid w:val="00472217"/>
    <w:pPr>
      <w:spacing w:after="0" w:line="240" w:lineRule="auto"/>
    </w:pPr>
    <w:tblPr>
      <w:tblCellMar>
        <w:top w:w="0" w:type="dxa"/>
        <w:left w:w="0" w:type="dxa"/>
        <w:bottom w:w="0" w:type="dxa"/>
        <w:right w:w="0" w:type="dxa"/>
      </w:tblCellMar>
    </w:tblPr>
  </w:style>
  <w:style w:type="table" w:customStyle="1" w:styleId="TableGrid32">
    <w:name w:val="TableGrid32"/>
    <w:rsid w:val="00472217"/>
    <w:pPr>
      <w:spacing w:after="0" w:line="240" w:lineRule="auto"/>
    </w:pPr>
    <w:tblPr>
      <w:tblCellMar>
        <w:top w:w="0" w:type="dxa"/>
        <w:left w:w="0" w:type="dxa"/>
        <w:bottom w:w="0" w:type="dxa"/>
        <w:right w:w="0" w:type="dxa"/>
      </w:tblCellMar>
    </w:tblPr>
  </w:style>
  <w:style w:type="table" w:customStyle="1" w:styleId="TableGrid70">
    <w:name w:val="Table Grid7"/>
    <w:basedOn w:val="TableNormal"/>
    <w:next w:val="TableGrid0"/>
    <w:uiPriority w:val="39"/>
    <w:rsid w:val="00C924A9"/>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47346">
      <w:bodyDiv w:val="1"/>
      <w:marLeft w:val="0"/>
      <w:marRight w:val="0"/>
      <w:marTop w:val="0"/>
      <w:marBottom w:val="0"/>
      <w:divBdr>
        <w:top w:val="none" w:sz="0" w:space="0" w:color="auto"/>
        <w:left w:val="none" w:sz="0" w:space="0" w:color="auto"/>
        <w:bottom w:val="none" w:sz="0" w:space="0" w:color="auto"/>
        <w:right w:val="none" w:sz="0" w:space="0" w:color="auto"/>
      </w:divBdr>
    </w:div>
    <w:div w:id="485975291">
      <w:bodyDiv w:val="1"/>
      <w:marLeft w:val="0"/>
      <w:marRight w:val="0"/>
      <w:marTop w:val="0"/>
      <w:marBottom w:val="0"/>
      <w:divBdr>
        <w:top w:val="none" w:sz="0" w:space="0" w:color="auto"/>
        <w:left w:val="none" w:sz="0" w:space="0" w:color="auto"/>
        <w:bottom w:val="none" w:sz="0" w:space="0" w:color="auto"/>
        <w:right w:val="none" w:sz="0" w:space="0" w:color="auto"/>
      </w:divBdr>
    </w:div>
    <w:div w:id="555161895">
      <w:bodyDiv w:val="1"/>
      <w:marLeft w:val="0"/>
      <w:marRight w:val="0"/>
      <w:marTop w:val="0"/>
      <w:marBottom w:val="0"/>
      <w:divBdr>
        <w:top w:val="none" w:sz="0" w:space="0" w:color="auto"/>
        <w:left w:val="none" w:sz="0" w:space="0" w:color="auto"/>
        <w:bottom w:val="none" w:sz="0" w:space="0" w:color="auto"/>
        <w:right w:val="none" w:sz="0" w:space="0" w:color="auto"/>
      </w:divBdr>
    </w:div>
    <w:div w:id="600800820">
      <w:bodyDiv w:val="1"/>
      <w:marLeft w:val="0"/>
      <w:marRight w:val="0"/>
      <w:marTop w:val="0"/>
      <w:marBottom w:val="0"/>
      <w:divBdr>
        <w:top w:val="none" w:sz="0" w:space="0" w:color="auto"/>
        <w:left w:val="none" w:sz="0" w:space="0" w:color="auto"/>
        <w:bottom w:val="none" w:sz="0" w:space="0" w:color="auto"/>
        <w:right w:val="none" w:sz="0" w:space="0" w:color="auto"/>
      </w:divBdr>
    </w:div>
    <w:div w:id="626937408">
      <w:bodyDiv w:val="1"/>
      <w:marLeft w:val="0"/>
      <w:marRight w:val="0"/>
      <w:marTop w:val="0"/>
      <w:marBottom w:val="0"/>
      <w:divBdr>
        <w:top w:val="none" w:sz="0" w:space="0" w:color="auto"/>
        <w:left w:val="none" w:sz="0" w:space="0" w:color="auto"/>
        <w:bottom w:val="none" w:sz="0" w:space="0" w:color="auto"/>
        <w:right w:val="none" w:sz="0" w:space="0" w:color="auto"/>
      </w:divBdr>
    </w:div>
    <w:div w:id="629213103">
      <w:bodyDiv w:val="1"/>
      <w:marLeft w:val="0"/>
      <w:marRight w:val="0"/>
      <w:marTop w:val="0"/>
      <w:marBottom w:val="0"/>
      <w:divBdr>
        <w:top w:val="none" w:sz="0" w:space="0" w:color="auto"/>
        <w:left w:val="none" w:sz="0" w:space="0" w:color="auto"/>
        <w:bottom w:val="none" w:sz="0" w:space="0" w:color="auto"/>
        <w:right w:val="none" w:sz="0" w:space="0" w:color="auto"/>
      </w:divBdr>
    </w:div>
    <w:div w:id="795952585">
      <w:bodyDiv w:val="1"/>
      <w:marLeft w:val="0"/>
      <w:marRight w:val="0"/>
      <w:marTop w:val="0"/>
      <w:marBottom w:val="0"/>
      <w:divBdr>
        <w:top w:val="none" w:sz="0" w:space="0" w:color="auto"/>
        <w:left w:val="none" w:sz="0" w:space="0" w:color="auto"/>
        <w:bottom w:val="none" w:sz="0" w:space="0" w:color="auto"/>
        <w:right w:val="none" w:sz="0" w:space="0" w:color="auto"/>
      </w:divBdr>
    </w:div>
    <w:div w:id="804928121">
      <w:bodyDiv w:val="1"/>
      <w:marLeft w:val="0"/>
      <w:marRight w:val="0"/>
      <w:marTop w:val="0"/>
      <w:marBottom w:val="0"/>
      <w:divBdr>
        <w:top w:val="none" w:sz="0" w:space="0" w:color="auto"/>
        <w:left w:val="none" w:sz="0" w:space="0" w:color="auto"/>
        <w:bottom w:val="none" w:sz="0" w:space="0" w:color="auto"/>
        <w:right w:val="none" w:sz="0" w:space="0" w:color="auto"/>
      </w:divBdr>
    </w:div>
    <w:div w:id="836581021">
      <w:bodyDiv w:val="1"/>
      <w:marLeft w:val="0"/>
      <w:marRight w:val="0"/>
      <w:marTop w:val="0"/>
      <w:marBottom w:val="0"/>
      <w:divBdr>
        <w:top w:val="none" w:sz="0" w:space="0" w:color="auto"/>
        <w:left w:val="none" w:sz="0" w:space="0" w:color="auto"/>
        <w:bottom w:val="none" w:sz="0" w:space="0" w:color="auto"/>
        <w:right w:val="none" w:sz="0" w:space="0" w:color="auto"/>
      </w:divBdr>
    </w:div>
    <w:div w:id="911158224">
      <w:bodyDiv w:val="1"/>
      <w:marLeft w:val="0"/>
      <w:marRight w:val="0"/>
      <w:marTop w:val="0"/>
      <w:marBottom w:val="0"/>
      <w:divBdr>
        <w:top w:val="none" w:sz="0" w:space="0" w:color="auto"/>
        <w:left w:val="none" w:sz="0" w:space="0" w:color="auto"/>
        <w:bottom w:val="none" w:sz="0" w:space="0" w:color="auto"/>
        <w:right w:val="none" w:sz="0" w:space="0" w:color="auto"/>
      </w:divBdr>
    </w:div>
    <w:div w:id="965739877">
      <w:bodyDiv w:val="1"/>
      <w:marLeft w:val="0"/>
      <w:marRight w:val="0"/>
      <w:marTop w:val="0"/>
      <w:marBottom w:val="0"/>
      <w:divBdr>
        <w:top w:val="none" w:sz="0" w:space="0" w:color="auto"/>
        <w:left w:val="none" w:sz="0" w:space="0" w:color="auto"/>
        <w:bottom w:val="none" w:sz="0" w:space="0" w:color="auto"/>
        <w:right w:val="none" w:sz="0" w:space="0" w:color="auto"/>
      </w:divBdr>
    </w:div>
    <w:div w:id="1096444583">
      <w:bodyDiv w:val="1"/>
      <w:marLeft w:val="0"/>
      <w:marRight w:val="0"/>
      <w:marTop w:val="0"/>
      <w:marBottom w:val="0"/>
      <w:divBdr>
        <w:top w:val="none" w:sz="0" w:space="0" w:color="auto"/>
        <w:left w:val="none" w:sz="0" w:space="0" w:color="auto"/>
        <w:bottom w:val="none" w:sz="0" w:space="0" w:color="auto"/>
        <w:right w:val="none" w:sz="0" w:space="0" w:color="auto"/>
      </w:divBdr>
    </w:div>
    <w:div w:id="1306665300">
      <w:bodyDiv w:val="1"/>
      <w:marLeft w:val="0"/>
      <w:marRight w:val="0"/>
      <w:marTop w:val="0"/>
      <w:marBottom w:val="0"/>
      <w:divBdr>
        <w:top w:val="none" w:sz="0" w:space="0" w:color="auto"/>
        <w:left w:val="none" w:sz="0" w:space="0" w:color="auto"/>
        <w:bottom w:val="none" w:sz="0" w:space="0" w:color="auto"/>
        <w:right w:val="none" w:sz="0" w:space="0" w:color="auto"/>
      </w:divBdr>
    </w:div>
    <w:div w:id="1319263991">
      <w:bodyDiv w:val="1"/>
      <w:marLeft w:val="0"/>
      <w:marRight w:val="0"/>
      <w:marTop w:val="0"/>
      <w:marBottom w:val="0"/>
      <w:divBdr>
        <w:top w:val="none" w:sz="0" w:space="0" w:color="auto"/>
        <w:left w:val="none" w:sz="0" w:space="0" w:color="auto"/>
        <w:bottom w:val="none" w:sz="0" w:space="0" w:color="auto"/>
        <w:right w:val="none" w:sz="0" w:space="0" w:color="auto"/>
      </w:divBdr>
    </w:div>
    <w:div w:id="1701513927">
      <w:bodyDiv w:val="1"/>
      <w:marLeft w:val="0"/>
      <w:marRight w:val="0"/>
      <w:marTop w:val="0"/>
      <w:marBottom w:val="0"/>
      <w:divBdr>
        <w:top w:val="none" w:sz="0" w:space="0" w:color="auto"/>
        <w:left w:val="none" w:sz="0" w:space="0" w:color="auto"/>
        <w:bottom w:val="none" w:sz="0" w:space="0" w:color="auto"/>
        <w:right w:val="none" w:sz="0" w:space="0" w:color="auto"/>
      </w:divBdr>
    </w:div>
    <w:div w:id="1942180206">
      <w:bodyDiv w:val="1"/>
      <w:marLeft w:val="0"/>
      <w:marRight w:val="0"/>
      <w:marTop w:val="0"/>
      <w:marBottom w:val="0"/>
      <w:divBdr>
        <w:top w:val="none" w:sz="0" w:space="0" w:color="auto"/>
        <w:left w:val="none" w:sz="0" w:space="0" w:color="auto"/>
        <w:bottom w:val="none" w:sz="0" w:space="0" w:color="auto"/>
        <w:right w:val="none" w:sz="0" w:space="0" w:color="auto"/>
      </w:divBdr>
    </w:div>
    <w:div w:id="1967157410">
      <w:bodyDiv w:val="1"/>
      <w:marLeft w:val="0"/>
      <w:marRight w:val="0"/>
      <w:marTop w:val="0"/>
      <w:marBottom w:val="0"/>
      <w:divBdr>
        <w:top w:val="none" w:sz="0" w:space="0" w:color="auto"/>
        <w:left w:val="none" w:sz="0" w:space="0" w:color="auto"/>
        <w:bottom w:val="none" w:sz="0" w:space="0" w:color="auto"/>
        <w:right w:val="none" w:sz="0" w:space="0" w:color="auto"/>
      </w:divBdr>
    </w:div>
    <w:div w:id="21190608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jpeg"/><Relationship Id="rId84" Type="http://schemas.openxmlformats.org/officeDocument/2006/relationships/hyperlink" Target="http://www.zgportal.com/o-zagrebu/grad-zagreb-cetvrti/novi-zagreb-istok/" TargetMode="External"/><Relationship Id="rId138" Type="http://schemas.openxmlformats.org/officeDocument/2006/relationships/image" Target="media/image72.jpg"/><Relationship Id="rId159" Type="http://schemas.openxmlformats.org/officeDocument/2006/relationships/image" Target="media/image93.png"/><Relationship Id="rId170" Type="http://schemas.openxmlformats.org/officeDocument/2006/relationships/image" Target="media/image104.png"/><Relationship Id="rId191" Type="http://schemas.openxmlformats.org/officeDocument/2006/relationships/footer" Target="footer3.xml"/><Relationship Id="rId196" Type="http://schemas.openxmlformats.org/officeDocument/2006/relationships/footer" Target="footer6.xml"/><Relationship Id="rId16" Type="http://schemas.openxmlformats.org/officeDocument/2006/relationships/chart" Target="charts/chart2.xml"/><Relationship Id="rId107" Type="http://schemas.openxmlformats.org/officeDocument/2006/relationships/hyperlink" Target="http://www.zgportal.com/o-zagrebu/grad-zagreb-cetvrti/tresnjevka-sjever/" TargetMode="External"/><Relationship Id="rId11" Type="http://schemas.openxmlformats.org/officeDocument/2006/relationships/image" Target="media/image4.jp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43.jpg"/><Relationship Id="rId58" Type="http://schemas.openxmlformats.org/officeDocument/2006/relationships/image" Target="media/image48.jpg"/><Relationship Id="rId74" Type="http://schemas.openxmlformats.org/officeDocument/2006/relationships/hyperlink" Target="http://www.zgportal.com/o-zagrebu/grad-zagreb-cetvrti/donji-grad/" TargetMode="External"/><Relationship Id="rId79" Type="http://schemas.openxmlformats.org/officeDocument/2006/relationships/hyperlink" Target="http://www.zgportal.com/o-zagrebu/grad-zagreb-cetvrti/gornja-dubrava/" TargetMode="External"/><Relationship Id="rId102" Type="http://schemas.openxmlformats.org/officeDocument/2006/relationships/hyperlink" Target="http://www.zgportal.com/o-zagrebu/grad-zagreb-cetvrti/sesvete/" TargetMode="External"/><Relationship Id="rId123" Type="http://schemas.openxmlformats.org/officeDocument/2006/relationships/image" Target="media/image58.png"/><Relationship Id="rId128" Type="http://schemas.openxmlformats.org/officeDocument/2006/relationships/image" Target="media/image63.jpg"/><Relationship Id="rId144" Type="http://schemas.openxmlformats.org/officeDocument/2006/relationships/image" Target="media/image78.jpg"/><Relationship Id="rId149" Type="http://schemas.openxmlformats.org/officeDocument/2006/relationships/image" Target="media/image83.jpg"/><Relationship Id="rId5" Type="http://schemas.openxmlformats.org/officeDocument/2006/relationships/webSettings" Target="webSettings.xml"/><Relationship Id="rId90" Type="http://schemas.openxmlformats.org/officeDocument/2006/relationships/hyperlink" Target="http://www.zgportal.com/o-zagrebu/grad-zagreb-cetvrti/novi-zagreb-zapad/" TargetMode="External"/><Relationship Id="rId95" Type="http://schemas.openxmlformats.org/officeDocument/2006/relationships/hyperlink" Target="http://www.zgportal.com/o-zagrebu/grad-zagreb-cetvrti/podsused-vrapce/" TargetMode="External"/><Relationship Id="rId160" Type="http://schemas.openxmlformats.org/officeDocument/2006/relationships/image" Target="media/image94.png"/><Relationship Id="rId165" Type="http://schemas.openxmlformats.org/officeDocument/2006/relationships/image" Target="media/image99.png"/><Relationship Id="rId181" Type="http://schemas.openxmlformats.org/officeDocument/2006/relationships/image" Target="media/image115.png"/><Relationship Id="rId186" Type="http://schemas.openxmlformats.org/officeDocument/2006/relationships/header" Target="header2.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jpg"/><Relationship Id="rId64" Type="http://schemas.openxmlformats.org/officeDocument/2006/relationships/image" Target="media/image54.jpeg"/><Relationship Id="rId69" Type="http://schemas.openxmlformats.org/officeDocument/2006/relationships/hyperlink" Target="http://www.zgportal.com/o-zagrebu/grad-zagreb-cetvrti/crnomerec/" TargetMode="External"/><Relationship Id="rId113" Type="http://schemas.openxmlformats.org/officeDocument/2006/relationships/hyperlink" Target="http://www.zgportal.com/o-zagrebu/grad-zagreb-cetvrti/trnje/" TargetMode="External"/><Relationship Id="rId118" Type="http://schemas.openxmlformats.org/officeDocument/2006/relationships/image" Target="media/image55.png"/><Relationship Id="rId134" Type="http://schemas.openxmlformats.org/officeDocument/2006/relationships/image" Target="media/image68.jpg"/><Relationship Id="rId139" Type="http://schemas.openxmlformats.org/officeDocument/2006/relationships/image" Target="media/image73.png"/><Relationship Id="rId80" Type="http://schemas.openxmlformats.org/officeDocument/2006/relationships/hyperlink" Target="http://www.zgportal.com/o-zagrebu/grad-zagreb-cetvrti/gornja-dubrava/" TargetMode="External"/><Relationship Id="rId85" Type="http://schemas.openxmlformats.org/officeDocument/2006/relationships/hyperlink" Target="http://www.zgportal.com/o-zagrebu/grad-zagreb-cetvrti/novi-zagreb-istok/" TargetMode="External"/><Relationship Id="rId150" Type="http://schemas.openxmlformats.org/officeDocument/2006/relationships/image" Target="media/image84.emf"/><Relationship Id="rId155" Type="http://schemas.openxmlformats.org/officeDocument/2006/relationships/image" Target="media/image89.emf"/><Relationship Id="rId171" Type="http://schemas.openxmlformats.org/officeDocument/2006/relationships/image" Target="media/image105.png"/><Relationship Id="rId176" Type="http://schemas.openxmlformats.org/officeDocument/2006/relationships/image" Target="media/image110.png"/><Relationship Id="rId192" Type="http://schemas.openxmlformats.org/officeDocument/2006/relationships/header" Target="header5.xml"/><Relationship Id="rId197"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image" Target="media/image8.emf"/><Relationship Id="rId33" Type="http://schemas.openxmlformats.org/officeDocument/2006/relationships/image" Target="media/image23.png"/><Relationship Id="rId38" Type="http://schemas.openxmlformats.org/officeDocument/2006/relationships/image" Target="media/image28.jpeg"/><Relationship Id="rId59" Type="http://schemas.openxmlformats.org/officeDocument/2006/relationships/image" Target="media/image49.jpg"/><Relationship Id="rId103" Type="http://schemas.openxmlformats.org/officeDocument/2006/relationships/hyperlink" Target="http://www.zgportal.com/o-zagrebu/grad-zagreb-cetvrti/stenjevec/" TargetMode="External"/><Relationship Id="rId108" Type="http://schemas.openxmlformats.org/officeDocument/2006/relationships/hyperlink" Target="http://www.zgportal.com/o-zagrebu/grad-zagreb-cetvrti/tresnjevka-sjever/" TargetMode="External"/><Relationship Id="rId124" Type="http://schemas.openxmlformats.org/officeDocument/2006/relationships/image" Target="media/image59.png"/><Relationship Id="rId129" Type="http://schemas.openxmlformats.org/officeDocument/2006/relationships/image" Target="media/image69.jpeg"/><Relationship Id="rId54" Type="http://schemas.openxmlformats.org/officeDocument/2006/relationships/image" Target="media/image44.jpg"/><Relationship Id="rId70" Type="http://schemas.openxmlformats.org/officeDocument/2006/relationships/hyperlink" Target="http://www.zgportal.com/o-zagrebu/grad-zagreb-cetvrti/crnomerec/" TargetMode="External"/><Relationship Id="rId75" Type="http://schemas.openxmlformats.org/officeDocument/2006/relationships/hyperlink" Target="http://www.zgportal.com/o-zagrebu/grad-zagreb-cetvrti/gornji-grad-medvescak/" TargetMode="External"/><Relationship Id="rId91" Type="http://schemas.openxmlformats.org/officeDocument/2006/relationships/hyperlink" Target="http://www.zgportal.com/o-zagrebu/grad-zagreb-cetvrti/pescenica-zitnjak/" TargetMode="External"/><Relationship Id="rId96" Type="http://schemas.openxmlformats.org/officeDocument/2006/relationships/hyperlink" Target="http://www.zgportal.com/o-zagrebu/grad-zagreb-cetvrti/podsused-vrapce/" TargetMode="External"/><Relationship Id="rId140" Type="http://schemas.openxmlformats.org/officeDocument/2006/relationships/image" Target="media/image74.png"/><Relationship Id="rId145" Type="http://schemas.openxmlformats.org/officeDocument/2006/relationships/image" Target="media/image79.png"/><Relationship Id="rId161" Type="http://schemas.openxmlformats.org/officeDocument/2006/relationships/image" Target="media/image95.png"/><Relationship Id="rId166" Type="http://schemas.openxmlformats.org/officeDocument/2006/relationships/image" Target="media/image100.png"/><Relationship Id="rId182" Type="http://schemas.openxmlformats.org/officeDocument/2006/relationships/image" Target="media/image116.jpg"/><Relationship Id="rId187"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emf"/><Relationship Id="rId49" Type="http://schemas.openxmlformats.org/officeDocument/2006/relationships/image" Target="media/image39.jpeg"/><Relationship Id="rId114" Type="http://schemas.openxmlformats.org/officeDocument/2006/relationships/hyperlink" Target="http://www.zgportal.com/o-zagrebu/grad-zagreb-cetvrti/trnje/" TargetMode="External"/><Relationship Id="rId119" Type="http://schemas.openxmlformats.org/officeDocument/2006/relationships/image" Target="media/image56.png"/><Relationship Id="rId44" Type="http://schemas.openxmlformats.org/officeDocument/2006/relationships/image" Target="media/image34.jpg"/><Relationship Id="rId60" Type="http://schemas.openxmlformats.org/officeDocument/2006/relationships/image" Target="media/image50.jpg"/><Relationship Id="rId65" Type="http://schemas.openxmlformats.org/officeDocument/2006/relationships/image" Target="media/image55.jpeg"/><Relationship Id="rId81" Type="http://schemas.openxmlformats.org/officeDocument/2006/relationships/hyperlink" Target="http://www.zgportal.com/o-zagrebu/grad-zagreb-cetvrti/maksimir/" TargetMode="External"/><Relationship Id="rId86" Type="http://schemas.openxmlformats.org/officeDocument/2006/relationships/hyperlink" Target="http://www.zgportal.com/o-zagrebu/grad-zagreb-cetvrti/novi-zagreb-istok/" TargetMode="External"/><Relationship Id="rId130" Type="http://schemas.openxmlformats.org/officeDocument/2006/relationships/image" Target="media/image64.jpg"/><Relationship Id="rId135" Type="http://schemas.openxmlformats.org/officeDocument/2006/relationships/image" Target="media/image69.jpg"/><Relationship Id="rId151" Type="http://schemas.openxmlformats.org/officeDocument/2006/relationships/image" Target="media/image85.png"/><Relationship Id="rId156" Type="http://schemas.openxmlformats.org/officeDocument/2006/relationships/image" Target="media/image90.png"/><Relationship Id="rId177" Type="http://schemas.openxmlformats.org/officeDocument/2006/relationships/image" Target="media/image111.png"/><Relationship Id="rId198" Type="http://schemas.openxmlformats.org/officeDocument/2006/relationships/theme" Target="theme/theme1.xml"/><Relationship Id="rId172" Type="http://schemas.openxmlformats.org/officeDocument/2006/relationships/image" Target="media/image106.png"/><Relationship Id="rId193" Type="http://schemas.openxmlformats.org/officeDocument/2006/relationships/header" Target="header6.xml"/><Relationship Id="rId13" Type="http://schemas.openxmlformats.org/officeDocument/2006/relationships/image" Target="media/image6.jpeg"/><Relationship Id="rId18" Type="http://schemas.openxmlformats.org/officeDocument/2006/relationships/image" Target="media/image9.emf"/><Relationship Id="rId39" Type="http://schemas.openxmlformats.org/officeDocument/2006/relationships/image" Target="media/image29.jpeg"/><Relationship Id="rId109" Type="http://schemas.openxmlformats.org/officeDocument/2006/relationships/hyperlink" Target="http://www.zgportal.com/o-zagrebu/grad-zagreb-cetvrti/tresnjevka-jug/" TargetMode="External"/><Relationship Id="rId34" Type="http://schemas.openxmlformats.org/officeDocument/2006/relationships/image" Target="media/image24.jp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hyperlink" Target="http://www.zgportal.com/o-zagrebu/grad-zagreb-cetvrti/gornji-grad-medvescak/" TargetMode="External"/><Relationship Id="rId97" Type="http://schemas.openxmlformats.org/officeDocument/2006/relationships/hyperlink" Target="http://www.zgportal.com/o-zagrebu/grad-zagreb-cetvrti/podsused-vrapce/" TargetMode="External"/><Relationship Id="rId104" Type="http://schemas.openxmlformats.org/officeDocument/2006/relationships/hyperlink" Target="http://www.zgportal.com/o-zagrebu/grad-zagreb-cetvrti/stenjevec/" TargetMode="External"/><Relationship Id="rId120" Type="http://schemas.openxmlformats.org/officeDocument/2006/relationships/hyperlink" Target="http://seizkarta.gfz.hr" TargetMode="External"/><Relationship Id="rId125" Type="http://schemas.openxmlformats.org/officeDocument/2006/relationships/image" Target="media/image60.jpg"/><Relationship Id="rId141" Type="http://schemas.openxmlformats.org/officeDocument/2006/relationships/image" Target="media/image75.png"/><Relationship Id="rId146" Type="http://schemas.openxmlformats.org/officeDocument/2006/relationships/image" Target="media/image80.jpg"/><Relationship Id="rId167" Type="http://schemas.openxmlformats.org/officeDocument/2006/relationships/image" Target="media/image101.emf"/><Relationship Id="rId18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www.zgportal.com/o-zagrebu/grad-zagreb-cetvrti/donja-dubrava/" TargetMode="External"/><Relationship Id="rId92" Type="http://schemas.openxmlformats.org/officeDocument/2006/relationships/hyperlink" Target="http://www.zgportal.com/o-zagrebu/grad-zagreb-cetvrti/pescenica-zitnjak/" TargetMode="External"/><Relationship Id="rId162" Type="http://schemas.openxmlformats.org/officeDocument/2006/relationships/image" Target="media/image96.png"/><Relationship Id="rId183"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19.emf"/><Relationship Id="rId24" Type="http://schemas.openxmlformats.org/officeDocument/2006/relationships/image" Target="media/image14.jpg"/><Relationship Id="rId40" Type="http://schemas.openxmlformats.org/officeDocument/2006/relationships/image" Target="media/image30.png"/><Relationship Id="rId45" Type="http://schemas.openxmlformats.org/officeDocument/2006/relationships/image" Target="media/image35.jpg"/><Relationship Id="rId66" Type="http://schemas.openxmlformats.org/officeDocument/2006/relationships/image" Target="media/image51.png"/><Relationship Id="rId87" Type="http://schemas.openxmlformats.org/officeDocument/2006/relationships/hyperlink" Target="http://www.zgportal.com/o-zagrebu/grad-zagreb-cetvrti/novi-zagreb-zapad/" TargetMode="External"/><Relationship Id="rId110" Type="http://schemas.openxmlformats.org/officeDocument/2006/relationships/hyperlink" Target="http://www.zgportal.com/o-zagrebu/grad-zagreb-cetvrti/tresnjevka-jug/" TargetMode="External"/><Relationship Id="rId115" Type="http://schemas.openxmlformats.org/officeDocument/2006/relationships/image" Target="media/image52.emf"/><Relationship Id="rId131" Type="http://schemas.openxmlformats.org/officeDocument/2006/relationships/image" Target="media/image65.jpg"/><Relationship Id="rId136" Type="http://schemas.openxmlformats.org/officeDocument/2006/relationships/image" Target="media/image70.jpg"/><Relationship Id="rId157" Type="http://schemas.openxmlformats.org/officeDocument/2006/relationships/image" Target="media/image91.png"/><Relationship Id="rId178" Type="http://schemas.openxmlformats.org/officeDocument/2006/relationships/image" Target="media/image112.png"/><Relationship Id="rId61" Type="http://schemas.openxmlformats.org/officeDocument/2006/relationships/image" Target="media/image51.jpeg"/><Relationship Id="rId82" Type="http://schemas.openxmlformats.org/officeDocument/2006/relationships/hyperlink" Target="http://www.zgportal.com/o-zagrebu/grad-zagreb-cetvrti/maksimir/" TargetMode="External"/><Relationship Id="rId152" Type="http://schemas.openxmlformats.org/officeDocument/2006/relationships/image" Target="media/image86.png"/><Relationship Id="rId173" Type="http://schemas.openxmlformats.org/officeDocument/2006/relationships/image" Target="media/image107.jpeg"/><Relationship Id="rId194" Type="http://schemas.openxmlformats.org/officeDocument/2006/relationships/footer" Target="footer4.xml"/><Relationship Id="rId199" Type="http://schemas.microsoft.com/office/2018/08/relationships/commentsExtensible" Target="commentsExtensible.xml"/><Relationship Id="rId19" Type="http://schemas.openxmlformats.org/officeDocument/2006/relationships/image" Target="media/image10.png"/><Relationship Id="rId14" Type="http://schemas.openxmlformats.org/officeDocument/2006/relationships/image" Target="media/image7.jpg"/><Relationship Id="rId30" Type="http://schemas.openxmlformats.org/officeDocument/2006/relationships/image" Target="media/image20.png"/><Relationship Id="rId35" Type="http://schemas.openxmlformats.org/officeDocument/2006/relationships/image" Target="media/image25.jpeg"/><Relationship Id="rId56" Type="http://schemas.openxmlformats.org/officeDocument/2006/relationships/image" Target="media/image46.jpg"/><Relationship Id="rId77" Type="http://schemas.openxmlformats.org/officeDocument/2006/relationships/hyperlink" Target="http://www.zgportal.com/o-zagrebu/grad-zagreb-cetvrti/gornji-grad-medvescak/" TargetMode="External"/><Relationship Id="rId100" Type="http://schemas.openxmlformats.org/officeDocument/2006/relationships/hyperlink" Target="http://www.zgportal.com/o-zagrebu/grad-zagreb-cetvrti/podsljeme/" TargetMode="External"/><Relationship Id="rId105" Type="http://schemas.openxmlformats.org/officeDocument/2006/relationships/hyperlink" Target="http://www.zgportal.com/o-zagrebu/grad-zagreb-cetvrti/tresnjevka-sjever/" TargetMode="External"/><Relationship Id="rId126" Type="http://schemas.openxmlformats.org/officeDocument/2006/relationships/image" Target="media/image61.jpg"/><Relationship Id="rId147" Type="http://schemas.openxmlformats.org/officeDocument/2006/relationships/image" Target="media/image81.jpg"/><Relationship Id="rId168" Type="http://schemas.openxmlformats.org/officeDocument/2006/relationships/image" Target="media/image102.emf"/><Relationship Id="rId8" Type="http://schemas.openxmlformats.org/officeDocument/2006/relationships/image" Target="media/image1.jpg"/><Relationship Id="rId51" Type="http://schemas.openxmlformats.org/officeDocument/2006/relationships/image" Target="media/image41.jpg"/><Relationship Id="rId72" Type="http://schemas.openxmlformats.org/officeDocument/2006/relationships/hyperlink" Target="http://www.zgportal.com/o-zagrebu/grad-zagreb-cetvrti/donja-dubrava/" TargetMode="External"/><Relationship Id="rId93" Type="http://schemas.openxmlformats.org/officeDocument/2006/relationships/hyperlink" Target="http://www.zgportal.com/o-zagrebu/grad-zagreb-cetvrti/pescenica-zitnjak/" TargetMode="External"/><Relationship Id="rId98" Type="http://schemas.openxmlformats.org/officeDocument/2006/relationships/hyperlink" Target="http://www.zgportal.com/o-zagrebu/grad-zagreb-cetvrti/podsused-vrapce/" TargetMode="External"/><Relationship Id="rId121" Type="http://schemas.openxmlformats.org/officeDocument/2006/relationships/hyperlink" Target="https://openknowledge.worldbank.org/handle/10986/34439" TargetMode="External"/><Relationship Id="rId142" Type="http://schemas.openxmlformats.org/officeDocument/2006/relationships/image" Target="media/image76.jpg"/><Relationship Id="rId163" Type="http://schemas.openxmlformats.org/officeDocument/2006/relationships/image" Target="media/image97.png"/><Relationship Id="rId184" Type="http://schemas.openxmlformats.org/officeDocument/2006/relationships/image" Target="media/image117.jpg"/><Relationship Id="rId189"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jpg"/><Relationship Id="rId67" Type="http://schemas.openxmlformats.org/officeDocument/2006/relationships/hyperlink" Target="http://www.zgportal.com/o-zagrebu/grad-zagreb-cetvrti/brezovica/" TargetMode="External"/><Relationship Id="rId116" Type="http://schemas.openxmlformats.org/officeDocument/2006/relationships/image" Target="media/image53.png"/><Relationship Id="rId137" Type="http://schemas.openxmlformats.org/officeDocument/2006/relationships/image" Target="media/image71.jpg"/><Relationship Id="rId158" Type="http://schemas.openxmlformats.org/officeDocument/2006/relationships/image" Target="media/image92.png"/><Relationship Id="rId20" Type="http://schemas.openxmlformats.org/officeDocument/2006/relationships/chart" Target="charts/chart3.xml"/><Relationship Id="rId41" Type="http://schemas.openxmlformats.org/officeDocument/2006/relationships/image" Target="media/image31.png"/><Relationship Id="rId62" Type="http://schemas.openxmlformats.org/officeDocument/2006/relationships/image" Target="media/image52.jpeg"/><Relationship Id="rId83" Type="http://schemas.openxmlformats.org/officeDocument/2006/relationships/hyperlink" Target="http://www.zgportal.com/o-zagrebu/grad-zagreb-cetvrti/novi-zagreb-istok/" TargetMode="External"/><Relationship Id="rId88" Type="http://schemas.openxmlformats.org/officeDocument/2006/relationships/hyperlink" Target="http://www.zgportal.com/o-zagrebu/grad-zagreb-cetvrti/novi-zagreb-zapad/" TargetMode="External"/><Relationship Id="rId111" Type="http://schemas.openxmlformats.org/officeDocument/2006/relationships/hyperlink" Target="http://www.zgportal.com/o-zagrebu/grad-zagreb-cetvrti/tresnjevka-jug/" TargetMode="External"/><Relationship Id="rId132" Type="http://schemas.openxmlformats.org/officeDocument/2006/relationships/image" Target="media/image66.jpg"/><Relationship Id="rId153" Type="http://schemas.openxmlformats.org/officeDocument/2006/relationships/image" Target="media/image87.png"/><Relationship Id="rId174" Type="http://schemas.openxmlformats.org/officeDocument/2006/relationships/image" Target="media/image108.png"/><Relationship Id="rId179" Type="http://schemas.openxmlformats.org/officeDocument/2006/relationships/image" Target="media/image113.png"/><Relationship Id="rId195" Type="http://schemas.openxmlformats.org/officeDocument/2006/relationships/footer" Target="footer5.xml"/><Relationship Id="rId190" Type="http://schemas.openxmlformats.org/officeDocument/2006/relationships/header" Target="header4.xml"/><Relationship Id="rId15" Type="http://schemas.openxmlformats.org/officeDocument/2006/relationships/chart" Target="charts/chart1.xml"/><Relationship Id="rId36" Type="http://schemas.openxmlformats.org/officeDocument/2006/relationships/image" Target="media/image26.png"/><Relationship Id="rId57" Type="http://schemas.openxmlformats.org/officeDocument/2006/relationships/image" Target="media/image47.jpg"/><Relationship Id="rId106" Type="http://schemas.openxmlformats.org/officeDocument/2006/relationships/hyperlink" Target="http://www.zgportal.com/o-zagrebu/grad-zagreb-cetvrti/tresnjevka-sjever/" TargetMode="External"/><Relationship Id="rId127" Type="http://schemas.openxmlformats.org/officeDocument/2006/relationships/image" Target="media/image62.jp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2.jpg"/><Relationship Id="rId73" Type="http://schemas.openxmlformats.org/officeDocument/2006/relationships/hyperlink" Target="http://www.zgportal.com/o-zagrebu/grad-zagreb-cetvrti/donji-grad/" TargetMode="External"/><Relationship Id="rId78" Type="http://schemas.openxmlformats.org/officeDocument/2006/relationships/hyperlink" Target="http://www.zgportal.com/o-zagrebu/grad-zagreb-cetvrti/gornji-grad-medvescak/" TargetMode="External"/><Relationship Id="rId94" Type="http://schemas.openxmlformats.org/officeDocument/2006/relationships/hyperlink" Target="http://www.zgportal.com/o-zagrebu/grad-zagreb-cetvrti/pescenica-zitnjak/" TargetMode="External"/><Relationship Id="rId99" Type="http://schemas.openxmlformats.org/officeDocument/2006/relationships/hyperlink" Target="http://www.zgportal.com/o-zagrebu/grad-zagreb-cetvrti/podsljeme/" TargetMode="External"/><Relationship Id="rId101" Type="http://schemas.openxmlformats.org/officeDocument/2006/relationships/hyperlink" Target="http://www.zgportal.com/o-zagrebu/grad-zagreb-cetvrti/sesvete/" TargetMode="External"/><Relationship Id="rId122" Type="http://schemas.openxmlformats.org/officeDocument/2006/relationships/image" Target="media/image57.png"/><Relationship Id="rId143" Type="http://schemas.openxmlformats.org/officeDocument/2006/relationships/image" Target="media/image77.jpg"/><Relationship Id="rId148" Type="http://schemas.openxmlformats.org/officeDocument/2006/relationships/image" Target="media/image82.png"/><Relationship Id="rId164" Type="http://schemas.openxmlformats.org/officeDocument/2006/relationships/image" Target="media/image98.png"/><Relationship Id="rId169" Type="http://schemas.openxmlformats.org/officeDocument/2006/relationships/image" Target="media/image103.png"/><Relationship Id="rId185" Type="http://schemas.openxmlformats.org/officeDocument/2006/relationships/image" Target="media/image118.jpg"/><Relationship Id="rId4" Type="http://schemas.openxmlformats.org/officeDocument/2006/relationships/settings" Target="settings.xml"/><Relationship Id="rId9" Type="http://schemas.openxmlformats.org/officeDocument/2006/relationships/image" Target="media/image2.jpg"/><Relationship Id="rId180" Type="http://schemas.openxmlformats.org/officeDocument/2006/relationships/image" Target="media/image114.png"/><Relationship Id="rId26" Type="http://schemas.openxmlformats.org/officeDocument/2006/relationships/image" Target="media/image16.emf"/><Relationship Id="rId47" Type="http://schemas.openxmlformats.org/officeDocument/2006/relationships/image" Target="media/image37.jpg"/><Relationship Id="rId68" Type="http://schemas.openxmlformats.org/officeDocument/2006/relationships/hyperlink" Target="http://www.zgportal.com/o-zagrebu/grad-zagreb-cetvrti/brezovica/" TargetMode="External"/><Relationship Id="rId89" Type="http://schemas.openxmlformats.org/officeDocument/2006/relationships/hyperlink" Target="http://www.zgportal.com/o-zagrebu/grad-zagreb-cetvrti/novi-zagreb-zapad/" TargetMode="External"/><Relationship Id="rId112" Type="http://schemas.openxmlformats.org/officeDocument/2006/relationships/hyperlink" Target="http://www.zgportal.com/o-zagrebu/grad-zagreb-cetvrti/tresnjevka-jug/" TargetMode="External"/><Relationship Id="rId133" Type="http://schemas.openxmlformats.org/officeDocument/2006/relationships/image" Target="media/image67.jpg"/><Relationship Id="rId154" Type="http://schemas.openxmlformats.org/officeDocument/2006/relationships/image" Target="media/image88.emf"/><Relationship Id="rId175" Type="http://schemas.openxmlformats.org/officeDocument/2006/relationships/image" Target="media/image109.png"/></Relationships>
</file>

<file path=word/charts/_rels/chart1.xml.rels><?xml version="1.0" encoding="UTF-8" standalone="yes"?>
<Relationships xmlns="http://schemas.openxmlformats.org/package/2006/relationships"><Relationship Id="rId3" Type="http://schemas.openxmlformats.org/officeDocument/2006/relationships/oleObject" Target="file:///\\personal01\Osobni05\zbeslic\My%20Documents\2022\F.&#262;urko\Procjena%20rizika-radno.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1" Type="http://schemas.openxmlformats.org/officeDocument/2006/relationships/oleObject" Target="file:///\\personal01\Osobni05\zbeslic\My%20Documents\2022\F.&#262;urko\Stanov_Popis2011_SLJ21%202.1-2.12.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personal01\Osobni05\zbeslic\My%20Documents\2022\F.&#262;urko\Stanov_Popis2011%20podloge.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5.77050194307107E-2"/>
          <c:y val="0.12150397139222226"/>
          <c:w val="0.83872735791915687"/>
          <c:h val="0.47011669507508858"/>
        </c:manualLayout>
      </c:layout>
      <c:barChart>
        <c:barDir val="col"/>
        <c:grouping val="clustered"/>
        <c:varyColors val="0"/>
        <c:ser>
          <c:idx val="0"/>
          <c:order val="0"/>
          <c:spPr>
            <a:solidFill>
              <a:schemeClr val="accent4">
                <a:lumMod val="75000"/>
              </a:schemeClr>
            </a:solidFill>
            <a:ln>
              <a:noFill/>
            </a:ln>
            <a:effectLst/>
          </c:spPr>
          <c:invertIfNegative val="0"/>
          <c:dLbls>
            <c:dLbl>
              <c:idx val="16"/>
              <c:layout>
                <c:manualLayout>
                  <c:x val="0"/>
                  <c:y val="5.8224163027656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4EB-4781-9CA8-532A32DD6371}"/>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Calibri" pitchFamily="34" charset="0"/>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'2.4. i G 2.7.'!$K$16:$K$32</c:f>
              <c:strCache>
                <c:ptCount val="17"/>
                <c:pt idx="0">
                  <c:v>SESVETE</c:v>
                </c:pt>
                <c:pt idx="1">
                  <c:v>STENJEVEC</c:v>
                </c:pt>
                <c:pt idx="2">
                  <c:v>DONJA DUBRAVA</c:v>
                </c:pt>
                <c:pt idx="3">
                  <c:v>NOVI ZAGREB – ZAPAD</c:v>
                </c:pt>
                <c:pt idx="4">
                  <c:v>GORNJA DUBRAVA</c:v>
                </c:pt>
                <c:pt idx="5">
                  <c:v>BREZOVICA</c:v>
                </c:pt>
                <c:pt idx="6">
                  <c:v>PEŠČENICA – ŽITNJAK</c:v>
                </c:pt>
                <c:pt idx="7">
                  <c:v>PODSLJEME</c:v>
                </c:pt>
                <c:pt idx="8">
                  <c:v>PODSUSED – VRAPČE</c:v>
                </c:pt>
                <c:pt idx="9">
                  <c:v>TREŠNJEVKA – JUG</c:v>
                </c:pt>
                <c:pt idx="10">
                  <c:v>TREŠNJEVKA – SJEVER</c:v>
                </c:pt>
                <c:pt idx="11">
                  <c:v>ČRNOMEREC</c:v>
                </c:pt>
                <c:pt idx="12">
                  <c:v>MAKSIMIR</c:v>
                </c:pt>
                <c:pt idx="13">
                  <c:v>TRNJE</c:v>
                </c:pt>
                <c:pt idx="14">
                  <c:v>NOVI ZAGREB – ISTOK</c:v>
                </c:pt>
                <c:pt idx="15">
                  <c:v>GORNJI GRAD – MEDVEŠČAK</c:v>
                </c:pt>
                <c:pt idx="16">
                  <c:v>DONJI GRAD</c:v>
                </c:pt>
              </c:strCache>
            </c:strRef>
          </c:cat>
          <c:val>
            <c:numRef>
              <c:f>'2.4. i G 2.7.'!$L$16:$L$32</c:f>
              <c:numCache>
                <c:formatCode>#,##0.0</c:formatCode>
                <c:ptCount val="17"/>
                <c:pt idx="0">
                  <c:v>37.799999999999997</c:v>
                </c:pt>
                <c:pt idx="1">
                  <c:v>38</c:v>
                </c:pt>
                <c:pt idx="2">
                  <c:v>39.299999999999997</c:v>
                </c:pt>
                <c:pt idx="3">
                  <c:v>39.799999999999997</c:v>
                </c:pt>
                <c:pt idx="4">
                  <c:v>40</c:v>
                </c:pt>
                <c:pt idx="5">
                  <c:v>40.4</c:v>
                </c:pt>
                <c:pt idx="6">
                  <c:v>40.9</c:v>
                </c:pt>
                <c:pt idx="7">
                  <c:v>40.9</c:v>
                </c:pt>
                <c:pt idx="8">
                  <c:v>41.1</c:v>
                </c:pt>
                <c:pt idx="9">
                  <c:v>42.2</c:v>
                </c:pt>
                <c:pt idx="10">
                  <c:v>42.4</c:v>
                </c:pt>
                <c:pt idx="11">
                  <c:v>42.7</c:v>
                </c:pt>
                <c:pt idx="12">
                  <c:v>43.5</c:v>
                </c:pt>
                <c:pt idx="13">
                  <c:v>43.8</c:v>
                </c:pt>
                <c:pt idx="14">
                  <c:v>44.2</c:v>
                </c:pt>
                <c:pt idx="15">
                  <c:v>46</c:v>
                </c:pt>
                <c:pt idx="16">
                  <c:v>47.2</c:v>
                </c:pt>
              </c:numCache>
            </c:numRef>
          </c:val>
          <c:extLst>
            <c:ext xmlns:c16="http://schemas.microsoft.com/office/drawing/2014/chart" uri="{C3380CC4-5D6E-409C-BE32-E72D297353CC}">
              <c16:uniqueId val="{00000001-74EB-4781-9CA8-532A32DD6371}"/>
            </c:ext>
          </c:extLst>
        </c:ser>
        <c:dLbls>
          <c:showLegendKey val="0"/>
          <c:showVal val="0"/>
          <c:showCatName val="0"/>
          <c:showSerName val="0"/>
          <c:showPercent val="0"/>
          <c:showBubbleSize val="0"/>
        </c:dLbls>
        <c:gapWidth val="69"/>
        <c:axId val="115150848"/>
        <c:axId val="115152768"/>
      </c:barChart>
      <c:catAx>
        <c:axId val="11515084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Calibri" pitchFamily="34" charset="0"/>
                    <a:ea typeface="+mn-ea"/>
                    <a:cs typeface="+mn-cs"/>
                  </a:defRPr>
                </a:pPr>
                <a:r>
                  <a:rPr lang="hr-HR" b="0">
                    <a:solidFill>
                      <a:sysClr val="windowText" lastClr="000000"/>
                    </a:solidFill>
                  </a:rPr>
                  <a:t>Izvor: GUSPRG - Odjel za statističke</a:t>
                </a:r>
                <a:r>
                  <a:rPr lang="hr-HR" b="0" baseline="0">
                    <a:solidFill>
                      <a:sysClr val="windowText" lastClr="000000"/>
                    </a:solidFill>
                  </a:rPr>
                  <a:t> i analitičke poslove</a:t>
                </a:r>
                <a:endParaRPr lang="hr-HR" b="0">
                  <a:solidFill>
                    <a:sysClr val="windowText" lastClr="000000"/>
                  </a:solidFill>
                </a:endParaRPr>
              </a:p>
            </c:rich>
          </c:tx>
          <c:layout>
            <c:manualLayout>
              <c:xMode val="edge"/>
              <c:yMode val="edge"/>
              <c:x val="0.720280974137677"/>
              <c:y val="0.95533465543861451"/>
            </c:manualLayout>
          </c:layout>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pitchFamily="34" charset="0"/>
                  <a:ea typeface="+mn-ea"/>
                  <a:cs typeface="+mn-cs"/>
                </a:defRPr>
              </a:pPr>
              <a:endParaRPr lang="sr-Latn-RS"/>
            </a:p>
          </c:txPr>
        </c:title>
        <c:numFmt formatCode="General" sourceLinked="1"/>
        <c:majorTickMark val="none"/>
        <c:minorTickMark val="none"/>
        <c:tickLblPos val="low"/>
        <c:spPr>
          <a:noFill/>
          <a:ln w="19050" cap="flat" cmpd="sng" algn="ctr">
            <a:solidFill>
              <a:schemeClr val="tx2">
                <a:alpha val="92000"/>
              </a:schemeClr>
            </a:solidFill>
            <a:prstDash val="solid"/>
            <a:round/>
            <a:tailEnd type="triangle"/>
          </a:ln>
          <a:effectLst/>
        </c:spPr>
        <c:txPr>
          <a:bodyPr rot="-5400000" spcFirstLastPara="1" vertOverflow="ellipsis" wrap="square" anchor="ctr" anchorCtr="1"/>
          <a:lstStyle/>
          <a:p>
            <a:pPr>
              <a:defRPr sz="1000" b="0" i="0" u="none" strike="noStrike" kern="1200" baseline="0">
                <a:solidFill>
                  <a:schemeClr val="tx1"/>
                </a:solidFill>
                <a:latin typeface="Calibri" pitchFamily="34" charset="0"/>
                <a:ea typeface="+mn-ea"/>
                <a:cs typeface="+mn-cs"/>
              </a:defRPr>
            </a:pPr>
            <a:endParaRPr lang="sr-Latn-RS"/>
          </a:p>
        </c:txPr>
        <c:crossAx val="115152768"/>
        <c:crossesAt val="41.6"/>
        <c:auto val="1"/>
        <c:lblAlgn val="ctr"/>
        <c:lblOffset val="100"/>
        <c:noMultiLvlLbl val="0"/>
      </c:catAx>
      <c:valAx>
        <c:axId val="115152768"/>
        <c:scaling>
          <c:orientation val="minMax"/>
          <c:max val="48"/>
          <c:min val="36"/>
        </c:scaling>
        <c:delete val="0"/>
        <c:axPos val="l"/>
        <c:majorGridlines>
          <c:spPr>
            <a:ln w="6350" cap="flat" cmpd="sng" algn="ctr">
              <a:solidFill>
                <a:schemeClr val="tx1">
                  <a:tint val="75000"/>
                </a:schemeClr>
              </a:solidFill>
              <a:prstDash val="solid"/>
              <a:round/>
            </a:ln>
            <a:effectLst/>
          </c:spPr>
        </c:majorGridlines>
        <c:numFmt formatCode="#,##0" sourceLinked="0"/>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Calibri" pitchFamily="34" charset="0"/>
                <a:ea typeface="+mn-ea"/>
                <a:cs typeface="+mn-cs"/>
              </a:defRPr>
            </a:pPr>
            <a:endParaRPr lang="sr-Latn-RS"/>
          </a:p>
        </c:txPr>
        <c:crossAx val="115150848"/>
        <c:crosses val="autoZero"/>
        <c:crossBetween val="between"/>
      </c:valAx>
      <c:spPr>
        <a:solidFill>
          <a:schemeClr val="bg1"/>
        </a:solidFill>
        <a:ln>
          <a:noFill/>
        </a:ln>
        <a:effectLst/>
      </c:spPr>
    </c:plotArea>
    <c:plotVisOnly val="1"/>
    <c:dispBlanksAs val="gap"/>
    <c:showDLblsOverMax val="0"/>
  </c:chart>
  <c:spPr>
    <a:solidFill>
      <a:schemeClr val="bg1"/>
    </a:solidFill>
    <a:ln w="6350" cap="flat" cmpd="sng" algn="ctr">
      <a:noFill/>
      <a:prstDash val="solid"/>
      <a:round/>
    </a:ln>
    <a:effectLst/>
  </c:spPr>
  <c:txPr>
    <a:bodyPr/>
    <a:lstStyle/>
    <a:p>
      <a:pPr>
        <a:defRPr baseline="0">
          <a:latin typeface="Calibri" pitchFamily="34" charset="0"/>
        </a:defRPr>
      </a:pPr>
      <a:endParaRPr lang="sr-Latn-R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46992042661334"/>
          <c:y val="0.10917188889272372"/>
          <c:w val="0.87998948048160641"/>
          <c:h val="0.56810541539450421"/>
        </c:manualLayout>
      </c:layout>
      <c:barChart>
        <c:barDir val="col"/>
        <c:grouping val="clustered"/>
        <c:varyColors val="0"/>
        <c:ser>
          <c:idx val="0"/>
          <c:order val="0"/>
          <c:tx>
            <c:strRef>
              <c:f>'G 2.9.'!$Q$3</c:f>
              <c:strCache>
                <c:ptCount val="1"/>
                <c:pt idx="0">
                  <c:v>ukupno – osobe s teškoćama u obavljanju svakodnevnih aktivnosti</c:v>
                </c:pt>
              </c:strCache>
            </c:strRef>
          </c:tx>
          <c:invertIfNegative val="0"/>
          <c:cat>
            <c:strRef>
              <c:f>'G 2.9.'!$P$4:$P$21</c:f>
              <c:strCache>
                <c:ptCount val="18"/>
                <c:pt idx="0">
                  <c:v>0 – 4</c:v>
                </c:pt>
                <c:pt idx="1">
                  <c:v>5 – 9</c:v>
                </c:pt>
                <c:pt idx="2">
                  <c:v>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 – 79</c:v>
                </c:pt>
                <c:pt idx="16">
                  <c:v>80 – 84</c:v>
                </c:pt>
                <c:pt idx="17">
                  <c:v>85 i više</c:v>
                </c:pt>
              </c:strCache>
            </c:strRef>
          </c:cat>
          <c:val>
            <c:numRef>
              <c:f>'G 2.9.'!$Q$4:$Q$21</c:f>
              <c:numCache>
                <c:formatCode>#,###</c:formatCode>
                <c:ptCount val="18"/>
                <c:pt idx="0">
                  <c:v>678</c:v>
                </c:pt>
                <c:pt idx="1">
                  <c:v>1060</c:v>
                </c:pt>
                <c:pt idx="2">
                  <c:v>1480</c:v>
                </c:pt>
                <c:pt idx="3">
                  <c:v>1351</c:v>
                </c:pt>
                <c:pt idx="4">
                  <c:v>1207</c:v>
                </c:pt>
                <c:pt idx="5">
                  <c:v>1670</c:v>
                </c:pt>
                <c:pt idx="6">
                  <c:v>2281</c:v>
                </c:pt>
                <c:pt idx="7">
                  <c:v>3350</c:v>
                </c:pt>
                <c:pt idx="8">
                  <c:v>4958</c:v>
                </c:pt>
                <c:pt idx="9">
                  <c:v>6872</c:v>
                </c:pt>
                <c:pt idx="10">
                  <c:v>10205</c:v>
                </c:pt>
                <c:pt idx="11">
                  <c:v>13015</c:v>
                </c:pt>
                <c:pt idx="12">
                  <c:v>12337</c:v>
                </c:pt>
                <c:pt idx="13">
                  <c:v>11225</c:v>
                </c:pt>
                <c:pt idx="14">
                  <c:v>13016</c:v>
                </c:pt>
                <c:pt idx="15">
                  <c:v>12678</c:v>
                </c:pt>
                <c:pt idx="16">
                  <c:v>9604</c:v>
                </c:pt>
                <c:pt idx="17">
                  <c:v>7496</c:v>
                </c:pt>
              </c:numCache>
            </c:numRef>
          </c:val>
          <c:extLst>
            <c:ext xmlns:c16="http://schemas.microsoft.com/office/drawing/2014/chart" uri="{C3380CC4-5D6E-409C-BE32-E72D297353CC}">
              <c16:uniqueId val="{00000000-47BD-47E2-BB2F-E24D72340171}"/>
            </c:ext>
          </c:extLst>
        </c:ser>
        <c:ser>
          <c:idx val="1"/>
          <c:order val="1"/>
          <c:tx>
            <c:strRef>
              <c:f>'G 2.9.'!$R$3</c:f>
              <c:strCache>
                <c:ptCount val="1"/>
                <c:pt idx="0">
                  <c:v>trajno ograničeno pokretne i trajno nepokretne osobe</c:v>
                </c:pt>
              </c:strCache>
            </c:strRef>
          </c:tx>
          <c:spPr>
            <a:solidFill>
              <a:schemeClr val="accent1">
                <a:lumMod val="40000"/>
                <a:lumOff val="60000"/>
              </a:schemeClr>
            </a:solidFill>
          </c:spPr>
          <c:invertIfNegative val="0"/>
          <c:cat>
            <c:strRef>
              <c:f>'G 2.9.'!$P$4:$P$21</c:f>
              <c:strCache>
                <c:ptCount val="18"/>
                <c:pt idx="0">
                  <c:v>0 – 4</c:v>
                </c:pt>
                <c:pt idx="1">
                  <c:v>5 – 9</c:v>
                </c:pt>
                <c:pt idx="2">
                  <c:v>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 – 79</c:v>
                </c:pt>
                <c:pt idx="16">
                  <c:v>80 – 84</c:v>
                </c:pt>
                <c:pt idx="17">
                  <c:v>85 i više</c:v>
                </c:pt>
              </c:strCache>
            </c:strRef>
          </c:cat>
          <c:val>
            <c:numRef>
              <c:f>'G 2.9.'!$R$4:$R$21</c:f>
              <c:numCache>
                <c:formatCode>#,##0</c:formatCode>
                <c:ptCount val="18"/>
                <c:pt idx="0">
                  <c:v>29</c:v>
                </c:pt>
                <c:pt idx="1">
                  <c:v>113</c:v>
                </c:pt>
                <c:pt idx="2">
                  <c:v>159</c:v>
                </c:pt>
                <c:pt idx="3">
                  <c:v>136</c:v>
                </c:pt>
                <c:pt idx="4">
                  <c:v>105</c:v>
                </c:pt>
                <c:pt idx="5">
                  <c:v>134</c:v>
                </c:pt>
                <c:pt idx="6">
                  <c:v>171</c:v>
                </c:pt>
                <c:pt idx="7">
                  <c:v>259</c:v>
                </c:pt>
                <c:pt idx="8">
                  <c:v>423</c:v>
                </c:pt>
                <c:pt idx="9">
                  <c:v>561</c:v>
                </c:pt>
                <c:pt idx="10">
                  <c:v>964</c:v>
                </c:pt>
                <c:pt idx="11">
                  <c:v>1444</c:v>
                </c:pt>
                <c:pt idx="12">
                  <c:v>1898</c:v>
                </c:pt>
                <c:pt idx="13">
                  <c:v>2397</c:v>
                </c:pt>
                <c:pt idx="14">
                  <c:v>3702</c:v>
                </c:pt>
                <c:pt idx="15">
                  <c:v>5125</c:v>
                </c:pt>
                <c:pt idx="16">
                  <c:v>5133</c:v>
                </c:pt>
                <c:pt idx="17">
                  <c:v>5118</c:v>
                </c:pt>
              </c:numCache>
            </c:numRef>
          </c:val>
          <c:extLst>
            <c:ext xmlns:c16="http://schemas.microsoft.com/office/drawing/2014/chart" uri="{C3380CC4-5D6E-409C-BE32-E72D297353CC}">
              <c16:uniqueId val="{00000001-47BD-47E2-BB2F-E24D72340171}"/>
            </c:ext>
          </c:extLst>
        </c:ser>
        <c:dLbls>
          <c:showLegendKey val="0"/>
          <c:showVal val="0"/>
          <c:showCatName val="0"/>
          <c:showSerName val="0"/>
          <c:showPercent val="0"/>
          <c:showBubbleSize val="0"/>
        </c:dLbls>
        <c:gapWidth val="75"/>
        <c:overlap val="40"/>
        <c:axId val="119605504"/>
        <c:axId val="119624064"/>
      </c:barChart>
      <c:catAx>
        <c:axId val="119605504"/>
        <c:scaling>
          <c:orientation val="minMax"/>
        </c:scaling>
        <c:delete val="0"/>
        <c:axPos val="b"/>
        <c:title>
          <c:tx>
            <c:rich>
              <a:bodyPr/>
              <a:lstStyle/>
              <a:p>
                <a:pPr>
                  <a:defRPr b="0">
                    <a:solidFill>
                      <a:sysClr val="windowText" lastClr="000000"/>
                    </a:solidFill>
                  </a:defRPr>
                </a:pPr>
                <a:r>
                  <a:rPr lang="hr-HR" b="0">
                    <a:solidFill>
                      <a:sysClr val="windowText" lastClr="000000"/>
                    </a:solidFill>
                  </a:rPr>
                  <a:t>Izvor:</a:t>
                </a:r>
                <a:r>
                  <a:rPr lang="hr-HR" b="0" baseline="0">
                    <a:solidFill>
                      <a:sysClr val="windowText" lastClr="000000"/>
                    </a:solidFill>
                  </a:rPr>
                  <a:t> GUSPRG – Odjel za statističke i analitičke poslove</a:t>
                </a:r>
                <a:endParaRPr lang="hr-HR" b="0">
                  <a:solidFill>
                    <a:sysClr val="windowText" lastClr="000000"/>
                  </a:solidFill>
                </a:endParaRPr>
              </a:p>
            </c:rich>
          </c:tx>
          <c:layout>
            <c:manualLayout>
              <c:xMode val="edge"/>
              <c:yMode val="edge"/>
              <c:x val="0.58006401463191581"/>
              <c:y val="0.94722650577768686"/>
            </c:manualLayout>
          </c:layout>
          <c:overlay val="0"/>
          <c:spPr>
            <a:noFill/>
          </c:spPr>
        </c:title>
        <c:numFmt formatCode="General" sourceLinked="1"/>
        <c:majorTickMark val="none"/>
        <c:minorTickMark val="none"/>
        <c:tickLblPos val="nextTo"/>
        <c:txPr>
          <a:bodyPr/>
          <a:lstStyle/>
          <a:p>
            <a:pPr>
              <a:defRPr sz="800"/>
            </a:pPr>
            <a:endParaRPr lang="sr-Latn-RS"/>
          </a:p>
        </c:txPr>
        <c:crossAx val="119624064"/>
        <c:crosses val="autoZero"/>
        <c:auto val="1"/>
        <c:lblAlgn val="ctr"/>
        <c:lblOffset val="100"/>
        <c:noMultiLvlLbl val="0"/>
      </c:catAx>
      <c:valAx>
        <c:axId val="119624064"/>
        <c:scaling>
          <c:orientation val="minMax"/>
        </c:scaling>
        <c:delete val="0"/>
        <c:axPos val="l"/>
        <c:majorGridlines/>
        <c:title>
          <c:tx>
            <c:rich>
              <a:bodyPr rot="-5400000" vert="horz"/>
              <a:lstStyle/>
              <a:p>
                <a:pPr>
                  <a:defRPr sz="900" b="0"/>
                </a:pPr>
                <a:r>
                  <a:rPr lang="en-US" sz="900" b="0"/>
                  <a:t>broj stanovnika</a:t>
                </a:r>
              </a:p>
            </c:rich>
          </c:tx>
          <c:layout>
            <c:manualLayout>
              <c:xMode val="edge"/>
              <c:yMode val="edge"/>
              <c:x val="5.8593370273160314E-3"/>
              <c:y val="0.24343149967869543"/>
            </c:manualLayout>
          </c:layout>
          <c:overlay val="0"/>
        </c:title>
        <c:numFmt formatCode="#,###" sourceLinked="1"/>
        <c:majorTickMark val="none"/>
        <c:minorTickMark val="none"/>
        <c:tickLblPos val="nextTo"/>
        <c:txPr>
          <a:bodyPr/>
          <a:lstStyle/>
          <a:p>
            <a:pPr>
              <a:defRPr sz="900"/>
            </a:pPr>
            <a:endParaRPr lang="sr-Latn-RS"/>
          </a:p>
        </c:txPr>
        <c:crossAx val="119605504"/>
        <c:crosses val="autoZero"/>
        <c:crossBetween val="between"/>
      </c:valAx>
      <c:spPr>
        <a:ln>
          <a:solidFill>
            <a:schemeClr val="bg1">
              <a:lumMod val="50000"/>
            </a:schemeClr>
          </a:solidFill>
        </a:ln>
      </c:spPr>
    </c:plotArea>
    <c:legend>
      <c:legendPos val="r"/>
      <c:layout>
        <c:manualLayout>
          <c:xMode val="edge"/>
          <c:yMode val="edge"/>
          <c:x val="0.23956939538936234"/>
          <c:y val="0.82535889964286713"/>
          <c:w val="0.59314287103001018"/>
          <c:h val="0.10927510078773027"/>
        </c:manualLayout>
      </c:layout>
      <c:overlay val="0"/>
      <c:txPr>
        <a:bodyPr/>
        <a:lstStyle/>
        <a:p>
          <a:pPr>
            <a:defRPr sz="900"/>
          </a:pPr>
          <a:endParaRPr lang="sr-Latn-RS"/>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100" b="0" i="0" u="none" strike="noStrike" kern="1200" baseline="0">
                <a:solidFill>
                  <a:srgbClr val="000000"/>
                </a:solidFill>
                <a:latin typeface="Calibri"/>
                <a:ea typeface="Calibri"/>
                <a:cs typeface="Calibri"/>
              </a:defRPr>
            </a:pPr>
            <a:r>
              <a:rPr lang="hr-HR" sz="1100" b="1" i="0" u="none" strike="noStrike" baseline="0">
                <a:solidFill>
                  <a:srgbClr val="000000"/>
                </a:solidFill>
                <a:latin typeface="Calibri"/>
              </a:rPr>
              <a:t>G 2.4. Obiteljska kućanstva</a:t>
            </a:r>
          </a:p>
          <a:p>
            <a:pPr>
              <a:defRPr sz="1100"/>
            </a:pPr>
            <a:r>
              <a:rPr lang="hr-HR" sz="1100" b="1" i="0" u="none" strike="noStrike" baseline="0">
                <a:solidFill>
                  <a:srgbClr val="000000"/>
                </a:solidFill>
                <a:latin typeface="Calibri"/>
              </a:rPr>
              <a:t>prema broju članova, Popis 2011.</a:t>
            </a:r>
          </a:p>
        </c:rich>
      </c:tx>
      <c:layout>
        <c:manualLayout>
          <c:xMode val="edge"/>
          <c:yMode val="edge"/>
          <c:x val="0.18652797661655926"/>
          <c:y val="1.434113782134849E-2"/>
        </c:manualLayout>
      </c:layout>
      <c:overlay val="1"/>
      <c:spPr>
        <a:noFill/>
        <a:ln>
          <a:noFill/>
        </a:ln>
        <a:effectLst/>
      </c:spPr>
      <c:txPr>
        <a:bodyPr rot="0" spcFirstLastPara="1" vertOverflow="ellipsis" vert="horz" wrap="square" anchor="ctr" anchorCtr="1"/>
        <a:lstStyle/>
        <a:p>
          <a:pPr>
            <a:defRPr sz="1100" b="0" i="0" u="none" strike="noStrike" kern="1200" baseline="0">
              <a:solidFill>
                <a:srgbClr val="000000"/>
              </a:solidFill>
              <a:latin typeface="Calibri"/>
              <a:ea typeface="Calibri"/>
              <a:cs typeface="Calibri"/>
            </a:defRPr>
          </a:pPr>
          <a:endParaRPr lang="sr-Latn-RS"/>
        </a:p>
      </c:txPr>
    </c:title>
    <c:autoTitleDeleted val="0"/>
    <c:plotArea>
      <c:layout>
        <c:manualLayout>
          <c:layoutTarget val="inner"/>
          <c:xMode val="edge"/>
          <c:yMode val="edge"/>
          <c:x val="0.20279166666666668"/>
          <c:y val="0.195018788119111"/>
          <c:w val="0.58365419947506558"/>
          <c:h val="0.67183217205762946"/>
        </c:manualLayout>
      </c:layout>
      <c:doughnutChart>
        <c:varyColors val="1"/>
        <c:ser>
          <c:idx val="0"/>
          <c:order val="0"/>
          <c:dPt>
            <c:idx val="0"/>
            <c:bubble3D val="0"/>
            <c:spPr>
              <a:solidFill>
                <a:schemeClr val="accent4">
                  <a:tint val="58000"/>
                </a:schemeClr>
              </a:solidFill>
              <a:ln>
                <a:noFill/>
              </a:ln>
              <a:effectLst/>
            </c:spPr>
            <c:extLst>
              <c:ext xmlns:c16="http://schemas.microsoft.com/office/drawing/2014/chart" uri="{C3380CC4-5D6E-409C-BE32-E72D297353CC}">
                <c16:uniqueId val="{00000001-B72E-4385-9940-51B12426F6E5}"/>
              </c:ext>
            </c:extLst>
          </c:dPt>
          <c:dPt>
            <c:idx val="1"/>
            <c:bubble3D val="0"/>
            <c:spPr>
              <a:solidFill>
                <a:schemeClr val="accent4">
                  <a:tint val="86000"/>
                </a:schemeClr>
              </a:solidFill>
              <a:ln>
                <a:noFill/>
              </a:ln>
              <a:effectLst/>
            </c:spPr>
            <c:extLst>
              <c:ext xmlns:c16="http://schemas.microsoft.com/office/drawing/2014/chart" uri="{C3380CC4-5D6E-409C-BE32-E72D297353CC}">
                <c16:uniqueId val="{00000003-B72E-4385-9940-51B12426F6E5}"/>
              </c:ext>
            </c:extLst>
          </c:dPt>
          <c:dPt>
            <c:idx val="2"/>
            <c:bubble3D val="0"/>
            <c:spPr>
              <a:solidFill>
                <a:schemeClr val="accent4">
                  <a:shade val="86000"/>
                </a:schemeClr>
              </a:solidFill>
              <a:ln>
                <a:noFill/>
              </a:ln>
              <a:effectLst/>
            </c:spPr>
            <c:extLst>
              <c:ext xmlns:c16="http://schemas.microsoft.com/office/drawing/2014/chart" uri="{C3380CC4-5D6E-409C-BE32-E72D297353CC}">
                <c16:uniqueId val="{00000005-B72E-4385-9940-51B12426F6E5}"/>
              </c:ext>
            </c:extLst>
          </c:dPt>
          <c:dPt>
            <c:idx val="3"/>
            <c:bubble3D val="0"/>
            <c:spPr>
              <a:solidFill>
                <a:schemeClr val="accent4">
                  <a:shade val="58000"/>
                </a:schemeClr>
              </a:solidFill>
              <a:ln>
                <a:noFill/>
              </a:ln>
              <a:effectLst/>
            </c:spPr>
            <c:extLst>
              <c:ext xmlns:c16="http://schemas.microsoft.com/office/drawing/2014/chart" uri="{C3380CC4-5D6E-409C-BE32-E72D297353CC}">
                <c16:uniqueId val="{00000007-B72E-4385-9940-51B12426F6E5}"/>
              </c:ext>
            </c:extLst>
          </c:dPt>
          <c:dLbls>
            <c:dLbl>
              <c:idx val="0"/>
              <c:layout>
                <c:manualLayout>
                  <c:x val="-0.28030303030303028"/>
                  <c:y val="3.090507726269299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72E-4385-9940-51B12426F6E5}"/>
                </c:ext>
              </c:extLst>
            </c:dLbl>
            <c:dLbl>
              <c:idx val="1"/>
              <c:layout>
                <c:manualLayout>
                  <c:x val="-0.20454545454545456"/>
                  <c:y val="-6.622516556291391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72E-4385-9940-51B12426F6E5}"/>
                </c:ext>
              </c:extLst>
            </c:dLbl>
            <c:dLbl>
              <c:idx val="2"/>
              <c:layout>
                <c:manualLayout>
                  <c:x val="0.20833333333333334"/>
                  <c:y val="-5.739514348785876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72E-4385-9940-51B12426F6E5}"/>
                </c:ext>
              </c:extLst>
            </c:dLbl>
            <c:dLbl>
              <c:idx val="3"/>
              <c:layout>
                <c:manualLayout>
                  <c:x val="0.16287878787878773"/>
                  <c:y val="0.1589403973509933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72E-4385-9940-51B12426F6E5}"/>
                </c:ext>
              </c:extLst>
            </c:dLbl>
            <c:numFmt formatCode="0.0%" sourceLinked="0"/>
            <c:spPr>
              <a:noFill/>
              <a:ln>
                <a:noFill/>
              </a:ln>
              <a:effectLst/>
            </c:spPr>
            <c:txPr>
              <a:bodyPr rot="0" spcFirstLastPara="1" vertOverflow="ellipsis" vert="horz" wrap="square" anchor="ctr" anchorCtr="1"/>
              <a:lstStyle/>
              <a:p>
                <a:pPr>
                  <a:defRPr sz="800" b="0" i="0" u="none" strike="noStrike" kern="1200" baseline="0">
                    <a:solidFill>
                      <a:srgbClr val="000000"/>
                    </a:solidFill>
                    <a:latin typeface="Calibri"/>
                    <a:ea typeface="Calibri"/>
                    <a:cs typeface="Calibri"/>
                  </a:defRPr>
                </a:pPr>
                <a:endParaRPr lang="sr-Latn-RS"/>
              </a:p>
            </c:txPr>
            <c:showLegendKey val="0"/>
            <c:showVal val="0"/>
            <c:showCatName val="1"/>
            <c:showSerName val="0"/>
            <c:showPercent val="1"/>
            <c:showBubbleSize val="0"/>
            <c:showLeaderLines val="0"/>
            <c:extLst>
              <c:ext xmlns:c15="http://schemas.microsoft.com/office/drawing/2012/chart" uri="{CE6537A1-D6FC-4f65-9D91-7224C49458BB}"/>
            </c:extLst>
          </c:dLbls>
          <c:cat>
            <c:strRef>
              <c:f>'G 2.3. i G 2.4.'!$I$10:$I$13</c:f>
              <c:strCache>
                <c:ptCount val="4"/>
                <c:pt idx="0">
                  <c:v>dvočlana</c:v>
                </c:pt>
                <c:pt idx="1">
                  <c:v>tročlana</c:v>
                </c:pt>
                <c:pt idx="2">
                  <c:v>četveročlana</c:v>
                </c:pt>
                <c:pt idx="3">
                  <c:v>5 i više članova</c:v>
                </c:pt>
              </c:strCache>
            </c:strRef>
          </c:cat>
          <c:val>
            <c:numRef>
              <c:f>'G 2.3. i G 2.4.'!$J$10:$J$13</c:f>
              <c:numCache>
                <c:formatCode>General</c:formatCode>
                <c:ptCount val="4"/>
                <c:pt idx="0">
                  <c:v>35.4</c:v>
                </c:pt>
                <c:pt idx="1">
                  <c:v>27.6</c:v>
                </c:pt>
                <c:pt idx="2">
                  <c:v>23</c:v>
                </c:pt>
                <c:pt idx="3">
                  <c:v>14</c:v>
                </c:pt>
              </c:numCache>
            </c:numRef>
          </c:val>
          <c:extLst>
            <c:ext xmlns:c16="http://schemas.microsoft.com/office/drawing/2014/chart" uri="{C3380CC4-5D6E-409C-BE32-E72D297353CC}">
              <c16:uniqueId val="{00000008-B72E-4385-9940-51B12426F6E5}"/>
            </c:ext>
          </c:extLst>
        </c:ser>
        <c:dLbls>
          <c:showLegendKey val="0"/>
          <c:showVal val="0"/>
          <c:showCatName val="0"/>
          <c:showSerName val="0"/>
          <c:showPercent val="0"/>
          <c:showBubbleSize val="0"/>
          <c:showLeaderLines val="0"/>
        </c:dLbls>
        <c:firstSliceAng val="138"/>
        <c:holeSize val="50"/>
      </c:doughnutChart>
      <c:spPr>
        <a:no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sz="1000" b="0" i="0" u="none" strike="noStrike" baseline="0">
          <a:solidFill>
            <a:srgbClr val="000000"/>
          </a:solidFill>
          <a:latin typeface="Calibri"/>
          <a:ea typeface="Calibri"/>
          <a:cs typeface="Calibri"/>
        </a:defRPr>
      </a:pPr>
      <a:endParaRPr lang="sr-Latn-RS"/>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4">
  <a:schemeClr val="accent4"/>
</cs:colorStyle>
</file>

<file path=word/charts/colors2.xml><?xml version="1.0" encoding="utf-8"?>
<cs:colorStyle xmlns:cs="http://schemas.microsoft.com/office/drawing/2012/chartStyle" xmlns:a="http://schemas.openxmlformats.org/drawingml/2006/main" meth="withinLinearReversed" id="24">
  <a:schemeClr val="accent4"/>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drawings/drawing1.xml><?xml version="1.0" encoding="utf-8"?>
<c:userShapes xmlns:c="http://schemas.openxmlformats.org/drawingml/2006/chart">
  <cdr:relSizeAnchor xmlns:cdr="http://schemas.openxmlformats.org/drawingml/2006/chartDrawing">
    <cdr:from>
      <cdr:x>0.85093</cdr:x>
      <cdr:y>0.38028</cdr:y>
    </cdr:from>
    <cdr:to>
      <cdr:x>1</cdr:x>
      <cdr:y>0.50235</cdr:y>
    </cdr:to>
    <cdr:sp macro="" textlink="">
      <cdr:nvSpPr>
        <cdr:cNvPr id="2" name="TextBox 1"/>
        <cdr:cNvSpPr txBox="1"/>
      </cdr:nvSpPr>
      <cdr:spPr>
        <a:xfrm xmlns:a="http://schemas.openxmlformats.org/drawingml/2006/main">
          <a:off x="5219700" y="1543050"/>
          <a:ext cx="914400" cy="4953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hr-HR"/>
        </a:p>
      </cdr:txBody>
    </cdr:sp>
  </cdr:relSizeAnchor>
  <cdr:relSizeAnchor xmlns:cdr="http://schemas.openxmlformats.org/drawingml/2006/chartDrawing">
    <cdr:from>
      <cdr:x>0.88467</cdr:x>
      <cdr:y>0.32642</cdr:y>
    </cdr:from>
    <cdr:to>
      <cdr:x>1</cdr:x>
      <cdr:y>0.43587</cdr:y>
    </cdr:to>
    <cdr:sp macro="" textlink="">
      <cdr:nvSpPr>
        <cdr:cNvPr id="3" name="TextBox 2"/>
        <cdr:cNvSpPr txBox="1"/>
      </cdr:nvSpPr>
      <cdr:spPr>
        <a:xfrm xmlns:a="http://schemas.openxmlformats.org/drawingml/2006/main">
          <a:off x="5096336" y="1296920"/>
          <a:ext cx="664384" cy="434866"/>
        </a:xfrm>
        <a:prstGeom xmlns:a="http://schemas.openxmlformats.org/drawingml/2006/main" prst="rect">
          <a:avLst/>
        </a:prstGeom>
      </cdr:spPr>
      <cdr:txBody>
        <a:bodyPr xmlns:a="http://schemas.openxmlformats.org/drawingml/2006/main" vertOverflow="clip" wrap="none" rtlCol="0" anchor="ctr" anchorCtr="0"/>
        <a:lstStyle xmlns:a="http://schemas.openxmlformats.org/drawingml/2006/main"/>
        <a:p xmlns:a="http://schemas.openxmlformats.org/drawingml/2006/main">
          <a:r>
            <a:rPr lang="hr-HR" sz="900">
              <a:solidFill>
                <a:schemeClr val="tx2"/>
              </a:solidFill>
            </a:rPr>
            <a:t> </a:t>
          </a:r>
          <a:r>
            <a:rPr lang="hr-HR" sz="800" b="1">
              <a:solidFill>
                <a:schemeClr val="tx2"/>
              </a:solidFill>
            </a:rPr>
            <a:t>Grad Zagreb </a:t>
          </a:r>
        </a:p>
        <a:p xmlns:a="http://schemas.openxmlformats.org/drawingml/2006/main">
          <a:r>
            <a:rPr lang="hr-HR" sz="800" b="1" baseline="0">
              <a:solidFill>
                <a:schemeClr val="tx2"/>
              </a:solidFill>
            </a:rPr>
            <a:t>        (41,6)</a:t>
          </a:r>
        </a:p>
        <a:p xmlns:a="http://schemas.openxmlformats.org/drawingml/2006/main">
          <a:endParaRPr lang="hr-HR" sz="900">
            <a:solidFill>
              <a:schemeClr val="tx2"/>
            </a:solidFill>
          </a:endParaRPr>
        </a:p>
      </cdr:txBody>
    </cdr:sp>
  </cdr:relSizeAnchor>
  <cdr:relSizeAnchor xmlns:cdr="http://schemas.openxmlformats.org/drawingml/2006/chartDrawing">
    <cdr:from>
      <cdr:x>0</cdr:x>
      <cdr:y>0.05677</cdr:y>
    </cdr:from>
    <cdr:to>
      <cdr:x>0.0684</cdr:x>
      <cdr:y>0.10366</cdr:y>
    </cdr:to>
    <cdr:sp macro="" textlink="">
      <cdr:nvSpPr>
        <cdr:cNvPr id="4" name="TextBox 3"/>
        <cdr:cNvSpPr txBox="1"/>
      </cdr:nvSpPr>
      <cdr:spPr>
        <a:xfrm xmlns:a="http://schemas.openxmlformats.org/drawingml/2006/main">
          <a:off x="0" y="247650"/>
          <a:ext cx="420224" cy="20455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hr-HR" sz="1000"/>
            <a:t>godine</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45E36D-AD28-4F80-8902-319F7BE465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126270</Words>
  <Characters>719741</Characters>
  <Application>Microsoft Office Word</Application>
  <DocSecurity>0</DocSecurity>
  <Lines>5997</Lines>
  <Paragraphs>1688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844323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Ozren Ilijaš</dc:creator>
  <cp:keywords/>
  <cp:lastModifiedBy>Ines Jakšić</cp:lastModifiedBy>
  <cp:revision>7</cp:revision>
  <cp:lastPrinted>2022-09-23T12:03:00Z</cp:lastPrinted>
  <dcterms:created xsi:type="dcterms:W3CDTF">2022-09-28T08:30:00Z</dcterms:created>
  <dcterms:modified xsi:type="dcterms:W3CDTF">2022-09-28T08:41:00Z</dcterms:modified>
</cp:coreProperties>
</file>